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3FFC1" w14:textId="77777777" w:rsidR="006A188E" w:rsidRDefault="006A188E" w:rsidP="006A188E">
      <w:pPr>
        <w:pStyle w:val="Contedodatabela"/>
        <w:widowControl w:val="0"/>
        <w:rPr>
          <w:rFonts w:ascii="Calibri" w:hAnsi="Calibri" w:cs="Calibri"/>
          <w:b/>
          <w:bCs/>
        </w:rPr>
      </w:pPr>
    </w:p>
    <w:p w14:paraId="3374772D" w14:textId="77777777" w:rsidR="006A188E" w:rsidRDefault="006A188E" w:rsidP="006A188E">
      <w:pPr>
        <w:pStyle w:val="Contedodatabela"/>
        <w:widowControl w:val="0"/>
        <w:rPr>
          <w:rFonts w:ascii="Calibri" w:hAnsi="Calibri" w:cs="Calibri"/>
          <w:b/>
          <w:bCs/>
        </w:rPr>
      </w:pPr>
    </w:p>
    <w:p w14:paraId="197431D6" w14:textId="7B77869F" w:rsidR="006A188E" w:rsidRPr="00EC16FC" w:rsidRDefault="006A188E" w:rsidP="006A188E">
      <w:pPr>
        <w:pStyle w:val="Contedodatabela"/>
        <w:widowControl w:val="0"/>
        <w:rPr>
          <w:rFonts w:ascii="Calibri" w:hAnsi="Calibri" w:cs="Calibri"/>
        </w:rPr>
      </w:pPr>
      <w:r>
        <w:rPr>
          <w:rFonts w:ascii="Calibri" w:hAnsi="Calibri" w:cs="Calibri"/>
          <w:b/>
          <w:bCs/>
        </w:rPr>
        <w:t xml:space="preserve">Título do projeto: </w:t>
      </w:r>
      <w:r w:rsidRPr="00EC16FC">
        <w:rPr>
          <w:rFonts w:ascii="Calibri" w:hAnsi="Calibri" w:cs="Calibri"/>
          <w:bCs/>
        </w:rPr>
        <w:t>Efeitos da massagem clássica relaxante e liberação miofascial em pessoas com fibromialgia: estudo clínico randomizado</w:t>
      </w:r>
    </w:p>
    <w:p w14:paraId="02F2426D" w14:textId="3B2A810D" w:rsidR="006A188E" w:rsidRDefault="006A188E" w:rsidP="006A188E">
      <w:pPr>
        <w:pStyle w:val="Contedodatabela"/>
        <w:widowControl w:val="0"/>
        <w:suppressAutoHyphens w:val="0"/>
        <w:ind w:right="139"/>
        <w:rPr>
          <w:rFonts w:ascii="Calibri" w:hAnsi="Calibri" w:cs="Calibri"/>
          <w:bCs/>
        </w:rPr>
      </w:pPr>
      <w:r>
        <w:rPr>
          <w:rFonts w:ascii="Calibri" w:hAnsi="Calibri" w:cs="Calibri"/>
          <w:b/>
          <w:bCs/>
          <w:color w:val="000000"/>
        </w:rPr>
        <w:t xml:space="preserve">Nome do pesquisador responsável: </w:t>
      </w:r>
      <w:r w:rsidRPr="00EC16FC">
        <w:rPr>
          <w:rFonts w:ascii="Calibri" w:hAnsi="Calibri" w:cs="Calibri"/>
          <w:bCs/>
        </w:rPr>
        <w:t>Prof. Dr. Eduardo Elias Vieira de Carvalho</w:t>
      </w:r>
    </w:p>
    <w:p w14:paraId="340E0604" w14:textId="58B0CF31" w:rsidR="006A188E" w:rsidRDefault="006A188E" w:rsidP="006A188E">
      <w:pPr>
        <w:pStyle w:val="Contedodatabela"/>
        <w:widowControl w:val="0"/>
        <w:suppressAutoHyphens w:val="0"/>
        <w:ind w:right="139"/>
        <w:rPr>
          <w:rFonts w:ascii="Calibri" w:hAnsi="Calibri" w:cs="Calibri"/>
          <w:color w:val="000000"/>
        </w:rPr>
      </w:pPr>
      <w:r>
        <w:rPr>
          <w:rFonts w:ascii="Calibri" w:hAnsi="Calibri" w:cs="Calibri"/>
          <w:b/>
          <w:bCs/>
          <w:color w:val="000000"/>
        </w:rPr>
        <w:t xml:space="preserve">Instituição: </w:t>
      </w:r>
      <w:r w:rsidR="00EE58F4">
        <w:rPr>
          <w:rFonts w:ascii="Calibri" w:hAnsi="Calibri" w:cs="Calibri"/>
          <w:color w:val="000000"/>
        </w:rPr>
        <w:t>Departamento de Fisioterapia Aplicada do Instituto de Ciências da Saúde da Universidade Federal do Triângulo Mineiro</w:t>
      </w:r>
    </w:p>
    <w:p w14:paraId="0E9D2B49" w14:textId="77777777" w:rsidR="00EE58F4" w:rsidRDefault="00EE58F4" w:rsidP="006A188E">
      <w:pPr>
        <w:pStyle w:val="Contedodatabela"/>
        <w:widowControl w:val="0"/>
        <w:suppressAutoHyphens w:val="0"/>
        <w:ind w:right="139"/>
        <w:rPr>
          <w:rFonts w:ascii="Calibri" w:hAnsi="Calibri" w:cs="Calibri"/>
          <w:color w:val="000000"/>
        </w:rPr>
      </w:pPr>
    </w:p>
    <w:p w14:paraId="0E5A28B5" w14:textId="6E859797" w:rsidR="00EE58F4" w:rsidRPr="00862E45" w:rsidRDefault="00862E45" w:rsidP="006A188E">
      <w:pPr>
        <w:pStyle w:val="Contedodatabela"/>
        <w:widowControl w:val="0"/>
        <w:suppressAutoHyphens w:val="0"/>
        <w:ind w:right="139"/>
        <w:rPr>
          <w:rFonts w:ascii="Calibri" w:hAnsi="Calibri" w:cs="Calibri"/>
          <w:b/>
          <w:bCs/>
          <w:color w:val="000000"/>
        </w:rPr>
      </w:pPr>
      <w:r w:rsidRPr="00862E45">
        <w:rPr>
          <w:rFonts w:ascii="Calibri" w:hAnsi="Calibri" w:cs="Calibri"/>
          <w:b/>
          <w:bCs/>
          <w:color w:val="000000"/>
        </w:rPr>
        <w:t>RESUMO</w:t>
      </w:r>
    </w:p>
    <w:p w14:paraId="24CC0337" w14:textId="44F6CCBF" w:rsidR="00EE58F4" w:rsidRDefault="00EE58F4" w:rsidP="00EE58F4">
      <w:pPr>
        <w:spacing w:line="276" w:lineRule="auto"/>
        <w:jc w:val="both"/>
        <w:rPr>
          <w:rFonts w:ascii="Calibri" w:hAnsi="Calibri" w:cs="Calibri"/>
          <w:bCs/>
          <w:color w:val="auto"/>
        </w:rPr>
      </w:pPr>
      <w:r w:rsidRPr="00EE58F4">
        <w:rPr>
          <w:rFonts w:ascii="Calibri" w:hAnsi="Calibri" w:cs="Calibri"/>
          <w:b/>
          <w:color w:val="auto"/>
        </w:rPr>
        <w:t>Introdução:</w:t>
      </w:r>
      <w:r w:rsidRPr="00EE58F4">
        <w:rPr>
          <w:rFonts w:ascii="Calibri" w:hAnsi="Calibri" w:cs="Calibri"/>
          <w:bCs/>
          <w:color w:val="auto"/>
        </w:rPr>
        <w:t xml:space="preserve"> Fibromialgia (FM) é uma síndrome que se caracteriza por dor muscular crônica, acompanhada por pontos sensíveis a pressão, denominados como pontos gatilhos. Estudos relatam que as pessoas cursam com dor refratária, pouco responsiva a terapêutica medicamentosa, levando a má qualidade de vida. Inicialmente a dor é ampla e difusa, podendo haver outras alterações como o distúrbio do sono, fadiga e alexitimia. </w:t>
      </w:r>
      <w:r w:rsidRPr="00EE58F4">
        <w:rPr>
          <w:rFonts w:ascii="Calibri" w:hAnsi="Calibri" w:cs="Calibri"/>
          <w:b/>
          <w:color w:val="auto"/>
        </w:rPr>
        <w:t>Objetivo:</w:t>
      </w:r>
      <w:r w:rsidRPr="00EE58F4">
        <w:rPr>
          <w:rFonts w:ascii="Calibri" w:hAnsi="Calibri" w:cs="Calibri"/>
          <w:bCs/>
          <w:color w:val="auto"/>
        </w:rPr>
        <w:t xml:space="preserve"> Os objetivos do presente estudo são avaliar a influência da massagem clássica relaxante e de técnicas de liberação miofascial sobre os sintomas álgicos e qualidade de vida e do sono, além da variabilidade da frequência cardíaca de mulheres com diagnóstico de fibromialgia. Somado a isto, objetivamos também avaliar a capacidade física de mulheres com FM e correlacionar os achados entre as avaliações. </w:t>
      </w:r>
      <w:r w:rsidRPr="00EE58F4">
        <w:rPr>
          <w:rFonts w:ascii="Calibri" w:hAnsi="Calibri" w:cs="Calibri"/>
          <w:b/>
          <w:color w:val="auto"/>
        </w:rPr>
        <w:t>Método</w:t>
      </w:r>
      <w:r>
        <w:rPr>
          <w:rFonts w:ascii="Calibri" w:hAnsi="Calibri" w:cs="Calibri"/>
          <w:b/>
          <w:color w:val="auto"/>
        </w:rPr>
        <w:t>s</w:t>
      </w:r>
      <w:r w:rsidRPr="00EE58F4">
        <w:rPr>
          <w:rFonts w:ascii="Calibri" w:hAnsi="Calibri" w:cs="Calibri"/>
          <w:b/>
          <w:color w:val="auto"/>
        </w:rPr>
        <w:t>:</w:t>
      </w:r>
      <w:r w:rsidRPr="00EE58F4">
        <w:rPr>
          <w:rFonts w:ascii="Calibri" w:hAnsi="Calibri" w:cs="Calibri"/>
          <w:bCs/>
          <w:color w:val="auto"/>
        </w:rPr>
        <w:t xml:space="preserve"> Trata-se de um estudo clínico, randomizado e controlado. Serão selecionadas </w:t>
      </w:r>
      <w:r>
        <w:rPr>
          <w:rFonts w:ascii="Calibri" w:hAnsi="Calibri" w:cs="Calibri"/>
          <w:bCs/>
          <w:color w:val="auto"/>
        </w:rPr>
        <w:t>6</w:t>
      </w:r>
      <w:r w:rsidRPr="00EE58F4">
        <w:rPr>
          <w:rFonts w:ascii="Calibri" w:hAnsi="Calibri" w:cs="Calibri"/>
          <w:bCs/>
          <w:color w:val="auto"/>
        </w:rPr>
        <w:t>0 participantes do sexo feminino, maiores de 18 anos, com diagnóstico de fibromialgia a pelo menos seis meses, frequentadoras da Unidade de Atenção ao Idoso e/ou no Setor de Reumatologia do Ambulatório de Especialidades da UFTM. As participantes serão divididas nos seguintes grupos: Grupo Controle (n=1</w:t>
      </w:r>
      <w:r>
        <w:rPr>
          <w:rFonts w:ascii="Calibri" w:hAnsi="Calibri" w:cs="Calibri"/>
          <w:bCs/>
          <w:color w:val="auto"/>
        </w:rPr>
        <w:t>5</w:t>
      </w:r>
      <w:r w:rsidRPr="00EE58F4">
        <w:rPr>
          <w:rFonts w:ascii="Calibri" w:hAnsi="Calibri" w:cs="Calibri"/>
          <w:bCs/>
          <w:color w:val="auto"/>
        </w:rPr>
        <w:t>): participantes que serão submetidas às avaliações, mas não receberão intervenção; Grupo Massagem Relaxante (n=1</w:t>
      </w:r>
      <w:r>
        <w:rPr>
          <w:rFonts w:ascii="Calibri" w:hAnsi="Calibri" w:cs="Calibri"/>
          <w:bCs/>
          <w:color w:val="auto"/>
        </w:rPr>
        <w:t>5</w:t>
      </w:r>
      <w:r w:rsidRPr="00EE58F4">
        <w:rPr>
          <w:rFonts w:ascii="Calibri" w:hAnsi="Calibri" w:cs="Calibri"/>
          <w:bCs/>
          <w:color w:val="auto"/>
        </w:rPr>
        <w:t>): receberão oito sessões de 30 minutos de massagem clássica relaxante, ao longo de quatro semanas; Grupo Liberação Miofascial (n=1</w:t>
      </w:r>
      <w:r>
        <w:rPr>
          <w:rFonts w:ascii="Calibri" w:hAnsi="Calibri" w:cs="Calibri"/>
          <w:bCs/>
          <w:color w:val="auto"/>
        </w:rPr>
        <w:t>5</w:t>
      </w:r>
      <w:r w:rsidRPr="00EE58F4">
        <w:rPr>
          <w:rFonts w:ascii="Calibri" w:hAnsi="Calibri" w:cs="Calibri"/>
          <w:bCs/>
          <w:color w:val="auto"/>
        </w:rPr>
        <w:t>): receberão oito sessões de 30 minutos de técnicas de liberação miofascial, ao longo de quatro semanas; e Grupo de Terapias Combinadas</w:t>
      </w:r>
      <w:r>
        <w:rPr>
          <w:rFonts w:ascii="Calibri" w:hAnsi="Calibri" w:cs="Calibri"/>
          <w:bCs/>
          <w:color w:val="auto"/>
        </w:rPr>
        <w:t xml:space="preserve"> (n=15)</w:t>
      </w:r>
      <w:r w:rsidRPr="00EE58F4">
        <w:rPr>
          <w:rFonts w:ascii="Calibri" w:hAnsi="Calibri" w:cs="Calibri"/>
          <w:bCs/>
          <w:color w:val="auto"/>
        </w:rPr>
        <w:t xml:space="preserve">: receberão oito sessões de 30 minutos de massagem clássica relaxante associada a técnicas de liberação miofascial, ao longo de quatro semanas. Todas as participantes passarão por uma anamnese inicial para identificação das características clínicas, antropométricas e sociodemográficas. Antes e após o período de intervenção, as participantes serão submetidas a instrumentos de avaliação de dor, qualidade de vida e de sono. Bem como a testes de avaliação da capacidade física com dinamômetro de pressão palmar, teste de sentar e levantar e time </w:t>
      </w:r>
      <w:proofErr w:type="spellStart"/>
      <w:r w:rsidRPr="00EE58F4">
        <w:rPr>
          <w:rFonts w:ascii="Calibri" w:hAnsi="Calibri" w:cs="Calibri"/>
          <w:bCs/>
          <w:color w:val="auto"/>
        </w:rPr>
        <w:t>up</w:t>
      </w:r>
      <w:proofErr w:type="spellEnd"/>
      <w:r w:rsidRPr="00EE58F4">
        <w:rPr>
          <w:rFonts w:ascii="Calibri" w:hAnsi="Calibri" w:cs="Calibri"/>
          <w:bCs/>
          <w:color w:val="auto"/>
        </w:rPr>
        <w:t xml:space="preserve"> </w:t>
      </w:r>
      <w:proofErr w:type="spellStart"/>
      <w:r w:rsidRPr="00EE58F4">
        <w:rPr>
          <w:rFonts w:ascii="Calibri" w:hAnsi="Calibri" w:cs="Calibri"/>
          <w:bCs/>
          <w:color w:val="auto"/>
        </w:rPr>
        <w:t>and</w:t>
      </w:r>
      <w:proofErr w:type="spellEnd"/>
      <w:r w:rsidRPr="00EE58F4">
        <w:rPr>
          <w:rFonts w:ascii="Calibri" w:hAnsi="Calibri" w:cs="Calibri"/>
          <w:bCs/>
          <w:color w:val="auto"/>
        </w:rPr>
        <w:t xml:space="preserve"> go. Por fim, será coletada a variabilidade da frequência cardíaca das participantes na posição de repouso supino. </w:t>
      </w:r>
      <w:r w:rsidRPr="00EE58F4">
        <w:rPr>
          <w:rFonts w:ascii="Calibri" w:hAnsi="Calibri" w:cs="Calibri"/>
          <w:b/>
          <w:color w:val="auto"/>
        </w:rPr>
        <w:t>Resultados Esperados:</w:t>
      </w:r>
      <w:r w:rsidRPr="00EE58F4">
        <w:rPr>
          <w:rFonts w:ascii="Calibri" w:hAnsi="Calibri" w:cs="Calibri"/>
          <w:bCs/>
          <w:color w:val="auto"/>
        </w:rPr>
        <w:t xml:space="preserve"> É plausível supor que todos os grupos de intervenção apresentarão melhora na qualidade de vida e do sono, associada à redução do quadro álgico. Acreditamos ainda que iremos documentar baixos índices de capacidade física e variabilidade da frequência cardíaca</w:t>
      </w:r>
      <w:r>
        <w:rPr>
          <w:rFonts w:ascii="Calibri" w:hAnsi="Calibri" w:cs="Calibri"/>
          <w:bCs/>
          <w:color w:val="auto"/>
        </w:rPr>
        <w:t xml:space="preserve"> no início do estudo, com melhora após a intervenção</w:t>
      </w:r>
      <w:r w:rsidRPr="00EE58F4">
        <w:rPr>
          <w:rFonts w:ascii="Calibri" w:hAnsi="Calibri" w:cs="Calibri"/>
          <w:bCs/>
          <w:color w:val="auto"/>
        </w:rPr>
        <w:t>. Por fim, esperamos encontrar correlação entre as variáveis estudadas nas ferramentas de avaliação utilizadas.</w:t>
      </w:r>
    </w:p>
    <w:p w14:paraId="3005BDAA" w14:textId="35130798" w:rsidR="00862E45" w:rsidRPr="00EE58F4" w:rsidRDefault="00862E45" w:rsidP="00EE58F4">
      <w:pPr>
        <w:spacing w:line="276" w:lineRule="auto"/>
        <w:jc w:val="both"/>
        <w:rPr>
          <w:rFonts w:ascii="Calibri" w:hAnsi="Calibri" w:cs="Calibri"/>
          <w:bCs/>
          <w:color w:val="auto"/>
        </w:rPr>
      </w:pPr>
      <w:r w:rsidRPr="00862E45">
        <w:rPr>
          <w:rFonts w:ascii="Calibri" w:hAnsi="Calibri" w:cs="Calibri"/>
          <w:b/>
          <w:color w:val="auto"/>
        </w:rPr>
        <w:t>Palavras-chaves =</w:t>
      </w:r>
      <w:r>
        <w:rPr>
          <w:rFonts w:ascii="Calibri" w:hAnsi="Calibri" w:cs="Calibri"/>
          <w:bCs/>
          <w:color w:val="auto"/>
        </w:rPr>
        <w:t xml:space="preserve"> Fibromialgia; Dor; Qualidade de Vida; Qualidade do Sono; Terapias Manuais.</w:t>
      </w:r>
    </w:p>
    <w:p w14:paraId="19E0F8FB" w14:textId="77777777" w:rsidR="006A188E" w:rsidRPr="00EE58F4" w:rsidRDefault="006A188E" w:rsidP="00EE58F4">
      <w:pPr>
        <w:spacing w:line="276" w:lineRule="auto"/>
        <w:ind w:firstLine="708"/>
        <w:jc w:val="both"/>
        <w:rPr>
          <w:rFonts w:ascii="Calibri" w:hAnsi="Calibri" w:cs="Calibri"/>
          <w:bCs/>
          <w:color w:val="auto"/>
        </w:rPr>
      </w:pPr>
    </w:p>
    <w:p w14:paraId="14280079" w14:textId="77777777" w:rsidR="00701E7F" w:rsidRPr="006D6934" w:rsidRDefault="00EC3554">
      <w:pPr>
        <w:spacing w:line="276" w:lineRule="auto"/>
        <w:rPr>
          <w:rFonts w:ascii="Calibri" w:hAnsi="Calibri" w:cs="Calibri"/>
          <w:color w:val="auto"/>
          <w:sz w:val="16"/>
          <w:szCs w:val="16"/>
        </w:rPr>
      </w:pPr>
      <w:r>
        <w:rPr>
          <w:rFonts w:ascii="Calibri" w:hAnsi="Calibri" w:cs="Calibri"/>
          <w:b/>
        </w:rPr>
        <w:t xml:space="preserve">1) </w:t>
      </w:r>
      <w:r w:rsidRPr="006D6934">
        <w:rPr>
          <w:rFonts w:ascii="Calibri" w:hAnsi="Calibri" w:cs="Calibri"/>
          <w:b/>
          <w:color w:val="auto"/>
        </w:rPr>
        <w:t>INTRODUÇÃO</w:t>
      </w:r>
    </w:p>
    <w:p w14:paraId="49C07974" w14:textId="77777777" w:rsidR="00EC16FC" w:rsidRPr="006D6934" w:rsidRDefault="00EC16FC" w:rsidP="00E47E39">
      <w:pPr>
        <w:spacing w:line="276" w:lineRule="auto"/>
        <w:jc w:val="both"/>
        <w:rPr>
          <w:rFonts w:ascii="Calibri" w:hAnsi="Calibri" w:cs="Calibri"/>
          <w:bCs/>
          <w:color w:val="auto"/>
        </w:rPr>
      </w:pPr>
    </w:p>
    <w:p w14:paraId="20319491"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Fibromialgia (FM) é uma síndrome que se caracteriza por dor muscular crônica e difusa, acompanhada por pontos sensíveis a pressão (</w:t>
      </w:r>
      <w:proofErr w:type="spellStart"/>
      <w:r w:rsidRPr="006D6934">
        <w:rPr>
          <w:rFonts w:ascii="Calibri" w:hAnsi="Calibri" w:cs="Calibri"/>
          <w:bCs/>
          <w:color w:val="auto"/>
        </w:rPr>
        <w:t>alodinia</w:t>
      </w:r>
      <w:proofErr w:type="spellEnd"/>
      <w:r w:rsidRPr="006D6934">
        <w:rPr>
          <w:rFonts w:ascii="Calibri" w:hAnsi="Calibri" w:cs="Calibri"/>
          <w:bCs/>
          <w:color w:val="auto"/>
        </w:rPr>
        <w:t xml:space="preserve">) que são denominados tender points (WOLFE et al, 1990). Ela é considerada síndrome, pois não há um agente etiológico definido e apresenta outros sintomas correlacionados como fadiga, distúrbios cognitivos, depressão e distúrbio do sono (PROVENZA et al, 2004). A prevalência de FM no Brasil é considerada alta, estima-se que 2,5% da população possui o diagnóstico da doença. O fato de essa doença receber muita intervenção de aspectos sociais, psicológicos e culturais, torna a relevância clínica da FM bastante volátil (MARTINEZ et </w:t>
      </w:r>
      <w:r w:rsidRPr="006D6934">
        <w:rPr>
          <w:rFonts w:ascii="Calibri" w:hAnsi="Calibri" w:cs="Calibri"/>
          <w:bCs/>
          <w:color w:val="auto"/>
        </w:rPr>
        <w:lastRenderedPageBreak/>
        <w:t>al., 2017). As mulheres são acometidas com maior incidência, sendo que cerca de 70% a 90% de todos os casos diagnosticados com fibromialgia são mulheres, principalmente com idade entre 35 e 55 anos (MOSMANN et al, 2006; PROVENZA et al, 2004).</w:t>
      </w:r>
    </w:p>
    <w:p w14:paraId="5040D077"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Os sinais e sintomas dessa síndrome são diversos, a dor é um dos principais e mais recorrente sintoma na FM, inicialmente ela é ampla e difusa, com foco na nuca, pescoço e ombros (WAGNER et al, 2012; CONSOLI et al, 2012; MARTINS et al, 2012). As pessoas com FM possuem dificuldade em identificar qual a origem da dor, relatando que o sintoma álgico tem origem nos músculos, em outros nas articulações e também há relatos de dor nos ossos e nervos (RUSSEL, 1992).</w:t>
      </w:r>
    </w:p>
    <w:p w14:paraId="2445888A"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Os indivíduos também apresentam distúrbio do sono e fadiga geral, que se caracterizam por insônia, sensação de cansaço ao caminhar e redução das horas de sono por noite. Tudo isso colabora para a falta de sono restaurador e o aumento da indisposição durante o decorrer do dia (WAGNER et al, 2012; CONSOLI et al, 2012; MARTINS et al, 2012). </w:t>
      </w:r>
    </w:p>
    <w:p w14:paraId="4006F912"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Outro aspecto importante de se ressaltar é a qualidade de vida (QV), ela frequentemente está diminuída em pessoas com FM, principalmente quando essas estão em idade produtiva no trabalho, pois, além de um quadro álgico recorrente e generalizado, está presente também na vida desta pessoa sintomas como a fadiga e fraqueza, o que resulta em uma diminuição da produtividade e posteriormente uma incapacidade para realizar a atividade laboral (WHITE et al., 1999).</w:t>
      </w:r>
    </w:p>
    <w:p w14:paraId="70616A29"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Além da QV, os sintomas da FM também interferem diretamente na capacidade física dos indivíduos, porque são fisicamente menos ativos, em comparação com indivíduos saudáveis, levando-os a desenvolverem o sedentarismo. Essa interferência faz com que suas atividades de vida diária sejam impactadas de forma negativa (ERICSSON et al, 2016; BIDONDE et al, 2017).</w:t>
      </w:r>
    </w:p>
    <w:p w14:paraId="4004B6E3"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Para reabilitação do indivíduo com fibromialgia é recomendado um enfoque multidisciplinar e deve ser considerado tanto o tratamento farmacológico quanto o não farmacológico (CARVILLE et al, 2008; BUCKHARDT et al, 2005).</w:t>
      </w:r>
    </w:p>
    <w:p w14:paraId="7618EC88"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Dentre os recursos fisioterapêuticos que podem trazer benefícios para as pessoas com FM, podemos citar as técnicas de terapia manual, como a massagem clássica e a liberação miofascial (LM). A terapia manual fornece uma maior interação entre profissional e indivíduo. São utilizadas técnicas aplicadas sobre tecidos musculares, conjuntivos e ósseos que tem como propósito estimular propriedades fisiológicas e psicológicas, possibilitando relaxamento muscular, melhora da circulação sanguínea e liberação de pontos gatilhos (LIPTAN et al, 2012; YUAN et al, 2013; MARQUES et al 2002).</w:t>
      </w:r>
    </w:p>
    <w:p w14:paraId="3A4D8F9C" w14:textId="35370D5A"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As técnicas de massagem clássica têm como efeito principal em pessoas com fibromialgia o relaxamento, alívio de dor, diminuição da hipersensibilidade, alongamento dos tecidos, melhora da circulação sanguínea e redução do acúmulo de toxinas e metabólicos (MARQUES, A.P. et al, 2014). A LM é uma técnica de terapia manual, realizada por profissionais, com o objetivo de amenizar as aderências que causam restrições funcionais (KUMKA, BONAR, 2012; DIXON, 2007), recuperar a amplitude de movimento e promover diminuição da dor (BARNES, 2003; MOURAD, 2005).</w:t>
      </w:r>
    </w:p>
    <w:p w14:paraId="71FF34DA" w14:textId="77777777"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 xml:space="preserve">Com relação à literatura científica atual, após ampla revisão, pudemos evidenciar que alguns fatores ainda não foram muito bem elucidados em pessoas com FM, como o comprometimento da capacidade física, a variabilidade da frequência cardíaca e a influência da tensão nas </w:t>
      </w:r>
      <w:proofErr w:type="spellStart"/>
      <w:r w:rsidRPr="006D6934">
        <w:rPr>
          <w:rFonts w:ascii="Calibri" w:hAnsi="Calibri" w:cs="Calibri"/>
          <w:bCs/>
          <w:color w:val="auto"/>
        </w:rPr>
        <w:t>miofáscias</w:t>
      </w:r>
      <w:proofErr w:type="spellEnd"/>
      <w:r w:rsidRPr="006D6934">
        <w:rPr>
          <w:rFonts w:ascii="Calibri" w:hAnsi="Calibri" w:cs="Calibri"/>
          <w:bCs/>
          <w:color w:val="auto"/>
        </w:rPr>
        <w:t xml:space="preserve"> sobre o quadro clínico dessas pessoas.</w:t>
      </w:r>
    </w:p>
    <w:p w14:paraId="7B727305" w14:textId="77777777" w:rsidR="004B3425" w:rsidRPr="006D6934" w:rsidRDefault="00EC16FC" w:rsidP="004B3425">
      <w:pPr>
        <w:spacing w:line="276" w:lineRule="auto"/>
        <w:ind w:firstLine="708"/>
        <w:jc w:val="both"/>
        <w:rPr>
          <w:rFonts w:ascii="Calibri" w:hAnsi="Calibri" w:cs="Calibri"/>
          <w:bCs/>
          <w:color w:val="auto"/>
        </w:rPr>
      </w:pPr>
      <w:r w:rsidRPr="006D6934">
        <w:rPr>
          <w:rFonts w:ascii="Calibri" w:hAnsi="Calibri" w:cs="Calibri"/>
          <w:bCs/>
          <w:color w:val="auto"/>
        </w:rPr>
        <w:t>A partir do exposto, fica determinada a pergunta que direciona nosso estudo, técnicas de terapia manual podem influenciar na qualidade de vida, quadro álgico, no padrão de sono, capacidade física e variabilidade da frequência cardíaca de mulheres com fibromialgia?</w:t>
      </w:r>
    </w:p>
    <w:p w14:paraId="4A7F1CBF" w14:textId="70B36F0A" w:rsidR="004B3425" w:rsidRPr="006D6934" w:rsidRDefault="004B3425" w:rsidP="004B3425">
      <w:pPr>
        <w:spacing w:line="276" w:lineRule="auto"/>
        <w:ind w:firstLine="708"/>
        <w:jc w:val="both"/>
        <w:rPr>
          <w:rFonts w:ascii="Calibri" w:hAnsi="Calibri" w:cs="Calibri"/>
          <w:bCs/>
          <w:color w:val="auto"/>
        </w:rPr>
      </w:pPr>
      <w:r w:rsidRPr="006D6934">
        <w:rPr>
          <w:rFonts w:ascii="Calibri" w:hAnsi="Calibri" w:cs="Calibri"/>
          <w:bCs/>
          <w:color w:val="auto"/>
        </w:rPr>
        <w:t>No que se refere à utilização de técnicas de terapia manual para o tratamento de pessoas com FM, a literatura é limitada e com resultados contraditórios, que focam apenas em massagem relaxante. Desse modo, é plausível considerar a necessidade de um estudo que teste a influência de diferentes técnicas de terapia manual, como a massagem clássica relaxante e a liberação miofascial, bem como a combinação dessas técnicas, sobre alguns sinais e sintomas apresentados por pessoas com FM.</w:t>
      </w:r>
    </w:p>
    <w:p w14:paraId="362C0758" w14:textId="22CC19E5"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lastRenderedPageBreak/>
        <w:t>Sendo assim, a justificativa do presente estudo está pautada no conhecimento fisiopatológico da FM, assim como da influência das técnicas de massagem clássica e liberação miofascial em diferentes condições clínicas. Desse modo, os resultados do presente estudo apresentam importante relevância social e científica, pois traz à luz do conhecimento os benefícios dessas técnicas sobre o tratamento de pessoas com FM. Podendo proporcionar à pessoa melhora do quadro álgico, qualidade de vida e qualidade do sono. Por fim, novas hipóteses de investigação surgirão com os resultados do presente estudo, levando em consideração a complexidade da doença e a possibilidade de aplicação de novas técnicas de terapia manual.</w:t>
      </w:r>
    </w:p>
    <w:p w14:paraId="52228CDD" w14:textId="77777777" w:rsidR="00EC16FC" w:rsidRPr="006D6934" w:rsidRDefault="00EC16FC" w:rsidP="00E47E39">
      <w:pPr>
        <w:spacing w:line="276" w:lineRule="auto"/>
        <w:jc w:val="both"/>
        <w:rPr>
          <w:rFonts w:ascii="Calibri" w:hAnsi="Calibri" w:cs="Calibri"/>
          <w:bCs/>
          <w:color w:val="auto"/>
        </w:rPr>
      </w:pPr>
    </w:p>
    <w:p w14:paraId="1282E895" w14:textId="138382F6"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REFERENCIAL TEÓRICO</w:t>
      </w:r>
    </w:p>
    <w:p w14:paraId="43215DFE" w14:textId="77777777" w:rsidR="00EC16FC" w:rsidRPr="006D6934" w:rsidRDefault="00EC16FC" w:rsidP="00E47E39">
      <w:pPr>
        <w:spacing w:line="276" w:lineRule="auto"/>
        <w:jc w:val="both"/>
        <w:rPr>
          <w:rFonts w:ascii="Calibri" w:hAnsi="Calibri" w:cs="Calibri"/>
          <w:bCs/>
          <w:color w:val="auto"/>
        </w:rPr>
      </w:pPr>
    </w:p>
    <w:p w14:paraId="721FA626" w14:textId="2F466428"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FIBROMIALGIA</w:t>
      </w:r>
    </w:p>
    <w:p w14:paraId="4335E795" w14:textId="77777777" w:rsidR="00EC16FC" w:rsidRPr="006D6934" w:rsidRDefault="00EC16FC" w:rsidP="00E47E39">
      <w:pPr>
        <w:spacing w:line="276" w:lineRule="auto"/>
        <w:jc w:val="both"/>
        <w:rPr>
          <w:rFonts w:ascii="Calibri" w:hAnsi="Calibri" w:cs="Calibri"/>
          <w:bCs/>
          <w:color w:val="auto"/>
        </w:rPr>
      </w:pPr>
    </w:p>
    <w:p w14:paraId="060208A3"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Fibromialgia (FM) é uma síndrome que causa dor crônica, caracterizada por dores no sistema musculoesquelético de caráter generalizado, com presença de locais de dor específicos e sensíveis à palpação (tender points). Além do quadro álgico, muitas vezes exacerbado, as pessoas com fibromialgia podem apresentar também fadiga, distúrbios do sono, redução da qualidade de vida e distúrbios psíquicos (MARTINEZ, 1998; WOLFE et al, 2010).</w:t>
      </w:r>
    </w:p>
    <w:p w14:paraId="0D9D7B74" w14:textId="77777777" w:rsidR="0005028D"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 xml:space="preserve">A dor crônica e difusa é o sintoma mais relevante da fibromialgia, atingindo regiões periféricas e axiais do corpo. Outra característica é que a pessoa com FM não consegue localizar especificamente a dor. São corriqueiros os relatos que o quadro álgico é piorado em resultado de um estresse emocional, esforço físico e até mesmo com a queda de temperatura </w:t>
      </w:r>
      <w:r w:rsidR="0005028D" w:rsidRPr="006D6934">
        <w:rPr>
          <w:rFonts w:ascii="Calibri" w:hAnsi="Calibri" w:cs="Calibri"/>
          <w:bCs/>
          <w:color w:val="auto"/>
        </w:rPr>
        <w:t>ambiente (CRISTO et al., 2017).</w:t>
      </w:r>
    </w:p>
    <w:p w14:paraId="3A3858B7"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Mais de 80% das pessoas com fibromialgia relatam quadros de fadiga durante o dia e sono não reparador. Esses sintomas podem se tornar em alguns casos a queixa principal dessas pessoas.  Aproximadamente 70% das pessoas relatam alterações do humor como tristeza e irritabilidade (HEYMANN, HELFENSTEIN, 2003).</w:t>
      </w:r>
    </w:p>
    <w:p w14:paraId="1DD32FC2"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FM possui uma prevalência mundial entre 2 a 5% de toda a população (MARTINEZ, 2012). Na população brasileira, essa prevalência está em 2,5%, considerando todo o território na</w:t>
      </w:r>
      <w:r w:rsidR="0005028D" w:rsidRPr="006D6934">
        <w:rPr>
          <w:rFonts w:ascii="Calibri" w:hAnsi="Calibri" w:cs="Calibri"/>
          <w:bCs/>
          <w:color w:val="auto"/>
        </w:rPr>
        <w:t xml:space="preserve">cional (REZENDE et al., 2013). </w:t>
      </w:r>
    </w:p>
    <w:p w14:paraId="10961C71"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Quando comparamos a prevalência entre homens e mulheres, a FM é mais comum em pessoas do sexo feminino do que em pessoas do sexo masculino, com uma proporção de 08 mulheres para 01 homem. Quando os critérios de 2010 são usados para diagnóstico, essa proporção diminui (04 mulheres para 01 homem), pois os novos critérios utilizam de outros métodos para diagnóstico sem que seja necessário o exame de palpação nos tender points (WOLFE et al, 2010). As mulheres são acometidas com maior incidência, cerca de 70 a 90% de todos os casos diagnosticados com fibromialgia são mulheres, principalmente com idade entre 35 e 55 anos (MOSMANN et al.</w:t>
      </w:r>
      <w:r w:rsidR="0005028D" w:rsidRPr="006D6934">
        <w:rPr>
          <w:rFonts w:ascii="Calibri" w:hAnsi="Calibri" w:cs="Calibri"/>
          <w:bCs/>
          <w:color w:val="auto"/>
        </w:rPr>
        <w:t>, 2006; PROVENZA et al., 2004).</w:t>
      </w:r>
    </w:p>
    <w:p w14:paraId="55FC24CF"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predisposição genética para o desenvolvimento da fibromialgia é um problema real, onde familiares diretos possuem oito vezes mais chances de desenvolv</w:t>
      </w:r>
      <w:r w:rsidR="0005028D" w:rsidRPr="006D6934">
        <w:rPr>
          <w:rFonts w:ascii="Calibri" w:hAnsi="Calibri" w:cs="Calibri"/>
          <w:bCs/>
          <w:color w:val="auto"/>
        </w:rPr>
        <w:t>er a síndrome (MARTINEZ, 2012).</w:t>
      </w:r>
    </w:p>
    <w:p w14:paraId="3B233D07"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fisiopatologia da fibromialgia possui uma ligação com o componente do sistema nervoso central (PHILLIPS; CLAUW, 2011). Pesquisas demonstram uma alteração no momento de processar estímulos sensoriais pelo sistema nervoso central (YUNUS, M.B., 2007; SCHNEIDER, BRADY, 2001), levando a um quadro de hipersensibilidade álgica. Essas características fazem com que possamos considerar a FM uma síndrome de sensibilização (YUNUS, M.B., 2007). Os resultados mais confiáveis estão relacionados a neurotransmissores que estão ligados aos sintomas álgicos, tanto de forma inibitória, quanto exc</w:t>
      </w:r>
      <w:r w:rsidR="0005028D" w:rsidRPr="006D6934">
        <w:rPr>
          <w:rFonts w:ascii="Calibri" w:hAnsi="Calibri" w:cs="Calibri"/>
          <w:bCs/>
          <w:color w:val="auto"/>
        </w:rPr>
        <w:t xml:space="preserve">itatória (LARSON et al. 2000). </w:t>
      </w:r>
    </w:p>
    <w:p w14:paraId="4180CFB4"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Estudos demonstram que a serotonina e a norepinefrina são responsáveis pela inibição dos sintomas álgicos, e em pessoas com diagnóstico de fibromialgia, essas substâncias estão diminuídas, em contrapartida, a substância P que é um neurotransmissor excitatório dos sintomas álgicos, está mais acumulado no fluído cerebroespinhal (LARSON et al. 2000). Essas alterações citadas acima podem explicar o surgimento de sintomas como distúrbios de son</w:t>
      </w:r>
      <w:r w:rsidR="0005028D" w:rsidRPr="006D6934">
        <w:rPr>
          <w:rFonts w:ascii="Calibri" w:hAnsi="Calibri" w:cs="Calibri"/>
          <w:bCs/>
          <w:color w:val="auto"/>
        </w:rPr>
        <w:t>o e do humor (MOLDOFSKY, 2009).</w:t>
      </w:r>
    </w:p>
    <w:p w14:paraId="5469870C"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lastRenderedPageBreak/>
        <w:t>O sistema nervoso autonômico também é afetado, onde essas pessoas apresentam altos níveis basais do hormônio adrenocorticotrófico e folículo estimulante, em contrapartida, revelam níveis diminuídos de fator de crescimento insulínico, de hormônio de crescimento-GH, estrogênio e cortisol. Essas descobertas demonstram que a fibromialgia e os sintomas de estresse crônico estão vinculados, além de estar diretamente relacionada à diminuição da qualidade de sono e aumento se sintomas de ansiedade (MEASE</w:t>
      </w:r>
      <w:r w:rsidR="0005028D" w:rsidRPr="006D6934">
        <w:rPr>
          <w:rFonts w:ascii="Calibri" w:hAnsi="Calibri" w:cs="Calibri"/>
          <w:bCs/>
          <w:color w:val="auto"/>
        </w:rPr>
        <w:t>, 2005; NEECK, CROFFORD, 2000).</w:t>
      </w:r>
    </w:p>
    <w:p w14:paraId="45D01EAF"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Muitas pessoas com FM relatam que sentem mais cansaço ao acordar do que quando se deitam para dormir e que esse cansaço se prolonga durante todo o dia (TEIXEIRA, M.J. et al, 2001). É comum também o relato de parestesia em </w:t>
      </w:r>
      <w:proofErr w:type="spellStart"/>
      <w:r w:rsidRPr="006D6934">
        <w:rPr>
          <w:rFonts w:ascii="Calibri" w:hAnsi="Calibri" w:cs="Calibri"/>
          <w:bCs/>
          <w:color w:val="auto"/>
        </w:rPr>
        <w:t>dermátomos</w:t>
      </w:r>
      <w:proofErr w:type="spellEnd"/>
      <w:r w:rsidRPr="006D6934">
        <w:rPr>
          <w:rFonts w:ascii="Calibri" w:hAnsi="Calibri" w:cs="Calibri"/>
          <w:bCs/>
          <w:color w:val="auto"/>
        </w:rPr>
        <w:t xml:space="preserve"> únicos que pioram com alterações climáticas (frio) e estresse (LESS</w:t>
      </w:r>
      <w:r w:rsidR="0005028D" w:rsidRPr="006D6934">
        <w:rPr>
          <w:rFonts w:ascii="Calibri" w:hAnsi="Calibri" w:cs="Calibri"/>
          <w:bCs/>
          <w:color w:val="auto"/>
        </w:rPr>
        <w:t>ARD, J.A.; RUSSEL, I.J., 1992).</w:t>
      </w:r>
    </w:p>
    <w:p w14:paraId="59FBAB4B" w14:textId="77777777" w:rsidR="00EE58F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São comuns, apesar dos sintomas, as pessoas com diagnóstico de FM não apresentarem alterações físicas como comprometimento inflamatório das articulações, diminuição de amplitude de movimento, redução da força muscular e atrofias musculares (BRASIL, 2009).</w:t>
      </w:r>
    </w:p>
    <w:p w14:paraId="76ED380D" w14:textId="6991B39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O diagnóstico de pessoas com FM é unicamente clínico, sendo através da sintomatologia referida, não havendo assim, necessidade de exames complementares (COLLADO, A. et al, 2002).</w:t>
      </w:r>
    </w:p>
    <w:p w14:paraId="4B65325A" w14:textId="77777777" w:rsidR="0005028D"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Existem três critérios para diagnosticar fibromialgia, um deles foi descrito no ano de 1990, outro em 2010 e o mais recente, foi descrito no ano d</w:t>
      </w:r>
      <w:r w:rsidR="0005028D" w:rsidRPr="006D6934">
        <w:rPr>
          <w:rFonts w:ascii="Calibri" w:hAnsi="Calibri" w:cs="Calibri"/>
          <w:bCs/>
          <w:color w:val="auto"/>
        </w:rPr>
        <w:t>e 2016 (WOLFE, F. et al, 2010).</w:t>
      </w:r>
    </w:p>
    <w:p w14:paraId="128067EA"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De acordo com os critérios de 1990, os pontos de dor são utilizados para critérios de avaliação. Há indícios de 9 pontos bilaterais, totalizando 18 pontos, sendo que estes são espalhados pelo corpo e variam de local. Esses locais de dor são: 1. Inserção do músculo suboccipital; 2. Borda superior do trapézio- porção média; 3. Origem do músculo </w:t>
      </w:r>
      <w:proofErr w:type="spellStart"/>
      <w:r w:rsidRPr="006D6934">
        <w:rPr>
          <w:rFonts w:ascii="Calibri" w:hAnsi="Calibri" w:cs="Calibri"/>
          <w:bCs/>
          <w:color w:val="auto"/>
        </w:rPr>
        <w:t>supraespinhoso</w:t>
      </w:r>
      <w:proofErr w:type="spellEnd"/>
      <w:r w:rsidRPr="006D6934">
        <w:rPr>
          <w:rFonts w:ascii="Calibri" w:hAnsi="Calibri" w:cs="Calibri"/>
          <w:bCs/>
          <w:color w:val="auto"/>
        </w:rPr>
        <w:t xml:space="preserve">, na parte superior da borda medial da escápula; 4. Vista anterior dos espaços </w:t>
      </w:r>
      <w:proofErr w:type="spellStart"/>
      <w:r w:rsidRPr="006D6934">
        <w:rPr>
          <w:rFonts w:ascii="Calibri" w:hAnsi="Calibri" w:cs="Calibri"/>
          <w:bCs/>
          <w:color w:val="auto"/>
        </w:rPr>
        <w:t>intertransversos</w:t>
      </w:r>
      <w:proofErr w:type="spellEnd"/>
      <w:r w:rsidRPr="006D6934">
        <w:rPr>
          <w:rFonts w:ascii="Calibri" w:hAnsi="Calibri" w:cs="Calibri"/>
          <w:bCs/>
          <w:color w:val="auto"/>
        </w:rPr>
        <w:t xml:space="preserve"> de C5 a C7; 5. Segunda junção costocondral; 6. Epicôndilo lateral; 7. Quadrante superior externo dos glúteos; 8. Trocânter maior; e 9. Joelho, próximo a </w:t>
      </w:r>
      <w:proofErr w:type="spellStart"/>
      <w:r w:rsidRPr="006D6934">
        <w:rPr>
          <w:rFonts w:ascii="Calibri" w:hAnsi="Calibri" w:cs="Calibri"/>
          <w:bCs/>
          <w:color w:val="auto"/>
        </w:rPr>
        <w:t>interlinha</w:t>
      </w:r>
      <w:proofErr w:type="spellEnd"/>
      <w:r w:rsidRPr="006D6934">
        <w:rPr>
          <w:rFonts w:ascii="Calibri" w:hAnsi="Calibri" w:cs="Calibri"/>
          <w:bCs/>
          <w:color w:val="auto"/>
        </w:rPr>
        <w:t xml:space="preserve"> articular medial (WOLFE, F. et al, 1990).</w:t>
      </w:r>
    </w:p>
    <w:p w14:paraId="437CF16C"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Os critérios descritos em 2010, diferentemente de 1990, excluem a presença de pontos dolorosos para diagnóstico, e apresentam como critérios, sintomas constantemente citados pelas pessoas, além disso, esses critérios permitem que pessoas que não apresentam dor difusa sejam diagnosticadas com fibromialgia (WOLFE, F. et al, 2016). São utilizados alguns marcadores como o Índice de Dor Generalizada - </w:t>
      </w:r>
      <w:proofErr w:type="spellStart"/>
      <w:r w:rsidRPr="006D6934">
        <w:rPr>
          <w:rFonts w:ascii="Calibri" w:hAnsi="Calibri" w:cs="Calibri"/>
          <w:bCs/>
          <w:color w:val="auto"/>
        </w:rPr>
        <w:t>Widespread</w:t>
      </w:r>
      <w:proofErr w:type="spellEnd"/>
      <w:r w:rsidRPr="006D6934">
        <w:rPr>
          <w:rFonts w:ascii="Calibri" w:hAnsi="Calibri" w:cs="Calibri"/>
          <w:bCs/>
          <w:color w:val="auto"/>
        </w:rPr>
        <w:t xml:space="preserve"> </w:t>
      </w:r>
      <w:proofErr w:type="spellStart"/>
      <w:r w:rsidRPr="006D6934">
        <w:rPr>
          <w:rFonts w:ascii="Calibri" w:hAnsi="Calibri" w:cs="Calibri"/>
          <w:bCs/>
          <w:color w:val="auto"/>
        </w:rPr>
        <w:t>Pain</w:t>
      </w:r>
      <w:proofErr w:type="spellEnd"/>
      <w:r w:rsidRPr="006D6934">
        <w:rPr>
          <w:rFonts w:ascii="Calibri" w:hAnsi="Calibri" w:cs="Calibri"/>
          <w:bCs/>
          <w:color w:val="auto"/>
        </w:rPr>
        <w:t xml:space="preserve"> Index (WPI acima de 07 pontos), somado à Escala de Gravidade de Sintomas – </w:t>
      </w:r>
      <w:proofErr w:type="spellStart"/>
      <w:r w:rsidRPr="006D6934">
        <w:rPr>
          <w:rFonts w:ascii="Calibri" w:hAnsi="Calibri" w:cs="Calibri"/>
          <w:bCs/>
          <w:color w:val="auto"/>
        </w:rPr>
        <w:t>Simptom</w:t>
      </w:r>
      <w:proofErr w:type="spellEnd"/>
      <w:r w:rsidRPr="006D6934">
        <w:rPr>
          <w:rFonts w:ascii="Calibri" w:hAnsi="Calibri" w:cs="Calibri"/>
          <w:bCs/>
          <w:color w:val="auto"/>
        </w:rPr>
        <w:t xml:space="preserve"> </w:t>
      </w:r>
      <w:proofErr w:type="spellStart"/>
      <w:r w:rsidRPr="006D6934">
        <w:rPr>
          <w:rFonts w:ascii="Calibri" w:hAnsi="Calibri" w:cs="Calibri"/>
          <w:bCs/>
          <w:color w:val="auto"/>
        </w:rPr>
        <w:t>Severity</w:t>
      </w:r>
      <w:proofErr w:type="spellEnd"/>
      <w:r w:rsidRPr="006D6934">
        <w:rPr>
          <w:rFonts w:ascii="Calibri" w:hAnsi="Calibri" w:cs="Calibri"/>
          <w:bCs/>
          <w:color w:val="auto"/>
        </w:rPr>
        <w:t xml:space="preserve"> (SS acima de 05 pontos), os dois são embasados na sintomatologia da pessoa como a fadiga, dor, distúrbios do sono e de co</w:t>
      </w:r>
      <w:r w:rsidR="0005028D" w:rsidRPr="006D6934">
        <w:rPr>
          <w:rFonts w:ascii="Calibri" w:hAnsi="Calibri" w:cs="Calibri"/>
          <w:bCs/>
          <w:color w:val="auto"/>
        </w:rPr>
        <w:t xml:space="preserve">gnição (WOLFE, F. et al, 2010). </w:t>
      </w:r>
      <w:r w:rsidRPr="006D6934">
        <w:rPr>
          <w:rFonts w:ascii="Calibri" w:hAnsi="Calibri" w:cs="Calibri"/>
          <w:bCs/>
          <w:color w:val="auto"/>
        </w:rPr>
        <w:t xml:space="preserve">Quando os critérios de 1990 e 2010 são utilizados concomitantemente, o diagnóstico apresenta maior confiabilidade e torna possível um diagnóstico assertivo </w:t>
      </w:r>
      <w:r w:rsidR="0005028D" w:rsidRPr="006D6934">
        <w:rPr>
          <w:rFonts w:ascii="Calibri" w:hAnsi="Calibri" w:cs="Calibri"/>
          <w:bCs/>
          <w:color w:val="auto"/>
        </w:rPr>
        <w:t>em 99% dos casos (WOLFE, 2010).</w:t>
      </w:r>
    </w:p>
    <w:p w14:paraId="63089A3A"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No ano de 2016, Wolfe et al. revisaram os critérios que haviam sido publicados em 2010, readequando alguns itens essenciais para o diagnóstico de fibromialgia como o índice de dor generalizada (WPI), que em 2010 era acima de 07 pontos, agora passou a ser de 4-6, a escala de gravidade dos sintomas (SSS), que em 2010 era acima de 05 pontos, passou a ter uma pontuação acima de 09 pontos. Outra alteração foi que os sintomas precisam estar presentes e com a mesma intensidade de dor por pelo menos 03 meses. A dor generalizada agora passa a ser definida como dor em pelo menos quatro das cinco regiões, excluindo mandíbula, tórax </w:t>
      </w:r>
      <w:r w:rsidR="0005028D" w:rsidRPr="006D6934">
        <w:rPr>
          <w:rFonts w:ascii="Calibri" w:hAnsi="Calibri" w:cs="Calibri"/>
          <w:bCs/>
          <w:color w:val="auto"/>
        </w:rPr>
        <w:t xml:space="preserve">e abdômen (WOLFE </w:t>
      </w:r>
      <w:proofErr w:type="spellStart"/>
      <w:r w:rsidR="0005028D" w:rsidRPr="006D6934">
        <w:rPr>
          <w:rFonts w:ascii="Calibri" w:hAnsi="Calibri" w:cs="Calibri"/>
          <w:bCs/>
          <w:color w:val="auto"/>
        </w:rPr>
        <w:t>at</w:t>
      </w:r>
      <w:proofErr w:type="spellEnd"/>
      <w:r w:rsidR="0005028D" w:rsidRPr="006D6934">
        <w:rPr>
          <w:rFonts w:ascii="Calibri" w:hAnsi="Calibri" w:cs="Calibri"/>
          <w:bCs/>
          <w:color w:val="auto"/>
        </w:rPr>
        <w:t xml:space="preserve"> al., 2016).</w:t>
      </w:r>
    </w:p>
    <w:p w14:paraId="4B89F509"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Para reabilitação do indivíduo com FM é recomendado um enfoque multidisciplinar e deve ser considerado tanto o tratamento farmacológico quanto o não farmacológico (CARVILLE, S.F. et al, 2008</w:t>
      </w:r>
      <w:r w:rsidR="0005028D" w:rsidRPr="006D6934">
        <w:rPr>
          <w:rFonts w:ascii="Calibri" w:hAnsi="Calibri" w:cs="Calibri"/>
          <w:bCs/>
          <w:color w:val="auto"/>
        </w:rPr>
        <w:t>; BUCKHARDT, C.S. et al, 2005).</w:t>
      </w:r>
    </w:p>
    <w:p w14:paraId="66037AE9"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Sendo assim o tratamento é feito com a utilização de exercícios, suplementação adequada, terapia psicológica e medicamentosa. Esse tratamento tem como objetivo a redução de dores locais e generalizadas, fadigas, melhora da qualidade do sono, atua no desequilíbrio emocional e alguns transtornos associados (CARVILLE, S.F. </w:t>
      </w:r>
      <w:r w:rsidR="0005028D" w:rsidRPr="006D6934">
        <w:rPr>
          <w:rFonts w:ascii="Calibri" w:hAnsi="Calibri" w:cs="Calibri"/>
          <w:bCs/>
          <w:color w:val="auto"/>
        </w:rPr>
        <w:t>et al, 2007).</w:t>
      </w:r>
    </w:p>
    <w:p w14:paraId="04A95C68" w14:textId="2E8F35BB"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Alguns fármacos são utilizados em pacientes com fibromialgia com o objetivo de auxiliar não somente na dor, mas também em outros sintomas associados. Os fármacos importantes para o tratamento são: os fármacos de compostos tricíclicos como a amitriptilina que é um antidepressivo o qual possui grandes evidências científicas em relação à melhora do sono, da fadiga e da dor (FITZCHARLES, M.A. et al, 2013). A Ciclobenzaprina é considerada um relaxante muscular que em estudos apresentou uma melhora dos sintomas em pacientes com FM (TOFFERI, J.K; </w:t>
      </w:r>
      <w:r w:rsidRPr="006D6934">
        <w:rPr>
          <w:rFonts w:ascii="Calibri" w:hAnsi="Calibri" w:cs="Calibri"/>
          <w:bCs/>
          <w:color w:val="auto"/>
        </w:rPr>
        <w:lastRenderedPageBreak/>
        <w:t xml:space="preserve">JACKSON, J.L; O'MALLEY, P.G., 2004). Inibidores seletivos de recaptação de serotonina como a fluoxetina, podem atuar juntamente com os fármacos tricíclicos e impulsionar os efeitos do mesmo (GOLDENBERG, D. et al, 1996). O fármaco que possui boa evidência para o tratamento da FM é a duloxetina (LUNN M.P.; HUGHES, R.A.; WIFFEN, P.J., 2014). O </w:t>
      </w:r>
      <w:proofErr w:type="spellStart"/>
      <w:r w:rsidRPr="006D6934">
        <w:rPr>
          <w:rFonts w:ascii="Calibri" w:hAnsi="Calibri" w:cs="Calibri"/>
          <w:bCs/>
          <w:color w:val="auto"/>
        </w:rPr>
        <w:t>tramadol</w:t>
      </w:r>
      <w:proofErr w:type="spellEnd"/>
      <w:r w:rsidRPr="006D6934">
        <w:rPr>
          <w:rFonts w:ascii="Calibri" w:hAnsi="Calibri" w:cs="Calibri"/>
          <w:bCs/>
          <w:color w:val="auto"/>
        </w:rPr>
        <w:t xml:space="preserve"> é um </w:t>
      </w:r>
      <w:proofErr w:type="spellStart"/>
      <w:r w:rsidRPr="006D6934">
        <w:rPr>
          <w:rFonts w:ascii="Calibri" w:hAnsi="Calibri" w:cs="Calibri"/>
          <w:bCs/>
          <w:color w:val="auto"/>
        </w:rPr>
        <w:t>opióides</w:t>
      </w:r>
      <w:proofErr w:type="spellEnd"/>
      <w:r w:rsidRPr="006D6934">
        <w:rPr>
          <w:rFonts w:ascii="Calibri" w:hAnsi="Calibri" w:cs="Calibri"/>
          <w:bCs/>
          <w:color w:val="auto"/>
        </w:rPr>
        <w:t xml:space="preserve"> que atua no controle da dor e possui uma efetividade maior comparado aos outros opioides (KIA, S., 2017; NGIAN, G.S. et al, 2011). Analgésicos simples como paracetamol possui eficácia apenas para situações de dor periférica, mas não atua na sensibilização central (AFFAITATI, G. et al, 2011). </w:t>
      </w:r>
      <w:proofErr w:type="spellStart"/>
      <w:r w:rsidRPr="006D6934">
        <w:rPr>
          <w:rFonts w:ascii="Calibri" w:hAnsi="Calibri" w:cs="Calibri"/>
          <w:bCs/>
          <w:color w:val="auto"/>
        </w:rPr>
        <w:t>Neuromoduladores</w:t>
      </w:r>
      <w:proofErr w:type="spellEnd"/>
      <w:r w:rsidRPr="006D6934">
        <w:rPr>
          <w:rFonts w:ascii="Calibri" w:hAnsi="Calibri" w:cs="Calibri"/>
          <w:bCs/>
          <w:color w:val="auto"/>
        </w:rPr>
        <w:t xml:space="preserve"> como a </w:t>
      </w:r>
      <w:proofErr w:type="spellStart"/>
      <w:r w:rsidRPr="006D6934">
        <w:rPr>
          <w:rFonts w:ascii="Calibri" w:hAnsi="Calibri" w:cs="Calibri"/>
          <w:bCs/>
          <w:color w:val="auto"/>
        </w:rPr>
        <w:t>gabalina</w:t>
      </w:r>
      <w:proofErr w:type="spellEnd"/>
      <w:r w:rsidRPr="006D6934">
        <w:rPr>
          <w:rFonts w:ascii="Calibri" w:hAnsi="Calibri" w:cs="Calibri"/>
          <w:bCs/>
          <w:color w:val="auto"/>
        </w:rPr>
        <w:t xml:space="preserve"> e </w:t>
      </w:r>
      <w:proofErr w:type="spellStart"/>
      <w:r w:rsidRPr="006D6934">
        <w:rPr>
          <w:rFonts w:ascii="Calibri" w:hAnsi="Calibri" w:cs="Calibri"/>
          <w:bCs/>
          <w:color w:val="auto"/>
        </w:rPr>
        <w:t>pregabalina</w:t>
      </w:r>
      <w:proofErr w:type="spellEnd"/>
      <w:r w:rsidRPr="006D6934">
        <w:rPr>
          <w:rFonts w:ascii="Calibri" w:hAnsi="Calibri" w:cs="Calibri"/>
          <w:bCs/>
          <w:color w:val="auto"/>
        </w:rPr>
        <w:t xml:space="preserve"> são </w:t>
      </w:r>
      <w:proofErr w:type="spellStart"/>
      <w:r w:rsidRPr="006D6934">
        <w:rPr>
          <w:rFonts w:ascii="Calibri" w:hAnsi="Calibri" w:cs="Calibri"/>
          <w:bCs/>
          <w:color w:val="auto"/>
        </w:rPr>
        <w:t>anticonvulsionantes</w:t>
      </w:r>
      <w:proofErr w:type="spellEnd"/>
      <w:r w:rsidRPr="006D6934">
        <w:rPr>
          <w:rFonts w:ascii="Calibri" w:hAnsi="Calibri" w:cs="Calibri"/>
          <w:bCs/>
          <w:color w:val="auto"/>
        </w:rPr>
        <w:t xml:space="preserve"> que atuam reduzindo a dor e melhorando a qualidade do sono (ARNOLD, L.M. et al, 2018).</w:t>
      </w:r>
    </w:p>
    <w:p w14:paraId="7549FAC3" w14:textId="77777777" w:rsidR="0005028D"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Os tratamentos não farmacológicos utilizados são seguros e eficientes em promover benefícios para as pessoas com fibromialgia, tanto em relação à prevenção de sintomas adjacentes, quanto na promoção e reestabelecimento d</w:t>
      </w:r>
      <w:r w:rsidR="0005028D" w:rsidRPr="006D6934">
        <w:rPr>
          <w:rFonts w:ascii="Calibri" w:hAnsi="Calibri" w:cs="Calibri"/>
          <w:bCs/>
          <w:color w:val="auto"/>
        </w:rPr>
        <w:t>a saúde (ABLIN, BUSKILA, 2013).</w:t>
      </w:r>
    </w:p>
    <w:p w14:paraId="7FA4F94A" w14:textId="3225F683"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Várias modalidades de terapia não farmacológica apresentam benefícios no que se diz respeito a controle e tratamento da fibromialgia. Várias práticas são citadas em estudos, destacamos o exercício físico, programas de educação em saúde, terapia cognitiva comportamental, fisioterapia, dietas nutricionais, entre outros (ANGST et al, 2006; ARNOLD et al., 2009; BRAZ et al., 2011).</w:t>
      </w:r>
    </w:p>
    <w:p w14:paraId="76FC7CF2" w14:textId="77777777" w:rsidR="00EC16FC" w:rsidRPr="006D6934" w:rsidRDefault="00EC16FC" w:rsidP="00E47E39">
      <w:pPr>
        <w:spacing w:line="276" w:lineRule="auto"/>
        <w:jc w:val="both"/>
        <w:rPr>
          <w:rFonts w:ascii="Calibri" w:hAnsi="Calibri" w:cs="Calibri"/>
          <w:bCs/>
          <w:color w:val="auto"/>
        </w:rPr>
      </w:pPr>
    </w:p>
    <w:p w14:paraId="4F5253DD" w14:textId="21452589"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DOR E FIBROMIALGIA</w:t>
      </w:r>
    </w:p>
    <w:p w14:paraId="24681A2E" w14:textId="77777777" w:rsidR="00EC16FC" w:rsidRPr="006D6934" w:rsidRDefault="00EC16FC" w:rsidP="00E47E39">
      <w:pPr>
        <w:spacing w:line="276" w:lineRule="auto"/>
        <w:jc w:val="both"/>
        <w:rPr>
          <w:rFonts w:ascii="Calibri" w:hAnsi="Calibri" w:cs="Calibri"/>
          <w:bCs/>
          <w:color w:val="auto"/>
        </w:rPr>
      </w:pPr>
    </w:p>
    <w:p w14:paraId="48C128D5" w14:textId="77777777"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ab/>
        <w:t>As manifestações clínicas da FM podem ser consideradas como insidiosas de forma que a dor inicialmente é relatada como queimação, peso e exaustão da área afetada. Pessoas com FM costumam ter dificuldades em localizar a origem da dor (RUSSEL, 1992).</w:t>
      </w:r>
    </w:p>
    <w:p w14:paraId="35485037" w14:textId="77777777"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ab/>
        <w:t>Inicialmente a dor é ampla e difusa, sendo o foco inicial de dor a nuca, pescoço e ombros (WAGNER et al, 2012; CONSOLI et al, 2012; MARTINS et al, 2012). As pessoas com FM possuem dificuldade em identificar qual a origem da dor. Relatam que o sintoma álgico tem origem nos músculos, outros nas articulações e também há relatos de dor nos ossos e nervos (RUSSEL, 1992).</w:t>
      </w:r>
    </w:p>
    <w:p w14:paraId="2527CC38" w14:textId="77777777" w:rsidR="0005028D"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Em relação à dor, podem ser utilizadas escalas analógicas, tanto para o início da avaliação, quanto para a evolução do quadro clínico (SOUSA, F.A.E.F., 2002). As escalas podem ser visuais, ou numéricas, onde a pessoa relaciona o zero, não presença de dor e o dez como a presença muito grave do sint</w:t>
      </w:r>
      <w:r w:rsidR="0005028D" w:rsidRPr="006D6934">
        <w:rPr>
          <w:rFonts w:ascii="Calibri" w:hAnsi="Calibri" w:cs="Calibri"/>
          <w:bCs/>
          <w:color w:val="auto"/>
        </w:rPr>
        <w:t>oma (FERRAZ, M.B. et al, 1990).</w:t>
      </w:r>
    </w:p>
    <w:p w14:paraId="7C641177" w14:textId="02D23CE4"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Escala Visual Analógica (EVA) é usada para avaliar a intensidade da dor da pessoa. É desenhada uma linha com dez centímetros de comprimento, sendo que zero representa ausência de dor e dez a dor mais forte sentida pela mesma (PIMENTA, C.A.M., 1994).</w:t>
      </w:r>
    </w:p>
    <w:p w14:paraId="25FF05CE" w14:textId="77777777" w:rsidR="00EC16FC" w:rsidRPr="006D6934" w:rsidRDefault="00EC16FC" w:rsidP="00E47E39">
      <w:pPr>
        <w:spacing w:line="276" w:lineRule="auto"/>
        <w:jc w:val="both"/>
        <w:rPr>
          <w:rFonts w:ascii="Calibri" w:hAnsi="Calibri" w:cs="Calibri"/>
          <w:bCs/>
          <w:color w:val="auto"/>
        </w:rPr>
      </w:pPr>
    </w:p>
    <w:p w14:paraId="438E882D" w14:textId="6B773D9B"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CAPACIDADE FÍSICA E FIBROMIALGIA</w:t>
      </w:r>
    </w:p>
    <w:p w14:paraId="4E0B061B" w14:textId="77777777" w:rsidR="00EC16FC" w:rsidRPr="006D6934" w:rsidRDefault="00EC16FC" w:rsidP="00E47E39">
      <w:pPr>
        <w:spacing w:line="276" w:lineRule="auto"/>
        <w:jc w:val="both"/>
        <w:rPr>
          <w:rFonts w:ascii="Calibri" w:hAnsi="Calibri" w:cs="Calibri"/>
          <w:bCs/>
          <w:color w:val="auto"/>
        </w:rPr>
      </w:pPr>
    </w:p>
    <w:p w14:paraId="17F618E5"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Os sintomas da FM interferem diretamente na capacidade funcional e na QV dos indivíduos, porque são fisicamente menos ativos em comparação com indivíduos saudáveis. Essa interferência faz com que suas atividades de vida diária sejam impactadas de forma negativa (ERICSSON et al, 2016; BIDONDE et al, 2017).</w:t>
      </w:r>
    </w:p>
    <w:p w14:paraId="5725CFEC" w14:textId="77777777" w:rsidR="00EC16FC" w:rsidRPr="006D6934" w:rsidRDefault="00EC16FC" w:rsidP="00E47E39">
      <w:pPr>
        <w:spacing w:line="276" w:lineRule="auto"/>
        <w:jc w:val="both"/>
        <w:rPr>
          <w:rFonts w:ascii="Calibri" w:hAnsi="Calibri" w:cs="Calibri"/>
          <w:bCs/>
          <w:color w:val="auto"/>
        </w:rPr>
      </w:pPr>
    </w:p>
    <w:p w14:paraId="60A67C8E" w14:textId="02574648"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SONO E FIBROMIALGIA</w:t>
      </w:r>
    </w:p>
    <w:p w14:paraId="6E053C09" w14:textId="77777777" w:rsidR="00EC16FC" w:rsidRPr="006D6934" w:rsidRDefault="00EC16FC" w:rsidP="00E47E39">
      <w:pPr>
        <w:spacing w:line="276" w:lineRule="auto"/>
        <w:jc w:val="both"/>
        <w:rPr>
          <w:rFonts w:ascii="Calibri" w:hAnsi="Calibri" w:cs="Calibri"/>
          <w:bCs/>
          <w:color w:val="auto"/>
        </w:rPr>
      </w:pPr>
    </w:p>
    <w:p w14:paraId="6CC60AAA"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O distúrbio do sono pode estar relacionado com o quadro álgico dos indivíduos que possuem a doença (TEIXEIRA, 2001). A porcentagem de pessoas que relatam não ter um sono reparador na FM varia entre 76% a 90% (ROSSINI, REIMÃO, 2002). </w:t>
      </w:r>
    </w:p>
    <w:p w14:paraId="0F645937" w14:textId="04940842"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Queixas como maior cansaço ao acordar comparado a quando se deitam para dormir, sono agitado, insônia e dificuldade para iniciar o sono são comuns entre as pessoas com FM (TEIXEIRA, 2001). Segundo Rossini (2000), a insônia </w:t>
      </w:r>
      <w:r w:rsidRPr="006D6934">
        <w:rPr>
          <w:rFonts w:ascii="Calibri" w:hAnsi="Calibri" w:cs="Calibri"/>
          <w:bCs/>
          <w:color w:val="auto"/>
        </w:rPr>
        <w:lastRenderedPageBreak/>
        <w:t xml:space="preserve">está diretamente ligada aos níveis de dor. A intensidade da dor gera desconforto nos indivíduos e decorrente disso, apresentam maior dificuldade em ter uma noite regular de descanso. Esse acontecimento acarreta prejuízos a QV e falta de sono restaurador. </w:t>
      </w:r>
    </w:p>
    <w:p w14:paraId="17BF3E24" w14:textId="77777777" w:rsidR="00EC16FC" w:rsidRPr="006D6934" w:rsidRDefault="00EC16FC" w:rsidP="00E47E39">
      <w:pPr>
        <w:spacing w:line="276" w:lineRule="auto"/>
        <w:jc w:val="both"/>
        <w:rPr>
          <w:rFonts w:ascii="Calibri" w:hAnsi="Calibri" w:cs="Calibri"/>
          <w:bCs/>
          <w:color w:val="auto"/>
        </w:rPr>
      </w:pPr>
    </w:p>
    <w:p w14:paraId="1EBFB689" w14:textId="329CBBCF"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QUALIDADE DE VIDA E FIBROMIALGIA</w:t>
      </w:r>
    </w:p>
    <w:p w14:paraId="3BCA55E0" w14:textId="77777777" w:rsidR="00EC16FC" w:rsidRPr="006D6934" w:rsidRDefault="00EC16FC" w:rsidP="00E47E39">
      <w:pPr>
        <w:spacing w:line="276" w:lineRule="auto"/>
        <w:jc w:val="both"/>
        <w:rPr>
          <w:rFonts w:ascii="Calibri" w:hAnsi="Calibri" w:cs="Calibri"/>
          <w:bCs/>
          <w:color w:val="auto"/>
        </w:rPr>
      </w:pPr>
    </w:p>
    <w:p w14:paraId="764CFAC2"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fibromialgia, como citado anteriormente, é uma síndrome onde a dor musculoesquelética crônica e generalizada está presente no dia a dia das pessoas com essa doença. Além disso, podem apresentar também dispneia, fadiga ao realizar exercícios físicos ou atividades de vida diária, distúrbios do sono e, em alguns casos, rigidez matinal (MATSUTANI et al., 1999).  Por esses motivos, a qualidade de vida de pessoas com FM é afetada de forma prejudicial (MARTINEZ et al., 1992; WHITE et al., 1999).</w:t>
      </w:r>
    </w:p>
    <w:p w14:paraId="3E8E7D1E"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qualidade de vida e saúde se entrepõem, sendo uma junção de fatores como o bem-estar físico, psíquico, social, econômico e cultural. Deste modo, os questionários são uma das maneiras de estarmos informados quanto à qualidade de vida das pessoas com fibromialgia. Eles permitem verificar em quais propriedades a qualidade de vida dos indivíduos são mai</w:t>
      </w:r>
      <w:r w:rsidR="0005028D" w:rsidRPr="006D6934">
        <w:rPr>
          <w:rFonts w:ascii="Calibri" w:hAnsi="Calibri" w:cs="Calibri"/>
          <w:bCs/>
          <w:color w:val="auto"/>
        </w:rPr>
        <w:t>s afetadas (CARR et al., 1996).</w:t>
      </w:r>
    </w:p>
    <w:p w14:paraId="283CA875"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Existem questionários de qualidade de vida que abrangem qualquer pessoa, independente da doença que apresenta, e existem também os questionários que são específicos para um determinado tipo de doença, como é o caso da fibromialgia. Em 1991, foi apresentado um questionário específico para avaliar qualidade de vida em pessoas com fibromialgia, o </w:t>
      </w:r>
      <w:proofErr w:type="spellStart"/>
      <w:r w:rsidRPr="006D6934">
        <w:rPr>
          <w:rFonts w:ascii="Calibri" w:hAnsi="Calibri" w:cs="Calibri"/>
          <w:bCs/>
          <w:color w:val="auto"/>
        </w:rPr>
        <w:t>Fibromyalgia</w:t>
      </w:r>
      <w:proofErr w:type="spellEnd"/>
      <w:r w:rsidRPr="006D6934">
        <w:rPr>
          <w:rFonts w:ascii="Calibri" w:hAnsi="Calibri" w:cs="Calibri"/>
          <w:bCs/>
          <w:color w:val="auto"/>
        </w:rPr>
        <w:t xml:space="preserve"> </w:t>
      </w:r>
      <w:proofErr w:type="spellStart"/>
      <w:r w:rsidRPr="006D6934">
        <w:rPr>
          <w:rFonts w:ascii="Calibri" w:hAnsi="Calibri" w:cs="Calibri"/>
          <w:bCs/>
          <w:color w:val="auto"/>
        </w:rPr>
        <w:t>Impact</w:t>
      </w:r>
      <w:proofErr w:type="spellEnd"/>
      <w:r w:rsidRPr="006D6934">
        <w:rPr>
          <w:rFonts w:ascii="Calibri" w:hAnsi="Calibri" w:cs="Calibri"/>
          <w:bCs/>
          <w:color w:val="auto"/>
        </w:rPr>
        <w:t xml:space="preserve"> </w:t>
      </w:r>
      <w:proofErr w:type="spellStart"/>
      <w:r w:rsidRPr="006D6934">
        <w:rPr>
          <w:rFonts w:ascii="Calibri" w:hAnsi="Calibri" w:cs="Calibri"/>
          <w:bCs/>
          <w:color w:val="auto"/>
        </w:rPr>
        <w:t>Questionnaire</w:t>
      </w:r>
      <w:proofErr w:type="spellEnd"/>
      <w:r w:rsidRPr="006D6934">
        <w:rPr>
          <w:rFonts w:ascii="Calibri" w:hAnsi="Calibri" w:cs="Calibri"/>
          <w:bCs/>
          <w:color w:val="auto"/>
        </w:rPr>
        <w:t xml:space="preserve"> (FIQ). Este questionário apresenta questões que abordam capacidade funcional, vida profissional, sintomas psicológicos e físicos (PAGANO et al</w:t>
      </w:r>
      <w:r w:rsidR="0005028D" w:rsidRPr="006D6934">
        <w:rPr>
          <w:rFonts w:ascii="Calibri" w:hAnsi="Calibri" w:cs="Calibri"/>
          <w:bCs/>
          <w:color w:val="auto"/>
        </w:rPr>
        <w:t>., 2004; BENNETT et al., 2005).</w:t>
      </w:r>
    </w:p>
    <w:p w14:paraId="5F89A886" w14:textId="3A1767CC"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qualidade de vida diminui em pessoas com fibromialgia, principalmente quando essas estão em idade produtiva no trabalho. Porque, além de um quadro álgico recorrente e generalizado, está presente também na vida desta pessoa sintomas como a fadiga e fraqueza, o que resulta em uma diminuição da produtividade e posteriormente uma incapacidade para realizar a atividade laboral. Estes fatores resultam em uma diminuição da renda familiar sendo, então, outro aspecto em que afeta a qualidade de vida sobre o aspecto financeiro (WHITE et al., 1999).</w:t>
      </w:r>
    </w:p>
    <w:p w14:paraId="3F13158A" w14:textId="77777777" w:rsidR="00EC16FC" w:rsidRPr="006D6934" w:rsidRDefault="00EC16FC" w:rsidP="00E47E39">
      <w:pPr>
        <w:spacing w:line="276" w:lineRule="auto"/>
        <w:jc w:val="both"/>
        <w:rPr>
          <w:rFonts w:ascii="Calibri" w:hAnsi="Calibri" w:cs="Calibri"/>
          <w:bCs/>
          <w:color w:val="auto"/>
        </w:rPr>
      </w:pPr>
    </w:p>
    <w:p w14:paraId="5A2E2872" w14:textId="2398173E"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VARIABILIDADE DA FREQUÊNCIA CARDÍACA E FIBROMIALGIA</w:t>
      </w:r>
    </w:p>
    <w:p w14:paraId="37D28B09" w14:textId="77777777" w:rsidR="00EC16FC" w:rsidRPr="006D6934" w:rsidRDefault="00EC16FC" w:rsidP="00E47E39">
      <w:pPr>
        <w:spacing w:line="276" w:lineRule="auto"/>
        <w:jc w:val="both"/>
        <w:rPr>
          <w:rFonts w:ascii="Calibri" w:hAnsi="Calibri" w:cs="Calibri"/>
          <w:bCs/>
          <w:color w:val="auto"/>
        </w:rPr>
      </w:pPr>
    </w:p>
    <w:p w14:paraId="1B48597C"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VFC está altamente relacionada à modulação vagal, em resposta à velocidade em que acontece a dispersão do neurotransmissor dentro do nodo sinusal. Seus valores, quando dentro dos padrões de normalidade são definidos de acordo com as alterações do sistema nervoso autônomo (SNA) sobre o nodo sinusal. Pessoas com diagnóstico de FM desenvolvem alteração no sistema de resposta frente a algo que gera estresse, esse sistema é formado pelo eixo hipotalâmico-</w:t>
      </w:r>
      <w:proofErr w:type="spellStart"/>
      <w:r w:rsidRPr="006D6934">
        <w:rPr>
          <w:rFonts w:ascii="Calibri" w:hAnsi="Calibri" w:cs="Calibri"/>
          <w:bCs/>
          <w:color w:val="auto"/>
        </w:rPr>
        <w:t>pituário</w:t>
      </w:r>
      <w:proofErr w:type="spellEnd"/>
      <w:r w:rsidRPr="006D6934">
        <w:rPr>
          <w:rFonts w:ascii="Calibri" w:hAnsi="Calibri" w:cs="Calibri"/>
          <w:bCs/>
          <w:color w:val="auto"/>
        </w:rPr>
        <w:t xml:space="preserve">-adrenal (HPA) e pelo sistema nervoso autonômico (MARTINEZ-LAVIN et al, 1998). </w:t>
      </w:r>
    </w:p>
    <w:p w14:paraId="13890277"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No ano 2000, Martinez-</w:t>
      </w:r>
      <w:proofErr w:type="spellStart"/>
      <w:r w:rsidRPr="006D6934">
        <w:rPr>
          <w:rFonts w:ascii="Calibri" w:hAnsi="Calibri" w:cs="Calibri"/>
          <w:bCs/>
          <w:color w:val="auto"/>
        </w:rPr>
        <w:t>Lavin</w:t>
      </w:r>
      <w:proofErr w:type="spellEnd"/>
      <w:r w:rsidRPr="006D6934">
        <w:rPr>
          <w:rFonts w:ascii="Calibri" w:hAnsi="Calibri" w:cs="Calibri"/>
          <w:bCs/>
          <w:color w:val="auto"/>
        </w:rPr>
        <w:t xml:space="preserve"> e </w:t>
      </w:r>
      <w:proofErr w:type="spellStart"/>
      <w:r w:rsidRPr="006D6934">
        <w:rPr>
          <w:rFonts w:ascii="Calibri" w:hAnsi="Calibri" w:cs="Calibri"/>
          <w:bCs/>
          <w:color w:val="auto"/>
        </w:rPr>
        <w:t>Hermosillo</w:t>
      </w:r>
      <w:proofErr w:type="spellEnd"/>
      <w:r w:rsidRPr="006D6934">
        <w:rPr>
          <w:rFonts w:ascii="Calibri" w:hAnsi="Calibri" w:cs="Calibri"/>
          <w:bCs/>
          <w:color w:val="auto"/>
        </w:rPr>
        <w:t>, relataram em um estudo que a disfunção autonômica (alteração no controle da resposta ao estresse) ou a modificação do ritmo circadiano, é amplamente encontrada em pessoas com FM e acontecem em razão de um constante aumento da atividade do SNA juntamente com uma baixa reatividade</w:t>
      </w:r>
      <w:r w:rsidR="0005028D" w:rsidRPr="006D6934">
        <w:rPr>
          <w:rFonts w:ascii="Calibri" w:hAnsi="Calibri" w:cs="Calibri"/>
          <w:bCs/>
          <w:color w:val="auto"/>
        </w:rPr>
        <w:t xml:space="preserve"> a fatores que causam estresse.</w:t>
      </w:r>
    </w:p>
    <w:p w14:paraId="17BA0D67" w14:textId="0A304901"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Mudanças nos valores da VFC podem estar ligadas a fatores como a idade, alterações na postura, emoções e até mesmo aos períodos do ciclo circadiano (MIGLIARO eu al., 2001).</w:t>
      </w:r>
    </w:p>
    <w:p w14:paraId="57A0EB2E" w14:textId="77777777" w:rsidR="00EC16FC" w:rsidRPr="006D6934" w:rsidRDefault="00EC16FC" w:rsidP="00E47E39">
      <w:pPr>
        <w:spacing w:line="276" w:lineRule="auto"/>
        <w:jc w:val="both"/>
        <w:rPr>
          <w:rFonts w:ascii="Calibri" w:hAnsi="Calibri" w:cs="Calibri"/>
          <w:bCs/>
          <w:color w:val="auto"/>
        </w:rPr>
      </w:pPr>
    </w:p>
    <w:p w14:paraId="536B2E7C" w14:textId="170D665E"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FISIOTERAPIA NA FIBROMIALGIA</w:t>
      </w:r>
    </w:p>
    <w:p w14:paraId="51E31EAB" w14:textId="77777777" w:rsidR="00EC16FC" w:rsidRPr="006D6934" w:rsidRDefault="00EC16FC" w:rsidP="00E47E39">
      <w:pPr>
        <w:spacing w:line="276" w:lineRule="auto"/>
        <w:jc w:val="both"/>
        <w:rPr>
          <w:rFonts w:ascii="Calibri" w:hAnsi="Calibri" w:cs="Calibri"/>
          <w:bCs/>
          <w:color w:val="auto"/>
        </w:rPr>
      </w:pPr>
    </w:p>
    <w:p w14:paraId="111C54E0" w14:textId="77777777"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fisioterapia tem como objetivo aliviar a dor, melhorar a condição musculoesquelética, melhorar o condicionamento cardiorrespiratório e melhorar a qualidade de vida das pessoas com fibromialgia (GUR, A., 2006).</w:t>
      </w:r>
    </w:p>
    <w:p w14:paraId="7B3617AA" w14:textId="77777777" w:rsidR="0005028D"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lastRenderedPageBreak/>
        <w:t>Ao longo do tratamento, a fisioterapia utiliza recursos analgésicos como a termoterapia, correntes analgésicas, fototerapia, terapias manuais, cinesioterapia, ent</w:t>
      </w:r>
      <w:r w:rsidR="0005028D" w:rsidRPr="006D6934">
        <w:rPr>
          <w:rFonts w:ascii="Calibri" w:hAnsi="Calibri" w:cs="Calibri"/>
          <w:bCs/>
          <w:color w:val="auto"/>
        </w:rPr>
        <w:t>re outros (MARIA et al., 2018).</w:t>
      </w:r>
    </w:p>
    <w:p w14:paraId="475F81C2"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A população que tem diagnóstico de fibromialgia, em sua maioria, apresenta dor, rigidez e fadiga, que em alguns casos acontece até mesmo em atividades de vida diária, além de apresentarem uma diminuição da aptidão física, que se manifesta pela redução da capacidade em fazer exercícios físicos. A cinesioterapia é muito importante para que haja um aumento da tolerância à atividade física pela pessoa. A melhoria do bem-estar, redução da dor nos tender points das pessoas é o resultado mais evidente conseguido com os exercícios </w:t>
      </w:r>
      <w:proofErr w:type="spellStart"/>
      <w:r w:rsidRPr="006D6934">
        <w:rPr>
          <w:rFonts w:ascii="Calibri" w:hAnsi="Calibri" w:cs="Calibri"/>
          <w:bCs/>
          <w:color w:val="auto"/>
        </w:rPr>
        <w:t>cinesioterapêuticos</w:t>
      </w:r>
      <w:proofErr w:type="spellEnd"/>
      <w:r w:rsidRPr="006D6934">
        <w:rPr>
          <w:rFonts w:ascii="Calibri" w:hAnsi="Calibri" w:cs="Calibri"/>
          <w:bCs/>
          <w:color w:val="auto"/>
        </w:rPr>
        <w:t xml:space="preserve"> (BUSCH et al., 2008).</w:t>
      </w:r>
    </w:p>
    <w:p w14:paraId="072CFA5F"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Hidroterapia também é um recurso utilizado pela fisioterapia, onde são realizados exercícios físicos e de relaxamento, em imersão corporal com água em temperatura morna. (SACCHELLI et al., 2007).  A água da piscina possui uma temperatura que chega por volta de 33 a 35ºC quando exercícios físicos leves/moderados e de relaxamento forem realizados. (DE ANDRADE et al., 2008). O contato que a água morna exerce com o corpo, provoca um aumento de beta-endorfinas em níveis plasmáticos, o que resulta em redução do quadro álgico e causa efeitos antiespasmódicos no corpo das pessoas (KULSHRESHTHA et al., 2013; STAUD et al</w:t>
      </w:r>
      <w:r w:rsidR="0005028D" w:rsidRPr="006D6934">
        <w:rPr>
          <w:rFonts w:ascii="Calibri" w:hAnsi="Calibri" w:cs="Calibri"/>
          <w:bCs/>
          <w:color w:val="auto"/>
        </w:rPr>
        <w:t xml:space="preserve">., 2010; ORTEGA et al., 2009). </w:t>
      </w:r>
    </w:p>
    <w:p w14:paraId="37C98C58"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A eletroterapia, termoterapia e fototerapia são recursos que utilizam variadas formas de energia física como a energia térmica, elétrica ou luminosa especialmente com o objetivo de reduzir o quadro álgico, por essa razão, a eletrotermofototerapia é amplamente utilizada na prática clínica como tratamento para distúrbios musculoesqueléticos (RICCI, DIAS, DRIUSSO, 2010), pois é capaz de ativar diversos mecanismos neurofisiológicos que irão variar de acordo com os parâmetros utilizados nos recursos como o tipo, frequência, duração e intensidade dos estímulos (WALL, 1978). Fisiologicamente, a energia física é capaz de modificar o sistema sensorial </w:t>
      </w:r>
      <w:r w:rsidR="0005028D" w:rsidRPr="006D6934">
        <w:rPr>
          <w:rFonts w:ascii="Calibri" w:hAnsi="Calibri" w:cs="Calibri"/>
          <w:bCs/>
          <w:color w:val="auto"/>
        </w:rPr>
        <w:t xml:space="preserve">(CASALE, SARZI-PUTTINI, 2012). </w:t>
      </w:r>
    </w:p>
    <w:p w14:paraId="2E66798C"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 xml:space="preserve">Quando utilizada, a eletrotermofototerapia é capaz de promover uma estimulação </w:t>
      </w:r>
      <w:proofErr w:type="spellStart"/>
      <w:r w:rsidRPr="006D6934">
        <w:rPr>
          <w:rFonts w:ascii="Calibri" w:hAnsi="Calibri" w:cs="Calibri"/>
          <w:bCs/>
          <w:color w:val="auto"/>
        </w:rPr>
        <w:t>exteroceptiva</w:t>
      </w:r>
      <w:proofErr w:type="spellEnd"/>
      <w:r w:rsidRPr="006D6934">
        <w:rPr>
          <w:rFonts w:ascii="Calibri" w:hAnsi="Calibri" w:cs="Calibri"/>
          <w:bCs/>
          <w:color w:val="auto"/>
        </w:rPr>
        <w:t xml:space="preserve"> que serão percebidas com sensações leves, progredindo para mais intensas. A sensação leve deve ser a primeira, onde ativa fibras nervosas aferentes mielinizadas de diâmetros maiores, que representa a forma mais importante no controle da dor a nível de medula espinhal, a chamada comporta da dor (WALL, 1978). A sensação mais intensa que deve ser a segunda sentida, ativa formas de energia física que, em sua maioria iniciam o sistema de controle nociceptivo de inibição descendente (HEINRICHER et al., 2009). As duas formas ativam o sistema de opio</w:t>
      </w:r>
      <w:r w:rsidR="0005028D" w:rsidRPr="006D6934">
        <w:rPr>
          <w:rFonts w:ascii="Calibri" w:hAnsi="Calibri" w:cs="Calibri"/>
          <w:bCs/>
          <w:color w:val="auto"/>
        </w:rPr>
        <w:t xml:space="preserve">ides endógenos (DACHER, 2011). </w:t>
      </w:r>
    </w:p>
    <w:p w14:paraId="205F3069" w14:textId="2C51C3C8"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terapia manual fornece uma maior interação entre profissional e indivíduo. São utilizadas técnicas aplicadas sobre tecidos musculares, conjuntivos e ósseos que tem como propósito estimular propriedades fisiológicas e psicológicas, possibilitando relaxamento muscular, melhora da circulação sanguínea e liberação de pontos gatilhos (LIPTAN et al, 2012; YUAN et al, 2013; MARQUES et al 2002). A massagem é uma técnica utilizada com o intuito de diminuir a dor, promover alívio e relaxamento (GONDIM; ALMEIDA, 2017). Outro recurso aplicado é a liberação miofascial que tem como objetivo promover melhora da dor e da funcionalidade (BARNES, 1997).</w:t>
      </w:r>
    </w:p>
    <w:p w14:paraId="7ED0FDF6" w14:textId="77777777" w:rsidR="00EC16FC" w:rsidRPr="006D6934" w:rsidRDefault="00EC16FC" w:rsidP="00E47E39">
      <w:pPr>
        <w:spacing w:line="276" w:lineRule="auto"/>
        <w:jc w:val="both"/>
        <w:rPr>
          <w:rFonts w:ascii="Calibri" w:hAnsi="Calibri" w:cs="Calibri"/>
          <w:bCs/>
          <w:color w:val="auto"/>
        </w:rPr>
      </w:pPr>
    </w:p>
    <w:p w14:paraId="32ABD40F" w14:textId="0FCFE815"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Massagem Clássica Relaxante</w:t>
      </w:r>
    </w:p>
    <w:p w14:paraId="04F30983" w14:textId="77777777" w:rsidR="00EC16FC" w:rsidRPr="006D6934" w:rsidRDefault="00EC16FC" w:rsidP="00E47E39">
      <w:pPr>
        <w:spacing w:line="276" w:lineRule="auto"/>
        <w:jc w:val="both"/>
        <w:rPr>
          <w:rFonts w:ascii="Calibri" w:hAnsi="Calibri" w:cs="Calibri"/>
          <w:bCs/>
          <w:color w:val="auto"/>
        </w:rPr>
      </w:pPr>
    </w:p>
    <w:p w14:paraId="4E4DEF49" w14:textId="77777777" w:rsidR="0005028D"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As técnicas de massagem clássica têm como efeito principal em pessoas com fibromialgia o relaxamento, alívio de dor, diminuição da hipersensibilidade, alongamento dos tecidos, melhora da circulação sanguínea e redução do acúmulo de toxinas e metabólicos (MARQUES, A.P. et al, 2014).</w:t>
      </w:r>
    </w:p>
    <w:p w14:paraId="05980CB6" w14:textId="77777777" w:rsidR="001033D0"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técnica de deslizamento superficial permite o relaxamento, alívio da dor, e a diminuição da hipersensibilidade com toque suave na pele do indivíduo. Já a técnica de deslizamento profundo tem funções inibitórias que promove relaxamento dos músculos e diminuição das contrações. Essa técnica é benéfica para o alongamento dos tecidos tensos e permite também o rompimento de aderências entre as fibras musculares. Compressão e amassamento são manobras que auxiliam no alívio de sintomas álgicos, no alongamento muscular, liberação de aderências, melhora da circulação e diminuição de edem</w:t>
      </w:r>
      <w:r w:rsidR="001033D0" w:rsidRPr="006D6934">
        <w:rPr>
          <w:rFonts w:ascii="Calibri" w:hAnsi="Calibri" w:cs="Calibri"/>
          <w:bCs/>
          <w:color w:val="auto"/>
        </w:rPr>
        <w:t>as (CASSAR, 2001).</w:t>
      </w:r>
    </w:p>
    <w:p w14:paraId="63FCC491" w14:textId="047CCD9A" w:rsidR="00EC16FC"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O melhoramento da circulação sanguínea e a redução de acúmulo de toxinas e metabólicos são alcançados através do conjunto de técnicas aplicadas como um todo na</w:t>
      </w:r>
      <w:r w:rsidR="001033D0" w:rsidRPr="006D6934">
        <w:rPr>
          <w:rFonts w:ascii="Calibri" w:hAnsi="Calibri" w:cs="Calibri"/>
          <w:bCs/>
          <w:color w:val="auto"/>
        </w:rPr>
        <w:t xml:space="preserve">s pessoas (MARIA et al., 2018). </w:t>
      </w:r>
      <w:r w:rsidRPr="006D6934">
        <w:rPr>
          <w:rFonts w:ascii="Calibri" w:hAnsi="Calibri" w:cs="Calibri"/>
          <w:bCs/>
          <w:color w:val="auto"/>
        </w:rPr>
        <w:t xml:space="preserve">É importante ressaltar que </w:t>
      </w:r>
      <w:r w:rsidRPr="006D6934">
        <w:rPr>
          <w:rFonts w:ascii="Calibri" w:hAnsi="Calibri" w:cs="Calibri"/>
          <w:bCs/>
          <w:color w:val="auto"/>
        </w:rPr>
        <w:lastRenderedPageBreak/>
        <w:t>todas as técnicas de massagem clássica aplicadas respeitam o limiar de dor e sensibilidade de cada pessoa (CASSAR, 2001).</w:t>
      </w:r>
    </w:p>
    <w:p w14:paraId="730DD51A" w14:textId="77777777" w:rsidR="00EC16FC" w:rsidRPr="006D6934" w:rsidRDefault="00EC16FC" w:rsidP="00E47E39">
      <w:pPr>
        <w:spacing w:line="276" w:lineRule="auto"/>
        <w:jc w:val="both"/>
        <w:rPr>
          <w:rFonts w:ascii="Calibri" w:hAnsi="Calibri" w:cs="Calibri"/>
          <w:bCs/>
          <w:color w:val="auto"/>
        </w:rPr>
      </w:pPr>
    </w:p>
    <w:p w14:paraId="74B52BE5" w14:textId="3F29E032" w:rsidR="00EC16FC" w:rsidRPr="006D6934" w:rsidRDefault="00EC16FC" w:rsidP="00E47E39">
      <w:pPr>
        <w:spacing w:line="276" w:lineRule="auto"/>
        <w:jc w:val="both"/>
        <w:rPr>
          <w:rFonts w:ascii="Calibri" w:hAnsi="Calibri" w:cs="Calibri"/>
          <w:bCs/>
          <w:color w:val="auto"/>
        </w:rPr>
      </w:pPr>
      <w:r w:rsidRPr="006D6934">
        <w:rPr>
          <w:rFonts w:ascii="Calibri" w:hAnsi="Calibri" w:cs="Calibri"/>
          <w:bCs/>
          <w:color w:val="auto"/>
        </w:rPr>
        <w:t>Liberação Miofascial</w:t>
      </w:r>
    </w:p>
    <w:p w14:paraId="6561EE25" w14:textId="77777777" w:rsidR="00EC16FC" w:rsidRPr="006D6934" w:rsidRDefault="00EC16FC" w:rsidP="00E47E39">
      <w:pPr>
        <w:spacing w:line="276" w:lineRule="auto"/>
        <w:jc w:val="both"/>
        <w:rPr>
          <w:rFonts w:ascii="Calibri" w:hAnsi="Calibri" w:cs="Calibri"/>
          <w:bCs/>
          <w:color w:val="auto"/>
        </w:rPr>
      </w:pPr>
    </w:p>
    <w:p w14:paraId="3B0933E1" w14:textId="77777777" w:rsidR="001033D0"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Liberação Miofascial (LM) é uma técnica de terapia manual, realizada por profissionais, com o objetivo de amenizar as aderências que causam restrições funcionais (KUMKA, BONAR, 2012; DIXON, 2007), recuperar a amplitude de movimento e promover diminuição da dor (BARNES, 2003; MOURAD, 2005). As técnicas de liberação miofascial podem ser feitas com a utilização das mãos, dedos, cotovelos ou objetos pró</w:t>
      </w:r>
      <w:r w:rsidR="001033D0" w:rsidRPr="006D6934">
        <w:rPr>
          <w:rFonts w:ascii="Calibri" w:hAnsi="Calibri" w:cs="Calibri"/>
          <w:bCs/>
          <w:color w:val="auto"/>
        </w:rPr>
        <w:t>prios (STECCO, C. et al, 2007).</w:t>
      </w:r>
    </w:p>
    <w:p w14:paraId="79992F8E" w14:textId="77777777" w:rsidR="001033D0"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A fáscia reveste todas as estruturas corporais. Tem como função proteger, sustentar, unir e promover deslizamento dos tecidos (CHEATHAM, S.W. et al, 2015). Quando há fatores de estresse diretos ou indiretos, a fáscia pode se tornar encurtada. Formará linhas de tensão sobre regiões do corpo, o que ocasionará dor e incômodo (CASSAR</w:t>
      </w:r>
      <w:r w:rsidR="001033D0" w:rsidRPr="006D6934">
        <w:rPr>
          <w:rFonts w:ascii="Calibri" w:hAnsi="Calibri" w:cs="Calibri"/>
          <w:bCs/>
          <w:color w:val="auto"/>
        </w:rPr>
        <w:t>, 2001).</w:t>
      </w:r>
    </w:p>
    <w:p w14:paraId="33049634" w14:textId="77777777" w:rsidR="001033D0"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Na Liberação Miofascial, são utilizados estímulos para manejar o complexo miofascial, promovendo alongamento progressivo do tecido mole e resposta do paciente por meio de feedback para determinar a pressão, duração e direção das técnicas (MANHEIM,</w:t>
      </w:r>
      <w:r w:rsidR="001033D0" w:rsidRPr="006D6934">
        <w:rPr>
          <w:rFonts w:ascii="Calibri" w:hAnsi="Calibri" w:cs="Calibri"/>
          <w:bCs/>
          <w:color w:val="auto"/>
        </w:rPr>
        <w:t xml:space="preserve"> 2008).</w:t>
      </w:r>
    </w:p>
    <w:p w14:paraId="640098E0" w14:textId="260FDFFB" w:rsidR="00701E7F" w:rsidRPr="006D6934" w:rsidRDefault="00EC16FC" w:rsidP="00E47E39">
      <w:pPr>
        <w:spacing w:line="276" w:lineRule="auto"/>
        <w:ind w:firstLine="708"/>
        <w:jc w:val="both"/>
        <w:rPr>
          <w:rFonts w:ascii="Calibri" w:hAnsi="Calibri" w:cs="Calibri"/>
          <w:bCs/>
          <w:color w:val="auto"/>
        </w:rPr>
      </w:pPr>
      <w:r w:rsidRPr="006D6934">
        <w:rPr>
          <w:rFonts w:ascii="Calibri" w:hAnsi="Calibri" w:cs="Calibri"/>
          <w:bCs/>
          <w:color w:val="auto"/>
        </w:rPr>
        <w:t>Quando a liberação miofascial é realizada, há um rompimento de aderências na fáscia, por meio da associação entre as técnicas de liberação, a tração manual e alon</w:t>
      </w:r>
      <w:r w:rsidR="001033D0" w:rsidRPr="006D6934">
        <w:rPr>
          <w:rFonts w:ascii="Calibri" w:hAnsi="Calibri" w:cs="Calibri"/>
          <w:bCs/>
          <w:color w:val="auto"/>
        </w:rPr>
        <w:t xml:space="preserve">gamentos (LIPTAN et al., 2012). </w:t>
      </w:r>
      <w:r w:rsidRPr="006D6934">
        <w:rPr>
          <w:rFonts w:ascii="Calibri" w:hAnsi="Calibri" w:cs="Calibri"/>
          <w:bCs/>
          <w:color w:val="auto"/>
        </w:rPr>
        <w:t>As técnicas de liberação miofascial causam alterações benéficas maiores em curto, médio e longo prazo com relação à redução da dor e os sintomas somáticos advindos da doença. (LIPTAN et al.,2012; CASTRO-SÁNCHEZ et al., 2011).</w:t>
      </w:r>
    </w:p>
    <w:p w14:paraId="12C1A8EB" w14:textId="77777777" w:rsidR="00EC16FC" w:rsidRPr="006D6934" w:rsidRDefault="00EC16FC">
      <w:pPr>
        <w:spacing w:line="276" w:lineRule="auto"/>
        <w:rPr>
          <w:rFonts w:ascii="Calibri" w:hAnsi="Calibri" w:cs="Calibri"/>
          <w:bCs/>
          <w:color w:val="auto"/>
        </w:rPr>
      </w:pPr>
    </w:p>
    <w:p w14:paraId="05F5AB4F" w14:textId="77777777" w:rsidR="00701E7F" w:rsidRPr="006D6934" w:rsidRDefault="00EC3554">
      <w:pPr>
        <w:spacing w:line="276" w:lineRule="auto"/>
        <w:rPr>
          <w:rFonts w:ascii="Calibri" w:hAnsi="Calibri" w:cs="Calibri"/>
          <w:color w:val="auto"/>
          <w:sz w:val="16"/>
          <w:szCs w:val="16"/>
        </w:rPr>
      </w:pPr>
      <w:r w:rsidRPr="006D6934">
        <w:rPr>
          <w:rFonts w:ascii="Calibri" w:hAnsi="Calibri" w:cs="Calibri"/>
          <w:b/>
          <w:color w:val="auto"/>
        </w:rPr>
        <w:t>2) RELEVÂNCIA CIENTÍFICA/SOCIAL</w:t>
      </w:r>
    </w:p>
    <w:p w14:paraId="4316C833" w14:textId="77777777" w:rsidR="00235999" w:rsidRPr="006D6934" w:rsidRDefault="00235999">
      <w:pPr>
        <w:spacing w:line="276" w:lineRule="auto"/>
        <w:rPr>
          <w:rFonts w:ascii="Calibri" w:hAnsi="Calibri" w:cs="Calibri"/>
          <w:color w:val="auto"/>
        </w:rPr>
      </w:pPr>
    </w:p>
    <w:p w14:paraId="5C0B3700" w14:textId="4F3DBCD9" w:rsidR="00235999" w:rsidRPr="006D6934" w:rsidRDefault="00235999" w:rsidP="003C60CD">
      <w:pPr>
        <w:spacing w:line="276" w:lineRule="auto"/>
        <w:jc w:val="both"/>
        <w:rPr>
          <w:rFonts w:ascii="Calibri" w:hAnsi="Calibri" w:cs="Calibri"/>
          <w:color w:val="auto"/>
        </w:rPr>
      </w:pPr>
      <w:r w:rsidRPr="006D6934">
        <w:rPr>
          <w:rFonts w:ascii="Calibri" w:hAnsi="Calibri" w:cs="Calibri"/>
          <w:color w:val="auto"/>
        </w:rPr>
        <w:tab/>
        <w:t>Tendo em vista o que foi exposto no texto, a FM é um grave problema de saúde publica que cursa com dor muscular crônica e que evolui com episódios recorrentes de agudização. Desse modo, os pacientes acometidos com FM evoluem com baixa qualidade de vida, alteração no quadro psicológico, com redução da interação familiar e social. Desse modo, tornam-se importantes estudos que buscam estabelecer novos protocolos de tratamento para aliar o quadro álgico de indivíduos com FM.</w:t>
      </w:r>
    </w:p>
    <w:p w14:paraId="3BEEFA40" w14:textId="586F8E3D" w:rsidR="00701E7F" w:rsidRPr="006D6934" w:rsidRDefault="00235999" w:rsidP="003C60CD">
      <w:pPr>
        <w:spacing w:line="276" w:lineRule="auto"/>
        <w:jc w:val="both"/>
        <w:rPr>
          <w:rFonts w:ascii="Calibri" w:hAnsi="Calibri" w:cs="Calibri"/>
          <w:color w:val="auto"/>
        </w:rPr>
      </w:pPr>
      <w:r w:rsidRPr="006D6934">
        <w:rPr>
          <w:rFonts w:ascii="Calibri" w:hAnsi="Calibri" w:cs="Calibri"/>
          <w:color w:val="auto"/>
        </w:rPr>
        <w:tab/>
        <w:t xml:space="preserve">O presente estudo apresenta importante relevância social e científica pois busca padronizar </w:t>
      </w:r>
      <w:r w:rsidR="003C60CD" w:rsidRPr="006D6934">
        <w:rPr>
          <w:rFonts w:ascii="Calibri" w:hAnsi="Calibri" w:cs="Calibri"/>
          <w:color w:val="auto"/>
        </w:rPr>
        <w:t>técnicas</w:t>
      </w:r>
      <w:r w:rsidRPr="006D6934">
        <w:rPr>
          <w:rFonts w:ascii="Calibri" w:hAnsi="Calibri" w:cs="Calibri"/>
          <w:color w:val="auto"/>
        </w:rPr>
        <w:t xml:space="preserve"> conhecidas por seus benefícios no tratamento de dor e relaxamento em diferentes patologias. Sendo assim, é plausível considerar o que presente estudo proporcionar à pessoa</w:t>
      </w:r>
      <w:r w:rsidR="00025269" w:rsidRPr="006D6934">
        <w:rPr>
          <w:rFonts w:ascii="Calibri" w:hAnsi="Calibri" w:cs="Calibri"/>
          <w:color w:val="auto"/>
        </w:rPr>
        <w:t xml:space="preserve"> com FM</w:t>
      </w:r>
      <w:r w:rsidRPr="006D6934">
        <w:rPr>
          <w:rFonts w:ascii="Calibri" w:hAnsi="Calibri" w:cs="Calibri"/>
          <w:color w:val="auto"/>
        </w:rPr>
        <w:t xml:space="preserve"> melhora do quadro álgico, qualidade de vida e qualidade do sono. Por fim, novas hipóteses de investigação surgirão com os resultados do presente estudo, levando em consideração a complexidade da doença e a possibilidade de aplicação de novas técnicas de terapia manual.</w:t>
      </w:r>
    </w:p>
    <w:p w14:paraId="2E5D0F0A" w14:textId="77777777" w:rsidR="00235999" w:rsidRPr="006D6934" w:rsidRDefault="00235999">
      <w:pPr>
        <w:spacing w:line="276" w:lineRule="auto"/>
        <w:rPr>
          <w:rFonts w:ascii="Calibri" w:hAnsi="Calibri" w:cs="Calibri"/>
          <w:color w:val="auto"/>
        </w:rPr>
      </w:pPr>
    </w:p>
    <w:p w14:paraId="5A033992" w14:textId="77777777" w:rsidR="00701E7F" w:rsidRPr="006D6934" w:rsidRDefault="00EC3554">
      <w:pPr>
        <w:spacing w:line="276" w:lineRule="auto"/>
        <w:rPr>
          <w:rFonts w:ascii="Calibri" w:hAnsi="Calibri" w:cs="Calibri"/>
          <w:color w:val="auto"/>
          <w:sz w:val="16"/>
          <w:szCs w:val="16"/>
        </w:rPr>
      </w:pPr>
      <w:r w:rsidRPr="006D6934">
        <w:rPr>
          <w:rFonts w:ascii="Calibri" w:hAnsi="Calibri" w:cs="Calibri"/>
          <w:b/>
          <w:color w:val="auto"/>
        </w:rPr>
        <w:t>3) OBJETIVO(S)</w:t>
      </w:r>
    </w:p>
    <w:p w14:paraId="3726ACD2" w14:textId="77777777" w:rsidR="00701E7F" w:rsidRPr="006D6934" w:rsidRDefault="00701E7F">
      <w:pPr>
        <w:spacing w:line="276" w:lineRule="auto"/>
        <w:rPr>
          <w:rFonts w:ascii="Calibri" w:hAnsi="Calibri" w:cs="Calibri"/>
          <w:b/>
          <w:color w:val="auto"/>
          <w:sz w:val="16"/>
          <w:szCs w:val="16"/>
        </w:rPr>
      </w:pPr>
    </w:p>
    <w:p w14:paraId="2A04B706" w14:textId="49E1506B" w:rsidR="00D4541C" w:rsidRPr="006D6934" w:rsidRDefault="00D4541C" w:rsidP="00D4541C">
      <w:pPr>
        <w:spacing w:line="276" w:lineRule="auto"/>
        <w:jc w:val="both"/>
        <w:rPr>
          <w:rFonts w:ascii="Calibri" w:hAnsi="Calibri" w:cs="Calibri"/>
          <w:color w:val="auto"/>
        </w:rPr>
      </w:pPr>
      <w:r w:rsidRPr="006D6934">
        <w:rPr>
          <w:rFonts w:ascii="Calibri" w:hAnsi="Calibri" w:cs="Calibri"/>
          <w:color w:val="auto"/>
        </w:rPr>
        <w:t>OBJETIVO GERAL</w:t>
      </w:r>
    </w:p>
    <w:p w14:paraId="11EE2478" w14:textId="77777777" w:rsidR="00D4541C" w:rsidRPr="006D6934" w:rsidRDefault="00D4541C" w:rsidP="00D4541C">
      <w:pPr>
        <w:spacing w:line="276" w:lineRule="auto"/>
        <w:jc w:val="both"/>
        <w:rPr>
          <w:rFonts w:ascii="Calibri" w:hAnsi="Calibri" w:cs="Calibri"/>
          <w:color w:val="auto"/>
        </w:rPr>
      </w:pPr>
    </w:p>
    <w:p w14:paraId="77F9C76A" w14:textId="430F99F7" w:rsidR="00D4541C" w:rsidRPr="006D6934" w:rsidRDefault="00D4541C" w:rsidP="00D4541C">
      <w:pPr>
        <w:spacing w:line="276" w:lineRule="auto"/>
        <w:ind w:firstLine="708"/>
        <w:jc w:val="both"/>
        <w:rPr>
          <w:rFonts w:ascii="Calibri" w:hAnsi="Calibri" w:cs="Calibri"/>
          <w:color w:val="auto"/>
        </w:rPr>
      </w:pPr>
      <w:r w:rsidRPr="006D6934">
        <w:rPr>
          <w:rFonts w:ascii="Calibri" w:hAnsi="Calibri" w:cs="Calibri"/>
          <w:color w:val="auto"/>
        </w:rPr>
        <w:t xml:space="preserve">O objetivo do presente estudo é avaliar a influência da massagem clássica relaxante e de técnicas de liberação miofascial sobre os sintomas álgicos, qualidade de vida e do sono, capacidade física e variabilidade </w:t>
      </w:r>
      <w:r w:rsidR="00C54F8C" w:rsidRPr="006D6934">
        <w:rPr>
          <w:rFonts w:ascii="Calibri" w:hAnsi="Calibri" w:cs="Calibri"/>
          <w:color w:val="auto"/>
        </w:rPr>
        <w:t>da frequência cardíaca de mulheres</w:t>
      </w:r>
      <w:r w:rsidRPr="006D6934">
        <w:rPr>
          <w:rFonts w:ascii="Calibri" w:hAnsi="Calibri" w:cs="Calibri"/>
          <w:color w:val="auto"/>
        </w:rPr>
        <w:t xml:space="preserve"> com diagnóstico de fibromialgia.</w:t>
      </w:r>
    </w:p>
    <w:p w14:paraId="446413B6" w14:textId="77777777" w:rsidR="00D4541C" w:rsidRPr="006D6934" w:rsidRDefault="00D4541C" w:rsidP="00D4541C">
      <w:pPr>
        <w:spacing w:line="276" w:lineRule="auto"/>
        <w:jc w:val="both"/>
        <w:rPr>
          <w:rFonts w:ascii="Calibri" w:hAnsi="Calibri" w:cs="Calibri"/>
          <w:color w:val="auto"/>
        </w:rPr>
      </w:pPr>
    </w:p>
    <w:p w14:paraId="4E54FDAA" w14:textId="32719C05" w:rsidR="00D4541C" w:rsidRPr="006D6934" w:rsidRDefault="00D4541C" w:rsidP="00D4541C">
      <w:pPr>
        <w:spacing w:line="276" w:lineRule="auto"/>
        <w:jc w:val="both"/>
        <w:rPr>
          <w:rFonts w:ascii="Calibri" w:hAnsi="Calibri" w:cs="Calibri"/>
          <w:color w:val="auto"/>
        </w:rPr>
      </w:pPr>
      <w:r w:rsidRPr="006D6934">
        <w:rPr>
          <w:rFonts w:ascii="Calibri" w:hAnsi="Calibri" w:cs="Calibri"/>
          <w:color w:val="auto"/>
        </w:rPr>
        <w:t>OBJETIVOS ESPECÍFICOS</w:t>
      </w:r>
    </w:p>
    <w:p w14:paraId="2D9446B7" w14:textId="77777777" w:rsidR="00D4541C" w:rsidRPr="006D6934" w:rsidRDefault="00D4541C" w:rsidP="00D4541C">
      <w:pPr>
        <w:spacing w:line="276" w:lineRule="auto"/>
        <w:jc w:val="both"/>
        <w:rPr>
          <w:rFonts w:ascii="Calibri" w:hAnsi="Calibri" w:cs="Calibri"/>
          <w:color w:val="auto"/>
        </w:rPr>
      </w:pPr>
    </w:p>
    <w:p w14:paraId="2C6999CC" w14:textId="4DB66D79" w:rsidR="00D4541C" w:rsidRPr="006D6934" w:rsidRDefault="00D4541C" w:rsidP="00D4541C">
      <w:pPr>
        <w:pStyle w:val="PargrafodaLista"/>
        <w:numPr>
          <w:ilvl w:val="0"/>
          <w:numId w:val="4"/>
        </w:numPr>
        <w:spacing w:line="276" w:lineRule="auto"/>
        <w:jc w:val="both"/>
        <w:rPr>
          <w:rFonts w:ascii="Calibri" w:hAnsi="Calibri" w:cs="Calibri"/>
          <w:color w:val="auto"/>
        </w:rPr>
      </w:pPr>
      <w:r w:rsidRPr="006D6934">
        <w:rPr>
          <w:rFonts w:ascii="Calibri" w:hAnsi="Calibri" w:cs="Calibri"/>
          <w:color w:val="auto"/>
        </w:rPr>
        <w:lastRenderedPageBreak/>
        <w:t>Avaliar o efeito da aplicação combinada das técnicas de massagem relaxante e liberação miofascial, em indivíduos com FM;</w:t>
      </w:r>
    </w:p>
    <w:p w14:paraId="6A3DED3D" w14:textId="262A6145" w:rsidR="00D4541C" w:rsidRPr="00862E45" w:rsidRDefault="00D4541C" w:rsidP="00D4541C">
      <w:pPr>
        <w:pStyle w:val="PargrafodaLista"/>
        <w:numPr>
          <w:ilvl w:val="0"/>
          <w:numId w:val="4"/>
        </w:numPr>
        <w:spacing w:line="276" w:lineRule="auto"/>
        <w:jc w:val="both"/>
        <w:rPr>
          <w:rFonts w:ascii="Calibri" w:hAnsi="Calibri" w:cs="Calibri"/>
          <w:color w:val="auto"/>
        </w:rPr>
      </w:pPr>
      <w:r w:rsidRPr="00862E45">
        <w:rPr>
          <w:rFonts w:ascii="Calibri" w:hAnsi="Calibri" w:cs="Calibri"/>
          <w:color w:val="auto"/>
        </w:rPr>
        <w:t xml:space="preserve">Comparar </w:t>
      </w:r>
      <w:r w:rsidR="00AB2540" w:rsidRPr="00862E45">
        <w:rPr>
          <w:rFonts w:ascii="Calibri" w:hAnsi="Calibri" w:cs="Calibri"/>
          <w:color w:val="auto"/>
        </w:rPr>
        <w:t xml:space="preserve">isoladamente </w:t>
      </w:r>
      <w:r w:rsidRPr="00862E45">
        <w:rPr>
          <w:rFonts w:ascii="Calibri" w:hAnsi="Calibri" w:cs="Calibri"/>
          <w:color w:val="auto"/>
        </w:rPr>
        <w:t>os resultados alcançados nos diferentes grupos estudados com a aplicação das técnicas</w:t>
      </w:r>
      <w:r w:rsidR="00C90045" w:rsidRPr="00862E45">
        <w:rPr>
          <w:rFonts w:ascii="Calibri" w:hAnsi="Calibri" w:cs="Calibri"/>
          <w:color w:val="auto"/>
        </w:rPr>
        <w:t xml:space="preserve"> com o Grupo Controle</w:t>
      </w:r>
      <w:r w:rsidRPr="00862E45">
        <w:rPr>
          <w:rFonts w:ascii="Calibri" w:hAnsi="Calibri" w:cs="Calibri"/>
          <w:color w:val="auto"/>
        </w:rPr>
        <w:t>;</w:t>
      </w:r>
    </w:p>
    <w:p w14:paraId="493010DA" w14:textId="23EEC914" w:rsidR="00D4541C" w:rsidRPr="006D6934" w:rsidRDefault="00D4541C" w:rsidP="00D4541C">
      <w:pPr>
        <w:pStyle w:val="PargrafodaLista"/>
        <w:numPr>
          <w:ilvl w:val="0"/>
          <w:numId w:val="4"/>
        </w:numPr>
        <w:spacing w:line="276" w:lineRule="auto"/>
        <w:jc w:val="both"/>
        <w:rPr>
          <w:rFonts w:ascii="Calibri" w:hAnsi="Calibri" w:cs="Calibri"/>
          <w:color w:val="auto"/>
        </w:rPr>
      </w:pPr>
      <w:r w:rsidRPr="006D6934">
        <w:rPr>
          <w:rFonts w:ascii="Calibri" w:hAnsi="Calibri" w:cs="Calibri"/>
          <w:color w:val="auto"/>
        </w:rPr>
        <w:t>Correlacionar os resultados das variáveis de dor, qualidade de vida, sono, capacidade física e variabilidade da frequência cardíaca.</w:t>
      </w:r>
    </w:p>
    <w:p w14:paraId="2A27CB51" w14:textId="77777777" w:rsidR="00803741" w:rsidRPr="006D6934" w:rsidRDefault="00803741" w:rsidP="00803741">
      <w:pPr>
        <w:spacing w:line="276" w:lineRule="auto"/>
        <w:jc w:val="both"/>
        <w:rPr>
          <w:rFonts w:ascii="Calibri" w:hAnsi="Calibri" w:cs="Calibri"/>
          <w:color w:val="auto"/>
        </w:rPr>
      </w:pPr>
    </w:p>
    <w:p w14:paraId="61C0B94C" w14:textId="77777777" w:rsidR="00701E7F" w:rsidRPr="006D6934" w:rsidRDefault="00EC3554">
      <w:pPr>
        <w:spacing w:line="276" w:lineRule="auto"/>
        <w:rPr>
          <w:rFonts w:ascii="Calibri" w:hAnsi="Calibri" w:cs="Calibri"/>
          <w:color w:val="auto"/>
          <w:sz w:val="16"/>
          <w:szCs w:val="16"/>
        </w:rPr>
      </w:pPr>
      <w:r w:rsidRPr="006D6934">
        <w:rPr>
          <w:rFonts w:ascii="Calibri" w:hAnsi="Calibri" w:cs="Calibri"/>
          <w:b/>
          <w:color w:val="auto"/>
        </w:rPr>
        <w:t>4) LOCAL DE REALIZAÇÃO DA PESQUISA</w:t>
      </w:r>
    </w:p>
    <w:p w14:paraId="1909CEEA" w14:textId="77777777" w:rsidR="00EE0154" w:rsidRPr="006D6934" w:rsidRDefault="00EE0154" w:rsidP="00EE0154">
      <w:pPr>
        <w:spacing w:line="276" w:lineRule="auto"/>
        <w:ind w:firstLine="708"/>
        <w:jc w:val="both"/>
        <w:rPr>
          <w:rFonts w:ascii="Calibri" w:hAnsi="Calibri" w:cs="Calibri"/>
          <w:color w:val="auto"/>
        </w:rPr>
      </w:pPr>
    </w:p>
    <w:p w14:paraId="0DA42B04" w14:textId="08A8C83C" w:rsidR="003177BE" w:rsidRPr="006D6934" w:rsidRDefault="00E51B0A" w:rsidP="00EE0154">
      <w:pPr>
        <w:spacing w:line="276" w:lineRule="auto"/>
        <w:ind w:firstLine="708"/>
        <w:jc w:val="both"/>
        <w:rPr>
          <w:rFonts w:ascii="Calibri" w:hAnsi="Calibri" w:cs="Calibri"/>
          <w:color w:val="auto"/>
        </w:rPr>
      </w:pPr>
      <w:r w:rsidRPr="006D6934">
        <w:rPr>
          <w:rFonts w:ascii="Calibri" w:hAnsi="Calibri" w:cs="Calibri"/>
          <w:color w:val="auto"/>
        </w:rPr>
        <w:t xml:space="preserve">Os </w:t>
      </w:r>
      <w:r w:rsidR="00B24FEE" w:rsidRPr="0061447A">
        <w:rPr>
          <w:rFonts w:ascii="Calibri" w:hAnsi="Calibri" w:cs="Calibri"/>
          <w:color w:val="auto"/>
        </w:rPr>
        <w:t>participantes</w:t>
      </w:r>
      <w:r w:rsidRPr="006D6934">
        <w:rPr>
          <w:rFonts w:ascii="Calibri" w:hAnsi="Calibri" w:cs="Calibri"/>
          <w:color w:val="auto"/>
        </w:rPr>
        <w:t xml:space="preserve"> serão triados do projeto de extensão desenvolvido no Laboratório de Fisioterapia em Saúde Coletiva, denominado “Atendimento fisioterapêutico coletivo a pacientes com fibromialgia”</w:t>
      </w:r>
      <w:r w:rsidR="003177BE" w:rsidRPr="006D6934">
        <w:rPr>
          <w:rFonts w:ascii="Calibri" w:hAnsi="Calibri" w:cs="Calibri"/>
          <w:color w:val="auto"/>
        </w:rPr>
        <w:t xml:space="preserve"> e estágio de Fisioterapia Reumatológica do curso de Fisioterapia da UFTM, ambos </w:t>
      </w:r>
      <w:r w:rsidRPr="006D6934">
        <w:rPr>
          <w:rFonts w:ascii="Calibri" w:hAnsi="Calibri" w:cs="Calibri"/>
          <w:color w:val="auto"/>
        </w:rPr>
        <w:t>coordenado</w:t>
      </w:r>
      <w:r w:rsidR="003177BE" w:rsidRPr="006D6934">
        <w:rPr>
          <w:rFonts w:ascii="Calibri" w:hAnsi="Calibri" w:cs="Calibri"/>
          <w:color w:val="auto"/>
        </w:rPr>
        <w:t>s</w:t>
      </w:r>
      <w:r w:rsidRPr="006D6934">
        <w:rPr>
          <w:rFonts w:ascii="Calibri" w:hAnsi="Calibri" w:cs="Calibri"/>
          <w:color w:val="auto"/>
        </w:rPr>
        <w:t xml:space="preserve"> pela Profa. Dra. Cristiane </w:t>
      </w:r>
      <w:proofErr w:type="spellStart"/>
      <w:r w:rsidRPr="006D6934">
        <w:rPr>
          <w:rFonts w:ascii="Calibri" w:hAnsi="Calibri" w:cs="Calibri"/>
          <w:color w:val="auto"/>
        </w:rPr>
        <w:t>Vitaliano</w:t>
      </w:r>
      <w:proofErr w:type="spellEnd"/>
      <w:r w:rsidRPr="006D6934">
        <w:rPr>
          <w:rFonts w:ascii="Calibri" w:hAnsi="Calibri" w:cs="Calibri"/>
          <w:color w:val="auto"/>
        </w:rPr>
        <w:t xml:space="preserve"> Graminha</w:t>
      </w:r>
      <w:r w:rsidR="003177BE" w:rsidRPr="006D6934">
        <w:rPr>
          <w:rFonts w:ascii="Calibri" w:hAnsi="Calibri" w:cs="Calibri"/>
          <w:color w:val="auto"/>
        </w:rPr>
        <w:t>.</w:t>
      </w:r>
    </w:p>
    <w:p w14:paraId="2E4C9FCB" w14:textId="77777777" w:rsidR="003177BE" w:rsidRPr="006D6934" w:rsidRDefault="003177BE" w:rsidP="00EE0154">
      <w:pPr>
        <w:spacing w:line="276" w:lineRule="auto"/>
        <w:ind w:firstLine="708"/>
        <w:jc w:val="both"/>
        <w:rPr>
          <w:rFonts w:ascii="Calibri" w:hAnsi="Calibri" w:cs="Calibri"/>
          <w:color w:val="auto"/>
        </w:rPr>
      </w:pPr>
      <w:r w:rsidRPr="006D6934">
        <w:rPr>
          <w:rFonts w:ascii="Calibri" w:hAnsi="Calibri" w:cs="Calibri"/>
          <w:color w:val="auto"/>
        </w:rPr>
        <w:t>Os procedimentos</w:t>
      </w:r>
      <w:r w:rsidR="00E51B0A" w:rsidRPr="006D6934">
        <w:rPr>
          <w:rFonts w:ascii="Calibri" w:hAnsi="Calibri" w:cs="Calibri"/>
          <w:color w:val="auto"/>
        </w:rPr>
        <w:t xml:space="preserve"> de avaliação, intervenção e reavaliação serão conduzidos no Laboratório de Exploração Funcional dos Sistemas </w:t>
      </w:r>
      <w:proofErr w:type="spellStart"/>
      <w:r w:rsidR="00E51B0A" w:rsidRPr="006D6934">
        <w:rPr>
          <w:rFonts w:ascii="Calibri" w:hAnsi="Calibri" w:cs="Calibri"/>
          <w:color w:val="auto"/>
        </w:rPr>
        <w:t>Cardipulmonar</w:t>
      </w:r>
      <w:proofErr w:type="spellEnd"/>
      <w:r w:rsidR="00E51B0A" w:rsidRPr="006D6934">
        <w:rPr>
          <w:rFonts w:ascii="Calibri" w:hAnsi="Calibri" w:cs="Calibri"/>
          <w:color w:val="auto"/>
        </w:rPr>
        <w:t xml:space="preserve"> e Metabólico, coordenado pela Profa. Dra. </w:t>
      </w:r>
      <w:proofErr w:type="spellStart"/>
      <w:r w:rsidR="00E51B0A" w:rsidRPr="006D6934">
        <w:rPr>
          <w:rFonts w:ascii="Calibri" w:hAnsi="Calibri" w:cs="Calibri"/>
          <w:color w:val="auto"/>
        </w:rPr>
        <w:t>Marilita</w:t>
      </w:r>
      <w:proofErr w:type="spellEnd"/>
      <w:r w:rsidR="00E51B0A" w:rsidRPr="006D6934">
        <w:rPr>
          <w:rFonts w:ascii="Calibri" w:hAnsi="Calibri" w:cs="Calibri"/>
          <w:color w:val="auto"/>
        </w:rPr>
        <w:t xml:space="preserve"> </w:t>
      </w:r>
      <w:proofErr w:type="spellStart"/>
      <w:r w:rsidR="00E51B0A" w:rsidRPr="006D6934">
        <w:rPr>
          <w:rFonts w:ascii="Calibri" w:hAnsi="Calibri" w:cs="Calibri"/>
          <w:color w:val="auto"/>
        </w:rPr>
        <w:t>Falangola</w:t>
      </w:r>
      <w:proofErr w:type="spellEnd"/>
      <w:r w:rsidR="00E51B0A" w:rsidRPr="006D6934">
        <w:rPr>
          <w:rFonts w:ascii="Calibri" w:hAnsi="Calibri" w:cs="Calibri"/>
          <w:color w:val="auto"/>
        </w:rPr>
        <w:t xml:space="preserve"> Accioly</w:t>
      </w:r>
      <w:r w:rsidRPr="006D6934">
        <w:rPr>
          <w:rFonts w:ascii="Calibri" w:hAnsi="Calibri" w:cs="Calibri"/>
          <w:color w:val="auto"/>
        </w:rPr>
        <w:t>.</w:t>
      </w:r>
    </w:p>
    <w:p w14:paraId="1D8CC42F" w14:textId="4C9AF661" w:rsidR="00701E7F" w:rsidRPr="006D6934" w:rsidRDefault="00E51B0A" w:rsidP="00EE0154">
      <w:pPr>
        <w:spacing w:line="276" w:lineRule="auto"/>
        <w:ind w:firstLine="708"/>
        <w:jc w:val="both"/>
        <w:rPr>
          <w:rFonts w:ascii="Calibri" w:hAnsi="Calibri" w:cs="Calibri"/>
          <w:color w:val="auto"/>
        </w:rPr>
      </w:pPr>
      <w:r w:rsidRPr="006D6934">
        <w:rPr>
          <w:rFonts w:ascii="Calibri" w:hAnsi="Calibri" w:cs="Calibri"/>
          <w:color w:val="auto"/>
        </w:rPr>
        <w:t>Os laboratórios estão localizados no</w:t>
      </w:r>
      <w:r w:rsidR="00EE0154" w:rsidRPr="006D6934">
        <w:rPr>
          <w:rFonts w:ascii="Calibri" w:hAnsi="Calibri" w:cs="Calibri"/>
          <w:color w:val="auto"/>
        </w:rPr>
        <w:t xml:space="preserve"> segundo e terceiro andar, respectivamente, do</w:t>
      </w:r>
      <w:r w:rsidRPr="006D6934">
        <w:rPr>
          <w:rFonts w:ascii="Calibri" w:hAnsi="Calibri" w:cs="Calibri"/>
          <w:color w:val="auto"/>
        </w:rPr>
        <w:t xml:space="preserve"> prédio de </w:t>
      </w:r>
      <w:r w:rsidR="00EE0154" w:rsidRPr="006D6934">
        <w:rPr>
          <w:rFonts w:ascii="Calibri" w:hAnsi="Calibri" w:cs="Calibri"/>
          <w:color w:val="auto"/>
        </w:rPr>
        <w:t>p</w:t>
      </w:r>
      <w:r w:rsidRPr="006D6934">
        <w:rPr>
          <w:rFonts w:ascii="Calibri" w:hAnsi="Calibri" w:cs="Calibri"/>
          <w:color w:val="auto"/>
        </w:rPr>
        <w:t xml:space="preserve">esquisa </w:t>
      </w:r>
      <w:r w:rsidR="00EE0154" w:rsidRPr="006D6934">
        <w:rPr>
          <w:rFonts w:ascii="Calibri" w:hAnsi="Calibri" w:cs="Calibri"/>
          <w:color w:val="auto"/>
        </w:rPr>
        <w:t>Prof. Dr. Aluísio Rosa Prata, na rua Vigário Carlos, número 100, bairro Abadia, Uberaba MG, da Universidade Federal do Triangulo Mineiro.</w:t>
      </w:r>
    </w:p>
    <w:p w14:paraId="00E54EC4" w14:textId="77777777" w:rsidR="003177BE" w:rsidRPr="006D6934" w:rsidRDefault="003177BE" w:rsidP="003177BE">
      <w:pPr>
        <w:spacing w:line="276" w:lineRule="auto"/>
        <w:ind w:firstLine="708"/>
        <w:jc w:val="both"/>
        <w:rPr>
          <w:rFonts w:ascii="Calibri" w:hAnsi="Calibri" w:cs="Calibri"/>
          <w:color w:val="auto"/>
        </w:rPr>
      </w:pPr>
      <w:r w:rsidRPr="006D6934">
        <w:rPr>
          <w:rFonts w:ascii="Calibri" w:hAnsi="Calibri" w:cs="Calibri"/>
          <w:color w:val="auto"/>
        </w:rPr>
        <w:t>O estágio de Fisioterapia Reumatológica do curso de Fisioterapia da UFTM acontece no Centro de Reabilitação Prof. Dr. Fausto da Cunha Oliveira, na rua da Constituição, número 1009, bairro Abadia, Uberaba MG, da Universidade Federal do Triangulo Mineiro.</w:t>
      </w:r>
    </w:p>
    <w:p w14:paraId="6FEAB396" w14:textId="6B506E84" w:rsidR="003177BE" w:rsidRPr="006D6934" w:rsidRDefault="003177BE" w:rsidP="00EE0154">
      <w:pPr>
        <w:spacing w:line="276" w:lineRule="auto"/>
        <w:ind w:firstLine="708"/>
        <w:jc w:val="both"/>
        <w:rPr>
          <w:rFonts w:ascii="Calibri" w:hAnsi="Calibri" w:cs="Calibri"/>
          <w:color w:val="auto"/>
        </w:rPr>
      </w:pPr>
    </w:p>
    <w:p w14:paraId="77143F78" w14:textId="77777777" w:rsidR="00E51B0A" w:rsidRPr="006D6934" w:rsidRDefault="00E51B0A">
      <w:pPr>
        <w:spacing w:line="276" w:lineRule="auto"/>
        <w:rPr>
          <w:rFonts w:ascii="Calibri" w:hAnsi="Calibri" w:cs="Calibri"/>
          <w:color w:val="auto"/>
        </w:rPr>
      </w:pPr>
    </w:p>
    <w:p w14:paraId="3C4EF1E0" w14:textId="77777777" w:rsidR="00701E7F" w:rsidRPr="006D6934" w:rsidRDefault="00EC3554">
      <w:pPr>
        <w:spacing w:line="276" w:lineRule="auto"/>
        <w:rPr>
          <w:rFonts w:ascii="Calibri" w:hAnsi="Calibri" w:cs="Calibri"/>
          <w:color w:val="auto"/>
          <w:sz w:val="16"/>
          <w:szCs w:val="16"/>
        </w:rPr>
      </w:pPr>
      <w:r w:rsidRPr="006D6934">
        <w:rPr>
          <w:rFonts w:ascii="Calibri" w:hAnsi="Calibri" w:cs="Calibri"/>
          <w:b/>
          <w:color w:val="auto"/>
        </w:rPr>
        <w:t>5) POPULAÇÃO A SER ESTUDADA</w:t>
      </w:r>
    </w:p>
    <w:p w14:paraId="1F9FAA5D" w14:textId="77777777" w:rsidR="00371732" w:rsidRPr="006D6934" w:rsidRDefault="00371732">
      <w:pPr>
        <w:spacing w:line="276" w:lineRule="auto"/>
        <w:rPr>
          <w:rFonts w:ascii="Calibri" w:hAnsi="Calibri" w:cs="Calibri"/>
          <w:color w:val="auto"/>
          <w:sz w:val="16"/>
          <w:szCs w:val="16"/>
        </w:rPr>
      </w:pPr>
    </w:p>
    <w:p w14:paraId="4FE0A71E" w14:textId="00477C78" w:rsidR="00371732" w:rsidRPr="006D6934" w:rsidRDefault="00371732" w:rsidP="00371732">
      <w:pPr>
        <w:spacing w:line="276" w:lineRule="auto"/>
        <w:ind w:firstLine="708"/>
        <w:jc w:val="both"/>
        <w:rPr>
          <w:rFonts w:ascii="Calibri" w:hAnsi="Calibri" w:cs="Calibri"/>
          <w:color w:val="auto"/>
        </w:rPr>
      </w:pPr>
      <w:r w:rsidRPr="006D6934">
        <w:rPr>
          <w:rFonts w:ascii="Calibri" w:hAnsi="Calibri" w:cs="Calibri"/>
          <w:color w:val="auto"/>
        </w:rPr>
        <w:t xml:space="preserve">Público-alvo da pesquisa </w:t>
      </w:r>
      <w:r w:rsidRPr="00862E45">
        <w:rPr>
          <w:rFonts w:ascii="Calibri" w:hAnsi="Calibri" w:cs="Calibri"/>
          <w:color w:val="auto"/>
        </w:rPr>
        <w:t xml:space="preserve">será de </w:t>
      </w:r>
      <w:r w:rsidR="00CD01CD" w:rsidRPr="00862E45">
        <w:rPr>
          <w:rFonts w:ascii="Calibri" w:hAnsi="Calibri" w:cs="Calibri"/>
          <w:color w:val="auto"/>
        </w:rPr>
        <w:t>60</w:t>
      </w:r>
      <w:r w:rsidRPr="00862E45">
        <w:rPr>
          <w:rFonts w:ascii="Calibri" w:hAnsi="Calibri" w:cs="Calibri"/>
          <w:color w:val="auto"/>
        </w:rPr>
        <w:t xml:space="preserve"> mulheres diagnosticadas </w:t>
      </w:r>
      <w:r w:rsidRPr="006D6934">
        <w:rPr>
          <w:rFonts w:ascii="Calibri" w:hAnsi="Calibri" w:cs="Calibri"/>
          <w:color w:val="auto"/>
        </w:rPr>
        <w:t xml:space="preserve">clinicamente com fibromialgia segundo os critérios do American </w:t>
      </w:r>
      <w:proofErr w:type="spellStart"/>
      <w:r w:rsidRPr="006D6934">
        <w:rPr>
          <w:rFonts w:ascii="Calibri" w:hAnsi="Calibri" w:cs="Calibri"/>
          <w:color w:val="auto"/>
        </w:rPr>
        <w:t>College</w:t>
      </w:r>
      <w:proofErr w:type="spellEnd"/>
      <w:r w:rsidRPr="006D6934">
        <w:rPr>
          <w:rFonts w:ascii="Calibri" w:hAnsi="Calibri" w:cs="Calibri"/>
          <w:color w:val="auto"/>
        </w:rPr>
        <w:t xml:space="preserve"> </w:t>
      </w:r>
      <w:proofErr w:type="spellStart"/>
      <w:r w:rsidRPr="006D6934">
        <w:rPr>
          <w:rFonts w:ascii="Calibri" w:hAnsi="Calibri" w:cs="Calibri"/>
          <w:color w:val="auto"/>
        </w:rPr>
        <w:t>of</w:t>
      </w:r>
      <w:proofErr w:type="spellEnd"/>
      <w:r w:rsidRPr="006D6934">
        <w:rPr>
          <w:rFonts w:ascii="Calibri" w:hAnsi="Calibri" w:cs="Calibri"/>
          <w:color w:val="auto"/>
        </w:rPr>
        <w:t xml:space="preserve"> </w:t>
      </w:r>
      <w:proofErr w:type="spellStart"/>
      <w:r w:rsidRPr="006D6934">
        <w:rPr>
          <w:rFonts w:ascii="Calibri" w:hAnsi="Calibri" w:cs="Calibri"/>
          <w:color w:val="auto"/>
        </w:rPr>
        <w:t>Rheumatol</w:t>
      </w:r>
      <w:r w:rsidR="00496400" w:rsidRPr="006D6934">
        <w:rPr>
          <w:rFonts w:ascii="Calibri" w:hAnsi="Calibri" w:cs="Calibri"/>
          <w:color w:val="auto"/>
        </w:rPr>
        <w:t>ogy</w:t>
      </w:r>
      <w:proofErr w:type="spellEnd"/>
      <w:r w:rsidR="00496400" w:rsidRPr="006D6934">
        <w:rPr>
          <w:rFonts w:ascii="Calibri" w:hAnsi="Calibri" w:cs="Calibri"/>
          <w:color w:val="auto"/>
        </w:rPr>
        <w:t xml:space="preserve"> de 1990, em idade superior a</w:t>
      </w:r>
      <w:r w:rsidRPr="006D6934">
        <w:rPr>
          <w:rFonts w:ascii="Calibri" w:hAnsi="Calibri" w:cs="Calibri"/>
          <w:color w:val="auto"/>
        </w:rPr>
        <w:t xml:space="preserve"> 18 anos. </w:t>
      </w:r>
    </w:p>
    <w:p w14:paraId="437C0927" w14:textId="77777777" w:rsidR="00496400" w:rsidRPr="006D6934" w:rsidRDefault="00496400" w:rsidP="00371732">
      <w:pPr>
        <w:spacing w:line="276" w:lineRule="auto"/>
        <w:ind w:firstLine="708"/>
        <w:jc w:val="both"/>
        <w:rPr>
          <w:rFonts w:ascii="Calibri" w:hAnsi="Calibri" w:cs="Calibri"/>
          <w:color w:val="auto"/>
        </w:rPr>
      </w:pPr>
    </w:p>
    <w:p w14:paraId="509C5D90" w14:textId="77777777" w:rsidR="00701E7F" w:rsidRPr="006D6934" w:rsidRDefault="00701E7F">
      <w:pPr>
        <w:spacing w:line="276" w:lineRule="auto"/>
        <w:rPr>
          <w:rFonts w:ascii="Calibri" w:hAnsi="Calibri" w:cs="Calibri"/>
          <w:color w:val="auto"/>
        </w:rPr>
      </w:pPr>
    </w:p>
    <w:p w14:paraId="19BE4E88" w14:textId="77777777" w:rsidR="00701E7F" w:rsidRPr="006D6934" w:rsidRDefault="00EC3554">
      <w:pPr>
        <w:spacing w:line="276" w:lineRule="auto"/>
        <w:jc w:val="both"/>
        <w:rPr>
          <w:rFonts w:ascii="Calibri" w:hAnsi="Calibri" w:cs="Calibri"/>
          <w:color w:val="auto"/>
          <w:sz w:val="16"/>
          <w:szCs w:val="16"/>
        </w:rPr>
      </w:pPr>
      <w:r w:rsidRPr="006D6934">
        <w:rPr>
          <w:rFonts w:ascii="Calibri" w:hAnsi="Calibri" w:cs="Calibri"/>
          <w:b/>
          <w:color w:val="auto"/>
        </w:rPr>
        <w:t>6) MÉTODO(S) A SER(EM) UTILIZADO(S)</w:t>
      </w:r>
    </w:p>
    <w:p w14:paraId="26A64235" w14:textId="77777777" w:rsidR="00EA1763" w:rsidRPr="006D6934" w:rsidRDefault="00EA1763" w:rsidP="00EA1763">
      <w:pPr>
        <w:spacing w:line="276" w:lineRule="auto"/>
        <w:jc w:val="both"/>
        <w:rPr>
          <w:rFonts w:ascii="Calibri" w:hAnsi="Calibri" w:cs="Calibri"/>
          <w:color w:val="auto"/>
        </w:rPr>
      </w:pPr>
    </w:p>
    <w:p w14:paraId="6332A337" w14:textId="22EC0AB7" w:rsidR="00EA1763" w:rsidRPr="006D6934" w:rsidRDefault="00EA1763" w:rsidP="00EA1763">
      <w:pPr>
        <w:spacing w:line="276" w:lineRule="auto"/>
        <w:jc w:val="both"/>
        <w:rPr>
          <w:rFonts w:ascii="Calibri" w:hAnsi="Calibri" w:cs="Calibri"/>
          <w:color w:val="auto"/>
        </w:rPr>
      </w:pPr>
      <w:r w:rsidRPr="006D6934">
        <w:rPr>
          <w:rFonts w:ascii="Calibri" w:hAnsi="Calibri" w:cs="Calibri"/>
          <w:color w:val="auto"/>
        </w:rPr>
        <w:t>DESENHO DO ESTUDO</w:t>
      </w:r>
    </w:p>
    <w:p w14:paraId="28AC5018" w14:textId="77777777" w:rsidR="00EA1763" w:rsidRPr="006D6934" w:rsidRDefault="00EA1763" w:rsidP="00EA1763">
      <w:pPr>
        <w:spacing w:line="276" w:lineRule="auto"/>
        <w:jc w:val="both"/>
        <w:rPr>
          <w:rFonts w:ascii="Calibri" w:hAnsi="Calibri" w:cs="Calibri"/>
          <w:color w:val="auto"/>
        </w:rPr>
      </w:pPr>
    </w:p>
    <w:p w14:paraId="0B8E70B5" w14:textId="77777777" w:rsidR="00EA1763" w:rsidRPr="001D27BF" w:rsidRDefault="00EA1763" w:rsidP="00EA1763">
      <w:pPr>
        <w:spacing w:line="276" w:lineRule="auto"/>
        <w:ind w:firstLine="708"/>
        <w:jc w:val="both"/>
        <w:rPr>
          <w:rFonts w:ascii="Calibri" w:hAnsi="Calibri" w:cs="Calibri"/>
          <w:color w:val="auto"/>
        </w:rPr>
      </w:pPr>
      <w:r w:rsidRPr="001D27BF">
        <w:rPr>
          <w:rFonts w:ascii="Calibri" w:hAnsi="Calibri" w:cs="Calibri"/>
          <w:color w:val="auto"/>
        </w:rPr>
        <w:t>Trata-se de um estudo clínico prospectivo, randomizado e controlado.</w:t>
      </w:r>
    </w:p>
    <w:p w14:paraId="7A6DC3DF" w14:textId="7B678228" w:rsidR="00A45C8C" w:rsidRPr="001D27BF" w:rsidRDefault="00EA1763" w:rsidP="00A45C8C">
      <w:pPr>
        <w:spacing w:line="276" w:lineRule="auto"/>
        <w:ind w:firstLine="708"/>
        <w:jc w:val="both"/>
        <w:rPr>
          <w:rFonts w:ascii="Calibri" w:hAnsi="Calibri" w:cs="Calibri"/>
          <w:color w:val="auto"/>
        </w:rPr>
      </w:pPr>
      <w:r w:rsidRPr="001D27BF">
        <w:rPr>
          <w:rFonts w:ascii="Calibri" w:hAnsi="Calibri" w:cs="Calibri"/>
          <w:color w:val="auto"/>
        </w:rPr>
        <w:t xml:space="preserve">Inicialmente as </w:t>
      </w:r>
      <w:r w:rsidR="00B253A1" w:rsidRPr="001D27BF">
        <w:rPr>
          <w:rFonts w:ascii="Calibri" w:hAnsi="Calibri" w:cs="Calibri"/>
          <w:color w:val="auto"/>
        </w:rPr>
        <w:t>participantes</w:t>
      </w:r>
      <w:r w:rsidRPr="001D27BF">
        <w:rPr>
          <w:rFonts w:ascii="Calibri" w:hAnsi="Calibri" w:cs="Calibri"/>
          <w:color w:val="auto"/>
        </w:rPr>
        <w:t xml:space="preserve"> com diagnóstico de fibromialgia, frequentadoras da Unidade de Atenção ao Idoso e do ambulatório de reumatologia da UFTM, serão convidadas a participar do estudo como </w:t>
      </w:r>
      <w:r w:rsidR="00B253A1" w:rsidRPr="001D27BF">
        <w:rPr>
          <w:rFonts w:ascii="Calibri" w:hAnsi="Calibri" w:cs="Calibri"/>
          <w:color w:val="auto"/>
        </w:rPr>
        <w:t>participantes</w:t>
      </w:r>
      <w:r w:rsidRPr="001D27BF">
        <w:rPr>
          <w:rFonts w:ascii="Calibri" w:hAnsi="Calibri" w:cs="Calibri"/>
          <w:color w:val="auto"/>
        </w:rPr>
        <w:t>.</w:t>
      </w:r>
    </w:p>
    <w:p w14:paraId="1ECDF3FA" w14:textId="60004835" w:rsidR="00EA1763" w:rsidRPr="001D27BF" w:rsidRDefault="00EA1763" w:rsidP="00A45C8C">
      <w:pPr>
        <w:spacing w:line="276" w:lineRule="auto"/>
        <w:ind w:firstLine="708"/>
        <w:jc w:val="both"/>
        <w:rPr>
          <w:rFonts w:ascii="Calibri" w:hAnsi="Calibri" w:cs="Calibri"/>
          <w:color w:val="auto"/>
        </w:rPr>
      </w:pPr>
      <w:r w:rsidRPr="001D27BF">
        <w:rPr>
          <w:rFonts w:ascii="Calibri" w:hAnsi="Calibri" w:cs="Calibri"/>
          <w:color w:val="auto"/>
        </w:rPr>
        <w:t xml:space="preserve">Serão incluídas na pesquisa, aquelas mulheres com idade mínima de 18 anos e que forem diagnosticadas com fibromialgia segundo os critérios do American </w:t>
      </w:r>
      <w:proofErr w:type="spellStart"/>
      <w:r w:rsidRPr="001D27BF">
        <w:rPr>
          <w:rFonts w:ascii="Calibri" w:hAnsi="Calibri" w:cs="Calibri"/>
          <w:color w:val="auto"/>
        </w:rPr>
        <w:t>College</w:t>
      </w:r>
      <w:proofErr w:type="spellEnd"/>
      <w:r w:rsidRPr="001D27BF">
        <w:rPr>
          <w:rFonts w:ascii="Calibri" w:hAnsi="Calibri" w:cs="Calibri"/>
          <w:color w:val="auto"/>
        </w:rPr>
        <w:t xml:space="preserve"> </w:t>
      </w:r>
      <w:proofErr w:type="spellStart"/>
      <w:r w:rsidRPr="001D27BF">
        <w:rPr>
          <w:rFonts w:ascii="Calibri" w:hAnsi="Calibri" w:cs="Calibri"/>
          <w:color w:val="auto"/>
        </w:rPr>
        <w:t>of</w:t>
      </w:r>
      <w:proofErr w:type="spellEnd"/>
      <w:r w:rsidRPr="001D27BF">
        <w:rPr>
          <w:rFonts w:ascii="Calibri" w:hAnsi="Calibri" w:cs="Calibri"/>
          <w:color w:val="auto"/>
        </w:rPr>
        <w:t xml:space="preserve"> </w:t>
      </w:r>
      <w:proofErr w:type="spellStart"/>
      <w:r w:rsidRPr="001D27BF">
        <w:rPr>
          <w:rFonts w:ascii="Calibri" w:hAnsi="Calibri" w:cs="Calibri"/>
          <w:color w:val="auto"/>
        </w:rPr>
        <w:t>Rheumatology</w:t>
      </w:r>
      <w:proofErr w:type="spellEnd"/>
      <w:r w:rsidRPr="001D27BF">
        <w:rPr>
          <w:rFonts w:ascii="Calibri" w:hAnsi="Calibri" w:cs="Calibri"/>
          <w:color w:val="auto"/>
        </w:rPr>
        <w:t xml:space="preserve"> de 1990.</w:t>
      </w:r>
    </w:p>
    <w:p w14:paraId="4DB8D55D" w14:textId="0F7B3C0D" w:rsidR="00EA1763" w:rsidRPr="001D27BF" w:rsidRDefault="00EA1763" w:rsidP="00EA1763">
      <w:pPr>
        <w:spacing w:line="276" w:lineRule="auto"/>
        <w:ind w:firstLine="708"/>
        <w:jc w:val="both"/>
        <w:rPr>
          <w:rFonts w:ascii="Calibri" w:hAnsi="Calibri" w:cs="Calibri"/>
          <w:color w:val="auto"/>
        </w:rPr>
      </w:pPr>
      <w:r w:rsidRPr="001D27BF">
        <w:rPr>
          <w:rFonts w:ascii="Calibri" w:hAnsi="Calibri" w:cs="Calibri"/>
          <w:color w:val="auto"/>
        </w:rPr>
        <w:t xml:space="preserve">Todas as </w:t>
      </w:r>
      <w:r w:rsidR="00B253A1" w:rsidRPr="001D27BF">
        <w:rPr>
          <w:rFonts w:ascii="Calibri" w:hAnsi="Calibri" w:cs="Calibri"/>
          <w:color w:val="auto"/>
        </w:rPr>
        <w:t>participantes</w:t>
      </w:r>
      <w:r w:rsidRPr="001D27BF">
        <w:rPr>
          <w:rFonts w:ascii="Calibri" w:hAnsi="Calibri" w:cs="Calibri"/>
          <w:color w:val="auto"/>
        </w:rPr>
        <w:t xml:space="preserve"> passarão por uma anamnese inicial para identificação das características clínicas, antropométricas e sociodemográficas</w:t>
      </w:r>
      <w:r w:rsidR="00A45C8C" w:rsidRPr="001D27BF">
        <w:rPr>
          <w:rFonts w:ascii="Calibri" w:hAnsi="Calibri" w:cs="Calibri"/>
          <w:color w:val="auto"/>
        </w:rPr>
        <w:t xml:space="preserve"> (Apêndice A)</w:t>
      </w:r>
      <w:r w:rsidRPr="001D27BF">
        <w:rPr>
          <w:rFonts w:ascii="Calibri" w:hAnsi="Calibri" w:cs="Calibri"/>
          <w:color w:val="auto"/>
        </w:rPr>
        <w:t>. Em seguida serão aplicados os instrumentos de avaliação de dor</w:t>
      </w:r>
      <w:r w:rsidR="00A45C8C" w:rsidRPr="001D27BF">
        <w:rPr>
          <w:rFonts w:ascii="Calibri" w:hAnsi="Calibri" w:cs="Calibri"/>
          <w:color w:val="auto"/>
        </w:rPr>
        <w:t xml:space="preserve"> (Apêndice B)</w:t>
      </w:r>
      <w:r w:rsidRPr="001D27BF">
        <w:rPr>
          <w:rFonts w:ascii="Calibri" w:hAnsi="Calibri" w:cs="Calibri"/>
          <w:color w:val="auto"/>
        </w:rPr>
        <w:t>, qualidade de vida</w:t>
      </w:r>
      <w:r w:rsidR="00533E3E" w:rsidRPr="001D27BF">
        <w:rPr>
          <w:rFonts w:ascii="Calibri" w:hAnsi="Calibri" w:cs="Calibri"/>
          <w:color w:val="auto"/>
        </w:rPr>
        <w:t xml:space="preserve"> (Anexo A)</w:t>
      </w:r>
      <w:r w:rsidRPr="001D27BF">
        <w:rPr>
          <w:rFonts w:ascii="Calibri" w:hAnsi="Calibri" w:cs="Calibri"/>
          <w:color w:val="auto"/>
        </w:rPr>
        <w:t xml:space="preserve"> e de sono</w:t>
      </w:r>
      <w:r w:rsidR="00533E3E" w:rsidRPr="001D27BF">
        <w:rPr>
          <w:rFonts w:ascii="Calibri" w:hAnsi="Calibri" w:cs="Calibri"/>
          <w:color w:val="auto"/>
        </w:rPr>
        <w:t xml:space="preserve"> (Anexo B)</w:t>
      </w:r>
      <w:r w:rsidRPr="001D27BF">
        <w:rPr>
          <w:rFonts w:ascii="Calibri" w:hAnsi="Calibri" w:cs="Calibri"/>
          <w:color w:val="auto"/>
        </w:rPr>
        <w:t xml:space="preserve">. Serão também realizados os testes Time </w:t>
      </w:r>
      <w:proofErr w:type="spellStart"/>
      <w:r w:rsidRPr="001D27BF">
        <w:rPr>
          <w:rFonts w:ascii="Calibri" w:hAnsi="Calibri" w:cs="Calibri"/>
          <w:color w:val="auto"/>
        </w:rPr>
        <w:t>Up</w:t>
      </w:r>
      <w:proofErr w:type="spellEnd"/>
      <w:r w:rsidRPr="001D27BF">
        <w:rPr>
          <w:rFonts w:ascii="Calibri" w:hAnsi="Calibri" w:cs="Calibri"/>
          <w:color w:val="auto"/>
        </w:rPr>
        <w:t xml:space="preserve"> </w:t>
      </w:r>
      <w:proofErr w:type="spellStart"/>
      <w:r w:rsidRPr="001D27BF">
        <w:rPr>
          <w:rFonts w:ascii="Calibri" w:hAnsi="Calibri" w:cs="Calibri"/>
          <w:color w:val="auto"/>
        </w:rPr>
        <w:t>and</w:t>
      </w:r>
      <w:proofErr w:type="spellEnd"/>
      <w:r w:rsidRPr="001D27BF">
        <w:rPr>
          <w:rFonts w:ascii="Calibri" w:hAnsi="Calibri" w:cs="Calibri"/>
          <w:color w:val="auto"/>
        </w:rPr>
        <w:t xml:space="preserve"> Go, preensão palmar, sentar e levantar e a coleta da variabilidade da frequência cardíaca</w:t>
      </w:r>
      <w:r w:rsidR="00A45C8C" w:rsidRPr="001D27BF">
        <w:rPr>
          <w:rFonts w:ascii="Calibri" w:hAnsi="Calibri" w:cs="Calibri"/>
          <w:color w:val="auto"/>
        </w:rPr>
        <w:t xml:space="preserve"> (Apêndice C)</w:t>
      </w:r>
      <w:r w:rsidRPr="001D27BF">
        <w:rPr>
          <w:rFonts w:ascii="Calibri" w:hAnsi="Calibri" w:cs="Calibri"/>
          <w:color w:val="auto"/>
        </w:rPr>
        <w:t>.</w:t>
      </w:r>
    </w:p>
    <w:p w14:paraId="5FC03FBA" w14:textId="77777777" w:rsidR="00EA1763" w:rsidRPr="001D27BF" w:rsidRDefault="00EA1763" w:rsidP="00EA1763">
      <w:pPr>
        <w:spacing w:line="276" w:lineRule="auto"/>
        <w:ind w:firstLine="708"/>
        <w:jc w:val="both"/>
        <w:rPr>
          <w:rFonts w:ascii="Calibri" w:hAnsi="Calibri" w:cs="Calibri"/>
          <w:color w:val="auto"/>
        </w:rPr>
      </w:pPr>
      <w:r w:rsidRPr="001D27BF">
        <w:rPr>
          <w:rFonts w:ascii="Calibri" w:hAnsi="Calibri" w:cs="Calibri"/>
          <w:color w:val="auto"/>
        </w:rPr>
        <w:t>Posteriormente, os grupos de intervenção receberão as técnicas propostas por um período de quatro semanas, duas vezes por semana e com duração de 30 minutos por sessão.</w:t>
      </w:r>
    </w:p>
    <w:p w14:paraId="49CFB362" w14:textId="034F7DBF" w:rsidR="00701E7F" w:rsidRPr="006D6934" w:rsidRDefault="00EA1763" w:rsidP="00EA1763">
      <w:pPr>
        <w:spacing w:line="276" w:lineRule="auto"/>
        <w:ind w:firstLine="708"/>
        <w:jc w:val="both"/>
        <w:rPr>
          <w:rFonts w:ascii="Calibri" w:hAnsi="Calibri" w:cs="Calibri"/>
          <w:color w:val="auto"/>
        </w:rPr>
      </w:pPr>
      <w:r w:rsidRPr="001D27BF">
        <w:rPr>
          <w:rFonts w:ascii="Calibri" w:hAnsi="Calibri" w:cs="Calibri"/>
          <w:color w:val="auto"/>
        </w:rPr>
        <w:t xml:space="preserve">Por fim, todas as </w:t>
      </w:r>
      <w:r w:rsidR="00B253A1" w:rsidRPr="001D27BF">
        <w:rPr>
          <w:rFonts w:ascii="Calibri" w:hAnsi="Calibri" w:cs="Calibri"/>
          <w:color w:val="auto"/>
        </w:rPr>
        <w:t>participantes</w:t>
      </w:r>
      <w:r w:rsidRPr="001D27BF">
        <w:rPr>
          <w:rFonts w:ascii="Calibri" w:hAnsi="Calibri" w:cs="Calibri"/>
          <w:color w:val="auto"/>
        </w:rPr>
        <w:t xml:space="preserve"> serão r</w:t>
      </w:r>
      <w:r w:rsidRPr="006D6934">
        <w:rPr>
          <w:rFonts w:ascii="Calibri" w:hAnsi="Calibri" w:cs="Calibri"/>
          <w:color w:val="auto"/>
        </w:rPr>
        <w:t>eavaliadas utilizando as mesmas ferramentas aplicadas na avaliação inicial.</w:t>
      </w:r>
    </w:p>
    <w:p w14:paraId="44B1D6AD" w14:textId="77777777" w:rsidR="00EC682A" w:rsidRPr="006D6934" w:rsidRDefault="00EC682A" w:rsidP="00A7519E">
      <w:pPr>
        <w:spacing w:line="276" w:lineRule="auto"/>
        <w:jc w:val="both"/>
        <w:rPr>
          <w:rFonts w:ascii="Calibri" w:hAnsi="Calibri" w:cs="Calibri"/>
          <w:color w:val="auto"/>
        </w:rPr>
      </w:pPr>
    </w:p>
    <w:p w14:paraId="5029DD75" w14:textId="77777777" w:rsidR="00A7519E" w:rsidRPr="006D6934" w:rsidRDefault="00A7519E" w:rsidP="00A7519E">
      <w:pPr>
        <w:spacing w:line="276" w:lineRule="auto"/>
        <w:jc w:val="both"/>
        <w:rPr>
          <w:rFonts w:ascii="Calibri" w:hAnsi="Calibri" w:cs="Calibri"/>
          <w:color w:val="auto"/>
        </w:rPr>
      </w:pPr>
    </w:p>
    <w:p w14:paraId="36E5C7DD" w14:textId="144059D1" w:rsidR="00EC682A" w:rsidRPr="006D6934" w:rsidRDefault="00EC682A" w:rsidP="00EC682A">
      <w:pPr>
        <w:spacing w:line="276" w:lineRule="auto"/>
        <w:jc w:val="both"/>
        <w:rPr>
          <w:rFonts w:ascii="Calibri" w:hAnsi="Calibri" w:cs="Calibri"/>
          <w:color w:val="auto"/>
        </w:rPr>
      </w:pPr>
      <w:r w:rsidRPr="006D6934">
        <w:rPr>
          <w:rFonts w:ascii="Calibri" w:hAnsi="Calibri" w:cs="Calibri"/>
          <w:color w:val="auto"/>
        </w:rPr>
        <w:t>COLETA DE DADOS</w:t>
      </w:r>
    </w:p>
    <w:p w14:paraId="28313F74" w14:textId="77777777" w:rsidR="00EC682A" w:rsidRPr="006D6934" w:rsidRDefault="00EC682A" w:rsidP="00EC682A">
      <w:pPr>
        <w:spacing w:line="276" w:lineRule="auto"/>
        <w:ind w:firstLine="708"/>
        <w:jc w:val="both"/>
        <w:rPr>
          <w:rFonts w:ascii="Calibri" w:hAnsi="Calibri" w:cs="Calibri"/>
          <w:color w:val="auto"/>
        </w:rPr>
      </w:pPr>
    </w:p>
    <w:p w14:paraId="045C1AA3" w14:textId="1B0E9A12" w:rsidR="00EC682A" w:rsidRPr="006D6934" w:rsidRDefault="00EC682A" w:rsidP="00EC682A">
      <w:pPr>
        <w:spacing w:line="276" w:lineRule="auto"/>
        <w:jc w:val="both"/>
        <w:rPr>
          <w:rFonts w:ascii="Calibri" w:hAnsi="Calibri" w:cs="Calibri"/>
          <w:color w:val="auto"/>
        </w:rPr>
      </w:pPr>
      <w:r w:rsidRPr="006D6934">
        <w:rPr>
          <w:rFonts w:ascii="Calibri" w:hAnsi="Calibri" w:cs="Calibri"/>
          <w:color w:val="auto"/>
        </w:rPr>
        <w:t>Descrição da Anamnese</w:t>
      </w:r>
    </w:p>
    <w:p w14:paraId="5C769C5B" w14:textId="77777777" w:rsidR="00EC682A" w:rsidRPr="006D6934" w:rsidRDefault="00EC682A" w:rsidP="00EC682A">
      <w:pPr>
        <w:spacing w:line="276" w:lineRule="auto"/>
        <w:ind w:firstLine="708"/>
        <w:jc w:val="both"/>
        <w:rPr>
          <w:rFonts w:ascii="Calibri" w:hAnsi="Calibri" w:cs="Calibri"/>
          <w:color w:val="auto"/>
        </w:rPr>
      </w:pPr>
    </w:p>
    <w:p w14:paraId="4D59314A" w14:textId="487591BD"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As </w:t>
      </w:r>
      <w:r w:rsidR="00B253A1" w:rsidRPr="001D27BF">
        <w:rPr>
          <w:rFonts w:ascii="Calibri" w:hAnsi="Calibri" w:cs="Calibri"/>
          <w:color w:val="auto"/>
        </w:rPr>
        <w:t>participantes</w:t>
      </w:r>
      <w:r w:rsidRPr="001D27BF">
        <w:rPr>
          <w:rFonts w:ascii="Calibri" w:hAnsi="Calibri" w:cs="Calibri"/>
          <w:color w:val="auto"/>
        </w:rPr>
        <w:t xml:space="preserve"> serão avaliadas em um ambiente tranquilo e livre de passagem de pessoal. Será preenchido um questionário próprio contendo todas as informações sobre os aspectos clínicos, demográficos e socioeconômicos das </w:t>
      </w:r>
      <w:r w:rsidR="00B253A1" w:rsidRPr="001D27BF">
        <w:rPr>
          <w:rFonts w:ascii="Calibri" w:hAnsi="Calibri" w:cs="Calibri"/>
          <w:color w:val="auto"/>
        </w:rPr>
        <w:t>participantes</w:t>
      </w:r>
      <w:r w:rsidRPr="001D27BF">
        <w:rPr>
          <w:rFonts w:ascii="Calibri" w:hAnsi="Calibri" w:cs="Calibri"/>
          <w:color w:val="auto"/>
        </w:rPr>
        <w:t>.</w:t>
      </w:r>
    </w:p>
    <w:p w14:paraId="71C4C2BD" w14:textId="77777777" w:rsidR="00EC682A" w:rsidRPr="001D27BF" w:rsidRDefault="00EC682A" w:rsidP="00EC682A">
      <w:pPr>
        <w:spacing w:line="276" w:lineRule="auto"/>
        <w:ind w:firstLine="708"/>
        <w:jc w:val="both"/>
        <w:rPr>
          <w:rFonts w:ascii="Calibri" w:hAnsi="Calibri" w:cs="Calibri"/>
          <w:color w:val="auto"/>
        </w:rPr>
      </w:pPr>
    </w:p>
    <w:p w14:paraId="246FCB37" w14:textId="5A522681" w:rsidR="00EC682A" w:rsidRPr="001D27BF" w:rsidRDefault="00EC682A" w:rsidP="00EC682A">
      <w:pPr>
        <w:spacing w:line="276" w:lineRule="auto"/>
        <w:jc w:val="both"/>
        <w:rPr>
          <w:rFonts w:ascii="Calibri" w:hAnsi="Calibri" w:cs="Calibri"/>
          <w:color w:val="auto"/>
        </w:rPr>
      </w:pPr>
      <w:r w:rsidRPr="001D27BF">
        <w:rPr>
          <w:rFonts w:ascii="Calibri" w:hAnsi="Calibri" w:cs="Calibri"/>
          <w:color w:val="auto"/>
        </w:rPr>
        <w:t>Escala Visual Analógica</w:t>
      </w:r>
    </w:p>
    <w:p w14:paraId="6FD3CEE0" w14:textId="77777777" w:rsidR="00EC682A" w:rsidRPr="001D27BF" w:rsidRDefault="00EC682A" w:rsidP="00EC682A">
      <w:pPr>
        <w:spacing w:line="276" w:lineRule="auto"/>
        <w:ind w:firstLine="708"/>
        <w:jc w:val="both"/>
        <w:rPr>
          <w:rFonts w:ascii="Calibri" w:hAnsi="Calibri" w:cs="Calibri"/>
          <w:color w:val="auto"/>
        </w:rPr>
      </w:pPr>
    </w:p>
    <w:p w14:paraId="2BB455AC" w14:textId="75BC4C60"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Todos os grupos serão submetidos à avaliação pela escala visual analógica no </w:t>
      </w:r>
      <w:proofErr w:type="gramStart"/>
      <w:r w:rsidRPr="001D27BF">
        <w:rPr>
          <w:rFonts w:ascii="Calibri" w:hAnsi="Calibri" w:cs="Calibri"/>
          <w:color w:val="auto"/>
        </w:rPr>
        <w:t>inicio</w:t>
      </w:r>
      <w:proofErr w:type="gramEnd"/>
      <w:r w:rsidRPr="001D27BF">
        <w:rPr>
          <w:rFonts w:ascii="Calibri" w:hAnsi="Calibri" w:cs="Calibri"/>
          <w:color w:val="auto"/>
        </w:rPr>
        <w:t xml:space="preserve"> e ao final do período de seguimento (4 semanas). As </w:t>
      </w:r>
      <w:r w:rsidR="00B253A1" w:rsidRPr="001D27BF">
        <w:rPr>
          <w:rFonts w:ascii="Calibri" w:hAnsi="Calibri" w:cs="Calibri"/>
          <w:color w:val="auto"/>
        </w:rPr>
        <w:t>participantes</w:t>
      </w:r>
      <w:r w:rsidRPr="001D27BF">
        <w:rPr>
          <w:rFonts w:ascii="Calibri" w:hAnsi="Calibri" w:cs="Calibri"/>
          <w:color w:val="auto"/>
        </w:rPr>
        <w:t xml:space="preserve"> dos grupos de intervenção também serão avaliadas antes e após cada sessão de terapia manual.</w:t>
      </w:r>
    </w:p>
    <w:p w14:paraId="40476959" w14:textId="006C4DFC"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A Escala Visual Analógica é usada para avaliar a intensidade da dor da </w:t>
      </w:r>
      <w:r w:rsidR="00B253A1" w:rsidRPr="001D27BF">
        <w:rPr>
          <w:rFonts w:ascii="Calibri" w:hAnsi="Calibri" w:cs="Calibri"/>
          <w:color w:val="auto"/>
        </w:rPr>
        <w:t>participante</w:t>
      </w:r>
      <w:r w:rsidRPr="001D27BF">
        <w:rPr>
          <w:rFonts w:ascii="Calibri" w:hAnsi="Calibri" w:cs="Calibri"/>
          <w:color w:val="auto"/>
        </w:rPr>
        <w:t xml:space="preserve">, sendo 0 (zero) ausência de dor e 10 (dez) a dor mais forte sentida pela mesma. É traçada uma linha de 10 centímetros e a </w:t>
      </w:r>
      <w:r w:rsidR="00B253A1" w:rsidRPr="001D27BF">
        <w:rPr>
          <w:rFonts w:ascii="Calibri" w:hAnsi="Calibri" w:cs="Calibri"/>
          <w:color w:val="auto"/>
        </w:rPr>
        <w:t>participante</w:t>
      </w:r>
      <w:r w:rsidRPr="001D27BF">
        <w:rPr>
          <w:rFonts w:ascii="Calibri" w:hAnsi="Calibri" w:cs="Calibri"/>
          <w:color w:val="auto"/>
        </w:rPr>
        <w:t xml:space="preserve"> indica se sua dor está mais próxima ao numeral dez ou ao zero. Após indicar, o profissional utiliza uma régua para quantificar a dor da </w:t>
      </w:r>
      <w:r w:rsidR="00B253A1" w:rsidRPr="001D27BF">
        <w:rPr>
          <w:rFonts w:ascii="Calibri" w:hAnsi="Calibri" w:cs="Calibri"/>
          <w:color w:val="auto"/>
        </w:rPr>
        <w:t>participante</w:t>
      </w:r>
      <w:r w:rsidRPr="001D27BF">
        <w:rPr>
          <w:rFonts w:ascii="Calibri" w:hAnsi="Calibri" w:cs="Calibri"/>
          <w:color w:val="auto"/>
        </w:rPr>
        <w:t xml:space="preserve">. Ela será utilizada ao decorrer do tratamento para saber a evolução das </w:t>
      </w:r>
      <w:r w:rsidR="00B253A1" w:rsidRPr="001D27BF">
        <w:rPr>
          <w:rFonts w:ascii="Calibri" w:hAnsi="Calibri" w:cs="Calibri"/>
          <w:color w:val="auto"/>
        </w:rPr>
        <w:t>participantes</w:t>
      </w:r>
      <w:r w:rsidRPr="001D27BF">
        <w:rPr>
          <w:rFonts w:ascii="Calibri" w:hAnsi="Calibri" w:cs="Calibri"/>
          <w:color w:val="auto"/>
        </w:rPr>
        <w:t>.</w:t>
      </w:r>
    </w:p>
    <w:p w14:paraId="0EA14836" w14:textId="77777777"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 </w:t>
      </w:r>
    </w:p>
    <w:p w14:paraId="5C5C0107" w14:textId="77777777" w:rsidR="00EC682A" w:rsidRPr="001D27BF" w:rsidRDefault="00EC682A" w:rsidP="00EC682A">
      <w:pPr>
        <w:spacing w:line="276" w:lineRule="auto"/>
        <w:ind w:firstLine="708"/>
        <w:jc w:val="both"/>
        <w:rPr>
          <w:rFonts w:ascii="Calibri" w:hAnsi="Calibri" w:cs="Calibri"/>
          <w:color w:val="auto"/>
        </w:rPr>
      </w:pPr>
    </w:p>
    <w:p w14:paraId="32901262" w14:textId="0D40F0CC" w:rsidR="00EC682A" w:rsidRPr="001D27BF" w:rsidRDefault="00EC682A" w:rsidP="00EC682A">
      <w:pPr>
        <w:spacing w:line="276" w:lineRule="auto"/>
        <w:jc w:val="both"/>
        <w:rPr>
          <w:rFonts w:ascii="Calibri" w:hAnsi="Calibri" w:cs="Calibri"/>
          <w:color w:val="auto"/>
        </w:rPr>
      </w:pPr>
      <w:r w:rsidRPr="001D27BF">
        <w:rPr>
          <w:rFonts w:ascii="Calibri" w:hAnsi="Calibri" w:cs="Calibri"/>
          <w:color w:val="auto"/>
        </w:rPr>
        <w:t>Questionário de Qualidade de Vida</w:t>
      </w:r>
    </w:p>
    <w:p w14:paraId="5C1E00C8" w14:textId="77777777" w:rsidR="00EC682A" w:rsidRPr="001D27BF" w:rsidRDefault="00EC682A" w:rsidP="00EC682A">
      <w:pPr>
        <w:spacing w:line="276" w:lineRule="auto"/>
        <w:ind w:firstLine="708"/>
        <w:jc w:val="both"/>
        <w:rPr>
          <w:rFonts w:ascii="Calibri" w:hAnsi="Calibri" w:cs="Calibri"/>
          <w:color w:val="auto"/>
        </w:rPr>
      </w:pPr>
    </w:p>
    <w:p w14:paraId="0610E7EE" w14:textId="15E38009"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Todas as </w:t>
      </w:r>
      <w:r w:rsidR="00B253A1" w:rsidRPr="001D27BF">
        <w:rPr>
          <w:rFonts w:ascii="Calibri" w:hAnsi="Calibri" w:cs="Calibri"/>
          <w:color w:val="auto"/>
        </w:rPr>
        <w:t>participantes</w:t>
      </w:r>
      <w:r w:rsidRPr="001D27BF">
        <w:rPr>
          <w:rFonts w:ascii="Calibri" w:hAnsi="Calibri" w:cs="Calibri"/>
          <w:color w:val="auto"/>
        </w:rPr>
        <w:t xml:space="preserve"> responderão um questionário de qualidade de vida específico para pessoas com Fibromialgia (FIQ) no início e no final do estudo, que será aplicado por uma terapeuta devidamente treinada, em consultório individual.</w:t>
      </w:r>
    </w:p>
    <w:p w14:paraId="519E3ED2" w14:textId="77777777"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O FIQ é composto de 19 questões subdivididas em 10 itens que englobam dez domínios (aspectos) que são representados por: capacidade funcional, sentir-se bem, faltas no trabalho, interferência dos sintomas no trabalho, dor, fadiga, cansaço matinal, rigidez, ansiedade e depressão.</w:t>
      </w:r>
    </w:p>
    <w:p w14:paraId="3EDCE252" w14:textId="72936D87" w:rsidR="00EC682A" w:rsidRPr="006D6934"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A pontuação do FIQ contém um escore que varia de 0 a 100, sendo 0 o melhor escore e 100 o pior e que caracteriza o maior impacto possível da fibromialgia na qualidade de vida da </w:t>
      </w:r>
      <w:r w:rsidR="00B253A1" w:rsidRPr="001D27BF">
        <w:rPr>
          <w:rFonts w:ascii="Calibri" w:hAnsi="Calibri" w:cs="Calibri"/>
          <w:color w:val="auto"/>
        </w:rPr>
        <w:t>participante</w:t>
      </w:r>
      <w:r w:rsidRPr="001D27BF">
        <w:rPr>
          <w:rFonts w:ascii="Calibri" w:hAnsi="Calibri" w:cs="Calibri"/>
          <w:color w:val="auto"/>
        </w:rPr>
        <w:t>. Cada item do questionário é calculado de uma maneira, sendo assim, deve ser analisado isoladamente. O primeiro item questiona sobre a capacidade funcional de atividades de vida diária, com perguntas de “a” até “j”, podendo as r</w:t>
      </w:r>
      <w:r w:rsidRPr="006D6934">
        <w:rPr>
          <w:rFonts w:ascii="Calibri" w:hAnsi="Calibri" w:cs="Calibri"/>
          <w:color w:val="auto"/>
        </w:rPr>
        <w:t xml:space="preserve">espostas variar de 0 a 3 (sendo 0 capaz de realizar e 3 incapaz de realizar). A pontuação é feita através de uma média aritmética com o valor máximo de 10 pontos. No segundo e terceiro item a </w:t>
      </w:r>
      <w:r w:rsidR="00B253A1">
        <w:rPr>
          <w:rFonts w:ascii="Calibri" w:hAnsi="Calibri" w:cs="Calibri"/>
          <w:color w:val="auto"/>
        </w:rPr>
        <w:t>participante</w:t>
      </w:r>
      <w:r w:rsidRPr="006D6934">
        <w:rPr>
          <w:rFonts w:ascii="Calibri" w:hAnsi="Calibri" w:cs="Calibri"/>
          <w:color w:val="auto"/>
        </w:rPr>
        <w:t xml:space="preserve"> deve marcar quantos dias da semana se sentiu bem e quantos dias faltou ao trabalho devido aos sintomas da fibromialgia. A pontuação varia de 0 a 7, porém é feita de forma inversa ao resultado, ou seja, se a </w:t>
      </w:r>
      <w:r w:rsidR="00B253A1">
        <w:rPr>
          <w:rFonts w:ascii="Calibri" w:hAnsi="Calibri" w:cs="Calibri"/>
          <w:color w:val="auto"/>
        </w:rPr>
        <w:t>participante</w:t>
      </w:r>
      <w:r w:rsidRPr="006D6934">
        <w:rPr>
          <w:rFonts w:ascii="Calibri" w:hAnsi="Calibri" w:cs="Calibri"/>
          <w:color w:val="auto"/>
        </w:rPr>
        <w:t xml:space="preserve"> assinalou 0, sua pontuação fica 7, ou se marcou 7, sua pontuação será 0 (o escore varia de 0 a 10 pontos). Do item 4 ao 10 questiona sobre interferência dos sintomas no trabalho, dor, fadiga, cansaço matinal, rigidez, ansiedade e depressão. Esses itens utilizam de uma escala numérica, sendo o 0 nenhuma interferência dos sintomas e 10 muita interferência. </w:t>
      </w:r>
    </w:p>
    <w:p w14:paraId="3AE32A13" w14:textId="77777777" w:rsidR="00EC682A" w:rsidRPr="006D6934" w:rsidRDefault="00EC682A" w:rsidP="00EC682A">
      <w:pPr>
        <w:spacing w:line="276" w:lineRule="auto"/>
        <w:ind w:firstLine="708"/>
        <w:jc w:val="both"/>
        <w:rPr>
          <w:rFonts w:ascii="Calibri" w:hAnsi="Calibri" w:cs="Calibri"/>
          <w:color w:val="auto"/>
        </w:rPr>
      </w:pPr>
    </w:p>
    <w:p w14:paraId="37D1DCEA" w14:textId="2E5AF9F7" w:rsidR="00EC682A" w:rsidRPr="006D6934" w:rsidRDefault="00EC682A" w:rsidP="00EC682A">
      <w:pPr>
        <w:spacing w:line="276" w:lineRule="auto"/>
        <w:jc w:val="both"/>
        <w:rPr>
          <w:rFonts w:ascii="Calibri" w:hAnsi="Calibri" w:cs="Calibri"/>
          <w:color w:val="auto"/>
        </w:rPr>
      </w:pPr>
      <w:r w:rsidRPr="006D6934">
        <w:rPr>
          <w:rFonts w:ascii="Calibri" w:hAnsi="Calibri" w:cs="Calibri"/>
          <w:color w:val="auto"/>
        </w:rPr>
        <w:t>Qualidade do Sono</w:t>
      </w:r>
    </w:p>
    <w:p w14:paraId="0914D7D3" w14:textId="77777777" w:rsidR="00EC682A" w:rsidRPr="006D6934" w:rsidRDefault="00EC682A" w:rsidP="00EC682A">
      <w:pPr>
        <w:spacing w:line="276" w:lineRule="auto"/>
        <w:ind w:firstLine="708"/>
        <w:jc w:val="both"/>
        <w:rPr>
          <w:rFonts w:ascii="Calibri" w:hAnsi="Calibri" w:cs="Calibri"/>
          <w:color w:val="auto"/>
        </w:rPr>
      </w:pPr>
    </w:p>
    <w:p w14:paraId="7FA872D2" w14:textId="2D1F4B0C"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 xml:space="preserve">Todas as </w:t>
      </w:r>
      <w:r w:rsidR="00B253A1" w:rsidRPr="001D27BF">
        <w:rPr>
          <w:rFonts w:ascii="Calibri" w:hAnsi="Calibri" w:cs="Calibri"/>
          <w:color w:val="auto"/>
        </w:rPr>
        <w:t>participantes</w:t>
      </w:r>
      <w:r w:rsidRPr="001D27BF">
        <w:rPr>
          <w:rFonts w:ascii="Calibri" w:hAnsi="Calibri" w:cs="Calibri"/>
          <w:color w:val="auto"/>
        </w:rPr>
        <w:t xml:space="preserve"> deverão responder um questionário de qualidade do sono (PSQI) no início e no final do estudo.</w:t>
      </w:r>
    </w:p>
    <w:p w14:paraId="7C49D2D4" w14:textId="3CE2E71C"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lastRenderedPageBreak/>
        <w:t xml:space="preserve">O PSQI avalia a qualidade do sono durante o período de um mês, e é composto por dezenove questões que serão relatadas pela </w:t>
      </w:r>
      <w:r w:rsidR="00B253A1" w:rsidRPr="001D27BF">
        <w:rPr>
          <w:rFonts w:ascii="Calibri" w:hAnsi="Calibri" w:cs="Calibri"/>
          <w:color w:val="auto"/>
        </w:rPr>
        <w:t>participante</w:t>
      </w:r>
      <w:r w:rsidRPr="001D27BF">
        <w:rPr>
          <w:rFonts w:ascii="Calibri" w:hAnsi="Calibri" w:cs="Calibri"/>
          <w:color w:val="auto"/>
        </w:rPr>
        <w:t xml:space="preserve">, e cinco questões que são direcionadas ao acompanhante da </w:t>
      </w:r>
      <w:r w:rsidR="00B253A1" w:rsidRPr="001D27BF">
        <w:rPr>
          <w:rFonts w:ascii="Calibri" w:hAnsi="Calibri" w:cs="Calibri"/>
          <w:color w:val="auto"/>
        </w:rPr>
        <w:t>participante</w:t>
      </w:r>
      <w:r w:rsidRPr="001D27BF">
        <w:rPr>
          <w:rFonts w:ascii="Calibri" w:hAnsi="Calibri" w:cs="Calibri"/>
          <w:color w:val="auto"/>
        </w:rPr>
        <w:t xml:space="preserve">, seja o cônjuge ou apenas acompanhante de quarto. </w:t>
      </w:r>
    </w:p>
    <w:p w14:paraId="372A087A" w14:textId="77777777"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O questionário é categorizado em sete componentes, com o escore de zero para nenhuma dificuldade e três para dificuldade grave. A soma do escore para os sete componentes varia de zero a vinte e um no escore total, indicando que quanto maior o número, pior é a qualidade de sono.</w:t>
      </w:r>
    </w:p>
    <w:p w14:paraId="6293F4BA" w14:textId="77777777" w:rsidR="00EC682A" w:rsidRPr="001D27BF" w:rsidRDefault="00EC682A" w:rsidP="00EC682A">
      <w:pPr>
        <w:spacing w:line="276" w:lineRule="auto"/>
        <w:ind w:firstLine="708"/>
        <w:jc w:val="both"/>
        <w:rPr>
          <w:rFonts w:ascii="Calibri" w:hAnsi="Calibri" w:cs="Calibri"/>
          <w:color w:val="auto"/>
        </w:rPr>
      </w:pPr>
      <w:r w:rsidRPr="001D27BF">
        <w:rPr>
          <w:rFonts w:ascii="Calibri" w:hAnsi="Calibri" w:cs="Calibri"/>
          <w:color w:val="auto"/>
        </w:rPr>
        <w:t>Cada componente aborda um tema, sendo eles: 1 – qualidade subjetiva do sono, 2 - latência do sono, 3 – duração do sono, 4 – eficiência habitual do sono, 5 - alterações do sono, 6 - uso de medicamentos para dormir e 7 – disfunção diurna do sono.</w:t>
      </w:r>
    </w:p>
    <w:p w14:paraId="3CE3D62F" w14:textId="77777777" w:rsidR="009321CE" w:rsidRPr="001D27BF" w:rsidRDefault="009321CE" w:rsidP="00EC682A">
      <w:pPr>
        <w:spacing w:line="276" w:lineRule="auto"/>
        <w:ind w:firstLine="708"/>
        <w:jc w:val="both"/>
        <w:rPr>
          <w:rFonts w:ascii="Calibri" w:hAnsi="Calibri" w:cs="Calibri"/>
          <w:color w:val="auto"/>
        </w:rPr>
      </w:pPr>
    </w:p>
    <w:p w14:paraId="367D7F56" w14:textId="7EC84A72" w:rsidR="00EC682A" w:rsidRPr="006D6934" w:rsidRDefault="00EC682A" w:rsidP="00EC682A">
      <w:pPr>
        <w:spacing w:line="276" w:lineRule="auto"/>
        <w:jc w:val="both"/>
        <w:rPr>
          <w:rFonts w:ascii="Calibri" w:hAnsi="Calibri" w:cs="Calibri"/>
          <w:color w:val="auto"/>
        </w:rPr>
      </w:pPr>
      <w:r w:rsidRPr="006D6934">
        <w:rPr>
          <w:rFonts w:ascii="Calibri" w:hAnsi="Calibri" w:cs="Calibri"/>
          <w:color w:val="auto"/>
        </w:rPr>
        <w:t xml:space="preserve">Teste Time </w:t>
      </w:r>
      <w:proofErr w:type="spellStart"/>
      <w:r w:rsidRPr="006D6934">
        <w:rPr>
          <w:rFonts w:ascii="Calibri" w:hAnsi="Calibri" w:cs="Calibri"/>
          <w:color w:val="auto"/>
        </w:rPr>
        <w:t>Up</w:t>
      </w:r>
      <w:proofErr w:type="spellEnd"/>
      <w:r w:rsidRPr="006D6934">
        <w:rPr>
          <w:rFonts w:ascii="Calibri" w:hAnsi="Calibri" w:cs="Calibri"/>
          <w:color w:val="auto"/>
        </w:rPr>
        <w:t xml:space="preserve"> </w:t>
      </w:r>
      <w:proofErr w:type="spellStart"/>
      <w:r w:rsidRPr="006D6934">
        <w:rPr>
          <w:rFonts w:ascii="Calibri" w:hAnsi="Calibri" w:cs="Calibri"/>
          <w:color w:val="auto"/>
        </w:rPr>
        <w:t>and</w:t>
      </w:r>
      <w:proofErr w:type="spellEnd"/>
      <w:r w:rsidRPr="006D6934">
        <w:rPr>
          <w:rFonts w:ascii="Calibri" w:hAnsi="Calibri" w:cs="Calibri"/>
          <w:color w:val="auto"/>
        </w:rPr>
        <w:t xml:space="preserve"> Go</w:t>
      </w:r>
    </w:p>
    <w:p w14:paraId="078ADC6A" w14:textId="77777777" w:rsidR="00EC682A" w:rsidRPr="00691D01" w:rsidRDefault="00EC682A" w:rsidP="00EC682A">
      <w:pPr>
        <w:spacing w:line="276" w:lineRule="auto"/>
        <w:ind w:firstLine="708"/>
        <w:jc w:val="both"/>
        <w:rPr>
          <w:rFonts w:ascii="Calibri" w:hAnsi="Calibri" w:cs="Calibri"/>
          <w:color w:val="auto"/>
        </w:rPr>
      </w:pPr>
    </w:p>
    <w:p w14:paraId="75367DA3" w14:textId="78F29A6A"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Para avaliar o grau de mobilidade funcional e correlacionar com o risco de ocorrência de quedas será realizado o teste “Time </w:t>
      </w:r>
      <w:proofErr w:type="spellStart"/>
      <w:r w:rsidRPr="00691D01">
        <w:rPr>
          <w:rFonts w:ascii="Calibri" w:hAnsi="Calibri" w:cs="Calibri"/>
          <w:color w:val="auto"/>
        </w:rPr>
        <w:t>Up</w:t>
      </w:r>
      <w:proofErr w:type="spellEnd"/>
      <w:r w:rsidRPr="00691D01">
        <w:rPr>
          <w:rFonts w:ascii="Calibri" w:hAnsi="Calibri" w:cs="Calibri"/>
          <w:color w:val="auto"/>
        </w:rPr>
        <w:t xml:space="preserve"> </w:t>
      </w:r>
      <w:proofErr w:type="spellStart"/>
      <w:r w:rsidRPr="00691D01">
        <w:rPr>
          <w:rFonts w:ascii="Calibri" w:hAnsi="Calibri" w:cs="Calibri"/>
          <w:color w:val="auto"/>
        </w:rPr>
        <w:t>and</w:t>
      </w:r>
      <w:proofErr w:type="spellEnd"/>
      <w:r w:rsidRPr="00691D01">
        <w:rPr>
          <w:rFonts w:ascii="Calibri" w:hAnsi="Calibri" w:cs="Calibri"/>
          <w:color w:val="auto"/>
        </w:rPr>
        <w:t xml:space="preserve"> Go” (TUG).</w:t>
      </w:r>
    </w:p>
    <w:p w14:paraId="467EB9B8" w14:textId="1EBA5E96"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Em uma sala tranquila e com piso plano será realizado o teste com o auxílio de uma cadeira, um cronômetro, fita métrica e uma ficha para anotações dos dados. O teste é mensurado através do tempo gasto para a realização da prova pela </w:t>
      </w:r>
      <w:r w:rsidR="00B253A1" w:rsidRPr="00691D01">
        <w:rPr>
          <w:rFonts w:ascii="Calibri" w:hAnsi="Calibri" w:cs="Calibri"/>
          <w:color w:val="auto"/>
        </w:rPr>
        <w:t>participante</w:t>
      </w:r>
      <w:r w:rsidRPr="00691D01">
        <w:rPr>
          <w:rFonts w:ascii="Calibri" w:hAnsi="Calibri" w:cs="Calibri"/>
          <w:color w:val="auto"/>
        </w:rPr>
        <w:t xml:space="preserve">. Cada </w:t>
      </w:r>
      <w:r w:rsidR="00B253A1" w:rsidRPr="00691D01">
        <w:rPr>
          <w:rFonts w:ascii="Calibri" w:hAnsi="Calibri" w:cs="Calibri"/>
          <w:color w:val="auto"/>
        </w:rPr>
        <w:t>participante</w:t>
      </w:r>
      <w:r w:rsidRPr="00691D01">
        <w:rPr>
          <w:rFonts w:ascii="Calibri" w:hAnsi="Calibri" w:cs="Calibri"/>
          <w:color w:val="auto"/>
        </w:rPr>
        <w:t xml:space="preserve"> terá que se levantar de uma cadeira, andar uma distância de três metros, dar a volta em um cone, caminhar em direção à cadeira e sentar novamente.</w:t>
      </w:r>
    </w:p>
    <w:p w14:paraId="06A7AA14" w14:textId="0DFBADBF"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A </w:t>
      </w:r>
      <w:r w:rsidR="00B253A1" w:rsidRPr="00691D01">
        <w:rPr>
          <w:rFonts w:ascii="Calibri" w:hAnsi="Calibri" w:cs="Calibri"/>
          <w:color w:val="auto"/>
        </w:rPr>
        <w:t>participante</w:t>
      </w:r>
      <w:r w:rsidRPr="00691D01">
        <w:rPr>
          <w:rFonts w:ascii="Calibri" w:hAnsi="Calibri" w:cs="Calibri"/>
          <w:color w:val="auto"/>
        </w:rPr>
        <w:t xml:space="preserve"> realizará o teste uma vez, para se familiarizar com a técnica, nenhuma ajuda será dada durante a realização do teste, apenas orientações na forma de realizar e incentivo verbal. Em seguida realizará novamente o teste e o tempo gasto será avaliado.</w:t>
      </w:r>
    </w:p>
    <w:p w14:paraId="693479C2" w14:textId="177798A9"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Após a realização do teste “Time </w:t>
      </w:r>
      <w:proofErr w:type="spellStart"/>
      <w:r w:rsidRPr="00691D01">
        <w:rPr>
          <w:rFonts w:ascii="Calibri" w:hAnsi="Calibri" w:cs="Calibri"/>
          <w:color w:val="auto"/>
        </w:rPr>
        <w:t>Up</w:t>
      </w:r>
      <w:proofErr w:type="spellEnd"/>
      <w:r w:rsidRPr="00691D01">
        <w:rPr>
          <w:rFonts w:ascii="Calibri" w:hAnsi="Calibri" w:cs="Calibri"/>
          <w:color w:val="auto"/>
        </w:rPr>
        <w:t xml:space="preserve"> </w:t>
      </w:r>
      <w:proofErr w:type="spellStart"/>
      <w:r w:rsidRPr="00691D01">
        <w:rPr>
          <w:rFonts w:ascii="Calibri" w:hAnsi="Calibri" w:cs="Calibri"/>
          <w:color w:val="auto"/>
        </w:rPr>
        <w:t>and</w:t>
      </w:r>
      <w:proofErr w:type="spellEnd"/>
      <w:r w:rsidRPr="00691D01">
        <w:rPr>
          <w:rFonts w:ascii="Calibri" w:hAnsi="Calibri" w:cs="Calibri"/>
          <w:color w:val="auto"/>
        </w:rPr>
        <w:t xml:space="preserve"> Go”, as </w:t>
      </w:r>
      <w:r w:rsidR="00B253A1" w:rsidRPr="00691D01">
        <w:rPr>
          <w:rFonts w:ascii="Calibri" w:hAnsi="Calibri" w:cs="Calibri"/>
          <w:color w:val="auto"/>
        </w:rPr>
        <w:t>participantes</w:t>
      </w:r>
      <w:r w:rsidRPr="00691D01">
        <w:rPr>
          <w:rFonts w:ascii="Calibri" w:hAnsi="Calibri" w:cs="Calibri"/>
          <w:color w:val="auto"/>
        </w:rPr>
        <w:t xml:space="preserve"> serão divididas de acordo com o tempo gasto para realizá-lo:</w:t>
      </w:r>
    </w:p>
    <w:p w14:paraId="1D300608" w14:textId="77777777"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w:t>
      </w:r>
      <w:r w:rsidRPr="00691D01">
        <w:rPr>
          <w:rFonts w:ascii="Calibri" w:hAnsi="Calibri" w:cs="Calibri"/>
          <w:color w:val="auto"/>
        </w:rPr>
        <w:tab/>
        <w:t>Menos de 10 segundos: baixo risco de quedas;</w:t>
      </w:r>
    </w:p>
    <w:p w14:paraId="566432BA" w14:textId="77777777"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w:t>
      </w:r>
      <w:r w:rsidRPr="00691D01">
        <w:rPr>
          <w:rFonts w:ascii="Calibri" w:hAnsi="Calibri" w:cs="Calibri"/>
          <w:color w:val="auto"/>
        </w:rPr>
        <w:tab/>
        <w:t>10 a 20 segundos: médio risco de quedas;</w:t>
      </w:r>
    </w:p>
    <w:p w14:paraId="5CFAF0E5" w14:textId="77777777"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w:t>
      </w:r>
      <w:r w:rsidRPr="00691D01">
        <w:rPr>
          <w:rFonts w:ascii="Calibri" w:hAnsi="Calibri" w:cs="Calibri"/>
          <w:color w:val="auto"/>
        </w:rPr>
        <w:tab/>
        <w:t>Acima de 20 segundos: alto risco de quedas.</w:t>
      </w:r>
    </w:p>
    <w:p w14:paraId="21F86D8A" w14:textId="77777777" w:rsidR="00EC682A" w:rsidRPr="00691D01" w:rsidRDefault="00EC682A" w:rsidP="00EC682A">
      <w:pPr>
        <w:spacing w:line="276" w:lineRule="auto"/>
        <w:ind w:firstLine="708"/>
        <w:jc w:val="both"/>
        <w:rPr>
          <w:rFonts w:ascii="Calibri" w:hAnsi="Calibri" w:cs="Calibri"/>
          <w:color w:val="auto"/>
        </w:rPr>
      </w:pPr>
    </w:p>
    <w:p w14:paraId="464920C6" w14:textId="77777777" w:rsidR="00EC682A" w:rsidRPr="00691D01" w:rsidRDefault="00EC682A" w:rsidP="00EC682A">
      <w:pPr>
        <w:spacing w:line="276" w:lineRule="auto"/>
        <w:jc w:val="both"/>
        <w:rPr>
          <w:rFonts w:ascii="Calibri" w:hAnsi="Calibri" w:cs="Calibri"/>
          <w:color w:val="auto"/>
        </w:rPr>
      </w:pPr>
    </w:p>
    <w:p w14:paraId="528F13A2" w14:textId="67D73640" w:rsidR="00EC682A" w:rsidRPr="00691D01" w:rsidRDefault="00EC682A" w:rsidP="00EC682A">
      <w:pPr>
        <w:spacing w:line="276" w:lineRule="auto"/>
        <w:jc w:val="both"/>
        <w:rPr>
          <w:rFonts w:ascii="Calibri" w:hAnsi="Calibri" w:cs="Calibri"/>
          <w:color w:val="auto"/>
        </w:rPr>
      </w:pPr>
      <w:r w:rsidRPr="00691D01">
        <w:rPr>
          <w:rFonts w:ascii="Calibri" w:hAnsi="Calibri" w:cs="Calibri"/>
          <w:color w:val="auto"/>
        </w:rPr>
        <w:t>Teste de Sentar e Levantar</w:t>
      </w:r>
    </w:p>
    <w:p w14:paraId="55F11926" w14:textId="77777777" w:rsidR="00EC682A" w:rsidRPr="00691D01" w:rsidRDefault="00EC682A" w:rsidP="00EC682A">
      <w:pPr>
        <w:spacing w:line="276" w:lineRule="auto"/>
        <w:ind w:firstLine="708"/>
        <w:jc w:val="both"/>
        <w:rPr>
          <w:rFonts w:ascii="Calibri" w:hAnsi="Calibri" w:cs="Calibri"/>
          <w:color w:val="auto"/>
        </w:rPr>
      </w:pPr>
    </w:p>
    <w:p w14:paraId="1D5EA4D8" w14:textId="7E7B1881"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O ato de sentar e levantar estão inseridos em grande parte das atividades de vida diária que todos nós realizamos. Quando o movimento de sentar e levantar estão comprometidos, o equilíbrio e a capacidade para realizar exercícios ficam diminuídos e o risco de queda aumenta. O objetivo deste teste funcional é avaliar flexibilidade e força muscular dos membros inferiores, equilíbrio e coordenação motora.</w:t>
      </w:r>
    </w:p>
    <w:p w14:paraId="52E6A45F" w14:textId="438FE70F" w:rsidR="00EC682A" w:rsidRPr="006D6934"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É um teste de baixo custo e de fácil realização, os materiais necessários são uma cadeira sem braços, e cronômetro para marcar o tempo em que o teste será realizado. O teste inicia com a </w:t>
      </w:r>
      <w:r w:rsidR="00B253A1" w:rsidRPr="00691D01">
        <w:rPr>
          <w:rFonts w:ascii="Calibri" w:hAnsi="Calibri" w:cs="Calibri"/>
          <w:color w:val="auto"/>
        </w:rPr>
        <w:t>participante</w:t>
      </w:r>
      <w:r w:rsidRPr="00691D01">
        <w:rPr>
          <w:rFonts w:ascii="Calibri" w:hAnsi="Calibri" w:cs="Calibri"/>
          <w:color w:val="auto"/>
        </w:rPr>
        <w:t xml:space="preserve"> de pé de costas para a cadeira e, quando o cronômet</w:t>
      </w:r>
      <w:r w:rsidR="00C54F8C" w:rsidRPr="00691D01">
        <w:rPr>
          <w:rFonts w:ascii="Calibri" w:hAnsi="Calibri" w:cs="Calibri"/>
          <w:color w:val="auto"/>
        </w:rPr>
        <w:t xml:space="preserve">ro iniciar a contagem, a </w:t>
      </w:r>
      <w:r w:rsidR="00B253A1" w:rsidRPr="00691D01">
        <w:rPr>
          <w:rFonts w:ascii="Calibri" w:hAnsi="Calibri" w:cs="Calibri"/>
          <w:color w:val="auto"/>
        </w:rPr>
        <w:t>participante</w:t>
      </w:r>
      <w:r w:rsidR="00C54F8C" w:rsidRPr="00691D01">
        <w:rPr>
          <w:rFonts w:ascii="Calibri" w:hAnsi="Calibri" w:cs="Calibri"/>
          <w:color w:val="auto"/>
        </w:rPr>
        <w:t xml:space="preserve"> </w:t>
      </w:r>
      <w:r w:rsidRPr="00691D01">
        <w:rPr>
          <w:rFonts w:ascii="Calibri" w:hAnsi="Calibri" w:cs="Calibri"/>
          <w:color w:val="auto"/>
        </w:rPr>
        <w:t xml:space="preserve">deve sentar e levantar durante 30 segundos, o mais rápido que conseguir. Quando a </w:t>
      </w:r>
      <w:r w:rsidR="00B253A1" w:rsidRPr="00691D01">
        <w:rPr>
          <w:rFonts w:ascii="Calibri" w:hAnsi="Calibri" w:cs="Calibri"/>
          <w:color w:val="auto"/>
        </w:rPr>
        <w:t>participante</w:t>
      </w:r>
      <w:r w:rsidRPr="00691D01">
        <w:rPr>
          <w:rFonts w:ascii="Calibri" w:hAnsi="Calibri" w:cs="Calibri"/>
          <w:color w:val="auto"/>
        </w:rPr>
        <w:t xml:space="preserve"> sentar e levantar durante 5 vezes, o avaliador dividirá este tempo no cronômetro, afim de identificar quanto tempo a </w:t>
      </w:r>
      <w:r w:rsidR="00B253A1" w:rsidRPr="00691D01">
        <w:rPr>
          <w:rFonts w:ascii="Calibri" w:hAnsi="Calibri" w:cs="Calibri"/>
          <w:color w:val="auto"/>
        </w:rPr>
        <w:t>participante</w:t>
      </w:r>
      <w:r w:rsidRPr="00691D01">
        <w:rPr>
          <w:rFonts w:ascii="Calibri" w:hAnsi="Calibri" w:cs="Calibri"/>
          <w:color w:val="auto"/>
        </w:rPr>
        <w:t xml:space="preserve"> levou para s</w:t>
      </w:r>
      <w:r w:rsidRPr="006D6934">
        <w:rPr>
          <w:rFonts w:ascii="Calibri" w:hAnsi="Calibri" w:cs="Calibri"/>
          <w:color w:val="auto"/>
        </w:rPr>
        <w:t>entar e levantar 5 vezes, então o cronômetro continuará até os 30 segundos se encerrarem, desta forma, obteremos ao final deste teste dois resultados, com o objetivo de conseguirmos maior confiabilidade dos resultados.</w:t>
      </w:r>
    </w:p>
    <w:p w14:paraId="753CA94C" w14:textId="3FD24239"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Quanto menor o número de vezes que as </w:t>
      </w:r>
      <w:r w:rsidR="00B253A1" w:rsidRPr="00691D01">
        <w:rPr>
          <w:rFonts w:ascii="Calibri" w:hAnsi="Calibri" w:cs="Calibri"/>
          <w:color w:val="auto"/>
        </w:rPr>
        <w:t>participantes</w:t>
      </w:r>
      <w:r w:rsidRPr="00691D01">
        <w:rPr>
          <w:rFonts w:ascii="Calibri" w:hAnsi="Calibri" w:cs="Calibri"/>
          <w:color w:val="auto"/>
        </w:rPr>
        <w:t xml:space="preserve"> sentarem e levantarem, maior será o risco de quedas.</w:t>
      </w:r>
    </w:p>
    <w:p w14:paraId="4354052B" w14:textId="77777777" w:rsidR="009D6061" w:rsidRPr="00691D01" w:rsidRDefault="009D6061" w:rsidP="00EC682A">
      <w:pPr>
        <w:spacing w:line="276" w:lineRule="auto"/>
        <w:jc w:val="both"/>
        <w:rPr>
          <w:rFonts w:ascii="Calibri" w:hAnsi="Calibri" w:cs="Calibri"/>
          <w:color w:val="auto"/>
        </w:rPr>
      </w:pPr>
    </w:p>
    <w:p w14:paraId="7F86F511" w14:textId="6FEEBFE5" w:rsidR="00EC682A" w:rsidRPr="00691D01" w:rsidRDefault="00EC682A" w:rsidP="00EC682A">
      <w:pPr>
        <w:spacing w:line="276" w:lineRule="auto"/>
        <w:jc w:val="both"/>
        <w:rPr>
          <w:rFonts w:ascii="Calibri" w:hAnsi="Calibri" w:cs="Calibri"/>
          <w:color w:val="auto"/>
        </w:rPr>
      </w:pPr>
      <w:r w:rsidRPr="00691D01">
        <w:rPr>
          <w:rFonts w:ascii="Calibri" w:hAnsi="Calibri" w:cs="Calibri"/>
          <w:color w:val="auto"/>
        </w:rPr>
        <w:t>Teste de preensão palmar</w:t>
      </w:r>
    </w:p>
    <w:p w14:paraId="77747C84" w14:textId="77777777" w:rsidR="00EC682A" w:rsidRPr="00691D01" w:rsidRDefault="00EC682A" w:rsidP="00EC682A">
      <w:pPr>
        <w:spacing w:line="276" w:lineRule="auto"/>
        <w:ind w:firstLine="708"/>
        <w:jc w:val="both"/>
        <w:rPr>
          <w:rFonts w:ascii="Calibri" w:hAnsi="Calibri" w:cs="Calibri"/>
          <w:color w:val="auto"/>
        </w:rPr>
      </w:pPr>
    </w:p>
    <w:p w14:paraId="4AD9D102" w14:textId="3544A93B"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lastRenderedPageBreak/>
        <w:t>A força de preensão palmar é um parâmetro para mensurar a força e potência das contrações musculares de forma global.</w:t>
      </w:r>
    </w:p>
    <w:p w14:paraId="213419B6" w14:textId="4D3C3A4D"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Para a realização do teste, a </w:t>
      </w:r>
      <w:r w:rsidR="00B253A1" w:rsidRPr="00691D01">
        <w:rPr>
          <w:rFonts w:ascii="Calibri" w:hAnsi="Calibri" w:cs="Calibri"/>
          <w:color w:val="auto"/>
        </w:rPr>
        <w:t>participante</w:t>
      </w:r>
      <w:r w:rsidRPr="00691D01">
        <w:rPr>
          <w:rFonts w:ascii="Calibri" w:hAnsi="Calibri" w:cs="Calibri"/>
          <w:color w:val="auto"/>
        </w:rPr>
        <w:t xml:space="preserve"> deve estar posicionada sentada em uma cadeira com encosto, com o cotovelo apoiado e fletido a 90º, e com os pés apoiados no chão.</w:t>
      </w:r>
    </w:p>
    <w:p w14:paraId="66CB28BE" w14:textId="261D0BA2"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O teste será realizado durante 30 segundos com uma das mãos, depois com a outra mão, de forma alternada até que seja repetido 3 vezes com a mão direita e 3 vezes com a mão esquerda.</w:t>
      </w:r>
    </w:p>
    <w:p w14:paraId="1AE6E1C2" w14:textId="43541F77"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É esperado que os resultados da mão dominante sejam superiores do que a mão não-dominante.</w:t>
      </w:r>
    </w:p>
    <w:p w14:paraId="266F9610" w14:textId="77777777" w:rsidR="00EC682A" w:rsidRPr="00691D01" w:rsidRDefault="00EC682A" w:rsidP="00EC682A">
      <w:pPr>
        <w:spacing w:line="276" w:lineRule="auto"/>
        <w:ind w:firstLine="708"/>
        <w:jc w:val="both"/>
        <w:rPr>
          <w:rFonts w:ascii="Calibri" w:hAnsi="Calibri" w:cs="Calibri"/>
          <w:color w:val="auto"/>
        </w:rPr>
      </w:pPr>
    </w:p>
    <w:p w14:paraId="21DC9B56" w14:textId="2F7EA6DA" w:rsidR="00EC682A" w:rsidRPr="00691D01" w:rsidRDefault="00EC682A" w:rsidP="00EC682A">
      <w:pPr>
        <w:spacing w:line="276" w:lineRule="auto"/>
        <w:jc w:val="both"/>
        <w:rPr>
          <w:rFonts w:ascii="Calibri" w:hAnsi="Calibri" w:cs="Calibri"/>
          <w:color w:val="auto"/>
        </w:rPr>
      </w:pPr>
      <w:r w:rsidRPr="00691D01">
        <w:rPr>
          <w:rFonts w:ascii="Calibri" w:hAnsi="Calibri" w:cs="Calibri"/>
          <w:color w:val="auto"/>
        </w:rPr>
        <w:t>Teste de variabilidade da frequência cardíaca</w:t>
      </w:r>
    </w:p>
    <w:p w14:paraId="273FFC93" w14:textId="77777777" w:rsidR="00EC682A" w:rsidRPr="00691D01" w:rsidRDefault="00EC682A" w:rsidP="00EC682A">
      <w:pPr>
        <w:spacing w:line="276" w:lineRule="auto"/>
        <w:ind w:firstLine="708"/>
        <w:jc w:val="both"/>
        <w:rPr>
          <w:rFonts w:ascii="Calibri" w:hAnsi="Calibri" w:cs="Calibri"/>
          <w:color w:val="auto"/>
        </w:rPr>
      </w:pPr>
    </w:p>
    <w:p w14:paraId="5CC94E12" w14:textId="71152969"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A FC, batimento a batimento, será obtida e calculada por meio da captação dos intervalos R-R (</w:t>
      </w:r>
      <w:proofErr w:type="spellStart"/>
      <w:r w:rsidRPr="00691D01">
        <w:rPr>
          <w:rFonts w:ascii="Calibri" w:hAnsi="Calibri" w:cs="Calibri"/>
          <w:color w:val="auto"/>
        </w:rPr>
        <w:t>iR-R</w:t>
      </w:r>
      <w:proofErr w:type="spellEnd"/>
      <w:r w:rsidRPr="00691D01">
        <w:rPr>
          <w:rFonts w:ascii="Calibri" w:hAnsi="Calibri" w:cs="Calibri"/>
          <w:color w:val="auto"/>
        </w:rPr>
        <w:t xml:space="preserve">) do eletrocardiograma, com um </w:t>
      </w:r>
      <w:proofErr w:type="spellStart"/>
      <w:r w:rsidRPr="00691D01">
        <w:rPr>
          <w:rFonts w:ascii="Calibri" w:hAnsi="Calibri" w:cs="Calibri"/>
          <w:color w:val="auto"/>
        </w:rPr>
        <w:t>cardiofrequencímetro</w:t>
      </w:r>
      <w:proofErr w:type="spellEnd"/>
      <w:r w:rsidRPr="00691D01">
        <w:rPr>
          <w:rFonts w:ascii="Calibri" w:hAnsi="Calibri" w:cs="Calibri"/>
          <w:color w:val="auto"/>
        </w:rPr>
        <w:t xml:space="preserve"> da marca Polar (S-810), durante todo protocolo descrito, na posição supina, com a </w:t>
      </w:r>
      <w:r w:rsidR="00B253A1" w:rsidRPr="00691D01">
        <w:rPr>
          <w:rFonts w:ascii="Calibri" w:hAnsi="Calibri" w:cs="Calibri"/>
          <w:color w:val="auto"/>
        </w:rPr>
        <w:t>participante</w:t>
      </w:r>
      <w:r w:rsidRPr="00691D01">
        <w:rPr>
          <w:rFonts w:ascii="Calibri" w:hAnsi="Calibri" w:cs="Calibri"/>
          <w:color w:val="auto"/>
        </w:rPr>
        <w:t xml:space="preserve"> em respiração espontânea.</w:t>
      </w:r>
    </w:p>
    <w:p w14:paraId="31C4EAFF" w14:textId="33B450DA"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Previamente ao período de coleta da VFC, as </w:t>
      </w:r>
      <w:r w:rsidR="00B253A1" w:rsidRPr="00691D01">
        <w:rPr>
          <w:rFonts w:ascii="Calibri" w:hAnsi="Calibri" w:cs="Calibri"/>
          <w:color w:val="auto"/>
        </w:rPr>
        <w:t>participantes</w:t>
      </w:r>
      <w:r w:rsidRPr="00691D01">
        <w:rPr>
          <w:rFonts w:ascii="Calibri" w:hAnsi="Calibri" w:cs="Calibri"/>
          <w:color w:val="auto"/>
        </w:rPr>
        <w:t xml:space="preserve"> receberão informações de que não poderão conversar, dormir e se movimentar excessivamente durante o período de registro.</w:t>
      </w:r>
    </w:p>
    <w:p w14:paraId="6A780609" w14:textId="219F955C"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O </w:t>
      </w:r>
      <w:proofErr w:type="spellStart"/>
      <w:r w:rsidRPr="00691D01">
        <w:rPr>
          <w:rFonts w:ascii="Calibri" w:hAnsi="Calibri" w:cs="Calibri"/>
          <w:color w:val="auto"/>
        </w:rPr>
        <w:t>cardiofrequencímetro</w:t>
      </w:r>
      <w:proofErr w:type="spellEnd"/>
      <w:r w:rsidRPr="00691D01">
        <w:rPr>
          <w:rFonts w:ascii="Calibri" w:hAnsi="Calibri" w:cs="Calibri"/>
          <w:color w:val="auto"/>
        </w:rPr>
        <w:t xml:space="preserve"> possui uma cinta transmissora e um relógio monitor-receptor. A cinta transmissora será posicionada na altura do processo </w:t>
      </w:r>
      <w:proofErr w:type="spellStart"/>
      <w:r w:rsidRPr="00691D01">
        <w:rPr>
          <w:rFonts w:ascii="Calibri" w:hAnsi="Calibri" w:cs="Calibri"/>
          <w:color w:val="auto"/>
        </w:rPr>
        <w:t>xifóide</w:t>
      </w:r>
      <w:proofErr w:type="spellEnd"/>
      <w:r w:rsidRPr="00691D01">
        <w:rPr>
          <w:rFonts w:ascii="Calibri" w:hAnsi="Calibri" w:cs="Calibri"/>
          <w:color w:val="auto"/>
        </w:rPr>
        <w:t xml:space="preserve"> e o monitor receptor permanecerá no punho esquerdo das </w:t>
      </w:r>
      <w:r w:rsidR="00B253A1" w:rsidRPr="00691D01">
        <w:rPr>
          <w:rFonts w:ascii="Calibri" w:hAnsi="Calibri" w:cs="Calibri"/>
          <w:color w:val="auto"/>
        </w:rPr>
        <w:t>participantes</w:t>
      </w:r>
      <w:r w:rsidRPr="00691D01">
        <w:rPr>
          <w:rFonts w:ascii="Calibri" w:hAnsi="Calibri" w:cs="Calibri"/>
          <w:color w:val="auto"/>
        </w:rPr>
        <w:t>. Após estabilização da FC na posição de repouso (5 minutos), a coleta será iniciada.</w:t>
      </w:r>
    </w:p>
    <w:p w14:paraId="198C7977" w14:textId="6A7CDEAD"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Após o tempo de coleta, os intervalos R-R serão transmitidos para um computador, utilizando-se o software Polar </w:t>
      </w:r>
      <w:proofErr w:type="spellStart"/>
      <w:r w:rsidRPr="00691D01">
        <w:rPr>
          <w:rFonts w:ascii="Calibri" w:hAnsi="Calibri" w:cs="Calibri"/>
          <w:color w:val="auto"/>
        </w:rPr>
        <w:t>Precision</w:t>
      </w:r>
      <w:proofErr w:type="spellEnd"/>
      <w:r w:rsidRPr="00691D01">
        <w:rPr>
          <w:rFonts w:ascii="Calibri" w:hAnsi="Calibri" w:cs="Calibri"/>
          <w:color w:val="auto"/>
        </w:rPr>
        <w:t xml:space="preserve"> Performance (versão 3.02.007), através de uma Interface IR (Infra Vermelho). Será selecionado um trecho com ±1000 pontos consecutivos estáveis, de batimentos sinusais, que serão convertidos em arquivos de texto.</w:t>
      </w:r>
    </w:p>
    <w:p w14:paraId="3D1C76D0" w14:textId="5377942C"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Os mesmos serão submetidos à análise da sua variabilidade, utilizando-se métodos lineares dos domínios do tempo e da frequência e métodos não lineares, por meio do software </w:t>
      </w:r>
      <w:proofErr w:type="spellStart"/>
      <w:r w:rsidRPr="00691D01">
        <w:rPr>
          <w:rFonts w:ascii="Calibri" w:hAnsi="Calibri" w:cs="Calibri"/>
          <w:color w:val="auto"/>
        </w:rPr>
        <w:t>Kubios</w:t>
      </w:r>
      <w:proofErr w:type="spellEnd"/>
      <w:r w:rsidRPr="00691D01">
        <w:rPr>
          <w:rFonts w:ascii="Calibri" w:hAnsi="Calibri" w:cs="Calibri"/>
          <w:color w:val="auto"/>
        </w:rPr>
        <w:t xml:space="preserve"> HRV </w:t>
      </w:r>
      <w:proofErr w:type="spellStart"/>
      <w:r w:rsidRPr="00691D01">
        <w:rPr>
          <w:rFonts w:ascii="Calibri" w:hAnsi="Calibri" w:cs="Calibri"/>
          <w:color w:val="auto"/>
        </w:rPr>
        <w:t>Standart</w:t>
      </w:r>
      <w:proofErr w:type="spellEnd"/>
      <w:r w:rsidRPr="00691D01">
        <w:rPr>
          <w:rFonts w:ascii="Calibri" w:hAnsi="Calibri" w:cs="Calibri"/>
          <w:color w:val="auto"/>
        </w:rPr>
        <w:t>, versão 3.4.1.</w:t>
      </w:r>
    </w:p>
    <w:p w14:paraId="7047AEA4" w14:textId="77777777" w:rsidR="00CF6055" w:rsidRPr="00691D01" w:rsidRDefault="00CF6055" w:rsidP="00CF6055">
      <w:pPr>
        <w:spacing w:line="276" w:lineRule="auto"/>
        <w:jc w:val="both"/>
        <w:rPr>
          <w:rFonts w:ascii="Calibri" w:hAnsi="Calibri" w:cs="Calibri"/>
          <w:color w:val="auto"/>
        </w:rPr>
      </w:pPr>
    </w:p>
    <w:p w14:paraId="0BBED30D" w14:textId="1A8B6252" w:rsidR="00EC682A" w:rsidRPr="00691D01" w:rsidRDefault="00EC682A" w:rsidP="00CF6055">
      <w:pPr>
        <w:spacing w:line="276" w:lineRule="auto"/>
        <w:jc w:val="both"/>
        <w:rPr>
          <w:rFonts w:ascii="Calibri" w:hAnsi="Calibri" w:cs="Calibri"/>
          <w:color w:val="auto"/>
        </w:rPr>
      </w:pPr>
      <w:r w:rsidRPr="00691D01">
        <w:rPr>
          <w:rFonts w:ascii="Calibri" w:hAnsi="Calibri" w:cs="Calibri"/>
          <w:color w:val="auto"/>
        </w:rPr>
        <w:t>PROTOCOLO DE TRATAMENTO</w:t>
      </w:r>
    </w:p>
    <w:p w14:paraId="32B3457B" w14:textId="77777777" w:rsidR="00EC682A" w:rsidRPr="00691D01" w:rsidRDefault="00EC682A" w:rsidP="00EC682A">
      <w:pPr>
        <w:spacing w:line="276" w:lineRule="auto"/>
        <w:ind w:firstLine="708"/>
        <w:jc w:val="both"/>
        <w:rPr>
          <w:rFonts w:ascii="Calibri" w:hAnsi="Calibri" w:cs="Calibri"/>
          <w:color w:val="auto"/>
        </w:rPr>
      </w:pPr>
    </w:p>
    <w:p w14:paraId="227D5C86" w14:textId="0903B507"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As técnicas serão aplicadas por três estudantes do curso de fisioterapia do último ano, que são aptas para realizar as técnicas visto que as mesmas já cursaram a disciplina de recursos terapêuticos manuais. Somado a isto, as estudantes receberam novo treinamento, pelo professor da disciplina, que estabeleceu o protocolo de tratamento de cada grupo de estudo. Por fim, é importante destacar que as sessões serão supervisionadas pelo professor.</w:t>
      </w:r>
    </w:p>
    <w:p w14:paraId="3E53362E" w14:textId="35832577" w:rsidR="00EC682A" w:rsidRPr="00691D01"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As </w:t>
      </w:r>
      <w:r w:rsidR="00B253A1" w:rsidRPr="00691D01">
        <w:rPr>
          <w:rFonts w:ascii="Calibri" w:hAnsi="Calibri" w:cs="Calibri"/>
          <w:color w:val="auto"/>
        </w:rPr>
        <w:t>participantes</w:t>
      </w:r>
      <w:r w:rsidRPr="00691D01">
        <w:rPr>
          <w:rFonts w:ascii="Calibri" w:hAnsi="Calibri" w:cs="Calibri"/>
          <w:color w:val="auto"/>
        </w:rPr>
        <w:t xml:space="preserve"> serão posicionadas em decúbito ventral sobre a maca, acomodadas em uma sala em que não haja circulação de pessoas, a temperatura e a iluminação da sala também serão controladas para que haja maior conforto da </w:t>
      </w:r>
      <w:r w:rsidR="00B253A1" w:rsidRPr="00691D01">
        <w:rPr>
          <w:rFonts w:ascii="Calibri" w:hAnsi="Calibri" w:cs="Calibri"/>
          <w:color w:val="auto"/>
        </w:rPr>
        <w:t>participante</w:t>
      </w:r>
      <w:r w:rsidRPr="00691D01">
        <w:rPr>
          <w:rFonts w:ascii="Calibri" w:hAnsi="Calibri" w:cs="Calibri"/>
          <w:color w:val="auto"/>
        </w:rPr>
        <w:t>.</w:t>
      </w:r>
    </w:p>
    <w:p w14:paraId="195250B7" w14:textId="77777777" w:rsidR="00EC682A" w:rsidRPr="00691D01" w:rsidRDefault="00EC682A" w:rsidP="00EC682A">
      <w:pPr>
        <w:spacing w:line="276" w:lineRule="auto"/>
        <w:ind w:firstLine="708"/>
        <w:jc w:val="both"/>
        <w:rPr>
          <w:rFonts w:ascii="Calibri" w:hAnsi="Calibri" w:cs="Calibri"/>
          <w:color w:val="auto"/>
        </w:rPr>
      </w:pPr>
    </w:p>
    <w:p w14:paraId="05EF3355" w14:textId="39D1E6DA" w:rsidR="00EC682A" w:rsidRPr="00691D01" w:rsidRDefault="00EC682A" w:rsidP="00CF6055">
      <w:pPr>
        <w:spacing w:line="276" w:lineRule="auto"/>
        <w:jc w:val="both"/>
        <w:rPr>
          <w:rFonts w:ascii="Calibri" w:hAnsi="Calibri" w:cs="Calibri"/>
          <w:color w:val="auto"/>
        </w:rPr>
      </w:pPr>
      <w:r w:rsidRPr="00691D01">
        <w:rPr>
          <w:rFonts w:ascii="Calibri" w:hAnsi="Calibri" w:cs="Calibri"/>
          <w:color w:val="auto"/>
        </w:rPr>
        <w:t>Massagem Clássica Relaxante</w:t>
      </w:r>
    </w:p>
    <w:p w14:paraId="4490F5DB" w14:textId="77777777" w:rsidR="00EC682A" w:rsidRPr="00691D01" w:rsidRDefault="00EC682A" w:rsidP="00EC682A">
      <w:pPr>
        <w:spacing w:line="276" w:lineRule="auto"/>
        <w:ind w:firstLine="708"/>
        <w:jc w:val="both"/>
        <w:rPr>
          <w:rFonts w:ascii="Calibri" w:hAnsi="Calibri" w:cs="Calibri"/>
          <w:color w:val="auto"/>
        </w:rPr>
      </w:pPr>
    </w:p>
    <w:p w14:paraId="0834B252" w14:textId="54551B4E" w:rsidR="00EC682A" w:rsidRPr="006D6934" w:rsidRDefault="00EC682A" w:rsidP="00EC682A">
      <w:pPr>
        <w:spacing w:line="276" w:lineRule="auto"/>
        <w:ind w:firstLine="708"/>
        <w:jc w:val="both"/>
        <w:rPr>
          <w:rFonts w:ascii="Calibri" w:hAnsi="Calibri" w:cs="Calibri"/>
          <w:color w:val="auto"/>
        </w:rPr>
      </w:pPr>
      <w:r w:rsidRPr="00691D01">
        <w:rPr>
          <w:rFonts w:ascii="Calibri" w:hAnsi="Calibri" w:cs="Calibri"/>
          <w:color w:val="auto"/>
        </w:rPr>
        <w:t xml:space="preserve">As técnicas serão realizadas em todo o dorso das </w:t>
      </w:r>
      <w:r w:rsidR="00B253A1" w:rsidRPr="00691D01">
        <w:rPr>
          <w:rFonts w:ascii="Calibri" w:hAnsi="Calibri" w:cs="Calibri"/>
          <w:color w:val="auto"/>
        </w:rPr>
        <w:t>participantes</w:t>
      </w:r>
      <w:r w:rsidRPr="00691D01">
        <w:rPr>
          <w:rFonts w:ascii="Calibri" w:hAnsi="Calibri" w:cs="Calibri"/>
          <w:color w:val="auto"/>
        </w:rPr>
        <w:t xml:space="preserve"> desde a base do crânio até a região </w:t>
      </w:r>
      <w:proofErr w:type="spellStart"/>
      <w:r w:rsidRPr="00691D01">
        <w:rPr>
          <w:rFonts w:ascii="Calibri" w:hAnsi="Calibri" w:cs="Calibri"/>
          <w:color w:val="auto"/>
        </w:rPr>
        <w:t>lombossacra</w:t>
      </w:r>
      <w:proofErr w:type="spellEnd"/>
      <w:r w:rsidRPr="00691D01">
        <w:rPr>
          <w:rFonts w:ascii="Calibri" w:hAnsi="Calibri" w:cs="Calibri"/>
          <w:color w:val="auto"/>
        </w:rPr>
        <w:t>. As sessões serão realizadas em um período de 30 minutos, sendo aplica</w:t>
      </w:r>
      <w:r w:rsidRPr="006D6934">
        <w:rPr>
          <w:rFonts w:ascii="Calibri" w:hAnsi="Calibri" w:cs="Calibri"/>
          <w:color w:val="auto"/>
        </w:rPr>
        <w:t xml:space="preserve">das técnicas de deslizamento superficial, deslizamento profundo, compressão e amassamento. As técnicas serão aplicadas na região do dorso das </w:t>
      </w:r>
      <w:r w:rsidR="00B253A1" w:rsidRPr="00691D01">
        <w:rPr>
          <w:rFonts w:ascii="Calibri" w:hAnsi="Calibri" w:cs="Calibri"/>
          <w:color w:val="auto"/>
        </w:rPr>
        <w:t>participantes</w:t>
      </w:r>
      <w:r w:rsidRPr="006D6934">
        <w:rPr>
          <w:rFonts w:ascii="Calibri" w:hAnsi="Calibri" w:cs="Calibri"/>
          <w:color w:val="auto"/>
        </w:rPr>
        <w:t xml:space="preserve"> e em segmentos corporais que elas relatarem dor e desconforto durante a anamnese.</w:t>
      </w:r>
    </w:p>
    <w:p w14:paraId="68A9AC82" w14:textId="77777777" w:rsidR="00EC682A" w:rsidRPr="006D6934" w:rsidRDefault="00EC682A" w:rsidP="00EC682A">
      <w:pPr>
        <w:spacing w:line="276" w:lineRule="auto"/>
        <w:ind w:firstLine="708"/>
        <w:jc w:val="both"/>
        <w:rPr>
          <w:rFonts w:ascii="Calibri" w:hAnsi="Calibri" w:cs="Calibri"/>
          <w:color w:val="auto"/>
        </w:rPr>
      </w:pPr>
    </w:p>
    <w:p w14:paraId="504BE452" w14:textId="1111C1B8" w:rsidR="00EC682A" w:rsidRPr="006D6934" w:rsidRDefault="00EC682A" w:rsidP="00CF6055">
      <w:pPr>
        <w:spacing w:line="276" w:lineRule="auto"/>
        <w:jc w:val="both"/>
        <w:rPr>
          <w:rFonts w:ascii="Calibri" w:hAnsi="Calibri" w:cs="Calibri"/>
          <w:color w:val="auto"/>
        </w:rPr>
      </w:pPr>
      <w:r w:rsidRPr="006D6934">
        <w:rPr>
          <w:rFonts w:ascii="Calibri" w:hAnsi="Calibri" w:cs="Calibri"/>
          <w:color w:val="auto"/>
        </w:rPr>
        <w:t>Liberação Miofascial</w:t>
      </w:r>
    </w:p>
    <w:p w14:paraId="0A83099D" w14:textId="77777777" w:rsidR="00EC682A" w:rsidRPr="006D6934" w:rsidRDefault="00EC682A" w:rsidP="00EC682A">
      <w:pPr>
        <w:spacing w:line="276" w:lineRule="auto"/>
        <w:ind w:firstLine="708"/>
        <w:jc w:val="both"/>
        <w:rPr>
          <w:rFonts w:ascii="Calibri" w:hAnsi="Calibri" w:cs="Calibri"/>
          <w:color w:val="auto"/>
        </w:rPr>
      </w:pPr>
    </w:p>
    <w:p w14:paraId="60148E1F" w14:textId="3BE32DD0" w:rsidR="00EC682A" w:rsidRPr="00B458D4" w:rsidRDefault="00EC682A" w:rsidP="00EC682A">
      <w:pPr>
        <w:spacing w:line="276" w:lineRule="auto"/>
        <w:ind w:firstLine="708"/>
        <w:jc w:val="both"/>
        <w:rPr>
          <w:rFonts w:ascii="Calibri" w:hAnsi="Calibri" w:cs="Calibri"/>
          <w:color w:val="000000" w:themeColor="text1"/>
        </w:rPr>
      </w:pPr>
      <w:r w:rsidRPr="00B458D4">
        <w:rPr>
          <w:rFonts w:ascii="Calibri" w:hAnsi="Calibri" w:cs="Calibri"/>
          <w:color w:val="000000" w:themeColor="text1"/>
        </w:rPr>
        <w:t xml:space="preserve">As técnicas serão realizadas no dorso da </w:t>
      </w:r>
      <w:r w:rsidR="00B253A1" w:rsidRPr="00B458D4">
        <w:rPr>
          <w:rFonts w:ascii="Calibri" w:hAnsi="Calibri" w:cs="Calibri"/>
          <w:color w:val="000000" w:themeColor="text1"/>
        </w:rPr>
        <w:t>participante</w:t>
      </w:r>
      <w:r w:rsidRPr="00B458D4">
        <w:rPr>
          <w:rFonts w:ascii="Calibri" w:hAnsi="Calibri" w:cs="Calibri"/>
          <w:color w:val="000000" w:themeColor="text1"/>
        </w:rPr>
        <w:t xml:space="preserve">, desde a base do crânio até a região </w:t>
      </w:r>
      <w:proofErr w:type="spellStart"/>
      <w:r w:rsidRPr="00B458D4">
        <w:rPr>
          <w:rFonts w:ascii="Calibri" w:hAnsi="Calibri" w:cs="Calibri"/>
          <w:color w:val="000000" w:themeColor="text1"/>
        </w:rPr>
        <w:t>lombossacra</w:t>
      </w:r>
      <w:proofErr w:type="spellEnd"/>
      <w:r w:rsidRPr="00B458D4">
        <w:rPr>
          <w:rFonts w:ascii="Calibri" w:hAnsi="Calibri" w:cs="Calibri"/>
          <w:color w:val="000000" w:themeColor="text1"/>
        </w:rPr>
        <w:t xml:space="preserve">. As sessões serão realizadas durante o período de 30 minutos com as técnicas de: J. </w:t>
      </w:r>
      <w:proofErr w:type="spellStart"/>
      <w:r w:rsidRPr="00B458D4">
        <w:rPr>
          <w:rFonts w:ascii="Calibri" w:hAnsi="Calibri" w:cs="Calibri"/>
          <w:color w:val="000000" w:themeColor="text1"/>
        </w:rPr>
        <w:t>Stroking</w:t>
      </w:r>
      <w:proofErr w:type="spellEnd"/>
      <w:r w:rsidRPr="00B458D4">
        <w:rPr>
          <w:rFonts w:ascii="Calibri" w:hAnsi="Calibri" w:cs="Calibri"/>
          <w:color w:val="000000" w:themeColor="text1"/>
        </w:rPr>
        <w:t xml:space="preserve">, realizada em vários sentidos </w:t>
      </w:r>
      <w:r w:rsidRPr="00B458D4">
        <w:rPr>
          <w:rFonts w:ascii="Calibri" w:hAnsi="Calibri" w:cs="Calibri"/>
          <w:color w:val="000000" w:themeColor="text1"/>
        </w:rPr>
        <w:lastRenderedPageBreak/>
        <w:t xml:space="preserve">na pele, esta será a primeira técnica, pois é superficial, o que permite a preparar a pele para receber as outras técnicas; Em seguida será aplicada uma técnica de liberação miofascial mais profunda, a técnica de mãos cruzadas, onde a estudante irá colocar as mãos cruzadas sobre a região dorsal da </w:t>
      </w:r>
      <w:r w:rsidR="00B253A1" w:rsidRPr="00B458D4">
        <w:rPr>
          <w:rFonts w:ascii="Calibri" w:hAnsi="Calibri" w:cs="Calibri"/>
          <w:color w:val="000000" w:themeColor="text1"/>
        </w:rPr>
        <w:t>participante</w:t>
      </w:r>
      <w:r w:rsidRPr="00B458D4">
        <w:rPr>
          <w:rFonts w:ascii="Calibri" w:hAnsi="Calibri" w:cs="Calibri"/>
          <w:color w:val="000000" w:themeColor="text1"/>
        </w:rPr>
        <w:t xml:space="preserve">, e pressão e tensão sobre a pele e fáscia das </w:t>
      </w:r>
      <w:r w:rsidR="00B253A1" w:rsidRPr="00B458D4">
        <w:rPr>
          <w:rFonts w:ascii="Calibri" w:hAnsi="Calibri" w:cs="Calibri"/>
          <w:color w:val="000000" w:themeColor="text1"/>
        </w:rPr>
        <w:t>participantes</w:t>
      </w:r>
      <w:r w:rsidRPr="00B458D4">
        <w:rPr>
          <w:rFonts w:ascii="Calibri" w:hAnsi="Calibri" w:cs="Calibri"/>
          <w:color w:val="000000" w:themeColor="text1"/>
        </w:rPr>
        <w:t xml:space="preserve"> e realizará movimentos tridimensionais enquanto mantém a pressão sobre a pele; A terceira técnica de liberação é mais específica no que se diz respeito à direção das fibras musculares, enquanto uma das mãos da estudante estabiliza a pele, a outra mão com o punho fechado, realizará o movimento de arraste sobre o músculo no sentido das fibras musculares do mesmo. A última técnica a ser realizada será de liberação miofascial instrumental, utilizando o soco, nas técnicas de escavação e varredura com foco em paravertebrais e trapézio. </w:t>
      </w:r>
    </w:p>
    <w:p w14:paraId="0F9D1D0C" w14:textId="722C4F9B" w:rsidR="00EC682A" w:rsidRPr="00B458D4" w:rsidRDefault="00EC682A" w:rsidP="00EC682A">
      <w:pPr>
        <w:spacing w:line="276" w:lineRule="auto"/>
        <w:ind w:firstLine="708"/>
        <w:jc w:val="both"/>
        <w:rPr>
          <w:rFonts w:ascii="Calibri" w:hAnsi="Calibri" w:cs="Calibri"/>
          <w:color w:val="000000" w:themeColor="text1"/>
        </w:rPr>
      </w:pPr>
      <w:r w:rsidRPr="00B458D4">
        <w:rPr>
          <w:rFonts w:ascii="Calibri" w:hAnsi="Calibri" w:cs="Calibri"/>
          <w:color w:val="000000" w:themeColor="text1"/>
        </w:rPr>
        <w:t xml:space="preserve">No período de 05 minutos finais, as técnicas citadas acima serão realizadas em segmentos corporais que as </w:t>
      </w:r>
      <w:r w:rsidR="00B253A1" w:rsidRPr="00B458D4">
        <w:rPr>
          <w:rFonts w:ascii="Calibri" w:hAnsi="Calibri" w:cs="Calibri"/>
          <w:color w:val="000000" w:themeColor="text1"/>
        </w:rPr>
        <w:t>participantes</w:t>
      </w:r>
      <w:r w:rsidRPr="00B458D4">
        <w:rPr>
          <w:rFonts w:ascii="Calibri" w:hAnsi="Calibri" w:cs="Calibri"/>
          <w:color w:val="000000" w:themeColor="text1"/>
        </w:rPr>
        <w:t xml:space="preserve"> relatarem dor e desconforto durante a anamnese. Todas as técnicas de liberação miofascial serão realizadas abaixo do limiar de dor das </w:t>
      </w:r>
      <w:r w:rsidR="00B253A1" w:rsidRPr="00B458D4">
        <w:rPr>
          <w:rFonts w:ascii="Calibri" w:hAnsi="Calibri" w:cs="Calibri"/>
          <w:color w:val="000000" w:themeColor="text1"/>
        </w:rPr>
        <w:t>participantes</w:t>
      </w:r>
      <w:r w:rsidRPr="00B458D4">
        <w:rPr>
          <w:rFonts w:ascii="Calibri" w:hAnsi="Calibri" w:cs="Calibri"/>
          <w:color w:val="000000" w:themeColor="text1"/>
        </w:rPr>
        <w:t>.</w:t>
      </w:r>
    </w:p>
    <w:p w14:paraId="19700A69" w14:textId="77777777" w:rsidR="00EC682A" w:rsidRPr="00B458D4" w:rsidRDefault="00EC682A" w:rsidP="00EC682A">
      <w:pPr>
        <w:spacing w:line="276" w:lineRule="auto"/>
        <w:ind w:firstLine="708"/>
        <w:jc w:val="both"/>
        <w:rPr>
          <w:rFonts w:ascii="Calibri" w:hAnsi="Calibri" w:cs="Calibri"/>
          <w:color w:val="000000" w:themeColor="text1"/>
        </w:rPr>
      </w:pPr>
    </w:p>
    <w:p w14:paraId="7A4C28B2" w14:textId="0940F797" w:rsidR="00EC682A" w:rsidRPr="00B458D4" w:rsidRDefault="00EC682A" w:rsidP="00FA44DA">
      <w:pPr>
        <w:spacing w:line="276" w:lineRule="auto"/>
        <w:jc w:val="both"/>
        <w:rPr>
          <w:rFonts w:ascii="Calibri" w:hAnsi="Calibri" w:cs="Calibri"/>
          <w:color w:val="000000" w:themeColor="text1"/>
        </w:rPr>
      </w:pPr>
      <w:r w:rsidRPr="00B458D4">
        <w:rPr>
          <w:rFonts w:ascii="Calibri" w:hAnsi="Calibri" w:cs="Calibri"/>
          <w:color w:val="000000" w:themeColor="text1"/>
        </w:rPr>
        <w:t>Recursos Terapêuticos Manuais Combinados</w:t>
      </w:r>
    </w:p>
    <w:p w14:paraId="56C22A9A" w14:textId="77777777" w:rsidR="00EC682A" w:rsidRPr="00B458D4" w:rsidRDefault="00EC682A" w:rsidP="00EC682A">
      <w:pPr>
        <w:spacing w:line="276" w:lineRule="auto"/>
        <w:ind w:firstLine="708"/>
        <w:jc w:val="both"/>
        <w:rPr>
          <w:rFonts w:ascii="Calibri" w:hAnsi="Calibri" w:cs="Calibri"/>
          <w:color w:val="000000" w:themeColor="text1"/>
        </w:rPr>
      </w:pPr>
    </w:p>
    <w:p w14:paraId="75858A14" w14:textId="1FBE3D7C" w:rsidR="00EC682A" w:rsidRPr="006D6934" w:rsidRDefault="00EC682A" w:rsidP="00EC682A">
      <w:pPr>
        <w:spacing w:line="276" w:lineRule="auto"/>
        <w:ind w:firstLine="708"/>
        <w:jc w:val="both"/>
        <w:rPr>
          <w:rFonts w:ascii="Calibri" w:hAnsi="Calibri" w:cs="Calibri"/>
          <w:color w:val="auto"/>
        </w:rPr>
      </w:pPr>
      <w:r w:rsidRPr="00B458D4">
        <w:rPr>
          <w:rFonts w:ascii="Calibri" w:hAnsi="Calibri" w:cs="Calibri"/>
          <w:color w:val="000000" w:themeColor="text1"/>
        </w:rPr>
        <w:tab/>
        <w:t xml:space="preserve">As </w:t>
      </w:r>
      <w:r w:rsidR="00B253A1" w:rsidRPr="00B458D4">
        <w:rPr>
          <w:rFonts w:ascii="Calibri" w:hAnsi="Calibri" w:cs="Calibri"/>
          <w:color w:val="000000" w:themeColor="text1"/>
        </w:rPr>
        <w:t>participantes</w:t>
      </w:r>
      <w:r w:rsidRPr="00B458D4">
        <w:rPr>
          <w:rFonts w:ascii="Calibri" w:hAnsi="Calibri" w:cs="Calibri"/>
          <w:color w:val="000000" w:themeColor="text1"/>
        </w:rPr>
        <w:t xml:space="preserve"> receberão ao </w:t>
      </w:r>
      <w:r w:rsidRPr="006D6934">
        <w:rPr>
          <w:rFonts w:ascii="Calibri" w:hAnsi="Calibri" w:cs="Calibri"/>
          <w:color w:val="auto"/>
        </w:rPr>
        <w:t>longo de 30 minutos as técnicas descritas para Massagem Clássica Relaxante e Liberação miofascial na região do dorso e pontos dolorosos identificados durante a anamnese, seguindo os mesmos protocolos descritos anteriormente para essas técnicas.</w:t>
      </w:r>
    </w:p>
    <w:p w14:paraId="4F9BA67F" w14:textId="77777777" w:rsidR="00E45395" w:rsidRPr="006D6934" w:rsidRDefault="00E45395" w:rsidP="00E45395">
      <w:pPr>
        <w:spacing w:line="276" w:lineRule="auto"/>
        <w:ind w:firstLine="708"/>
        <w:jc w:val="both"/>
        <w:rPr>
          <w:rFonts w:ascii="Calibri" w:hAnsi="Calibri" w:cs="Calibri"/>
          <w:color w:val="auto"/>
        </w:rPr>
      </w:pPr>
    </w:p>
    <w:p w14:paraId="3CAEB527" w14:textId="77777777" w:rsidR="00E45395" w:rsidRPr="006D6934" w:rsidRDefault="00E45395" w:rsidP="00EA1763">
      <w:pPr>
        <w:spacing w:line="276" w:lineRule="auto"/>
        <w:ind w:firstLine="708"/>
        <w:jc w:val="both"/>
        <w:rPr>
          <w:rFonts w:ascii="Calibri" w:hAnsi="Calibri" w:cs="Calibri"/>
          <w:color w:val="auto"/>
        </w:rPr>
      </w:pPr>
    </w:p>
    <w:p w14:paraId="402186A0" w14:textId="77777777" w:rsidR="00701E7F" w:rsidRPr="006D6934" w:rsidRDefault="00EC3554">
      <w:pPr>
        <w:spacing w:line="276" w:lineRule="auto"/>
        <w:jc w:val="both"/>
        <w:rPr>
          <w:rFonts w:ascii="Calibri" w:hAnsi="Calibri" w:cs="Calibri"/>
          <w:color w:val="auto"/>
          <w:sz w:val="16"/>
          <w:szCs w:val="16"/>
        </w:rPr>
      </w:pPr>
      <w:r w:rsidRPr="006D6934">
        <w:rPr>
          <w:rFonts w:ascii="Calibri" w:hAnsi="Calibri" w:cs="Calibri"/>
          <w:b/>
          <w:color w:val="auto"/>
        </w:rPr>
        <w:t xml:space="preserve">7) CRITÉRIOS DE INCLUSÃO E EXCLUSÃO DOS </w:t>
      </w:r>
      <w:r w:rsidRPr="00D93461">
        <w:rPr>
          <w:rFonts w:ascii="Calibri" w:hAnsi="Calibri" w:cs="Calibri"/>
          <w:b/>
          <w:color w:val="000000" w:themeColor="text1"/>
        </w:rPr>
        <w:t>PARTICIPANTES</w:t>
      </w:r>
    </w:p>
    <w:p w14:paraId="2F5F8514" w14:textId="77777777" w:rsidR="00DB1BEB" w:rsidRPr="006D6934" w:rsidRDefault="00DB1BEB" w:rsidP="00DB1BEB">
      <w:pPr>
        <w:spacing w:line="276" w:lineRule="auto"/>
        <w:jc w:val="both"/>
        <w:rPr>
          <w:rFonts w:ascii="Calibri" w:hAnsi="Calibri" w:cs="Calibri"/>
          <w:color w:val="auto"/>
        </w:rPr>
      </w:pPr>
    </w:p>
    <w:p w14:paraId="5998A702" w14:textId="77777777" w:rsidR="001356CF" w:rsidRPr="006D6934" w:rsidRDefault="001356CF" w:rsidP="00DB1BEB">
      <w:pPr>
        <w:spacing w:line="276" w:lineRule="auto"/>
        <w:jc w:val="both"/>
        <w:rPr>
          <w:rFonts w:ascii="Calibri" w:hAnsi="Calibri" w:cs="Calibri"/>
          <w:color w:val="auto"/>
        </w:rPr>
      </w:pPr>
      <w:r w:rsidRPr="006D6934">
        <w:rPr>
          <w:rFonts w:ascii="Calibri" w:hAnsi="Calibri" w:cs="Calibri"/>
          <w:color w:val="auto"/>
        </w:rPr>
        <w:t>CASUÍSTICA E CRITÉRIOS DE INCLUSÃO</w:t>
      </w:r>
    </w:p>
    <w:p w14:paraId="504BD1DD" w14:textId="77777777" w:rsidR="001356CF" w:rsidRPr="006D6934" w:rsidRDefault="001356CF" w:rsidP="001356CF">
      <w:pPr>
        <w:spacing w:line="276" w:lineRule="auto"/>
        <w:ind w:firstLine="708"/>
        <w:jc w:val="both"/>
        <w:rPr>
          <w:rFonts w:ascii="Calibri" w:hAnsi="Calibri" w:cs="Calibri"/>
          <w:color w:val="auto"/>
        </w:rPr>
      </w:pPr>
    </w:p>
    <w:p w14:paraId="07BEF8D6" w14:textId="2F2FDDDA" w:rsidR="001356CF" w:rsidRPr="006D6934" w:rsidRDefault="001356CF" w:rsidP="001356CF">
      <w:pPr>
        <w:spacing w:line="276" w:lineRule="auto"/>
        <w:ind w:firstLine="708"/>
        <w:jc w:val="both"/>
        <w:rPr>
          <w:rFonts w:ascii="Calibri" w:hAnsi="Calibri" w:cs="Calibri"/>
          <w:color w:val="auto"/>
        </w:rPr>
      </w:pPr>
      <w:r w:rsidRPr="006D6934">
        <w:rPr>
          <w:rFonts w:ascii="Calibri" w:hAnsi="Calibri" w:cs="Calibri"/>
          <w:color w:val="auto"/>
        </w:rPr>
        <w:t xml:space="preserve">Serão incluídas no </w:t>
      </w:r>
      <w:r w:rsidRPr="00862E45">
        <w:rPr>
          <w:rFonts w:ascii="Calibri" w:hAnsi="Calibri" w:cs="Calibri"/>
          <w:color w:val="auto"/>
        </w:rPr>
        <w:t xml:space="preserve">estudo </w:t>
      </w:r>
      <w:r w:rsidR="00D93461" w:rsidRPr="00862E45">
        <w:rPr>
          <w:rFonts w:ascii="Calibri" w:hAnsi="Calibri" w:cs="Calibri"/>
          <w:color w:val="auto"/>
        </w:rPr>
        <w:t>60</w:t>
      </w:r>
      <w:r w:rsidRPr="00862E45">
        <w:rPr>
          <w:rFonts w:ascii="Calibri" w:hAnsi="Calibri" w:cs="Calibri"/>
          <w:color w:val="auto"/>
        </w:rPr>
        <w:t xml:space="preserve"> </w:t>
      </w:r>
      <w:r w:rsidR="00B253A1" w:rsidRPr="00862E45">
        <w:rPr>
          <w:rFonts w:ascii="Calibri" w:hAnsi="Calibri" w:cs="Calibri"/>
          <w:color w:val="auto"/>
        </w:rPr>
        <w:t>participantes</w:t>
      </w:r>
      <w:r w:rsidRPr="00862E45">
        <w:rPr>
          <w:rFonts w:ascii="Calibri" w:hAnsi="Calibri" w:cs="Calibri"/>
          <w:color w:val="auto"/>
        </w:rPr>
        <w:t xml:space="preserve"> do </w:t>
      </w:r>
      <w:r w:rsidRPr="006D6934">
        <w:rPr>
          <w:rFonts w:ascii="Calibri" w:hAnsi="Calibri" w:cs="Calibri"/>
          <w:color w:val="auto"/>
        </w:rPr>
        <w:t xml:space="preserve">sexo feminino, com idade igual ou superior a 18 anos, diagnosticadas com Fibromialgia, frequentadoras do projeto de extensão denominado “Atendimento fisioterapêutico coletivo a pacientes com fibromialgia” - AFICO/UFTM, </w:t>
      </w:r>
      <w:r w:rsidR="00FA44DA" w:rsidRPr="006D6934">
        <w:rPr>
          <w:rFonts w:ascii="Calibri" w:hAnsi="Calibri" w:cs="Calibri"/>
          <w:color w:val="auto"/>
        </w:rPr>
        <w:t>no estágio de Fisioterapia Reumatológica</w:t>
      </w:r>
      <w:r w:rsidRPr="006D6934">
        <w:rPr>
          <w:rFonts w:ascii="Calibri" w:hAnsi="Calibri" w:cs="Calibri"/>
          <w:color w:val="auto"/>
        </w:rPr>
        <w:t xml:space="preserve"> do </w:t>
      </w:r>
      <w:r w:rsidR="00FA44DA" w:rsidRPr="006D6934">
        <w:rPr>
          <w:rFonts w:ascii="Calibri" w:hAnsi="Calibri" w:cs="Calibri"/>
          <w:color w:val="auto"/>
        </w:rPr>
        <w:t>curso de Fisioterapia da</w:t>
      </w:r>
      <w:r w:rsidRPr="006D6934">
        <w:rPr>
          <w:rFonts w:ascii="Calibri" w:hAnsi="Calibri" w:cs="Calibri"/>
          <w:color w:val="auto"/>
        </w:rPr>
        <w:t xml:space="preserve"> UFTM.</w:t>
      </w:r>
    </w:p>
    <w:p w14:paraId="445CCC49" w14:textId="61419234" w:rsidR="001356CF" w:rsidRPr="006D6934" w:rsidRDefault="001356CF" w:rsidP="001356CF">
      <w:pPr>
        <w:spacing w:line="276" w:lineRule="auto"/>
        <w:ind w:firstLine="708"/>
        <w:jc w:val="both"/>
        <w:rPr>
          <w:rFonts w:ascii="Calibri" w:hAnsi="Calibri" w:cs="Calibri"/>
          <w:color w:val="auto"/>
        </w:rPr>
      </w:pPr>
      <w:r w:rsidRPr="006D6934">
        <w:rPr>
          <w:rFonts w:ascii="Calibri" w:hAnsi="Calibri" w:cs="Calibri"/>
          <w:color w:val="auto"/>
        </w:rPr>
        <w:t xml:space="preserve">As </w:t>
      </w:r>
      <w:r w:rsidR="00B253A1" w:rsidRPr="00D93461">
        <w:rPr>
          <w:rFonts w:ascii="Calibri" w:hAnsi="Calibri" w:cs="Calibri"/>
          <w:color w:val="000000" w:themeColor="text1"/>
        </w:rPr>
        <w:t>participantes</w:t>
      </w:r>
      <w:r w:rsidRPr="006D6934">
        <w:rPr>
          <w:rFonts w:ascii="Calibri" w:hAnsi="Calibri" w:cs="Calibri"/>
          <w:color w:val="auto"/>
        </w:rPr>
        <w:t xml:space="preserve"> serão divididas em quatro grupos de investigação, sendo eles:</w:t>
      </w:r>
    </w:p>
    <w:p w14:paraId="3715DC3E" w14:textId="767DE048" w:rsidR="001356CF" w:rsidRPr="00862E45" w:rsidRDefault="001356CF" w:rsidP="001356CF">
      <w:pPr>
        <w:pStyle w:val="PargrafodaLista"/>
        <w:numPr>
          <w:ilvl w:val="0"/>
          <w:numId w:val="5"/>
        </w:numPr>
        <w:spacing w:line="276" w:lineRule="auto"/>
        <w:jc w:val="both"/>
        <w:rPr>
          <w:rFonts w:ascii="Calibri" w:hAnsi="Calibri" w:cs="Calibri"/>
          <w:color w:val="auto"/>
        </w:rPr>
      </w:pPr>
      <w:r w:rsidRPr="006D6934">
        <w:rPr>
          <w:rFonts w:ascii="Calibri" w:hAnsi="Calibri" w:cs="Calibri"/>
          <w:color w:val="auto"/>
        </w:rPr>
        <w:t xml:space="preserve">Grupo Massagem Relaxante (GMR): será composto </w:t>
      </w:r>
      <w:r w:rsidRPr="00862E45">
        <w:rPr>
          <w:rFonts w:ascii="Calibri" w:hAnsi="Calibri" w:cs="Calibri"/>
          <w:color w:val="auto"/>
        </w:rPr>
        <w:t xml:space="preserve">por </w:t>
      </w:r>
      <w:r w:rsidR="00C94077" w:rsidRPr="00862E45">
        <w:rPr>
          <w:rFonts w:ascii="Calibri" w:hAnsi="Calibri" w:cs="Calibri"/>
          <w:color w:val="auto"/>
        </w:rPr>
        <w:t>15</w:t>
      </w:r>
      <w:r w:rsidRPr="00862E45">
        <w:rPr>
          <w:rFonts w:ascii="Calibri" w:hAnsi="Calibri" w:cs="Calibri"/>
          <w:color w:val="auto"/>
        </w:rPr>
        <w:t xml:space="preserve"> </w:t>
      </w:r>
      <w:r w:rsidR="00B253A1" w:rsidRPr="00862E45">
        <w:rPr>
          <w:rFonts w:ascii="Calibri" w:hAnsi="Calibri" w:cs="Calibri"/>
          <w:color w:val="auto"/>
        </w:rPr>
        <w:t>participantes</w:t>
      </w:r>
      <w:r w:rsidRPr="00862E45">
        <w:rPr>
          <w:rFonts w:ascii="Calibri" w:hAnsi="Calibri" w:cs="Calibri"/>
          <w:color w:val="auto"/>
        </w:rPr>
        <w:t xml:space="preserve"> que receberão técnicas de massagem clássica relaxante, duas vezes por semana, em sessões de 30 minutos, por período de quatro semanas.</w:t>
      </w:r>
    </w:p>
    <w:p w14:paraId="5CAF1A8D" w14:textId="1EC5B0AF" w:rsidR="001356CF" w:rsidRPr="00862E45" w:rsidRDefault="001356CF" w:rsidP="001356CF">
      <w:pPr>
        <w:pStyle w:val="PargrafodaLista"/>
        <w:numPr>
          <w:ilvl w:val="0"/>
          <w:numId w:val="5"/>
        </w:numPr>
        <w:spacing w:line="276" w:lineRule="auto"/>
        <w:jc w:val="both"/>
        <w:rPr>
          <w:rFonts w:ascii="Calibri" w:hAnsi="Calibri" w:cs="Calibri"/>
          <w:color w:val="auto"/>
        </w:rPr>
      </w:pPr>
      <w:r w:rsidRPr="00862E45">
        <w:rPr>
          <w:rFonts w:ascii="Calibri" w:hAnsi="Calibri" w:cs="Calibri"/>
          <w:color w:val="auto"/>
        </w:rPr>
        <w:t xml:space="preserve">Grupo Liberação Miofascial (GLM): será composto por </w:t>
      </w:r>
      <w:r w:rsidR="00C94077" w:rsidRPr="00862E45">
        <w:rPr>
          <w:rFonts w:ascii="Calibri" w:hAnsi="Calibri" w:cs="Calibri"/>
          <w:color w:val="auto"/>
        </w:rPr>
        <w:t>15</w:t>
      </w:r>
      <w:r w:rsidRPr="00862E45">
        <w:rPr>
          <w:rFonts w:ascii="Calibri" w:hAnsi="Calibri" w:cs="Calibri"/>
          <w:color w:val="auto"/>
        </w:rPr>
        <w:t xml:space="preserve"> </w:t>
      </w:r>
      <w:r w:rsidR="00B253A1" w:rsidRPr="00862E45">
        <w:rPr>
          <w:rFonts w:ascii="Calibri" w:hAnsi="Calibri" w:cs="Calibri"/>
          <w:color w:val="auto"/>
        </w:rPr>
        <w:t>participantes</w:t>
      </w:r>
      <w:r w:rsidRPr="00862E45">
        <w:rPr>
          <w:rFonts w:ascii="Calibri" w:hAnsi="Calibri" w:cs="Calibri"/>
          <w:color w:val="auto"/>
        </w:rPr>
        <w:t xml:space="preserve"> que receberão técnicas de liberação miofascial, duas vezes por semana, em sessões de 30 minutos, por período de quatro semanas.</w:t>
      </w:r>
    </w:p>
    <w:p w14:paraId="449A7FDE" w14:textId="6A4FF3EC" w:rsidR="001356CF" w:rsidRPr="00862E45" w:rsidRDefault="001356CF" w:rsidP="001356CF">
      <w:pPr>
        <w:pStyle w:val="PargrafodaLista"/>
        <w:numPr>
          <w:ilvl w:val="0"/>
          <w:numId w:val="5"/>
        </w:numPr>
        <w:spacing w:line="276" w:lineRule="auto"/>
        <w:jc w:val="both"/>
        <w:rPr>
          <w:rFonts w:ascii="Calibri" w:hAnsi="Calibri" w:cs="Calibri"/>
          <w:color w:val="auto"/>
        </w:rPr>
      </w:pPr>
      <w:r w:rsidRPr="00862E45">
        <w:rPr>
          <w:rFonts w:ascii="Calibri" w:hAnsi="Calibri" w:cs="Calibri"/>
          <w:color w:val="auto"/>
        </w:rPr>
        <w:t xml:space="preserve">Grupo Recursos Manuais Combinados (GRMC): será composto por </w:t>
      </w:r>
      <w:r w:rsidR="00C94077" w:rsidRPr="00862E45">
        <w:rPr>
          <w:rFonts w:ascii="Calibri" w:hAnsi="Calibri" w:cs="Calibri"/>
          <w:color w:val="auto"/>
        </w:rPr>
        <w:t>15</w:t>
      </w:r>
      <w:r w:rsidRPr="00862E45">
        <w:rPr>
          <w:rFonts w:ascii="Calibri" w:hAnsi="Calibri" w:cs="Calibri"/>
          <w:color w:val="auto"/>
        </w:rPr>
        <w:t xml:space="preserve"> </w:t>
      </w:r>
      <w:r w:rsidR="00B253A1" w:rsidRPr="00862E45">
        <w:rPr>
          <w:rFonts w:ascii="Calibri" w:hAnsi="Calibri" w:cs="Calibri"/>
          <w:color w:val="auto"/>
        </w:rPr>
        <w:t>participantes</w:t>
      </w:r>
      <w:r w:rsidRPr="00862E45">
        <w:rPr>
          <w:rFonts w:ascii="Calibri" w:hAnsi="Calibri" w:cs="Calibri"/>
          <w:color w:val="auto"/>
        </w:rPr>
        <w:t xml:space="preserve"> que receberão técnicas combinadas de liberação miofascial e massagem clássica relaxante, duas vezes por semana, em sessões de 30 minutos, por período de quatro semanas.</w:t>
      </w:r>
    </w:p>
    <w:p w14:paraId="76285005" w14:textId="383C5A79" w:rsidR="001356CF" w:rsidRDefault="001356CF" w:rsidP="001356CF">
      <w:pPr>
        <w:pStyle w:val="PargrafodaLista"/>
        <w:numPr>
          <w:ilvl w:val="0"/>
          <w:numId w:val="5"/>
        </w:numPr>
        <w:spacing w:line="276" w:lineRule="auto"/>
        <w:jc w:val="both"/>
        <w:rPr>
          <w:rFonts w:ascii="Calibri" w:hAnsi="Calibri" w:cs="Calibri"/>
          <w:color w:val="auto"/>
        </w:rPr>
      </w:pPr>
      <w:r w:rsidRPr="00862E45">
        <w:rPr>
          <w:rFonts w:ascii="Calibri" w:hAnsi="Calibri" w:cs="Calibri"/>
          <w:color w:val="auto"/>
        </w:rPr>
        <w:t xml:space="preserve">Grupo Controle (GC): será composto por </w:t>
      </w:r>
      <w:r w:rsidR="00C94077" w:rsidRPr="00862E45">
        <w:rPr>
          <w:rFonts w:ascii="Calibri" w:hAnsi="Calibri" w:cs="Calibri"/>
          <w:color w:val="auto"/>
        </w:rPr>
        <w:t>15</w:t>
      </w:r>
      <w:r w:rsidRPr="00862E45">
        <w:rPr>
          <w:rFonts w:ascii="Calibri" w:hAnsi="Calibri" w:cs="Calibri"/>
          <w:color w:val="auto"/>
        </w:rPr>
        <w:t xml:space="preserve"> </w:t>
      </w:r>
      <w:r w:rsidR="00B253A1" w:rsidRPr="00862E45">
        <w:rPr>
          <w:rFonts w:ascii="Calibri" w:hAnsi="Calibri" w:cs="Calibri"/>
          <w:color w:val="auto"/>
        </w:rPr>
        <w:t>participantes</w:t>
      </w:r>
      <w:r w:rsidRPr="00862E45">
        <w:rPr>
          <w:rFonts w:ascii="Calibri" w:hAnsi="Calibri" w:cs="Calibri"/>
          <w:color w:val="auto"/>
        </w:rPr>
        <w:t xml:space="preserve"> que não serão submetidas </w:t>
      </w:r>
      <w:r w:rsidRPr="006D6934">
        <w:rPr>
          <w:rFonts w:ascii="Calibri" w:hAnsi="Calibri" w:cs="Calibri"/>
          <w:color w:val="auto"/>
        </w:rPr>
        <w:t>a técnicas de recursos terapêuticos manuais.</w:t>
      </w:r>
    </w:p>
    <w:p w14:paraId="0DCE57B6" w14:textId="77777777" w:rsidR="00154149" w:rsidRDefault="00154149" w:rsidP="00154149">
      <w:pPr>
        <w:spacing w:line="276" w:lineRule="auto"/>
        <w:jc w:val="both"/>
        <w:rPr>
          <w:rFonts w:ascii="Calibri" w:hAnsi="Calibri" w:cs="Calibri"/>
          <w:color w:val="auto"/>
        </w:rPr>
      </w:pPr>
    </w:p>
    <w:p w14:paraId="1AE24200" w14:textId="0CECD060" w:rsidR="00154149" w:rsidRPr="00862E45" w:rsidRDefault="00154149" w:rsidP="00154149">
      <w:pPr>
        <w:spacing w:line="276" w:lineRule="auto"/>
        <w:ind w:firstLine="708"/>
        <w:jc w:val="both"/>
        <w:rPr>
          <w:rFonts w:ascii="Calibri" w:hAnsi="Calibri" w:cs="Calibri"/>
          <w:color w:val="auto"/>
        </w:rPr>
      </w:pPr>
      <w:r w:rsidRPr="00862E45">
        <w:rPr>
          <w:rFonts w:ascii="Calibri" w:hAnsi="Calibri" w:cs="Calibri"/>
          <w:color w:val="auto"/>
        </w:rPr>
        <w:t>O tamanho da amostra foi calculado com base em estudo prévio com pacientes com fibromialgia e intervenção semelhante ao do presente estudo. Considerando um alfa bicaudal igual a α=0,05, 1-β= 0,9, objetivou-se a inclusão de 60 voluntárias (15 por grupo). O cálculo amostral foi realizado mediante uso de www.openepi.com. A alocação aleatória para os grupos de intervenção será feita pelo método de randomização por sorteio</w:t>
      </w:r>
      <w:r w:rsidR="000B0981" w:rsidRPr="00862E45">
        <w:rPr>
          <w:rFonts w:ascii="Calibri" w:hAnsi="Calibri" w:cs="Calibri"/>
          <w:color w:val="auto"/>
        </w:rPr>
        <w:t xml:space="preserve"> simples</w:t>
      </w:r>
      <w:r w:rsidRPr="00862E45">
        <w:rPr>
          <w:rFonts w:ascii="Calibri" w:hAnsi="Calibri" w:cs="Calibri"/>
          <w:color w:val="auto"/>
        </w:rPr>
        <w:t>.</w:t>
      </w:r>
    </w:p>
    <w:p w14:paraId="12D9F5B8" w14:textId="77777777" w:rsidR="001356CF" w:rsidRPr="00862E45" w:rsidRDefault="001356CF" w:rsidP="001356CF">
      <w:pPr>
        <w:spacing w:line="276" w:lineRule="auto"/>
        <w:jc w:val="both"/>
        <w:rPr>
          <w:rFonts w:ascii="Calibri" w:hAnsi="Calibri" w:cs="Calibri"/>
          <w:color w:val="auto"/>
        </w:rPr>
      </w:pPr>
    </w:p>
    <w:p w14:paraId="595F12C2" w14:textId="77777777" w:rsidR="00DB1BEB" w:rsidRPr="006D6934" w:rsidRDefault="00DB1BEB" w:rsidP="001356CF">
      <w:pPr>
        <w:spacing w:line="276" w:lineRule="auto"/>
        <w:jc w:val="both"/>
        <w:rPr>
          <w:rFonts w:ascii="Calibri" w:hAnsi="Calibri" w:cs="Calibri"/>
          <w:color w:val="auto"/>
        </w:rPr>
      </w:pPr>
    </w:p>
    <w:p w14:paraId="4EB4581A" w14:textId="14B92004" w:rsidR="001356CF" w:rsidRPr="006D6934" w:rsidRDefault="001356CF" w:rsidP="001356CF">
      <w:pPr>
        <w:spacing w:line="276" w:lineRule="auto"/>
        <w:jc w:val="both"/>
        <w:rPr>
          <w:rFonts w:ascii="Calibri" w:hAnsi="Calibri" w:cs="Calibri"/>
          <w:color w:val="auto"/>
        </w:rPr>
      </w:pPr>
      <w:r w:rsidRPr="006D6934">
        <w:rPr>
          <w:rFonts w:ascii="Calibri" w:hAnsi="Calibri" w:cs="Calibri"/>
          <w:color w:val="auto"/>
        </w:rPr>
        <w:t>CRITÉRIOS DE NÃO INCLUSÃO E EXCLUSÃO</w:t>
      </w:r>
    </w:p>
    <w:p w14:paraId="1D0DF8C5" w14:textId="77777777" w:rsidR="001356CF" w:rsidRPr="006D6934" w:rsidRDefault="001356CF" w:rsidP="001356CF">
      <w:pPr>
        <w:spacing w:line="276" w:lineRule="auto"/>
        <w:jc w:val="both"/>
        <w:rPr>
          <w:rFonts w:ascii="Calibri" w:hAnsi="Calibri" w:cs="Calibri"/>
          <w:color w:val="auto"/>
        </w:rPr>
      </w:pPr>
    </w:p>
    <w:p w14:paraId="68B6A477" w14:textId="13BA437F" w:rsidR="001356CF" w:rsidRPr="00705210" w:rsidRDefault="00B253A1" w:rsidP="001356CF">
      <w:pPr>
        <w:spacing w:line="276" w:lineRule="auto"/>
        <w:ind w:firstLine="708"/>
        <w:jc w:val="both"/>
        <w:rPr>
          <w:rFonts w:ascii="Calibri" w:hAnsi="Calibri" w:cs="Calibri"/>
          <w:color w:val="auto"/>
        </w:rPr>
      </w:pPr>
      <w:r w:rsidRPr="00705210">
        <w:rPr>
          <w:rFonts w:ascii="Calibri" w:hAnsi="Calibri" w:cs="Calibri"/>
          <w:color w:val="auto"/>
        </w:rPr>
        <w:t>Participantes</w:t>
      </w:r>
      <w:r w:rsidR="001356CF" w:rsidRPr="00705210">
        <w:rPr>
          <w:rFonts w:ascii="Calibri" w:hAnsi="Calibri" w:cs="Calibri"/>
          <w:color w:val="auto"/>
        </w:rPr>
        <w:t xml:space="preserve"> que não aceitarem realizar o protocolo de avaliação ou não assinarem o termo de consentimento, atestando suas participações como </w:t>
      </w:r>
      <w:r w:rsidRPr="00705210">
        <w:rPr>
          <w:rFonts w:ascii="Calibri" w:hAnsi="Calibri" w:cs="Calibri"/>
          <w:color w:val="auto"/>
        </w:rPr>
        <w:t>participantes</w:t>
      </w:r>
      <w:r w:rsidR="001356CF" w:rsidRPr="00705210">
        <w:rPr>
          <w:rFonts w:ascii="Calibri" w:hAnsi="Calibri" w:cs="Calibri"/>
          <w:color w:val="auto"/>
        </w:rPr>
        <w:t>, não serão incluídas no estudo.</w:t>
      </w:r>
    </w:p>
    <w:p w14:paraId="092523E5" w14:textId="29735F16" w:rsidR="001356CF" w:rsidRPr="00705210" w:rsidRDefault="001356CF" w:rsidP="001356CF">
      <w:pPr>
        <w:spacing w:line="276" w:lineRule="auto"/>
        <w:ind w:firstLine="708"/>
        <w:jc w:val="both"/>
        <w:rPr>
          <w:rFonts w:ascii="Calibri" w:hAnsi="Calibri" w:cs="Calibri"/>
          <w:color w:val="auto"/>
        </w:rPr>
      </w:pPr>
      <w:r w:rsidRPr="00705210">
        <w:rPr>
          <w:rFonts w:ascii="Calibri" w:hAnsi="Calibri" w:cs="Calibri"/>
          <w:color w:val="auto"/>
        </w:rPr>
        <w:t xml:space="preserve">Não serão incluídas </w:t>
      </w:r>
      <w:r w:rsidR="00B253A1" w:rsidRPr="00705210">
        <w:rPr>
          <w:rFonts w:ascii="Calibri" w:hAnsi="Calibri" w:cs="Calibri"/>
          <w:color w:val="auto"/>
        </w:rPr>
        <w:t>participantes</w:t>
      </w:r>
      <w:r w:rsidRPr="00705210">
        <w:rPr>
          <w:rFonts w:ascii="Calibri" w:hAnsi="Calibri" w:cs="Calibri"/>
          <w:color w:val="auto"/>
        </w:rPr>
        <w:t xml:space="preserve"> que estejam passando por tratamentos que incluam alguma das técnicas propostas neste estudo.</w:t>
      </w:r>
    </w:p>
    <w:p w14:paraId="0043314D" w14:textId="77777777" w:rsidR="001356CF" w:rsidRPr="00705210" w:rsidRDefault="001356CF" w:rsidP="001356CF">
      <w:pPr>
        <w:spacing w:line="276" w:lineRule="auto"/>
        <w:ind w:firstLine="708"/>
        <w:jc w:val="both"/>
        <w:rPr>
          <w:rFonts w:ascii="Calibri" w:hAnsi="Calibri" w:cs="Calibri"/>
          <w:color w:val="auto"/>
        </w:rPr>
      </w:pPr>
      <w:r w:rsidRPr="00705210">
        <w:rPr>
          <w:rFonts w:ascii="Calibri" w:hAnsi="Calibri" w:cs="Calibri"/>
          <w:color w:val="auto"/>
        </w:rPr>
        <w:t>Aquelas que apresentarem alguma contraindicação às técnicas propostas.</w:t>
      </w:r>
    </w:p>
    <w:p w14:paraId="42FAF267" w14:textId="6F240657" w:rsidR="001356CF" w:rsidRPr="00705210" w:rsidRDefault="001356CF" w:rsidP="001356CF">
      <w:pPr>
        <w:spacing w:line="276" w:lineRule="auto"/>
        <w:ind w:firstLine="708"/>
        <w:jc w:val="both"/>
        <w:rPr>
          <w:rFonts w:ascii="Calibri" w:hAnsi="Calibri" w:cs="Calibri"/>
          <w:color w:val="auto"/>
        </w:rPr>
      </w:pPr>
      <w:r w:rsidRPr="00705210">
        <w:rPr>
          <w:rFonts w:ascii="Calibri" w:hAnsi="Calibri" w:cs="Calibri"/>
          <w:color w:val="auto"/>
        </w:rPr>
        <w:t xml:space="preserve">Serão excluídas as </w:t>
      </w:r>
      <w:r w:rsidR="00B253A1" w:rsidRPr="00705210">
        <w:rPr>
          <w:rFonts w:ascii="Calibri" w:hAnsi="Calibri" w:cs="Calibri"/>
          <w:color w:val="auto"/>
        </w:rPr>
        <w:t>participantes</w:t>
      </w:r>
      <w:r w:rsidRPr="00705210">
        <w:rPr>
          <w:rFonts w:ascii="Calibri" w:hAnsi="Calibri" w:cs="Calibri"/>
          <w:color w:val="auto"/>
        </w:rPr>
        <w:t xml:space="preserve"> que não forem aderentes às sessões de tratamento.</w:t>
      </w:r>
    </w:p>
    <w:p w14:paraId="13608012" w14:textId="77777777" w:rsidR="001356CF" w:rsidRPr="006D6934" w:rsidRDefault="001356CF" w:rsidP="001356CF">
      <w:pPr>
        <w:spacing w:line="276" w:lineRule="auto"/>
        <w:jc w:val="both"/>
        <w:rPr>
          <w:rFonts w:ascii="Calibri" w:hAnsi="Calibri" w:cs="Calibri"/>
          <w:color w:val="auto"/>
          <w:sz w:val="16"/>
          <w:szCs w:val="16"/>
        </w:rPr>
      </w:pPr>
    </w:p>
    <w:p w14:paraId="781DEF87" w14:textId="77777777" w:rsidR="001356CF" w:rsidRPr="006D6934" w:rsidRDefault="001356CF" w:rsidP="001356CF">
      <w:pPr>
        <w:spacing w:line="276" w:lineRule="auto"/>
        <w:jc w:val="both"/>
        <w:rPr>
          <w:rFonts w:ascii="Calibri" w:hAnsi="Calibri" w:cs="Calibri"/>
          <w:color w:val="auto"/>
          <w:sz w:val="16"/>
          <w:szCs w:val="16"/>
        </w:rPr>
      </w:pPr>
    </w:p>
    <w:p w14:paraId="78C34B3E" w14:textId="303243D1" w:rsidR="00701E7F" w:rsidRPr="006D6934" w:rsidRDefault="00EC3554" w:rsidP="001356CF">
      <w:pPr>
        <w:spacing w:line="276" w:lineRule="auto"/>
        <w:jc w:val="both"/>
        <w:rPr>
          <w:rFonts w:ascii="Calibri" w:hAnsi="Calibri" w:cs="Calibri"/>
          <w:color w:val="auto"/>
          <w:sz w:val="16"/>
          <w:szCs w:val="16"/>
        </w:rPr>
      </w:pPr>
      <w:r w:rsidRPr="006D6934">
        <w:rPr>
          <w:rFonts w:ascii="Calibri" w:hAnsi="Calibri" w:cs="Calibri"/>
          <w:b/>
          <w:color w:val="auto"/>
        </w:rPr>
        <w:t>8) RISCOS E BENEFÍCIOS ENVOLVIDOS NA EXECUÇÃO DA PESQUISA</w:t>
      </w:r>
    </w:p>
    <w:p w14:paraId="375A26DE" w14:textId="77777777" w:rsidR="008938B8" w:rsidRPr="006D6934" w:rsidRDefault="008938B8" w:rsidP="008938B8">
      <w:pPr>
        <w:spacing w:line="276" w:lineRule="auto"/>
        <w:ind w:firstLine="708"/>
        <w:jc w:val="both"/>
        <w:rPr>
          <w:rFonts w:ascii="Calibri" w:hAnsi="Calibri" w:cs="Calibri"/>
          <w:color w:val="auto"/>
        </w:rPr>
      </w:pPr>
    </w:p>
    <w:p w14:paraId="1891F269" w14:textId="6DAE20B1" w:rsidR="008938B8" w:rsidRPr="00705210" w:rsidRDefault="008938B8" w:rsidP="008938B8">
      <w:pPr>
        <w:spacing w:line="276" w:lineRule="auto"/>
        <w:ind w:firstLine="708"/>
        <w:jc w:val="both"/>
        <w:rPr>
          <w:rFonts w:ascii="Calibri" w:hAnsi="Calibri" w:cs="Calibri"/>
          <w:color w:val="auto"/>
        </w:rPr>
      </w:pPr>
      <w:r w:rsidRPr="00705210">
        <w:rPr>
          <w:rFonts w:ascii="Calibri" w:hAnsi="Calibri" w:cs="Calibri"/>
          <w:color w:val="auto"/>
        </w:rPr>
        <w:t>Os riscos podem ser classificados como mínimos.</w:t>
      </w:r>
    </w:p>
    <w:p w14:paraId="70079363" w14:textId="2709CDCF" w:rsidR="008938B8" w:rsidRPr="00705210" w:rsidRDefault="008938B8" w:rsidP="008938B8">
      <w:pPr>
        <w:spacing w:line="276" w:lineRule="auto"/>
        <w:ind w:firstLine="708"/>
        <w:jc w:val="both"/>
        <w:rPr>
          <w:rFonts w:ascii="Calibri" w:hAnsi="Calibri" w:cs="Calibri"/>
          <w:color w:val="auto"/>
        </w:rPr>
      </w:pPr>
      <w:r w:rsidRPr="00705210">
        <w:rPr>
          <w:rFonts w:ascii="Calibri" w:hAnsi="Calibri" w:cs="Calibri"/>
          <w:color w:val="auto"/>
        </w:rPr>
        <w:t xml:space="preserve">As </w:t>
      </w:r>
      <w:r w:rsidR="00B253A1" w:rsidRPr="00705210">
        <w:rPr>
          <w:rFonts w:ascii="Calibri" w:hAnsi="Calibri" w:cs="Calibri"/>
          <w:color w:val="auto"/>
        </w:rPr>
        <w:t>participantes</w:t>
      </w:r>
      <w:r w:rsidRPr="00705210">
        <w:rPr>
          <w:rFonts w:ascii="Calibri" w:hAnsi="Calibri" w:cs="Calibri"/>
          <w:color w:val="auto"/>
        </w:rPr>
        <w:t xml:space="preserve"> poderão sentir-se cansadas durante as avaliações físicas, bem como a técnica de liberação miofascial poderá provocar leve dor em pontos de tensão muscular.</w:t>
      </w:r>
    </w:p>
    <w:p w14:paraId="7C2F703E" w14:textId="51997B06" w:rsidR="008938B8" w:rsidRPr="00705210" w:rsidRDefault="008938B8" w:rsidP="008938B8">
      <w:pPr>
        <w:spacing w:line="276" w:lineRule="auto"/>
        <w:ind w:firstLine="708"/>
        <w:jc w:val="both"/>
        <w:rPr>
          <w:rFonts w:ascii="Calibri" w:hAnsi="Calibri" w:cs="Calibri"/>
          <w:color w:val="auto"/>
        </w:rPr>
      </w:pPr>
      <w:r w:rsidRPr="00705210">
        <w:rPr>
          <w:rFonts w:ascii="Calibri" w:hAnsi="Calibri" w:cs="Calibri"/>
          <w:color w:val="auto"/>
        </w:rPr>
        <w:t xml:space="preserve">Devido a isto, as avaliações físicas serão realizadas com intervalos entre uma técnica e outra, respeitando a percepção de esforço físico e cansaço relatados pelas </w:t>
      </w:r>
      <w:r w:rsidR="00B253A1" w:rsidRPr="00705210">
        <w:rPr>
          <w:rFonts w:ascii="Calibri" w:hAnsi="Calibri" w:cs="Calibri"/>
          <w:color w:val="auto"/>
        </w:rPr>
        <w:t>participantes</w:t>
      </w:r>
      <w:r w:rsidRPr="00705210">
        <w:rPr>
          <w:rFonts w:ascii="Calibri" w:hAnsi="Calibri" w:cs="Calibri"/>
          <w:color w:val="auto"/>
        </w:rPr>
        <w:t>.</w:t>
      </w:r>
    </w:p>
    <w:p w14:paraId="2178DD24" w14:textId="64B172FB" w:rsidR="008938B8" w:rsidRPr="00705210" w:rsidRDefault="008938B8" w:rsidP="008938B8">
      <w:pPr>
        <w:spacing w:line="276" w:lineRule="auto"/>
        <w:ind w:firstLine="708"/>
        <w:jc w:val="both"/>
        <w:rPr>
          <w:rFonts w:ascii="Calibri" w:hAnsi="Calibri" w:cs="Calibri"/>
          <w:color w:val="auto"/>
        </w:rPr>
      </w:pPr>
      <w:r w:rsidRPr="00705210">
        <w:rPr>
          <w:rFonts w:ascii="Calibri" w:hAnsi="Calibri" w:cs="Calibri"/>
          <w:color w:val="auto"/>
        </w:rPr>
        <w:t>Para evitar o estímulo doloroso durante a aplicação das técnicas de liberação miofascial as pesquisadoras foram devidamente treinadas para a aplicação adequada da técnica, sem a necessidade de colocação de tensão adicional na técnica, de modo que a terapia será aplicada no limite da dor relatada pela pacientes com o objetivo de promover relaxamento e alivio do quadro álgico.</w:t>
      </w:r>
    </w:p>
    <w:p w14:paraId="72A2D0F3" w14:textId="03C36773" w:rsidR="006767E7" w:rsidRPr="00705210" w:rsidRDefault="006767E7" w:rsidP="008938B8">
      <w:pPr>
        <w:spacing w:line="276" w:lineRule="auto"/>
        <w:ind w:firstLine="708"/>
        <w:jc w:val="both"/>
        <w:rPr>
          <w:rFonts w:ascii="Calibri" w:hAnsi="Calibri" w:cs="Calibri"/>
          <w:color w:val="auto"/>
        </w:rPr>
      </w:pPr>
      <w:r w:rsidRPr="00705210">
        <w:rPr>
          <w:rFonts w:ascii="Calibri" w:hAnsi="Calibri" w:cs="Calibri"/>
          <w:color w:val="auto"/>
        </w:rPr>
        <w:t>É importante apresentar ainda o risco de perda de confidencialidade dos dados, uma vez que os dados informados pelas participantes, bem como os dados coletados nas avaliações, serão tabelados em um computador destinado à pesquisa. No entanto, acreditamos que todas as estratégias utilizadas para mitigar este risco serão eficazes, uma vez que o computador é de uso exclusivo dos pesquisadores, destinado apenas para trabalho e ainda os nomes das participantes serão substituídos por siglas, não apenas nas planilhas destinadas a análise dos dados, mas bem como também, sempre que algum participante for mencionado individualmente. Cabe ressaltar ainda, que nas publicações dos resultados da pesquisa, sejam em resumos, artigos ou aulas, os nem os nomes e nem as siglas dos nomes apareceram, apenas o número total de participantes do estudo.</w:t>
      </w:r>
    </w:p>
    <w:p w14:paraId="0694F57B" w14:textId="1E2AD805" w:rsidR="008938B8" w:rsidRPr="00705210" w:rsidRDefault="008938B8" w:rsidP="008938B8">
      <w:pPr>
        <w:spacing w:line="276" w:lineRule="auto"/>
        <w:ind w:firstLine="708"/>
        <w:jc w:val="both"/>
        <w:rPr>
          <w:rFonts w:ascii="Calibri" w:hAnsi="Calibri" w:cs="Calibri"/>
          <w:color w:val="auto"/>
        </w:rPr>
      </w:pPr>
      <w:r w:rsidRPr="00705210">
        <w:rPr>
          <w:rFonts w:ascii="Calibri" w:hAnsi="Calibri" w:cs="Calibri"/>
          <w:color w:val="auto"/>
        </w:rPr>
        <w:t xml:space="preserve">Podemos destacar os principais objetivos diretos da pesquisa para as </w:t>
      </w:r>
      <w:r w:rsidR="00B253A1" w:rsidRPr="00705210">
        <w:rPr>
          <w:rFonts w:ascii="Calibri" w:hAnsi="Calibri" w:cs="Calibri"/>
          <w:color w:val="auto"/>
        </w:rPr>
        <w:t>participantes</w:t>
      </w:r>
      <w:r w:rsidRPr="00705210">
        <w:rPr>
          <w:rFonts w:ascii="Calibri" w:hAnsi="Calibri" w:cs="Calibri"/>
          <w:color w:val="auto"/>
        </w:rPr>
        <w:t>, que são:</w:t>
      </w:r>
    </w:p>
    <w:p w14:paraId="56D30B62" w14:textId="0F199AE0" w:rsidR="008938B8" w:rsidRPr="00705210" w:rsidRDefault="008938B8" w:rsidP="008938B8">
      <w:pPr>
        <w:pStyle w:val="PargrafodaLista"/>
        <w:numPr>
          <w:ilvl w:val="0"/>
          <w:numId w:val="6"/>
        </w:numPr>
        <w:spacing w:line="276" w:lineRule="auto"/>
        <w:jc w:val="both"/>
        <w:rPr>
          <w:rFonts w:ascii="Calibri" w:hAnsi="Calibri" w:cs="Calibri"/>
          <w:color w:val="auto"/>
        </w:rPr>
      </w:pPr>
      <w:r w:rsidRPr="00705210">
        <w:rPr>
          <w:rFonts w:ascii="Calibri" w:hAnsi="Calibri" w:cs="Calibri"/>
          <w:color w:val="auto"/>
        </w:rPr>
        <w:t>Acompanhamento semanal da evolução da FM, durante o período do estudo;</w:t>
      </w:r>
    </w:p>
    <w:p w14:paraId="243B3980" w14:textId="4A2B7F58" w:rsidR="008938B8" w:rsidRPr="00705210" w:rsidRDefault="008938B8" w:rsidP="008938B8">
      <w:pPr>
        <w:pStyle w:val="PargrafodaLista"/>
        <w:numPr>
          <w:ilvl w:val="0"/>
          <w:numId w:val="6"/>
        </w:numPr>
        <w:spacing w:line="276" w:lineRule="auto"/>
        <w:jc w:val="both"/>
        <w:rPr>
          <w:rFonts w:ascii="Calibri" w:hAnsi="Calibri" w:cs="Calibri"/>
          <w:color w:val="auto"/>
        </w:rPr>
      </w:pPr>
      <w:r w:rsidRPr="00705210">
        <w:rPr>
          <w:rFonts w:ascii="Calibri" w:hAnsi="Calibri" w:cs="Calibri"/>
          <w:color w:val="auto"/>
        </w:rPr>
        <w:t>Alivio de dor, estresse, fadiga e outros sintomas provenientes da FM devido a aplicação de técnicas de massagem;</w:t>
      </w:r>
    </w:p>
    <w:p w14:paraId="20E3471A" w14:textId="3F408E48" w:rsidR="008938B8" w:rsidRPr="00705210" w:rsidRDefault="008938B8" w:rsidP="008938B8">
      <w:pPr>
        <w:pStyle w:val="PargrafodaLista"/>
        <w:numPr>
          <w:ilvl w:val="0"/>
          <w:numId w:val="6"/>
        </w:numPr>
        <w:spacing w:line="276" w:lineRule="auto"/>
        <w:jc w:val="both"/>
        <w:rPr>
          <w:rFonts w:ascii="Calibri" w:hAnsi="Calibri" w:cs="Calibri"/>
          <w:color w:val="auto"/>
        </w:rPr>
      </w:pPr>
      <w:r w:rsidRPr="00705210">
        <w:rPr>
          <w:rFonts w:ascii="Calibri" w:hAnsi="Calibri" w:cs="Calibri"/>
          <w:color w:val="auto"/>
        </w:rPr>
        <w:t>Possibilidade de esclarecimento quanto a duvidas referentes a FM;</w:t>
      </w:r>
    </w:p>
    <w:p w14:paraId="2FC63415" w14:textId="77777777" w:rsidR="002A77E9" w:rsidRPr="00705210" w:rsidRDefault="008938B8" w:rsidP="008938B8">
      <w:pPr>
        <w:pStyle w:val="PargrafodaLista"/>
        <w:numPr>
          <w:ilvl w:val="0"/>
          <w:numId w:val="6"/>
        </w:numPr>
        <w:spacing w:line="276" w:lineRule="auto"/>
        <w:jc w:val="both"/>
        <w:rPr>
          <w:rFonts w:ascii="Calibri" w:hAnsi="Calibri" w:cs="Calibri"/>
          <w:color w:val="auto"/>
        </w:rPr>
      </w:pPr>
      <w:r w:rsidRPr="00705210">
        <w:rPr>
          <w:rFonts w:ascii="Calibri" w:hAnsi="Calibri" w:cs="Calibri"/>
          <w:color w:val="auto"/>
        </w:rPr>
        <w:t>Possível melhora na qualidade</w:t>
      </w:r>
      <w:r w:rsidR="002A77E9" w:rsidRPr="00705210">
        <w:rPr>
          <w:rFonts w:ascii="Calibri" w:hAnsi="Calibri" w:cs="Calibri"/>
          <w:color w:val="auto"/>
        </w:rPr>
        <w:t xml:space="preserve"> de vida e do sono.</w:t>
      </w:r>
    </w:p>
    <w:p w14:paraId="247571E6" w14:textId="754A3AE0" w:rsidR="002A77E9" w:rsidRPr="00705210" w:rsidRDefault="002A77E9" w:rsidP="002A77E9">
      <w:pPr>
        <w:spacing w:line="276" w:lineRule="auto"/>
        <w:ind w:firstLine="708"/>
        <w:jc w:val="both"/>
        <w:rPr>
          <w:rFonts w:ascii="Calibri" w:hAnsi="Calibri" w:cs="Calibri"/>
          <w:color w:val="auto"/>
        </w:rPr>
      </w:pPr>
      <w:r w:rsidRPr="00705210">
        <w:rPr>
          <w:rFonts w:ascii="Calibri" w:hAnsi="Calibri" w:cs="Calibri"/>
          <w:color w:val="auto"/>
        </w:rPr>
        <w:t>Outro benefício importante de se destacar com a realização e a publicação dos resultados deste estudo é o conhecimento sobre o efeito das diferentes técnicas, bem como seus efeitos combinados em pacientes com FM, possibilitando assim o tratamento de pacientes com FM em todo o mundo.</w:t>
      </w:r>
    </w:p>
    <w:p w14:paraId="7A44F837" w14:textId="77777777" w:rsidR="00D044E8" w:rsidRDefault="00D044E8" w:rsidP="002A77E9">
      <w:pPr>
        <w:spacing w:line="276" w:lineRule="auto"/>
        <w:ind w:firstLine="708"/>
        <w:jc w:val="both"/>
        <w:rPr>
          <w:rFonts w:ascii="Calibri" w:hAnsi="Calibri" w:cs="Calibri"/>
          <w:color w:val="auto"/>
        </w:rPr>
      </w:pPr>
    </w:p>
    <w:p w14:paraId="41C1B4C4" w14:textId="25BA9911" w:rsidR="008938B8" w:rsidRPr="006D6934" w:rsidRDefault="008938B8" w:rsidP="002A77E9">
      <w:pPr>
        <w:spacing w:line="276" w:lineRule="auto"/>
        <w:ind w:left="708"/>
        <w:jc w:val="both"/>
        <w:rPr>
          <w:rFonts w:ascii="Calibri" w:hAnsi="Calibri" w:cs="Calibri"/>
          <w:color w:val="auto"/>
        </w:rPr>
      </w:pPr>
    </w:p>
    <w:p w14:paraId="5301F74A" w14:textId="77777777" w:rsidR="00701E7F" w:rsidRPr="006D6934" w:rsidRDefault="00EC3554">
      <w:pPr>
        <w:spacing w:line="276" w:lineRule="auto"/>
        <w:jc w:val="both"/>
        <w:rPr>
          <w:rFonts w:ascii="Calibri" w:hAnsi="Calibri" w:cs="Calibri"/>
          <w:color w:val="auto"/>
          <w:sz w:val="16"/>
          <w:szCs w:val="16"/>
        </w:rPr>
      </w:pPr>
      <w:r w:rsidRPr="006D6934">
        <w:rPr>
          <w:rFonts w:ascii="Calibri" w:hAnsi="Calibri" w:cs="Calibri"/>
          <w:b/>
          <w:color w:val="auto"/>
        </w:rPr>
        <w:t xml:space="preserve">9) GARANTIAS ÉTICAS AOS </w:t>
      </w:r>
      <w:r w:rsidRPr="00705210">
        <w:rPr>
          <w:rFonts w:ascii="Calibri" w:hAnsi="Calibri" w:cs="Calibri"/>
          <w:b/>
          <w:color w:val="000000" w:themeColor="text1"/>
        </w:rPr>
        <w:t>PARTICIPANTES</w:t>
      </w:r>
      <w:r w:rsidRPr="006D6934">
        <w:rPr>
          <w:rFonts w:ascii="Calibri" w:hAnsi="Calibri" w:cs="Calibri"/>
          <w:b/>
          <w:color w:val="auto"/>
        </w:rPr>
        <w:t xml:space="preserve"> DA PESQUISA</w:t>
      </w:r>
    </w:p>
    <w:p w14:paraId="05253AA5" w14:textId="77777777" w:rsidR="00DC3CE1" w:rsidRPr="006D6934" w:rsidRDefault="00DC3CE1">
      <w:pPr>
        <w:spacing w:line="276" w:lineRule="auto"/>
        <w:jc w:val="both"/>
        <w:rPr>
          <w:rFonts w:ascii="Calibri" w:hAnsi="Calibri" w:cs="Calibri"/>
          <w:color w:val="auto"/>
          <w:sz w:val="16"/>
          <w:szCs w:val="16"/>
        </w:rPr>
      </w:pPr>
    </w:p>
    <w:p w14:paraId="41F2C941" w14:textId="6A315622" w:rsidR="00DC3CE1" w:rsidRPr="00705210" w:rsidRDefault="00DC3CE1" w:rsidP="00DC3CE1">
      <w:pPr>
        <w:spacing w:line="276" w:lineRule="auto"/>
        <w:ind w:firstLine="708"/>
        <w:jc w:val="both"/>
        <w:rPr>
          <w:rFonts w:ascii="Calibri" w:hAnsi="Calibri" w:cs="Calibri"/>
          <w:color w:val="auto"/>
        </w:rPr>
      </w:pPr>
      <w:r w:rsidRPr="006D6934">
        <w:rPr>
          <w:rFonts w:ascii="Calibri" w:hAnsi="Calibri" w:cs="Calibri"/>
          <w:color w:val="auto"/>
        </w:rPr>
        <w:t xml:space="preserve">O </w:t>
      </w:r>
      <w:r w:rsidRPr="00705210">
        <w:rPr>
          <w:rFonts w:ascii="Calibri" w:hAnsi="Calibri" w:cs="Calibri"/>
          <w:color w:val="auto"/>
        </w:rPr>
        <w:t>presente projeto apenas será desenvolvido após aprovação pe</w:t>
      </w:r>
      <w:r w:rsidR="004E30FD" w:rsidRPr="00705210">
        <w:rPr>
          <w:rFonts w:ascii="Calibri" w:hAnsi="Calibri" w:cs="Calibri"/>
          <w:color w:val="auto"/>
        </w:rPr>
        <w:t>lo Comitê de Ética em Pesquisa</w:t>
      </w:r>
      <w:r w:rsidRPr="00705210">
        <w:rPr>
          <w:rFonts w:ascii="Calibri" w:hAnsi="Calibri" w:cs="Calibri"/>
          <w:color w:val="auto"/>
        </w:rPr>
        <w:t xml:space="preserve"> da Universidade Federal do Triângulo Mineiro.</w:t>
      </w:r>
    </w:p>
    <w:p w14:paraId="164BC519" w14:textId="4D42E362" w:rsidR="004E30FD" w:rsidRPr="00705210" w:rsidRDefault="004E30FD" w:rsidP="004E30FD">
      <w:pPr>
        <w:spacing w:line="276" w:lineRule="auto"/>
        <w:ind w:firstLine="708"/>
        <w:jc w:val="both"/>
        <w:rPr>
          <w:rFonts w:ascii="Calibri" w:hAnsi="Calibri" w:cs="Calibri"/>
          <w:color w:val="auto"/>
        </w:rPr>
      </w:pPr>
      <w:r w:rsidRPr="00705210">
        <w:rPr>
          <w:rFonts w:ascii="Calibri" w:hAnsi="Calibri" w:cs="Calibri"/>
          <w:color w:val="auto"/>
        </w:rPr>
        <w:lastRenderedPageBreak/>
        <w:t xml:space="preserve">Em seguida, pacientes com diagnóstico de FM serão convidados a participar como </w:t>
      </w:r>
      <w:r w:rsidR="00B24FEE" w:rsidRPr="00705210">
        <w:rPr>
          <w:rFonts w:ascii="Calibri" w:hAnsi="Calibri" w:cs="Calibri"/>
          <w:color w:val="auto"/>
        </w:rPr>
        <w:t>participantes</w:t>
      </w:r>
      <w:r w:rsidRPr="00705210">
        <w:rPr>
          <w:rFonts w:ascii="Calibri" w:hAnsi="Calibri" w:cs="Calibri"/>
          <w:color w:val="auto"/>
        </w:rPr>
        <w:t xml:space="preserve"> do estudo.</w:t>
      </w:r>
      <w:r w:rsidRPr="00705210">
        <w:rPr>
          <w:color w:val="auto"/>
        </w:rPr>
        <w:t xml:space="preserve"> </w:t>
      </w:r>
      <w:r w:rsidRPr="00705210">
        <w:rPr>
          <w:rFonts w:ascii="Calibri" w:hAnsi="Calibri" w:cs="Calibri"/>
          <w:color w:val="auto"/>
        </w:rPr>
        <w:t>Os pacientes serão informados, no momento da abordagem inicial, que não sofreram prejuízo no seu tratamento caso optem por não participar da pesquisa e que seus dados serão mantidos em absoluto sigilo, sem divulgação de nomes ou fotos que possam os identificar.</w:t>
      </w:r>
    </w:p>
    <w:p w14:paraId="1A5DDF03" w14:textId="12402224" w:rsidR="004E30FD" w:rsidRPr="00705210" w:rsidRDefault="004E30FD" w:rsidP="004E30FD">
      <w:pPr>
        <w:spacing w:line="276" w:lineRule="auto"/>
        <w:ind w:firstLine="708"/>
        <w:jc w:val="both"/>
        <w:rPr>
          <w:rFonts w:ascii="Calibri" w:hAnsi="Calibri" w:cs="Calibri"/>
          <w:color w:val="auto"/>
        </w:rPr>
      </w:pPr>
      <w:r w:rsidRPr="00705210">
        <w:rPr>
          <w:rFonts w:ascii="Calibri" w:hAnsi="Calibri" w:cs="Calibri"/>
          <w:color w:val="auto"/>
        </w:rPr>
        <w:t xml:space="preserve">Posteriormente os </w:t>
      </w:r>
      <w:r w:rsidR="00B24FEE" w:rsidRPr="00705210">
        <w:rPr>
          <w:rFonts w:ascii="Calibri" w:hAnsi="Calibri" w:cs="Calibri"/>
          <w:color w:val="auto"/>
        </w:rPr>
        <w:t>participantes</w:t>
      </w:r>
      <w:r w:rsidRPr="00705210">
        <w:rPr>
          <w:rFonts w:ascii="Calibri" w:hAnsi="Calibri" w:cs="Calibri"/>
          <w:color w:val="auto"/>
        </w:rPr>
        <w:t xml:space="preserve"> serão esclarecimento quanto aos objetivos da pesquisa, à relevância das atividades desenvolvidas, os possíveis riscos e desconforto que os procedimentos poderão trazer e os resultados esperados. Por fim, serão convidados a assinar um Termo de Consentimento Livre e Esclarecido – TCLE declarando conhecimento total referente a pesquisa, podendo desligar-se dela quando desejar, ficando garantido o sigilo da sua identidade. O termo será apresentado em detalhes para os </w:t>
      </w:r>
      <w:r w:rsidR="00B24FEE" w:rsidRPr="00705210">
        <w:rPr>
          <w:rFonts w:ascii="Calibri" w:hAnsi="Calibri" w:cs="Calibri"/>
          <w:color w:val="auto"/>
        </w:rPr>
        <w:t>participantes</w:t>
      </w:r>
      <w:r w:rsidRPr="00705210">
        <w:rPr>
          <w:rFonts w:ascii="Calibri" w:hAnsi="Calibri" w:cs="Calibri"/>
          <w:color w:val="auto"/>
        </w:rPr>
        <w:t>, por um pesquisador experiente e capaz de explicar todos os procedimentos, em um consultório de atendimento individual nos Laboratórios de Pesquisa da Fisioterapia.</w:t>
      </w:r>
    </w:p>
    <w:p w14:paraId="00476D97" w14:textId="1A1F878D" w:rsidR="00DC3CE1" w:rsidRPr="00705210" w:rsidRDefault="00DC3CE1" w:rsidP="00DC3CE1">
      <w:pPr>
        <w:spacing w:line="276" w:lineRule="auto"/>
        <w:ind w:firstLine="708"/>
        <w:jc w:val="both"/>
        <w:rPr>
          <w:rFonts w:ascii="Calibri" w:hAnsi="Calibri" w:cs="Calibri"/>
          <w:color w:val="auto"/>
        </w:rPr>
      </w:pPr>
      <w:r w:rsidRPr="00705210">
        <w:rPr>
          <w:rFonts w:ascii="Calibri" w:hAnsi="Calibri" w:cs="Calibri"/>
          <w:color w:val="auto"/>
        </w:rPr>
        <w:t>Todo o material e os dados obtidos na pesquisa serão utilizados exclusivamente para a finalidade prevista no projeto aprovado pelo Comitê de Ética em Pesquisa. Ao final do estudo, após a aprovação do relatório final e publicação dos dados em revista científica, da área de interesse, todos os dados serão armazenados por um período de cinco anos (CNS 466/12 XI f) em seguida todo material proveniente da pesquisa será destruído.</w:t>
      </w:r>
    </w:p>
    <w:p w14:paraId="40AD90FE" w14:textId="2ECFFFB2" w:rsidR="004E30FD" w:rsidRPr="00705210" w:rsidRDefault="004E30FD" w:rsidP="004E30FD">
      <w:pPr>
        <w:spacing w:line="276" w:lineRule="auto"/>
        <w:ind w:firstLine="708"/>
        <w:jc w:val="both"/>
        <w:rPr>
          <w:rFonts w:ascii="Calibri" w:hAnsi="Calibri" w:cs="Calibri"/>
          <w:color w:val="auto"/>
        </w:rPr>
      </w:pPr>
      <w:r w:rsidRPr="00705210">
        <w:rPr>
          <w:rFonts w:ascii="Calibri" w:hAnsi="Calibri" w:cs="Calibri"/>
          <w:color w:val="auto"/>
        </w:rPr>
        <w:t xml:space="preserve">A pesquisa será desenvolvida com a liberdade de participação dos </w:t>
      </w:r>
      <w:r w:rsidR="00B24FEE" w:rsidRPr="00705210">
        <w:rPr>
          <w:rFonts w:ascii="Calibri" w:hAnsi="Calibri" w:cs="Calibri"/>
          <w:color w:val="auto"/>
        </w:rPr>
        <w:t>participantes</w:t>
      </w:r>
      <w:r w:rsidRPr="00705210">
        <w:rPr>
          <w:rFonts w:ascii="Calibri" w:hAnsi="Calibri" w:cs="Calibri"/>
          <w:color w:val="auto"/>
        </w:rPr>
        <w:t>, ou seja, eles terão a livre-arbítrio de desistir da pesquisa quando desejarem, serão mantidos sigilo e confidencialidade sobre os dados pessoais dos participantes.</w:t>
      </w:r>
    </w:p>
    <w:p w14:paraId="4235BF6D" w14:textId="77777777" w:rsidR="00701E7F" w:rsidRPr="006D6934" w:rsidRDefault="00EC3554">
      <w:pPr>
        <w:jc w:val="both"/>
        <w:rPr>
          <w:rFonts w:ascii="Calibri" w:hAnsi="Calibri" w:cs="Calibri"/>
          <w:color w:val="auto"/>
          <w:sz w:val="16"/>
          <w:szCs w:val="16"/>
        </w:rPr>
      </w:pPr>
      <w:r w:rsidRPr="006D6934">
        <w:rPr>
          <w:rFonts w:ascii="Calibri" w:hAnsi="Calibri" w:cs="Calibri"/>
          <w:b/>
          <w:color w:val="auto"/>
        </w:rPr>
        <w:t>10) CRONOGRAMA</w:t>
      </w:r>
    </w:p>
    <w:p w14:paraId="2BCB8E4B" w14:textId="77777777" w:rsidR="00750EDE" w:rsidRPr="006D6934" w:rsidRDefault="00750EDE">
      <w:pPr>
        <w:spacing w:line="276" w:lineRule="auto"/>
        <w:jc w:val="both"/>
        <w:rPr>
          <w:rFonts w:ascii="Calibri" w:hAnsi="Calibri" w:cs="Calibri"/>
          <w:color w:val="auto"/>
          <w:sz w:val="16"/>
          <w:szCs w:val="16"/>
        </w:rPr>
      </w:pPr>
    </w:p>
    <w:p w14:paraId="6F0722D1" w14:textId="315AC606" w:rsidR="00750EDE" w:rsidRPr="006D6934" w:rsidRDefault="00750EDE" w:rsidP="00750EDE">
      <w:pPr>
        <w:spacing w:line="360" w:lineRule="auto"/>
        <w:ind w:firstLine="720"/>
        <w:jc w:val="both"/>
        <w:rPr>
          <w:rFonts w:ascii="Calibri" w:hAnsi="Calibri" w:cs="Calibri"/>
          <w:color w:val="auto"/>
        </w:rPr>
      </w:pPr>
      <w:r w:rsidRPr="006D6934">
        <w:rPr>
          <w:rFonts w:ascii="Calibri" w:hAnsi="Calibri" w:cs="Calibri"/>
          <w:color w:val="auto"/>
        </w:rPr>
        <w:t>A previsão p</w:t>
      </w:r>
      <w:r w:rsidR="00072ED6" w:rsidRPr="006D6934">
        <w:rPr>
          <w:rFonts w:ascii="Calibri" w:hAnsi="Calibri" w:cs="Calibri"/>
          <w:color w:val="auto"/>
        </w:rPr>
        <w:t xml:space="preserve">ara conclusão </w:t>
      </w:r>
      <w:r w:rsidR="00072ED6" w:rsidRPr="005F5B36">
        <w:rPr>
          <w:rFonts w:ascii="Calibri" w:hAnsi="Calibri" w:cs="Calibri"/>
          <w:color w:val="auto"/>
        </w:rPr>
        <w:t>do projeto é de</w:t>
      </w:r>
      <w:r w:rsidR="005F5B36" w:rsidRPr="005F5B36">
        <w:rPr>
          <w:rFonts w:ascii="Calibri" w:hAnsi="Calibri" w:cs="Calibri"/>
          <w:color w:val="auto"/>
        </w:rPr>
        <w:t xml:space="preserve"> 14</w:t>
      </w:r>
      <w:r w:rsidRPr="005F5B36">
        <w:rPr>
          <w:rFonts w:ascii="Calibri" w:hAnsi="Calibri" w:cs="Calibri"/>
          <w:color w:val="auto"/>
        </w:rPr>
        <w:t xml:space="preserve"> meses</w:t>
      </w:r>
      <w:r w:rsidRPr="00862E45">
        <w:rPr>
          <w:rFonts w:ascii="Calibri" w:hAnsi="Calibri" w:cs="Calibri"/>
          <w:color w:val="auto"/>
        </w:rPr>
        <w:t xml:space="preserve">, </w:t>
      </w:r>
      <w:r w:rsidRPr="006D6934">
        <w:rPr>
          <w:rFonts w:ascii="Calibri" w:hAnsi="Calibri" w:cs="Calibri"/>
          <w:color w:val="auto"/>
        </w:rPr>
        <w:t xml:space="preserve">com início da inclusão das </w:t>
      </w:r>
      <w:r w:rsidR="00B253A1" w:rsidRPr="00311782">
        <w:rPr>
          <w:rFonts w:ascii="Calibri" w:hAnsi="Calibri" w:cs="Calibri"/>
          <w:color w:val="000000" w:themeColor="text1"/>
        </w:rPr>
        <w:t>participantes</w:t>
      </w:r>
      <w:r w:rsidRPr="00B253A1">
        <w:rPr>
          <w:rFonts w:ascii="Calibri" w:hAnsi="Calibri" w:cs="Calibri"/>
          <w:color w:val="FF0000"/>
        </w:rPr>
        <w:t xml:space="preserve"> </w:t>
      </w:r>
      <w:r w:rsidRPr="006D6934">
        <w:rPr>
          <w:rFonts w:ascii="Calibri" w:hAnsi="Calibri" w:cs="Calibri"/>
          <w:color w:val="auto"/>
        </w:rPr>
        <w:t>após aprovação do CEP, seguindo o seguinte cronograma:</w:t>
      </w:r>
    </w:p>
    <w:p w14:paraId="5B39F6CF" w14:textId="77777777" w:rsidR="00750EDE" w:rsidRPr="006D6934" w:rsidRDefault="00750EDE" w:rsidP="00750EDE">
      <w:pPr>
        <w:spacing w:line="360" w:lineRule="auto"/>
        <w:jc w:val="both"/>
        <w:rPr>
          <w:rFonts w:ascii="Calibri" w:hAnsi="Calibri" w:cs="Calibri"/>
          <w:color w:val="auto"/>
        </w:rPr>
      </w:pPr>
    </w:p>
    <w:tbl>
      <w:tblPr>
        <w:tblpPr w:leftFromText="141" w:rightFromText="141" w:vertAnchor="text" w:horzAnchor="margin" w:tblpXSpec="center" w:tblpY="-49"/>
        <w:tblW w:w="4567" w:type="pct"/>
        <w:tblLayout w:type="fixed"/>
        <w:tblCellMar>
          <w:left w:w="70" w:type="dxa"/>
          <w:right w:w="70" w:type="dxa"/>
        </w:tblCellMar>
        <w:tblLook w:val="04A0" w:firstRow="1" w:lastRow="0" w:firstColumn="1" w:lastColumn="0" w:noHBand="0" w:noVBand="1"/>
      </w:tblPr>
      <w:tblGrid>
        <w:gridCol w:w="1471"/>
        <w:gridCol w:w="652"/>
        <w:gridCol w:w="626"/>
        <w:gridCol w:w="470"/>
        <w:gridCol w:w="470"/>
        <w:gridCol w:w="468"/>
        <w:gridCol w:w="464"/>
        <w:gridCol w:w="464"/>
        <w:gridCol w:w="464"/>
        <w:gridCol w:w="464"/>
        <w:gridCol w:w="464"/>
        <w:gridCol w:w="464"/>
        <w:gridCol w:w="464"/>
        <w:gridCol w:w="464"/>
        <w:gridCol w:w="464"/>
        <w:gridCol w:w="461"/>
      </w:tblGrid>
      <w:tr w:rsidR="003929B1" w:rsidRPr="006D6934" w14:paraId="35B5D328" w14:textId="77777777" w:rsidTr="00D854F9">
        <w:trPr>
          <w:trHeight w:val="848"/>
        </w:trPr>
        <w:tc>
          <w:tcPr>
            <w:tcW w:w="836" w:type="pct"/>
            <w:tcBorders>
              <w:top w:val="single" w:sz="4" w:space="0" w:color="auto"/>
              <w:left w:val="single" w:sz="4" w:space="0" w:color="auto"/>
              <w:bottom w:val="single" w:sz="4" w:space="0" w:color="auto"/>
              <w:right w:val="single" w:sz="4" w:space="0" w:color="auto"/>
            </w:tcBorders>
            <w:vAlign w:val="center"/>
            <w:hideMark/>
          </w:tcPr>
          <w:p w14:paraId="22EF5970" w14:textId="77777777" w:rsidR="003929B1" w:rsidRPr="006D6934" w:rsidRDefault="003929B1" w:rsidP="003929B1">
            <w:pPr>
              <w:spacing w:line="360" w:lineRule="auto"/>
              <w:jc w:val="center"/>
              <w:rPr>
                <w:b/>
                <w:bCs/>
                <w:color w:val="auto"/>
                <w:sz w:val="24"/>
                <w:szCs w:val="24"/>
              </w:rPr>
            </w:pPr>
            <w:r w:rsidRPr="006D6934">
              <w:rPr>
                <w:b/>
                <w:bCs/>
                <w:color w:val="auto"/>
                <w:sz w:val="24"/>
                <w:szCs w:val="24"/>
              </w:rPr>
              <w:lastRenderedPageBreak/>
              <w:t>Etapas</w:t>
            </w:r>
          </w:p>
        </w:tc>
        <w:tc>
          <w:tcPr>
            <w:tcW w:w="370" w:type="pct"/>
            <w:tcBorders>
              <w:top w:val="single" w:sz="4" w:space="0" w:color="auto"/>
              <w:left w:val="nil"/>
              <w:bottom w:val="single" w:sz="4" w:space="0" w:color="auto"/>
              <w:right w:val="single" w:sz="4" w:space="0" w:color="auto"/>
            </w:tcBorders>
            <w:textDirection w:val="btLr"/>
            <w:vAlign w:val="center"/>
            <w:hideMark/>
          </w:tcPr>
          <w:p w14:paraId="5346F1D5" w14:textId="10F24094" w:rsidR="003929B1" w:rsidRPr="006D6934" w:rsidRDefault="003929B1" w:rsidP="003929B1">
            <w:pPr>
              <w:rPr>
                <w:color w:val="auto"/>
                <w:sz w:val="24"/>
                <w:szCs w:val="24"/>
              </w:rPr>
            </w:pPr>
            <w:r>
              <w:rPr>
                <w:color w:val="auto"/>
                <w:sz w:val="24"/>
                <w:szCs w:val="24"/>
              </w:rPr>
              <w:t xml:space="preserve"> </w:t>
            </w:r>
            <w:r w:rsidRPr="006D6934">
              <w:rPr>
                <w:color w:val="auto"/>
                <w:sz w:val="24"/>
                <w:szCs w:val="24"/>
              </w:rPr>
              <w:t xml:space="preserve"> </w:t>
            </w:r>
            <w:r w:rsidR="005F6F8A">
              <w:rPr>
                <w:color w:val="auto"/>
                <w:sz w:val="24"/>
                <w:szCs w:val="24"/>
              </w:rPr>
              <w:t xml:space="preserve"> </w:t>
            </w:r>
            <w:r>
              <w:rPr>
                <w:color w:val="auto"/>
                <w:sz w:val="24"/>
                <w:szCs w:val="24"/>
              </w:rPr>
              <w:t>07</w:t>
            </w:r>
            <w:r w:rsidRPr="006D6934">
              <w:rPr>
                <w:color w:val="auto"/>
                <w:sz w:val="24"/>
                <w:szCs w:val="24"/>
              </w:rPr>
              <w:t>/2</w:t>
            </w:r>
            <w:r>
              <w:rPr>
                <w:color w:val="auto"/>
                <w:sz w:val="24"/>
                <w:szCs w:val="24"/>
              </w:rPr>
              <w:t>5</w:t>
            </w:r>
          </w:p>
        </w:tc>
        <w:tc>
          <w:tcPr>
            <w:tcW w:w="356" w:type="pct"/>
            <w:tcBorders>
              <w:top w:val="single" w:sz="4" w:space="0" w:color="auto"/>
              <w:left w:val="nil"/>
              <w:bottom w:val="single" w:sz="4" w:space="0" w:color="auto"/>
              <w:right w:val="single" w:sz="4" w:space="0" w:color="auto"/>
            </w:tcBorders>
            <w:textDirection w:val="btLr"/>
            <w:vAlign w:val="center"/>
          </w:tcPr>
          <w:p w14:paraId="63B8518B" w14:textId="0F5B4C13" w:rsidR="003929B1" w:rsidRPr="006D6934" w:rsidRDefault="003929B1" w:rsidP="003929B1">
            <w:pPr>
              <w:jc w:val="center"/>
              <w:rPr>
                <w:color w:val="auto"/>
                <w:sz w:val="24"/>
                <w:szCs w:val="24"/>
              </w:rPr>
            </w:pPr>
            <w:r>
              <w:rPr>
                <w:color w:val="auto"/>
                <w:sz w:val="24"/>
                <w:szCs w:val="24"/>
              </w:rPr>
              <w:t xml:space="preserve"> </w:t>
            </w:r>
            <w:r w:rsidRPr="006D6934">
              <w:rPr>
                <w:color w:val="auto"/>
                <w:sz w:val="24"/>
                <w:szCs w:val="24"/>
              </w:rPr>
              <w:t xml:space="preserve"> </w:t>
            </w:r>
            <w:r>
              <w:rPr>
                <w:color w:val="auto"/>
                <w:sz w:val="24"/>
                <w:szCs w:val="24"/>
              </w:rPr>
              <w:t>0</w:t>
            </w:r>
            <w:r>
              <w:rPr>
                <w:color w:val="auto"/>
                <w:sz w:val="24"/>
                <w:szCs w:val="24"/>
              </w:rPr>
              <w:t>8</w:t>
            </w:r>
            <w:r w:rsidRPr="006D6934">
              <w:rPr>
                <w:color w:val="auto"/>
                <w:sz w:val="24"/>
                <w:szCs w:val="24"/>
              </w:rPr>
              <w:t>/2</w:t>
            </w:r>
            <w:r>
              <w:rPr>
                <w:color w:val="auto"/>
                <w:sz w:val="24"/>
                <w:szCs w:val="24"/>
              </w:rPr>
              <w:t>5</w:t>
            </w:r>
          </w:p>
        </w:tc>
        <w:tc>
          <w:tcPr>
            <w:tcW w:w="267" w:type="pct"/>
            <w:tcBorders>
              <w:top w:val="single" w:sz="4" w:space="0" w:color="auto"/>
              <w:left w:val="nil"/>
              <w:bottom w:val="single" w:sz="4" w:space="0" w:color="auto"/>
              <w:right w:val="single" w:sz="4" w:space="0" w:color="auto"/>
            </w:tcBorders>
            <w:textDirection w:val="btLr"/>
            <w:vAlign w:val="center"/>
          </w:tcPr>
          <w:p w14:paraId="311D212E" w14:textId="543393D1" w:rsidR="003929B1" w:rsidRPr="006D6934" w:rsidRDefault="003929B1" w:rsidP="003929B1">
            <w:pPr>
              <w:jc w:val="center"/>
              <w:rPr>
                <w:color w:val="auto"/>
                <w:sz w:val="24"/>
                <w:szCs w:val="24"/>
              </w:rPr>
            </w:pPr>
            <w:r>
              <w:rPr>
                <w:color w:val="auto"/>
                <w:sz w:val="24"/>
                <w:szCs w:val="24"/>
              </w:rPr>
              <w:t xml:space="preserve"> </w:t>
            </w:r>
            <w:r w:rsidRPr="006D6934">
              <w:rPr>
                <w:color w:val="auto"/>
                <w:sz w:val="24"/>
                <w:szCs w:val="24"/>
              </w:rPr>
              <w:t xml:space="preserve"> </w:t>
            </w:r>
            <w:r>
              <w:rPr>
                <w:color w:val="auto"/>
                <w:sz w:val="24"/>
                <w:szCs w:val="24"/>
              </w:rPr>
              <w:t>0</w:t>
            </w:r>
            <w:r>
              <w:rPr>
                <w:color w:val="auto"/>
                <w:sz w:val="24"/>
                <w:szCs w:val="24"/>
              </w:rPr>
              <w:t>9</w:t>
            </w:r>
            <w:r w:rsidRPr="006D6934">
              <w:rPr>
                <w:color w:val="auto"/>
                <w:sz w:val="24"/>
                <w:szCs w:val="24"/>
              </w:rPr>
              <w:t>/2</w:t>
            </w:r>
            <w:r>
              <w:rPr>
                <w:color w:val="auto"/>
                <w:sz w:val="24"/>
                <w:szCs w:val="24"/>
              </w:rPr>
              <w:t>5</w:t>
            </w:r>
          </w:p>
        </w:tc>
        <w:tc>
          <w:tcPr>
            <w:tcW w:w="267" w:type="pct"/>
            <w:tcBorders>
              <w:top w:val="single" w:sz="4" w:space="0" w:color="auto"/>
              <w:left w:val="nil"/>
              <w:bottom w:val="single" w:sz="4" w:space="0" w:color="auto"/>
              <w:right w:val="single" w:sz="4" w:space="0" w:color="auto"/>
            </w:tcBorders>
            <w:textDirection w:val="btLr"/>
            <w:vAlign w:val="center"/>
          </w:tcPr>
          <w:p w14:paraId="458EB9D4" w14:textId="684183B7" w:rsidR="003929B1" w:rsidRPr="006D6934" w:rsidRDefault="003929B1" w:rsidP="003929B1">
            <w:pPr>
              <w:jc w:val="center"/>
              <w:rPr>
                <w:color w:val="auto"/>
                <w:sz w:val="24"/>
                <w:szCs w:val="24"/>
              </w:rPr>
            </w:pPr>
            <w:r>
              <w:rPr>
                <w:color w:val="auto"/>
                <w:sz w:val="24"/>
                <w:szCs w:val="24"/>
              </w:rPr>
              <w:t xml:space="preserve"> </w:t>
            </w:r>
            <w:r w:rsidRPr="006D6934">
              <w:rPr>
                <w:color w:val="auto"/>
                <w:sz w:val="24"/>
                <w:szCs w:val="24"/>
              </w:rPr>
              <w:t xml:space="preserve"> </w:t>
            </w:r>
            <w:r>
              <w:rPr>
                <w:color w:val="auto"/>
                <w:sz w:val="24"/>
                <w:szCs w:val="24"/>
              </w:rPr>
              <w:t>10</w:t>
            </w:r>
            <w:r w:rsidRPr="006D6934">
              <w:rPr>
                <w:color w:val="auto"/>
                <w:sz w:val="24"/>
                <w:szCs w:val="24"/>
              </w:rPr>
              <w:t>/2</w:t>
            </w:r>
            <w:r>
              <w:rPr>
                <w:color w:val="auto"/>
                <w:sz w:val="24"/>
                <w:szCs w:val="24"/>
              </w:rPr>
              <w:t>5</w:t>
            </w:r>
          </w:p>
        </w:tc>
        <w:tc>
          <w:tcPr>
            <w:tcW w:w="266" w:type="pct"/>
            <w:tcBorders>
              <w:top w:val="single" w:sz="4" w:space="0" w:color="auto"/>
              <w:left w:val="nil"/>
              <w:bottom w:val="single" w:sz="4" w:space="0" w:color="auto"/>
              <w:right w:val="single" w:sz="4" w:space="0" w:color="auto"/>
            </w:tcBorders>
            <w:textDirection w:val="btLr"/>
            <w:vAlign w:val="center"/>
          </w:tcPr>
          <w:p w14:paraId="0F7BC4DF" w14:textId="05EB6221" w:rsidR="003929B1" w:rsidRPr="006D6934" w:rsidRDefault="003929B1" w:rsidP="003929B1">
            <w:pPr>
              <w:jc w:val="center"/>
              <w:rPr>
                <w:color w:val="auto"/>
                <w:sz w:val="24"/>
                <w:szCs w:val="24"/>
              </w:rPr>
            </w:pPr>
            <w:r>
              <w:rPr>
                <w:color w:val="auto"/>
                <w:sz w:val="24"/>
                <w:szCs w:val="24"/>
              </w:rPr>
              <w:t xml:space="preserve"> </w:t>
            </w:r>
            <w:r w:rsidRPr="006D6934">
              <w:rPr>
                <w:color w:val="auto"/>
                <w:sz w:val="24"/>
                <w:szCs w:val="24"/>
              </w:rPr>
              <w:t xml:space="preserve"> </w:t>
            </w:r>
            <w:r>
              <w:rPr>
                <w:color w:val="auto"/>
                <w:sz w:val="24"/>
                <w:szCs w:val="24"/>
              </w:rPr>
              <w:t>11</w:t>
            </w:r>
            <w:r w:rsidRPr="006D6934">
              <w:rPr>
                <w:color w:val="auto"/>
                <w:sz w:val="24"/>
                <w:szCs w:val="24"/>
              </w:rPr>
              <w:t>/2</w:t>
            </w:r>
            <w:r>
              <w:rPr>
                <w:color w:val="auto"/>
                <w:sz w:val="24"/>
                <w:szCs w:val="24"/>
              </w:rPr>
              <w:t>5</w:t>
            </w:r>
          </w:p>
        </w:tc>
        <w:tc>
          <w:tcPr>
            <w:tcW w:w="264" w:type="pct"/>
            <w:tcBorders>
              <w:top w:val="single" w:sz="4" w:space="0" w:color="auto"/>
              <w:left w:val="nil"/>
              <w:bottom w:val="single" w:sz="4" w:space="0" w:color="auto"/>
              <w:right w:val="single" w:sz="4" w:space="0" w:color="auto"/>
            </w:tcBorders>
            <w:textDirection w:val="btLr"/>
            <w:vAlign w:val="center"/>
          </w:tcPr>
          <w:p w14:paraId="1A3C6419" w14:textId="14F0E887" w:rsidR="003929B1" w:rsidRPr="006D6934" w:rsidRDefault="003929B1" w:rsidP="003929B1">
            <w:pPr>
              <w:jc w:val="center"/>
              <w:rPr>
                <w:color w:val="auto"/>
                <w:sz w:val="24"/>
                <w:szCs w:val="24"/>
              </w:rPr>
            </w:pPr>
            <w:r>
              <w:rPr>
                <w:color w:val="auto"/>
                <w:sz w:val="24"/>
                <w:szCs w:val="24"/>
              </w:rPr>
              <w:t xml:space="preserve"> </w:t>
            </w:r>
            <w:r w:rsidRPr="006D6934">
              <w:rPr>
                <w:color w:val="auto"/>
                <w:sz w:val="24"/>
                <w:szCs w:val="24"/>
              </w:rPr>
              <w:t xml:space="preserve"> </w:t>
            </w:r>
            <w:r>
              <w:rPr>
                <w:color w:val="auto"/>
                <w:sz w:val="24"/>
                <w:szCs w:val="24"/>
              </w:rPr>
              <w:t>12</w:t>
            </w:r>
            <w:r w:rsidRPr="006D6934">
              <w:rPr>
                <w:color w:val="auto"/>
                <w:sz w:val="24"/>
                <w:szCs w:val="24"/>
              </w:rPr>
              <w:t>/2</w:t>
            </w:r>
            <w:r>
              <w:rPr>
                <w:color w:val="auto"/>
                <w:sz w:val="24"/>
                <w:szCs w:val="24"/>
              </w:rPr>
              <w:t>5</w:t>
            </w:r>
          </w:p>
        </w:tc>
        <w:tc>
          <w:tcPr>
            <w:tcW w:w="264" w:type="pct"/>
            <w:tcBorders>
              <w:top w:val="single" w:sz="4" w:space="0" w:color="auto"/>
              <w:left w:val="nil"/>
              <w:bottom w:val="single" w:sz="4" w:space="0" w:color="auto"/>
              <w:right w:val="single" w:sz="4" w:space="0" w:color="auto"/>
            </w:tcBorders>
            <w:textDirection w:val="btLr"/>
            <w:vAlign w:val="center"/>
          </w:tcPr>
          <w:p w14:paraId="19D8D8B1" w14:textId="664CCA39" w:rsidR="003929B1" w:rsidRPr="006D6934" w:rsidRDefault="003929B1" w:rsidP="003929B1">
            <w:pPr>
              <w:jc w:val="center"/>
              <w:rPr>
                <w:color w:val="auto"/>
                <w:sz w:val="24"/>
                <w:szCs w:val="24"/>
              </w:rPr>
            </w:pPr>
            <w:r w:rsidRPr="006D6934">
              <w:rPr>
                <w:color w:val="auto"/>
                <w:sz w:val="24"/>
                <w:szCs w:val="24"/>
              </w:rPr>
              <w:t>0</w:t>
            </w:r>
            <w:r>
              <w:rPr>
                <w:color w:val="auto"/>
                <w:sz w:val="24"/>
                <w:szCs w:val="24"/>
              </w:rPr>
              <w:t>1</w:t>
            </w:r>
            <w:r w:rsidRPr="006D6934">
              <w:rPr>
                <w:color w:val="auto"/>
                <w:sz w:val="24"/>
                <w:szCs w:val="24"/>
              </w:rPr>
              <w:t>/2</w:t>
            </w:r>
            <w:r>
              <w:rPr>
                <w:color w:val="auto"/>
                <w:sz w:val="24"/>
                <w:szCs w:val="24"/>
              </w:rPr>
              <w:t>6</w:t>
            </w:r>
          </w:p>
        </w:tc>
        <w:tc>
          <w:tcPr>
            <w:tcW w:w="264" w:type="pct"/>
            <w:tcBorders>
              <w:top w:val="single" w:sz="4" w:space="0" w:color="auto"/>
              <w:left w:val="nil"/>
              <w:bottom w:val="single" w:sz="4" w:space="0" w:color="auto"/>
              <w:right w:val="single" w:sz="4" w:space="0" w:color="auto"/>
            </w:tcBorders>
            <w:textDirection w:val="btLr"/>
            <w:vAlign w:val="center"/>
          </w:tcPr>
          <w:p w14:paraId="2EFDCE53" w14:textId="6CE14329" w:rsidR="003929B1" w:rsidRPr="006D6934" w:rsidRDefault="003929B1" w:rsidP="003929B1">
            <w:pPr>
              <w:jc w:val="center"/>
              <w:rPr>
                <w:color w:val="auto"/>
                <w:sz w:val="24"/>
                <w:szCs w:val="24"/>
              </w:rPr>
            </w:pPr>
            <w:r w:rsidRPr="006D6934">
              <w:rPr>
                <w:color w:val="auto"/>
                <w:sz w:val="24"/>
                <w:szCs w:val="24"/>
              </w:rPr>
              <w:t>0</w:t>
            </w:r>
            <w:r>
              <w:rPr>
                <w:color w:val="auto"/>
                <w:sz w:val="24"/>
                <w:szCs w:val="24"/>
              </w:rPr>
              <w:t>2</w:t>
            </w:r>
            <w:r w:rsidRPr="006D6934">
              <w:rPr>
                <w:color w:val="auto"/>
                <w:sz w:val="24"/>
                <w:szCs w:val="24"/>
              </w:rPr>
              <w:t>/2</w:t>
            </w:r>
            <w:r>
              <w:rPr>
                <w:color w:val="auto"/>
                <w:sz w:val="24"/>
                <w:szCs w:val="24"/>
              </w:rPr>
              <w:t>6</w:t>
            </w:r>
          </w:p>
        </w:tc>
        <w:tc>
          <w:tcPr>
            <w:tcW w:w="264" w:type="pct"/>
            <w:tcBorders>
              <w:top w:val="single" w:sz="4" w:space="0" w:color="auto"/>
              <w:left w:val="nil"/>
              <w:bottom w:val="single" w:sz="4" w:space="0" w:color="auto"/>
              <w:right w:val="single" w:sz="4" w:space="0" w:color="auto"/>
            </w:tcBorders>
            <w:textDirection w:val="btLr"/>
            <w:vAlign w:val="center"/>
          </w:tcPr>
          <w:p w14:paraId="59E11FB1" w14:textId="650C6FE5" w:rsidR="003929B1" w:rsidRPr="006D6934" w:rsidRDefault="003929B1" w:rsidP="003929B1">
            <w:pPr>
              <w:jc w:val="center"/>
              <w:rPr>
                <w:color w:val="auto"/>
                <w:sz w:val="24"/>
                <w:szCs w:val="24"/>
              </w:rPr>
            </w:pPr>
            <w:r w:rsidRPr="006D6934">
              <w:rPr>
                <w:color w:val="auto"/>
                <w:sz w:val="24"/>
                <w:szCs w:val="24"/>
              </w:rPr>
              <w:t>0</w:t>
            </w:r>
            <w:r>
              <w:rPr>
                <w:color w:val="auto"/>
                <w:sz w:val="24"/>
                <w:szCs w:val="24"/>
              </w:rPr>
              <w:t>3</w:t>
            </w:r>
            <w:r w:rsidRPr="006D6934">
              <w:rPr>
                <w:color w:val="auto"/>
                <w:sz w:val="24"/>
                <w:szCs w:val="24"/>
              </w:rPr>
              <w:t>/2</w:t>
            </w:r>
            <w:r>
              <w:rPr>
                <w:color w:val="auto"/>
                <w:sz w:val="24"/>
                <w:szCs w:val="24"/>
              </w:rPr>
              <w:t>6</w:t>
            </w:r>
          </w:p>
        </w:tc>
        <w:tc>
          <w:tcPr>
            <w:tcW w:w="264" w:type="pct"/>
            <w:tcBorders>
              <w:top w:val="single" w:sz="4" w:space="0" w:color="auto"/>
              <w:left w:val="nil"/>
              <w:bottom w:val="single" w:sz="4" w:space="0" w:color="auto"/>
              <w:right w:val="single" w:sz="4" w:space="0" w:color="auto"/>
            </w:tcBorders>
            <w:textDirection w:val="btLr"/>
            <w:vAlign w:val="center"/>
          </w:tcPr>
          <w:p w14:paraId="2C89A577" w14:textId="5A354080" w:rsidR="003929B1" w:rsidRPr="006D6934" w:rsidRDefault="003929B1" w:rsidP="003929B1">
            <w:pPr>
              <w:jc w:val="center"/>
              <w:rPr>
                <w:color w:val="auto"/>
                <w:sz w:val="24"/>
                <w:szCs w:val="24"/>
              </w:rPr>
            </w:pPr>
            <w:r w:rsidRPr="006D6934">
              <w:rPr>
                <w:color w:val="auto"/>
                <w:sz w:val="24"/>
                <w:szCs w:val="24"/>
              </w:rPr>
              <w:t>0</w:t>
            </w:r>
            <w:r>
              <w:rPr>
                <w:color w:val="auto"/>
                <w:sz w:val="24"/>
                <w:szCs w:val="24"/>
              </w:rPr>
              <w:t>4</w:t>
            </w:r>
            <w:r w:rsidRPr="006D6934">
              <w:rPr>
                <w:color w:val="auto"/>
                <w:sz w:val="24"/>
                <w:szCs w:val="24"/>
              </w:rPr>
              <w:t>/2</w:t>
            </w:r>
            <w:r>
              <w:rPr>
                <w:color w:val="auto"/>
                <w:sz w:val="24"/>
                <w:szCs w:val="24"/>
              </w:rPr>
              <w:t>6</w:t>
            </w:r>
          </w:p>
        </w:tc>
        <w:tc>
          <w:tcPr>
            <w:tcW w:w="264" w:type="pct"/>
            <w:tcBorders>
              <w:top w:val="single" w:sz="4" w:space="0" w:color="auto"/>
              <w:left w:val="nil"/>
              <w:bottom w:val="single" w:sz="4" w:space="0" w:color="auto"/>
              <w:right w:val="single" w:sz="4" w:space="0" w:color="auto"/>
            </w:tcBorders>
            <w:textDirection w:val="btLr"/>
            <w:vAlign w:val="center"/>
          </w:tcPr>
          <w:p w14:paraId="379D89BE" w14:textId="044FF842" w:rsidR="003929B1" w:rsidRPr="006D6934" w:rsidRDefault="003929B1" w:rsidP="003929B1">
            <w:pPr>
              <w:jc w:val="center"/>
              <w:rPr>
                <w:color w:val="auto"/>
                <w:sz w:val="24"/>
                <w:szCs w:val="24"/>
              </w:rPr>
            </w:pPr>
            <w:r w:rsidRPr="006D6934">
              <w:rPr>
                <w:color w:val="auto"/>
                <w:sz w:val="24"/>
                <w:szCs w:val="24"/>
              </w:rPr>
              <w:t>0</w:t>
            </w:r>
            <w:r>
              <w:rPr>
                <w:color w:val="auto"/>
                <w:sz w:val="24"/>
                <w:szCs w:val="24"/>
              </w:rPr>
              <w:t>5</w:t>
            </w:r>
            <w:r w:rsidRPr="006D6934">
              <w:rPr>
                <w:color w:val="auto"/>
                <w:sz w:val="24"/>
                <w:szCs w:val="24"/>
              </w:rPr>
              <w:t>/2</w:t>
            </w:r>
            <w:r>
              <w:rPr>
                <w:color w:val="auto"/>
                <w:sz w:val="24"/>
                <w:szCs w:val="24"/>
              </w:rPr>
              <w:t>6</w:t>
            </w:r>
          </w:p>
        </w:tc>
        <w:tc>
          <w:tcPr>
            <w:tcW w:w="264" w:type="pct"/>
            <w:tcBorders>
              <w:top w:val="single" w:sz="4" w:space="0" w:color="auto"/>
              <w:left w:val="nil"/>
              <w:bottom w:val="single" w:sz="4" w:space="0" w:color="auto"/>
              <w:right w:val="single" w:sz="4" w:space="0" w:color="auto"/>
            </w:tcBorders>
            <w:textDirection w:val="btLr"/>
            <w:vAlign w:val="center"/>
          </w:tcPr>
          <w:p w14:paraId="31BA0AC0" w14:textId="2725E479" w:rsidR="003929B1" w:rsidRPr="006D6934" w:rsidRDefault="003929B1" w:rsidP="003929B1">
            <w:pPr>
              <w:jc w:val="center"/>
              <w:rPr>
                <w:color w:val="auto"/>
                <w:sz w:val="24"/>
                <w:szCs w:val="24"/>
              </w:rPr>
            </w:pPr>
            <w:r w:rsidRPr="006D6934">
              <w:rPr>
                <w:color w:val="auto"/>
                <w:sz w:val="24"/>
                <w:szCs w:val="24"/>
              </w:rPr>
              <w:t>0</w:t>
            </w:r>
            <w:r>
              <w:rPr>
                <w:color w:val="auto"/>
                <w:sz w:val="24"/>
                <w:szCs w:val="24"/>
              </w:rPr>
              <w:t>6</w:t>
            </w:r>
            <w:r w:rsidRPr="006D6934">
              <w:rPr>
                <w:color w:val="auto"/>
                <w:sz w:val="24"/>
                <w:szCs w:val="24"/>
              </w:rPr>
              <w:t>/2</w:t>
            </w:r>
            <w:r>
              <w:rPr>
                <w:color w:val="auto"/>
                <w:sz w:val="24"/>
                <w:szCs w:val="24"/>
              </w:rPr>
              <w:t>6</w:t>
            </w:r>
          </w:p>
        </w:tc>
        <w:tc>
          <w:tcPr>
            <w:tcW w:w="264" w:type="pct"/>
            <w:tcBorders>
              <w:top w:val="single" w:sz="4" w:space="0" w:color="auto"/>
              <w:left w:val="single" w:sz="4" w:space="0" w:color="auto"/>
              <w:bottom w:val="single" w:sz="4" w:space="0" w:color="auto"/>
              <w:right w:val="single" w:sz="4" w:space="0" w:color="auto"/>
            </w:tcBorders>
            <w:textDirection w:val="btLr"/>
            <w:vAlign w:val="center"/>
          </w:tcPr>
          <w:p w14:paraId="493B4197" w14:textId="41236098" w:rsidR="003929B1" w:rsidRPr="006D6934" w:rsidRDefault="003929B1" w:rsidP="003929B1">
            <w:pPr>
              <w:jc w:val="center"/>
              <w:rPr>
                <w:color w:val="auto"/>
                <w:sz w:val="24"/>
                <w:szCs w:val="24"/>
              </w:rPr>
            </w:pPr>
            <w:r w:rsidRPr="006D6934">
              <w:rPr>
                <w:color w:val="auto"/>
                <w:sz w:val="24"/>
                <w:szCs w:val="24"/>
              </w:rPr>
              <w:t>0</w:t>
            </w:r>
            <w:r>
              <w:rPr>
                <w:color w:val="auto"/>
                <w:sz w:val="24"/>
                <w:szCs w:val="24"/>
              </w:rPr>
              <w:t>7</w:t>
            </w:r>
            <w:r w:rsidRPr="006D6934">
              <w:rPr>
                <w:color w:val="auto"/>
                <w:sz w:val="24"/>
                <w:szCs w:val="24"/>
              </w:rPr>
              <w:t>/2</w:t>
            </w:r>
            <w:r>
              <w:rPr>
                <w:color w:val="auto"/>
                <w:sz w:val="24"/>
                <w:szCs w:val="24"/>
              </w:rPr>
              <w:t>6</w:t>
            </w:r>
          </w:p>
        </w:tc>
        <w:tc>
          <w:tcPr>
            <w:tcW w:w="264" w:type="pct"/>
            <w:tcBorders>
              <w:top w:val="single" w:sz="4" w:space="0" w:color="auto"/>
              <w:left w:val="nil"/>
              <w:bottom w:val="single" w:sz="4" w:space="0" w:color="auto"/>
              <w:right w:val="single" w:sz="4" w:space="0" w:color="auto"/>
            </w:tcBorders>
            <w:textDirection w:val="btLr"/>
            <w:vAlign w:val="center"/>
          </w:tcPr>
          <w:p w14:paraId="01500F88" w14:textId="3CB209B5" w:rsidR="003929B1" w:rsidRPr="006D6934" w:rsidRDefault="003929B1" w:rsidP="003929B1">
            <w:pPr>
              <w:jc w:val="center"/>
              <w:rPr>
                <w:color w:val="auto"/>
                <w:sz w:val="24"/>
                <w:szCs w:val="24"/>
              </w:rPr>
            </w:pPr>
            <w:r w:rsidRPr="006D6934">
              <w:rPr>
                <w:color w:val="auto"/>
                <w:sz w:val="24"/>
                <w:szCs w:val="24"/>
              </w:rPr>
              <w:t>0</w:t>
            </w:r>
            <w:r>
              <w:rPr>
                <w:color w:val="auto"/>
                <w:sz w:val="24"/>
                <w:szCs w:val="24"/>
              </w:rPr>
              <w:t>8</w:t>
            </w:r>
            <w:r w:rsidRPr="006D6934">
              <w:rPr>
                <w:color w:val="auto"/>
                <w:sz w:val="24"/>
                <w:szCs w:val="24"/>
              </w:rPr>
              <w:t>/2</w:t>
            </w:r>
            <w:r>
              <w:rPr>
                <w:color w:val="auto"/>
                <w:sz w:val="24"/>
                <w:szCs w:val="24"/>
              </w:rPr>
              <w:t>6</w:t>
            </w:r>
          </w:p>
        </w:tc>
        <w:tc>
          <w:tcPr>
            <w:tcW w:w="262" w:type="pct"/>
            <w:tcBorders>
              <w:top w:val="single" w:sz="4" w:space="0" w:color="auto"/>
              <w:left w:val="nil"/>
              <w:bottom w:val="single" w:sz="4" w:space="0" w:color="auto"/>
              <w:right w:val="single" w:sz="4" w:space="0" w:color="auto"/>
            </w:tcBorders>
            <w:textDirection w:val="btLr"/>
            <w:vAlign w:val="center"/>
          </w:tcPr>
          <w:p w14:paraId="7770876E" w14:textId="783CBC4D" w:rsidR="003929B1" w:rsidRPr="006D6934" w:rsidRDefault="003929B1" w:rsidP="003929B1">
            <w:pPr>
              <w:jc w:val="center"/>
              <w:rPr>
                <w:color w:val="auto"/>
                <w:sz w:val="24"/>
                <w:szCs w:val="24"/>
              </w:rPr>
            </w:pPr>
            <w:r w:rsidRPr="006D6934">
              <w:rPr>
                <w:color w:val="auto"/>
                <w:sz w:val="24"/>
                <w:szCs w:val="24"/>
              </w:rPr>
              <w:t>0</w:t>
            </w:r>
            <w:r>
              <w:rPr>
                <w:color w:val="auto"/>
                <w:sz w:val="24"/>
                <w:szCs w:val="24"/>
              </w:rPr>
              <w:t>9</w:t>
            </w:r>
            <w:r w:rsidRPr="006D6934">
              <w:rPr>
                <w:color w:val="auto"/>
                <w:sz w:val="24"/>
                <w:szCs w:val="24"/>
              </w:rPr>
              <w:t>/2</w:t>
            </w:r>
            <w:r>
              <w:rPr>
                <w:color w:val="auto"/>
                <w:sz w:val="24"/>
                <w:szCs w:val="24"/>
              </w:rPr>
              <w:t>6</w:t>
            </w:r>
          </w:p>
        </w:tc>
      </w:tr>
      <w:tr w:rsidR="003929B1" w:rsidRPr="006D6934" w14:paraId="6F1164C3" w14:textId="77777777" w:rsidTr="00D854F9">
        <w:trPr>
          <w:cantSplit/>
          <w:trHeight w:val="977"/>
        </w:trPr>
        <w:tc>
          <w:tcPr>
            <w:tcW w:w="836" w:type="pct"/>
            <w:tcBorders>
              <w:top w:val="nil"/>
              <w:left w:val="single" w:sz="4" w:space="0" w:color="auto"/>
              <w:bottom w:val="single" w:sz="4" w:space="0" w:color="auto"/>
              <w:right w:val="single" w:sz="4" w:space="0" w:color="auto"/>
            </w:tcBorders>
            <w:vAlign w:val="center"/>
            <w:hideMark/>
          </w:tcPr>
          <w:p w14:paraId="1B726705" w14:textId="77777777" w:rsidR="003929B1" w:rsidRPr="006D6934" w:rsidRDefault="003929B1" w:rsidP="00681A5A">
            <w:pPr>
              <w:jc w:val="center"/>
              <w:rPr>
                <w:b/>
                <w:bCs/>
                <w:color w:val="auto"/>
                <w:sz w:val="24"/>
                <w:szCs w:val="24"/>
              </w:rPr>
            </w:pPr>
            <w:r w:rsidRPr="006D6934">
              <w:rPr>
                <w:b/>
                <w:bCs/>
                <w:color w:val="auto"/>
                <w:sz w:val="24"/>
                <w:szCs w:val="24"/>
              </w:rPr>
              <w:t>Atualização da literatura</w:t>
            </w:r>
          </w:p>
        </w:tc>
        <w:tc>
          <w:tcPr>
            <w:tcW w:w="370" w:type="pct"/>
            <w:tcBorders>
              <w:top w:val="nil"/>
              <w:left w:val="single" w:sz="4" w:space="0" w:color="auto"/>
              <w:bottom w:val="single" w:sz="4" w:space="0" w:color="auto"/>
              <w:right w:val="single" w:sz="4" w:space="0" w:color="auto"/>
            </w:tcBorders>
            <w:vAlign w:val="center"/>
            <w:hideMark/>
          </w:tcPr>
          <w:p w14:paraId="0EE6FB38"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356" w:type="pct"/>
            <w:tcBorders>
              <w:top w:val="nil"/>
              <w:left w:val="single" w:sz="4" w:space="0" w:color="auto"/>
              <w:bottom w:val="single" w:sz="4" w:space="0" w:color="auto"/>
              <w:right w:val="single" w:sz="4" w:space="0" w:color="auto"/>
            </w:tcBorders>
            <w:vAlign w:val="center"/>
            <w:hideMark/>
          </w:tcPr>
          <w:p w14:paraId="4E4042FF"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7" w:type="pct"/>
            <w:tcBorders>
              <w:top w:val="nil"/>
              <w:left w:val="single" w:sz="4" w:space="0" w:color="auto"/>
              <w:bottom w:val="single" w:sz="4" w:space="0" w:color="auto"/>
              <w:right w:val="single" w:sz="4" w:space="0" w:color="auto"/>
            </w:tcBorders>
            <w:vAlign w:val="center"/>
            <w:hideMark/>
          </w:tcPr>
          <w:p w14:paraId="12571E8F"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7" w:type="pct"/>
            <w:tcBorders>
              <w:top w:val="nil"/>
              <w:left w:val="single" w:sz="4" w:space="0" w:color="auto"/>
              <w:bottom w:val="single" w:sz="4" w:space="0" w:color="auto"/>
              <w:right w:val="single" w:sz="4" w:space="0" w:color="auto"/>
            </w:tcBorders>
            <w:vAlign w:val="center"/>
            <w:hideMark/>
          </w:tcPr>
          <w:p w14:paraId="333C1955"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6" w:type="pct"/>
            <w:tcBorders>
              <w:top w:val="nil"/>
              <w:left w:val="single" w:sz="4" w:space="0" w:color="auto"/>
              <w:bottom w:val="single" w:sz="4" w:space="0" w:color="auto"/>
              <w:right w:val="single" w:sz="4" w:space="0" w:color="auto"/>
            </w:tcBorders>
            <w:vAlign w:val="center"/>
            <w:hideMark/>
          </w:tcPr>
          <w:p w14:paraId="23A4B35D"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hideMark/>
          </w:tcPr>
          <w:p w14:paraId="0081B654"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hideMark/>
          </w:tcPr>
          <w:p w14:paraId="0B3C6932"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hideMark/>
          </w:tcPr>
          <w:p w14:paraId="279C4AE1"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hideMark/>
          </w:tcPr>
          <w:p w14:paraId="31F1630F"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hideMark/>
          </w:tcPr>
          <w:p w14:paraId="1471F2F5"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hideMark/>
          </w:tcPr>
          <w:p w14:paraId="72825B2F"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0DF108C9"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72EAB5B2"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31497416" w14:textId="77777777" w:rsidR="003929B1" w:rsidRPr="006D6934" w:rsidRDefault="003929B1" w:rsidP="00681A5A">
            <w:pPr>
              <w:jc w:val="center"/>
              <w:rPr>
                <w:b/>
                <w:bCs/>
                <w:color w:val="auto"/>
                <w:sz w:val="24"/>
                <w:szCs w:val="24"/>
              </w:rPr>
            </w:pPr>
            <w:r w:rsidRPr="006D6934">
              <w:rPr>
                <w:b/>
                <w:bCs/>
                <w:color w:val="auto"/>
                <w:sz w:val="24"/>
                <w:szCs w:val="24"/>
              </w:rPr>
              <w:t>X</w:t>
            </w:r>
          </w:p>
        </w:tc>
        <w:tc>
          <w:tcPr>
            <w:tcW w:w="262" w:type="pct"/>
            <w:tcBorders>
              <w:top w:val="nil"/>
              <w:left w:val="single" w:sz="4" w:space="0" w:color="auto"/>
              <w:bottom w:val="single" w:sz="4" w:space="0" w:color="auto"/>
              <w:right w:val="single" w:sz="4" w:space="0" w:color="auto"/>
            </w:tcBorders>
            <w:vAlign w:val="center"/>
          </w:tcPr>
          <w:p w14:paraId="69F74496" w14:textId="77777777" w:rsidR="003929B1" w:rsidRPr="006D6934" w:rsidRDefault="003929B1" w:rsidP="00681A5A">
            <w:pPr>
              <w:jc w:val="center"/>
              <w:rPr>
                <w:b/>
                <w:bCs/>
                <w:color w:val="auto"/>
                <w:sz w:val="24"/>
                <w:szCs w:val="24"/>
              </w:rPr>
            </w:pPr>
            <w:r w:rsidRPr="006D6934">
              <w:rPr>
                <w:b/>
                <w:bCs/>
                <w:color w:val="auto"/>
                <w:sz w:val="24"/>
                <w:szCs w:val="24"/>
              </w:rPr>
              <w:t>X</w:t>
            </w:r>
          </w:p>
        </w:tc>
      </w:tr>
      <w:tr w:rsidR="003929B1" w:rsidRPr="006D6934" w14:paraId="4BCBC998" w14:textId="77777777" w:rsidTr="00D854F9">
        <w:trPr>
          <w:cantSplit/>
          <w:trHeight w:val="1433"/>
        </w:trPr>
        <w:tc>
          <w:tcPr>
            <w:tcW w:w="836" w:type="pct"/>
            <w:tcBorders>
              <w:top w:val="nil"/>
              <w:left w:val="single" w:sz="4" w:space="0" w:color="auto"/>
              <w:bottom w:val="single" w:sz="4" w:space="0" w:color="auto"/>
              <w:right w:val="single" w:sz="4" w:space="0" w:color="auto"/>
            </w:tcBorders>
            <w:vAlign w:val="center"/>
            <w:hideMark/>
          </w:tcPr>
          <w:p w14:paraId="09536FC0" w14:textId="77777777" w:rsidR="003929B1" w:rsidRPr="006D6934" w:rsidRDefault="003929B1" w:rsidP="00681A5A">
            <w:pPr>
              <w:jc w:val="center"/>
              <w:rPr>
                <w:b/>
                <w:bCs/>
                <w:color w:val="auto"/>
                <w:sz w:val="24"/>
                <w:szCs w:val="24"/>
              </w:rPr>
            </w:pPr>
            <w:r w:rsidRPr="006D6934">
              <w:rPr>
                <w:b/>
                <w:bCs/>
                <w:color w:val="auto"/>
                <w:sz w:val="24"/>
                <w:szCs w:val="24"/>
              </w:rPr>
              <w:t>Escrita do projeto e submissão ao CEP</w:t>
            </w:r>
          </w:p>
        </w:tc>
        <w:tc>
          <w:tcPr>
            <w:tcW w:w="370" w:type="pct"/>
            <w:tcBorders>
              <w:top w:val="nil"/>
              <w:left w:val="single" w:sz="4" w:space="0" w:color="auto"/>
              <w:bottom w:val="single" w:sz="4" w:space="0" w:color="auto"/>
              <w:right w:val="single" w:sz="4" w:space="0" w:color="auto"/>
            </w:tcBorders>
            <w:vAlign w:val="center"/>
            <w:hideMark/>
          </w:tcPr>
          <w:p w14:paraId="60F2C33C" w14:textId="2015CDD3" w:rsidR="003929B1" w:rsidRPr="006D6934" w:rsidRDefault="003929B1" w:rsidP="00681A5A">
            <w:pPr>
              <w:jc w:val="center"/>
              <w:rPr>
                <w:b/>
                <w:bCs/>
                <w:color w:val="auto"/>
                <w:sz w:val="24"/>
                <w:szCs w:val="24"/>
              </w:rPr>
            </w:pPr>
            <w:r w:rsidRPr="006D6934">
              <w:rPr>
                <w:b/>
                <w:bCs/>
                <w:color w:val="auto"/>
                <w:sz w:val="24"/>
                <w:szCs w:val="24"/>
              </w:rPr>
              <w:t>X</w:t>
            </w:r>
          </w:p>
        </w:tc>
        <w:tc>
          <w:tcPr>
            <w:tcW w:w="356" w:type="pct"/>
            <w:tcBorders>
              <w:top w:val="nil"/>
              <w:left w:val="single" w:sz="4" w:space="0" w:color="auto"/>
              <w:bottom w:val="single" w:sz="4" w:space="0" w:color="auto"/>
              <w:right w:val="single" w:sz="4" w:space="0" w:color="auto"/>
            </w:tcBorders>
            <w:vAlign w:val="center"/>
          </w:tcPr>
          <w:p w14:paraId="5C38AE43" w14:textId="4EA45233" w:rsidR="003929B1" w:rsidRPr="006D6934" w:rsidRDefault="005F6F8A" w:rsidP="00681A5A">
            <w:pPr>
              <w:jc w:val="center"/>
              <w:rPr>
                <w:b/>
                <w:bCs/>
                <w:color w:val="auto"/>
                <w:sz w:val="24"/>
                <w:szCs w:val="24"/>
              </w:rPr>
            </w:pPr>
            <w:r>
              <w:rPr>
                <w:b/>
                <w:bCs/>
                <w:color w:val="auto"/>
                <w:sz w:val="24"/>
                <w:szCs w:val="24"/>
              </w:rPr>
              <w:t>X</w:t>
            </w:r>
          </w:p>
        </w:tc>
        <w:tc>
          <w:tcPr>
            <w:tcW w:w="267" w:type="pct"/>
            <w:tcBorders>
              <w:top w:val="nil"/>
              <w:left w:val="single" w:sz="4" w:space="0" w:color="auto"/>
              <w:bottom w:val="single" w:sz="4" w:space="0" w:color="auto"/>
              <w:right w:val="single" w:sz="4" w:space="0" w:color="auto"/>
            </w:tcBorders>
            <w:vAlign w:val="center"/>
          </w:tcPr>
          <w:p w14:paraId="0582158A" w14:textId="38A41D45" w:rsidR="003929B1" w:rsidRPr="006D6934" w:rsidRDefault="005F6F8A" w:rsidP="00681A5A">
            <w:pPr>
              <w:jc w:val="center"/>
              <w:rPr>
                <w:b/>
                <w:bCs/>
                <w:color w:val="auto"/>
                <w:sz w:val="24"/>
                <w:szCs w:val="24"/>
              </w:rPr>
            </w:pPr>
            <w:r>
              <w:rPr>
                <w:b/>
                <w:bCs/>
                <w:color w:val="auto"/>
                <w:sz w:val="24"/>
                <w:szCs w:val="24"/>
              </w:rPr>
              <w:t>X</w:t>
            </w:r>
          </w:p>
        </w:tc>
        <w:tc>
          <w:tcPr>
            <w:tcW w:w="267" w:type="pct"/>
            <w:tcBorders>
              <w:top w:val="nil"/>
              <w:left w:val="single" w:sz="4" w:space="0" w:color="auto"/>
              <w:bottom w:val="single" w:sz="4" w:space="0" w:color="auto"/>
              <w:right w:val="single" w:sz="4" w:space="0" w:color="auto"/>
            </w:tcBorders>
            <w:vAlign w:val="center"/>
          </w:tcPr>
          <w:p w14:paraId="6A80F066" w14:textId="78F7F86E" w:rsidR="003929B1" w:rsidRPr="006D6934" w:rsidRDefault="003929B1" w:rsidP="00681A5A">
            <w:pPr>
              <w:jc w:val="center"/>
              <w:rPr>
                <w:b/>
                <w:bCs/>
                <w:color w:val="auto"/>
                <w:sz w:val="24"/>
                <w:szCs w:val="24"/>
              </w:rPr>
            </w:pPr>
          </w:p>
        </w:tc>
        <w:tc>
          <w:tcPr>
            <w:tcW w:w="266" w:type="pct"/>
            <w:tcBorders>
              <w:top w:val="nil"/>
              <w:left w:val="single" w:sz="4" w:space="0" w:color="auto"/>
              <w:bottom w:val="single" w:sz="4" w:space="0" w:color="auto"/>
              <w:right w:val="single" w:sz="4" w:space="0" w:color="auto"/>
            </w:tcBorders>
            <w:vAlign w:val="center"/>
          </w:tcPr>
          <w:p w14:paraId="6F936BC4" w14:textId="4EFA7219"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059A41EE"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09E00761"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7287C563"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5DAC6D29"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3AE4A406"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707543C2"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5DB5518D"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1006739B" w14:textId="77777777" w:rsidR="003929B1" w:rsidRPr="006D6934"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628DAB91" w14:textId="77777777" w:rsidR="003929B1" w:rsidRPr="006D6934" w:rsidRDefault="003929B1" w:rsidP="00681A5A">
            <w:pPr>
              <w:suppressAutoHyphens w:val="0"/>
              <w:jc w:val="center"/>
              <w:rPr>
                <w:b/>
                <w:bCs/>
                <w:color w:val="auto"/>
                <w:sz w:val="24"/>
                <w:szCs w:val="24"/>
              </w:rPr>
            </w:pPr>
          </w:p>
        </w:tc>
        <w:tc>
          <w:tcPr>
            <w:tcW w:w="262" w:type="pct"/>
            <w:tcBorders>
              <w:top w:val="nil"/>
              <w:left w:val="single" w:sz="4" w:space="0" w:color="auto"/>
              <w:bottom w:val="single" w:sz="4" w:space="0" w:color="auto"/>
              <w:right w:val="single" w:sz="4" w:space="0" w:color="auto"/>
            </w:tcBorders>
            <w:vAlign w:val="center"/>
          </w:tcPr>
          <w:p w14:paraId="6FFBC499" w14:textId="77777777" w:rsidR="003929B1" w:rsidRPr="006D6934" w:rsidRDefault="003929B1" w:rsidP="00681A5A">
            <w:pPr>
              <w:suppressAutoHyphens w:val="0"/>
              <w:jc w:val="center"/>
              <w:rPr>
                <w:b/>
                <w:bCs/>
                <w:color w:val="auto"/>
                <w:sz w:val="24"/>
                <w:szCs w:val="24"/>
              </w:rPr>
            </w:pPr>
          </w:p>
        </w:tc>
      </w:tr>
      <w:tr w:rsidR="005E173B" w:rsidRPr="005E173B" w14:paraId="4B45FD96" w14:textId="77777777" w:rsidTr="00D854F9">
        <w:trPr>
          <w:cantSplit/>
          <w:trHeight w:val="621"/>
        </w:trPr>
        <w:tc>
          <w:tcPr>
            <w:tcW w:w="836" w:type="pct"/>
            <w:tcBorders>
              <w:top w:val="nil"/>
              <w:left w:val="single" w:sz="4" w:space="0" w:color="auto"/>
              <w:bottom w:val="single" w:sz="4" w:space="0" w:color="auto"/>
              <w:right w:val="single" w:sz="4" w:space="0" w:color="auto"/>
            </w:tcBorders>
            <w:vAlign w:val="center"/>
            <w:hideMark/>
          </w:tcPr>
          <w:p w14:paraId="6401ACE0" w14:textId="3947156B" w:rsidR="003929B1" w:rsidRPr="005E173B" w:rsidRDefault="003929B1" w:rsidP="00681A5A">
            <w:pPr>
              <w:jc w:val="center"/>
              <w:rPr>
                <w:b/>
                <w:bCs/>
                <w:color w:val="auto"/>
                <w:sz w:val="24"/>
                <w:szCs w:val="24"/>
              </w:rPr>
            </w:pPr>
            <w:r w:rsidRPr="005E173B">
              <w:rPr>
                <w:b/>
                <w:bCs/>
                <w:color w:val="auto"/>
                <w:sz w:val="24"/>
                <w:szCs w:val="24"/>
              </w:rPr>
              <w:t>Inclusão dos participantes</w:t>
            </w:r>
          </w:p>
        </w:tc>
        <w:tc>
          <w:tcPr>
            <w:tcW w:w="370" w:type="pct"/>
            <w:tcBorders>
              <w:top w:val="nil"/>
              <w:left w:val="single" w:sz="4" w:space="0" w:color="auto"/>
              <w:bottom w:val="single" w:sz="4" w:space="0" w:color="auto"/>
              <w:right w:val="single" w:sz="4" w:space="0" w:color="auto"/>
            </w:tcBorders>
            <w:vAlign w:val="center"/>
            <w:hideMark/>
          </w:tcPr>
          <w:p w14:paraId="2F51F35B" w14:textId="77777777" w:rsidR="003929B1" w:rsidRPr="005E173B" w:rsidRDefault="003929B1" w:rsidP="00681A5A">
            <w:pPr>
              <w:jc w:val="center"/>
              <w:rPr>
                <w:b/>
                <w:bCs/>
                <w:color w:val="auto"/>
                <w:sz w:val="24"/>
                <w:szCs w:val="24"/>
              </w:rPr>
            </w:pPr>
          </w:p>
        </w:tc>
        <w:tc>
          <w:tcPr>
            <w:tcW w:w="356" w:type="pct"/>
            <w:tcBorders>
              <w:top w:val="nil"/>
              <w:left w:val="single" w:sz="4" w:space="0" w:color="auto"/>
              <w:bottom w:val="single" w:sz="4" w:space="0" w:color="auto"/>
              <w:right w:val="single" w:sz="4" w:space="0" w:color="auto"/>
            </w:tcBorders>
            <w:vAlign w:val="center"/>
          </w:tcPr>
          <w:p w14:paraId="75F1A5B3" w14:textId="7DE7B7A6" w:rsidR="003929B1" w:rsidRPr="005E173B" w:rsidRDefault="003929B1" w:rsidP="00681A5A">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tcPr>
          <w:p w14:paraId="526EB458" w14:textId="2D3C5077" w:rsidR="003929B1" w:rsidRPr="005E173B" w:rsidRDefault="003929B1" w:rsidP="00681A5A">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tcPr>
          <w:p w14:paraId="7C097898" w14:textId="48BFFCED" w:rsidR="003929B1" w:rsidRPr="005E173B" w:rsidRDefault="003929B1" w:rsidP="00681A5A">
            <w:pPr>
              <w:jc w:val="center"/>
              <w:rPr>
                <w:b/>
                <w:bCs/>
                <w:color w:val="auto"/>
                <w:sz w:val="24"/>
                <w:szCs w:val="24"/>
              </w:rPr>
            </w:pPr>
            <w:r w:rsidRPr="005E173B">
              <w:rPr>
                <w:b/>
                <w:bCs/>
                <w:color w:val="auto"/>
                <w:sz w:val="24"/>
                <w:szCs w:val="24"/>
              </w:rPr>
              <w:t>X</w:t>
            </w:r>
          </w:p>
        </w:tc>
        <w:tc>
          <w:tcPr>
            <w:tcW w:w="266" w:type="pct"/>
            <w:tcBorders>
              <w:top w:val="nil"/>
              <w:left w:val="single" w:sz="4" w:space="0" w:color="auto"/>
              <w:bottom w:val="single" w:sz="4" w:space="0" w:color="auto"/>
              <w:right w:val="single" w:sz="4" w:space="0" w:color="auto"/>
            </w:tcBorders>
            <w:vAlign w:val="center"/>
          </w:tcPr>
          <w:p w14:paraId="12645D40" w14:textId="0856E871" w:rsidR="003929B1" w:rsidRPr="005E173B" w:rsidRDefault="003929B1" w:rsidP="00681A5A">
            <w:pPr>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2F5A27A8" w14:textId="091FF073" w:rsidR="003929B1" w:rsidRPr="005E173B" w:rsidRDefault="003929B1" w:rsidP="00681A5A">
            <w:pPr>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30B035D8" w14:textId="29582480" w:rsidR="003929B1" w:rsidRPr="005E173B" w:rsidRDefault="003929B1" w:rsidP="00681A5A">
            <w:pPr>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730E62D4" w14:textId="357D093C" w:rsidR="003929B1" w:rsidRPr="005E173B" w:rsidRDefault="003929B1" w:rsidP="00681A5A">
            <w:pPr>
              <w:suppressAutoHyphens w:val="0"/>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09F2442C" w14:textId="18D80842" w:rsidR="003929B1" w:rsidRPr="005E173B" w:rsidRDefault="003929B1" w:rsidP="00681A5A">
            <w:pPr>
              <w:suppressAutoHyphens w:val="0"/>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2E2E07B4" w14:textId="654A7ABD" w:rsidR="003929B1" w:rsidRPr="005E173B" w:rsidRDefault="003929B1" w:rsidP="00681A5A">
            <w:pPr>
              <w:suppressAutoHyphens w:val="0"/>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36EA5550" w14:textId="0B03C00E" w:rsidR="003929B1" w:rsidRPr="005E173B"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56D7BE7F" w14:textId="29EB805A" w:rsidR="003929B1" w:rsidRPr="005E173B"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2DB3DF36" w14:textId="4AA7B710" w:rsidR="003929B1" w:rsidRPr="005E173B"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6886E29F" w14:textId="1F26CDC3" w:rsidR="003929B1" w:rsidRPr="005E173B" w:rsidRDefault="003929B1" w:rsidP="00681A5A">
            <w:pPr>
              <w:suppressAutoHyphens w:val="0"/>
              <w:jc w:val="center"/>
              <w:rPr>
                <w:b/>
                <w:bCs/>
                <w:color w:val="auto"/>
                <w:sz w:val="24"/>
                <w:szCs w:val="24"/>
              </w:rPr>
            </w:pPr>
          </w:p>
        </w:tc>
        <w:tc>
          <w:tcPr>
            <w:tcW w:w="262" w:type="pct"/>
            <w:tcBorders>
              <w:top w:val="nil"/>
              <w:left w:val="single" w:sz="4" w:space="0" w:color="auto"/>
              <w:bottom w:val="single" w:sz="4" w:space="0" w:color="auto"/>
              <w:right w:val="single" w:sz="4" w:space="0" w:color="auto"/>
            </w:tcBorders>
            <w:vAlign w:val="center"/>
          </w:tcPr>
          <w:p w14:paraId="19B0DCF5" w14:textId="2EB0695D" w:rsidR="003929B1" w:rsidRPr="005E173B" w:rsidRDefault="003929B1" w:rsidP="00681A5A">
            <w:pPr>
              <w:suppressAutoHyphens w:val="0"/>
              <w:jc w:val="center"/>
              <w:rPr>
                <w:b/>
                <w:bCs/>
                <w:color w:val="auto"/>
                <w:sz w:val="24"/>
                <w:szCs w:val="24"/>
              </w:rPr>
            </w:pPr>
          </w:p>
        </w:tc>
      </w:tr>
      <w:tr w:rsidR="005E173B" w:rsidRPr="005E173B" w14:paraId="1325B8BE" w14:textId="77777777" w:rsidTr="00D854F9">
        <w:trPr>
          <w:cantSplit/>
          <w:trHeight w:val="838"/>
        </w:trPr>
        <w:tc>
          <w:tcPr>
            <w:tcW w:w="836" w:type="pct"/>
            <w:tcBorders>
              <w:top w:val="nil"/>
              <w:left w:val="single" w:sz="4" w:space="0" w:color="auto"/>
              <w:bottom w:val="single" w:sz="4" w:space="0" w:color="auto"/>
              <w:right w:val="single" w:sz="4" w:space="0" w:color="auto"/>
            </w:tcBorders>
            <w:vAlign w:val="center"/>
            <w:hideMark/>
          </w:tcPr>
          <w:p w14:paraId="571E52E9" w14:textId="57D87B46" w:rsidR="003929B1" w:rsidRPr="005E173B" w:rsidRDefault="003929B1" w:rsidP="00681A5A">
            <w:pPr>
              <w:jc w:val="center"/>
              <w:rPr>
                <w:b/>
                <w:bCs/>
                <w:color w:val="auto"/>
                <w:sz w:val="24"/>
                <w:szCs w:val="24"/>
              </w:rPr>
            </w:pPr>
            <w:r w:rsidRPr="005E173B">
              <w:rPr>
                <w:b/>
                <w:bCs/>
                <w:color w:val="auto"/>
                <w:sz w:val="24"/>
                <w:szCs w:val="24"/>
              </w:rPr>
              <w:t>Processamento e análise dos dados</w:t>
            </w:r>
          </w:p>
        </w:tc>
        <w:tc>
          <w:tcPr>
            <w:tcW w:w="370" w:type="pct"/>
            <w:tcBorders>
              <w:top w:val="nil"/>
              <w:left w:val="single" w:sz="4" w:space="0" w:color="auto"/>
              <w:bottom w:val="single" w:sz="4" w:space="0" w:color="auto"/>
              <w:right w:val="single" w:sz="4" w:space="0" w:color="auto"/>
            </w:tcBorders>
            <w:vAlign w:val="center"/>
            <w:hideMark/>
          </w:tcPr>
          <w:p w14:paraId="415F924E" w14:textId="77777777" w:rsidR="003929B1" w:rsidRPr="005E173B" w:rsidRDefault="003929B1" w:rsidP="00681A5A">
            <w:pPr>
              <w:jc w:val="center"/>
              <w:rPr>
                <w:b/>
                <w:bCs/>
                <w:color w:val="auto"/>
                <w:sz w:val="24"/>
                <w:szCs w:val="24"/>
              </w:rPr>
            </w:pPr>
          </w:p>
        </w:tc>
        <w:tc>
          <w:tcPr>
            <w:tcW w:w="356" w:type="pct"/>
            <w:tcBorders>
              <w:top w:val="nil"/>
              <w:left w:val="single" w:sz="4" w:space="0" w:color="auto"/>
              <w:bottom w:val="single" w:sz="4" w:space="0" w:color="auto"/>
              <w:right w:val="single" w:sz="4" w:space="0" w:color="auto"/>
            </w:tcBorders>
            <w:vAlign w:val="center"/>
            <w:hideMark/>
          </w:tcPr>
          <w:p w14:paraId="0A7C9620" w14:textId="77777777" w:rsidR="003929B1" w:rsidRPr="005E173B" w:rsidRDefault="003929B1" w:rsidP="00681A5A">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hideMark/>
          </w:tcPr>
          <w:p w14:paraId="689810A8" w14:textId="77777777" w:rsidR="003929B1" w:rsidRPr="005E173B" w:rsidRDefault="003929B1" w:rsidP="00681A5A">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hideMark/>
          </w:tcPr>
          <w:p w14:paraId="2CC3DE5D" w14:textId="77777777" w:rsidR="003929B1" w:rsidRPr="005E173B" w:rsidRDefault="003929B1" w:rsidP="00681A5A">
            <w:pPr>
              <w:suppressAutoHyphens w:val="0"/>
              <w:jc w:val="center"/>
              <w:rPr>
                <w:b/>
                <w:bCs/>
                <w:color w:val="auto"/>
                <w:sz w:val="24"/>
                <w:szCs w:val="24"/>
              </w:rPr>
            </w:pPr>
          </w:p>
        </w:tc>
        <w:tc>
          <w:tcPr>
            <w:tcW w:w="266" w:type="pct"/>
            <w:tcBorders>
              <w:top w:val="nil"/>
              <w:left w:val="single" w:sz="4" w:space="0" w:color="auto"/>
              <w:bottom w:val="single" w:sz="4" w:space="0" w:color="auto"/>
              <w:right w:val="single" w:sz="4" w:space="0" w:color="auto"/>
            </w:tcBorders>
            <w:vAlign w:val="center"/>
            <w:hideMark/>
          </w:tcPr>
          <w:p w14:paraId="71366DC0" w14:textId="77777777" w:rsidR="003929B1" w:rsidRPr="005E173B"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501D4208" w14:textId="77777777" w:rsidR="003929B1" w:rsidRPr="005E173B"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0D7AFA50" w14:textId="77777777" w:rsidR="003929B1" w:rsidRPr="005E173B" w:rsidRDefault="003929B1" w:rsidP="00681A5A">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41E17487" w14:textId="77777777" w:rsidR="003929B1" w:rsidRPr="005E173B" w:rsidRDefault="003929B1" w:rsidP="00681A5A">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014031FE" w14:textId="77777777" w:rsidR="003929B1" w:rsidRPr="005E173B" w:rsidRDefault="003929B1" w:rsidP="00681A5A">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16CA93AD" w14:textId="0F69239C" w:rsidR="003929B1" w:rsidRPr="005E173B" w:rsidRDefault="003929B1" w:rsidP="00681A5A">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74900260" w14:textId="346B1EF1" w:rsidR="003929B1" w:rsidRPr="005E173B" w:rsidRDefault="003929B1" w:rsidP="00681A5A">
            <w:pPr>
              <w:suppressAutoHyphens w:val="0"/>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53B820DC" w14:textId="4C765C26" w:rsidR="003929B1" w:rsidRPr="005E173B" w:rsidRDefault="003929B1" w:rsidP="00681A5A">
            <w:pPr>
              <w:suppressAutoHyphens w:val="0"/>
              <w:ind w:right="-15"/>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59D18371" w14:textId="491C6CEF" w:rsidR="003929B1" w:rsidRPr="005E173B" w:rsidRDefault="003929B1" w:rsidP="00681A5A">
            <w:pPr>
              <w:suppressAutoHyphens w:val="0"/>
              <w:ind w:right="-15"/>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55AC78FD" w14:textId="5A24995D" w:rsidR="003929B1" w:rsidRPr="005E173B" w:rsidRDefault="003929B1" w:rsidP="00681A5A">
            <w:pPr>
              <w:suppressAutoHyphens w:val="0"/>
              <w:ind w:right="-15"/>
              <w:jc w:val="center"/>
              <w:rPr>
                <w:b/>
                <w:bCs/>
                <w:color w:val="auto"/>
                <w:sz w:val="24"/>
                <w:szCs w:val="24"/>
              </w:rPr>
            </w:pPr>
          </w:p>
        </w:tc>
        <w:tc>
          <w:tcPr>
            <w:tcW w:w="262" w:type="pct"/>
            <w:tcBorders>
              <w:top w:val="nil"/>
              <w:left w:val="single" w:sz="4" w:space="0" w:color="auto"/>
              <w:bottom w:val="single" w:sz="4" w:space="0" w:color="auto"/>
              <w:right w:val="single" w:sz="4" w:space="0" w:color="auto"/>
            </w:tcBorders>
            <w:vAlign w:val="center"/>
          </w:tcPr>
          <w:p w14:paraId="54AA742D" w14:textId="5DFD514B" w:rsidR="003929B1" w:rsidRPr="005E173B" w:rsidRDefault="003929B1" w:rsidP="00681A5A">
            <w:pPr>
              <w:suppressAutoHyphens w:val="0"/>
              <w:ind w:right="-15"/>
              <w:jc w:val="center"/>
              <w:rPr>
                <w:b/>
                <w:bCs/>
                <w:color w:val="auto"/>
                <w:sz w:val="24"/>
                <w:szCs w:val="24"/>
              </w:rPr>
            </w:pPr>
          </w:p>
        </w:tc>
      </w:tr>
      <w:tr w:rsidR="005E173B" w:rsidRPr="005E173B" w14:paraId="294BB1E5" w14:textId="77777777" w:rsidTr="00D854F9">
        <w:trPr>
          <w:cantSplit/>
          <w:trHeight w:val="1242"/>
        </w:trPr>
        <w:tc>
          <w:tcPr>
            <w:tcW w:w="836" w:type="pct"/>
            <w:tcBorders>
              <w:top w:val="nil"/>
              <w:left w:val="single" w:sz="4" w:space="0" w:color="auto"/>
              <w:bottom w:val="single" w:sz="4" w:space="0" w:color="auto"/>
              <w:right w:val="single" w:sz="4" w:space="0" w:color="auto"/>
            </w:tcBorders>
            <w:vAlign w:val="center"/>
          </w:tcPr>
          <w:p w14:paraId="292D1942" w14:textId="7EAE4782" w:rsidR="003929B1" w:rsidRPr="005E173B" w:rsidRDefault="003929B1" w:rsidP="00633B1D">
            <w:pPr>
              <w:jc w:val="center"/>
              <w:rPr>
                <w:b/>
                <w:bCs/>
                <w:color w:val="auto"/>
                <w:sz w:val="24"/>
                <w:szCs w:val="24"/>
              </w:rPr>
            </w:pPr>
            <w:r w:rsidRPr="005E173B">
              <w:rPr>
                <w:b/>
                <w:bCs/>
                <w:color w:val="auto"/>
                <w:sz w:val="24"/>
                <w:szCs w:val="24"/>
              </w:rPr>
              <w:t>Escrita dos resultados finais</w:t>
            </w:r>
          </w:p>
        </w:tc>
        <w:tc>
          <w:tcPr>
            <w:tcW w:w="370" w:type="pct"/>
            <w:tcBorders>
              <w:top w:val="nil"/>
              <w:left w:val="single" w:sz="4" w:space="0" w:color="auto"/>
              <w:bottom w:val="single" w:sz="4" w:space="0" w:color="auto"/>
              <w:right w:val="single" w:sz="4" w:space="0" w:color="auto"/>
            </w:tcBorders>
            <w:vAlign w:val="center"/>
          </w:tcPr>
          <w:p w14:paraId="422EB059" w14:textId="77777777" w:rsidR="003929B1" w:rsidRPr="005E173B" w:rsidRDefault="003929B1" w:rsidP="00633B1D">
            <w:pPr>
              <w:jc w:val="center"/>
              <w:rPr>
                <w:b/>
                <w:bCs/>
                <w:color w:val="auto"/>
                <w:sz w:val="24"/>
                <w:szCs w:val="24"/>
              </w:rPr>
            </w:pPr>
          </w:p>
        </w:tc>
        <w:tc>
          <w:tcPr>
            <w:tcW w:w="356" w:type="pct"/>
            <w:tcBorders>
              <w:top w:val="nil"/>
              <w:left w:val="single" w:sz="4" w:space="0" w:color="auto"/>
              <w:bottom w:val="single" w:sz="4" w:space="0" w:color="auto"/>
              <w:right w:val="single" w:sz="4" w:space="0" w:color="auto"/>
            </w:tcBorders>
            <w:vAlign w:val="center"/>
          </w:tcPr>
          <w:p w14:paraId="14302917" w14:textId="77777777" w:rsidR="003929B1" w:rsidRPr="005E173B" w:rsidRDefault="003929B1" w:rsidP="00633B1D">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tcPr>
          <w:p w14:paraId="16A51A45" w14:textId="77777777" w:rsidR="003929B1" w:rsidRPr="005E173B" w:rsidRDefault="003929B1" w:rsidP="00633B1D">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tcPr>
          <w:p w14:paraId="56ED8469" w14:textId="77777777" w:rsidR="003929B1" w:rsidRPr="005E173B" w:rsidRDefault="003929B1" w:rsidP="00633B1D">
            <w:pPr>
              <w:suppressAutoHyphens w:val="0"/>
              <w:jc w:val="center"/>
              <w:rPr>
                <w:b/>
                <w:bCs/>
                <w:color w:val="auto"/>
                <w:sz w:val="24"/>
                <w:szCs w:val="24"/>
              </w:rPr>
            </w:pPr>
          </w:p>
        </w:tc>
        <w:tc>
          <w:tcPr>
            <w:tcW w:w="266" w:type="pct"/>
            <w:tcBorders>
              <w:top w:val="nil"/>
              <w:left w:val="single" w:sz="4" w:space="0" w:color="auto"/>
              <w:bottom w:val="single" w:sz="4" w:space="0" w:color="auto"/>
              <w:right w:val="single" w:sz="4" w:space="0" w:color="auto"/>
            </w:tcBorders>
            <w:vAlign w:val="center"/>
          </w:tcPr>
          <w:p w14:paraId="70FD8496"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48D46388"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16FB279C"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3C2B3EEC"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6219C6DD"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11EEF20A"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16C836BD"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19E8A09E" w14:textId="667B4C1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0C668A78" w14:textId="7596B763" w:rsidR="003929B1" w:rsidRPr="005E173B" w:rsidRDefault="005E173B" w:rsidP="00633B1D">
            <w:pPr>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54DAD27E" w14:textId="32064EFF" w:rsidR="003929B1" w:rsidRPr="005E173B" w:rsidRDefault="005E173B" w:rsidP="00633B1D">
            <w:pPr>
              <w:jc w:val="center"/>
              <w:rPr>
                <w:b/>
                <w:bCs/>
                <w:color w:val="auto"/>
                <w:sz w:val="24"/>
                <w:szCs w:val="24"/>
              </w:rPr>
            </w:pPr>
            <w:r w:rsidRPr="005E173B">
              <w:rPr>
                <w:b/>
                <w:bCs/>
                <w:color w:val="auto"/>
                <w:sz w:val="24"/>
                <w:szCs w:val="24"/>
              </w:rPr>
              <w:t>X</w:t>
            </w:r>
          </w:p>
        </w:tc>
        <w:tc>
          <w:tcPr>
            <w:tcW w:w="262" w:type="pct"/>
            <w:tcBorders>
              <w:top w:val="nil"/>
              <w:left w:val="single" w:sz="4" w:space="0" w:color="auto"/>
              <w:bottom w:val="single" w:sz="4" w:space="0" w:color="auto"/>
              <w:right w:val="single" w:sz="4" w:space="0" w:color="auto"/>
            </w:tcBorders>
            <w:vAlign w:val="center"/>
          </w:tcPr>
          <w:p w14:paraId="69CA0EC0" w14:textId="3711540B" w:rsidR="003929B1" w:rsidRPr="005E173B" w:rsidRDefault="005E173B" w:rsidP="00633B1D">
            <w:pPr>
              <w:jc w:val="center"/>
              <w:rPr>
                <w:b/>
                <w:bCs/>
                <w:color w:val="auto"/>
                <w:sz w:val="24"/>
                <w:szCs w:val="24"/>
              </w:rPr>
            </w:pPr>
            <w:r w:rsidRPr="005E173B">
              <w:rPr>
                <w:b/>
                <w:bCs/>
                <w:color w:val="auto"/>
                <w:sz w:val="24"/>
                <w:szCs w:val="24"/>
              </w:rPr>
              <w:t>X</w:t>
            </w:r>
          </w:p>
        </w:tc>
      </w:tr>
      <w:tr w:rsidR="005E173B" w:rsidRPr="005E173B" w14:paraId="63404C7D" w14:textId="77777777" w:rsidTr="00D854F9">
        <w:trPr>
          <w:cantSplit/>
          <w:trHeight w:val="1242"/>
        </w:trPr>
        <w:tc>
          <w:tcPr>
            <w:tcW w:w="836" w:type="pct"/>
            <w:tcBorders>
              <w:top w:val="nil"/>
              <w:left w:val="single" w:sz="4" w:space="0" w:color="auto"/>
              <w:bottom w:val="single" w:sz="4" w:space="0" w:color="auto"/>
              <w:right w:val="single" w:sz="4" w:space="0" w:color="auto"/>
            </w:tcBorders>
            <w:vAlign w:val="center"/>
            <w:hideMark/>
          </w:tcPr>
          <w:p w14:paraId="57F455F0" w14:textId="3E23A65B" w:rsidR="003929B1" w:rsidRPr="005E173B" w:rsidRDefault="003929B1" w:rsidP="00633B1D">
            <w:pPr>
              <w:jc w:val="center"/>
              <w:rPr>
                <w:b/>
                <w:bCs/>
                <w:color w:val="auto"/>
                <w:sz w:val="24"/>
                <w:szCs w:val="24"/>
              </w:rPr>
            </w:pPr>
            <w:r w:rsidRPr="005E173B">
              <w:rPr>
                <w:b/>
                <w:bCs/>
                <w:color w:val="auto"/>
                <w:sz w:val="24"/>
                <w:szCs w:val="24"/>
              </w:rPr>
              <w:t xml:space="preserve">Apresentação do relatório final ao CEP </w:t>
            </w:r>
          </w:p>
        </w:tc>
        <w:tc>
          <w:tcPr>
            <w:tcW w:w="370" w:type="pct"/>
            <w:tcBorders>
              <w:top w:val="nil"/>
              <w:left w:val="single" w:sz="4" w:space="0" w:color="auto"/>
              <w:bottom w:val="single" w:sz="4" w:space="0" w:color="auto"/>
              <w:right w:val="single" w:sz="4" w:space="0" w:color="auto"/>
            </w:tcBorders>
            <w:vAlign w:val="center"/>
            <w:hideMark/>
          </w:tcPr>
          <w:p w14:paraId="5391B76C" w14:textId="77777777" w:rsidR="003929B1" w:rsidRPr="005E173B" w:rsidRDefault="003929B1" w:rsidP="00633B1D">
            <w:pPr>
              <w:jc w:val="center"/>
              <w:rPr>
                <w:b/>
                <w:bCs/>
                <w:color w:val="auto"/>
                <w:sz w:val="24"/>
                <w:szCs w:val="24"/>
              </w:rPr>
            </w:pPr>
          </w:p>
        </w:tc>
        <w:tc>
          <w:tcPr>
            <w:tcW w:w="356" w:type="pct"/>
            <w:tcBorders>
              <w:top w:val="nil"/>
              <w:left w:val="single" w:sz="4" w:space="0" w:color="auto"/>
              <w:bottom w:val="single" w:sz="4" w:space="0" w:color="auto"/>
              <w:right w:val="single" w:sz="4" w:space="0" w:color="auto"/>
            </w:tcBorders>
            <w:vAlign w:val="center"/>
            <w:hideMark/>
          </w:tcPr>
          <w:p w14:paraId="18367EE8" w14:textId="77777777" w:rsidR="003929B1" w:rsidRPr="005E173B" w:rsidRDefault="003929B1" w:rsidP="00633B1D">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hideMark/>
          </w:tcPr>
          <w:p w14:paraId="7DAF477F" w14:textId="77777777" w:rsidR="003929B1" w:rsidRPr="005E173B" w:rsidRDefault="003929B1" w:rsidP="00633B1D">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hideMark/>
          </w:tcPr>
          <w:p w14:paraId="4856BC56" w14:textId="77777777" w:rsidR="003929B1" w:rsidRPr="005E173B" w:rsidRDefault="003929B1" w:rsidP="00633B1D">
            <w:pPr>
              <w:suppressAutoHyphens w:val="0"/>
              <w:jc w:val="center"/>
              <w:rPr>
                <w:b/>
                <w:bCs/>
                <w:color w:val="auto"/>
                <w:sz w:val="24"/>
                <w:szCs w:val="24"/>
              </w:rPr>
            </w:pPr>
          </w:p>
        </w:tc>
        <w:tc>
          <w:tcPr>
            <w:tcW w:w="266" w:type="pct"/>
            <w:tcBorders>
              <w:top w:val="nil"/>
              <w:left w:val="single" w:sz="4" w:space="0" w:color="auto"/>
              <w:bottom w:val="single" w:sz="4" w:space="0" w:color="auto"/>
              <w:right w:val="single" w:sz="4" w:space="0" w:color="auto"/>
            </w:tcBorders>
            <w:vAlign w:val="center"/>
            <w:hideMark/>
          </w:tcPr>
          <w:p w14:paraId="428409FB"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5E7FBABF"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652C260C"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69BC9371"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02714446"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4E54EC53"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2AFAFD27"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79CE9935"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05D87082" w14:textId="2ED207CF" w:rsidR="003929B1" w:rsidRPr="005E173B" w:rsidRDefault="005E173B" w:rsidP="00633B1D">
            <w:pPr>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5B60CE11" w14:textId="4A82538F" w:rsidR="003929B1" w:rsidRPr="005E173B" w:rsidRDefault="005E173B" w:rsidP="00633B1D">
            <w:pPr>
              <w:jc w:val="center"/>
              <w:rPr>
                <w:b/>
                <w:bCs/>
                <w:color w:val="auto"/>
                <w:sz w:val="24"/>
                <w:szCs w:val="24"/>
              </w:rPr>
            </w:pPr>
            <w:r w:rsidRPr="005E173B">
              <w:rPr>
                <w:b/>
                <w:bCs/>
                <w:color w:val="auto"/>
                <w:sz w:val="24"/>
                <w:szCs w:val="24"/>
              </w:rPr>
              <w:t>X</w:t>
            </w:r>
          </w:p>
        </w:tc>
        <w:tc>
          <w:tcPr>
            <w:tcW w:w="262" w:type="pct"/>
            <w:tcBorders>
              <w:top w:val="nil"/>
              <w:left w:val="single" w:sz="4" w:space="0" w:color="auto"/>
              <w:bottom w:val="single" w:sz="4" w:space="0" w:color="auto"/>
              <w:right w:val="single" w:sz="4" w:space="0" w:color="auto"/>
            </w:tcBorders>
            <w:vAlign w:val="center"/>
          </w:tcPr>
          <w:p w14:paraId="2BCE4DC6" w14:textId="2E6120F8" w:rsidR="003929B1" w:rsidRPr="005E173B" w:rsidRDefault="005E173B" w:rsidP="00633B1D">
            <w:pPr>
              <w:jc w:val="center"/>
              <w:rPr>
                <w:b/>
                <w:bCs/>
                <w:color w:val="auto"/>
                <w:sz w:val="24"/>
                <w:szCs w:val="24"/>
              </w:rPr>
            </w:pPr>
            <w:r w:rsidRPr="005E173B">
              <w:rPr>
                <w:b/>
                <w:bCs/>
                <w:color w:val="auto"/>
                <w:sz w:val="24"/>
                <w:szCs w:val="24"/>
              </w:rPr>
              <w:t>X</w:t>
            </w:r>
          </w:p>
        </w:tc>
      </w:tr>
      <w:tr w:rsidR="005E173B" w:rsidRPr="005E173B" w14:paraId="572E769B" w14:textId="77777777" w:rsidTr="00D854F9">
        <w:trPr>
          <w:cantSplit/>
          <w:trHeight w:val="1242"/>
        </w:trPr>
        <w:tc>
          <w:tcPr>
            <w:tcW w:w="836" w:type="pct"/>
            <w:tcBorders>
              <w:top w:val="nil"/>
              <w:left w:val="single" w:sz="4" w:space="0" w:color="auto"/>
              <w:bottom w:val="single" w:sz="4" w:space="0" w:color="auto"/>
              <w:right w:val="single" w:sz="4" w:space="0" w:color="auto"/>
            </w:tcBorders>
            <w:vAlign w:val="center"/>
            <w:hideMark/>
          </w:tcPr>
          <w:p w14:paraId="34C34568" w14:textId="78B1BDC8" w:rsidR="003929B1" w:rsidRPr="005E173B" w:rsidRDefault="003929B1" w:rsidP="00633B1D">
            <w:pPr>
              <w:jc w:val="center"/>
              <w:rPr>
                <w:b/>
                <w:bCs/>
                <w:color w:val="auto"/>
                <w:sz w:val="24"/>
                <w:szCs w:val="24"/>
              </w:rPr>
            </w:pPr>
            <w:r w:rsidRPr="005E173B">
              <w:rPr>
                <w:b/>
                <w:bCs/>
                <w:color w:val="auto"/>
                <w:sz w:val="24"/>
                <w:szCs w:val="24"/>
              </w:rPr>
              <w:t>Escrita e submissão de artigos</w:t>
            </w:r>
          </w:p>
        </w:tc>
        <w:tc>
          <w:tcPr>
            <w:tcW w:w="370" w:type="pct"/>
            <w:tcBorders>
              <w:top w:val="nil"/>
              <w:left w:val="single" w:sz="4" w:space="0" w:color="auto"/>
              <w:bottom w:val="single" w:sz="4" w:space="0" w:color="auto"/>
              <w:right w:val="single" w:sz="4" w:space="0" w:color="auto"/>
            </w:tcBorders>
            <w:vAlign w:val="center"/>
            <w:hideMark/>
          </w:tcPr>
          <w:p w14:paraId="424A7322" w14:textId="77777777" w:rsidR="003929B1" w:rsidRPr="005E173B" w:rsidRDefault="003929B1" w:rsidP="00633B1D">
            <w:pPr>
              <w:jc w:val="center"/>
              <w:rPr>
                <w:b/>
                <w:bCs/>
                <w:color w:val="auto"/>
                <w:sz w:val="24"/>
                <w:szCs w:val="24"/>
              </w:rPr>
            </w:pPr>
          </w:p>
        </w:tc>
        <w:tc>
          <w:tcPr>
            <w:tcW w:w="356" w:type="pct"/>
            <w:tcBorders>
              <w:top w:val="nil"/>
              <w:left w:val="single" w:sz="4" w:space="0" w:color="auto"/>
              <w:bottom w:val="single" w:sz="4" w:space="0" w:color="auto"/>
              <w:right w:val="single" w:sz="4" w:space="0" w:color="auto"/>
            </w:tcBorders>
            <w:vAlign w:val="center"/>
            <w:hideMark/>
          </w:tcPr>
          <w:p w14:paraId="3D2FBCB6" w14:textId="77777777" w:rsidR="003929B1" w:rsidRPr="005E173B" w:rsidRDefault="003929B1" w:rsidP="00633B1D">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hideMark/>
          </w:tcPr>
          <w:p w14:paraId="6B677864" w14:textId="77777777" w:rsidR="003929B1" w:rsidRPr="005E173B" w:rsidRDefault="003929B1" w:rsidP="00633B1D">
            <w:pPr>
              <w:suppressAutoHyphens w:val="0"/>
              <w:jc w:val="center"/>
              <w:rPr>
                <w:b/>
                <w:bCs/>
                <w:color w:val="auto"/>
                <w:sz w:val="24"/>
                <w:szCs w:val="24"/>
              </w:rPr>
            </w:pPr>
          </w:p>
        </w:tc>
        <w:tc>
          <w:tcPr>
            <w:tcW w:w="267" w:type="pct"/>
            <w:tcBorders>
              <w:top w:val="nil"/>
              <w:left w:val="single" w:sz="4" w:space="0" w:color="auto"/>
              <w:bottom w:val="single" w:sz="4" w:space="0" w:color="auto"/>
              <w:right w:val="single" w:sz="4" w:space="0" w:color="auto"/>
            </w:tcBorders>
            <w:vAlign w:val="center"/>
            <w:hideMark/>
          </w:tcPr>
          <w:p w14:paraId="7B829234" w14:textId="77777777" w:rsidR="003929B1" w:rsidRPr="005E173B" w:rsidRDefault="003929B1" w:rsidP="00633B1D">
            <w:pPr>
              <w:suppressAutoHyphens w:val="0"/>
              <w:jc w:val="center"/>
              <w:rPr>
                <w:b/>
                <w:bCs/>
                <w:color w:val="auto"/>
                <w:sz w:val="24"/>
                <w:szCs w:val="24"/>
              </w:rPr>
            </w:pPr>
          </w:p>
        </w:tc>
        <w:tc>
          <w:tcPr>
            <w:tcW w:w="266" w:type="pct"/>
            <w:tcBorders>
              <w:top w:val="nil"/>
              <w:left w:val="single" w:sz="4" w:space="0" w:color="auto"/>
              <w:bottom w:val="single" w:sz="4" w:space="0" w:color="auto"/>
              <w:right w:val="single" w:sz="4" w:space="0" w:color="auto"/>
            </w:tcBorders>
            <w:vAlign w:val="center"/>
            <w:hideMark/>
          </w:tcPr>
          <w:p w14:paraId="5B2FDB16"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55F4C11E"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29A18BD8"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357E9F2F"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55AD8D03"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7E079C1B"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hideMark/>
          </w:tcPr>
          <w:p w14:paraId="04FCA6DB" w14:textId="77777777" w:rsidR="003929B1" w:rsidRPr="005E173B" w:rsidRDefault="003929B1" w:rsidP="00633B1D">
            <w:pPr>
              <w:suppressAutoHyphens w:val="0"/>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6B99DA60" w14:textId="77777777" w:rsidR="003929B1" w:rsidRPr="005E173B" w:rsidRDefault="003929B1" w:rsidP="00633B1D">
            <w:pPr>
              <w:jc w:val="center"/>
              <w:rPr>
                <w:b/>
                <w:bCs/>
                <w:color w:val="auto"/>
                <w:sz w:val="24"/>
                <w:szCs w:val="24"/>
              </w:rPr>
            </w:pPr>
          </w:p>
        </w:tc>
        <w:tc>
          <w:tcPr>
            <w:tcW w:w="264" w:type="pct"/>
            <w:tcBorders>
              <w:top w:val="nil"/>
              <w:left w:val="single" w:sz="4" w:space="0" w:color="auto"/>
              <w:bottom w:val="single" w:sz="4" w:space="0" w:color="auto"/>
              <w:right w:val="single" w:sz="4" w:space="0" w:color="auto"/>
            </w:tcBorders>
            <w:vAlign w:val="center"/>
          </w:tcPr>
          <w:p w14:paraId="085B8545" w14:textId="5F3A8429" w:rsidR="003929B1" w:rsidRPr="005E173B" w:rsidRDefault="005E173B" w:rsidP="00633B1D">
            <w:pPr>
              <w:jc w:val="center"/>
              <w:rPr>
                <w:b/>
                <w:bCs/>
                <w:color w:val="auto"/>
                <w:sz w:val="24"/>
                <w:szCs w:val="24"/>
              </w:rPr>
            </w:pPr>
            <w:r w:rsidRPr="005E173B">
              <w:rPr>
                <w:b/>
                <w:bCs/>
                <w:color w:val="auto"/>
                <w:sz w:val="24"/>
                <w:szCs w:val="24"/>
              </w:rPr>
              <w:t>X</w:t>
            </w:r>
          </w:p>
        </w:tc>
        <w:tc>
          <w:tcPr>
            <w:tcW w:w="264" w:type="pct"/>
            <w:tcBorders>
              <w:top w:val="nil"/>
              <w:left w:val="single" w:sz="4" w:space="0" w:color="auto"/>
              <w:bottom w:val="single" w:sz="4" w:space="0" w:color="auto"/>
              <w:right w:val="single" w:sz="4" w:space="0" w:color="auto"/>
            </w:tcBorders>
            <w:vAlign w:val="center"/>
          </w:tcPr>
          <w:p w14:paraId="3A146D3A" w14:textId="62ED1054" w:rsidR="003929B1" w:rsidRPr="005E173B" w:rsidRDefault="005E173B" w:rsidP="00633B1D">
            <w:pPr>
              <w:jc w:val="center"/>
              <w:rPr>
                <w:b/>
                <w:bCs/>
                <w:color w:val="auto"/>
                <w:sz w:val="24"/>
                <w:szCs w:val="24"/>
              </w:rPr>
            </w:pPr>
            <w:r w:rsidRPr="005E173B">
              <w:rPr>
                <w:b/>
                <w:bCs/>
                <w:color w:val="auto"/>
                <w:sz w:val="24"/>
                <w:szCs w:val="24"/>
              </w:rPr>
              <w:t>X</w:t>
            </w:r>
          </w:p>
        </w:tc>
        <w:tc>
          <w:tcPr>
            <w:tcW w:w="262" w:type="pct"/>
            <w:tcBorders>
              <w:top w:val="nil"/>
              <w:left w:val="single" w:sz="4" w:space="0" w:color="auto"/>
              <w:bottom w:val="single" w:sz="4" w:space="0" w:color="auto"/>
              <w:right w:val="single" w:sz="4" w:space="0" w:color="auto"/>
            </w:tcBorders>
            <w:vAlign w:val="center"/>
          </w:tcPr>
          <w:p w14:paraId="3CAF16A6" w14:textId="3B9854E3" w:rsidR="003929B1" w:rsidRPr="005E173B" w:rsidRDefault="005E173B" w:rsidP="00633B1D">
            <w:pPr>
              <w:jc w:val="center"/>
              <w:rPr>
                <w:b/>
                <w:bCs/>
                <w:color w:val="auto"/>
                <w:sz w:val="24"/>
                <w:szCs w:val="24"/>
              </w:rPr>
            </w:pPr>
            <w:r w:rsidRPr="005E173B">
              <w:rPr>
                <w:b/>
                <w:bCs/>
                <w:color w:val="auto"/>
                <w:sz w:val="24"/>
                <w:szCs w:val="24"/>
              </w:rPr>
              <w:t>X</w:t>
            </w:r>
          </w:p>
        </w:tc>
      </w:tr>
    </w:tbl>
    <w:p w14:paraId="75941C99" w14:textId="77777777" w:rsidR="00701E7F" w:rsidRDefault="00701E7F">
      <w:pPr>
        <w:spacing w:line="276" w:lineRule="auto"/>
        <w:jc w:val="both"/>
        <w:rPr>
          <w:rFonts w:ascii="Calibri" w:hAnsi="Calibri" w:cs="Calibri"/>
          <w:b/>
          <w:color w:val="auto"/>
        </w:rPr>
      </w:pPr>
    </w:p>
    <w:p w14:paraId="231BCEB1" w14:textId="77777777" w:rsidR="00C84513" w:rsidRPr="006D6934" w:rsidRDefault="00C84513">
      <w:pPr>
        <w:spacing w:line="276" w:lineRule="auto"/>
        <w:jc w:val="both"/>
        <w:rPr>
          <w:rFonts w:ascii="Calibri" w:hAnsi="Calibri" w:cs="Calibri"/>
          <w:b/>
          <w:color w:val="auto"/>
        </w:rPr>
      </w:pPr>
    </w:p>
    <w:p w14:paraId="4E1A0840" w14:textId="77777777" w:rsidR="00701E7F" w:rsidRPr="006D6934" w:rsidRDefault="00EC3554">
      <w:pPr>
        <w:spacing w:line="276" w:lineRule="auto"/>
        <w:jc w:val="both"/>
        <w:rPr>
          <w:rFonts w:ascii="Calibri" w:hAnsi="Calibri" w:cs="Calibri"/>
          <w:color w:val="auto"/>
          <w:sz w:val="16"/>
          <w:szCs w:val="16"/>
        </w:rPr>
      </w:pPr>
      <w:r w:rsidRPr="006D6934">
        <w:rPr>
          <w:rFonts w:ascii="Calibri" w:hAnsi="Calibri" w:cs="Calibri"/>
          <w:b/>
          <w:color w:val="auto"/>
        </w:rPr>
        <w:t>11) ORÇAMENTO</w:t>
      </w:r>
    </w:p>
    <w:p w14:paraId="2329BC8D" w14:textId="77777777" w:rsidR="005D3C6C" w:rsidRPr="006D6934" w:rsidRDefault="005D3C6C" w:rsidP="005D3C6C">
      <w:pPr>
        <w:spacing w:line="276" w:lineRule="auto"/>
        <w:ind w:firstLine="708"/>
        <w:jc w:val="both"/>
        <w:rPr>
          <w:rFonts w:ascii="Calibri" w:hAnsi="Calibri" w:cs="Calibri"/>
          <w:color w:val="auto"/>
        </w:rPr>
      </w:pPr>
    </w:p>
    <w:p w14:paraId="493CA7E3" w14:textId="77777777" w:rsidR="005D3C6C" w:rsidRPr="006D6934" w:rsidRDefault="005D3C6C" w:rsidP="005D3C6C">
      <w:pPr>
        <w:spacing w:line="276" w:lineRule="auto"/>
        <w:ind w:firstLine="708"/>
        <w:jc w:val="both"/>
        <w:rPr>
          <w:rFonts w:ascii="Calibri" w:hAnsi="Calibri" w:cs="Calibri"/>
          <w:color w:val="auto"/>
        </w:rPr>
      </w:pPr>
      <w:r w:rsidRPr="006D6934">
        <w:rPr>
          <w:rFonts w:ascii="Calibri" w:hAnsi="Calibri" w:cs="Calibri"/>
          <w:color w:val="auto"/>
        </w:rPr>
        <w:t>Todo material de consumo gasto para a realização do presente projeto será custeado pelos pesquisadores envolvidos.</w:t>
      </w:r>
    </w:p>
    <w:p w14:paraId="24FDDC9D" w14:textId="77777777" w:rsidR="005D3C6C" w:rsidRPr="006D6934" w:rsidRDefault="005D3C6C" w:rsidP="005D3C6C">
      <w:pPr>
        <w:spacing w:line="276" w:lineRule="auto"/>
        <w:ind w:firstLine="708"/>
        <w:jc w:val="both"/>
        <w:rPr>
          <w:rFonts w:ascii="Calibri" w:hAnsi="Calibri" w:cs="Calibri"/>
          <w:color w:val="auto"/>
        </w:rPr>
      </w:pPr>
      <w:r w:rsidRPr="006D6934">
        <w:rPr>
          <w:rFonts w:ascii="Calibri" w:hAnsi="Calibri" w:cs="Calibri"/>
          <w:color w:val="auto"/>
        </w:rPr>
        <w:t>Os equipamentos apresentados como materiais permanentes já foram adquiridos com verba de outros projetos de pesquisa realizados pelos pesquisadores envolvidos.</w:t>
      </w:r>
    </w:p>
    <w:p w14:paraId="4AF94625" w14:textId="6F15C7C7" w:rsidR="00701E7F" w:rsidRDefault="005D3C6C" w:rsidP="005D3C6C">
      <w:pPr>
        <w:spacing w:line="276" w:lineRule="auto"/>
        <w:ind w:firstLine="708"/>
        <w:jc w:val="both"/>
        <w:rPr>
          <w:rFonts w:ascii="Calibri" w:hAnsi="Calibri" w:cs="Calibri"/>
          <w:color w:val="auto"/>
        </w:rPr>
      </w:pPr>
      <w:r w:rsidRPr="006D6934">
        <w:rPr>
          <w:rFonts w:ascii="Calibri" w:hAnsi="Calibri" w:cs="Calibri"/>
          <w:color w:val="auto"/>
        </w:rPr>
        <w:t xml:space="preserve">Desse modo, é importante destacar que o presente projeto não acarretará gastos às </w:t>
      </w:r>
      <w:r w:rsidRPr="00514F4D">
        <w:rPr>
          <w:rFonts w:ascii="Calibri" w:hAnsi="Calibri" w:cs="Calibri"/>
          <w:color w:val="auto"/>
        </w:rPr>
        <w:t>participantes</w:t>
      </w:r>
      <w:r w:rsidRPr="006D6934">
        <w:rPr>
          <w:rFonts w:ascii="Calibri" w:hAnsi="Calibri" w:cs="Calibri"/>
          <w:color w:val="auto"/>
        </w:rPr>
        <w:t xml:space="preserve"> e a instituição envolvida.</w:t>
      </w:r>
    </w:p>
    <w:p w14:paraId="39A4B10F" w14:textId="77777777" w:rsidR="00CE31AC" w:rsidRDefault="00CE31AC" w:rsidP="005D3C6C">
      <w:pPr>
        <w:spacing w:line="276" w:lineRule="auto"/>
        <w:ind w:firstLine="708"/>
        <w:jc w:val="both"/>
        <w:rPr>
          <w:rFonts w:ascii="Calibri" w:hAnsi="Calibri" w:cs="Calibri"/>
          <w:color w:val="auto"/>
        </w:rPr>
      </w:pPr>
    </w:p>
    <w:p w14:paraId="12C21387" w14:textId="77777777" w:rsidR="00CE31AC" w:rsidRPr="006D6934" w:rsidRDefault="00CE31AC" w:rsidP="005D3C6C">
      <w:pPr>
        <w:spacing w:line="276" w:lineRule="auto"/>
        <w:ind w:firstLine="708"/>
        <w:jc w:val="both"/>
        <w:rPr>
          <w:rFonts w:ascii="Calibri" w:hAnsi="Calibri" w:cs="Calibri"/>
          <w:color w:val="auto"/>
        </w:rPr>
      </w:pPr>
    </w:p>
    <w:p w14:paraId="404EFAB9" w14:textId="77777777" w:rsidR="005D3C6C" w:rsidRPr="006D6934" w:rsidRDefault="005D3C6C" w:rsidP="005D3C6C">
      <w:pPr>
        <w:spacing w:line="360" w:lineRule="auto"/>
        <w:ind w:firstLine="567"/>
        <w:jc w:val="both"/>
        <w:rPr>
          <w:color w:val="auto"/>
          <w:sz w:val="24"/>
          <w:szCs w:val="24"/>
        </w:rPr>
      </w:pPr>
    </w:p>
    <w:tbl>
      <w:tblPr>
        <w:tblStyle w:val="Tabelacomgrade1"/>
        <w:tblW w:w="3674" w:type="pct"/>
        <w:jc w:val="center"/>
        <w:tblLook w:val="04A0" w:firstRow="1" w:lastRow="0" w:firstColumn="1" w:lastColumn="0" w:noHBand="0" w:noVBand="1"/>
      </w:tblPr>
      <w:tblGrid>
        <w:gridCol w:w="3537"/>
        <w:gridCol w:w="3538"/>
      </w:tblGrid>
      <w:tr w:rsidR="006D6934" w:rsidRPr="006D6934" w14:paraId="7E10EDCC"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30F57109" w14:textId="77777777" w:rsidR="005D3C6C" w:rsidRPr="006D6934" w:rsidRDefault="005D3C6C" w:rsidP="00804C32">
            <w:pPr>
              <w:spacing w:line="360" w:lineRule="auto"/>
              <w:jc w:val="center"/>
              <w:rPr>
                <w:rFonts w:eastAsia="Arial"/>
                <w:b/>
                <w:color w:val="auto"/>
                <w:sz w:val="24"/>
                <w:szCs w:val="24"/>
                <w:lang w:eastAsia="pt-BR"/>
              </w:rPr>
            </w:pPr>
            <w:r w:rsidRPr="006D6934">
              <w:rPr>
                <w:rFonts w:eastAsia="Arial"/>
                <w:b/>
                <w:color w:val="auto"/>
                <w:sz w:val="24"/>
                <w:szCs w:val="24"/>
                <w:lang w:eastAsia="pt-BR"/>
              </w:rPr>
              <w:lastRenderedPageBreak/>
              <w:t>ITENS</w:t>
            </w:r>
          </w:p>
        </w:tc>
        <w:tc>
          <w:tcPr>
            <w:tcW w:w="2500" w:type="pct"/>
            <w:tcBorders>
              <w:top w:val="single" w:sz="4" w:space="0" w:color="auto"/>
              <w:left w:val="single" w:sz="4" w:space="0" w:color="auto"/>
              <w:bottom w:val="single" w:sz="4" w:space="0" w:color="auto"/>
              <w:right w:val="single" w:sz="4" w:space="0" w:color="auto"/>
            </w:tcBorders>
            <w:vAlign w:val="center"/>
            <w:hideMark/>
          </w:tcPr>
          <w:p w14:paraId="52FE3A57" w14:textId="77777777" w:rsidR="005D3C6C" w:rsidRPr="006D6934" w:rsidRDefault="005D3C6C" w:rsidP="00804C32">
            <w:pPr>
              <w:spacing w:line="360" w:lineRule="auto"/>
              <w:jc w:val="center"/>
              <w:rPr>
                <w:rFonts w:eastAsia="Arial"/>
                <w:b/>
                <w:color w:val="auto"/>
                <w:sz w:val="24"/>
                <w:szCs w:val="24"/>
                <w:lang w:eastAsia="pt-BR"/>
              </w:rPr>
            </w:pPr>
            <w:r w:rsidRPr="006D6934">
              <w:rPr>
                <w:rFonts w:eastAsia="Arial"/>
                <w:b/>
                <w:color w:val="auto"/>
                <w:sz w:val="24"/>
                <w:szCs w:val="24"/>
                <w:lang w:eastAsia="pt-BR"/>
              </w:rPr>
              <w:t>VALOR</w:t>
            </w:r>
          </w:p>
        </w:tc>
      </w:tr>
      <w:tr w:rsidR="006D6934" w:rsidRPr="006D6934" w14:paraId="60D12225"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6A7FB546" w14:textId="77777777" w:rsidR="005D3C6C" w:rsidRPr="006D6934" w:rsidRDefault="005D3C6C" w:rsidP="00804C32">
            <w:pPr>
              <w:spacing w:line="360" w:lineRule="auto"/>
              <w:ind w:firstLine="0"/>
              <w:jc w:val="left"/>
              <w:rPr>
                <w:rFonts w:eastAsia="Arial"/>
                <w:color w:val="auto"/>
                <w:sz w:val="24"/>
                <w:szCs w:val="24"/>
                <w:lang w:eastAsia="pt-BR"/>
              </w:rPr>
            </w:pPr>
            <w:r w:rsidRPr="006D6934">
              <w:rPr>
                <w:rFonts w:eastAsia="Arial"/>
                <w:b/>
                <w:color w:val="auto"/>
                <w:sz w:val="24"/>
                <w:szCs w:val="24"/>
                <w:lang w:eastAsia="pt-BR"/>
              </w:rPr>
              <w:t>Material de Consumo</w:t>
            </w:r>
          </w:p>
        </w:tc>
        <w:tc>
          <w:tcPr>
            <w:tcW w:w="2500" w:type="pct"/>
            <w:tcBorders>
              <w:top w:val="single" w:sz="4" w:space="0" w:color="auto"/>
              <w:left w:val="single" w:sz="4" w:space="0" w:color="auto"/>
              <w:bottom w:val="single" w:sz="4" w:space="0" w:color="auto"/>
              <w:right w:val="single" w:sz="4" w:space="0" w:color="auto"/>
            </w:tcBorders>
            <w:vAlign w:val="center"/>
          </w:tcPr>
          <w:p w14:paraId="405A3C89" w14:textId="77777777" w:rsidR="005D3C6C" w:rsidRPr="006D6934" w:rsidRDefault="005D3C6C" w:rsidP="00804C32">
            <w:pPr>
              <w:spacing w:line="360" w:lineRule="auto"/>
              <w:ind w:firstLine="0"/>
              <w:rPr>
                <w:rFonts w:eastAsia="Arial"/>
                <w:color w:val="auto"/>
                <w:sz w:val="24"/>
                <w:szCs w:val="24"/>
                <w:lang w:eastAsia="pt-BR"/>
              </w:rPr>
            </w:pPr>
          </w:p>
        </w:tc>
      </w:tr>
      <w:tr w:rsidR="006D6934" w:rsidRPr="006D6934" w14:paraId="14DD10A0"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5217BF21" w14:textId="77777777" w:rsidR="005D3C6C" w:rsidRPr="006D6934" w:rsidRDefault="005D3C6C" w:rsidP="00804C32">
            <w:pPr>
              <w:spacing w:line="360" w:lineRule="auto"/>
              <w:jc w:val="left"/>
              <w:rPr>
                <w:rFonts w:eastAsia="Arial"/>
                <w:color w:val="auto"/>
                <w:sz w:val="24"/>
                <w:szCs w:val="24"/>
                <w:lang w:eastAsia="pt-BR"/>
              </w:rPr>
            </w:pPr>
            <w:r w:rsidRPr="006D6934">
              <w:rPr>
                <w:rFonts w:eastAsia="Arial"/>
                <w:color w:val="auto"/>
                <w:sz w:val="24"/>
                <w:szCs w:val="24"/>
                <w:lang w:eastAsia="pt-BR"/>
              </w:rPr>
              <w:t>Material de escritório</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40C3F15" w14:textId="77777777" w:rsidR="005D3C6C" w:rsidRPr="006D6934" w:rsidRDefault="005D3C6C" w:rsidP="00804C32">
            <w:pPr>
              <w:spacing w:line="360" w:lineRule="auto"/>
              <w:jc w:val="center"/>
              <w:rPr>
                <w:rFonts w:eastAsia="Arial"/>
                <w:color w:val="auto"/>
                <w:sz w:val="24"/>
                <w:szCs w:val="24"/>
                <w:lang w:eastAsia="pt-BR"/>
              </w:rPr>
            </w:pPr>
            <w:r w:rsidRPr="006D6934">
              <w:rPr>
                <w:rFonts w:eastAsia="Arial"/>
                <w:color w:val="auto"/>
                <w:sz w:val="24"/>
                <w:szCs w:val="24"/>
                <w:lang w:eastAsia="pt-BR"/>
              </w:rPr>
              <w:t>R$ 100,00</w:t>
            </w:r>
          </w:p>
        </w:tc>
      </w:tr>
      <w:tr w:rsidR="006D6934" w:rsidRPr="006D6934" w14:paraId="763ACEBC"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7FD397AC" w14:textId="77777777" w:rsidR="005D3C6C" w:rsidRPr="006D6934" w:rsidRDefault="005D3C6C" w:rsidP="00804C32">
            <w:pPr>
              <w:spacing w:line="360" w:lineRule="auto"/>
              <w:jc w:val="left"/>
              <w:rPr>
                <w:rFonts w:eastAsia="Arial"/>
                <w:color w:val="auto"/>
                <w:sz w:val="24"/>
                <w:szCs w:val="24"/>
                <w:lang w:eastAsia="pt-BR"/>
              </w:rPr>
            </w:pPr>
            <w:r w:rsidRPr="006D6934">
              <w:rPr>
                <w:rFonts w:eastAsia="Arial"/>
                <w:color w:val="auto"/>
                <w:sz w:val="24"/>
                <w:szCs w:val="24"/>
                <w:lang w:eastAsia="pt-BR"/>
              </w:rPr>
              <w:t>Xerox</w:t>
            </w:r>
          </w:p>
        </w:tc>
        <w:tc>
          <w:tcPr>
            <w:tcW w:w="2500" w:type="pct"/>
            <w:tcBorders>
              <w:top w:val="single" w:sz="4" w:space="0" w:color="auto"/>
              <w:left w:val="single" w:sz="4" w:space="0" w:color="auto"/>
              <w:bottom w:val="single" w:sz="4" w:space="0" w:color="auto"/>
              <w:right w:val="single" w:sz="4" w:space="0" w:color="auto"/>
            </w:tcBorders>
            <w:vAlign w:val="center"/>
            <w:hideMark/>
          </w:tcPr>
          <w:p w14:paraId="736EA19C" w14:textId="77777777" w:rsidR="005D3C6C" w:rsidRPr="006D6934" w:rsidRDefault="005D3C6C" w:rsidP="00804C32">
            <w:pPr>
              <w:spacing w:line="360" w:lineRule="auto"/>
              <w:jc w:val="center"/>
              <w:rPr>
                <w:rFonts w:eastAsia="Arial"/>
                <w:color w:val="auto"/>
                <w:sz w:val="24"/>
                <w:szCs w:val="24"/>
                <w:lang w:eastAsia="pt-BR"/>
              </w:rPr>
            </w:pPr>
            <w:r w:rsidRPr="006D6934">
              <w:rPr>
                <w:rFonts w:eastAsia="Arial"/>
                <w:color w:val="auto"/>
                <w:sz w:val="24"/>
                <w:szCs w:val="24"/>
                <w:lang w:eastAsia="pt-BR"/>
              </w:rPr>
              <w:t>R$ 10,00</w:t>
            </w:r>
          </w:p>
        </w:tc>
      </w:tr>
      <w:tr w:rsidR="006D6934" w:rsidRPr="006D6934" w14:paraId="565C91C7"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tcPr>
          <w:p w14:paraId="491A063F" w14:textId="77777777" w:rsidR="005D3C6C" w:rsidRPr="006D6934" w:rsidRDefault="005D3C6C" w:rsidP="00804C32">
            <w:pPr>
              <w:spacing w:line="360" w:lineRule="auto"/>
              <w:jc w:val="left"/>
              <w:rPr>
                <w:rFonts w:eastAsia="Arial"/>
                <w:color w:val="auto"/>
                <w:sz w:val="24"/>
                <w:szCs w:val="24"/>
                <w:lang w:eastAsia="pt-BR"/>
              </w:rPr>
            </w:pPr>
            <w:r w:rsidRPr="006D6934">
              <w:rPr>
                <w:rFonts w:eastAsia="Arial"/>
                <w:color w:val="auto"/>
                <w:sz w:val="24"/>
                <w:szCs w:val="24"/>
                <w:lang w:eastAsia="pt-BR"/>
              </w:rPr>
              <w:t>Óleo para massagem</w:t>
            </w:r>
          </w:p>
        </w:tc>
        <w:tc>
          <w:tcPr>
            <w:tcW w:w="2500" w:type="pct"/>
            <w:tcBorders>
              <w:top w:val="single" w:sz="4" w:space="0" w:color="auto"/>
              <w:left w:val="single" w:sz="4" w:space="0" w:color="auto"/>
              <w:bottom w:val="single" w:sz="4" w:space="0" w:color="auto"/>
              <w:right w:val="single" w:sz="4" w:space="0" w:color="auto"/>
            </w:tcBorders>
            <w:vAlign w:val="center"/>
          </w:tcPr>
          <w:p w14:paraId="066E73C9" w14:textId="77777777" w:rsidR="005D3C6C" w:rsidRPr="006D6934" w:rsidRDefault="005D3C6C" w:rsidP="00804C32">
            <w:pPr>
              <w:spacing w:line="360" w:lineRule="auto"/>
              <w:jc w:val="center"/>
              <w:rPr>
                <w:rFonts w:eastAsia="Arial"/>
                <w:color w:val="auto"/>
                <w:sz w:val="24"/>
                <w:szCs w:val="24"/>
                <w:lang w:eastAsia="pt-BR"/>
              </w:rPr>
            </w:pPr>
            <w:r w:rsidRPr="006D6934">
              <w:rPr>
                <w:rFonts w:eastAsia="Arial"/>
                <w:color w:val="auto"/>
                <w:sz w:val="24"/>
                <w:szCs w:val="24"/>
                <w:lang w:eastAsia="pt-BR"/>
              </w:rPr>
              <w:t>R$ 70,00</w:t>
            </w:r>
          </w:p>
        </w:tc>
      </w:tr>
      <w:tr w:rsidR="006D6934" w:rsidRPr="006D6934" w14:paraId="01E02E33"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38515C21" w14:textId="77777777" w:rsidR="005D3C6C" w:rsidRPr="006D6934" w:rsidRDefault="005D3C6C" w:rsidP="00804C32">
            <w:pPr>
              <w:spacing w:line="360" w:lineRule="auto"/>
              <w:ind w:firstLine="0"/>
              <w:jc w:val="left"/>
              <w:rPr>
                <w:rFonts w:eastAsia="Arial"/>
                <w:color w:val="auto"/>
                <w:sz w:val="24"/>
                <w:szCs w:val="24"/>
                <w:lang w:eastAsia="pt-BR"/>
              </w:rPr>
            </w:pPr>
            <w:r w:rsidRPr="006D6934">
              <w:rPr>
                <w:rFonts w:eastAsia="Arial"/>
                <w:b/>
                <w:color w:val="auto"/>
                <w:sz w:val="24"/>
                <w:szCs w:val="24"/>
                <w:lang w:eastAsia="pt-BR"/>
              </w:rPr>
              <w:t>Material Permanente</w:t>
            </w:r>
          </w:p>
        </w:tc>
        <w:tc>
          <w:tcPr>
            <w:tcW w:w="2500" w:type="pct"/>
            <w:tcBorders>
              <w:top w:val="single" w:sz="4" w:space="0" w:color="auto"/>
              <w:left w:val="single" w:sz="4" w:space="0" w:color="auto"/>
              <w:bottom w:val="single" w:sz="4" w:space="0" w:color="auto"/>
              <w:right w:val="single" w:sz="4" w:space="0" w:color="auto"/>
            </w:tcBorders>
            <w:vAlign w:val="center"/>
          </w:tcPr>
          <w:p w14:paraId="244839DA" w14:textId="77777777" w:rsidR="005D3C6C" w:rsidRPr="006D6934" w:rsidRDefault="005D3C6C" w:rsidP="00804C32">
            <w:pPr>
              <w:spacing w:line="360" w:lineRule="auto"/>
              <w:ind w:firstLine="0"/>
              <w:rPr>
                <w:rFonts w:eastAsia="Arial"/>
                <w:color w:val="auto"/>
                <w:sz w:val="24"/>
                <w:szCs w:val="24"/>
                <w:lang w:eastAsia="pt-BR"/>
              </w:rPr>
            </w:pPr>
          </w:p>
        </w:tc>
      </w:tr>
      <w:tr w:rsidR="006D6934" w:rsidRPr="006D6934" w14:paraId="4536FCBE"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10591161" w14:textId="77777777" w:rsidR="005D3C6C" w:rsidRPr="006D6934" w:rsidRDefault="005D3C6C" w:rsidP="00804C32">
            <w:pPr>
              <w:spacing w:line="360" w:lineRule="auto"/>
              <w:jc w:val="left"/>
              <w:rPr>
                <w:rFonts w:eastAsia="Arial"/>
                <w:color w:val="auto"/>
                <w:sz w:val="24"/>
                <w:szCs w:val="24"/>
                <w:lang w:eastAsia="pt-BR"/>
              </w:rPr>
            </w:pPr>
            <w:proofErr w:type="spellStart"/>
            <w:r w:rsidRPr="006D6934">
              <w:rPr>
                <w:rFonts w:eastAsia="Arial"/>
                <w:color w:val="auto"/>
                <w:sz w:val="24"/>
                <w:szCs w:val="24"/>
                <w:lang w:eastAsia="pt-BR"/>
              </w:rPr>
              <w:t>Cardiofrequencímetro</w:t>
            </w:r>
            <w:proofErr w:type="spellEnd"/>
          </w:p>
        </w:tc>
        <w:tc>
          <w:tcPr>
            <w:tcW w:w="2500" w:type="pct"/>
            <w:tcBorders>
              <w:top w:val="single" w:sz="4" w:space="0" w:color="auto"/>
              <w:left w:val="single" w:sz="4" w:space="0" w:color="auto"/>
              <w:bottom w:val="single" w:sz="4" w:space="0" w:color="auto"/>
              <w:right w:val="single" w:sz="4" w:space="0" w:color="auto"/>
            </w:tcBorders>
            <w:vAlign w:val="center"/>
            <w:hideMark/>
          </w:tcPr>
          <w:p w14:paraId="43FC6838" w14:textId="77777777" w:rsidR="005D3C6C" w:rsidRPr="006D6934" w:rsidRDefault="005D3C6C" w:rsidP="00804C32">
            <w:pPr>
              <w:spacing w:line="360" w:lineRule="auto"/>
              <w:jc w:val="center"/>
              <w:rPr>
                <w:rFonts w:eastAsia="Arial"/>
                <w:color w:val="auto"/>
                <w:sz w:val="24"/>
                <w:szCs w:val="24"/>
                <w:lang w:eastAsia="pt-BR"/>
              </w:rPr>
            </w:pPr>
            <w:r w:rsidRPr="006D6934">
              <w:rPr>
                <w:rFonts w:eastAsia="Arial"/>
                <w:color w:val="auto"/>
                <w:sz w:val="24"/>
                <w:szCs w:val="24"/>
                <w:lang w:eastAsia="pt-BR"/>
              </w:rPr>
              <w:t>R$ 2.800,00</w:t>
            </w:r>
          </w:p>
        </w:tc>
      </w:tr>
      <w:tr w:rsidR="006D6934" w:rsidRPr="006D6934" w14:paraId="5A4298F8"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tcPr>
          <w:p w14:paraId="698ADB0A" w14:textId="77777777" w:rsidR="005D3C6C" w:rsidRPr="006D6934" w:rsidRDefault="005D3C6C" w:rsidP="00804C32">
            <w:pPr>
              <w:spacing w:line="360" w:lineRule="auto"/>
              <w:jc w:val="left"/>
              <w:rPr>
                <w:rFonts w:eastAsia="Arial"/>
                <w:color w:val="auto"/>
                <w:sz w:val="24"/>
                <w:szCs w:val="24"/>
                <w:lang w:eastAsia="pt-BR"/>
              </w:rPr>
            </w:pPr>
            <w:r w:rsidRPr="006D6934">
              <w:rPr>
                <w:rFonts w:eastAsia="Arial"/>
                <w:color w:val="auto"/>
                <w:sz w:val="24"/>
                <w:szCs w:val="24"/>
                <w:lang w:eastAsia="pt-BR"/>
              </w:rPr>
              <w:t>Dinamômetro de pressão</w:t>
            </w:r>
          </w:p>
        </w:tc>
        <w:tc>
          <w:tcPr>
            <w:tcW w:w="2500" w:type="pct"/>
            <w:tcBorders>
              <w:top w:val="single" w:sz="4" w:space="0" w:color="auto"/>
              <w:left w:val="single" w:sz="4" w:space="0" w:color="auto"/>
              <w:bottom w:val="single" w:sz="4" w:space="0" w:color="auto"/>
              <w:right w:val="single" w:sz="4" w:space="0" w:color="auto"/>
            </w:tcBorders>
            <w:vAlign w:val="center"/>
            <w:hideMark/>
          </w:tcPr>
          <w:p w14:paraId="0F01FC8E" w14:textId="77777777" w:rsidR="005D3C6C" w:rsidRPr="006D6934" w:rsidRDefault="005D3C6C" w:rsidP="00804C32">
            <w:pPr>
              <w:spacing w:line="360" w:lineRule="auto"/>
              <w:jc w:val="center"/>
              <w:rPr>
                <w:rFonts w:eastAsia="Arial"/>
                <w:color w:val="auto"/>
                <w:sz w:val="24"/>
                <w:szCs w:val="24"/>
                <w:lang w:eastAsia="pt-BR"/>
              </w:rPr>
            </w:pPr>
            <w:r w:rsidRPr="006D6934">
              <w:rPr>
                <w:rFonts w:eastAsia="Arial"/>
                <w:color w:val="auto"/>
                <w:sz w:val="24"/>
                <w:szCs w:val="24"/>
                <w:lang w:eastAsia="pt-BR"/>
              </w:rPr>
              <w:t>R$ 3.000,00</w:t>
            </w:r>
          </w:p>
        </w:tc>
      </w:tr>
      <w:tr w:rsidR="006D6934" w:rsidRPr="006D6934" w14:paraId="396D3F60"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tcPr>
          <w:p w14:paraId="47F34393" w14:textId="77777777" w:rsidR="005D3C6C" w:rsidRPr="006D6934" w:rsidRDefault="005D3C6C" w:rsidP="00804C32">
            <w:pPr>
              <w:spacing w:line="360" w:lineRule="auto"/>
              <w:rPr>
                <w:rFonts w:eastAsia="Arial"/>
                <w:color w:val="auto"/>
                <w:sz w:val="24"/>
                <w:szCs w:val="24"/>
                <w:lang w:eastAsia="pt-BR"/>
              </w:rPr>
            </w:pPr>
            <w:r w:rsidRPr="006D6934">
              <w:rPr>
                <w:rFonts w:eastAsia="Arial"/>
                <w:color w:val="auto"/>
                <w:sz w:val="24"/>
                <w:szCs w:val="24"/>
                <w:lang w:eastAsia="pt-BR"/>
              </w:rPr>
              <w:t>Ventosa</w:t>
            </w:r>
          </w:p>
        </w:tc>
        <w:tc>
          <w:tcPr>
            <w:tcW w:w="2500" w:type="pct"/>
            <w:tcBorders>
              <w:top w:val="single" w:sz="4" w:space="0" w:color="auto"/>
              <w:left w:val="single" w:sz="4" w:space="0" w:color="auto"/>
              <w:bottom w:val="single" w:sz="4" w:space="0" w:color="auto"/>
              <w:right w:val="single" w:sz="4" w:space="0" w:color="auto"/>
            </w:tcBorders>
            <w:vAlign w:val="center"/>
          </w:tcPr>
          <w:p w14:paraId="5A74444E" w14:textId="77777777" w:rsidR="005D3C6C" w:rsidRPr="006D6934" w:rsidRDefault="005D3C6C" w:rsidP="00804C32">
            <w:pPr>
              <w:spacing w:line="360" w:lineRule="auto"/>
              <w:jc w:val="center"/>
              <w:rPr>
                <w:rFonts w:eastAsia="Arial"/>
                <w:color w:val="auto"/>
                <w:sz w:val="24"/>
                <w:szCs w:val="24"/>
                <w:lang w:eastAsia="pt-BR"/>
              </w:rPr>
            </w:pPr>
            <w:r w:rsidRPr="006D6934">
              <w:rPr>
                <w:rFonts w:eastAsia="Arial"/>
                <w:color w:val="auto"/>
                <w:sz w:val="24"/>
                <w:szCs w:val="24"/>
                <w:lang w:eastAsia="pt-BR"/>
              </w:rPr>
              <w:t>R$ 350,00</w:t>
            </w:r>
          </w:p>
        </w:tc>
      </w:tr>
      <w:tr w:rsidR="005D3C6C" w:rsidRPr="006D6934" w14:paraId="5DBE9DB9" w14:textId="77777777" w:rsidTr="00804C32">
        <w:trPr>
          <w:trHeight w:val="325"/>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2F2513F4" w14:textId="77777777" w:rsidR="005D3C6C" w:rsidRPr="006D6934" w:rsidRDefault="005D3C6C" w:rsidP="00804C32">
            <w:pPr>
              <w:spacing w:line="360" w:lineRule="auto"/>
              <w:ind w:firstLine="720"/>
              <w:jc w:val="left"/>
              <w:rPr>
                <w:rFonts w:eastAsia="Arial"/>
                <w:b/>
                <w:color w:val="auto"/>
                <w:sz w:val="24"/>
                <w:szCs w:val="24"/>
                <w:lang w:eastAsia="pt-BR"/>
              </w:rPr>
            </w:pPr>
            <w:r w:rsidRPr="006D6934">
              <w:rPr>
                <w:rFonts w:eastAsia="Arial"/>
                <w:b/>
                <w:color w:val="auto"/>
                <w:sz w:val="24"/>
                <w:szCs w:val="24"/>
                <w:lang w:eastAsia="pt-BR"/>
              </w:rPr>
              <w:t>Total</w:t>
            </w:r>
          </w:p>
        </w:tc>
        <w:tc>
          <w:tcPr>
            <w:tcW w:w="2500" w:type="pct"/>
            <w:tcBorders>
              <w:top w:val="single" w:sz="4" w:space="0" w:color="auto"/>
              <w:left w:val="single" w:sz="4" w:space="0" w:color="auto"/>
              <w:bottom w:val="single" w:sz="4" w:space="0" w:color="auto"/>
              <w:right w:val="single" w:sz="4" w:space="0" w:color="auto"/>
            </w:tcBorders>
            <w:vAlign w:val="center"/>
            <w:hideMark/>
          </w:tcPr>
          <w:p w14:paraId="3C7B3575" w14:textId="77777777" w:rsidR="005D3C6C" w:rsidRPr="006D6934" w:rsidRDefault="005D3C6C" w:rsidP="00804C32">
            <w:pPr>
              <w:spacing w:line="360" w:lineRule="auto"/>
              <w:jc w:val="center"/>
              <w:rPr>
                <w:rFonts w:eastAsia="Arial"/>
                <w:b/>
                <w:color w:val="auto"/>
                <w:sz w:val="24"/>
                <w:szCs w:val="24"/>
                <w:lang w:eastAsia="pt-BR"/>
              </w:rPr>
            </w:pPr>
            <w:r w:rsidRPr="006D6934">
              <w:rPr>
                <w:rFonts w:eastAsia="Arial"/>
                <w:b/>
                <w:color w:val="auto"/>
                <w:sz w:val="24"/>
                <w:szCs w:val="24"/>
                <w:lang w:eastAsia="pt-BR"/>
              </w:rPr>
              <w:t>R$ 6.330,00</w:t>
            </w:r>
          </w:p>
        </w:tc>
      </w:tr>
    </w:tbl>
    <w:p w14:paraId="74B5A256" w14:textId="77777777" w:rsidR="005D3C6C" w:rsidRPr="006D6934" w:rsidRDefault="005D3C6C" w:rsidP="005D3C6C">
      <w:pPr>
        <w:spacing w:line="360" w:lineRule="auto"/>
        <w:jc w:val="both"/>
        <w:rPr>
          <w:color w:val="auto"/>
          <w:sz w:val="24"/>
          <w:szCs w:val="24"/>
        </w:rPr>
      </w:pPr>
    </w:p>
    <w:p w14:paraId="5E60BD67" w14:textId="77777777" w:rsidR="005D3C6C" w:rsidRPr="006D6934" w:rsidRDefault="005D3C6C" w:rsidP="005D3C6C">
      <w:pPr>
        <w:spacing w:line="276" w:lineRule="auto"/>
        <w:jc w:val="center"/>
        <w:rPr>
          <w:rFonts w:ascii="Calibri" w:hAnsi="Calibri" w:cs="Calibri"/>
          <w:color w:val="auto"/>
        </w:rPr>
      </w:pPr>
    </w:p>
    <w:p w14:paraId="5804DEF8" w14:textId="77777777" w:rsidR="00701E7F" w:rsidRPr="006D6934" w:rsidRDefault="00EC3554">
      <w:pPr>
        <w:spacing w:line="276" w:lineRule="auto"/>
        <w:jc w:val="both"/>
        <w:rPr>
          <w:rFonts w:ascii="Calibri" w:hAnsi="Calibri" w:cs="Calibri"/>
          <w:color w:val="auto"/>
          <w:sz w:val="16"/>
          <w:szCs w:val="16"/>
        </w:rPr>
      </w:pPr>
      <w:r w:rsidRPr="006D6934">
        <w:rPr>
          <w:rFonts w:ascii="Calibri" w:hAnsi="Calibri" w:cs="Calibri"/>
          <w:b/>
          <w:color w:val="auto"/>
        </w:rPr>
        <w:t>12) CRITÉRIOS DE ENCERRAMENTO OU SUSPENSÃO DA PESQUISA</w:t>
      </w:r>
    </w:p>
    <w:p w14:paraId="7EE34E04" w14:textId="77777777" w:rsidR="000424EB" w:rsidRPr="006D6934" w:rsidRDefault="000424EB" w:rsidP="000424EB">
      <w:pPr>
        <w:spacing w:line="276" w:lineRule="auto"/>
        <w:ind w:firstLine="708"/>
        <w:jc w:val="both"/>
        <w:rPr>
          <w:rFonts w:ascii="Calibri" w:hAnsi="Calibri" w:cs="Calibri"/>
          <w:color w:val="auto"/>
        </w:rPr>
      </w:pPr>
      <w:bookmarkStart w:id="0" w:name="__DdeLink__1168_807002169"/>
      <w:bookmarkEnd w:id="0"/>
    </w:p>
    <w:p w14:paraId="2474581C" w14:textId="77777777" w:rsidR="000424EB" w:rsidRPr="00514F4D" w:rsidRDefault="000424EB" w:rsidP="000424EB">
      <w:pPr>
        <w:spacing w:line="276" w:lineRule="auto"/>
        <w:ind w:firstLine="708"/>
        <w:jc w:val="both"/>
        <w:rPr>
          <w:rFonts w:ascii="Calibri" w:hAnsi="Calibri" w:cs="Calibri"/>
          <w:color w:val="auto"/>
        </w:rPr>
      </w:pPr>
      <w:r w:rsidRPr="00514F4D">
        <w:rPr>
          <w:rFonts w:ascii="Calibri" w:hAnsi="Calibri" w:cs="Calibri"/>
          <w:color w:val="auto"/>
        </w:rPr>
        <w:t>O estudo será suspenso ou encerrado imediatamente caso seja constatado algum dano, sejam eles de ordem física, psíquica, moral, intelectual, social, ideológica, cultural e espiritual ao ser humano no processo da pesquisa e/ou dela decorrente. Ou ainda se solicitado pelo Comitê de Ética em Pesquisa do HC-UFTM ou pela CONEP.</w:t>
      </w:r>
    </w:p>
    <w:p w14:paraId="17544496" w14:textId="63F56213" w:rsidR="00DB1BEB" w:rsidRPr="00514F4D" w:rsidRDefault="000424EB" w:rsidP="00B3037A">
      <w:pPr>
        <w:spacing w:line="276" w:lineRule="auto"/>
        <w:ind w:firstLine="708"/>
        <w:jc w:val="both"/>
        <w:rPr>
          <w:rFonts w:ascii="Calibri" w:hAnsi="Calibri" w:cs="Calibri"/>
          <w:color w:val="auto"/>
        </w:rPr>
      </w:pPr>
      <w:r w:rsidRPr="00514F4D">
        <w:rPr>
          <w:rFonts w:ascii="Calibri" w:hAnsi="Calibri" w:cs="Calibri"/>
          <w:color w:val="auto"/>
        </w:rPr>
        <w:t xml:space="preserve">Pretendemos ainda suspender o estudo caso as </w:t>
      </w:r>
      <w:r w:rsidR="00B253A1" w:rsidRPr="00514F4D">
        <w:rPr>
          <w:rFonts w:ascii="Calibri" w:hAnsi="Calibri" w:cs="Calibri"/>
          <w:color w:val="auto"/>
        </w:rPr>
        <w:t>participantes</w:t>
      </w:r>
      <w:r w:rsidRPr="00514F4D">
        <w:rPr>
          <w:rFonts w:ascii="Calibri" w:hAnsi="Calibri" w:cs="Calibri"/>
          <w:color w:val="auto"/>
        </w:rPr>
        <w:t xml:space="preserve"> apresentem alguma queixa ou piora no seu quadro clínico.</w:t>
      </w:r>
    </w:p>
    <w:p w14:paraId="16D7F2E8" w14:textId="77777777" w:rsidR="00DB1BEB" w:rsidRPr="00514F4D" w:rsidRDefault="00DB1BEB" w:rsidP="000424EB">
      <w:pPr>
        <w:spacing w:line="276" w:lineRule="auto"/>
        <w:ind w:firstLine="708"/>
        <w:jc w:val="both"/>
        <w:rPr>
          <w:rFonts w:ascii="Calibri" w:hAnsi="Calibri" w:cs="Calibri"/>
          <w:color w:val="auto"/>
        </w:rPr>
      </w:pPr>
    </w:p>
    <w:p w14:paraId="5A2E7BA3" w14:textId="567D0882" w:rsidR="00701E7F" w:rsidRPr="00514F4D" w:rsidRDefault="00EC3554" w:rsidP="000424EB">
      <w:pPr>
        <w:spacing w:line="276" w:lineRule="auto"/>
        <w:jc w:val="both"/>
        <w:rPr>
          <w:rFonts w:ascii="Calibri" w:hAnsi="Calibri" w:cs="Calibri"/>
          <w:color w:val="auto"/>
          <w:sz w:val="16"/>
          <w:szCs w:val="16"/>
        </w:rPr>
      </w:pPr>
      <w:r w:rsidRPr="00514F4D">
        <w:rPr>
          <w:rFonts w:ascii="Calibri" w:hAnsi="Calibri" w:cs="Calibri"/>
          <w:b/>
          <w:color w:val="auto"/>
        </w:rPr>
        <w:t>13) DIVULGAÇÃO DOS RESULTADOS DO ESTUDO</w:t>
      </w:r>
    </w:p>
    <w:p w14:paraId="2F225097" w14:textId="77777777" w:rsidR="00457F2D" w:rsidRPr="00514F4D" w:rsidRDefault="00457F2D">
      <w:pPr>
        <w:spacing w:line="276" w:lineRule="auto"/>
        <w:jc w:val="both"/>
        <w:rPr>
          <w:rFonts w:ascii="Calibri" w:hAnsi="Calibri" w:cs="Calibri"/>
          <w:color w:val="auto"/>
          <w:sz w:val="16"/>
          <w:szCs w:val="16"/>
        </w:rPr>
      </w:pPr>
    </w:p>
    <w:p w14:paraId="5E10837E" w14:textId="0CE0B05A" w:rsidR="00457F2D" w:rsidRPr="00514F4D" w:rsidRDefault="00457F2D" w:rsidP="00457F2D">
      <w:pPr>
        <w:spacing w:line="276" w:lineRule="auto"/>
        <w:ind w:firstLine="708"/>
        <w:jc w:val="both"/>
        <w:rPr>
          <w:rFonts w:ascii="Calibri" w:hAnsi="Calibri" w:cs="Calibri"/>
          <w:color w:val="auto"/>
        </w:rPr>
      </w:pPr>
      <w:r w:rsidRPr="00514F4D">
        <w:rPr>
          <w:rFonts w:ascii="Calibri" w:hAnsi="Calibri" w:cs="Calibri"/>
          <w:color w:val="auto"/>
        </w:rPr>
        <w:t>Ao final do estudo, todo material será apresentado em relatório final para o Comitê de Ética em Pesquisa da UFTM, bem como para os setores e unidades interessados nos resultados.</w:t>
      </w:r>
    </w:p>
    <w:p w14:paraId="22DA336E" w14:textId="64C49022" w:rsidR="00457F2D" w:rsidRPr="00514F4D" w:rsidRDefault="00457F2D" w:rsidP="00457F2D">
      <w:pPr>
        <w:spacing w:line="276" w:lineRule="auto"/>
        <w:ind w:firstLine="708"/>
        <w:jc w:val="both"/>
        <w:rPr>
          <w:rFonts w:ascii="Calibri" w:hAnsi="Calibri" w:cs="Calibri"/>
          <w:color w:val="auto"/>
        </w:rPr>
      </w:pPr>
      <w:r w:rsidRPr="00514F4D">
        <w:rPr>
          <w:rFonts w:ascii="Calibri" w:hAnsi="Calibri" w:cs="Calibri"/>
          <w:color w:val="auto"/>
        </w:rPr>
        <w:t xml:space="preserve">Os </w:t>
      </w:r>
      <w:r w:rsidR="00B24FEE" w:rsidRPr="00514F4D">
        <w:rPr>
          <w:rFonts w:ascii="Calibri" w:hAnsi="Calibri" w:cs="Calibri"/>
          <w:color w:val="auto"/>
        </w:rPr>
        <w:t>participantes</w:t>
      </w:r>
      <w:r w:rsidRPr="00514F4D">
        <w:rPr>
          <w:rFonts w:ascii="Calibri" w:hAnsi="Calibri" w:cs="Calibri"/>
          <w:color w:val="auto"/>
        </w:rPr>
        <w:t xml:space="preserve"> </w:t>
      </w:r>
      <w:proofErr w:type="spellStart"/>
      <w:r w:rsidRPr="00514F4D">
        <w:rPr>
          <w:rFonts w:ascii="Calibri" w:hAnsi="Calibri" w:cs="Calibri"/>
          <w:color w:val="auto"/>
        </w:rPr>
        <w:t>participantes</w:t>
      </w:r>
      <w:proofErr w:type="spellEnd"/>
      <w:r w:rsidRPr="00514F4D">
        <w:rPr>
          <w:rFonts w:ascii="Calibri" w:hAnsi="Calibri" w:cs="Calibri"/>
          <w:color w:val="auto"/>
        </w:rPr>
        <w:t xml:space="preserve"> da pesquisa serão informados sobre os resultados finais do estudo por meio de um relatório individual contendo a análise das avaliações basais e pós-terapia, bem como a conclusão do estudo referente aos grupos estudados.</w:t>
      </w:r>
    </w:p>
    <w:p w14:paraId="3A914F8B" w14:textId="77777777" w:rsidR="00457F2D" w:rsidRPr="00514F4D" w:rsidRDefault="00457F2D" w:rsidP="00457F2D">
      <w:pPr>
        <w:spacing w:line="276" w:lineRule="auto"/>
        <w:ind w:firstLine="708"/>
        <w:jc w:val="both"/>
        <w:rPr>
          <w:rFonts w:ascii="Calibri" w:hAnsi="Calibri" w:cs="Calibri"/>
          <w:color w:val="auto"/>
        </w:rPr>
      </w:pPr>
      <w:r w:rsidRPr="00514F4D">
        <w:rPr>
          <w:rFonts w:ascii="Calibri" w:hAnsi="Calibri" w:cs="Calibri"/>
          <w:color w:val="auto"/>
        </w:rPr>
        <w:t>Do mesmo modo, para apresentação dos resultados da pesquisa para a comunidade científica e leiga, resumos serão enviados para congressos no Brasil.</w:t>
      </w:r>
    </w:p>
    <w:p w14:paraId="527A8EF7" w14:textId="73A54802" w:rsidR="00457F2D" w:rsidRPr="00514F4D" w:rsidRDefault="00457F2D" w:rsidP="00457F2D">
      <w:pPr>
        <w:spacing w:line="276" w:lineRule="auto"/>
        <w:ind w:firstLine="708"/>
        <w:jc w:val="both"/>
        <w:rPr>
          <w:rFonts w:ascii="Calibri" w:hAnsi="Calibri" w:cs="Calibri"/>
          <w:color w:val="auto"/>
        </w:rPr>
      </w:pPr>
      <w:r w:rsidRPr="00514F4D">
        <w:rPr>
          <w:rFonts w:ascii="Calibri" w:hAnsi="Calibri" w:cs="Calibri"/>
          <w:color w:val="auto"/>
        </w:rPr>
        <w:t>Por fim, um artigo científico será submetido a uma revista de grande abrangência.</w:t>
      </w:r>
    </w:p>
    <w:p w14:paraId="5503425F" w14:textId="77777777" w:rsidR="00701E7F" w:rsidRPr="00CD01CD" w:rsidRDefault="00EC3554">
      <w:pPr>
        <w:spacing w:line="276" w:lineRule="auto"/>
        <w:jc w:val="both"/>
        <w:rPr>
          <w:color w:val="auto"/>
          <w:lang w:val="en-GB"/>
        </w:rPr>
      </w:pPr>
      <w:bookmarkStart w:id="1" w:name="__DdeLink__1168_8070021698"/>
      <w:bookmarkEnd w:id="1"/>
      <w:r w:rsidRPr="00CD01CD">
        <w:rPr>
          <w:rFonts w:ascii="Calibri" w:hAnsi="Calibri" w:cs="Calibri"/>
          <w:b/>
          <w:color w:val="auto"/>
          <w:lang w:val="en-GB"/>
        </w:rPr>
        <w:t xml:space="preserve">14) REFERÊNCIAS </w:t>
      </w:r>
    </w:p>
    <w:p w14:paraId="32E03A85" w14:textId="77777777" w:rsidR="002E70A5" w:rsidRPr="00CD01CD" w:rsidRDefault="002E70A5" w:rsidP="002E70A5">
      <w:pPr>
        <w:rPr>
          <w:rFonts w:ascii="Calibri" w:hAnsi="Calibri" w:cs="Calibri"/>
          <w:color w:val="auto"/>
          <w:lang w:val="en-GB"/>
        </w:rPr>
      </w:pPr>
    </w:p>
    <w:p w14:paraId="50ABC6AB" w14:textId="6E8DC631"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ABLIN, J.N.; BUSKILA, D. Fibromyalgia syndrome – Novel therapeutic targets. </w:t>
      </w:r>
      <w:proofErr w:type="spellStart"/>
      <w:r w:rsidRPr="00CD01CD">
        <w:rPr>
          <w:rFonts w:ascii="Calibri" w:hAnsi="Calibri" w:cs="Calibri"/>
          <w:color w:val="auto"/>
          <w:lang w:val="en-GB"/>
        </w:rPr>
        <w:t>Maturitas</w:t>
      </w:r>
      <w:proofErr w:type="spellEnd"/>
      <w:r w:rsidRPr="00CD01CD">
        <w:rPr>
          <w:rFonts w:ascii="Calibri" w:hAnsi="Calibri" w:cs="Calibri"/>
          <w:color w:val="auto"/>
          <w:lang w:val="en-GB"/>
        </w:rPr>
        <w:t>, v. 75, n. 4, p. 335-340, 2013.</w:t>
      </w:r>
    </w:p>
    <w:p w14:paraId="68F16509" w14:textId="77777777" w:rsidR="002E70A5" w:rsidRPr="00CD01CD" w:rsidRDefault="002E70A5" w:rsidP="002E70A5">
      <w:pPr>
        <w:rPr>
          <w:rFonts w:ascii="Calibri" w:hAnsi="Calibri" w:cs="Calibri"/>
          <w:color w:val="auto"/>
          <w:lang w:val="en-GB"/>
        </w:rPr>
      </w:pPr>
    </w:p>
    <w:p w14:paraId="0FBDFF16"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AFFAITATI, G. et al. Effects of treatment of peripheral pain generators in fibromyalgia patients. European journal of pain, v. 15, n. 1, p. 61-69, 2011.</w:t>
      </w:r>
    </w:p>
    <w:p w14:paraId="06EFA94A" w14:textId="77777777" w:rsidR="002E70A5" w:rsidRPr="00CD01CD" w:rsidRDefault="002E70A5" w:rsidP="002E70A5">
      <w:pPr>
        <w:rPr>
          <w:rFonts w:ascii="Calibri" w:hAnsi="Calibri" w:cs="Calibri"/>
          <w:color w:val="auto"/>
          <w:lang w:val="en-GB"/>
        </w:rPr>
      </w:pPr>
    </w:p>
    <w:p w14:paraId="333E3B7F"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ANGST, F. et al. Interdisciplinary rehabilitation in fibromyalgia and chronic back pain: a prospective outcome study. The Journal of Pain, v. 7, n. 11, p. 807-815, 2006.</w:t>
      </w:r>
    </w:p>
    <w:p w14:paraId="757D5924" w14:textId="77777777" w:rsidR="002E70A5" w:rsidRPr="00CD01CD" w:rsidRDefault="002E70A5" w:rsidP="002E70A5">
      <w:pPr>
        <w:rPr>
          <w:rFonts w:ascii="Calibri" w:hAnsi="Calibri" w:cs="Calibri"/>
          <w:color w:val="auto"/>
          <w:lang w:val="en-GB"/>
        </w:rPr>
      </w:pPr>
    </w:p>
    <w:p w14:paraId="64D1AA65"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lastRenderedPageBreak/>
        <w:t>ARNOLD, L.M. et al. An evidence-based review of pregabalin for the treatment of fibromyalgia. Current medical research and opinion, v. 34, n. 8, p. 1397-1409, 2018.</w:t>
      </w:r>
    </w:p>
    <w:p w14:paraId="5A82C952" w14:textId="77777777" w:rsidR="002E70A5" w:rsidRPr="00CD01CD" w:rsidRDefault="002E70A5" w:rsidP="002E70A5">
      <w:pPr>
        <w:rPr>
          <w:rFonts w:ascii="Calibri" w:hAnsi="Calibri" w:cs="Calibri"/>
          <w:color w:val="auto"/>
          <w:lang w:val="en-GB"/>
        </w:rPr>
      </w:pPr>
    </w:p>
    <w:p w14:paraId="66722674"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ARNOLD, L.M. Strategies for managing fibromyalgia. The American journal of medicine, v. 122, n. 12, p. S31-S43, 2009.</w:t>
      </w:r>
    </w:p>
    <w:p w14:paraId="443A1DE9" w14:textId="77777777" w:rsidR="002E70A5" w:rsidRPr="006D6934" w:rsidRDefault="002E70A5" w:rsidP="002E70A5">
      <w:pPr>
        <w:rPr>
          <w:rFonts w:ascii="Calibri" w:hAnsi="Calibri" w:cs="Calibri"/>
          <w:color w:val="auto"/>
        </w:rPr>
      </w:pPr>
      <w:r w:rsidRPr="006D6934">
        <w:rPr>
          <w:rFonts w:ascii="Calibri" w:hAnsi="Calibri" w:cs="Calibri"/>
          <w:color w:val="auto"/>
        </w:rPr>
        <w:t>BARNES, J.F. Liberação Miofascial. In: HAMMER W.I. Exame funcional dos tecidos moles e métodos manuais, novas perspectivas. 2.ed. Rio de Janeiro: Guanabara, 2003.</w:t>
      </w:r>
    </w:p>
    <w:p w14:paraId="049A5175" w14:textId="77777777" w:rsidR="002E70A5" w:rsidRPr="006D6934" w:rsidRDefault="002E70A5" w:rsidP="002E70A5">
      <w:pPr>
        <w:rPr>
          <w:rFonts w:ascii="Calibri" w:hAnsi="Calibri" w:cs="Calibri"/>
          <w:color w:val="auto"/>
        </w:rPr>
      </w:pPr>
    </w:p>
    <w:p w14:paraId="2F33B8DE"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BENNETT, R.M. et al. </w:t>
      </w:r>
      <w:r w:rsidRPr="00CD01CD">
        <w:rPr>
          <w:rFonts w:ascii="Calibri" w:hAnsi="Calibri" w:cs="Calibri"/>
          <w:color w:val="auto"/>
          <w:lang w:val="en-GB"/>
        </w:rPr>
        <w:t>Impact of fibromyalgia pain on health‐related quality of life before and after treatment with tramadol/acetaminophen. Arthritis &amp; Rheumatism: Official Journal of the American College of Rheumatology, v. 53, n. 4, p. 519-527, 2005.</w:t>
      </w:r>
    </w:p>
    <w:p w14:paraId="6E47DB70" w14:textId="77777777" w:rsidR="002E70A5" w:rsidRPr="00CD01CD" w:rsidRDefault="002E70A5" w:rsidP="002E70A5">
      <w:pPr>
        <w:rPr>
          <w:rFonts w:ascii="Calibri" w:hAnsi="Calibri" w:cs="Calibri"/>
          <w:color w:val="auto"/>
          <w:lang w:val="en-GB"/>
        </w:rPr>
      </w:pPr>
    </w:p>
    <w:p w14:paraId="55BA39C5"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BIDONDE, J. et al. Dance for adults with fibromyalgia—what do we know about It? Protocol for a scoping review. JMIR research protocols. v. 6, n. 2, p. 25, 2017. </w:t>
      </w:r>
    </w:p>
    <w:p w14:paraId="64470B90" w14:textId="77777777" w:rsidR="002E70A5" w:rsidRPr="00CD01CD" w:rsidRDefault="002E70A5" w:rsidP="002E70A5">
      <w:pPr>
        <w:rPr>
          <w:rFonts w:ascii="Calibri" w:hAnsi="Calibri" w:cs="Calibri"/>
          <w:color w:val="auto"/>
          <w:lang w:val="en-GB"/>
        </w:rPr>
      </w:pPr>
    </w:p>
    <w:p w14:paraId="14937AB7"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BRADY, D.M.; SCHNEIDER, M.J. Fibromyalgia syndrome: a new paradigm for differential diagnosis and treatment. J Manipulative </w:t>
      </w:r>
      <w:proofErr w:type="spellStart"/>
      <w:r w:rsidRPr="00CD01CD">
        <w:rPr>
          <w:rFonts w:ascii="Calibri" w:hAnsi="Calibri" w:cs="Calibri"/>
          <w:color w:val="auto"/>
          <w:lang w:val="en-GB"/>
        </w:rPr>
        <w:t>Physiol</w:t>
      </w:r>
      <w:proofErr w:type="spellEnd"/>
      <w:r w:rsidRPr="00CD01CD">
        <w:rPr>
          <w:rFonts w:ascii="Calibri" w:hAnsi="Calibri" w:cs="Calibri"/>
          <w:color w:val="auto"/>
          <w:lang w:val="en-GB"/>
        </w:rPr>
        <w:t xml:space="preserve"> </w:t>
      </w:r>
      <w:proofErr w:type="spellStart"/>
      <w:r w:rsidRPr="00CD01CD">
        <w:rPr>
          <w:rFonts w:ascii="Calibri" w:hAnsi="Calibri" w:cs="Calibri"/>
          <w:color w:val="auto"/>
          <w:lang w:val="en-GB"/>
        </w:rPr>
        <w:t>Ther</w:t>
      </w:r>
      <w:proofErr w:type="spellEnd"/>
      <w:r w:rsidRPr="00CD01CD">
        <w:rPr>
          <w:rFonts w:ascii="Calibri" w:hAnsi="Calibri" w:cs="Calibri"/>
          <w:color w:val="auto"/>
          <w:lang w:val="en-GB"/>
        </w:rPr>
        <w:t>, v. 24, n. 8, p. 529-541, 2001.</w:t>
      </w:r>
    </w:p>
    <w:p w14:paraId="78D78B6E" w14:textId="77777777" w:rsidR="002E70A5" w:rsidRPr="00CD01CD" w:rsidRDefault="002E70A5" w:rsidP="002E70A5">
      <w:pPr>
        <w:rPr>
          <w:rFonts w:ascii="Calibri" w:hAnsi="Calibri" w:cs="Calibri"/>
          <w:color w:val="auto"/>
          <w:lang w:val="en-GB"/>
        </w:rPr>
      </w:pPr>
    </w:p>
    <w:p w14:paraId="000CE9B6"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BRAZ, A.S. et al. </w:t>
      </w:r>
      <w:r w:rsidRPr="006D6934">
        <w:rPr>
          <w:rFonts w:ascii="Calibri" w:hAnsi="Calibri" w:cs="Calibri"/>
          <w:color w:val="auto"/>
        </w:rPr>
        <w:t>Terapia não farmacológica e medicina complementar e alternativa na fibromialgia. Revista Brasileira de Reumatologia , v. 51, p. 275-282, 2011.</w:t>
      </w:r>
    </w:p>
    <w:p w14:paraId="0A6E8A11" w14:textId="77777777" w:rsidR="002E70A5" w:rsidRPr="006D6934" w:rsidRDefault="002E70A5" w:rsidP="002E70A5">
      <w:pPr>
        <w:rPr>
          <w:rFonts w:ascii="Calibri" w:hAnsi="Calibri" w:cs="Calibri"/>
          <w:color w:val="auto"/>
        </w:rPr>
      </w:pPr>
    </w:p>
    <w:p w14:paraId="4DB36254"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BURCKHARDT, C. S. et al. </w:t>
      </w:r>
      <w:r w:rsidRPr="00CD01CD">
        <w:rPr>
          <w:rFonts w:ascii="Calibri" w:hAnsi="Calibri" w:cs="Calibri"/>
          <w:color w:val="auto"/>
          <w:lang w:val="en-GB"/>
        </w:rPr>
        <w:t>Guideline for the management of fibromyalgia syndrome pain in adults and children. APS clinical practice guidelines series, n. 4, 2005.</w:t>
      </w:r>
    </w:p>
    <w:p w14:paraId="75D001D4" w14:textId="77777777" w:rsidR="002E70A5" w:rsidRPr="00CD01CD" w:rsidRDefault="002E70A5" w:rsidP="002E70A5">
      <w:pPr>
        <w:rPr>
          <w:rFonts w:ascii="Calibri" w:hAnsi="Calibri" w:cs="Calibri"/>
          <w:color w:val="auto"/>
          <w:lang w:val="en-GB"/>
        </w:rPr>
      </w:pPr>
    </w:p>
    <w:p w14:paraId="47E31D6C"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CARR, A.J.; THOMPSON, P.W.; KIRWAN, J.R. Outcome Series Editors: Dl Scott And A. Silman: Quality Of Life Measures. Rheumatology, v. 35, n. 3, p. 275-281, 1996. </w:t>
      </w:r>
    </w:p>
    <w:p w14:paraId="6EEC985D" w14:textId="77777777" w:rsidR="002E70A5" w:rsidRPr="00CD01CD" w:rsidRDefault="002E70A5" w:rsidP="002E70A5">
      <w:pPr>
        <w:rPr>
          <w:rFonts w:ascii="Calibri" w:hAnsi="Calibri" w:cs="Calibri"/>
          <w:color w:val="auto"/>
          <w:lang w:val="en-GB"/>
        </w:rPr>
      </w:pPr>
    </w:p>
    <w:p w14:paraId="059E29B7"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CARVILLE, S.F. et al. EULAR evidence-based recommendations for the management of fibromyalgia syndrome. Annals of the rheumatic diseases, v. 67, n. 4, p. 536-541, 2008.</w:t>
      </w:r>
    </w:p>
    <w:p w14:paraId="1FB3039C" w14:textId="77777777" w:rsidR="002E70A5" w:rsidRPr="00CD01CD" w:rsidRDefault="002E70A5" w:rsidP="002E70A5">
      <w:pPr>
        <w:rPr>
          <w:rFonts w:ascii="Calibri" w:hAnsi="Calibri" w:cs="Calibri"/>
          <w:color w:val="auto"/>
          <w:lang w:val="en-GB"/>
        </w:rPr>
      </w:pPr>
    </w:p>
    <w:p w14:paraId="319E3F01"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CASSAR, MP. </w:t>
      </w:r>
      <w:r w:rsidRPr="006D6934">
        <w:rPr>
          <w:rFonts w:ascii="Calibri" w:hAnsi="Calibri" w:cs="Calibri"/>
          <w:color w:val="auto"/>
        </w:rPr>
        <w:t>Manual de Massagem Terapêutica: Um guia completo de massoterapia para o estudante e para o terapeuta. 1.ed. Barueri: Manole, 2001. P. 77-86.</w:t>
      </w:r>
    </w:p>
    <w:p w14:paraId="1EE3E035" w14:textId="77777777" w:rsidR="002E70A5" w:rsidRPr="006D6934" w:rsidRDefault="002E70A5" w:rsidP="002E70A5">
      <w:pPr>
        <w:rPr>
          <w:rFonts w:ascii="Calibri" w:hAnsi="Calibri" w:cs="Calibri"/>
          <w:color w:val="auto"/>
        </w:rPr>
      </w:pPr>
    </w:p>
    <w:p w14:paraId="271D18BD"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COLLADO, A. et al. Documento de consenso sobre </w:t>
      </w:r>
      <w:proofErr w:type="spellStart"/>
      <w:r w:rsidRPr="006D6934">
        <w:rPr>
          <w:rFonts w:ascii="Calibri" w:hAnsi="Calibri" w:cs="Calibri"/>
          <w:color w:val="auto"/>
        </w:rPr>
        <w:t>el</w:t>
      </w:r>
      <w:proofErr w:type="spellEnd"/>
      <w:r w:rsidRPr="006D6934">
        <w:rPr>
          <w:rFonts w:ascii="Calibri" w:hAnsi="Calibri" w:cs="Calibri"/>
          <w:color w:val="auto"/>
        </w:rPr>
        <w:t xml:space="preserve"> diagnóstico y </w:t>
      </w:r>
      <w:proofErr w:type="spellStart"/>
      <w:r w:rsidRPr="006D6934">
        <w:rPr>
          <w:rFonts w:ascii="Calibri" w:hAnsi="Calibri" w:cs="Calibri"/>
          <w:color w:val="auto"/>
        </w:rPr>
        <w:t>tratamiento</w:t>
      </w:r>
      <w:proofErr w:type="spellEnd"/>
      <w:r w:rsidRPr="006D6934">
        <w:rPr>
          <w:rFonts w:ascii="Calibri" w:hAnsi="Calibri" w:cs="Calibri"/>
          <w:color w:val="auto"/>
        </w:rPr>
        <w:t xml:space="preserve"> de </w:t>
      </w:r>
      <w:proofErr w:type="spellStart"/>
      <w:r w:rsidRPr="006D6934">
        <w:rPr>
          <w:rFonts w:ascii="Calibri" w:hAnsi="Calibri" w:cs="Calibri"/>
          <w:color w:val="auto"/>
        </w:rPr>
        <w:t>la</w:t>
      </w:r>
      <w:proofErr w:type="spellEnd"/>
      <w:r w:rsidRPr="006D6934">
        <w:rPr>
          <w:rFonts w:ascii="Calibri" w:hAnsi="Calibri" w:cs="Calibri"/>
          <w:color w:val="auto"/>
        </w:rPr>
        <w:t xml:space="preserve"> fibromialgia </w:t>
      </w:r>
      <w:proofErr w:type="spellStart"/>
      <w:r w:rsidRPr="006D6934">
        <w:rPr>
          <w:rFonts w:ascii="Calibri" w:hAnsi="Calibri" w:cs="Calibri"/>
          <w:color w:val="auto"/>
        </w:rPr>
        <w:t>en</w:t>
      </w:r>
      <w:proofErr w:type="spellEnd"/>
      <w:r w:rsidRPr="006D6934">
        <w:rPr>
          <w:rFonts w:ascii="Calibri" w:hAnsi="Calibri" w:cs="Calibri"/>
          <w:color w:val="auto"/>
        </w:rPr>
        <w:t xml:space="preserve"> </w:t>
      </w:r>
      <w:proofErr w:type="spellStart"/>
      <w:r w:rsidRPr="006D6934">
        <w:rPr>
          <w:rFonts w:ascii="Calibri" w:hAnsi="Calibri" w:cs="Calibri"/>
          <w:color w:val="auto"/>
        </w:rPr>
        <w:t>Cataluña</w:t>
      </w:r>
      <w:proofErr w:type="spellEnd"/>
      <w:r w:rsidRPr="006D6934">
        <w:rPr>
          <w:rFonts w:ascii="Calibri" w:hAnsi="Calibri" w:cs="Calibri"/>
          <w:color w:val="auto"/>
        </w:rPr>
        <w:t xml:space="preserve">. </w:t>
      </w:r>
      <w:proofErr w:type="spellStart"/>
      <w:r w:rsidRPr="00CD01CD">
        <w:rPr>
          <w:rFonts w:ascii="Calibri" w:hAnsi="Calibri" w:cs="Calibri"/>
          <w:color w:val="auto"/>
          <w:lang w:val="en-GB"/>
        </w:rPr>
        <w:t>Medicina</w:t>
      </w:r>
      <w:proofErr w:type="spellEnd"/>
      <w:r w:rsidRPr="00CD01CD">
        <w:rPr>
          <w:rFonts w:ascii="Calibri" w:hAnsi="Calibri" w:cs="Calibri"/>
          <w:color w:val="auto"/>
          <w:lang w:val="en-GB"/>
        </w:rPr>
        <w:t xml:space="preserve"> </w:t>
      </w:r>
      <w:proofErr w:type="spellStart"/>
      <w:r w:rsidRPr="00CD01CD">
        <w:rPr>
          <w:rFonts w:ascii="Calibri" w:hAnsi="Calibri" w:cs="Calibri"/>
          <w:color w:val="auto"/>
          <w:lang w:val="en-GB"/>
        </w:rPr>
        <w:t>Clínica</w:t>
      </w:r>
      <w:proofErr w:type="spellEnd"/>
      <w:r w:rsidRPr="00CD01CD">
        <w:rPr>
          <w:rFonts w:ascii="Calibri" w:hAnsi="Calibri" w:cs="Calibri"/>
          <w:color w:val="auto"/>
          <w:lang w:val="en-GB"/>
        </w:rPr>
        <w:t>, v. 118, n. 19, p. 745-749, 2002.</w:t>
      </w:r>
    </w:p>
    <w:p w14:paraId="224AC914" w14:textId="77777777" w:rsidR="002E70A5" w:rsidRPr="00CD01CD" w:rsidRDefault="002E70A5" w:rsidP="002E70A5">
      <w:pPr>
        <w:rPr>
          <w:rFonts w:ascii="Calibri" w:hAnsi="Calibri" w:cs="Calibri"/>
          <w:color w:val="auto"/>
          <w:lang w:val="en-GB"/>
        </w:rPr>
      </w:pPr>
    </w:p>
    <w:p w14:paraId="2A10C382"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CONSOLI, G. et al. The impact of mood, anxiety, and sleep disorders on fibromyalgia. </w:t>
      </w:r>
      <w:proofErr w:type="spellStart"/>
      <w:r w:rsidRPr="006D6934">
        <w:rPr>
          <w:rFonts w:ascii="Calibri" w:hAnsi="Calibri" w:cs="Calibri"/>
          <w:color w:val="auto"/>
        </w:rPr>
        <w:t>Comprehensive</w:t>
      </w:r>
      <w:proofErr w:type="spellEnd"/>
      <w:r w:rsidRPr="006D6934">
        <w:rPr>
          <w:rFonts w:ascii="Calibri" w:hAnsi="Calibri" w:cs="Calibri"/>
          <w:color w:val="auto"/>
        </w:rPr>
        <w:t xml:space="preserve"> </w:t>
      </w:r>
      <w:proofErr w:type="spellStart"/>
      <w:r w:rsidRPr="006D6934">
        <w:rPr>
          <w:rFonts w:ascii="Calibri" w:hAnsi="Calibri" w:cs="Calibri"/>
          <w:color w:val="auto"/>
        </w:rPr>
        <w:t>psychiatry</w:t>
      </w:r>
      <w:proofErr w:type="spellEnd"/>
      <w:r w:rsidRPr="006D6934">
        <w:rPr>
          <w:rFonts w:ascii="Calibri" w:hAnsi="Calibri" w:cs="Calibri"/>
          <w:color w:val="auto"/>
        </w:rPr>
        <w:t>, v. 53, n. 7, p. 962-967, 2012.</w:t>
      </w:r>
    </w:p>
    <w:p w14:paraId="60291164" w14:textId="77777777" w:rsidR="002E70A5" w:rsidRPr="006D6934" w:rsidRDefault="002E70A5" w:rsidP="002E70A5">
      <w:pPr>
        <w:rPr>
          <w:rFonts w:ascii="Calibri" w:hAnsi="Calibri" w:cs="Calibri"/>
          <w:color w:val="auto"/>
        </w:rPr>
      </w:pPr>
    </w:p>
    <w:p w14:paraId="228D07E4"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CRISTO, V.V.; ANDRADE, C.V.C.; GAVI, M.B.R.O. Epidemiologia da fibromialgia. In: RANZOLIN, A.; CHIUCHETTA, F.A.; HEYMAN, R.E. Dores musculoesqueléticas localizadas e difusas. 2.ed. São Paulo: </w:t>
      </w:r>
      <w:proofErr w:type="spellStart"/>
      <w:r w:rsidRPr="006D6934">
        <w:rPr>
          <w:rFonts w:ascii="Calibri" w:hAnsi="Calibri" w:cs="Calibri"/>
          <w:color w:val="auto"/>
        </w:rPr>
        <w:t>Planmark</w:t>
      </w:r>
      <w:proofErr w:type="spellEnd"/>
      <w:r w:rsidRPr="006D6934">
        <w:rPr>
          <w:rFonts w:ascii="Calibri" w:hAnsi="Calibri" w:cs="Calibri"/>
          <w:color w:val="auto"/>
        </w:rPr>
        <w:t>, 2017. p. 40-5.</w:t>
      </w:r>
    </w:p>
    <w:p w14:paraId="17747226" w14:textId="77777777" w:rsidR="002E70A5" w:rsidRPr="006D6934" w:rsidRDefault="002E70A5" w:rsidP="002E70A5">
      <w:pPr>
        <w:rPr>
          <w:rFonts w:ascii="Calibri" w:hAnsi="Calibri" w:cs="Calibri"/>
          <w:color w:val="auto"/>
        </w:rPr>
      </w:pPr>
    </w:p>
    <w:p w14:paraId="694BD7BF"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DOMICIANO, D.S.; PONTES FILHO, M.A.G. Fibromialgia. </w:t>
      </w:r>
      <w:r w:rsidRPr="00CD01CD">
        <w:rPr>
          <w:rFonts w:ascii="Calibri" w:hAnsi="Calibri" w:cs="Calibri"/>
          <w:color w:val="auto"/>
          <w:lang w:val="en-GB"/>
        </w:rPr>
        <w:t xml:space="preserve">In: MARTINS, M.M. et al. </w:t>
      </w:r>
      <w:r w:rsidRPr="006D6934">
        <w:rPr>
          <w:rFonts w:ascii="Calibri" w:hAnsi="Calibri" w:cs="Calibri"/>
          <w:color w:val="auto"/>
        </w:rPr>
        <w:t>Clínica médica. 2.ed. Barueri: Manole; 2016. v. 5. p. 606-13.</w:t>
      </w:r>
    </w:p>
    <w:p w14:paraId="1DA0A037" w14:textId="77777777" w:rsidR="002E70A5" w:rsidRPr="006D6934" w:rsidRDefault="002E70A5" w:rsidP="002E70A5">
      <w:pPr>
        <w:rPr>
          <w:rFonts w:ascii="Calibri" w:hAnsi="Calibri" w:cs="Calibri"/>
          <w:color w:val="auto"/>
        </w:rPr>
      </w:pPr>
    </w:p>
    <w:p w14:paraId="362F320D"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ERICSSON, A. et al. </w:t>
      </w:r>
      <w:r w:rsidRPr="00CD01CD">
        <w:rPr>
          <w:rFonts w:ascii="Calibri" w:hAnsi="Calibri" w:cs="Calibri"/>
          <w:color w:val="auto"/>
          <w:lang w:val="en-GB"/>
        </w:rPr>
        <w:t>Resistance exercise improves physical fatigue in women with fibromyalgia: a randomized controlled trial. Arthritis research &amp; therapy, v. 18, n. 1, p. 1-12, 2016.</w:t>
      </w:r>
    </w:p>
    <w:p w14:paraId="4B9FEEEB" w14:textId="77777777" w:rsidR="002E70A5" w:rsidRPr="00CD01CD" w:rsidRDefault="002E70A5" w:rsidP="002E70A5">
      <w:pPr>
        <w:rPr>
          <w:rFonts w:ascii="Calibri" w:hAnsi="Calibri" w:cs="Calibri"/>
          <w:color w:val="auto"/>
          <w:lang w:val="en-GB"/>
        </w:rPr>
      </w:pPr>
    </w:p>
    <w:p w14:paraId="519D912D"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FERRAZ, M.B. et al. Reliability of pain scales in the assessment of literate and illiterate patients with rheumatoid arthritis. The Journal of rheumatology, v. 17, n. 8, p. 1022-1024, 1990.</w:t>
      </w:r>
    </w:p>
    <w:p w14:paraId="24D74317" w14:textId="77777777" w:rsidR="002E70A5" w:rsidRPr="00CD01CD" w:rsidRDefault="002E70A5" w:rsidP="002E70A5">
      <w:pPr>
        <w:rPr>
          <w:rFonts w:ascii="Calibri" w:hAnsi="Calibri" w:cs="Calibri"/>
          <w:color w:val="auto"/>
          <w:lang w:val="en-GB"/>
        </w:rPr>
      </w:pPr>
    </w:p>
    <w:p w14:paraId="713597BA"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lastRenderedPageBreak/>
        <w:t>FITZCHARLES, M.A. et al. Canadian Guidelines for the diagnosis and management of fibromyalgia syndrome: executive summary. Vol. 18. Pain Research &amp; Management, v. 2013, p. 119-126, 2012.</w:t>
      </w:r>
    </w:p>
    <w:p w14:paraId="300ABAA0" w14:textId="77777777" w:rsidR="002E70A5" w:rsidRPr="00CD01CD" w:rsidRDefault="002E70A5" w:rsidP="002E70A5">
      <w:pPr>
        <w:rPr>
          <w:rFonts w:ascii="Calibri" w:hAnsi="Calibri" w:cs="Calibri"/>
          <w:color w:val="auto"/>
          <w:lang w:val="en-GB"/>
        </w:rPr>
      </w:pPr>
    </w:p>
    <w:p w14:paraId="26A64FF0"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GOLDENBERG, D. et al. A randomized, double‐blind crossover trial of fluoxetine and amitriptyline in the treatment of fibromyalgia. Arthritis &amp; Rheumatism, v. 39, n. 11, p. 1852-1859, 1996.</w:t>
      </w:r>
    </w:p>
    <w:p w14:paraId="55556C6C" w14:textId="77777777" w:rsidR="002E70A5" w:rsidRPr="00CD01CD" w:rsidRDefault="002E70A5" w:rsidP="002E70A5">
      <w:pPr>
        <w:rPr>
          <w:rFonts w:ascii="Calibri" w:hAnsi="Calibri" w:cs="Calibri"/>
          <w:color w:val="auto"/>
          <w:lang w:val="en-GB"/>
        </w:rPr>
      </w:pPr>
    </w:p>
    <w:p w14:paraId="492D5AF4"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HEYMANN, R.; HELFENSTEIN, M.; FELDMAN, D. </w:t>
      </w:r>
      <w:proofErr w:type="spellStart"/>
      <w:r w:rsidRPr="00CD01CD">
        <w:rPr>
          <w:rFonts w:ascii="Calibri" w:hAnsi="Calibri" w:cs="Calibri"/>
          <w:color w:val="auto"/>
          <w:lang w:val="en-GB"/>
        </w:rPr>
        <w:t>Fibromialgia</w:t>
      </w:r>
      <w:proofErr w:type="spellEnd"/>
      <w:r w:rsidRPr="00CD01CD">
        <w:rPr>
          <w:rFonts w:ascii="Calibri" w:hAnsi="Calibri" w:cs="Calibri"/>
          <w:color w:val="auto"/>
          <w:lang w:val="en-GB"/>
        </w:rPr>
        <w:t xml:space="preserve">. </w:t>
      </w:r>
      <w:r w:rsidRPr="006D6934">
        <w:rPr>
          <w:rFonts w:ascii="Calibri" w:hAnsi="Calibri" w:cs="Calibri"/>
          <w:color w:val="auto"/>
        </w:rPr>
        <w:t>In: Atualização Terapêutica. 21. ed. São Paulo: Artes Médicas, 2003. p. 1641.</w:t>
      </w:r>
    </w:p>
    <w:p w14:paraId="6C0715CF" w14:textId="77777777" w:rsidR="002E70A5" w:rsidRPr="006D6934" w:rsidRDefault="002E70A5" w:rsidP="002E70A5">
      <w:pPr>
        <w:rPr>
          <w:rFonts w:ascii="Calibri" w:hAnsi="Calibri" w:cs="Calibri"/>
          <w:color w:val="auto"/>
        </w:rPr>
      </w:pPr>
    </w:p>
    <w:p w14:paraId="66DC97DD"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KIA, S.; CHOY, E. Update on treatment guideline in fibromyalgia syndrome with focus on pharmacology. Biomedicines, v. 5, n. 2, p. 20, 2017.</w:t>
      </w:r>
    </w:p>
    <w:p w14:paraId="37BAE841" w14:textId="77777777" w:rsidR="002E70A5" w:rsidRPr="00CD01CD" w:rsidRDefault="002E70A5" w:rsidP="002E70A5">
      <w:pPr>
        <w:rPr>
          <w:rFonts w:ascii="Calibri" w:hAnsi="Calibri" w:cs="Calibri"/>
          <w:color w:val="auto"/>
          <w:lang w:val="en-GB"/>
        </w:rPr>
      </w:pPr>
    </w:p>
    <w:p w14:paraId="186CDFD4"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LARSON, A.A. et al. Changes in the concentrations of amino acids in the cerebrospinal fluid that correlate with pain in patients with fibromyalgia: implications for nitric oxide pathways. Pain, v. 87, n. 2, p. 201-211, 2000.</w:t>
      </w:r>
    </w:p>
    <w:p w14:paraId="23D3962B" w14:textId="77777777" w:rsidR="002E70A5" w:rsidRPr="00CD01CD" w:rsidRDefault="002E70A5" w:rsidP="002E70A5">
      <w:pPr>
        <w:rPr>
          <w:rFonts w:ascii="Calibri" w:hAnsi="Calibri" w:cs="Calibri"/>
          <w:color w:val="auto"/>
          <w:lang w:val="en-GB"/>
        </w:rPr>
      </w:pPr>
    </w:p>
    <w:p w14:paraId="0734B469"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LIPTAN, G. et al. A pilot study of myofascial release therapy compared to Swedish massage in fibromyalgia. Journal of bodywork and movement therapies, v. 17, n. 3, p. 365-370, 2013.</w:t>
      </w:r>
    </w:p>
    <w:p w14:paraId="0BF9C9E2" w14:textId="77777777" w:rsidR="002E70A5" w:rsidRPr="00CD01CD" w:rsidRDefault="002E70A5" w:rsidP="002E70A5">
      <w:pPr>
        <w:rPr>
          <w:rFonts w:ascii="Calibri" w:hAnsi="Calibri" w:cs="Calibri"/>
          <w:color w:val="auto"/>
          <w:lang w:val="en-GB"/>
        </w:rPr>
      </w:pPr>
    </w:p>
    <w:p w14:paraId="08C29D40"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LUNN, M.P.T.; HUGHES, R.A.C.; WIFFEN, P.J. Duloxetine for treating painful neuropathy, chronic pain or fibromyalgia. Cochrane Database of Systematic Reviews, n. 1, 2014.</w:t>
      </w:r>
    </w:p>
    <w:p w14:paraId="2D1751EE" w14:textId="77777777" w:rsidR="002E70A5" w:rsidRPr="00CD01CD" w:rsidRDefault="002E70A5" w:rsidP="002E70A5">
      <w:pPr>
        <w:rPr>
          <w:rFonts w:ascii="Calibri" w:hAnsi="Calibri" w:cs="Calibri"/>
          <w:color w:val="auto"/>
          <w:lang w:val="en-GB"/>
        </w:rPr>
      </w:pPr>
    </w:p>
    <w:p w14:paraId="72AEDB58"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MARIA, S. S. de et al. </w:t>
      </w:r>
      <w:r w:rsidRPr="006D6934">
        <w:rPr>
          <w:rFonts w:ascii="Calibri" w:hAnsi="Calibri" w:cs="Calibri"/>
          <w:color w:val="auto"/>
        </w:rPr>
        <w:t>Fibromialgia e Suas Possibilidades Terapêuticas. In: CAMPANHOLI, L.L. Fundamentos e Práticas da Fisioterapia. 4. ed. Ponta Grossa: Atena, 2018. Cap. 10. p. 104-114.</w:t>
      </w:r>
    </w:p>
    <w:p w14:paraId="3921AE8A" w14:textId="77777777" w:rsidR="002E70A5" w:rsidRPr="006D6934" w:rsidRDefault="002E70A5" w:rsidP="002E70A5">
      <w:pPr>
        <w:rPr>
          <w:rFonts w:ascii="Calibri" w:hAnsi="Calibri" w:cs="Calibri"/>
          <w:color w:val="auto"/>
        </w:rPr>
      </w:pPr>
    </w:p>
    <w:p w14:paraId="5C31A971"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MARQUES, A.P. et al. A fisioterapia no tratamento de pacientes com fibromialgia: uma revisão da literatura. </w:t>
      </w:r>
      <w:proofErr w:type="spellStart"/>
      <w:r w:rsidRPr="006D6934">
        <w:rPr>
          <w:rFonts w:ascii="Calibri" w:hAnsi="Calibri" w:cs="Calibri"/>
          <w:color w:val="auto"/>
        </w:rPr>
        <w:t>Rev</w:t>
      </w:r>
      <w:proofErr w:type="spellEnd"/>
      <w:r w:rsidRPr="006D6934">
        <w:rPr>
          <w:rFonts w:ascii="Calibri" w:hAnsi="Calibri" w:cs="Calibri"/>
          <w:color w:val="auto"/>
        </w:rPr>
        <w:t xml:space="preserve"> </w:t>
      </w:r>
      <w:proofErr w:type="spellStart"/>
      <w:r w:rsidRPr="006D6934">
        <w:rPr>
          <w:rFonts w:ascii="Calibri" w:hAnsi="Calibri" w:cs="Calibri"/>
          <w:color w:val="auto"/>
        </w:rPr>
        <w:t>Bras</w:t>
      </w:r>
      <w:proofErr w:type="spellEnd"/>
      <w:r w:rsidRPr="006D6934">
        <w:rPr>
          <w:rFonts w:ascii="Calibri" w:hAnsi="Calibri" w:cs="Calibri"/>
          <w:color w:val="auto"/>
        </w:rPr>
        <w:t xml:space="preserve"> </w:t>
      </w:r>
      <w:proofErr w:type="spellStart"/>
      <w:r w:rsidRPr="006D6934">
        <w:rPr>
          <w:rFonts w:ascii="Calibri" w:hAnsi="Calibri" w:cs="Calibri"/>
          <w:color w:val="auto"/>
        </w:rPr>
        <w:t>Reumatol</w:t>
      </w:r>
      <w:proofErr w:type="spellEnd"/>
      <w:r w:rsidRPr="006D6934">
        <w:rPr>
          <w:rFonts w:ascii="Calibri" w:hAnsi="Calibri" w:cs="Calibri"/>
          <w:color w:val="auto"/>
        </w:rPr>
        <w:t>, v. 42, n. 1, p. 42-8, 2002.</w:t>
      </w:r>
    </w:p>
    <w:p w14:paraId="783E2E90" w14:textId="77777777" w:rsidR="002E70A5" w:rsidRPr="006D6934" w:rsidRDefault="002E70A5" w:rsidP="002E70A5">
      <w:pPr>
        <w:rPr>
          <w:rFonts w:ascii="Calibri" w:hAnsi="Calibri" w:cs="Calibri"/>
          <w:color w:val="auto"/>
        </w:rPr>
      </w:pPr>
    </w:p>
    <w:p w14:paraId="048D3457"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MARQUES, A.P. et al. Avaliação e tratamento da fibromialgia em atletas. In: MENDONÇA L.M, OLIVEIRA R.R. Sociedade Nacional de Fisioterapia Esportiva. PROFISIO – Programa de atualização em Fisioterapia Esportiva e </w:t>
      </w:r>
      <w:proofErr w:type="spellStart"/>
      <w:r w:rsidRPr="006D6934">
        <w:rPr>
          <w:rFonts w:ascii="Calibri" w:hAnsi="Calibri" w:cs="Calibri"/>
          <w:color w:val="auto"/>
        </w:rPr>
        <w:t>Traumato</w:t>
      </w:r>
      <w:proofErr w:type="spellEnd"/>
      <w:r w:rsidRPr="006D6934">
        <w:rPr>
          <w:rFonts w:ascii="Calibri" w:hAnsi="Calibri" w:cs="Calibri"/>
          <w:color w:val="auto"/>
        </w:rPr>
        <w:t xml:space="preserve">-Ortopédica: Ciclo 4. Porto Alegre: Artmed </w:t>
      </w:r>
      <w:proofErr w:type="spellStart"/>
      <w:r w:rsidRPr="006D6934">
        <w:rPr>
          <w:rFonts w:ascii="Calibri" w:hAnsi="Calibri" w:cs="Calibri"/>
          <w:color w:val="auto"/>
        </w:rPr>
        <w:t>Panamerica</w:t>
      </w:r>
      <w:proofErr w:type="spellEnd"/>
      <w:r w:rsidRPr="006D6934">
        <w:rPr>
          <w:rFonts w:ascii="Calibri" w:hAnsi="Calibri" w:cs="Calibri"/>
          <w:color w:val="auto"/>
        </w:rPr>
        <w:t>; 2014. p. 99-161.</w:t>
      </w:r>
    </w:p>
    <w:p w14:paraId="381DA1FB" w14:textId="77777777" w:rsidR="002E70A5" w:rsidRPr="006D6934" w:rsidRDefault="002E70A5" w:rsidP="002E70A5">
      <w:pPr>
        <w:rPr>
          <w:rFonts w:ascii="Calibri" w:hAnsi="Calibri" w:cs="Calibri"/>
          <w:color w:val="auto"/>
        </w:rPr>
      </w:pPr>
    </w:p>
    <w:p w14:paraId="63DBF2BF"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MARTINEZ, J.E. et al. </w:t>
      </w:r>
      <w:proofErr w:type="spellStart"/>
      <w:r w:rsidRPr="006D6934">
        <w:rPr>
          <w:rFonts w:ascii="Calibri" w:hAnsi="Calibri" w:cs="Calibri"/>
          <w:color w:val="auto"/>
        </w:rPr>
        <w:t>EpiFibro</w:t>
      </w:r>
      <w:proofErr w:type="spellEnd"/>
      <w:r w:rsidRPr="006D6934">
        <w:rPr>
          <w:rFonts w:ascii="Calibri" w:hAnsi="Calibri" w:cs="Calibri"/>
          <w:color w:val="auto"/>
        </w:rPr>
        <w:t xml:space="preserve"> (Registro Brasileiro de Fibromialgia): dados sobre a classificação do ACR e preenchimento dos critérios diagnósticos preliminares e avaliação de seguimento. </w:t>
      </w:r>
      <w:proofErr w:type="spellStart"/>
      <w:r w:rsidRPr="006D6934">
        <w:rPr>
          <w:rFonts w:ascii="Calibri" w:hAnsi="Calibri" w:cs="Calibri"/>
          <w:color w:val="auto"/>
        </w:rPr>
        <w:t>Rev</w:t>
      </w:r>
      <w:proofErr w:type="spellEnd"/>
      <w:r w:rsidRPr="006D6934">
        <w:rPr>
          <w:rFonts w:ascii="Calibri" w:hAnsi="Calibri" w:cs="Calibri"/>
          <w:color w:val="auto"/>
        </w:rPr>
        <w:t xml:space="preserve"> </w:t>
      </w:r>
      <w:proofErr w:type="spellStart"/>
      <w:r w:rsidRPr="006D6934">
        <w:rPr>
          <w:rFonts w:ascii="Calibri" w:hAnsi="Calibri" w:cs="Calibri"/>
          <w:color w:val="auto"/>
        </w:rPr>
        <w:t>Bras</w:t>
      </w:r>
      <w:proofErr w:type="spellEnd"/>
      <w:r w:rsidRPr="006D6934">
        <w:rPr>
          <w:rFonts w:ascii="Calibri" w:hAnsi="Calibri" w:cs="Calibri"/>
          <w:color w:val="auto"/>
        </w:rPr>
        <w:t xml:space="preserve"> </w:t>
      </w:r>
      <w:proofErr w:type="spellStart"/>
      <w:r w:rsidRPr="006D6934">
        <w:rPr>
          <w:rFonts w:ascii="Calibri" w:hAnsi="Calibri" w:cs="Calibri"/>
          <w:color w:val="auto"/>
        </w:rPr>
        <w:t>Reumatol</w:t>
      </w:r>
      <w:proofErr w:type="spellEnd"/>
      <w:r w:rsidRPr="006D6934">
        <w:rPr>
          <w:rFonts w:ascii="Calibri" w:hAnsi="Calibri" w:cs="Calibri"/>
          <w:color w:val="auto"/>
        </w:rPr>
        <w:t>, São Paulo, v. 57. n. 2, p. 129–133, 2017.</w:t>
      </w:r>
    </w:p>
    <w:p w14:paraId="07FC7E0E" w14:textId="77777777" w:rsidR="002E70A5" w:rsidRPr="006D6934" w:rsidRDefault="002E70A5" w:rsidP="002E70A5">
      <w:pPr>
        <w:rPr>
          <w:rFonts w:ascii="Calibri" w:hAnsi="Calibri" w:cs="Calibri"/>
          <w:color w:val="auto"/>
        </w:rPr>
      </w:pPr>
    </w:p>
    <w:p w14:paraId="7C7C8B71"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MARTINEZ, J.E. et al. Fibromialgia: aspectos clínicos e socioeconômicos. </w:t>
      </w:r>
      <w:proofErr w:type="spellStart"/>
      <w:r w:rsidRPr="006D6934">
        <w:rPr>
          <w:rFonts w:ascii="Calibri" w:hAnsi="Calibri" w:cs="Calibri"/>
          <w:color w:val="auto"/>
        </w:rPr>
        <w:t>Rev</w:t>
      </w:r>
      <w:proofErr w:type="spellEnd"/>
      <w:r w:rsidRPr="006D6934">
        <w:rPr>
          <w:rFonts w:ascii="Calibri" w:hAnsi="Calibri" w:cs="Calibri"/>
          <w:color w:val="auto"/>
        </w:rPr>
        <w:t xml:space="preserve"> </w:t>
      </w:r>
      <w:proofErr w:type="spellStart"/>
      <w:r w:rsidRPr="006D6934">
        <w:rPr>
          <w:rFonts w:ascii="Calibri" w:hAnsi="Calibri" w:cs="Calibri"/>
          <w:color w:val="auto"/>
        </w:rPr>
        <w:t>Bras</w:t>
      </w:r>
      <w:proofErr w:type="spellEnd"/>
      <w:r w:rsidRPr="006D6934">
        <w:rPr>
          <w:rFonts w:ascii="Calibri" w:hAnsi="Calibri" w:cs="Calibri"/>
          <w:color w:val="auto"/>
        </w:rPr>
        <w:t xml:space="preserve"> </w:t>
      </w:r>
      <w:proofErr w:type="spellStart"/>
      <w:r w:rsidRPr="006D6934">
        <w:rPr>
          <w:rFonts w:ascii="Calibri" w:hAnsi="Calibri" w:cs="Calibri"/>
          <w:color w:val="auto"/>
        </w:rPr>
        <w:t>Reumatol</w:t>
      </w:r>
      <w:proofErr w:type="spellEnd"/>
      <w:r w:rsidRPr="006D6934">
        <w:rPr>
          <w:rFonts w:ascii="Calibri" w:hAnsi="Calibri" w:cs="Calibri"/>
          <w:color w:val="auto"/>
        </w:rPr>
        <w:t>, v. 32, n. 5, p. 225-30, 1992.</w:t>
      </w:r>
    </w:p>
    <w:p w14:paraId="50FE5C45" w14:textId="77777777" w:rsidR="002E70A5" w:rsidRPr="006D6934" w:rsidRDefault="002E70A5" w:rsidP="002E70A5">
      <w:pPr>
        <w:rPr>
          <w:rFonts w:ascii="Calibri" w:hAnsi="Calibri" w:cs="Calibri"/>
          <w:color w:val="auto"/>
        </w:rPr>
      </w:pPr>
    </w:p>
    <w:p w14:paraId="4926A466"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MARTÍNEZ‐LAVÍN, M. et al. </w:t>
      </w:r>
      <w:r w:rsidRPr="00CD01CD">
        <w:rPr>
          <w:rFonts w:ascii="Calibri" w:hAnsi="Calibri" w:cs="Calibri"/>
          <w:color w:val="auto"/>
          <w:lang w:val="en-GB"/>
        </w:rPr>
        <w:t>Circadian studies of autonomic nervous balance in patients with fibromyalgia: a heart rate variability analysis. Arthritis &amp; Rheumatism: Official Journal of the American College of Rheumatology, v. 41, n. 11, p. 1966-1971, 1998.</w:t>
      </w:r>
    </w:p>
    <w:p w14:paraId="6A7DB505" w14:textId="77777777" w:rsidR="002E70A5" w:rsidRPr="00CD01CD" w:rsidRDefault="002E70A5" w:rsidP="002E70A5">
      <w:pPr>
        <w:rPr>
          <w:rFonts w:ascii="Calibri" w:hAnsi="Calibri" w:cs="Calibri"/>
          <w:color w:val="auto"/>
          <w:lang w:val="en-GB"/>
        </w:rPr>
      </w:pPr>
    </w:p>
    <w:p w14:paraId="73966418"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MARTÍNEZ-LAVÍN, M. Fibromyalgia: When Distress Becomes (Un) Sympathetic Pain. Pain Res Treat., v. 2012, 2012.</w:t>
      </w:r>
    </w:p>
    <w:p w14:paraId="6B8AE068" w14:textId="77777777" w:rsidR="002E70A5" w:rsidRPr="00CD01CD" w:rsidRDefault="002E70A5" w:rsidP="002E70A5">
      <w:pPr>
        <w:rPr>
          <w:rFonts w:ascii="Calibri" w:hAnsi="Calibri" w:cs="Calibri"/>
          <w:color w:val="auto"/>
          <w:lang w:val="en-GB"/>
        </w:rPr>
      </w:pPr>
    </w:p>
    <w:p w14:paraId="49CFE101"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MARTÍNEZ-LAVÍN, M.; HERMOSILLO, A.G. Autonomic nervous system dysfunction may explain the multisystem features of fibromyalgia. In: Seminars in arthritis and rheumatism. WB Saunders, 2000. p. 197-199.</w:t>
      </w:r>
    </w:p>
    <w:p w14:paraId="46F7BA81" w14:textId="77777777" w:rsidR="002E70A5" w:rsidRPr="00CD01CD" w:rsidRDefault="002E70A5" w:rsidP="002E70A5">
      <w:pPr>
        <w:rPr>
          <w:rFonts w:ascii="Calibri" w:hAnsi="Calibri" w:cs="Calibri"/>
          <w:color w:val="auto"/>
          <w:lang w:val="en-GB"/>
        </w:rPr>
      </w:pPr>
    </w:p>
    <w:p w14:paraId="28BACA38"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MARTINS, M.R.I. et al. </w:t>
      </w:r>
      <w:r w:rsidRPr="006D6934">
        <w:rPr>
          <w:rFonts w:ascii="Calibri" w:hAnsi="Calibri" w:cs="Calibri"/>
          <w:color w:val="auto"/>
        </w:rPr>
        <w:t xml:space="preserve">Uso de questionários para avaliar a multidimensionalidade e a qualidade de vida do </w:t>
      </w:r>
      <w:proofErr w:type="spellStart"/>
      <w:r w:rsidRPr="006D6934">
        <w:rPr>
          <w:rFonts w:ascii="Calibri" w:hAnsi="Calibri" w:cs="Calibri"/>
          <w:color w:val="auto"/>
        </w:rPr>
        <w:t>fibromiálgico</w:t>
      </w:r>
      <w:proofErr w:type="spellEnd"/>
      <w:r w:rsidRPr="006D6934">
        <w:rPr>
          <w:rFonts w:ascii="Calibri" w:hAnsi="Calibri" w:cs="Calibri"/>
          <w:color w:val="auto"/>
        </w:rPr>
        <w:t xml:space="preserve">. </w:t>
      </w:r>
      <w:r w:rsidRPr="00CD01CD">
        <w:rPr>
          <w:rFonts w:ascii="Calibri" w:hAnsi="Calibri" w:cs="Calibri"/>
          <w:color w:val="auto"/>
          <w:lang w:val="en-GB"/>
        </w:rPr>
        <w:t xml:space="preserve">Rev Bras </w:t>
      </w:r>
      <w:proofErr w:type="spellStart"/>
      <w:r w:rsidRPr="00CD01CD">
        <w:rPr>
          <w:rFonts w:ascii="Calibri" w:hAnsi="Calibri" w:cs="Calibri"/>
          <w:color w:val="auto"/>
          <w:lang w:val="en-GB"/>
        </w:rPr>
        <w:t>Reumatol</w:t>
      </w:r>
      <w:proofErr w:type="spellEnd"/>
      <w:r w:rsidRPr="00CD01CD">
        <w:rPr>
          <w:rFonts w:ascii="Calibri" w:hAnsi="Calibri" w:cs="Calibri"/>
          <w:color w:val="auto"/>
          <w:lang w:val="en-GB"/>
        </w:rPr>
        <w:t>, v. 52, p. 21-26, 2012.</w:t>
      </w:r>
    </w:p>
    <w:p w14:paraId="20EC9AA4" w14:textId="77777777" w:rsidR="002E70A5" w:rsidRPr="00CD01CD" w:rsidRDefault="002E70A5" w:rsidP="002E70A5">
      <w:pPr>
        <w:rPr>
          <w:rFonts w:ascii="Calibri" w:hAnsi="Calibri" w:cs="Calibri"/>
          <w:color w:val="auto"/>
          <w:lang w:val="en-GB"/>
        </w:rPr>
      </w:pPr>
    </w:p>
    <w:p w14:paraId="2FF54651"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lastRenderedPageBreak/>
        <w:t xml:space="preserve">MATSUTANI, L.A.; MARQUES, A.P.; CARVALHO, C.R.F. Correlation between </w:t>
      </w:r>
      <w:proofErr w:type="spellStart"/>
      <w:r w:rsidRPr="00CD01CD">
        <w:rPr>
          <w:rFonts w:ascii="Calibri" w:hAnsi="Calibri" w:cs="Calibri"/>
          <w:color w:val="auto"/>
          <w:lang w:val="en-GB"/>
        </w:rPr>
        <w:t>dyspnea</w:t>
      </w:r>
      <w:proofErr w:type="spellEnd"/>
      <w:r w:rsidRPr="00CD01CD">
        <w:rPr>
          <w:rFonts w:ascii="Calibri" w:hAnsi="Calibri" w:cs="Calibri"/>
          <w:color w:val="auto"/>
          <w:lang w:val="en-GB"/>
        </w:rPr>
        <w:t xml:space="preserve"> and pain in </w:t>
      </w:r>
      <w:proofErr w:type="spellStart"/>
      <w:r w:rsidRPr="00CD01CD">
        <w:rPr>
          <w:rFonts w:ascii="Calibri" w:hAnsi="Calibri" w:cs="Calibri"/>
          <w:color w:val="auto"/>
          <w:lang w:val="en-GB"/>
        </w:rPr>
        <w:t>fibromyalgic</w:t>
      </w:r>
      <w:proofErr w:type="spellEnd"/>
      <w:r w:rsidRPr="00CD01CD">
        <w:rPr>
          <w:rFonts w:ascii="Calibri" w:hAnsi="Calibri" w:cs="Calibri"/>
          <w:color w:val="auto"/>
          <w:lang w:val="en-GB"/>
        </w:rPr>
        <w:t xml:space="preserve"> patients. In: Proceedings of the 9th Annual Congress of the European Respiratory Society. 1999. p. 9-13.</w:t>
      </w:r>
    </w:p>
    <w:p w14:paraId="6F9768DD" w14:textId="77777777" w:rsidR="002E70A5" w:rsidRPr="00CD01CD" w:rsidRDefault="002E70A5" w:rsidP="002E70A5">
      <w:pPr>
        <w:rPr>
          <w:rFonts w:ascii="Calibri" w:hAnsi="Calibri" w:cs="Calibri"/>
          <w:color w:val="auto"/>
          <w:lang w:val="en-GB"/>
        </w:rPr>
      </w:pPr>
    </w:p>
    <w:p w14:paraId="1E9EE584"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MEASE, P. Fibromyalgia syndrome: review of clinical presentation, pathogenesis, outcome measures, and treatment. The Journal of rheumatology Supplement, v. 75, p. 6-21, 2005.</w:t>
      </w:r>
    </w:p>
    <w:p w14:paraId="50D7BCC3" w14:textId="77777777" w:rsidR="002E70A5" w:rsidRPr="00CD01CD" w:rsidRDefault="002E70A5" w:rsidP="002E70A5">
      <w:pPr>
        <w:rPr>
          <w:rFonts w:ascii="Calibri" w:hAnsi="Calibri" w:cs="Calibri"/>
          <w:color w:val="auto"/>
          <w:lang w:val="en-GB"/>
        </w:rPr>
      </w:pPr>
    </w:p>
    <w:p w14:paraId="7F716D70"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MIGLIARO, E.R. et al. Relative influence of age, resting heart rate and sedentary life style in short-term analysis of heart rate variability. Brazilian Journal of Medical and Biological Research, v. 34, p. 493-500, 2001.</w:t>
      </w:r>
    </w:p>
    <w:p w14:paraId="3D805168" w14:textId="77777777" w:rsidR="002E70A5" w:rsidRPr="00CD01CD" w:rsidRDefault="002E70A5" w:rsidP="002E70A5">
      <w:pPr>
        <w:rPr>
          <w:rFonts w:ascii="Calibri" w:hAnsi="Calibri" w:cs="Calibri"/>
          <w:color w:val="auto"/>
          <w:lang w:val="en-GB"/>
        </w:rPr>
      </w:pPr>
    </w:p>
    <w:p w14:paraId="7EBFD606"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MOLDOFSKY, H. The significance of dysfunctions of the sleeping/waking brain to the pathogenesis and treatment of fibromyalgia syndrome. Rheumatic Disease Clinics, v. 35, n. 2, p. 275-283, 2009.</w:t>
      </w:r>
    </w:p>
    <w:p w14:paraId="20829CD1" w14:textId="77777777" w:rsidR="002E70A5" w:rsidRPr="00CD01CD" w:rsidRDefault="002E70A5" w:rsidP="002E70A5">
      <w:pPr>
        <w:rPr>
          <w:rFonts w:ascii="Calibri" w:hAnsi="Calibri" w:cs="Calibri"/>
          <w:color w:val="auto"/>
          <w:lang w:val="en-GB"/>
        </w:rPr>
      </w:pPr>
    </w:p>
    <w:p w14:paraId="4DC6C256"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MOSMANN, A. et al. </w:t>
      </w:r>
      <w:r w:rsidRPr="006D6934">
        <w:rPr>
          <w:rFonts w:ascii="Calibri" w:hAnsi="Calibri" w:cs="Calibri"/>
          <w:color w:val="auto"/>
        </w:rPr>
        <w:t xml:space="preserve">Atuação fisioterapêutica na qualidade de vida do paciente </w:t>
      </w:r>
      <w:proofErr w:type="spellStart"/>
      <w:r w:rsidRPr="006D6934">
        <w:rPr>
          <w:rFonts w:ascii="Calibri" w:hAnsi="Calibri" w:cs="Calibri"/>
          <w:color w:val="auto"/>
        </w:rPr>
        <w:t>fibromiálgico</w:t>
      </w:r>
      <w:proofErr w:type="spellEnd"/>
      <w:r w:rsidRPr="006D6934">
        <w:rPr>
          <w:rFonts w:ascii="Calibri" w:hAnsi="Calibri" w:cs="Calibri"/>
          <w:color w:val="auto"/>
        </w:rPr>
        <w:t xml:space="preserve">. </w:t>
      </w:r>
      <w:proofErr w:type="spellStart"/>
      <w:r w:rsidRPr="006D6934">
        <w:rPr>
          <w:rFonts w:ascii="Calibri" w:hAnsi="Calibri" w:cs="Calibri"/>
          <w:color w:val="auto"/>
        </w:rPr>
        <w:t>Scientia</w:t>
      </w:r>
      <w:proofErr w:type="spellEnd"/>
      <w:r w:rsidRPr="006D6934">
        <w:rPr>
          <w:rFonts w:ascii="Calibri" w:hAnsi="Calibri" w:cs="Calibri"/>
          <w:color w:val="auto"/>
        </w:rPr>
        <w:t xml:space="preserve"> Medica, v. 16, n. 4, p. 2, 2006.</w:t>
      </w:r>
    </w:p>
    <w:p w14:paraId="5D1A30DC" w14:textId="77777777" w:rsidR="002E70A5" w:rsidRPr="006D6934" w:rsidRDefault="002E70A5" w:rsidP="002E70A5">
      <w:pPr>
        <w:rPr>
          <w:rFonts w:ascii="Calibri" w:hAnsi="Calibri" w:cs="Calibri"/>
          <w:color w:val="auto"/>
        </w:rPr>
      </w:pPr>
    </w:p>
    <w:p w14:paraId="50D15D09"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MOURAD, M.R. Terapia miofascial no tratamento de contusão por trauma direto do trato </w:t>
      </w:r>
      <w:proofErr w:type="spellStart"/>
      <w:r w:rsidRPr="006D6934">
        <w:rPr>
          <w:rFonts w:ascii="Calibri" w:hAnsi="Calibri" w:cs="Calibri"/>
          <w:color w:val="auto"/>
        </w:rPr>
        <w:t>iliotibial</w:t>
      </w:r>
      <w:proofErr w:type="spellEnd"/>
      <w:r w:rsidRPr="006D6934">
        <w:rPr>
          <w:rFonts w:ascii="Calibri" w:hAnsi="Calibri" w:cs="Calibri"/>
          <w:color w:val="auto"/>
        </w:rPr>
        <w:t xml:space="preserve"> em jogadores de futebol profissional de Osasco. </w:t>
      </w:r>
      <w:proofErr w:type="spellStart"/>
      <w:r w:rsidRPr="00CD01CD">
        <w:rPr>
          <w:rFonts w:ascii="Calibri" w:hAnsi="Calibri" w:cs="Calibri"/>
          <w:color w:val="auto"/>
          <w:lang w:val="en-GB"/>
        </w:rPr>
        <w:t>Terapia</w:t>
      </w:r>
      <w:proofErr w:type="spellEnd"/>
      <w:r w:rsidRPr="00CD01CD">
        <w:rPr>
          <w:rFonts w:ascii="Calibri" w:hAnsi="Calibri" w:cs="Calibri"/>
          <w:color w:val="auto"/>
          <w:lang w:val="en-GB"/>
        </w:rPr>
        <w:t xml:space="preserve"> Manual, v. 3, n. 12, p. 431-437, 2005.</w:t>
      </w:r>
    </w:p>
    <w:p w14:paraId="0AEAF871" w14:textId="77777777" w:rsidR="002E70A5" w:rsidRPr="00CD01CD" w:rsidRDefault="002E70A5" w:rsidP="002E70A5">
      <w:pPr>
        <w:rPr>
          <w:rFonts w:ascii="Calibri" w:hAnsi="Calibri" w:cs="Calibri"/>
          <w:color w:val="auto"/>
          <w:lang w:val="en-GB"/>
        </w:rPr>
      </w:pPr>
    </w:p>
    <w:p w14:paraId="7349B62E"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NEECK, G.; CROFFORD, L.J. Neuroendocrine perturbations in fibromyalgia and chronic fatigue syndrome. Rheumatic Disease Clinics of North America, v. 26, n. 4, p. 989-1002, 2000.</w:t>
      </w:r>
    </w:p>
    <w:p w14:paraId="6DDEE637" w14:textId="77777777" w:rsidR="002E70A5" w:rsidRPr="00CD01CD" w:rsidRDefault="002E70A5" w:rsidP="002E70A5">
      <w:pPr>
        <w:rPr>
          <w:rFonts w:ascii="Calibri" w:hAnsi="Calibri" w:cs="Calibri"/>
          <w:color w:val="auto"/>
          <w:lang w:val="en-GB"/>
        </w:rPr>
      </w:pPr>
    </w:p>
    <w:p w14:paraId="1B32AE37"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PAGANO, Tathiana et al. Assessment of anxiety and quality of life in fibromyalgia patients. São Paulo Medical Journal, v. 122, p. 252-258, 2004.</w:t>
      </w:r>
    </w:p>
    <w:p w14:paraId="02522C8E" w14:textId="77777777" w:rsidR="002E70A5" w:rsidRPr="00CD01CD" w:rsidRDefault="002E70A5" w:rsidP="002E70A5">
      <w:pPr>
        <w:rPr>
          <w:rFonts w:ascii="Calibri" w:hAnsi="Calibri" w:cs="Calibri"/>
          <w:color w:val="auto"/>
          <w:lang w:val="en-GB"/>
        </w:rPr>
      </w:pPr>
    </w:p>
    <w:p w14:paraId="2583FC62"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PHILLIPS, Kristine; CLAUW, Daniel J. Central pain mechanisms in chronic pain states–maybe it is all in their head. </w:t>
      </w:r>
      <w:r w:rsidRPr="006D6934">
        <w:rPr>
          <w:rFonts w:ascii="Calibri" w:hAnsi="Calibri" w:cs="Calibri"/>
          <w:color w:val="auto"/>
        </w:rPr>
        <w:t xml:space="preserve">Best </w:t>
      </w:r>
      <w:proofErr w:type="spellStart"/>
      <w:r w:rsidRPr="006D6934">
        <w:rPr>
          <w:rFonts w:ascii="Calibri" w:hAnsi="Calibri" w:cs="Calibri"/>
          <w:color w:val="auto"/>
        </w:rPr>
        <w:t>Practice</w:t>
      </w:r>
      <w:proofErr w:type="spellEnd"/>
      <w:r w:rsidRPr="006D6934">
        <w:rPr>
          <w:rFonts w:ascii="Calibri" w:hAnsi="Calibri" w:cs="Calibri"/>
          <w:color w:val="auto"/>
        </w:rPr>
        <w:t xml:space="preserve"> &amp; </w:t>
      </w:r>
      <w:proofErr w:type="spellStart"/>
      <w:r w:rsidRPr="006D6934">
        <w:rPr>
          <w:rFonts w:ascii="Calibri" w:hAnsi="Calibri" w:cs="Calibri"/>
          <w:color w:val="auto"/>
        </w:rPr>
        <w:t>Research</w:t>
      </w:r>
      <w:proofErr w:type="spellEnd"/>
      <w:r w:rsidRPr="006D6934">
        <w:rPr>
          <w:rFonts w:ascii="Calibri" w:hAnsi="Calibri" w:cs="Calibri"/>
          <w:color w:val="auto"/>
        </w:rPr>
        <w:t xml:space="preserve"> </w:t>
      </w:r>
      <w:proofErr w:type="spellStart"/>
      <w:r w:rsidRPr="006D6934">
        <w:rPr>
          <w:rFonts w:ascii="Calibri" w:hAnsi="Calibri" w:cs="Calibri"/>
          <w:color w:val="auto"/>
        </w:rPr>
        <w:t>Clinical</w:t>
      </w:r>
      <w:proofErr w:type="spellEnd"/>
      <w:r w:rsidRPr="006D6934">
        <w:rPr>
          <w:rFonts w:ascii="Calibri" w:hAnsi="Calibri" w:cs="Calibri"/>
          <w:color w:val="auto"/>
        </w:rPr>
        <w:t xml:space="preserve"> </w:t>
      </w:r>
      <w:proofErr w:type="spellStart"/>
      <w:r w:rsidRPr="006D6934">
        <w:rPr>
          <w:rFonts w:ascii="Calibri" w:hAnsi="Calibri" w:cs="Calibri"/>
          <w:color w:val="auto"/>
        </w:rPr>
        <w:t>Rheumatology</w:t>
      </w:r>
      <w:proofErr w:type="spellEnd"/>
      <w:r w:rsidRPr="006D6934">
        <w:rPr>
          <w:rFonts w:ascii="Calibri" w:hAnsi="Calibri" w:cs="Calibri"/>
          <w:color w:val="auto"/>
        </w:rPr>
        <w:t>, v. 25, n. 2, p. 141-154, 2011.</w:t>
      </w:r>
    </w:p>
    <w:p w14:paraId="5376094E" w14:textId="77777777" w:rsidR="002E70A5" w:rsidRPr="006D6934" w:rsidRDefault="002E70A5" w:rsidP="002E70A5">
      <w:pPr>
        <w:rPr>
          <w:rFonts w:ascii="Calibri" w:hAnsi="Calibri" w:cs="Calibri"/>
          <w:color w:val="auto"/>
        </w:rPr>
      </w:pPr>
    </w:p>
    <w:p w14:paraId="724FCDAC"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PIMENTA C.A.M. Escalas de avaliação de dor. In: TEIXEIRA, M.D. Dor: conceitos gerais. São Paulo: </w:t>
      </w:r>
      <w:proofErr w:type="spellStart"/>
      <w:r w:rsidRPr="006D6934">
        <w:rPr>
          <w:rFonts w:ascii="Calibri" w:hAnsi="Calibri" w:cs="Calibri"/>
          <w:color w:val="auto"/>
        </w:rPr>
        <w:t>Limay</w:t>
      </w:r>
      <w:proofErr w:type="spellEnd"/>
      <w:r w:rsidRPr="006D6934">
        <w:rPr>
          <w:rFonts w:ascii="Calibri" w:hAnsi="Calibri" w:cs="Calibri"/>
          <w:color w:val="auto"/>
        </w:rPr>
        <w:t>, 1994 p. 46-56.</w:t>
      </w:r>
    </w:p>
    <w:p w14:paraId="7A92459A" w14:textId="77777777" w:rsidR="002E70A5" w:rsidRPr="006D6934" w:rsidRDefault="002E70A5" w:rsidP="002E70A5">
      <w:pPr>
        <w:rPr>
          <w:rFonts w:ascii="Calibri" w:hAnsi="Calibri" w:cs="Calibri"/>
          <w:color w:val="auto"/>
        </w:rPr>
      </w:pPr>
    </w:p>
    <w:p w14:paraId="58852A64"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PROVENZA, J.R. et al. Fibromialgia. </w:t>
      </w:r>
      <w:proofErr w:type="spellStart"/>
      <w:r w:rsidRPr="006D6934">
        <w:rPr>
          <w:rFonts w:ascii="Calibri" w:hAnsi="Calibri" w:cs="Calibri"/>
          <w:color w:val="auto"/>
        </w:rPr>
        <w:t>Rev</w:t>
      </w:r>
      <w:proofErr w:type="spellEnd"/>
      <w:r w:rsidRPr="006D6934">
        <w:rPr>
          <w:rFonts w:ascii="Calibri" w:hAnsi="Calibri" w:cs="Calibri"/>
          <w:color w:val="auto"/>
        </w:rPr>
        <w:t xml:space="preserve"> </w:t>
      </w:r>
      <w:proofErr w:type="spellStart"/>
      <w:r w:rsidRPr="006D6934">
        <w:rPr>
          <w:rFonts w:ascii="Calibri" w:hAnsi="Calibri" w:cs="Calibri"/>
          <w:color w:val="auto"/>
        </w:rPr>
        <w:t>Bras</w:t>
      </w:r>
      <w:proofErr w:type="spellEnd"/>
      <w:r w:rsidRPr="006D6934">
        <w:rPr>
          <w:rFonts w:ascii="Calibri" w:hAnsi="Calibri" w:cs="Calibri"/>
          <w:color w:val="auto"/>
        </w:rPr>
        <w:t xml:space="preserve"> </w:t>
      </w:r>
      <w:proofErr w:type="spellStart"/>
      <w:r w:rsidRPr="006D6934">
        <w:rPr>
          <w:rFonts w:ascii="Calibri" w:hAnsi="Calibri" w:cs="Calibri"/>
          <w:color w:val="auto"/>
        </w:rPr>
        <w:t>Reumatol</w:t>
      </w:r>
      <w:proofErr w:type="spellEnd"/>
      <w:r w:rsidRPr="006D6934">
        <w:rPr>
          <w:rFonts w:ascii="Calibri" w:hAnsi="Calibri" w:cs="Calibri"/>
          <w:color w:val="auto"/>
        </w:rPr>
        <w:t>, v. 44, n. 6, p. 443-449, 2004.</w:t>
      </w:r>
    </w:p>
    <w:p w14:paraId="07B82B81" w14:textId="77777777" w:rsidR="002E70A5" w:rsidRPr="006D6934" w:rsidRDefault="002E70A5" w:rsidP="002E70A5">
      <w:pPr>
        <w:rPr>
          <w:rFonts w:ascii="Calibri" w:hAnsi="Calibri" w:cs="Calibri"/>
          <w:color w:val="auto"/>
        </w:rPr>
      </w:pPr>
    </w:p>
    <w:p w14:paraId="3F6999ED" w14:textId="77777777" w:rsidR="002E70A5" w:rsidRPr="006D6934" w:rsidRDefault="002E70A5" w:rsidP="002E70A5">
      <w:pPr>
        <w:rPr>
          <w:rFonts w:ascii="Calibri" w:hAnsi="Calibri" w:cs="Calibri"/>
          <w:color w:val="auto"/>
        </w:rPr>
      </w:pPr>
      <w:r w:rsidRPr="006D6934">
        <w:rPr>
          <w:rFonts w:ascii="Calibri" w:hAnsi="Calibri" w:cs="Calibri"/>
          <w:color w:val="auto"/>
        </w:rPr>
        <w:t xml:space="preserve">REZENDE, M.C. et al. </w:t>
      </w:r>
      <w:proofErr w:type="spellStart"/>
      <w:r w:rsidRPr="006D6934">
        <w:rPr>
          <w:rFonts w:ascii="Calibri" w:hAnsi="Calibri" w:cs="Calibri"/>
          <w:color w:val="auto"/>
        </w:rPr>
        <w:t>EpiFibro</w:t>
      </w:r>
      <w:proofErr w:type="spellEnd"/>
      <w:r w:rsidRPr="006D6934">
        <w:rPr>
          <w:rFonts w:ascii="Calibri" w:hAnsi="Calibri" w:cs="Calibri"/>
          <w:color w:val="auto"/>
        </w:rPr>
        <w:t xml:space="preserve"> - Um Banco De Dados Nacional Sobre A Síndrome Da Fibromialgia – Análise Inicial De 500 Mulheres. </w:t>
      </w:r>
      <w:proofErr w:type="spellStart"/>
      <w:r w:rsidRPr="006D6934">
        <w:rPr>
          <w:rFonts w:ascii="Calibri" w:hAnsi="Calibri" w:cs="Calibri"/>
          <w:color w:val="auto"/>
        </w:rPr>
        <w:t>Rev</w:t>
      </w:r>
      <w:proofErr w:type="spellEnd"/>
      <w:r w:rsidRPr="006D6934">
        <w:rPr>
          <w:rFonts w:ascii="Calibri" w:hAnsi="Calibri" w:cs="Calibri"/>
          <w:color w:val="auto"/>
        </w:rPr>
        <w:t xml:space="preserve"> </w:t>
      </w:r>
      <w:proofErr w:type="spellStart"/>
      <w:r w:rsidRPr="006D6934">
        <w:rPr>
          <w:rFonts w:ascii="Calibri" w:hAnsi="Calibri" w:cs="Calibri"/>
          <w:color w:val="auto"/>
        </w:rPr>
        <w:t>Bras</w:t>
      </w:r>
      <w:proofErr w:type="spellEnd"/>
      <w:r w:rsidRPr="006D6934">
        <w:rPr>
          <w:rFonts w:ascii="Calibri" w:hAnsi="Calibri" w:cs="Calibri"/>
          <w:color w:val="auto"/>
        </w:rPr>
        <w:t xml:space="preserve"> </w:t>
      </w:r>
      <w:proofErr w:type="spellStart"/>
      <w:r w:rsidRPr="006D6934">
        <w:rPr>
          <w:rFonts w:ascii="Calibri" w:hAnsi="Calibri" w:cs="Calibri"/>
          <w:color w:val="auto"/>
        </w:rPr>
        <w:t>Reumatol</w:t>
      </w:r>
      <w:proofErr w:type="spellEnd"/>
      <w:r w:rsidRPr="006D6934">
        <w:rPr>
          <w:rFonts w:ascii="Calibri" w:hAnsi="Calibri" w:cs="Calibri"/>
          <w:color w:val="auto"/>
        </w:rPr>
        <w:t>, Campinas, v. 53, n. 5, p. 382-387, 2013.</w:t>
      </w:r>
    </w:p>
    <w:p w14:paraId="5142FD6D" w14:textId="77777777" w:rsidR="002E70A5" w:rsidRPr="006D6934" w:rsidRDefault="002E70A5" w:rsidP="002E70A5">
      <w:pPr>
        <w:rPr>
          <w:rFonts w:ascii="Calibri" w:hAnsi="Calibri" w:cs="Calibri"/>
          <w:color w:val="auto"/>
        </w:rPr>
      </w:pPr>
    </w:p>
    <w:p w14:paraId="120120C2" w14:textId="77777777" w:rsidR="002E70A5" w:rsidRPr="006D6934" w:rsidRDefault="002E70A5" w:rsidP="002E70A5">
      <w:pPr>
        <w:rPr>
          <w:rFonts w:ascii="Calibri" w:hAnsi="Calibri" w:cs="Calibri"/>
          <w:color w:val="auto"/>
        </w:rPr>
      </w:pPr>
      <w:r w:rsidRPr="006D6934">
        <w:rPr>
          <w:rFonts w:ascii="Calibri" w:hAnsi="Calibri" w:cs="Calibri"/>
          <w:color w:val="auto"/>
        </w:rPr>
        <w:t>ROSSINI, S.R.G. Insônia nos quadros de fibromialgia. In: REIMÃO, R. Temas de Medicina do Sono. São Paulo: São Paulo: Lemos Editorial, p. 97-104, 2000.</w:t>
      </w:r>
    </w:p>
    <w:p w14:paraId="50526401" w14:textId="77777777" w:rsidR="002E70A5" w:rsidRPr="006D6934" w:rsidRDefault="002E70A5" w:rsidP="002E70A5">
      <w:pPr>
        <w:rPr>
          <w:rFonts w:ascii="Calibri" w:hAnsi="Calibri" w:cs="Calibri"/>
          <w:color w:val="auto"/>
        </w:rPr>
      </w:pPr>
    </w:p>
    <w:p w14:paraId="03D356AE"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ROSSINI, S.R.G.; REIMÃO, R.N.A.A. Pacientes com fibromialgia e insônia crônica: aspectos psicológicos e adaptativos. </w:t>
      </w:r>
      <w:r w:rsidRPr="00CD01CD">
        <w:rPr>
          <w:rFonts w:ascii="Calibri" w:hAnsi="Calibri" w:cs="Calibri"/>
          <w:color w:val="auto"/>
          <w:lang w:val="en-GB"/>
        </w:rPr>
        <w:t xml:space="preserve">Rev Bras </w:t>
      </w:r>
      <w:proofErr w:type="spellStart"/>
      <w:r w:rsidRPr="00CD01CD">
        <w:rPr>
          <w:rFonts w:ascii="Calibri" w:hAnsi="Calibri" w:cs="Calibri"/>
          <w:color w:val="auto"/>
          <w:lang w:val="en-GB"/>
        </w:rPr>
        <w:t>Reumatol</w:t>
      </w:r>
      <w:proofErr w:type="spellEnd"/>
      <w:r w:rsidRPr="00CD01CD">
        <w:rPr>
          <w:rFonts w:ascii="Calibri" w:hAnsi="Calibri" w:cs="Calibri"/>
          <w:color w:val="auto"/>
          <w:lang w:val="en-GB"/>
        </w:rPr>
        <w:t xml:space="preserve"> , p. 285-288, 2002.</w:t>
      </w:r>
    </w:p>
    <w:p w14:paraId="5DB0FC4B" w14:textId="77777777" w:rsidR="002E70A5" w:rsidRPr="00CD01CD" w:rsidRDefault="002E70A5" w:rsidP="002E70A5">
      <w:pPr>
        <w:rPr>
          <w:rFonts w:ascii="Calibri" w:hAnsi="Calibri" w:cs="Calibri"/>
          <w:color w:val="auto"/>
          <w:lang w:val="en-GB"/>
        </w:rPr>
      </w:pPr>
    </w:p>
    <w:p w14:paraId="69CBB417"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RUSSEL, I.J. Fibrositis/Fibromyalgia. In: HYDE B.M.; GOLDESTEIN J.; LEVINE P., editors. The clinical and scientific basis of </w:t>
      </w:r>
      <w:proofErr w:type="spellStart"/>
      <w:r w:rsidRPr="00CD01CD">
        <w:rPr>
          <w:rFonts w:ascii="Calibri" w:hAnsi="Calibri" w:cs="Calibri"/>
          <w:color w:val="auto"/>
          <w:lang w:val="en-GB"/>
        </w:rPr>
        <w:t>myalgic</w:t>
      </w:r>
      <w:proofErr w:type="spellEnd"/>
      <w:r w:rsidRPr="00CD01CD">
        <w:rPr>
          <w:rFonts w:ascii="Calibri" w:hAnsi="Calibri" w:cs="Calibri"/>
          <w:color w:val="auto"/>
          <w:lang w:val="en-GB"/>
        </w:rPr>
        <w:t xml:space="preserve"> encephalomyelitis/ chronic fatigue syndrome. Ottawa: Nightingale Research Foundation; 1992.</w:t>
      </w:r>
    </w:p>
    <w:p w14:paraId="46C8D74F" w14:textId="77777777" w:rsidR="002E70A5" w:rsidRPr="00CD01CD" w:rsidRDefault="002E70A5" w:rsidP="002E70A5">
      <w:pPr>
        <w:rPr>
          <w:rFonts w:ascii="Calibri" w:hAnsi="Calibri" w:cs="Calibri"/>
          <w:color w:val="auto"/>
          <w:lang w:val="en-GB"/>
        </w:rPr>
      </w:pPr>
    </w:p>
    <w:p w14:paraId="21F8BC54" w14:textId="77777777" w:rsidR="002E70A5" w:rsidRPr="006D6934" w:rsidRDefault="002E70A5" w:rsidP="002E70A5">
      <w:pPr>
        <w:rPr>
          <w:rFonts w:ascii="Calibri" w:hAnsi="Calibri" w:cs="Calibri"/>
          <w:color w:val="auto"/>
        </w:rPr>
      </w:pPr>
      <w:r w:rsidRPr="00CD01CD">
        <w:rPr>
          <w:rFonts w:ascii="Calibri" w:hAnsi="Calibri" w:cs="Calibri"/>
          <w:color w:val="auto"/>
          <w:lang w:val="en-GB"/>
        </w:rPr>
        <w:t xml:space="preserve">SOUSA, F.A.E.F. </w:t>
      </w:r>
      <w:proofErr w:type="spellStart"/>
      <w:r w:rsidRPr="00CD01CD">
        <w:rPr>
          <w:rFonts w:ascii="Calibri" w:hAnsi="Calibri" w:cs="Calibri"/>
          <w:color w:val="auto"/>
          <w:lang w:val="en-GB"/>
        </w:rPr>
        <w:t>Dor</w:t>
      </w:r>
      <w:proofErr w:type="spellEnd"/>
      <w:r w:rsidRPr="00CD01CD">
        <w:rPr>
          <w:rFonts w:ascii="Calibri" w:hAnsi="Calibri" w:cs="Calibri"/>
          <w:color w:val="auto"/>
          <w:lang w:val="en-GB"/>
        </w:rPr>
        <w:t xml:space="preserve">: o </w:t>
      </w:r>
      <w:proofErr w:type="spellStart"/>
      <w:r w:rsidRPr="00CD01CD">
        <w:rPr>
          <w:rFonts w:ascii="Calibri" w:hAnsi="Calibri" w:cs="Calibri"/>
          <w:color w:val="auto"/>
          <w:lang w:val="en-GB"/>
        </w:rPr>
        <w:t>quinto</w:t>
      </w:r>
      <w:proofErr w:type="spellEnd"/>
      <w:r w:rsidRPr="00CD01CD">
        <w:rPr>
          <w:rFonts w:ascii="Calibri" w:hAnsi="Calibri" w:cs="Calibri"/>
          <w:color w:val="auto"/>
          <w:lang w:val="en-GB"/>
        </w:rPr>
        <w:t xml:space="preserve"> </w:t>
      </w:r>
      <w:proofErr w:type="spellStart"/>
      <w:r w:rsidRPr="00CD01CD">
        <w:rPr>
          <w:rFonts w:ascii="Calibri" w:hAnsi="Calibri" w:cs="Calibri"/>
          <w:color w:val="auto"/>
          <w:lang w:val="en-GB"/>
        </w:rPr>
        <w:t>sinal</w:t>
      </w:r>
      <w:proofErr w:type="spellEnd"/>
      <w:r w:rsidRPr="00CD01CD">
        <w:rPr>
          <w:rFonts w:ascii="Calibri" w:hAnsi="Calibri" w:cs="Calibri"/>
          <w:color w:val="auto"/>
          <w:lang w:val="en-GB"/>
        </w:rPr>
        <w:t xml:space="preserve"> vital. </w:t>
      </w:r>
      <w:r w:rsidRPr="006D6934">
        <w:rPr>
          <w:rFonts w:ascii="Calibri" w:hAnsi="Calibri" w:cs="Calibri"/>
          <w:color w:val="auto"/>
        </w:rPr>
        <w:t>Revista Latino-americana de enfermagem, v. 10, p. 446-447, 2002.</w:t>
      </w:r>
    </w:p>
    <w:p w14:paraId="5E5DB90E" w14:textId="77777777" w:rsidR="002E70A5" w:rsidRPr="006D6934" w:rsidRDefault="002E70A5" w:rsidP="002E70A5">
      <w:pPr>
        <w:rPr>
          <w:rFonts w:ascii="Calibri" w:hAnsi="Calibri" w:cs="Calibri"/>
          <w:color w:val="auto"/>
        </w:rPr>
      </w:pPr>
    </w:p>
    <w:p w14:paraId="4C91466C" w14:textId="77777777" w:rsidR="002E70A5" w:rsidRPr="006D6934" w:rsidRDefault="002E70A5" w:rsidP="002E70A5">
      <w:pPr>
        <w:rPr>
          <w:rFonts w:ascii="Calibri" w:hAnsi="Calibri" w:cs="Calibri"/>
          <w:color w:val="auto"/>
        </w:rPr>
      </w:pPr>
      <w:r w:rsidRPr="006D6934">
        <w:rPr>
          <w:rFonts w:ascii="Calibri" w:hAnsi="Calibri" w:cs="Calibri"/>
          <w:color w:val="auto"/>
        </w:rPr>
        <w:t>TEIXEIRA, M.J.; YENG, L. T.; KAZIYAMA, H. H. S. Fibromialgia e sono. In: REIMÃO R. Avanços em medicina do sono. São Paulo: Associação Paulista de Medicina, p. 169-74, 2001.</w:t>
      </w:r>
    </w:p>
    <w:p w14:paraId="7C476C21" w14:textId="77777777" w:rsidR="002E70A5" w:rsidRPr="006D6934" w:rsidRDefault="002E70A5" w:rsidP="002E70A5">
      <w:pPr>
        <w:rPr>
          <w:rFonts w:ascii="Calibri" w:hAnsi="Calibri" w:cs="Calibri"/>
          <w:color w:val="auto"/>
        </w:rPr>
      </w:pPr>
    </w:p>
    <w:p w14:paraId="5B0C3874" w14:textId="77777777" w:rsidR="002E70A5" w:rsidRPr="00CD01CD" w:rsidRDefault="002E70A5" w:rsidP="002E70A5">
      <w:pPr>
        <w:rPr>
          <w:rFonts w:ascii="Calibri" w:hAnsi="Calibri" w:cs="Calibri"/>
          <w:color w:val="auto"/>
          <w:lang w:val="en-GB"/>
        </w:rPr>
      </w:pPr>
      <w:r w:rsidRPr="006D6934">
        <w:rPr>
          <w:rFonts w:ascii="Calibri" w:hAnsi="Calibri" w:cs="Calibri"/>
          <w:color w:val="auto"/>
        </w:rPr>
        <w:t xml:space="preserve">TOFFERI, J.K.; JACKSON, J.L.; O'MALLEY, P.G. Tratamento da fibromialgia com ciclobenzaprina: Uma meta-análise. </w:t>
      </w:r>
      <w:r w:rsidRPr="00CD01CD">
        <w:rPr>
          <w:rFonts w:ascii="Calibri" w:hAnsi="Calibri" w:cs="Calibri"/>
          <w:color w:val="auto"/>
          <w:lang w:val="en-GB"/>
        </w:rPr>
        <w:t xml:space="preserve">Arthritis Care &amp; Research , v. 51, n. 1, </w:t>
      </w:r>
      <w:proofErr w:type="spellStart"/>
      <w:r w:rsidRPr="00CD01CD">
        <w:rPr>
          <w:rFonts w:ascii="Calibri" w:hAnsi="Calibri" w:cs="Calibri"/>
          <w:color w:val="auto"/>
          <w:lang w:val="en-GB"/>
        </w:rPr>
        <w:t>pág</w:t>
      </w:r>
      <w:proofErr w:type="spellEnd"/>
      <w:r w:rsidRPr="00CD01CD">
        <w:rPr>
          <w:rFonts w:ascii="Calibri" w:hAnsi="Calibri" w:cs="Calibri"/>
          <w:color w:val="auto"/>
          <w:lang w:val="en-GB"/>
        </w:rPr>
        <w:t>. 9-13, 2004.</w:t>
      </w:r>
    </w:p>
    <w:p w14:paraId="7EDEADC0" w14:textId="77777777" w:rsidR="002E70A5" w:rsidRPr="00CD01CD" w:rsidRDefault="002E70A5" w:rsidP="002E70A5">
      <w:pPr>
        <w:rPr>
          <w:rFonts w:ascii="Calibri" w:hAnsi="Calibri" w:cs="Calibri"/>
          <w:color w:val="auto"/>
          <w:lang w:val="en-GB"/>
        </w:rPr>
      </w:pPr>
    </w:p>
    <w:p w14:paraId="3FBCA95E"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WAGNER J.S. et al. The </w:t>
      </w:r>
      <w:proofErr w:type="spellStart"/>
      <w:r w:rsidRPr="00CD01CD">
        <w:rPr>
          <w:rFonts w:ascii="Calibri" w:hAnsi="Calibri" w:cs="Calibri"/>
          <w:color w:val="auto"/>
          <w:lang w:val="en-GB"/>
        </w:rPr>
        <w:t>asssociation</w:t>
      </w:r>
      <w:proofErr w:type="spellEnd"/>
      <w:r w:rsidRPr="00CD01CD">
        <w:rPr>
          <w:rFonts w:ascii="Calibri" w:hAnsi="Calibri" w:cs="Calibri"/>
          <w:color w:val="auto"/>
          <w:lang w:val="en-GB"/>
        </w:rPr>
        <w:t xml:space="preserve"> of sleep difficulties with health-</w:t>
      </w:r>
      <w:proofErr w:type="spellStart"/>
      <w:r w:rsidRPr="00CD01CD">
        <w:rPr>
          <w:rFonts w:ascii="Calibri" w:hAnsi="Calibri" w:cs="Calibri"/>
          <w:color w:val="auto"/>
          <w:lang w:val="en-GB"/>
        </w:rPr>
        <w:t>relatedquality</w:t>
      </w:r>
      <w:proofErr w:type="spellEnd"/>
      <w:r w:rsidRPr="00CD01CD">
        <w:rPr>
          <w:rFonts w:ascii="Calibri" w:hAnsi="Calibri" w:cs="Calibri"/>
          <w:color w:val="auto"/>
          <w:lang w:val="en-GB"/>
        </w:rPr>
        <w:t xml:space="preserve"> of life among patients with fibromyalgia. BMC Musculoskeletal Disorders, v. 13, n. 1, p. 1-10, 2012.</w:t>
      </w:r>
    </w:p>
    <w:p w14:paraId="43BA5656" w14:textId="77777777" w:rsidR="002E70A5" w:rsidRPr="00CD01CD" w:rsidRDefault="002E70A5" w:rsidP="002E70A5">
      <w:pPr>
        <w:rPr>
          <w:rFonts w:ascii="Calibri" w:hAnsi="Calibri" w:cs="Calibri"/>
          <w:color w:val="auto"/>
          <w:lang w:val="en-GB"/>
        </w:rPr>
      </w:pPr>
    </w:p>
    <w:p w14:paraId="5E8EFD41"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WHITE, K.P. et al. Comparing self‐reported function and work disability in 100 community cases of fibromyalgia syndrome versus controls in London, Ontario: the London Fibromyalgia Epidemiology Study. Arthritis &amp; Rheumatism: Official Journal of the American College of Rheumatology, v. 42, n. 1, p. 76-83, 1999.</w:t>
      </w:r>
    </w:p>
    <w:p w14:paraId="2E96828D" w14:textId="77777777" w:rsidR="002E70A5" w:rsidRPr="00CD01CD" w:rsidRDefault="002E70A5" w:rsidP="002E70A5">
      <w:pPr>
        <w:rPr>
          <w:rFonts w:ascii="Calibri" w:hAnsi="Calibri" w:cs="Calibri"/>
          <w:color w:val="auto"/>
          <w:lang w:val="en-GB"/>
        </w:rPr>
      </w:pPr>
    </w:p>
    <w:p w14:paraId="5F1B3031"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WHITE, K.P. et al. Comparing self‐reported function and work disability in 100 community cases of fibromyalgia syndrome versus controls in London, Ontario: the London Fibromyalgia Epidemiology Study. Arthritis &amp; Rheumatism: Official Journal of the American College of Rheumatology, v. 42, n. 1, p. 76-83, 1999.</w:t>
      </w:r>
    </w:p>
    <w:p w14:paraId="3114A0E4" w14:textId="77777777" w:rsidR="002E70A5" w:rsidRPr="00CD01CD" w:rsidRDefault="002E70A5" w:rsidP="002E70A5">
      <w:pPr>
        <w:rPr>
          <w:rFonts w:ascii="Calibri" w:hAnsi="Calibri" w:cs="Calibri"/>
          <w:color w:val="auto"/>
          <w:lang w:val="en-GB"/>
        </w:rPr>
      </w:pPr>
    </w:p>
    <w:p w14:paraId="7F6D238A"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WOLFE, F. et al. Comparison of physician‐based and patient‐based criteria for the diagnosis of fibromyalgia. Arthritis care &amp; research, v. 68, n. 5, p. 652-659, 2016.</w:t>
      </w:r>
    </w:p>
    <w:p w14:paraId="18F967BC" w14:textId="77777777" w:rsidR="002E70A5" w:rsidRPr="00CD01CD" w:rsidRDefault="002E70A5" w:rsidP="002E70A5">
      <w:pPr>
        <w:rPr>
          <w:rFonts w:ascii="Calibri" w:hAnsi="Calibri" w:cs="Calibri"/>
          <w:color w:val="auto"/>
          <w:lang w:val="en-GB"/>
        </w:rPr>
      </w:pPr>
    </w:p>
    <w:p w14:paraId="330D61DA"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 xml:space="preserve">WOLFE, F. et al. The American College of Rheumatology 1990 Criteria for the Classification of Fibromyalgia. Report of the </w:t>
      </w:r>
      <w:proofErr w:type="spellStart"/>
      <w:r w:rsidRPr="00CD01CD">
        <w:rPr>
          <w:rFonts w:ascii="Calibri" w:hAnsi="Calibri" w:cs="Calibri"/>
          <w:color w:val="auto"/>
          <w:lang w:val="en-GB"/>
        </w:rPr>
        <w:t>Multicenter</w:t>
      </w:r>
      <w:proofErr w:type="spellEnd"/>
      <w:r w:rsidRPr="00CD01CD">
        <w:rPr>
          <w:rFonts w:ascii="Calibri" w:hAnsi="Calibri" w:cs="Calibri"/>
          <w:color w:val="auto"/>
          <w:lang w:val="en-GB"/>
        </w:rPr>
        <w:t xml:space="preserve"> Criteria Committee. Arthritis Rheum, 1990.</w:t>
      </w:r>
    </w:p>
    <w:p w14:paraId="236FB7C5" w14:textId="77777777" w:rsidR="002E70A5" w:rsidRPr="00CD01CD" w:rsidRDefault="002E70A5" w:rsidP="002E70A5">
      <w:pPr>
        <w:rPr>
          <w:rFonts w:ascii="Calibri" w:hAnsi="Calibri" w:cs="Calibri"/>
          <w:color w:val="auto"/>
          <w:lang w:val="en-GB"/>
        </w:rPr>
      </w:pPr>
    </w:p>
    <w:p w14:paraId="0FE9D6AA"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WOLFE, F. et al. The American College of Rheumatology preliminary diagnostic criteria for fibromyalgia and measurement of symptom severity. Arthritis care &amp; research, v. 62, n. 5, p. 600-610, 2010.</w:t>
      </w:r>
    </w:p>
    <w:p w14:paraId="18DCDFEC" w14:textId="77777777" w:rsidR="002E70A5" w:rsidRPr="00CD01CD" w:rsidRDefault="002E70A5" w:rsidP="002E70A5">
      <w:pPr>
        <w:rPr>
          <w:rFonts w:ascii="Calibri" w:hAnsi="Calibri" w:cs="Calibri"/>
          <w:color w:val="auto"/>
          <w:lang w:val="en-GB"/>
        </w:rPr>
      </w:pPr>
    </w:p>
    <w:p w14:paraId="6C8721FF" w14:textId="77777777" w:rsidR="002E70A5" w:rsidRPr="00CD01CD" w:rsidRDefault="002E70A5" w:rsidP="002E70A5">
      <w:pPr>
        <w:rPr>
          <w:rFonts w:ascii="Calibri" w:hAnsi="Calibri" w:cs="Calibri"/>
          <w:color w:val="auto"/>
          <w:lang w:val="en-GB"/>
        </w:rPr>
      </w:pPr>
      <w:r w:rsidRPr="00CD01CD">
        <w:rPr>
          <w:rFonts w:ascii="Calibri" w:hAnsi="Calibri" w:cs="Calibri"/>
          <w:color w:val="auto"/>
          <w:lang w:val="en-GB"/>
        </w:rPr>
        <w:t>YUAN, S.L.K.; BERSSANETI, A.A.; MARQUES, A.P. Effects of shiatsu in the management of fibromyalgia symptoms: a controlled pilot study. Journal of Manipulative and Physiological Therapeutics, v. 36, n. 7, p. 436-443, 2013.</w:t>
      </w:r>
    </w:p>
    <w:p w14:paraId="1730157F" w14:textId="77777777" w:rsidR="002E70A5" w:rsidRPr="00CD01CD" w:rsidRDefault="002E70A5" w:rsidP="002E70A5">
      <w:pPr>
        <w:rPr>
          <w:rFonts w:ascii="Calibri" w:hAnsi="Calibri" w:cs="Calibri"/>
          <w:color w:val="auto"/>
          <w:lang w:val="en-GB"/>
        </w:rPr>
      </w:pPr>
    </w:p>
    <w:p w14:paraId="56EA9BEE" w14:textId="5B0DEC49" w:rsidR="0098612E" w:rsidRPr="006D6934" w:rsidRDefault="002E70A5" w:rsidP="007B4D0A">
      <w:pPr>
        <w:rPr>
          <w:rFonts w:ascii="Calibri" w:hAnsi="Calibri" w:cs="Calibri"/>
          <w:color w:val="auto"/>
        </w:rPr>
      </w:pPr>
      <w:r w:rsidRPr="00CD01CD">
        <w:rPr>
          <w:rFonts w:ascii="Calibri" w:hAnsi="Calibri" w:cs="Calibri"/>
          <w:color w:val="auto"/>
          <w:lang w:val="en-GB"/>
        </w:rPr>
        <w:t xml:space="preserve">YUNUS, M.B. Fibromyalgia and overlapping disorders: the unifying concept of central sensitivity syndromes. </w:t>
      </w:r>
      <w:r w:rsidRPr="006D6934">
        <w:rPr>
          <w:rFonts w:ascii="Calibri" w:hAnsi="Calibri" w:cs="Calibri"/>
          <w:color w:val="auto"/>
        </w:rPr>
        <w:t xml:space="preserve">In: </w:t>
      </w:r>
      <w:proofErr w:type="spellStart"/>
      <w:r w:rsidRPr="006D6934">
        <w:rPr>
          <w:rFonts w:ascii="Calibri" w:hAnsi="Calibri" w:cs="Calibri"/>
          <w:color w:val="auto"/>
        </w:rPr>
        <w:t>Seminars</w:t>
      </w:r>
      <w:proofErr w:type="spellEnd"/>
      <w:r w:rsidRPr="006D6934">
        <w:rPr>
          <w:rFonts w:ascii="Calibri" w:hAnsi="Calibri" w:cs="Calibri"/>
          <w:color w:val="auto"/>
        </w:rPr>
        <w:t xml:space="preserve"> in </w:t>
      </w:r>
      <w:proofErr w:type="spellStart"/>
      <w:r w:rsidRPr="006D6934">
        <w:rPr>
          <w:rFonts w:ascii="Calibri" w:hAnsi="Calibri" w:cs="Calibri"/>
          <w:color w:val="auto"/>
        </w:rPr>
        <w:t>arthritis</w:t>
      </w:r>
      <w:proofErr w:type="spellEnd"/>
      <w:r w:rsidRPr="006D6934">
        <w:rPr>
          <w:rFonts w:ascii="Calibri" w:hAnsi="Calibri" w:cs="Calibri"/>
          <w:color w:val="auto"/>
        </w:rPr>
        <w:t xml:space="preserve"> </w:t>
      </w:r>
      <w:proofErr w:type="spellStart"/>
      <w:r w:rsidRPr="006D6934">
        <w:rPr>
          <w:rFonts w:ascii="Calibri" w:hAnsi="Calibri" w:cs="Calibri"/>
          <w:color w:val="auto"/>
        </w:rPr>
        <w:t>and</w:t>
      </w:r>
      <w:proofErr w:type="spellEnd"/>
      <w:r w:rsidRPr="006D6934">
        <w:rPr>
          <w:rFonts w:ascii="Calibri" w:hAnsi="Calibri" w:cs="Calibri"/>
          <w:color w:val="auto"/>
        </w:rPr>
        <w:t xml:space="preserve"> </w:t>
      </w:r>
      <w:proofErr w:type="spellStart"/>
      <w:r w:rsidRPr="006D6934">
        <w:rPr>
          <w:rFonts w:ascii="Calibri" w:hAnsi="Calibri" w:cs="Calibri"/>
          <w:color w:val="auto"/>
        </w:rPr>
        <w:t>rheumatism</w:t>
      </w:r>
      <w:proofErr w:type="spellEnd"/>
      <w:r w:rsidRPr="006D6934">
        <w:rPr>
          <w:rFonts w:ascii="Calibri" w:hAnsi="Calibri" w:cs="Calibri"/>
          <w:color w:val="auto"/>
        </w:rPr>
        <w:t>. WB Saunders, p. 339-356, 2007.</w:t>
      </w:r>
    </w:p>
    <w:sectPr w:rsidR="0098612E" w:rsidRPr="006D6934">
      <w:headerReference w:type="default" r:id="rId7"/>
      <w:footerReference w:type="default" r:id="rId8"/>
      <w:headerReference w:type="first" r:id="rId9"/>
      <w:footerReference w:type="first" r:id="rId10"/>
      <w:pgSz w:w="11906" w:h="16838"/>
      <w:pgMar w:top="777" w:right="567" w:bottom="993" w:left="1701" w:header="567" w:footer="499" w:gutter="0"/>
      <w:cols w:space="720"/>
      <w:formProt w:val="0"/>
      <w:titlePg/>
      <w:docGrid w:linePitch="360"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8A3F5" w14:textId="77777777" w:rsidR="002C7C6B" w:rsidRDefault="002C7C6B">
      <w:r>
        <w:separator/>
      </w:r>
    </w:p>
  </w:endnote>
  <w:endnote w:type="continuationSeparator" w:id="0">
    <w:p w14:paraId="2D543E0B" w14:textId="77777777" w:rsidR="002C7C6B" w:rsidRDefault="002C7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angal;Courier New">
    <w:altName w:val="Times New Roman"/>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642015"/>
      <w:docPartObj>
        <w:docPartGallery w:val="Page Numbers (Top of Page)"/>
        <w:docPartUnique/>
      </w:docPartObj>
    </w:sdtPr>
    <w:sdtEndPr/>
    <w:sdtContent>
      <w:p w14:paraId="4CB4CED8" w14:textId="77777777" w:rsidR="00290126" w:rsidRDefault="00290126">
        <w:pPr>
          <w:pStyle w:val="Rodap"/>
          <w:jc w:val="right"/>
        </w:pPr>
        <w:r>
          <w:t xml:space="preserve">Página </w:t>
        </w:r>
        <w:r>
          <w:rPr>
            <w:b/>
            <w:bCs/>
            <w:sz w:val="24"/>
            <w:szCs w:val="24"/>
          </w:rPr>
          <w:fldChar w:fldCharType="begin"/>
        </w:r>
        <w:r>
          <w:rPr>
            <w:b/>
            <w:bCs/>
            <w:sz w:val="24"/>
            <w:szCs w:val="24"/>
          </w:rPr>
          <w:instrText>PAGE</w:instrText>
        </w:r>
        <w:r>
          <w:rPr>
            <w:b/>
            <w:bCs/>
            <w:sz w:val="24"/>
            <w:szCs w:val="24"/>
          </w:rPr>
          <w:fldChar w:fldCharType="separate"/>
        </w:r>
        <w:r w:rsidR="00B3037A">
          <w:rPr>
            <w:b/>
            <w:bCs/>
            <w:noProof/>
            <w:sz w:val="24"/>
            <w:szCs w:val="24"/>
          </w:rPr>
          <w:t>22</w:t>
        </w:r>
        <w:r>
          <w:rPr>
            <w:b/>
            <w:bCs/>
            <w:sz w:val="24"/>
            <w:szCs w:val="24"/>
          </w:rPr>
          <w:fldChar w:fldCharType="end"/>
        </w:r>
        <w:r>
          <w:t xml:space="preserve"> de </w:t>
        </w:r>
        <w:r>
          <w:rPr>
            <w:b/>
            <w:bCs/>
            <w:sz w:val="24"/>
            <w:szCs w:val="24"/>
          </w:rPr>
          <w:fldChar w:fldCharType="begin"/>
        </w:r>
        <w:r>
          <w:rPr>
            <w:b/>
            <w:bCs/>
            <w:sz w:val="24"/>
            <w:szCs w:val="24"/>
          </w:rPr>
          <w:instrText>NUMPAGES</w:instrText>
        </w:r>
        <w:r>
          <w:rPr>
            <w:b/>
            <w:bCs/>
            <w:sz w:val="24"/>
            <w:szCs w:val="24"/>
          </w:rPr>
          <w:fldChar w:fldCharType="separate"/>
        </w:r>
        <w:r w:rsidR="00B3037A">
          <w:rPr>
            <w:b/>
            <w:bCs/>
            <w:noProof/>
            <w:sz w:val="24"/>
            <w:szCs w:val="24"/>
          </w:rPr>
          <w:t>22</w:t>
        </w:r>
        <w:r>
          <w:rPr>
            <w:b/>
            <w:bCs/>
            <w:sz w:val="24"/>
            <w:szCs w:val="24"/>
          </w:rPr>
          <w:fldChar w:fldCharType="end"/>
        </w:r>
      </w:p>
    </w:sdtContent>
  </w:sdt>
  <w:p w14:paraId="4F701C65" w14:textId="77777777" w:rsidR="00290126" w:rsidRDefault="0029012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688395"/>
      <w:docPartObj>
        <w:docPartGallery w:val="Page Numbers (Top of Page)"/>
        <w:docPartUnique/>
      </w:docPartObj>
    </w:sdtPr>
    <w:sdtEndPr/>
    <w:sdtContent>
      <w:p w14:paraId="46B08B89" w14:textId="77777777" w:rsidR="00290126" w:rsidRDefault="00290126">
        <w:pPr>
          <w:pStyle w:val="Rodap"/>
          <w:jc w:val="right"/>
        </w:pPr>
        <w:r>
          <w:t xml:space="preserve">Página </w:t>
        </w:r>
        <w:r>
          <w:rPr>
            <w:b/>
            <w:bCs/>
            <w:sz w:val="24"/>
            <w:szCs w:val="24"/>
          </w:rPr>
          <w:fldChar w:fldCharType="begin"/>
        </w:r>
        <w:r>
          <w:rPr>
            <w:b/>
            <w:bCs/>
            <w:sz w:val="24"/>
            <w:szCs w:val="24"/>
          </w:rPr>
          <w:instrText>PAGE</w:instrText>
        </w:r>
        <w:r>
          <w:rPr>
            <w:b/>
            <w:bCs/>
            <w:sz w:val="24"/>
            <w:szCs w:val="24"/>
          </w:rPr>
          <w:fldChar w:fldCharType="separate"/>
        </w:r>
        <w:r w:rsidR="00694AD8">
          <w:rPr>
            <w:b/>
            <w:bCs/>
            <w:noProof/>
            <w:sz w:val="24"/>
            <w:szCs w:val="24"/>
          </w:rPr>
          <w:t>1</w:t>
        </w:r>
        <w:r>
          <w:rPr>
            <w:b/>
            <w:bCs/>
            <w:sz w:val="24"/>
            <w:szCs w:val="24"/>
          </w:rPr>
          <w:fldChar w:fldCharType="end"/>
        </w:r>
        <w:r>
          <w:t xml:space="preserve"> de </w:t>
        </w:r>
        <w:r>
          <w:rPr>
            <w:b/>
            <w:bCs/>
            <w:sz w:val="24"/>
            <w:szCs w:val="24"/>
          </w:rPr>
          <w:fldChar w:fldCharType="begin"/>
        </w:r>
        <w:r>
          <w:rPr>
            <w:b/>
            <w:bCs/>
            <w:sz w:val="24"/>
            <w:szCs w:val="24"/>
          </w:rPr>
          <w:instrText>NUMPAGES</w:instrText>
        </w:r>
        <w:r>
          <w:rPr>
            <w:b/>
            <w:bCs/>
            <w:sz w:val="24"/>
            <w:szCs w:val="24"/>
          </w:rPr>
          <w:fldChar w:fldCharType="separate"/>
        </w:r>
        <w:r w:rsidR="00694AD8">
          <w:rPr>
            <w:b/>
            <w:bCs/>
            <w:noProof/>
            <w:sz w:val="24"/>
            <w:szCs w:val="24"/>
          </w:rPr>
          <w:t>21</w:t>
        </w:r>
        <w:r>
          <w:rPr>
            <w:b/>
            <w:bCs/>
            <w:sz w:val="24"/>
            <w:szCs w:val="24"/>
          </w:rPr>
          <w:fldChar w:fldCharType="end"/>
        </w:r>
      </w:p>
    </w:sdtContent>
  </w:sdt>
  <w:p w14:paraId="7DE5F369" w14:textId="77777777" w:rsidR="00290126" w:rsidRDefault="0029012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9EAB6" w14:textId="77777777" w:rsidR="002C7C6B" w:rsidRDefault="002C7C6B">
      <w:r>
        <w:separator/>
      </w:r>
    </w:p>
  </w:footnote>
  <w:footnote w:type="continuationSeparator" w:id="0">
    <w:p w14:paraId="1BEE406F" w14:textId="77777777" w:rsidR="002C7C6B" w:rsidRDefault="002C7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58C34" w14:textId="77777777" w:rsidR="00290126" w:rsidRDefault="00290126">
    <w:pPr>
      <w:jc w:val="center"/>
      <w:rPr>
        <w:rFonts w:ascii="Calibri" w:hAnsi="Calibri" w:cs="Calibri"/>
      </w:rPr>
    </w:pPr>
    <w:r>
      <w:rPr>
        <w:noProof/>
        <w:lang w:eastAsia="pt-BR"/>
      </w:rPr>
      <w:drawing>
        <wp:inline distT="0" distB="0" distL="0" distR="0" wp14:anchorId="0F8E017E" wp14:editId="55DBE56F">
          <wp:extent cx="813435" cy="668655"/>
          <wp:effectExtent l="0" t="0" r="0" b="0"/>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pic:cNvPicPr>
                    <a:picLocks noChangeAspect="1" noChangeArrowheads="1"/>
                  </pic:cNvPicPr>
                </pic:nvPicPr>
                <pic:blipFill>
                  <a:blip r:embed="rId1"/>
                  <a:stretch>
                    <a:fillRect/>
                  </a:stretch>
                </pic:blipFill>
                <pic:spPr bwMode="auto">
                  <a:xfrm>
                    <a:off x="0" y="0"/>
                    <a:ext cx="813435" cy="668655"/>
                  </a:xfrm>
                  <a:prstGeom prst="rect">
                    <a:avLst/>
                  </a:prstGeom>
                </pic:spPr>
              </pic:pic>
            </a:graphicData>
          </a:graphic>
        </wp:inline>
      </w:drawing>
    </w:r>
  </w:p>
  <w:p w14:paraId="68E08719" w14:textId="77777777" w:rsidR="00290126" w:rsidRDefault="00290126">
    <w:pPr>
      <w:pStyle w:val="Ttulo1"/>
      <w:numPr>
        <w:ilvl w:val="0"/>
        <w:numId w:val="1"/>
      </w:numPr>
      <w:tabs>
        <w:tab w:val="left" w:pos="0"/>
      </w:tabs>
      <w:rPr>
        <w:rFonts w:ascii="Calibri" w:hAnsi="Calibri" w:cs="Calibri"/>
      </w:rPr>
    </w:pPr>
    <w:r>
      <w:rPr>
        <w:rFonts w:ascii="Calibri" w:hAnsi="Calibri" w:cs="Calibri"/>
        <w:sz w:val="20"/>
      </w:rPr>
      <w:t>Ministério da Educação</w:t>
    </w:r>
  </w:p>
  <w:p w14:paraId="08ABAC9E" w14:textId="77777777" w:rsidR="00290126" w:rsidRDefault="00290126">
    <w:pPr>
      <w:pStyle w:val="Cabealho"/>
      <w:jc w:val="center"/>
      <w:rPr>
        <w:rFonts w:ascii="Calibri" w:hAnsi="Calibri" w:cs="Calibri"/>
        <w:b/>
      </w:rPr>
    </w:pPr>
    <w:r>
      <w:rPr>
        <w:rFonts w:ascii="Calibri" w:hAnsi="Calibri" w:cs="Calibri"/>
        <w:b/>
      </w:rPr>
      <w:t>Universidade Federal do Triângulo Mineiro</w:t>
    </w:r>
  </w:p>
  <w:p w14:paraId="3D09D768" w14:textId="77777777" w:rsidR="00290126" w:rsidRDefault="00290126">
    <w:pPr>
      <w:pStyle w:val="Cabealho"/>
      <w:jc w:val="center"/>
      <w:rPr>
        <w:rFonts w:ascii="Calibri" w:hAnsi="Calibri" w:cs="Calibri"/>
        <w:b/>
        <w:bCs/>
        <w:color w:val="999999"/>
        <w:sz w:val="16"/>
        <w:szCs w:val="16"/>
      </w:rPr>
    </w:pPr>
    <w:r>
      <w:rPr>
        <w:rFonts w:ascii="Calibri" w:hAnsi="Calibri" w:cs="Calibri"/>
        <w:b/>
      </w:rPr>
      <w:t xml:space="preserve">Comitê de Ética em Pesquisa – CEP </w:t>
    </w:r>
  </w:p>
  <w:p w14:paraId="3D99787D" w14:textId="77777777" w:rsidR="00290126" w:rsidRDefault="00290126">
    <w:pPr>
      <w:pStyle w:val="Rodap"/>
      <w:pBdr>
        <w:bottom w:val="single" w:sz="8" w:space="2" w:color="000000"/>
      </w:pBdr>
      <w:jc w:val="center"/>
      <w:rPr>
        <w:rFonts w:ascii="Calibri" w:hAnsi="Calibri" w:cs="Calibri"/>
        <w:b/>
        <w:bCs/>
        <w:color w:val="999999"/>
        <w:sz w:val="16"/>
        <w:szCs w:val="16"/>
      </w:rPr>
    </w:pPr>
    <w:r>
      <w:rPr>
        <w:rFonts w:ascii="Calibri" w:hAnsi="Calibri" w:cs="Calibri"/>
        <w:b/>
        <w:bCs/>
        <w:color w:val="999999"/>
        <w:sz w:val="16"/>
        <w:szCs w:val="16"/>
      </w:rPr>
      <w:t xml:space="preserve">Av. Getúlio </w:t>
    </w:r>
    <w:proofErr w:type="spellStart"/>
    <w:r>
      <w:rPr>
        <w:rFonts w:ascii="Calibri" w:hAnsi="Calibri" w:cs="Calibri"/>
        <w:b/>
        <w:bCs/>
        <w:color w:val="999999"/>
        <w:sz w:val="16"/>
        <w:szCs w:val="16"/>
      </w:rPr>
      <w:t>Guaritá</w:t>
    </w:r>
    <w:proofErr w:type="spellEnd"/>
    <w:r>
      <w:rPr>
        <w:rFonts w:ascii="Calibri" w:hAnsi="Calibri" w:cs="Calibri"/>
        <w:b/>
        <w:bCs/>
        <w:color w:val="999999"/>
        <w:sz w:val="16"/>
        <w:szCs w:val="16"/>
      </w:rPr>
      <w:t xml:space="preserve">, 159, Casa das Comissões, – Bairro Abadia – CEP: 38025-440 – Uberaba-MG </w:t>
    </w:r>
  </w:p>
  <w:p w14:paraId="43B026BB" w14:textId="77777777" w:rsidR="00290126" w:rsidRDefault="00290126">
    <w:pPr>
      <w:pStyle w:val="Rodap"/>
      <w:pBdr>
        <w:bottom w:val="single" w:sz="8" w:space="2" w:color="000000"/>
      </w:pBdr>
      <w:jc w:val="center"/>
      <w:rPr>
        <w:color w:val="auto"/>
      </w:rPr>
    </w:pPr>
    <w:r>
      <w:rPr>
        <w:rFonts w:ascii="Calibri" w:hAnsi="Calibri" w:cs="Calibri"/>
        <w:b/>
        <w:bCs/>
        <w:color w:val="999999"/>
        <w:sz w:val="16"/>
        <w:szCs w:val="16"/>
      </w:rPr>
      <w:t xml:space="preserve"> Telefone (34) 3700-6803 – E-mail: </w:t>
    </w:r>
    <w:hyperlink r:id="rId2">
      <w:r>
        <w:rPr>
          <w:rStyle w:val="LinkdaInternet"/>
          <w:rFonts w:ascii="Calibri" w:hAnsi="Calibri" w:cs="Calibri"/>
          <w:b/>
          <w:bCs/>
          <w:color w:val="999999"/>
          <w:sz w:val="16"/>
          <w:szCs w:val="16"/>
        </w:rPr>
        <w:t>cep@uftm.edu.b</w:t>
      </w:r>
    </w:hyperlink>
    <w:r>
      <w:rPr>
        <w:rStyle w:val="LinkdaInternet"/>
        <w:rFonts w:ascii="Calibri" w:hAnsi="Calibri" w:cs="Calibri"/>
        <w:b/>
        <w:bCs/>
        <w:color w:val="999999"/>
        <w:sz w:val="16"/>
        <w:szCs w:val="16"/>
      </w:rPr>
      <w:t>r</w:t>
    </w:r>
  </w:p>
  <w:p w14:paraId="57CAAD2C" w14:textId="77777777" w:rsidR="00290126" w:rsidRDefault="00290126">
    <w:pPr>
      <w:pStyle w:val="Cabealho"/>
      <w:jc w:val="center"/>
      <w:rPr>
        <w:b/>
        <w:sz w:val="18"/>
        <w:szCs w:val="18"/>
      </w:rPr>
    </w:pPr>
  </w:p>
  <w:p w14:paraId="156257A4" w14:textId="77777777" w:rsidR="00290126" w:rsidRDefault="00290126">
    <w:pPr>
      <w:widowControl w:val="0"/>
      <w:suppressAutoHyphens w:val="0"/>
      <w:jc w:val="center"/>
      <w:rPr>
        <w:b/>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6DF59" w14:textId="77777777" w:rsidR="00290126" w:rsidRDefault="00290126">
    <w:pPr>
      <w:jc w:val="center"/>
      <w:rPr>
        <w:rFonts w:ascii="Calibri" w:hAnsi="Calibri" w:cs="Calibri"/>
      </w:rPr>
    </w:pPr>
    <w:r>
      <w:rPr>
        <w:noProof/>
        <w:lang w:eastAsia="pt-BR"/>
      </w:rPr>
      <w:drawing>
        <wp:inline distT="0" distB="0" distL="0" distR="0" wp14:anchorId="6FFDC909" wp14:editId="761645D1">
          <wp:extent cx="802640" cy="659130"/>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802640" cy="659130"/>
                  </a:xfrm>
                  <a:prstGeom prst="rect">
                    <a:avLst/>
                  </a:prstGeom>
                </pic:spPr>
              </pic:pic>
            </a:graphicData>
          </a:graphic>
        </wp:inline>
      </w:drawing>
    </w:r>
  </w:p>
  <w:p w14:paraId="59B32143" w14:textId="77777777" w:rsidR="00290126" w:rsidRDefault="00290126">
    <w:pPr>
      <w:pStyle w:val="Ttulo1"/>
      <w:numPr>
        <w:ilvl w:val="0"/>
        <w:numId w:val="1"/>
      </w:numPr>
      <w:tabs>
        <w:tab w:val="left" w:pos="0"/>
      </w:tabs>
      <w:rPr>
        <w:rFonts w:ascii="Calibri" w:hAnsi="Calibri" w:cs="Calibri"/>
      </w:rPr>
    </w:pPr>
    <w:r>
      <w:rPr>
        <w:rFonts w:ascii="Calibri" w:hAnsi="Calibri" w:cs="Calibri"/>
        <w:sz w:val="20"/>
      </w:rPr>
      <w:t>Ministério da Educação</w:t>
    </w:r>
  </w:p>
  <w:p w14:paraId="480FEF91" w14:textId="77777777" w:rsidR="00290126" w:rsidRDefault="00290126">
    <w:pPr>
      <w:pStyle w:val="Cabealho"/>
      <w:jc w:val="center"/>
      <w:rPr>
        <w:rFonts w:ascii="Calibri" w:hAnsi="Calibri" w:cs="Calibri"/>
        <w:b/>
      </w:rPr>
    </w:pPr>
    <w:r>
      <w:rPr>
        <w:rFonts w:ascii="Calibri" w:hAnsi="Calibri" w:cs="Calibri"/>
        <w:b/>
      </w:rPr>
      <w:t>Universidade Federal do Triângulo Mineiro</w:t>
    </w:r>
  </w:p>
  <w:p w14:paraId="26665A8E" w14:textId="77777777" w:rsidR="00290126" w:rsidRDefault="00290126">
    <w:pPr>
      <w:pStyle w:val="Cabealho"/>
      <w:jc w:val="center"/>
      <w:rPr>
        <w:rFonts w:ascii="Calibri" w:hAnsi="Calibri" w:cs="Calibri"/>
        <w:b/>
        <w:bCs/>
        <w:color w:val="999999"/>
        <w:sz w:val="16"/>
        <w:szCs w:val="16"/>
      </w:rPr>
    </w:pPr>
    <w:r>
      <w:rPr>
        <w:rFonts w:ascii="Calibri" w:hAnsi="Calibri" w:cs="Calibri"/>
        <w:b/>
      </w:rPr>
      <w:t xml:space="preserve">Comitê de Ética em Pesquisa – CEP </w:t>
    </w:r>
  </w:p>
  <w:p w14:paraId="3FACBB00" w14:textId="77777777" w:rsidR="00290126" w:rsidRDefault="00290126">
    <w:pPr>
      <w:pStyle w:val="Rodap"/>
      <w:pBdr>
        <w:bottom w:val="single" w:sz="8" w:space="2" w:color="000000"/>
      </w:pBdr>
      <w:jc w:val="center"/>
      <w:rPr>
        <w:rFonts w:ascii="Calibri" w:hAnsi="Calibri" w:cs="Calibri"/>
        <w:b/>
        <w:bCs/>
        <w:color w:val="999999"/>
        <w:sz w:val="16"/>
        <w:szCs w:val="16"/>
      </w:rPr>
    </w:pPr>
    <w:bookmarkStart w:id="2" w:name="__DdeLink__313_1277424357"/>
    <w:r>
      <w:rPr>
        <w:rFonts w:ascii="Calibri" w:hAnsi="Calibri" w:cs="Calibri"/>
        <w:b/>
        <w:bCs/>
        <w:color w:val="999999"/>
        <w:sz w:val="16"/>
        <w:szCs w:val="16"/>
      </w:rPr>
      <w:t xml:space="preserve">Av. Getúlio </w:t>
    </w:r>
    <w:proofErr w:type="spellStart"/>
    <w:r>
      <w:rPr>
        <w:rFonts w:ascii="Calibri" w:hAnsi="Calibri" w:cs="Calibri"/>
        <w:b/>
        <w:bCs/>
        <w:color w:val="999999"/>
        <w:sz w:val="16"/>
        <w:szCs w:val="16"/>
      </w:rPr>
      <w:t>Guaritá</w:t>
    </w:r>
    <w:proofErr w:type="spellEnd"/>
    <w:r>
      <w:rPr>
        <w:rFonts w:ascii="Calibri" w:hAnsi="Calibri" w:cs="Calibri"/>
        <w:b/>
        <w:bCs/>
        <w:color w:val="999999"/>
        <w:sz w:val="16"/>
        <w:szCs w:val="16"/>
      </w:rPr>
      <w:t xml:space="preserve">, 159, Casa das Comissões, – Bairro Abadia – CEP: 38025-440 – Uberaba-MG </w:t>
    </w:r>
  </w:p>
  <w:p w14:paraId="608EB86E" w14:textId="77777777" w:rsidR="00290126" w:rsidRDefault="00290126">
    <w:pPr>
      <w:pStyle w:val="Rodap"/>
      <w:pBdr>
        <w:bottom w:val="single" w:sz="8" w:space="2" w:color="000000"/>
      </w:pBdr>
      <w:jc w:val="center"/>
      <w:rPr>
        <w:color w:val="auto"/>
      </w:rPr>
    </w:pPr>
    <w:r>
      <w:rPr>
        <w:rFonts w:ascii="Calibri" w:hAnsi="Calibri" w:cs="Calibri"/>
        <w:b/>
        <w:bCs/>
        <w:color w:val="999999"/>
        <w:sz w:val="16"/>
        <w:szCs w:val="16"/>
      </w:rPr>
      <w:t xml:space="preserve"> Telefone (34)</w:t>
    </w:r>
    <w:bookmarkStart w:id="3" w:name="__DdeLink__117_1271368498"/>
    <w:r>
      <w:rPr>
        <w:rFonts w:ascii="Calibri" w:hAnsi="Calibri" w:cs="Calibri"/>
        <w:b/>
        <w:bCs/>
        <w:color w:val="999999"/>
        <w:sz w:val="16"/>
        <w:szCs w:val="16"/>
      </w:rPr>
      <w:t xml:space="preserve"> 3700-</w:t>
    </w:r>
    <w:bookmarkEnd w:id="3"/>
    <w:r>
      <w:rPr>
        <w:rFonts w:ascii="Calibri" w:hAnsi="Calibri" w:cs="Calibri"/>
        <w:b/>
        <w:bCs/>
        <w:color w:val="999999"/>
        <w:sz w:val="16"/>
        <w:szCs w:val="16"/>
      </w:rPr>
      <w:t xml:space="preserve">6803 – E-mail: </w:t>
    </w:r>
    <w:hyperlink r:id="rId2">
      <w:bookmarkEnd w:id="2"/>
      <w:r>
        <w:rPr>
          <w:rStyle w:val="LinkdaInternet"/>
          <w:rFonts w:ascii="Calibri" w:hAnsi="Calibri" w:cs="Calibri"/>
          <w:b/>
          <w:bCs/>
          <w:color w:val="999999"/>
          <w:sz w:val="16"/>
          <w:szCs w:val="16"/>
        </w:rPr>
        <w:t>cep@uftm.edu.b</w:t>
      </w:r>
    </w:hyperlink>
    <w:r>
      <w:rPr>
        <w:rStyle w:val="LinkdaInternet"/>
        <w:rFonts w:ascii="Calibri" w:hAnsi="Calibri" w:cs="Calibri"/>
        <w:b/>
        <w:bCs/>
        <w:color w:val="999999"/>
        <w:sz w:val="16"/>
        <w:szCs w:val="16"/>
      </w:rPr>
      <w:t>r</w:t>
    </w:r>
  </w:p>
  <w:p w14:paraId="5E462E19" w14:textId="77777777" w:rsidR="00290126" w:rsidRDefault="00290126">
    <w:pPr>
      <w:pStyle w:val="Cabealho"/>
      <w:jc w:val="center"/>
      <w:rPr>
        <w:rFonts w:ascii="Calibri" w:hAnsi="Calibri" w:cs="Calibri"/>
        <w:b/>
        <w:sz w:val="22"/>
        <w:szCs w:val="22"/>
      </w:rPr>
    </w:pPr>
  </w:p>
  <w:p w14:paraId="456362A1" w14:textId="77777777" w:rsidR="00290126" w:rsidRDefault="00290126">
    <w:pPr>
      <w:widowControl w:val="0"/>
      <w:suppressAutoHyphens w:val="0"/>
      <w:jc w:val="center"/>
      <w:rPr>
        <w:rFonts w:ascii="Calibri" w:hAnsi="Calibri" w:cs="Calibri"/>
        <w:b/>
        <w:color w:val="B2B2B2"/>
        <w:sz w:val="22"/>
        <w:szCs w:val="22"/>
      </w:rPr>
    </w:pPr>
    <w:r>
      <w:rPr>
        <w:rFonts w:ascii="Calibri" w:hAnsi="Calibri" w:cs="Calibri"/>
        <w:b/>
        <w:sz w:val="22"/>
        <w:szCs w:val="22"/>
      </w:rPr>
      <w:t>CEP/UFTM – PROTOCOLO DE PROJETO DE PESQUISA COM ENVOLVIMENTO DE SERES HUMANOS</w:t>
    </w:r>
  </w:p>
  <w:p w14:paraId="10CB8366" w14:textId="77777777" w:rsidR="00290126" w:rsidRDefault="00290126">
    <w:pPr>
      <w:pStyle w:val="Cabealho"/>
      <w:jc w:val="center"/>
      <w:rPr>
        <w:rFonts w:ascii="Calibri" w:hAnsi="Calibri" w:cs="Calibri"/>
        <w:b/>
        <w:color w:val="B2B2B2"/>
        <w:sz w:val="22"/>
        <w:szCs w:val="22"/>
      </w:rPr>
    </w:pPr>
    <w:r>
      <w:rPr>
        <w:rFonts w:ascii="Calibri" w:hAnsi="Calibri" w:cs="Calibri"/>
        <w:b/>
        <w:color w:val="B2B2B2"/>
        <w:sz w:val="22"/>
        <w:szCs w:val="22"/>
      </w:rPr>
      <w:t>(Este protocolo foi desenvolvido em consonância com as Resoluções 466/12 e 510/16 – do Conselho Nacional de Saúde (CNS) e Norma Operacional nº001/13 CNS).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03E38"/>
    <w:multiLevelType w:val="multilevel"/>
    <w:tmpl w:val="5B2E67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86E55BF"/>
    <w:multiLevelType w:val="hybridMultilevel"/>
    <w:tmpl w:val="97B8D52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8E03B9"/>
    <w:multiLevelType w:val="hybridMultilevel"/>
    <w:tmpl w:val="F1D89D3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6F4F7BC7"/>
    <w:multiLevelType w:val="multilevel"/>
    <w:tmpl w:val="B646103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7B58364D"/>
    <w:multiLevelType w:val="multilevel"/>
    <w:tmpl w:val="BA804CC8"/>
    <w:lvl w:ilvl="0">
      <w:start w:val="14"/>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D865D43"/>
    <w:multiLevelType w:val="hybridMultilevel"/>
    <w:tmpl w:val="348A1708"/>
    <w:lvl w:ilvl="0" w:tplc="0416000B">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16cid:durableId="1778671440">
    <w:abstractNumId w:val="3"/>
  </w:num>
  <w:num w:numId="2" w16cid:durableId="601651531">
    <w:abstractNumId w:val="4"/>
  </w:num>
  <w:num w:numId="3" w16cid:durableId="1902253385">
    <w:abstractNumId w:val="0"/>
  </w:num>
  <w:num w:numId="4" w16cid:durableId="1953660796">
    <w:abstractNumId w:val="1"/>
  </w:num>
  <w:num w:numId="5" w16cid:durableId="659385421">
    <w:abstractNumId w:val="5"/>
  </w:num>
  <w:num w:numId="6" w16cid:durableId="1304583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6"/>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7F"/>
    <w:rsid w:val="00025269"/>
    <w:rsid w:val="000424EB"/>
    <w:rsid w:val="00047EB3"/>
    <w:rsid w:val="0005028D"/>
    <w:rsid w:val="00072ED6"/>
    <w:rsid w:val="000748E0"/>
    <w:rsid w:val="000B0981"/>
    <w:rsid w:val="000C3300"/>
    <w:rsid w:val="001033D0"/>
    <w:rsid w:val="00117230"/>
    <w:rsid w:val="001356CF"/>
    <w:rsid w:val="00143F0B"/>
    <w:rsid w:val="00154149"/>
    <w:rsid w:val="00162B94"/>
    <w:rsid w:val="001738CC"/>
    <w:rsid w:val="001D27BF"/>
    <w:rsid w:val="001D3EF0"/>
    <w:rsid w:val="00235999"/>
    <w:rsid w:val="00246375"/>
    <w:rsid w:val="00290126"/>
    <w:rsid w:val="002A77E9"/>
    <w:rsid w:val="002C7C6B"/>
    <w:rsid w:val="002E1118"/>
    <w:rsid w:val="002E25C3"/>
    <w:rsid w:val="002E70A5"/>
    <w:rsid w:val="002F541E"/>
    <w:rsid w:val="00311782"/>
    <w:rsid w:val="003177BE"/>
    <w:rsid w:val="00371732"/>
    <w:rsid w:val="003929B1"/>
    <w:rsid w:val="003C5B83"/>
    <w:rsid w:val="003C60CD"/>
    <w:rsid w:val="003D1FB5"/>
    <w:rsid w:val="003E083F"/>
    <w:rsid w:val="00432ACD"/>
    <w:rsid w:val="00457F2D"/>
    <w:rsid w:val="00465180"/>
    <w:rsid w:val="00496400"/>
    <w:rsid w:val="00497B1F"/>
    <w:rsid w:val="004B3425"/>
    <w:rsid w:val="004C4E2B"/>
    <w:rsid w:val="004D051F"/>
    <w:rsid w:val="004E30FD"/>
    <w:rsid w:val="00512DE6"/>
    <w:rsid w:val="00514F4D"/>
    <w:rsid w:val="00533E3E"/>
    <w:rsid w:val="00535921"/>
    <w:rsid w:val="0053727E"/>
    <w:rsid w:val="00571E82"/>
    <w:rsid w:val="00574F2D"/>
    <w:rsid w:val="00581455"/>
    <w:rsid w:val="00587F0A"/>
    <w:rsid w:val="005D3C6C"/>
    <w:rsid w:val="005D45C9"/>
    <w:rsid w:val="005E173B"/>
    <w:rsid w:val="005F5B36"/>
    <w:rsid w:val="005F6F8A"/>
    <w:rsid w:val="00605E67"/>
    <w:rsid w:val="0061447A"/>
    <w:rsid w:val="00633B1D"/>
    <w:rsid w:val="00640F1B"/>
    <w:rsid w:val="006735C1"/>
    <w:rsid w:val="006767E7"/>
    <w:rsid w:val="00681A5A"/>
    <w:rsid w:val="006864B7"/>
    <w:rsid w:val="00691D01"/>
    <w:rsid w:val="00694AD8"/>
    <w:rsid w:val="006A188E"/>
    <w:rsid w:val="006B309F"/>
    <w:rsid w:val="006C52D5"/>
    <w:rsid w:val="006C6E9D"/>
    <w:rsid w:val="006D6934"/>
    <w:rsid w:val="00701E7F"/>
    <w:rsid w:val="00705210"/>
    <w:rsid w:val="00750EDE"/>
    <w:rsid w:val="007B4D0A"/>
    <w:rsid w:val="007E6E3B"/>
    <w:rsid w:val="00803741"/>
    <w:rsid w:val="00804C32"/>
    <w:rsid w:val="00805EE3"/>
    <w:rsid w:val="0081457B"/>
    <w:rsid w:val="00862E45"/>
    <w:rsid w:val="00884F3F"/>
    <w:rsid w:val="008938B8"/>
    <w:rsid w:val="00925BD8"/>
    <w:rsid w:val="009321CE"/>
    <w:rsid w:val="0095309D"/>
    <w:rsid w:val="00963582"/>
    <w:rsid w:val="0098612E"/>
    <w:rsid w:val="009C0B43"/>
    <w:rsid w:val="009C292D"/>
    <w:rsid w:val="009D6061"/>
    <w:rsid w:val="00A0169B"/>
    <w:rsid w:val="00A14944"/>
    <w:rsid w:val="00A45C8C"/>
    <w:rsid w:val="00A62881"/>
    <w:rsid w:val="00A7519E"/>
    <w:rsid w:val="00A91659"/>
    <w:rsid w:val="00AB2540"/>
    <w:rsid w:val="00AC64F1"/>
    <w:rsid w:val="00B24FEE"/>
    <w:rsid w:val="00B253A1"/>
    <w:rsid w:val="00B3037A"/>
    <w:rsid w:val="00B4564A"/>
    <w:rsid w:val="00B458D4"/>
    <w:rsid w:val="00B566D4"/>
    <w:rsid w:val="00B70A86"/>
    <w:rsid w:val="00B83B52"/>
    <w:rsid w:val="00BB63A4"/>
    <w:rsid w:val="00BD4527"/>
    <w:rsid w:val="00BE2905"/>
    <w:rsid w:val="00BF3089"/>
    <w:rsid w:val="00C40748"/>
    <w:rsid w:val="00C54F8C"/>
    <w:rsid w:val="00C84513"/>
    <w:rsid w:val="00C90045"/>
    <w:rsid w:val="00C94077"/>
    <w:rsid w:val="00CD01CD"/>
    <w:rsid w:val="00CE31AC"/>
    <w:rsid w:val="00CF1EFA"/>
    <w:rsid w:val="00CF6055"/>
    <w:rsid w:val="00D044E8"/>
    <w:rsid w:val="00D368DD"/>
    <w:rsid w:val="00D4541C"/>
    <w:rsid w:val="00D854F9"/>
    <w:rsid w:val="00D93461"/>
    <w:rsid w:val="00DB1BEB"/>
    <w:rsid w:val="00DC3CE1"/>
    <w:rsid w:val="00DD77F1"/>
    <w:rsid w:val="00E30DB2"/>
    <w:rsid w:val="00E341CF"/>
    <w:rsid w:val="00E45395"/>
    <w:rsid w:val="00E47E39"/>
    <w:rsid w:val="00E51B0A"/>
    <w:rsid w:val="00E553E6"/>
    <w:rsid w:val="00E64AB2"/>
    <w:rsid w:val="00EA1763"/>
    <w:rsid w:val="00EB2EFF"/>
    <w:rsid w:val="00EC16FC"/>
    <w:rsid w:val="00EC3554"/>
    <w:rsid w:val="00EC682A"/>
    <w:rsid w:val="00EE0154"/>
    <w:rsid w:val="00EE58F4"/>
    <w:rsid w:val="00F062AA"/>
    <w:rsid w:val="00F52628"/>
    <w:rsid w:val="00F84214"/>
    <w:rsid w:val="00F91DF9"/>
    <w:rsid w:val="00F945CE"/>
    <w:rsid w:val="00FA44D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2B8AB"/>
  <w15:docId w15:val="{A05F5917-FD97-D54A-9445-879342A8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pt-B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color w:val="00000A"/>
      <w:sz w:val="20"/>
      <w:szCs w:val="20"/>
      <w:lang w:bidi="ar-SA"/>
    </w:rPr>
  </w:style>
  <w:style w:type="paragraph" w:styleId="Ttulo1">
    <w:name w:val="heading 1"/>
    <w:basedOn w:val="Normal"/>
    <w:next w:val="Normal"/>
    <w:uiPriority w:val="9"/>
    <w:qFormat/>
    <w:pPr>
      <w:keepNext/>
      <w:jc w:val="center"/>
      <w:outlineLvl w:val="0"/>
    </w:pPr>
    <w:rPr>
      <w:rFonts w:ascii="Arial" w:hAnsi="Arial" w:cs="Arial"/>
      <w:b/>
      <w:color w:val="000000"/>
      <w:sz w:val="16"/>
    </w:rPr>
  </w:style>
  <w:style w:type="paragraph" w:styleId="Ttulo2">
    <w:name w:val="heading 2"/>
    <w:basedOn w:val="Normal"/>
    <w:next w:val="Normal"/>
    <w:uiPriority w:val="9"/>
    <w:unhideWhenUsed/>
    <w:qFormat/>
    <w:pPr>
      <w:keepNext/>
      <w:jc w:val="center"/>
      <w:outlineLvl w:val="1"/>
    </w:pPr>
    <w:rPr>
      <w:rFonts w:ascii="Arial" w:hAnsi="Arial" w:cs="Arial"/>
      <w:b/>
      <w:color w:val="000000"/>
      <w:sz w:val="18"/>
    </w:rPr>
  </w:style>
  <w:style w:type="paragraph" w:styleId="Ttulo3">
    <w:name w:val="heading 3"/>
    <w:basedOn w:val="Normal"/>
    <w:next w:val="Normal"/>
    <w:uiPriority w:val="9"/>
    <w:unhideWhenUsed/>
    <w:qFormat/>
    <w:pPr>
      <w:keepNext/>
      <w:jc w:val="center"/>
      <w:outlineLvl w:val="2"/>
    </w:pPr>
    <w:rPr>
      <w:b/>
      <w:sz w:val="28"/>
      <w:lang w:val="en-US"/>
    </w:rPr>
  </w:style>
  <w:style w:type="paragraph" w:styleId="Ttulo4">
    <w:name w:val="heading 4"/>
    <w:basedOn w:val="Normal"/>
    <w:next w:val="Normal"/>
    <w:uiPriority w:val="9"/>
    <w:semiHidden/>
    <w:unhideWhenUsed/>
    <w:qFormat/>
    <w:pPr>
      <w:keepNext/>
      <w:jc w:val="center"/>
      <w:outlineLvl w:val="3"/>
    </w:pPr>
    <w:rPr>
      <w:sz w:val="24"/>
      <w:lang w:val="en-US"/>
    </w:rPr>
  </w:style>
  <w:style w:type="paragraph" w:styleId="Ttulo5">
    <w:name w:val="heading 5"/>
    <w:basedOn w:val="Normal"/>
    <w:next w:val="Normal"/>
    <w:uiPriority w:val="9"/>
    <w:semiHidden/>
    <w:unhideWhenUsed/>
    <w:qFormat/>
    <w:pPr>
      <w:keepNext/>
      <w:jc w:val="center"/>
      <w:outlineLvl w:val="4"/>
    </w:pPr>
    <w:rPr>
      <w:rFonts w:ascii="Arial" w:hAnsi="Arial" w:cs="Arial"/>
      <w:b/>
      <w:color w:val="808000"/>
      <w:sz w:val="28"/>
    </w:rPr>
  </w:style>
  <w:style w:type="paragraph" w:styleId="Ttulo6">
    <w:name w:val="heading 6"/>
    <w:basedOn w:val="Normal"/>
    <w:next w:val="Normal"/>
    <w:uiPriority w:val="9"/>
    <w:semiHidden/>
    <w:unhideWhenUsed/>
    <w:qFormat/>
    <w:pPr>
      <w:keepNext/>
      <w:spacing w:before="120" w:after="120"/>
      <w:jc w:val="both"/>
      <w:outlineLvl w:val="5"/>
    </w:pPr>
    <w:rPr>
      <w:caps/>
      <w:sz w:val="26"/>
    </w:rPr>
  </w:style>
  <w:style w:type="paragraph" w:styleId="Ttulo7">
    <w:name w:val="heading 7"/>
    <w:basedOn w:val="Normal"/>
    <w:next w:val="Normal"/>
    <w:qFormat/>
    <w:pPr>
      <w:keepNext/>
      <w:spacing w:line="480" w:lineRule="auto"/>
      <w:outlineLvl w:val="6"/>
    </w:pPr>
    <w:rPr>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4z1">
    <w:name w:val="WW8Num4z1"/>
    <w:qFormat/>
    <w:rPr>
      <w:rFonts w:ascii="Wingdings" w:hAnsi="Wingdings" w:cs="Wingdings"/>
    </w:rPr>
  </w:style>
  <w:style w:type="character" w:customStyle="1" w:styleId="WW8Num4z4">
    <w:name w:val="WW8Num4z4"/>
    <w:qFormat/>
    <w:rPr>
      <w:rFonts w:ascii="Courier New" w:hAnsi="Courier New" w:cs="Courier New"/>
    </w:rPr>
  </w:style>
  <w:style w:type="character" w:customStyle="1" w:styleId="WW8Num5z0">
    <w:name w:val="WW8Num5z0"/>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3">
    <w:name w:val="WW8Num5z3"/>
    <w:qFormat/>
    <w:rPr>
      <w:rFonts w:ascii="Symbol" w:hAnsi="Symbol" w:cs="Symbol"/>
    </w:rPr>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Fontepargpadro2">
    <w:name w:val="Fonte parág. padrão2"/>
    <w:qFormat/>
  </w:style>
  <w:style w:type="character" w:customStyle="1" w:styleId="Fontepargpadro1">
    <w:name w:val="Fonte parág. padrão1"/>
    <w:qFormat/>
  </w:style>
  <w:style w:type="character" w:styleId="Nmerodepgina">
    <w:name w:val="page number"/>
    <w:basedOn w:val="Fontepargpadro1"/>
    <w:qFormat/>
  </w:style>
  <w:style w:type="character" w:customStyle="1" w:styleId="Smbolosdenumerao">
    <w:name w:val="Símbolos de numeração"/>
    <w:qFormat/>
  </w:style>
  <w:style w:type="character" w:customStyle="1" w:styleId="LinkdaInternet">
    <w:name w:val="Link da Internet"/>
    <w:semiHidden/>
    <w:unhideWhenUsed/>
    <w:rPr>
      <w:color w:val="0000FF"/>
      <w:u w:val="single"/>
    </w:rPr>
  </w:style>
  <w:style w:type="character" w:customStyle="1" w:styleId="Linkdainternetvisitado">
    <w:name w:val="Link da internet visitado"/>
    <w:rPr>
      <w:color w:val="800080"/>
      <w:u w:val="single"/>
    </w:rPr>
  </w:style>
  <w:style w:type="character" w:customStyle="1" w:styleId="CharChar">
    <w:name w:val="Char Char"/>
    <w:qFormat/>
    <w:rPr>
      <w:lang w:val="pt-BR" w:bidi="ar-SA"/>
    </w:rPr>
  </w:style>
  <w:style w:type="character" w:styleId="Refdecomentrio">
    <w:name w:val="annotation reference"/>
    <w:qFormat/>
    <w:rPr>
      <w:sz w:val="16"/>
      <w:szCs w:val="16"/>
    </w:rPr>
  </w:style>
  <w:style w:type="character" w:customStyle="1" w:styleId="apple-converted-space">
    <w:name w:val="apple-converted-space"/>
    <w:basedOn w:val="Fontepargpadro"/>
    <w:qFormat/>
  </w:style>
  <w:style w:type="character" w:customStyle="1" w:styleId="Numeraodelinhas">
    <w:name w:val="Numeração de linhas"/>
    <w:basedOn w:val="Fontepargpadro"/>
  </w:style>
  <w:style w:type="character" w:customStyle="1" w:styleId="CharChar2">
    <w:name w:val="Char Char2"/>
    <w:qFormat/>
    <w:rPr>
      <w:b/>
      <w:sz w:val="28"/>
      <w:lang w:val="en-US"/>
    </w:rPr>
  </w:style>
  <w:style w:type="character" w:customStyle="1" w:styleId="CharChar1">
    <w:name w:val="Char Char1"/>
    <w:basedOn w:val="Fontepargpadro"/>
    <w:qFormat/>
  </w:style>
  <w:style w:type="character" w:customStyle="1" w:styleId="RodapChar">
    <w:name w:val="Rodapé Char"/>
    <w:basedOn w:val="Fontepargpadro"/>
    <w:link w:val="Rodap"/>
    <w:uiPriority w:val="99"/>
    <w:qFormat/>
    <w:rPr>
      <w:rFonts w:ascii="Times New Roman" w:eastAsia="Times New Roman" w:hAnsi="Times New Roman" w:cs="Times New Roman"/>
      <w:color w:val="00000A"/>
      <w:sz w:val="20"/>
      <w:szCs w:val="20"/>
      <w:lang w:bidi="ar-SA"/>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jc w:val="both"/>
    </w:pPr>
    <w:rPr>
      <w:rFonts w:ascii="Arial" w:hAnsi="Arial" w:cs="Arial"/>
      <w:sz w:val="28"/>
    </w:rPr>
  </w:style>
  <w:style w:type="paragraph" w:styleId="Lista">
    <w:name w:val="List"/>
    <w:basedOn w:val="Corpodetexto"/>
    <w:rPr>
      <w:rFonts w:cs="Tahoma"/>
    </w:rPr>
  </w:style>
  <w:style w:type="paragraph" w:styleId="Legenda">
    <w:name w:val="caption"/>
    <w:basedOn w:val="Normal"/>
    <w:qFormat/>
    <w:pPr>
      <w:suppressLineNumbers/>
      <w:spacing w:before="120" w:after="120"/>
    </w:pPr>
    <w:rPr>
      <w:rFonts w:cs="Mangal;Courier New"/>
      <w:i/>
      <w:iCs/>
      <w:sz w:val="24"/>
      <w:szCs w:val="24"/>
    </w:rPr>
  </w:style>
  <w:style w:type="paragraph" w:customStyle="1" w:styleId="ndice">
    <w:name w:val="Índice"/>
    <w:basedOn w:val="Normal"/>
    <w:qFormat/>
    <w:pPr>
      <w:suppressLineNumbers/>
    </w:pPr>
    <w:rPr>
      <w:rFonts w:cs="Tahoma"/>
    </w:rPr>
  </w:style>
  <w:style w:type="paragraph" w:customStyle="1" w:styleId="Ttulo10">
    <w:name w:val="Título1"/>
    <w:basedOn w:val="Normal"/>
    <w:next w:val="Corpodetexto"/>
    <w:qFormat/>
  </w:style>
  <w:style w:type="paragraph" w:customStyle="1" w:styleId="Ttulo11">
    <w:name w:val="Título1"/>
    <w:basedOn w:val="Normal"/>
    <w:qFormat/>
    <w:pPr>
      <w:keepNext/>
      <w:spacing w:before="240" w:after="120"/>
    </w:pPr>
    <w:rPr>
      <w:rFonts w:ascii="Arial" w:eastAsia="Lucida Sans Unicode" w:hAnsi="Arial" w:cs="Arial"/>
      <w:sz w:val="28"/>
      <w:szCs w:val="28"/>
    </w:rPr>
  </w:style>
  <w:style w:type="paragraph" w:customStyle="1" w:styleId="Legenda2">
    <w:name w:val="Legenda2"/>
    <w:basedOn w:val="Normal"/>
    <w:qFormat/>
    <w:pPr>
      <w:suppressLineNumbers/>
      <w:spacing w:before="120" w:after="120"/>
    </w:pPr>
    <w:rPr>
      <w:rFonts w:cs="Arial"/>
      <w:i/>
      <w:iCs/>
      <w:sz w:val="24"/>
      <w:szCs w:val="24"/>
    </w:rPr>
  </w:style>
  <w:style w:type="paragraph" w:customStyle="1" w:styleId="Captulo">
    <w:name w:val="Capítulo"/>
    <w:basedOn w:val="Normal"/>
    <w:qFormat/>
    <w:pPr>
      <w:keepNext/>
      <w:spacing w:before="240" w:after="120"/>
    </w:pPr>
    <w:rPr>
      <w:rFonts w:ascii="Arial" w:eastAsia="Lucida Sans Unicode" w:hAnsi="Arial" w:cs="Tahoma"/>
      <w:sz w:val="28"/>
      <w:szCs w:val="28"/>
    </w:rPr>
  </w:style>
  <w:style w:type="paragraph" w:customStyle="1" w:styleId="Legenda1">
    <w:name w:val="Legenda1"/>
    <w:basedOn w:val="Normal"/>
    <w:qFormat/>
    <w:pPr>
      <w:suppressLineNumbers/>
      <w:spacing w:before="120" w:after="120"/>
    </w:pPr>
    <w:rPr>
      <w:rFonts w:cs="Tahoma"/>
      <w:i/>
      <w:iCs/>
      <w:sz w:val="24"/>
      <w:szCs w:val="24"/>
    </w:rPr>
  </w:style>
  <w:style w:type="paragraph" w:customStyle="1" w:styleId="CabealhoeRodap">
    <w:name w:val="Cabeçalho e Rodapé"/>
    <w:basedOn w:val="Normal"/>
    <w:qFormat/>
  </w:style>
  <w:style w:type="paragraph" w:styleId="Cabealho">
    <w:name w:val="header"/>
    <w:basedOn w:val="Normal"/>
  </w:style>
  <w:style w:type="paragraph" w:styleId="Rodap">
    <w:name w:val="footer"/>
    <w:basedOn w:val="Normal"/>
    <w:link w:val="RodapChar"/>
    <w:uiPriority w:val="99"/>
  </w:style>
  <w:style w:type="paragraph" w:customStyle="1" w:styleId="Corpodetextorecuado">
    <w:name w:val="Corpo de texto recuado"/>
    <w:basedOn w:val="Normal"/>
    <w:qFormat/>
    <w:pPr>
      <w:ind w:firstLine="539"/>
    </w:pPr>
    <w:rPr>
      <w:rFonts w:ascii="Arial" w:hAnsi="Arial" w:cs="Arial"/>
      <w:caps/>
      <w:sz w:val="24"/>
      <w:lang w:val="en-US"/>
    </w:rPr>
  </w:style>
  <w:style w:type="paragraph" w:customStyle="1" w:styleId="Corpodetexto21">
    <w:name w:val="Corpo de texto 21"/>
    <w:basedOn w:val="Normal"/>
    <w:qFormat/>
    <w:rPr>
      <w:rFonts w:ascii="Arial" w:hAnsi="Arial" w:cs="Arial"/>
      <w:sz w:val="22"/>
    </w:rPr>
  </w:style>
  <w:style w:type="paragraph" w:customStyle="1" w:styleId="Contedodatabela">
    <w:name w:val="Conteúdo da tabela"/>
    <w:basedOn w:val="Normal"/>
    <w:qFormat/>
    <w:pPr>
      <w:suppressLineNumbers/>
    </w:pPr>
  </w:style>
  <w:style w:type="paragraph" w:customStyle="1" w:styleId="Ttulodatabela">
    <w:name w:val="Título da tabela"/>
    <w:basedOn w:val="Contedodatabela"/>
    <w:qFormat/>
    <w:pPr>
      <w:jc w:val="center"/>
    </w:pPr>
    <w:rPr>
      <w:b/>
      <w:bCs/>
    </w:rPr>
  </w:style>
  <w:style w:type="paragraph" w:customStyle="1" w:styleId="Contedodoquadro">
    <w:name w:val="Conteúdo do quadro"/>
    <w:basedOn w:val="Corpodetexto"/>
    <w:qFormat/>
  </w:style>
  <w:style w:type="paragraph" w:customStyle="1" w:styleId="Contedodetabela">
    <w:name w:val="Conteúdo de tabela"/>
    <w:basedOn w:val="Normal"/>
    <w:qFormat/>
    <w:pPr>
      <w:suppressLineNumbers/>
    </w:pPr>
  </w:style>
  <w:style w:type="paragraph" w:customStyle="1" w:styleId="Ttulodetabela">
    <w:name w:val="Título de tabela"/>
    <w:basedOn w:val="Contedodetabela"/>
    <w:qFormat/>
    <w:pPr>
      <w:jc w:val="center"/>
    </w:pPr>
    <w:rPr>
      <w:b/>
      <w:bCs/>
    </w:rPr>
  </w:style>
  <w:style w:type="paragraph" w:customStyle="1" w:styleId="Contedodequadro">
    <w:name w:val="Conteúdo de quadro"/>
    <w:basedOn w:val="Corpodetexto"/>
    <w:qFormat/>
  </w:style>
  <w:style w:type="paragraph" w:styleId="Textodecomentrio">
    <w:name w:val="annotation text"/>
    <w:basedOn w:val="Normal"/>
    <w:qFormat/>
  </w:style>
  <w:style w:type="paragraph" w:styleId="Textodebalo">
    <w:name w:val="Balloon Text"/>
    <w:basedOn w:val="Normal"/>
    <w:qFormat/>
    <w:rPr>
      <w:rFonts w:ascii="Tahoma" w:hAnsi="Tahoma" w:cs="Tahoma"/>
      <w:sz w:val="16"/>
      <w:szCs w:val="16"/>
    </w:rPr>
  </w:style>
  <w:style w:type="paragraph" w:customStyle="1" w:styleId="Default">
    <w:name w:val="Default"/>
    <w:qFormat/>
    <w:rPr>
      <w:rFonts w:ascii="Arial" w:eastAsia="Times New Roman" w:hAnsi="Arial" w:cs="Arial"/>
      <w:color w:val="000000"/>
      <w:lang w:bidi="ar-SA"/>
    </w:rPr>
  </w:style>
  <w:style w:type="paragraph" w:customStyle="1" w:styleId="Citaes">
    <w:name w:val="Citações"/>
    <w:basedOn w:val="Normal"/>
    <w:qFormat/>
    <w:pPr>
      <w:spacing w:after="283"/>
      <w:ind w:left="567" w:right="567"/>
    </w:pPr>
  </w:style>
  <w:style w:type="paragraph" w:styleId="Subttulo">
    <w:name w:val="Subtitle"/>
    <w:basedOn w:val="Normal"/>
    <w:uiPriority w:val="11"/>
    <w:qFormat/>
    <w:pPr>
      <w:spacing w:before="60" w:after="120"/>
      <w:jc w:val="center"/>
    </w:pPr>
    <w:rPr>
      <w:sz w:val="36"/>
      <w:szCs w:val="36"/>
    </w:rPr>
  </w:style>
  <w:style w:type="numbering" w:customStyle="1" w:styleId="WW8Num1">
    <w:name w:val="WW8Num1"/>
    <w:qFormat/>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D4541C"/>
    <w:pPr>
      <w:ind w:left="720"/>
      <w:contextualSpacing/>
    </w:pPr>
  </w:style>
  <w:style w:type="table" w:customStyle="1" w:styleId="Tabelacomgrade1">
    <w:name w:val="Tabela com grade1"/>
    <w:basedOn w:val="Tabelanormal"/>
    <w:next w:val="Tabelacomgrade"/>
    <w:uiPriority w:val="59"/>
    <w:rsid w:val="005D3C6C"/>
    <w:pPr>
      <w:suppressAutoHyphens w:val="0"/>
      <w:ind w:firstLine="709"/>
      <w:jc w:val="both"/>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9861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header" Target="header2.xml" /></Relationships>
</file>

<file path=word/_rels/header1.xml.rels><?xml version="1.0" encoding="UTF-8" standalone="yes"?>
<Relationships xmlns="http://schemas.openxmlformats.org/package/2006/relationships"><Relationship Id="rId2" Type="http://schemas.openxmlformats.org/officeDocument/2006/relationships/hyperlink" Target="mailto:cep@uftm.edu.br" TargetMode="External" /><Relationship Id="rId1" Type="http://schemas.openxmlformats.org/officeDocument/2006/relationships/image" Target="media/image1.wmf" /></Relationships>
</file>

<file path=word/_rels/header2.xml.rels><?xml version="1.0" encoding="UTF-8" standalone="yes"?>
<Relationships xmlns="http://schemas.openxmlformats.org/package/2006/relationships"><Relationship Id="rId2" Type="http://schemas.openxmlformats.org/officeDocument/2006/relationships/hyperlink" Target="mailto:cep@uftm.edu.br" TargetMode="External" /><Relationship Id="rId1" Type="http://schemas.openxmlformats.org/officeDocument/2006/relationships/image" Target="media/image1.wmf"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10243</Words>
  <Characters>55313</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FOLHA FRONTAL</vt:lpstr>
    </vt:vector>
  </TitlesOfParts>
  <Company/>
  <LinksUpToDate>false</LinksUpToDate>
  <CharactersWithSpaces>65426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FOLHA FRONTAL</dc:title>
  <dc:creator>Alessandra Cavalcanti</dc:creator>
  <cp:lastModifiedBy>Diovana  Torino</cp:lastModifiedBy>
  <cp:revision>15</cp:revision>
  <cp:lastPrinted>2022-10-21T13:03:00Z</cp:lastPrinted>
  <dcterms:created xsi:type="dcterms:W3CDTF">2025-10-16T01:00:00Z</dcterms:created>
  <dcterms:modified xsi:type="dcterms:W3CDTF">2025-10-16T01:11:00Z</dcterms:modified>
  <dc:language>pt-BR</dc:language>
</cp:coreProperties>
</file>