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4F8973" w14:textId="77777777" w:rsidR="00CD6054" w:rsidRDefault="00CD6054">
      <w:pPr>
        <w:pStyle w:val="BodyText"/>
        <w:rPr>
          <w:sz w:val="20"/>
        </w:rPr>
      </w:pPr>
    </w:p>
    <w:p w14:paraId="6D58B680" w14:textId="77777777" w:rsidR="00CD6054" w:rsidRDefault="00CD6054">
      <w:pPr>
        <w:pStyle w:val="BodyText"/>
        <w:rPr>
          <w:sz w:val="20"/>
        </w:rPr>
      </w:pPr>
    </w:p>
    <w:p w14:paraId="7F5E2F67" w14:textId="77777777" w:rsidR="00CD6054" w:rsidRDefault="00CD6054">
      <w:pPr>
        <w:pStyle w:val="BodyText"/>
        <w:rPr>
          <w:sz w:val="20"/>
        </w:rPr>
      </w:pPr>
    </w:p>
    <w:p w14:paraId="5B4D79A1" w14:textId="77777777" w:rsidR="00CD6054" w:rsidRDefault="00CD6054">
      <w:pPr>
        <w:pStyle w:val="BodyText"/>
        <w:rPr>
          <w:sz w:val="20"/>
        </w:rPr>
      </w:pPr>
    </w:p>
    <w:p w14:paraId="463FEF07" w14:textId="77777777" w:rsidR="00CD6054" w:rsidRDefault="00CD6054">
      <w:pPr>
        <w:pStyle w:val="BodyText"/>
        <w:rPr>
          <w:sz w:val="20"/>
        </w:rPr>
      </w:pPr>
    </w:p>
    <w:p w14:paraId="1DC1BBB5" w14:textId="77777777" w:rsidR="00CD6054" w:rsidRDefault="00CD6054">
      <w:pPr>
        <w:pStyle w:val="BodyText"/>
        <w:rPr>
          <w:sz w:val="20"/>
        </w:rPr>
      </w:pPr>
    </w:p>
    <w:p w14:paraId="2C4AD244" w14:textId="77777777" w:rsidR="00CD6054" w:rsidRDefault="00CD6054">
      <w:pPr>
        <w:pStyle w:val="BodyText"/>
        <w:rPr>
          <w:sz w:val="20"/>
        </w:rPr>
      </w:pPr>
    </w:p>
    <w:p w14:paraId="4D71476E" w14:textId="77777777" w:rsidR="00CD6054" w:rsidRDefault="00CD6054">
      <w:pPr>
        <w:pStyle w:val="BodyText"/>
        <w:rPr>
          <w:sz w:val="20"/>
        </w:rPr>
      </w:pPr>
    </w:p>
    <w:p w14:paraId="0DCE20CE" w14:textId="77777777" w:rsidR="00CD6054" w:rsidRDefault="00CD6054">
      <w:pPr>
        <w:pStyle w:val="BodyText"/>
        <w:rPr>
          <w:sz w:val="20"/>
        </w:rPr>
      </w:pPr>
    </w:p>
    <w:p w14:paraId="37CD2A25" w14:textId="77777777" w:rsidR="00CD6054" w:rsidRDefault="00CD6054">
      <w:pPr>
        <w:pStyle w:val="BodyText"/>
        <w:rPr>
          <w:sz w:val="20"/>
        </w:rPr>
      </w:pPr>
    </w:p>
    <w:p w14:paraId="54D6A6D4" w14:textId="77777777" w:rsidR="00CD6054" w:rsidRDefault="00CD6054">
      <w:pPr>
        <w:pStyle w:val="BodyText"/>
        <w:rPr>
          <w:sz w:val="20"/>
        </w:rPr>
      </w:pPr>
    </w:p>
    <w:p w14:paraId="49CB079B" w14:textId="77777777" w:rsidR="00CD6054" w:rsidRDefault="00CD6054">
      <w:pPr>
        <w:pStyle w:val="BodyText"/>
        <w:rPr>
          <w:sz w:val="20"/>
        </w:rPr>
      </w:pPr>
    </w:p>
    <w:p w14:paraId="0CEF9111" w14:textId="77777777" w:rsidR="00CD6054" w:rsidRDefault="00CD6054">
      <w:pPr>
        <w:pStyle w:val="BodyText"/>
        <w:rPr>
          <w:sz w:val="20"/>
        </w:rPr>
      </w:pPr>
    </w:p>
    <w:p w14:paraId="5D9CDECA" w14:textId="77777777" w:rsidR="00CD6054" w:rsidRDefault="00CD6054">
      <w:pPr>
        <w:pStyle w:val="BodyText"/>
        <w:rPr>
          <w:sz w:val="20"/>
        </w:rPr>
      </w:pPr>
    </w:p>
    <w:p w14:paraId="661BCC43" w14:textId="77777777" w:rsidR="00CD6054" w:rsidRDefault="00CD6054">
      <w:pPr>
        <w:pStyle w:val="BodyText"/>
        <w:rPr>
          <w:sz w:val="20"/>
        </w:rPr>
      </w:pPr>
    </w:p>
    <w:p w14:paraId="53782139" w14:textId="77777777" w:rsidR="00CD6054" w:rsidRDefault="00CD6054">
      <w:pPr>
        <w:pStyle w:val="BodyText"/>
        <w:rPr>
          <w:sz w:val="20"/>
        </w:rPr>
      </w:pPr>
    </w:p>
    <w:p w14:paraId="429F5D5A" w14:textId="77777777" w:rsidR="00CD6054" w:rsidRDefault="00CD6054">
      <w:pPr>
        <w:pStyle w:val="BodyText"/>
        <w:rPr>
          <w:sz w:val="20"/>
        </w:rPr>
      </w:pPr>
    </w:p>
    <w:p w14:paraId="76CD10C5" w14:textId="77777777" w:rsidR="00CD6054" w:rsidRDefault="00CD6054">
      <w:pPr>
        <w:pStyle w:val="BodyText"/>
        <w:rPr>
          <w:sz w:val="20"/>
        </w:rPr>
      </w:pPr>
    </w:p>
    <w:p w14:paraId="340955EB" w14:textId="77777777" w:rsidR="00CD6054" w:rsidRDefault="00CD6054">
      <w:pPr>
        <w:pStyle w:val="BodyText"/>
        <w:rPr>
          <w:sz w:val="20"/>
        </w:rPr>
      </w:pPr>
    </w:p>
    <w:p w14:paraId="6531F80D" w14:textId="77777777" w:rsidR="00CD6054" w:rsidRDefault="00CD6054">
      <w:pPr>
        <w:pStyle w:val="BodyText"/>
        <w:rPr>
          <w:sz w:val="20"/>
        </w:rPr>
      </w:pPr>
    </w:p>
    <w:p w14:paraId="49060934" w14:textId="77777777" w:rsidR="00CD6054" w:rsidRDefault="00CD6054">
      <w:pPr>
        <w:pStyle w:val="BodyText"/>
        <w:rPr>
          <w:sz w:val="20"/>
        </w:rPr>
      </w:pPr>
    </w:p>
    <w:p w14:paraId="079BDABF" w14:textId="77777777" w:rsidR="00CD6054" w:rsidRDefault="00CD6054">
      <w:pPr>
        <w:pStyle w:val="BodyText"/>
        <w:rPr>
          <w:sz w:val="20"/>
        </w:rPr>
      </w:pPr>
    </w:p>
    <w:p w14:paraId="0123967A" w14:textId="77777777" w:rsidR="00CD6054" w:rsidRDefault="00CD6054">
      <w:pPr>
        <w:pStyle w:val="BodyText"/>
        <w:rPr>
          <w:sz w:val="20"/>
        </w:rPr>
      </w:pPr>
    </w:p>
    <w:p w14:paraId="4D506591" w14:textId="77777777" w:rsidR="00CD6054" w:rsidRDefault="00CD6054">
      <w:pPr>
        <w:pStyle w:val="BodyText"/>
        <w:rPr>
          <w:sz w:val="20"/>
        </w:rPr>
      </w:pPr>
    </w:p>
    <w:p w14:paraId="20553BB4" w14:textId="77777777" w:rsidR="00CD6054" w:rsidRDefault="00CD6054">
      <w:pPr>
        <w:pStyle w:val="BodyText"/>
        <w:spacing w:before="200"/>
        <w:rPr>
          <w:sz w:val="20"/>
        </w:rPr>
      </w:pPr>
    </w:p>
    <w:p w14:paraId="00E02709" w14:textId="77777777" w:rsidR="00CD6054" w:rsidRDefault="00A44E92">
      <w:pPr>
        <w:pStyle w:val="BodyText"/>
        <w:spacing w:line="20" w:lineRule="exact"/>
        <w:ind w:left="560"/>
        <w:rPr>
          <w:sz w:val="2"/>
        </w:rPr>
      </w:pPr>
      <w:r>
        <w:rPr>
          <w:noProof/>
          <w:sz w:val="2"/>
          <w:lang w:val="en-US"/>
        </w:rPr>
        <mc:AlternateContent>
          <mc:Choice Requires="wpg">
            <w:drawing>
              <wp:inline distT="0" distB="0" distL="0" distR="0" wp14:anchorId="3CF2CCB1" wp14:editId="49A369C8">
                <wp:extent cx="5392420" cy="51435"/>
                <wp:effectExtent l="28575" t="0" r="17779" b="571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2420" cy="51435"/>
                          <a:chOff x="0" y="0"/>
                          <a:chExt cx="5392420" cy="51435"/>
                        </a:xfrm>
                      </wpg:grpSpPr>
                      <wps:wsp>
                        <wps:cNvPr id="2" name="Graphic 2"/>
                        <wps:cNvSpPr/>
                        <wps:spPr>
                          <a:xfrm>
                            <a:off x="0" y="25545"/>
                            <a:ext cx="5392420" cy="1270"/>
                          </a:xfrm>
                          <a:custGeom>
                            <a:avLst/>
                            <a:gdLst/>
                            <a:ahLst/>
                            <a:cxnLst/>
                            <a:rect l="l" t="t" r="r" b="b"/>
                            <a:pathLst>
                              <a:path w="5392420">
                                <a:moveTo>
                                  <a:pt x="0" y="0"/>
                                </a:moveTo>
                                <a:lnTo>
                                  <a:pt x="5392033" y="0"/>
                                </a:lnTo>
                              </a:path>
                            </a:pathLst>
                          </a:custGeom>
                          <a:ln w="51091">
                            <a:solidFill>
                              <a:srgbClr val="000000"/>
                            </a:solidFill>
                            <a:prstDash val="solid"/>
                          </a:ln>
                        </wps:spPr>
                        <wps:bodyPr wrap="square" lIns="0" tIns="0" rIns="0" bIns="0" rtlCol="0">
                          <a:prstTxWarp prst="textNoShape">
                            <a:avLst/>
                          </a:prstTxWarp>
                          <a:noAutofit/>
                        </wps:bodyPr>
                      </wps:wsp>
                    </wpg:wgp>
                  </a:graphicData>
                </a:graphic>
              </wp:inline>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5D10B6B" id="Group 1" o:spid="_x0000_s1026" style="width:424.6pt;height:4.05pt;mso-position-horizontal-relative:char;mso-position-vertical-relative:line" coordsize="53924,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">
                <v:shape id="Graphic 2" o:spid="_x0000_s1027" style="position:absolute;top:255;width:53924;height:13;visibility:visible;mso-wrap-style:square;v-text-anchor:top" coordsize="53924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" path="m,l5392033,e" filled="f" strokeweight="1.41919mm">
                  <v:path arrowok="t"/>
                </v:shape>
                <w10:anchorlock/>
              </v:group>
            </w:pict>
          </mc:Fallback>
        </mc:AlternateContent>
      </w:r>
    </w:p>
    <w:p w14:paraId="3246320D" w14:textId="77777777" w:rsidR="00CD6054" w:rsidRDefault="00CD6054">
      <w:pPr>
        <w:pStyle w:val="BodyText"/>
        <w:rPr>
          <w:sz w:val="46"/>
        </w:rPr>
      </w:pPr>
    </w:p>
    <w:p w14:paraId="49FAF5E3" w14:textId="77777777" w:rsidR="00CD6054" w:rsidRDefault="00CD6054">
      <w:pPr>
        <w:pStyle w:val="BodyText"/>
        <w:spacing w:before="32"/>
        <w:rPr>
          <w:sz w:val="46"/>
        </w:rPr>
      </w:pPr>
    </w:p>
    <w:p w14:paraId="3BB7F0A6" w14:textId="77777777" w:rsidR="00CD6054" w:rsidRDefault="00A44E92">
      <w:pPr>
        <w:spacing w:line="372" w:lineRule="auto"/>
        <w:ind w:left="6982" w:right="564" w:hanging="293"/>
        <w:jc w:val="right"/>
        <w:rPr>
          <w:rFonts w:ascii="Arial"/>
          <w:i/>
          <w:sz w:val="46"/>
        </w:rPr>
      </w:pPr>
      <w:r>
        <w:rPr>
          <w:noProof/>
          <w:lang w:val="en-US"/>
        </w:rPr>
        <mc:AlternateContent>
          <mc:Choice Requires="wps">
            <w:drawing>
              <wp:anchor distT="0" distB="0" distL="0" distR="0" simplePos="0" relativeHeight="15729152" behindDoc="0" locked="0" layoutInCell="1" allowOverlap="1" wp14:anchorId="1D1E0270" wp14:editId="235041EE">
                <wp:simplePos x="0" y="0"/>
                <wp:positionH relativeFrom="page">
                  <wp:posOffset>1282970</wp:posOffset>
                </wp:positionH>
                <wp:positionV relativeFrom="paragraph">
                  <wp:posOffset>1006773</wp:posOffset>
                </wp:positionV>
                <wp:extent cx="539242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2420" cy="1270"/>
                        </a:xfrm>
                        <a:custGeom>
                          <a:avLst/>
                          <a:gdLst/>
                          <a:ahLst/>
                          <a:cxnLst/>
                          <a:rect l="l" t="t" r="r" b="b"/>
                          <a:pathLst>
                            <a:path w="5392420">
                              <a:moveTo>
                                <a:pt x="0" y="0"/>
                              </a:moveTo>
                              <a:lnTo>
                                <a:pt x="5392033" y="0"/>
                              </a:lnTo>
                            </a:path>
                          </a:pathLst>
                        </a:custGeom>
                        <a:ln w="59606">
                          <a:solidFill>
                            <a:srgbClr val="00000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53E378" id="Graphic 3" o:spid="_x0000_s1026" style="position:absolute;margin-left:101pt;margin-top:79.25pt;width:424.6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5392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" path="m,l5392033,e" filled="f" strokeweight="1.65572mm">
                <v:path arrowok="t"/>
                <w10:wrap anchorx="page"/>
              </v:shape>
            </w:pict>
          </mc:Fallback>
        </mc:AlternateContent>
      </w:r>
      <w:r>
        <w:rPr>
          <w:rFonts w:ascii="Arial"/>
          <w:i/>
          <w:color w:val="994B0A"/>
          <w:w w:val="105"/>
          <w:sz w:val="46"/>
        </w:rPr>
        <w:t xml:space="preserve">Projeto de </w:t>
      </w:r>
      <w:r>
        <w:rPr>
          <w:rFonts w:ascii="Arial"/>
          <w:i/>
          <w:color w:val="994B0A"/>
          <w:spacing w:val="-2"/>
          <w:w w:val="105"/>
          <w:sz w:val="46"/>
        </w:rPr>
        <w:t>Pesquisa</w:t>
      </w:r>
    </w:p>
    <w:p w14:paraId="1A97F71C" w14:textId="77777777" w:rsidR="00CD6054" w:rsidRDefault="00CD6054">
      <w:pPr>
        <w:spacing w:line="372" w:lineRule="auto"/>
        <w:jc w:val="right"/>
        <w:rPr>
          <w:rFonts w:ascii="Arial"/>
          <w:sz w:val="46"/>
        </w:rPr>
        <w:sectPr w:rsidR="00CD6054">
          <w:type w:val="continuous"/>
          <w:pgSz w:w="11910" w:h="16850"/>
          <w:pgMar w:top="1940" w:right="880" w:bottom="280" w:left="1460" w:header="720" w:footer="720" w:gutter="0"/>
          <w:cols w:space="720"/>
        </w:sectPr>
      </w:pPr>
    </w:p>
    <w:p w14:paraId="52EFA8BD" w14:textId="77777777" w:rsidR="00CD6054" w:rsidRDefault="00A44E92">
      <w:pPr>
        <w:pStyle w:val="Heading1"/>
        <w:spacing w:before="68"/>
        <w:ind w:left="236" w:firstLine="0"/>
      </w:pPr>
      <w:r>
        <w:lastRenderedPageBreak/>
        <w:t>Descrição</w:t>
      </w:r>
      <w:r>
        <w:rPr>
          <w:spacing w:val="7"/>
        </w:rPr>
        <w:t xml:space="preserve"> </w:t>
      </w:r>
      <w:r>
        <w:t>da</w:t>
      </w:r>
      <w:r>
        <w:rPr>
          <w:spacing w:val="-5"/>
        </w:rPr>
        <w:t xml:space="preserve"> </w:t>
      </w:r>
      <w:r>
        <w:rPr>
          <w:spacing w:val="-2"/>
        </w:rPr>
        <w:t>Pesquisa</w:t>
      </w:r>
    </w:p>
    <w:p w14:paraId="4F294402" w14:textId="77777777" w:rsidR="00CD6054" w:rsidRDefault="00CD6054">
      <w:pPr>
        <w:pStyle w:val="BodyText"/>
        <w:rPr>
          <w:b/>
          <w:sz w:val="20"/>
        </w:rPr>
      </w:pPr>
    </w:p>
    <w:p w14:paraId="7D22E966" w14:textId="77777777" w:rsidR="00CD6054" w:rsidRDefault="00CD6054">
      <w:pPr>
        <w:pStyle w:val="BodyText"/>
        <w:rPr>
          <w:b/>
          <w:sz w:val="20"/>
        </w:rPr>
      </w:pPr>
    </w:p>
    <w:p w14:paraId="3F60E4BE" w14:textId="77777777" w:rsidR="00CD6054" w:rsidRDefault="00CD6054">
      <w:pPr>
        <w:pStyle w:val="BodyText"/>
        <w:spacing w:before="218"/>
        <w:rPr>
          <w:b/>
          <w:sz w:val="20"/>
        </w:rPr>
      </w:pPr>
    </w:p>
    <w:tbl>
      <w:tblPr>
        <w:tblStyle w:val="TableNormal1"/>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81"/>
        <w:gridCol w:w="4281"/>
      </w:tblGrid>
      <w:tr w:rsidR="00CD6054" w14:paraId="04A40DC8" w14:textId="77777777">
        <w:trPr>
          <w:trHeight w:val="1095"/>
        </w:trPr>
        <w:tc>
          <w:tcPr>
            <w:tcW w:w="4281" w:type="dxa"/>
          </w:tcPr>
          <w:p w14:paraId="03341C14" w14:textId="77777777" w:rsidR="00CD6054" w:rsidRDefault="00A44E92">
            <w:pPr>
              <w:pStyle w:val="TableParagraph"/>
              <w:spacing w:before="271"/>
              <w:ind w:left="112"/>
              <w:rPr>
                <w:b/>
                <w:sz w:val="24"/>
              </w:rPr>
            </w:pPr>
            <w:r>
              <w:rPr>
                <w:b/>
                <w:sz w:val="24"/>
              </w:rPr>
              <w:t>Título</w:t>
            </w:r>
            <w:r>
              <w:rPr>
                <w:b/>
                <w:spacing w:val="6"/>
                <w:sz w:val="24"/>
              </w:rPr>
              <w:t xml:space="preserve"> </w:t>
            </w:r>
            <w:r>
              <w:rPr>
                <w:b/>
                <w:sz w:val="24"/>
              </w:rPr>
              <w:t>do</w:t>
            </w:r>
            <w:r>
              <w:rPr>
                <w:b/>
                <w:spacing w:val="-6"/>
                <w:sz w:val="24"/>
              </w:rPr>
              <w:t xml:space="preserve"> </w:t>
            </w:r>
            <w:r>
              <w:rPr>
                <w:b/>
                <w:spacing w:val="-2"/>
                <w:sz w:val="24"/>
              </w:rPr>
              <w:t>Projeto</w:t>
            </w:r>
          </w:p>
        </w:tc>
        <w:tc>
          <w:tcPr>
            <w:tcW w:w="4281" w:type="dxa"/>
          </w:tcPr>
          <w:p w14:paraId="0125D096" w14:textId="77777777" w:rsidR="00CD6054" w:rsidRDefault="00CD6054">
            <w:pPr>
              <w:pStyle w:val="TableParagraph"/>
              <w:rPr>
                <w:b/>
                <w:sz w:val="24"/>
              </w:rPr>
            </w:pPr>
          </w:p>
          <w:p w14:paraId="22BFA924" w14:textId="77777777" w:rsidR="00CD6054" w:rsidRDefault="00A44E92">
            <w:pPr>
              <w:pStyle w:val="TableParagraph"/>
              <w:spacing w:line="235" w:lineRule="auto"/>
              <w:ind w:left="112"/>
              <w:rPr>
                <w:sz w:val="24"/>
              </w:rPr>
            </w:pPr>
            <w:r>
              <w:rPr>
                <w:sz w:val="24"/>
              </w:rPr>
              <w:t>Terapia</w:t>
            </w:r>
            <w:r>
              <w:rPr>
                <w:spacing w:val="40"/>
                <w:sz w:val="24"/>
              </w:rPr>
              <w:t xml:space="preserve"> </w:t>
            </w:r>
            <w:r>
              <w:rPr>
                <w:sz w:val="24"/>
              </w:rPr>
              <w:t>fotodinâmica</w:t>
            </w:r>
            <w:r>
              <w:rPr>
                <w:spacing w:val="40"/>
                <w:sz w:val="24"/>
              </w:rPr>
              <w:t xml:space="preserve"> </w:t>
            </w:r>
            <w:r>
              <w:rPr>
                <w:sz w:val="24"/>
              </w:rPr>
              <w:t>antimicrobiana</w:t>
            </w:r>
            <w:r>
              <w:rPr>
                <w:spacing w:val="40"/>
                <w:sz w:val="24"/>
              </w:rPr>
              <w:t xml:space="preserve"> </w:t>
            </w:r>
            <w:r>
              <w:rPr>
                <w:sz w:val="24"/>
              </w:rPr>
              <w:t>no tratamento</w:t>
            </w:r>
            <w:r>
              <w:rPr>
                <w:spacing w:val="48"/>
                <w:sz w:val="24"/>
              </w:rPr>
              <w:t xml:space="preserve"> </w:t>
            </w:r>
            <w:r>
              <w:rPr>
                <w:sz w:val="24"/>
              </w:rPr>
              <w:t>periodontal</w:t>
            </w:r>
            <w:r>
              <w:rPr>
                <w:spacing w:val="42"/>
                <w:sz w:val="24"/>
              </w:rPr>
              <w:t xml:space="preserve"> </w:t>
            </w:r>
            <w:r>
              <w:rPr>
                <w:sz w:val="24"/>
              </w:rPr>
              <w:t>de</w:t>
            </w:r>
            <w:r>
              <w:rPr>
                <w:spacing w:val="48"/>
                <w:sz w:val="24"/>
              </w:rPr>
              <w:t xml:space="preserve"> </w:t>
            </w:r>
            <w:r>
              <w:rPr>
                <w:sz w:val="24"/>
              </w:rPr>
              <w:t>pacientes</w:t>
            </w:r>
            <w:r>
              <w:rPr>
                <w:spacing w:val="30"/>
                <w:sz w:val="24"/>
              </w:rPr>
              <w:t xml:space="preserve"> </w:t>
            </w:r>
            <w:r>
              <w:rPr>
                <w:spacing w:val="-5"/>
                <w:sz w:val="24"/>
              </w:rPr>
              <w:t>com</w:t>
            </w:r>
          </w:p>
          <w:p w14:paraId="2DC89FB7" w14:textId="77777777" w:rsidR="00CD6054" w:rsidRDefault="00A44E92">
            <w:pPr>
              <w:pStyle w:val="TableParagraph"/>
              <w:spacing w:before="10" w:line="249" w:lineRule="exact"/>
              <w:ind w:left="112"/>
              <w:rPr>
                <w:sz w:val="24"/>
              </w:rPr>
            </w:pPr>
            <w:r>
              <w:rPr>
                <w:sz w:val="24"/>
              </w:rPr>
              <w:t>doença</w:t>
            </w:r>
            <w:r>
              <w:rPr>
                <w:spacing w:val="-2"/>
                <w:sz w:val="24"/>
              </w:rPr>
              <w:t xml:space="preserve"> </w:t>
            </w:r>
            <w:r>
              <w:rPr>
                <w:sz w:val="24"/>
              </w:rPr>
              <w:t>renal</w:t>
            </w:r>
            <w:r>
              <w:rPr>
                <w:spacing w:val="-7"/>
                <w:sz w:val="24"/>
              </w:rPr>
              <w:t xml:space="preserve"> </w:t>
            </w:r>
            <w:r>
              <w:rPr>
                <w:spacing w:val="-2"/>
                <w:sz w:val="24"/>
              </w:rPr>
              <w:t>crônica.</w:t>
            </w:r>
          </w:p>
        </w:tc>
      </w:tr>
      <w:tr w:rsidR="00CD6054" w14:paraId="1F7C1E45" w14:textId="77777777">
        <w:trPr>
          <w:trHeight w:val="555"/>
        </w:trPr>
        <w:tc>
          <w:tcPr>
            <w:tcW w:w="4281" w:type="dxa"/>
          </w:tcPr>
          <w:p w14:paraId="24B168C5" w14:textId="77777777" w:rsidR="00CD6054" w:rsidRDefault="00A44E92">
            <w:pPr>
              <w:pStyle w:val="TableParagraph"/>
              <w:spacing w:before="1"/>
              <w:ind w:left="112"/>
              <w:rPr>
                <w:b/>
                <w:sz w:val="24"/>
              </w:rPr>
            </w:pPr>
            <w:r>
              <w:rPr>
                <w:b/>
                <w:sz w:val="24"/>
              </w:rPr>
              <w:t>Pesquisador</w:t>
            </w:r>
            <w:r>
              <w:rPr>
                <w:b/>
                <w:spacing w:val="2"/>
                <w:sz w:val="24"/>
              </w:rPr>
              <w:t xml:space="preserve"> </w:t>
            </w:r>
            <w:r>
              <w:rPr>
                <w:b/>
                <w:spacing w:val="-2"/>
                <w:sz w:val="24"/>
              </w:rPr>
              <w:t>Principal</w:t>
            </w:r>
          </w:p>
        </w:tc>
        <w:tc>
          <w:tcPr>
            <w:tcW w:w="4281" w:type="dxa"/>
          </w:tcPr>
          <w:p w14:paraId="450D04C0" w14:textId="77777777" w:rsidR="00CD6054" w:rsidRDefault="00A44E92">
            <w:pPr>
              <w:pStyle w:val="TableParagraph"/>
              <w:spacing w:before="1"/>
              <w:ind w:left="112"/>
              <w:rPr>
                <w:sz w:val="24"/>
              </w:rPr>
            </w:pPr>
            <w:r>
              <w:rPr>
                <w:sz w:val="24"/>
              </w:rPr>
              <w:t>Prof.</w:t>
            </w:r>
            <w:r>
              <w:rPr>
                <w:spacing w:val="-7"/>
                <w:sz w:val="24"/>
              </w:rPr>
              <w:t xml:space="preserve"> </w:t>
            </w:r>
            <w:r>
              <w:rPr>
                <w:sz w:val="24"/>
              </w:rPr>
              <w:t>Dra.</w:t>
            </w:r>
            <w:r>
              <w:rPr>
                <w:spacing w:val="-6"/>
                <w:sz w:val="24"/>
              </w:rPr>
              <w:t xml:space="preserve"> </w:t>
            </w:r>
            <w:r>
              <w:rPr>
                <w:sz w:val="24"/>
              </w:rPr>
              <w:t>Reila</w:t>
            </w:r>
            <w:r>
              <w:rPr>
                <w:spacing w:val="-8"/>
                <w:sz w:val="24"/>
              </w:rPr>
              <w:t xml:space="preserve"> </w:t>
            </w:r>
            <w:r>
              <w:rPr>
                <w:sz w:val="24"/>
              </w:rPr>
              <w:t>Tainá</w:t>
            </w:r>
            <w:r>
              <w:rPr>
                <w:spacing w:val="18"/>
                <w:sz w:val="24"/>
              </w:rPr>
              <w:t xml:space="preserve"> </w:t>
            </w:r>
            <w:r>
              <w:rPr>
                <w:spacing w:val="-2"/>
                <w:sz w:val="24"/>
              </w:rPr>
              <w:t>Mendes</w:t>
            </w:r>
          </w:p>
        </w:tc>
      </w:tr>
      <w:tr w:rsidR="00CD6054" w14:paraId="7274C6C0" w14:textId="77777777">
        <w:trPr>
          <w:trHeight w:val="2747"/>
        </w:trPr>
        <w:tc>
          <w:tcPr>
            <w:tcW w:w="4281" w:type="dxa"/>
          </w:tcPr>
          <w:p w14:paraId="77A1F70F" w14:textId="77777777" w:rsidR="00CD6054" w:rsidRDefault="00A44E92">
            <w:pPr>
              <w:pStyle w:val="TableParagraph"/>
              <w:spacing w:before="271"/>
              <w:ind w:left="112"/>
              <w:rPr>
                <w:b/>
                <w:sz w:val="24"/>
              </w:rPr>
            </w:pPr>
            <w:r>
              <w:rPr>
                <w:b/>
                <w:sz w:val="24"/>
              </w:rPr>
              <w:t>Colaboradores</w:t>
            </w:r>
            <w:r>
              <w:rPr>
                <w:b/>
                <w:spacing w:val="-9"/>
                <w:sz w:val="24"/>
              </w:rPr>
              <w:t xml:space="preserve"> </w:t>
            </w:r>
            <w:r>
              <w:rPr>
                <w:b/>
                <w:sz w:val="24"/>
              </w:rPr>
              <w:t>(equipe</w:t>
            </w:r>
            <w:r>
              <w:rPr>
                <w:b/>
                <w:spacing w:val="6"/>
                <w:sz w:val="24"/>
              </w:rPr>
              <w:t xml:space="preserve"> </w:t>
            </w:r>
            <w:r>
              <w:rPr>
                <w:b/>
                <w:sz w:val="24"/>
              </w:rPr>
              <w:t>de</w:t>
            </w:r>
            <w:r>
              <w:rPr>
                <w:b/>
                <w:spacing w:val="-6"/>
                <w:sz w:val="24"/>
              </w:rPr>
              <w:t xml:space="preserve"> </w:t>
            </w:r>
            <w:r>
              <w:rPr>
                <w:b/>
                <w:spacing w:val="-2"/>
                <w:sz w:val="24"/>
              </w:rPr>
              <w:t>pesquisa)</w:t>
            </w:r>
          </w:p>
        </w:tc>
        <w:tc>
          <w:tcPr>
            <w:tcW w:w="4281" w:type="dxa"/>
          </w:tcPr>
          <w:p w14:paraId="537DBA0C" w14:textId="77777777" w:rsidR="00E5183E" w:rsidRDefault="00A44E92">
            <w:pPr>
              <w:pStyle w:val="TableParagraph"/>
              <w:tabs>
                <w:tab w:val="left" w:pos="1251"/>
                <w:tab w:val="left" w:pos="2166"/>
                <w:tab w:val="left" w:pos="3041"/>
                <w:tab w:val="left" w:pos="3940"/>
              </w:tabs>
              <w:spacing w:line="242" w:lineRule="auto"/>
              <w:ind w:left="112" w:right="81"/>
              <w:rPr>
                <w:sz w:val="24"/>
              </w:rPr>
            </w:pPr>
            <w:r>
              <w:rPr>
                <w:sz w:val="24"/>
              </w:rPr>
              <w:t>Prof. Dra. Maria Ângela Naval Machado</w:t>
            </w:r>
          </w:p>
          <w:p w14:paraId="7E892763" w14:textId="77777777" w:rsidR="00E5183E" w:rsidRPr="00A913BD" w:rsidRDefault="00E5183E" w:rsidP="00E5183E">
            <w:pPr>
              <w:pStyle w:val="TableParagraph"/>
              <w:tabs>
                <w:tab w:val="left" w:pos="1251"/>
                <w:tab w:val="left" w:pos="2166"/>
                <w:tab w:val="left" w:pos="3041"/>
                <w:tab w:val="left" w:pos="3970"/>
              </w:tabs>
              <w:spacing w:line="242" w:lineRule="auto"/>
              <w:ind w:left="127" w:right="66"/>
              <w:rPr>
                <w:color w:val="660066"/>
                <w:sz w:val="24"/>
              </w:rPr>
            </w:pPr>
            <w:r w:rsidRPr="00A913BD">
              <w:rPr>
                <w:color w:val="660066"/>
                <w:sz w:val="24"/>
              </w:rPr>
              <w:t xml:space="preserve">Prof. Dra. Priscila Brenner Hilgenberg Sydney </w:t>
            </w:r>
          </w:p>
          <w:p w14:paraId="1B8FEAEB" w14:textId="2CB38885" w:rsidR="00CD6054" w:rsidRDefault="00A44E92" w:rsidP="00E5183E">
            <w:pPr>
              <w:pStyle w:val="TableParagraph"/>
              <w:tabs>
                <w:tab w:val="left" w:pos="1251"/>
                <w:tab w:val="left" w:pos="2166"/>
                <w:tab w:val="left" w:pos="3041"/>
                <w:tab w:val="left" w:pos="3970"/>
              </w:tabs>
              <w:spacing w:line="242" w:lineRule="auto"/>
              <w:ind w:left="127" w:right="66"/>
              <w:rPr>
                <w:sz w:val="24"/>
              </w:rPr>
            </w:pPr>
            <w:r>
              <w:rPr>
                <w:spacing w:val="-2"/>
                <w:sz w:val="24"/>
              </w:rPr>
              <w:t>Gabriela</w:t>
            </w:r>
            <w:r>
              <w:rPr>
                <w:sz w:val="24"/>
              </w:rPr>
              <w:tab/>
            </w:r>
            <w:r>
              <w:rPr>
                <w:spacing w:val="-4"/>
                <w:sz w:val="24"/>
              </w:rPr>
              <w:t>Keiko</w:t>
            </w:r>
            <w:r>
              <w:rPr>
                <w:sz w:val="24"/>
              </w:rPr>
              <w:tab/>
            </w:r>
            <w:r>
              <w:rPr>
                <w:spacing w:val="-4"/>
                <w:sz w:val="24"/>
              </w:rPr>
              <w:t>Izumi</w:t>
            </w:r>
            <w:r>
              <w:rPr>
                <w:sz w:val="24"/>
              </w:rPr>
              <w:tab/>
            </w:r>
            <w:r>
              <w:rPr>
                <w:spacing w:val="-2"/>
                <w:sz w:val="24"/>
              </w:rPr>
              <w:t>(aluna</w:t>
            </w:r>
            <w:r>
              <w:rPr>
                <w:sz w:val="24"/>
              </w:rPr>
              <w:tab/>
            </w:r>
            <w:r>
              <w:rPr>
                <w:spacing w:val="-6"/>
                <w:sz w:val="24"/>
              </w:rPr>
              <w:t xml:space="preserve">de </w:t>
            </w:r>
            <w:r>
              <w:rPr>
                <w:spacing w:val="-2"/>
                <w:sz w:val="24"/>
              </w:rPr>
              <w:t>doutorado)</w:t>
            </w:r>
          </w:p>
          <w:p w14:paraId="7B340592" w14:textId="08D869FF" w:rsidR="00CD6054" w:rsidRDefault="00A44E92">
            <w:pPr>
              <w:pStyle w:val="TableParagraph"/>
              <w:tabs>
                <w:tab w:val="left" w:pos="878"/>
                <w:tab w:val="left" w:pos="1897"/>
                <w:tab w:val="left" w:pos="2393"/>
                <w:tab w:val="left" w:pos="3115"/>
                <w:tab w:val="left" w:pos="3940"/>
              </w:tabs>
              <w:spacing w:line="235" w:lineRule="auto"/>
              <w:ind w:left="112" w:right="81"/>
              <w:rPr>
                <w:spacing w:val="-2"/>
                <w:sz w:val="24"/>
              </w:rPr>
            </w:pPr>
            <w:r>
              <w:rPr>
                <w:sz w:val="24"/>
              </w:rPr>
              <w:t xml:space="preserve">Rafael Fiorese Costa (dentista pró-renal) </w:t>
            </w:r>
          </w:p>
          <w:p w14:paraId="11E2F3C4" w14:textId="77777777" w:rsidR="00E5183E" w:rsidRDefault="00E5183E" w:rsidP="00E5183E">
            <w:pPr>
              <w:pStyle w:val="TableParagraph"/>
              <w:ind w:left="127"/>
              <w:rPr>
                <w:color w:val="660066"/>
                <w:sz w:val="24"/>
              </w:rPr>
            </w:pPr>
            <w:r w:rsidRPr="00A913BD">
              <w:rPr>
                <w:color w:val="660066"/>
                <w:sz w:val="24"/>
              </w:rPr>
              <w:t>Daniela Bellafronte Betoni (aluna</w:t>
            </w:r>
            <w:r w:rsidRPr="00A913BD">
              <w:rPr>
                <w:color w:val="660066"/>
                <w:spacing w:val="-11"/>
                <w:sz w:val="24"/>
              </w:rPr>
              <w:t xml:space="preserve"> </w:t>
            </w:r>
            <w:r w:rsidRPr="00A913BD">
              <w:rPr>
                <w:color w:val="660066"/>
                <w:sz w:val="24"/>
              </w:rPr>
              <w:t>de</w:t>
            </w:r>
            <w:r w:rsidRPr="00A913BD">
              <w:rPr>
                <w:color w:val="660066"/>
                <w:spacing w:val="-32"/>
                <w:sz w:val="24"/>
              </w:rPr>
              <w:t xml:space="preserve"> </w:t>
            </w:r>
            <w:r w:rsidRPr="00A913BD">
              <w:rPr>
                <w:color w:val="660066"/>
                <w:sz w:val="24"/>
              </w:rPr>
              <w:t xml:space="preserve">mestrado) </w:t>
            </w:r>
          </w:p>
          <w:p w14:paraId="498AACBA" w14:textId="5039FF5A" w:rsidR="00A913BD" w:rsidRPr="00A913BD" w:rsidRDefault="00A913BD" w:rsidP="00E5183E">
            <w:pPr>
              <w:pStyle w:val="TableParagraph"/>
              <w:ind w:left="127"/>
              <w:rPr>
                <w:color w:val="660066"/>
                <w:sz w:val="24"/>
              </w:rPr>
            </w:pPr>
            <w:r>
              <w:rPr>
                <w:color w:val="660066"/>
                <w:sz w:val="24"/>
              </w:rPr>
              <w:t>Gabrielle Gonçalves dos Santos (aluna de mestrado)</w:t>
            </w:r>
          </w:p>
          <w:p w14:paraId="25E9B574" w14:textId="76A0909A" w:rsidR="00E5183E" w:rsidRDefault="00E5183E" w:rsidP="00E5183E">
            <w:pPr>
              <w:pStyle w:val="TableParagraph"/>
              <w:ind w:left="127"/>
              <w:rPr>
                <w:sz w:val="24"/>
              </w:rPr>
            </w:pPr>
            <w:r>
              <w:rPr>
                <w:sz w:val="24"/>
              </w:rPr>
              <w:t>Thaís</w:t>
            </w:r>
            <w:r>
              <w:rPr>
                <w:spacing w:val="-14"/>
                <w:sz w:val="24"/>
              </w:rPr>
              <w:t xml:space="preserve"> </w:t>
            </w:r>
            <w:r>
              <w:rPr>
                <w:sz w:val="24"/>
              </w:rPr>
              <w:t>Ceschin</w:t>
            </w:r>
            <w:r>
              <w:rPr>
                <w:spacing w:val="-16"/>
                <w:sz w:val="24"/>
              </w:rPr>
              <w:t xml:space="preserve"> </w:t>
            </w:r>
            <w:r>
              <w:rPr>
                <w:sz w:val="24"/>
              </w:rPr>
              <w:t>da</w:t>
            </w:r>
            <w:r>
              <w:rPr>
                <w:spacing w:val="-32"/>
                <w:sz w:val="24"/>
              </w:rPr>
              <w:t xml:space="preserve"> </w:t>
            </w:r>
            <w:r>
              <w:rPr>
                <w:sz w:val="24"/>
              </w:rPr>
              <w:t>Cruz</w:t>
            </w:r>
            <w:r>
              <w:rPr>
                <w:spacing w:val="-8"/>
                <w:sz w:val="24"/>
              </w:rPr>
              <w:t xml:space="preserve"> </w:t>
            </w:r>
            <w:r>
              <w:rPr>
                <w:sz w:val="24"/>
              </w:rPr>
              <w:t>(aluna</w:t>
            </w:r>
            <w:r>
              <w:rPr>
                <w:spacing w:val="-11"/>
                <w:sz w:val="24"/>
              </w:rPr>
              <w:t xml:space="preserve"> </w:t>
            </w:r>
            <w:r>
              <w:rPr>
                <w:sz w:val="24"/>
              </w:rPr>
              <w:t>de</w:t>
            </w:r>
            <w:r>
              <w:rPr>
                <w:spacing w:val="-32"/>
                <w:sz w:val="24"/>
              </w:rPr>
              <w:t xml:space="preserve"> </w:t>
            </w:r>
            <w:r>
              <w:rPr>
                <w:sz w:val="24"/>
              </w:rPr>
              <w:t xml:space="preserve">mestrado) </w:t>
            </w:r>
          </w:p>
          <w:p w14:paraId="15C6A7D4" w14:textId="77777777" w:rsidR="00CD6054" w:rsidRDefault="00A44E92">
            <w:pPr>
              <w:pStyle w:val="TableParagraph"/>
              <w:spacing w:before="10" w:line="235" w:lineRule="auto"/>
              <w:ind w:left="112"/>
              <w:rPr>
                <w:sz w:val="24"/>
              </w:rPr>
            </w:pPr>
            <w:r>
              <w:rPr>
                <w:sz w:val="24"/>
              </w:rPr>
              <w:t>Laura Gabriela de Oliveira First (aluna</w:t>
            </w:r>
            <w:r>
              <w:rPr>
                <w:spacing w:val="-12"/>
                <w:sz w:val="24"/>
              </w:rPr>
              <w:t xml:space="preserve"> </w:t>
            </w:r>
            <w:r>
              <w:rPr>
                <w:sz w:val="24"/>
              </w:rPr>
              <w:t>de graduação em Odontologia)</w:t>
            </w:r>
          </w:p>
          <w:p w14:paraId="0121382D" w14:textId="77777777" w:rsidR="00CD6054" w:rsidRDefault="00A44E92">
            <w:pPr>
              <w:pStyle w:val="TableParagraph"/>
              <w:spacing w:line="270" w:lineRule="exact"/>
              <w:ind w:left="112"/>
              <w:rPr>
                <w:sz w:val="24"/>
              </w:rPr>
            </w:pPr>
            <w:r>
              <w:rPr>
                <w:sz w:val="24"/>
              </w:rPr>
              <w:t>Matheus</w:t>
            </w:r>
            <w:r>
              <w:rPr>
                <w:spacing w:val="40"/>
                <w:sz w:val="24"/>
              </w:rPr>
              <w:t xml:space="preserve"> </w:t>
            </w:r>
            <w:r>
              <w:rPr>
                <w:sz w:val="24"/>
              </w:rPr>
              <w:t>Fernandes</w:t>
            </w:r>
            <w:r>
              <w:rPr>
                <w:spacing w:val="40"/>
                <w:sz w:val="24"/>
              </w:rPr>
              <w:t xml:space="preserve"> </w:t>
            </w:r>
            <w:r>
              <w:rPr>
                <w:sz w:val="24"/>
              </w:rPr>
              <w:t>da</w:t>
            </w:r>
            <w:r>
              <w:rPr>
                <w:spacing w:val="40"/>
                <w:sz w:val="24"/>
              </w:rPr>
              <w:t xml:space="preserve"> </w:t>
            </w:r>
            <w:r>
              <w:rPr>
                <w:sz w:val="24"/>
              </w:rPr>
              <w:t>Silva</w:t>
            </w:r>
            <w:r>
              <w:rPr>
                <w:spacing w:val="40"/>
                <w:sz w:val="24"/>
              </w:rPr>
              <w:t xml:space="preserve"> </w:t>
            </w:r>
            <w:r>
              <w:rPr>
                <w:sz w:val="24"/>
              </w:rPr>
              <w:t>(aluno</w:t>
            </w:r>
            <w:r>
              <w:rPr>
                <w:spacing w:val="40"/>
                <w:sz w:val="24"/>
              </w:rPr>
              <w:t xml:space="preserve"> </w:t>
            </w:r>
            <w:r>
              <w:rPr>
                <w:sz w:val="24"/>
              </w:rPr>
              <w:t>de graduação em Odontologia)</w:t>
            </w:r>
          </w:p>
        </w:tc>
      </w:tr>
      <w:tr w:rsidR="00CD6054" w14:paraId="078FB85E" w14:textId="77777777">
        <w:trPr>
          <w:trHeight w:val="825"/>
        </w:trPr>
        <w:tc>
          <w:tcPr>
            <w:tcW w:w="4281" w:type="dxa"/>
          </w:tcPr>
          <w:p w14:paraId="04F99AA2" w14:textId="77777777" w:rsidR="00CD6054" w:rsidRDefault="00A44E92">
            <w:pPr>
              <w:pStyle w:val="TableParagraph"/>
              <w:spacing w:before="271"/>
              <w:ind w:left="112"/>
              <w:rPr>
                <w:b/>
                <w:sz w:val="24"/>
              </w:rPr>
            </w:pPr>
            <w:r>
              <w:rPr>
                <w:b/>
                <w:sz w:val="24"/>
              </w:rPr>
              <w:t>Local</w:t>
            </w:r>
            <w:r>
              <w:rPr>
                <w:b/>
                <w:spacing w:val="-6"/>
                <w:sz w:val="24"/>
              </w:rPr>
              <w:t xml:space="preserve"> </w:t>
            </w:r>
            <w:r>
              <w:rPr>
                <w:b/>
                <w:sz w:val="24"/>
              </w:rPr>
              <w:t xml:space="preserve">de </w:t>
            </w:r>
            <w:r>
              <w:rPr>
                <w:b/>
                <w:spacing w:val="-2"/>
                <w:sz w:val="24"/>
              </w:rPr>
              <w:t>Realização</w:t>
            </w:r>
          </w:p>
        </w:tc>
        <w:tc>
          <w:tcPr>
            <w:tcW w:w="4281" w:type="dxa"/>
          </w:tcPr>
          <w:p w14:paraId="76ADE0A3" w14:textId="77777777" w:rsidR="00CD6054" w:rsidRDefault="00A44E92">
            <w:pPr>
              <w:pStyle w:val="TableParagraph"/>
              <w:tabs>
                <w:tab w:val="left" w:pos="1671"/>
                <w:tab w:val="left" w:pos="2660"/>
                <w:tab w:val="left" w:pos="3170"/>
                <w:tab w:val="left" w:pos="4070"/>
              </w:tabs>
              <w:spacing w:before="246" w:line="280" w:lineRule="atLeast"/>
              <w:ind w:left="112" w:right="86"/>
              <w:rPr>
                <w:sz w:val="24"/>
              </w:rPr>
            </w:pPr>
            <w:r>
              <w:rPr>
                <w:spacing w:val="-2"/>
                <w:sz w:val="24"/>
              </w:rPr>
              <w:t>Universidade</w:t>
            </w:r>
            <w:r>
              <w:rPr>
                <w:sz w:val="24"/>
              </w:rPr>
              <w:tab/>
            </w:r>
            <w:r>
              <w:rPr>
                <w:spacing w:val="-2"/>
                <w:sz w:val="24"/>
              </w:rPr>
              <w:t>Federal</w:t>
            </w:r>
            <w:r>
              <w:rPr>
                <w:sz w:val="24"/>
              </w:rPr>
              <w:tab/>
            </w:r>
            <w:r>
              <w:rPr>
                <w:spacing w:val="-6"/>
                <w:sz w:val="24"/>
              </w:rPr>
              <w:t>do</w:t>
            </w:r>
            <w:r>
              <w:rPr>
                <w:sz w:val="24"/>
              </w:rPr>
              <w:tab/>
            </w:r>
            <w:r>
              <w:rPr>
                <w:spacing w:val="-2"/>
                <w:sz w:val="24"/>
              </w:rPr>
              <w:t>Paraná</w:t>
            </w:r>
            <w:r>
              <w:rPr>
                <w:sz w:val="24"/>
              </w:rPr>
              <w:tab/>
            </w:r>
            <w:r>
              <w:rPr>
                <w:spacing w:val="-10"/>
                <w:sz w:val="24"/>
              </w:rPr>
              <w:t xml:space="preserve">e </w:t>
            </w:r>
            <w:r>
              <w:rPr>
                <w:sz w:val="24"/>
              </w:rPr>
              <w:t>Fundação Pró-Renal</w:t>
            </w:r>
          </w:p>
        </w:tc>
      </w:tr>
      <w:tr w:rsidR="00CD6054" w14:paraId="6571A17E" w14:textId="77777777">
        <w:trPr>
          <w:trHeight w:val="570"/>
        </w:trPr>
        <w:tc>
          <w:tcPr>
            <w:tcW w:w="4281" w:type="dxa"/>
          </w:tcPr>
          <w:p w14:paraId="2FA09809" w14:textId="77777777" w:rsidR="00CD6054" w:rsidRDefault="00A44E92">
            <w:pPr>
              <w:pStyle w:val="TableParagraph"/>
              <w:spacing w:before="271"/>
              <w:ind w:left="112"/>
              <w:rPr>
                <w:b/>
                <w:sz w:val="24"/>
              </w:rPr>
            </w:pPr>
            <w:r>
              <w:rPr>
                <w:b/>
                <w:sz w:val="24"/>
              </w:rPr>
              <w:t>Período</w:t>
            </w:r>
            <w:r>
              <w:rPr>
                <w:b/>
                <w:spacing w:val="-3"/>
                <w:sz w:val="24"/>
              </w:rPr>
              <w:t xml:space="preserve"> </w:t>
            </w:r>
            <w:r>
              <w:rPr>
                <w:b/>
                <w:sz w:val="24"/>
              </w:rPr>
              <w:t>da</w:t>
            </w:r>
            <w:r>
              <w:rPr>
                <w:b/>
                <w:spacing w:val="-3"/>
                <w:sz w:val="24"/>
              </w:rPr>
              <w:t xml:space="preserve"> </w:t>
            </w:r>
            <w:r>
              <w:rPr>
                <w:b/>
                <w:spacing w:val="-2"/>
                <w:sz w:val="24"/>
              </w:rPr>
              <w:t>Pesquisa</w:t>
            </w:r>
          </w:p>
        </w:tc>
        <w:tc>
          <w:tcPr>
            <w:tcW w:w="4281" w:type="dxa"/>
          </w:tcPr>
          <w:p w14:paraId="3EF5595A" w14:textId="77777777" w:rsidR="00CD6054" w:rsidRDefault="00A44E92">
            <w:pPr>
              <w:pStyle w:val="TableParagraph"/>
              <w:spacing w:before="271"/>
              <w:ind w:left="112"/>
              <w:rPr>
                <w:sz w:val="24"/>
              </w:rPr>
            </w:pPr>
            <w:r>
              <w:rPr>
                <w:color w:val="6FAC46"/>
                <w:sz w:val="24"/>
              </w:rPr>
              <w:t>Outubro</w:t>
            </w:r>
            <w:r>
              <w:rPr>
                <w:sz w:val="24"/>
              </w:rPr>
              <w:t>/2023</w:t>
            </w:r>
            <w:r>
              <w:rPr>
                <w:spacing w:val="1"/>
                <w:sz w:val="24"/>
              </w:rPr>
              <w:t xml:space="preserve"> </w:t>
            </w:r>
            <w:r>
              <w:rPr>
                <w:sz w:val="24"/>
              </w:rPr>
              <w:t>a</w:t>
            </w:r>
            <w:r>
              <w:rPr>
                <w:spacing w:val="1"/>
                <w:sz w:val="24"/>
              </w:rPr>
              <w:t xml:space="preserve"> </w:t>
            </w:r>
            <w:r>
              <w:rPr>
                <w:spacing w:val="-2"/>
                <w:sz w:val="24"/>
              </w:rPr>
              <w:t>agosto/2028</w:t>
            </w:r>
          </w:p>
        </w:tc>
      </w:tr>
    </w:tbl>
    <w:p w14:paraId="534D49C5" w14:textId="77777777" w:rsidR="00CD6054" w:rsidRDefault="00CD6054">
      <w:pPr>
        <w:rPr>
          <w:sz w:val="24"/>
        </w:rPr>
        <w:sectPr w:rsidR="00CD6054">
          <w:pgSz w:w="11910" w:h="16850"/>
          <w:pgMar w:top="1640" w:right="880" w:bottom="280" w:left="1460" w:header="720" w:footer="720" w:gutter="0"/>
          <w:cols w:space="720"/>
        </w:sectPr>
      </w:pPr>
    </w:p>
    <w:p w14:paraId="5713F317" w14:textId="77777777" w:rsidR="00CD6054" w:rsidRDefault="00A44E92">
      <w:pPr>
        <w:spacing w:before="68"/>
        <w:ind w:left="958"/>
        <w:rPr>
          <w:b/>
          <w:sz w:val="24"/>
        </w:rPr>
      </w:pPr>
      <w:r>
        <w:rPr>
          <w:b/>
          <w:spacing w:val="-2"/>
          <w:sz w:val="24"/>
        </w:rPr>
        <w:lastRenderedPageBreak/>
        <w:t>Resumo</w:t>
      </w:r>
    </w:p>
    <w:p w14:paraId="3361A21B" w14:textId="77777777" w:rsidR="00CD6054" w:rsidRDefault="00CD6054">
      <w:pPr>
        <w:pStyle w:val="BodyText"/>
        <w:rPr>
          <w:b/>
        </w:rPr>
      </w:pPr>
    </w:p>
    <w:p w14:paraId="4394BD1A" w14:textId="77777777" w:rsidR="00CD6054" w:rsidRDefault="00CD6054">
      <w:pPr>
        <w:pStyle w:val="BodyText"/>
        <w:spacing w:before="132"/>
        <w:rPr>
          <w:b/>
        </w:rPr>
      </w:pPr>
    </w:p>
    <w:p w14:paraId="3C275960" w14:textId="77777777" w:rsidR="00CD6054" w:rsidRDefault="00A44E92">
      <w:pPr>
        <w:pStyle w:val="BodyText"/>
        <w:spacing w:line="360" w:lineRule="auto"/>
        <w:ind w:left="236" w:right="241" w:firstLine="706"/>
        <w:jc w:val="both"/>
      </w:pPr>
      <w:r>
        <w:rPr>
          <w:b/>
        </w:rPr>
        <w:t xml:space="preserve">Introdução: </w:t>
      </w:r>
      <w:r>
        <w:t>A periodontite é uma doença infecto-inflamatória associada a biofilme disbiótico que compromete os tecidos</w:t>
      </w:r>
      <w:r>
        <w:rPr>
          <w:spacing w:val="-2"/>
        </w:rPr>
        <w:t xml:space="preserve"> </w:t>
      </w:r>
      <w:r>
        <w:t>de proteção e de sustentação dos</w:t>
      </w:r>
      <w:r>
        <w:rPr>
          <w:spacing w:val="-2"/>
        </w:rPr>
        <w:t xml:space="preserve"> </w:t>
      </w:r>
      <w:r>
        <w:t>dentes. Pacientes</w:t>
      </w:r>
      <w:r>
        <w:rPr>
          <w:spacing w:val="-2"/>
        </w:rPr>
        <w:t xml:space="preserve"> </w:t>
      </w:r>
      <w:r>
        <w:t>com doença renal crônica (DRC) comumente apresentam condições sistêmicas como uso crônico de medicamentos, hipertensão e diabetes. Tais condições crônicas também se associam a</w:t>
      </w:r>
      <w:r>
        <w:rPr>
          <w:spacing w:val="40"/>
        </w:rPr>
        <w:t xml:space="preserve"> </w:t>
      </w:r>
      <w:r>
        <w:t>pobre saúde bucal e à presença de periodontite.</w:t>
      </w:r>
      <w:r>
        <w:rPr>
          <w:spacing w:val="80"/>
        </w:rPr>
        <w:t xml:space="preserve"> </w:t>
      </w:r>
      <w:r>
        <w:rPr>
          <w:b/>
        </w:rPr>
        <w:t xml:space="preserve">Objetivo: </w:t>
      </w:r>
      <w:r>
        <w:t>Trata-se de um estudo transversal</w:t>
      </w:r>
      <w:r>
        <w:rPr>
          <w:spacing w:val="40"/>
        </w:rPr>
        <w:t xml:space="preserve"> </w:t>
      </w:r>
      <w:r>
        <w:t>e experimental paralelo e boca-dividida. O</w:t>
      </w:r>
      <w:r>
        <w:rPr>
          <w:spacing w:val="29"/>
        </w:rPr>
        <w:t xml:space="preserve"> </w:t>
      </w:r>
      <w:r>
        <w:t xml:space="preserve">objetivo é analisar os polimorfismos do gene IL6 de pacientes com a doença periodontal e doença renal crônica comparados com indivíduos sem a doença renal crônica. Na fase experimental, o objetivo é verificar o efeito da terapia fotodinâmica antimicrobiana como adjunta ao tratamento periodontal, em modelo de estudo boca-dividida, e paralelo (pacientes com ou sem a doença renal crônica). </w:t>
      </w:r>
      <w:r>
        <w:rPr>
          <w:b/>
        </w:rPr>
        <w:t>Material e</w:t>
      </w:r>
      <w:r>
        <w:rPr>
          <w:b/>
          <w:spacing w:val="40"/>
        </w:rPr>
        <w:t xml:space="preserve"> </w:t>
      </w:r>
      <w:r>
        <w:rPr>
          <w:b/>
        </w:rPr>
        <w:t xml:space="preserve">Métodos: </w:t>
      </w:r>
      <w:r>
        <w:t>Serão incluídos no estudo pacientes da Fundação Pró-Renal em tratamento de diálise e hemodiálise, que possuam no mínimo 10 dentes, excluindo os terceiros molares, que concordem em participar da pesquisa e assinem o Termo de Consentimento Livre e Esclarecido. Serão excluídos pacientes</w:t>
      </w:r>
      <w:r>
        <w:rPr>
          <w:spacing w:val="-7"/>
        </w:rPr>
        <w:t xml:space="preserve"> </w:t>
      </w:r>
      <w:r>
        <w:t>fumantes</w:t>
      </w:r>
      <w:r>
        <w:rPr>
          <w:spacing w:val="-7"/>
        </w:rPr>
        <w:t xml:space="preserve"> </w:t>
      </w:r>
      <w:r>
        <w:t>ou</w:t>
      </w:r>
      <w:r>
        <w:rPr>
          <w:spacing w:val="-3"/>
        </w:rPr>
        <w:t xml:space="preserve"> </w:t>
      </w:r>
      <w:r>
        <w:t>ex-fumantes</w:t>
      </w:r>
      <w:r>
        <w:rPr>
          <w:spacing w:val="-7"/>
        </w:rPr>
        <w:t xml:space="preserve"> </w:t>
      </w:r>
      <w:r>
        <w:t>há</w:t>
      </w:r>
      <w:r>
        <w:rPr>
          <w:spacing w:val="-5"/>
        </w:rPr>
        <w:t xml:space="preserve"> </w:t>
      </w:r>
      <w:r>
        <w:t>menos</w:t>
      </w:r>
      <w:r>
        <w:rPr>
          <w:spacing w:val="-7"/>
        </w:rPr>
        <w:t xml:space="preserve"> </w:t>
      </w:r>
      <w:r>
        <w:t>de</w:t>
      </w:r>
      <w:r>
        <w:rPr>
          <w:spacing w:val="-5"/>
        </w:rPr>
        <w:t xml:space="preserve"> </w:t>
      </w:r>
      <w:r>
        <w:t>5</w:t>
      </w:r>
      <w:r>
        <w:rPr>
          <w:spacing w:val="-3"/>
        </w:rPr>
        <w:t xml:space="preserve"> </w:t>
      </w:r>
      <w:r>
        <w:t>anos.</w:t>
      </w:r>
      <w:r>
        <w:rPr>
          <w:spacing w:val="-3"/>
        </w:rPr>
        <w:t xml:space="preserve"> </w:t>
      </w:r>
      <w:r>
        <w:t>O grupo controle será composto por pacientes que procurarem a Clínica Odontológica da UFPR, que não apresentam a doença renal crônica. Os participantes da pesquisa responderão a um questionário com dados pessoais, hábitos de higiene bucal, frequência de escovação e uso do fio dental. Será realizado exame periodontal completo, além da coleta salivar para avaliar o polimorfismo genético, coleta do fluído crevicular gengival, coleta do biofilme e</w:t>
      </w:r>
      <w:r>
        <w:rPr>
          <w:spacing w:val="-8"/>
        </w:rPr>
        <w:t xml:space="preserve"> </w:t>
      </w:r>
      <w:r>
        <w:t>quantificar</w:t>
      </w:r>
      <w:r>
        <w:rPr>
          <w:spacing w:val="-12"/>
        </w:rPr>
        <w:t xml:space="preserve"> </w:t>
      </w:r>
      <w:r>
        <w:t xml:space="preserve">a IL-6 de ambos os grupos. Será também realizada terapia periodontal adjunta com terapia fotodinâmica antimicrobiana nas bolsas periodontais. </w:t>
      </w:r>
      <w:r>
        <w:rPr>
          <w:b/>
        </w:rPr>
        <w:t xml:space="preserve">Resultados esperados: </w:t>
      </w:r>
      <w:r>
        <w:t>Espera-se associar os genes</w:t>
      </w:r>
      <w:r>
        <w:rPr>
          <w:spacing w:val="-5"/>
        </w:rPr>
        <w:t xml:space="preserve"> </w:t>
      </w:r>
      <w:r>
        <w:t>da</w:t>
      </w:r>
      <w:r>
        <w:rPr>
          <w:spacing w:val="-3"/>
        </w:rPr>
        <w:t xml:space="preserve"> </w:t>
      </w:r>
      <w:r>
        <w:t>IL6</w:t>
      </w:r>
      <w:r>
        <w:rPr>
          <w:spacing w:val="-1"/>
        </w:rPr>
        <w:t xml:space="preserve"> </w:t>
      </w:r>
      <w:r>
        <w:t>com</w:t>
      </w:r>
      <w:r>
        <w:rPr>
          <w:spacing w:val="-8"/>
        </w:rPr>
        <w:t xml:space="preserve"> </w:t>
      </w:r>
      <w:r>
        <w:t>suscetibilidade</w:t>
      </w:r>
      <w:r>
        <w:rPr>
          <w:spacing w:val="-3"/>
        </w:rPr>
        <w:t xml:space="preserve"> </w:t>
      </w:r>
      <w:r>
        <w:t>à</w:t>
      </w:r>
      <w:r>
        <w:rPr>
          <w:spacing w:val="-3"/>
        </w:rPr>
        <w:t xml:space="preserve"> </w:t>
      </w:r>
      <w:r>
        <w:t>DP e</w:t>
      </w:r>
      <w:r>
        <w:rPr>
          <w:spacing w:val="-3"/>
        </w:rPr>
        <w:t xml:space="preserve"> </w:t>
      </w:r>
      <w:r>
        <w:t>DRC e</w:t>
      </w:r>
      <w:r>
        <w:rPr>
          <w:spacing w:val="-3"/>
        </w:rPr>
        <w:t xml:space="preserve"> </w:t>
      </w:r>
      <w:r>
        <w:t>verificar</w:t>
      </w:r>
      <w:r>
        <w:rPr>
          <w:spacing w:val="-7"/>
        </w:rPr>
        <w:t xml:space="preserve"> </w:t>
      </w:r>
      <w:r>
        <w:t>se</w:t>
      </w:r>
      <w:r>
        <w:rPr>
          <w:spacing w:val="-3"/>
        </w:rPr>
        <w:t xml:space="preserve"> </w:t>
      </w:r>
      <w:r>
        <w:t>a</w:t>
      </w:r>
      <w:r>
        <w:rPr>
          <w:spacing w:val="-3"/>
        </w:rPr>
        <w:t xml:space="preserve"> </w:t>
      </w:r>
      <w:r>
        <w:t>terapia</w:t>
      </w:r>
      <w:r>
        <w:rPr>
          <w:spacing w:val="-3"/>
        </w:rPr>
        <w:t xml:space="preserve"> </w:t>
      </w:r>
      <w:r>
        <w:t>fotodinâmica antimicrobiana é uma boa estratégia no manejo da doença periodontal nestes paciente. Os resultados serão comparados com dados já existentes na literatura e poderão fornecer mais evidências e uma compreensão mais clara sobre a associação entre a doença periodontal e doença renal crônica, bem como poderão orientar estudos futuros e melhores formas de tratamento a esses pacientes.</w:t>
      </w:r>
    </w:p>
    <w:p w14:paraId="4C9C83ED" w14:textId="77777777" w:rsidR="00CD6054" w:rsidRDefault="00A44E92">
      <w:pPr>
        <w:pStyle w:val="BodyText"/>
        <w:spacing w:before="174" w:line="338" w:lineRule="auto"/>
        <w:ind w:left="236" w:right="253" w:firstLine="706"/>
        <w:jc w:val="both"/>
      </w:pPr>
      <w:r>
        <w:t>Palavras-chave: doença periodontal, diálise renal, inflamação, insuficiência renal crônica, terapia fotodinâmica.</w:t>
      </w:r>
    </w:p>
    <w:p w14:paraId="2B7E02F3" w14:textId="77777777" w:rsidR="00CD6054" w:rsidRDefault="00CD6054">
      <w:pPr>
        <w:spacing w:line="338" w:lineRule="auto"/>
        <w:jc w:val="both"/>
        <w:sectPr w:rsidR="00CD6054">
          <w:pgSz w:w="11910" w:h="16850"/>
          <w:pgMar w:top="1640" w:right="880" w:bottom="280" w:left="1460" w:header="720" w:footer="720" w:gutter="0"/>
          <w:cols w:space="720"/>
        </w:sectPr>
      </w:pPr>
    </w:p>
    <w:p w14:paraId="1C43F4AE" w14:textId="77777777" w:rsidR="00CD6054" w:rsidRDefault="00A44E92">
      <w:pPr>
        <w:pStyle w:val="Heading1"/>
        <w:numPr>
          <w:ilvl w:val="0"/>
          <w:numId w:val="7"/>
        </w:numPr>
        <w:tabs>
          <w:tab w:val="left" w:pos="957"/>
        </w:tabs>
        <w:spacing w:before="68"/>
        <w:ind w:left="957" w:hanging="360"/>
      </w:pPr>
      <w:r>
        <w:lastRenderedPageBreak/>
        <w:t>Objetivo</w:t>
      </w:r>
      <w:r>
        <w:rPr>
          <w:spacing w:val="13"/>
        </w:rPr>
        <w:t xml:space="preserve"> </w:t>
      </w:r>
      <w:r>
        <w:t>da</w:t>
      </w:r>
      <w:r>
        <w:rPr>
          <w:spacing w:val="-10"/>
        </w:rPr>
        <w:t xml:space="preserve"> </w:t>
      </w:r>
      <w:r>
        <w:rPr>
          <w:spacing w:val="-2"/>
        </w:rPr>
        <w:t>Pesquisa</w:t>
      </w:r>
    </w:p>
    <w:p w14:paraId="760E66DD" w14:textId="77777777" w:rsidR="00CD6054" w:rsidRDefault="00CD6054">
      <w:pPr>
        <w:pStyle w:val="BodyText"/>
        <w:spacing w:before="108"/>
        <w:rPr>
          <w:b/>
        </w:rPr>
      </w:pPr>
    </w:p>
    <w:p w14:paraId="38CEAB98" w14:textId="77777777" w:rsidR="00E5183E" w:rsidRDefault="00E5183E">
      <w:pPr>
        <w:pStyle w:val="BodyText"/>
        <w:spacing w:before="108"/>
        <w:rPr>
          <w:b/>
        </w:rPr>
      </w:pPr>
    </w:p>
    <w:p w14:paraId="6EADB691" w14:textId="28E917E5" w:rsidR="00CD6054" w:rsidRPr="00E5183E" w:rsidRDefault="00A44E92" w:rsidP="00E5183E">
      <w:pPr>
        <w:pStyle w:val="ListParagraph"/>
        <w:numPr>
          <w:ilvl w:val="1"/>
          <w:numId w:val="7"/>
        </w:numPr>
        <w:tabs>
          <w:tab w:val="left" w:pos="1318"/>
        </w:tabs>
        <w:ind w:hanging="721"/>
        <w:rPr>
          <w:b/>
          <w:sz w:val="24"/>
        </w:rPr>
      </w:pPr>
      <w:r>
        <w:rPr>
          <w:b/>
          <w:sz w:val="24"/>
        </w:rPr>
        <w:t>Objetivo</w:t>
      </w:r>
      <w:r>
        <w:rPr>
          <w:b/>
          <w:spacing w:val="2"/>
          <w:sz w:val="24"/>
        </w:rPr>
        <w:t xml:space="preserve"> </w:t>
      </w:r>
      <w:r>
        <w:rPr>
          <w:b/>
          <w:spacing w:val="-2"/>
          <w:sz w:val="24"/>
        </w:rPr>
        <w:t>geral:</w:t>
      </w:r>
    </w:p>
    <w:p w14:paraId="57F2C533" w14:textId="77777777" w:rsidR="00E5183E" w:rsidRPr="00E5183E" w:rsidRDefault="00E5183E" w:rsidP="00E5183E">
      <w:pPr>
        <w:tabs>
          <w:tab w:val="left" w:pos="1318"/>
        </w:tabs>
        <w:rPr>
          <w:b/>
          <w:sz w:val="24"/>
        </w:rPr>
      </w:pPr>
    </w:p>
    <w:p w14:paraId="1941BA76" w14:textId="77777777" w:rsidR="00CD6054" w:rsidRDefault="00A44E92">
      <w:pPr>
        <w:pStyle w:val="BodyText"/>
        <w:spacing w:line="364" w:lineRule="auto"/>
        <w:ind w:left="236" w:right="244" w:firstLine="706"/>
      </w:pPr>
      <w:r>
        <w:t>Verificar os efeitos da terapia periodontal fotodinâmica antimicrobiana como adjunta ao tratamento periodontal não cirúrgico em pacientes com ou sem DRC.</w:t>
      </w:r>
    </w:p>
    <w:p w14:paraId="099AF5FF" w14:textId="77777777" w:rsidR="00CD6054" w:rsidRDefault="00CD6054">
      <w:pPr>
        <w:pStyle w:val="BodyText"/>
      </w:pPr>
    </w:p>
    <w:p w14:paraId="18DBE2CC" w14:textId="77777777" w:rsidR="00CD6054" w:rsidRDefault="00CD6054">
      <w:pPr>
        <w:pStyle w:val="BodyText"/>
        <w:spacing w:before="95"/>
      </w:pPr>
    </w:p>
    <w:p w14:paraId="46987790" w14:textId="77777777" w:rsidR="00CD6054" w:rsidRDefault="00A44E92">
      <w:pPr>
        <w:pStyle w:val="Heading1"/>
        <w:numPr>
          <w:ilvl w:val="1"/>
          <w:numId w:val="7"/>
        </w:numPr>
        <w:tabs>
          <w:tab w:val="left" w:pos="1318"/>
        </w:tabs>
        <w:ind w:hanging="721"/>
      </w:pPr>
      <w:r>
        <w:t>Objetivos</w:t>
      </w:r>
      <w:r>
        <w:rPr>
          <w:spacing w:val="-1"/>
        </w:rPr>
        <w:t xml:space="preserve"> </w:t>
      </w:r>
      <w:r>
        <w:rPr>
          <w:spacing w:val="-2"/>
        </w:rPr>
        <w:t>específicos:</w:t>
      </w:r>
    </w:p>
    <w:p w14:paraId="622FA5C7" w14:textId="77777777" w:rsidR="00CD6054" w:rsidRDefault="00CD6054">
      <w:pPr>
        <w:pStyle w:val="BodyText"/>
        <w:rPr>
          <w:b/>
        </w:rPr>
      </w:pPr>
    </w:p>
    <w:p w14:paraId="58F7B4A9" w14:textId="77777777" w:rsidR="00CD6054" w:rsidRDefault="00CD6054">
      <w:pPr>
        <w:pStyle w:val="BodyText"/>
        <w:spacing w:before="28"/>
        <w:rPr>
          <w:b/>
        </w:rPr>
      </w:pPr>
    </w:p>
    <w:p w14:paraId="31DA8A6B" w14:textId="77777777" w:rsidR="00CD6054" w:rsidRDefault="00A44E92">
      <w:pPr>
        <w:pStyle w:val="ListParagraph"/>
        <w:numPr>
          <w:ilvl w:val="2"/>
          <w:numId w:val="7"/>
        </w:numPr>
        <w:tabs>
          <w:tab w:val="left" w:pos="1196"/>
        </w:tabs>
        <w:spacing w:line="355" w:lineRule="auto"/>
        <w:ind w:right="238" w:firstLine="360"/>
        <w:rPr>
          <w:sz w:val="24"/>
        </w:rPr>
      </w:pPr>
      <w:r>
        <w:rPr>
          <w:sz w:val="24"/>
        </w:rPr>
        <w:t>Verificar a condição periodontal de pacientes com doença renal crônica em tratamento de diálise peritoneal e hemodiálise, por meio dos seguintes parâmetros</w:t>
      </w:r>
      <w:r>
        <w:rPr>
          <w:spacing w:val="80"/>
          <w:sz w:val="24"/>
        </w:rPr>
        <w:t xml:space="preserve"> </w:t>
      </w:r>
      <w:r>
        <w:rPr>
          <w:sz w:val="24"/>
        </w:rPr>
        <w:t xml:space="preserve">clínicos: Índice de Placa Visível; Índice de Sangramento gengival; Nível Clínico de Inserção; Profundidade de Sondagem; Sangramento à Sondagem; Supuração e Lesão de </w:t>
      </w:r>
      <w:r>
        <w:rPr>
          <w:spacing w:val="-2"/>
          <w:sz w:val="24"/>
        </w:rPr>
        <w:t>Furca;</w:t>
      </w:r>
    </w:p>
    <w:p w14:paraId="27FCE83D" w14:textId="77777777" w:rsidR="00CD6054" w:rsidRDefault="00A44E92">
      <w:pPr>
        <w:pStyle w:val="ListParagraph"/>
        <w:numPr>
          <w:ilvl w:val="2"/>
          <w:numId w:val="7"/>
        </w:numPr>
        <w:tabs>
          <w:tab w:val="left" w:pos="1106"/>
        </w:tabs>
        <w:spacing w:before="180" w:line="352" w:lineRule="auto"/>
        <w:ind w:right="243" w:firstLine="345"/>
        <w:rPr>
          <w:sz w:val="24"/>
        </w:rPr>
      </w:pPr>
      <w:r>
        <w:rPr>
          <w:sz w:val="24"/>
        </w:rPr>
        <w:t>Avaliar o Índice CPO-d</w:t>
      </w:r>
      <w:r>
        <w:rPr>
          <w:spacing w:val="40"/>
          <w:sz w:val="24"/>
        </w:rPr>
        <w:t xml:space="preserve"> </w:t>
      </w:r>
      <w:r>
        <w:rPr>
          <w:sz w:val="24"/>
        </w:rPr>
        <w:t>e alterações bucais de pacientes com doença renal crônica em tratamento de diálise peritoneal e em hemodiálise;</w:t>
      </w:r>
    </w:p>
    <w:p w14:paraId="2C663CEF" w14:textId="77777777" w:rsidR="00CD6054" w:rsidRDefault="00A44E92">
      <w:pPr>
        <w:pStyle w:val="ListParagraph"/>
        <w:numPr>
          <w:ilvl w:val="2"/>
          <w:numId w:val="7"/>
        </w:numPr>
        <w:tabs>
          <w:tab w:val="left" w:pos="1106"/>
        </w:tabs>
        <w:spacing w:before="179" w:line="352" w:lineRule="auto"/>
        <w:ind w:right="241" w:firstLine="360"/>
        <w:rPr>
          <w:sz w:val="24"/>
        </w:rPr>
      </w:pPr>
      <w:r>
        <w:rPr>
          <w:sz w:val="24"/>
        </w:rPr>
        <w:t>Analisar a saliva de pacientes com ou sem doença renal crônica</w:t>
      </w:r>
      <w:r>
        <w:rPr>
          <w:spacing w:val="-8"/>
          <w:sz w:val="24"/>
        </w:rPr>
        <w:t xml:space="preserve"> </w:t>
      </w:r>
      <w:r>
        <w:rPr>
          <w:sz w:val="24"/>
        </w:rPr>
        <w:t>em</w:t>
      </w:r>
      <w:r>
        <w:rPr>
          <w:spacing w:val="-13"/>
          <w:sz w:val="24"/>
        </w:rPr>
        <w:t xml:space="preserve"> </w:t>
      </w:r>
      <w:r>
        <w:rPr>
          <w:sz w:val="24"/>
        </w:rPr>
        <w:t>diálise</w:t>
      </w:r>
      <w:r>
        <w:rPr>
          <w:spacing w:val="-8"/>
          <w:sz w:val="24"/>
        </w:rPr>
        <w:t xml:space="preserve"> </w:t>
      </w:r>
      <w:r>
        <w:rPr>
          <w:sz w:val="24"/>
        </w:rPr>
        <w:t>peritoneal ou</w:t>
      </w:r>
      <w:r>
        <w:rPr>
          <w:spacing w:val="-1"/>
          <w:sz w:val="24"/>
        </w:rPr>
        <w:t xml:space="preserve"> </w:t>
      </w:r>
      <w:r>
        <w:rPr>
          <w:sz w:val="24"/>
        </w:rPr>
        <w:t>em</w:t>
      </w:r>
      <w:r>
        <w:rPr>
          <w:spacing w:val="-7"/>
          <w:sz w:val="24"/>
        </w:rPr>
        <w:t xml:space="preserve"> </w:t>
      </w:r>
      <w:r>
        <w:rPr>
          <w:sz w:val="24"/>
        </w:rPr>
        <w:t>hemodiálise:</w:t>
      </w:r>
      <w:r>
        <w:rPr>
          <w:spacing w:val="-7"/>
          <w:sz w:val="24"/>
        </w:rPr>
        <w:t xml:space="preserve"> </w:t>
      </w:r>
      <w:r>
        <w:rPr>
          <w:sz w:val="24"/>
        </w:rPr>
        <w:t>pH salivar,</w:t>
      </w:r>
      <w:r>
        <w:rPr>
          <w:spacing w:val="-2"/>
          <w:sz w:val="24"/>
        </w:rPr>
        <w:t xml:space="preserve"> </w:t>
      </w:r>
      <w:r>
        <w:rPr>
          <w:sz w:val="24"/>
        </w:rPr>
        <w:t>fluxo</w:t>
      </w:r>
      <w:r>
        <w:rPr>
          <w:spacing w:val="-2"/>
          <w:sz w:val="24"/>
        </w:rPr>
        <w:t xml:space="preserve"> </w:t>
      </w:r>
      <w:r>
        <w:rPr>
          <w:sz w:val="24"/>
        </w:rPr>
        <w:t>salivar, xerostomia, ureia,</w:t>
      </w:r>
      <w:r>
        <w:rPr>
          <w:spacing w:val="-2"/>
          <w:sz w:val="24"/>
        </w:rPr>
        <w:t xml:space="preserve"> </w:t>
      </w:r>
      <w:r>
        <w:rPr>
          <w:sz w:val="24"/>
        </w:rPr>
        <w:t>amilase</w:t>
      </w:r>
      <w:r>
        <w:rPr>
          <w:spacing w:val="-3"/>
          <w:sz w:val="24"/>
        </w:rPr>
        <w:t xml:space="preserve"> </w:t>
      </w:r>
      <w:r>
        <w:rPr>
          <w:sz w:val="24"/>
        </w:rPr>
        <w:t>salivar</w:t>
      </w:r>
      <w:r>
        <w:rPr>
          <w:spacing w:val="-3"/>
          <w:sz w:val="24"/>
        </w:rPr>
        <w:t xml:space="preserve"> </w:t>
      </w:r>
      <w:r>
        <w:rPr>
          <w:sz w:val="24"/>
        </w:rPr>
        <w:t>e</w:t>
      </w:r>
      <w:r>
        <w:rPr>
          <w:spacing w:val="-3"/>
          <w:sz w:val="24"/>
        </w:rPr>
        <w:t xml:space="preserve"> </w:t>
      </w:r>
      <w:r>
        <w:rPr>
          <w:sz w:val="24"/>
        </w:rPr>
        <w:t xml:space="preserve">proteínas </w:t>
      </w:r>
      <w:r>
        <w:rPr>
          <w:spacing w:val="-2"/>
          <w:sz w:val="24"/>
        </w:rPr>
        <w:t>totais;</w:t>
      </w:r>
    </w:p>
    <w:p w14:paraId="693C6F51" w14:textId="77777777" w:rsidR="00CD6054" w:rsidRDefault="00A44E92">
      <w:pPr>
        <w:pStyle w:val="ListParagraph"/>
        <w:numPr>
          <w:ilvl w:val="2"/>
          <w:numId w:val="7"/>
        </w:numPr>
        <w:tabs>
          <w:tab w:val="left" w:pos="1106"/>
        </w:tabs>
        <w:spacing w:before="195" w:line="338" w:lineRule="auto"/>
        <w:ind w:right="247" w:firstLine="360"/>
        <w:rPr>
          <w:sz w:val="24"/>
        </w:rPr>
      </w:pPr>
      <w:r>
        <w:rPr>
          <w:sz w:val="24"/>
        </w:rPr>
        <w:t>Verificar a presença de polimorfismos genéticos para IL-6 em pacientes com</w:t>
      </w:r>
      <w:r>
        <w:rPr>
          <w:spacing w:val="-11"/>
          <w:sz w:val="24"/>
        </w:rPr>
        <w:t xml:space="preserve"> </w:t>
      </w:r>
      <w:r>
        <w:rPr>
          <w:sz w:val="24"/>
        </w:rPr>
        <w:t>doença periodontal e doença renal crônica;</w:t>
      </w:r>
    </w:p>
    <w:p w14:paraId="4E87761A" w14:textId="77777777" w:rsidR="00CD6054" w:rsidRDefault="00A44E92">
      <w:pPr>
        <w:pStyle w:val="ListParagraph"/>
        <w:numPr>
          <w:ilvl w:val="2"/>
          <w:numId w:val="7"/>
        </w:numPr>
        <w:tabs>
          <w:tab w:val="left" w:pos="1151"/>
        </w:tabs>
        <w:spacing w:before="212" w:line="352" w:lineRule="auto"/>
        <w:ind w:right="247" w:firstLine="360"/>
        <w:rPr>
          <w:sz w:val="24"/>
        </w:rPr>
      </w:pPr>
      <w:r>
        <w:rPr>
          <w:sz w:val="24"/>
        </w:rPr>
        <w:t>Verificar a efetividade da terapia fotodinâmica antimicrobiana como adjunta ao tratamento periodontal sobre a redução na profundidade de sondagem</w:t>
      </w:r>
      <w:r>
        <w:rPr>
          <w:spacing w:val="-4"/>
          <w:sz w:val="24"/>
        </w:rPr>
        <w:t xml:space="preserve"> </w:t>
      </w:r>
      <w:r>
        <w:rPr>
          <w:sz w:val="24"/>
        </w:rPr>
        <w:t>e sobre o ganho de nível clínico</w:t>
      </w:r>
      <w:r>
        <w:rPr>
          <w:spacing w:val="40"/>
          <w:sz w:val="24"/>
        </w:rPr>
        <w:t xml:space="preserve"> </w:t>
      </w:r>
      <w:r>
        <w:rPr>
          <w:sz w:val="24"/>
        </w:rPr>
        <w:t>de inserção de pacientes com ou sem doença renal crônica;</w:t>
      </w:r>
    </w:p>
    <w:p w14:paraId="3DCAB111" w14:textId="77777777" w:rsidR="00CD6054" w:rsidRDefault="00A44E92">
      <w:pPr>
        <w:pStyle w:val="ListParagraph"/>
        <w:numPr>
          <w:ilvl w:val="2"/>
          <w:numId w:val="7"/>
        </w:numPr>
        <w:tabs>
          <w:tab w:val="left" w:pos="1092"/>
        </w:tabs>
        <w:spacing w:before="164"/>
        <w:ind w:left="1092" w:hanging="134"/>
        <w:rPr>
          <w:sz w:val="24"/>
        </w:rPr>
      </w:pPr>
      <w:r>
        <w:rPr>
          <w:sz w:val="24"/>
        </w:rPr>
        <w:t>Quantificar</w:t>
      </w:r>
      <w:r>
        <w:rPr>
          <w:spacing w:val="-7"/>
          <w:sz w:val="24"/>
        </w:rPr>
        <w:t xml:space="preserve"> </w:t>
      </w:r>
      <w:r>
        <w:rPr>
          <w:sz w:val="24"/>
        </w:rPr>
        <w:t>a</w:t>
      </w:r>
      <w:r>
        <w:rPr>
          <w:spacing w:val="1"/>
          <w:sz w:val="24"/>
        </w:rPr>
        <w:t xml:space="preserve"> </w:t>
      </w:r>
      <w:r>
        <w:rPr>
          <w:sz w:val="24"/>
        </w:rPr>
        <w:t>IL-6 na</w:t>
      </w:r>
      <w:r>
        <w:rPr>
          <w:spacing w:val="-3"/>
          <w:sz w:val="24"/>
        </w:rPr>
        <w:t xml:space="preserve"> </w:t>
      </w:r>
      <w:r>
        <w:rPr>
          <w:sz w:val="24"/>
        </w:rPr>
        <w:t>saliva</w:t>
      </w:r>
      <w:r>
        <w:rPr>
          <w:spacing w:val="13"/>
          <w:sz w:val="24"/>
        </w:rPr>
        <w:t xml:space="preserve"> </w:t>
      </w:r>
      <w:r>
        <w:rPr>
          <w:sz w:val="24"/>
        </w:rPr>
        <w:t>dos</w:t>
      </w:r>
      <w:r>
        <w:rPr>
          <w:spacing w:val="-4"/>
          <w:sz w:val="24"/>
        </w:rPr>
        <w:t xml:space="preserve"> </w:t>
      </w:r>
      <w:r>
        <w:rPr>
          <w:sz w:val="24"/>
        </w:rPr>
        <w:t>pacientes</w:t>
      </w:r>
      <w:r>
        <w:rPr>
          <w:spacing w:val="-4"/>
          <w:sz w:val="24"/>
        </w:rPr>
        <w:t xml:space="preserve"> </w:t>
      </w:r>
      <w:r>
        <w:rPr>
          <w:spacing w:val="-2"/>
          <w:sz w:val="24"/>
        </w:rPr>
        <w:t>voluntários;</w:t>
      </w:r>
    </w:p>
    <w:p w14:paraId="23F7A90D" w14:textId="77777777" w:rsidR="00CD6054" w:rsidRDefault="00CD6054">
      <w:pPr>
        <w:pStyle w:val="BodyText"/>
        <w:spacing w:before="19"/>
      </w:pPr>
    </w:p>
    <w:p w14:paraId="6F1D2353" w14:textId="77777777" w:rsidR="00CD6054" w:rsidRDefault="00A44E92">
      <w:pPr>
        <w:pStyle w:val="ListParagraph"/>
        <w:numPr>
          <w:ilvl w:val="2"/>
          <w:numId w:val="7"/>
        </w:numPr>
        <w:tabs>
          <w:tab w:val="left" w:pos="1092"/>
        </w:tabs>
        <w:ind w:left="1092" w:hanging="134"/>
        <w:rPr>
          <w:sz w:val="24"/>
        </w:rPr>
      </w:pPr>
      <w:r>
        <w:rPr>
          <w:sz w:val="24"/>
        </w:rPr>
        <w:t>Analisar</w:t>
      </w:r>
      <w:r>
        <w:rPr>
          <w:spacing w:val="19"/>
          <w:sz w:val="24"/>
        </w:rPr>
        <w:t xml:space="preserve"> </w:t>
      </w:r>
      <w:r>
        <w:rPr>
          <w:sz w:val="24"/>
        </w:rPr>
        <w:t>o</w:t>
      </w:r>
      <w:r>
        <w:rPr>
          <w:spacing w:val="-4"/>
          <w:sz w:val="24"/>
        </w:rPr>
        <w:t xml:space="preserve"> </w:t>
      </w:r>
      <w:r>
        <w:rPr>
          <w:sz w:val="24"/>
        </w:rPr>
        <w:t>biofilme</w:t>
      </w:r>
      <w:r>
        <w:rPr>
          <w:spacing w:val="9"/>
          <w:sz w:val="24"/>
        </w:rPr>
        <w:t xml:space="preserve"> </w:t>
      </w:r>
      <w:r>
        <w:rPr>
          <w:sz w:val="24"/>
        </w:rPr>
        <w:t>de</w:t>
      </w:r>
      <w:r>
        <w:rPr>
          <w:spacing w:val="-5"/>
          <w:sz w:val="24"/>
        </w:rPr>
        <w:t xml:space="preserve"> </w:t>
      </w:r>
      <w:r>
        <w:rPr>
          <w:sz w:val="24"/>
        </w:rPr>
        <w:t>pacientes</w:t>
      </w:r>
      <w:r>
        <w:rPr>
          <w:spacing w:val="-8"/>
          <w:sz w:val="24"/>
        </w:rPr>
        <w:t xml:space="preserve"> </w:t>
      </w:r>
      <w:r>
        <w:rPr>
          <w:sz w:val="24"/>
        </w:rPr>
        <w:t>com</w:t>
      </w:r>
      <w:r>
        <w:rPr>
          <w:spacing w:val="-10"/>
          <w:sz w:val="24"/>
        </w:rPr>
        <w:t xml:space="preserve"> </w:t>
      </w:r>
      <w:r>
        <w:rPr>
          <w:sz w:val="24"/>
        </w:rPr>
        <w:t>ou</w:t>
      </w:r>
      <w:r>
        <w:rPr>
          <w:spacing w:val="-3"/>
          <w:sz w:val="24"/>
        </w:rPr>
        <w:t xml:space="preserve"> </w:t>
      </w:r>
      <w:r>
        <w:rPr>
          <w:sz w:val="24"/>
        </w:rPr>
        <w:t>sem</w:t>
      </w:r>
      <w:r>
        <w:rPr>
          <w:spacing w:val="4"/>
          <w:sz w:val="24"/>
        </w:rPr>
        <w:t xml:space="preserve"> </w:t>
      </w:r>
      <w:r>
        <w:rPr>
          <w:sz w:val="24"/>
        </w:rPr>
        <w:t>doença</w:t>
      </w:r>
      <w:r>
        <w:rPr>
          <w:spacing w:val="-5"/>
          <w:sz w:val="24"/>
        </w:rPr>
        <w:t xml:space="preserve"> </w:t>
      </w:r>
      <w:r>
        <w:rPr>
          <w:sz w:val="24"/>
        </w:rPr>
        <w:t>renal</w:t>
      </w:r>
      <w:r>
        <w:rPr>
          <w:spacing w:val="-10"/>
          <w:sz w:val="24"/>
        </w:rPr>
        <w:t xml:space="preserve"> </w:t>
      </w:r>
      <w:r>
        <w:rPr>
          <w:spacing w:val="-2"/>
          <w:sz w:val="24"/>
        </w:rPr>
        <w:t>crônica;</w:t>
      </w:r>
    </w:p>
    <w:p w14:paraId="4BE10B8E" w14:textId="77777777" w:rsidR="00CD6054" w:rsidRDefault="00CD6054">
      <w:pPr>
        <w:pStyle w:val="BodyText"/>
        <w:spacing w:before="33"/>
      </w:pPr>
    </w:p>
    <w:p w14:paraId="13852FB7" w14:textId="4A0928D4" w:rsidR="00CD6054" w:rsidRDefault="00A44E92">
      <w:pPr>
        <w:pStyle w:val="ListParagraph"/>
        <w:numPr>
          <w:ilvl w:val="2"/>
          <w:numId w:val="7"/>
        </w:numPr>
        <w:tabs>
          <w:tab w:val="left" w:pos="1092"/>
        </w:tabs>
        <w:ind w:left="1092" w:hanging="134"/>
        <w:jc w:val="left"/>
        <w:rPr>
          <w:sz w:val="24"/>
        </w:rPr>
      </w:pPr>
      <w:r>
        <w:rPr>
          <w:sz w:val="24"/>
        </w:rPr>
        <w:t>Comparar</w:t>
      </w:r>
      <w:r>
        <w:rPr>
          <w:spacing w:val="5"/>
          <w:sz w:val="24"/>
        </w:rPr>
        <w:t xml:space="preserve"> </w:t>
      </w:r>
      <w:r>
        <w:rPr>
          <w:sz w:val="24"/>
        </w:rPr>
        <w:t>os</w:t>
      </w:r>
      <w:r>
        <w:rPr>
          <w:spacing w:val="6"/>
          <w:sz w:val="24"/>
        </w:rPr>
        <w:t xml:space="preserve"> </w:t>
      </w:r>
      <w:r>
        <w:rPr>
          <w:sz w:val="24"/>
        </w:rPr>
        <w:t>índices</w:t>
      </w:r>
      <w:r>
        <w:rPr>
          <w:spacing w:val="-8"/>
          <w:sz w:val="24"/>
        </w:rPr>
        <w:t xml:space="preserve"> </w:t>
      </w:r>
      <w:r>
        <w:rPr>
          <w:sz w:val="24"/>
        </w:rPr>
        <w:t>periodontais</w:t>
      </w:r>
      <w:r>
        <w:rPr>
          <w:spacing w:val="-4"/>
          <w:sz w:val="24"/>
        </w:rPr>
        <w:t xml:space="preserve"> </w:t>
      </w:r>
      <w:r>
        <w:rPr>
          <w:sz w:val="24"/>
        </w:rPr>
        <w:t>iniciais</w:t>
      </w:r>
      <w:r>
        <w:rPr>
          <w:spacing w:val="21"/>
          <w:sz w:val="24"/>
        </w:rPr>
        <w:t xml:space="preserve"> </w:t>
      </w:r>
      <w:r>
        <w:rPr>
          <w:sz w:val="24"/>
        </w:rPr>
        <w:t>e</w:t>
      </w:r>
      <w:r>
        <w:rPr>
          <w:spacing w:val="-6"/>
          <w:sz w:val="24"/>
        </w:rPr>
        <w:t xml:space="preserve"> </w:t>
      </w:r>
      <w:r>
        <w:rPr>
          <w:sz w:val="24"/>
        </w:rPr>
        <w:t>após</w:t>
      </w:r>
      <w:r>
        <w:rPr>
          <w:spacing w:val="7"/>
          <w:sz w:val="24"/>
        </w:rPr>
        <w:t xml:space="preserve"> </w:t>
      </w:r>
      <w:r>
        <w:rPr>
          <w:sz w:val="24"/>
        </w:rPr>
        <w:t>3</w:t>
      </w:r>
      <w:r>
        <w:rPr>
          <w:spacing w:val="-4"/>
          <w:sz w:val="24"/>
        </w:rPr>
        <w:t xml:space="preserve"> </w:t>
      </w:r>
      <w:r>
        <w:rPr>
          <w:sz w:val="24"/>
        </w:rPr>
        <w:t>e</w:t>
      </w:r>
      <w:r>
        <w:rPr>
          <w:spacing w:val="-6"/>
          <w:sz w:val="24"/>
        </w:rPr>
        <w:t xml:space="preserve"> </w:t>
      </w:r>
      <w:r>
        <w:rPr>
          <w:sz w:val="24"/>
        </w:rPr>
        <w:t>6</w:t>
      </w:r>
      <w:r>
        <w:rPr>
          <w:spacing w:val="-3"/>
          <w:sz w:val="24"/>
        </w:rPr>
        <w:t xml:space="preserve"> </w:t>
      </w:r>
      <w:r>
        <w:rPr>
          <w:sz w:val="24"/>
        </w:rPr>
        <w:t>meses</w:t>
      </w:r>
      <w:r>
        <w:rPr>
          <w:spacing w:val="6"/>
          <w:sz w:val="24"/>
        </w:rPr>
        <w:t xml:space="preserve"> </w:t>
      </w:r>
      <w:r>
        <w:rPr>
          <w:sz w:val="24"/>
        </w:rPr>
        <w:t>do</w:t>
      </w:r>
      <w:r>
        <w:rPr>
          <w:spacing w:val="-3"/>
          <w:sz w:val="24"/>
        </w:rPr>
        <w:t xml:space="preserve"> </w:t>
      </w:r>
      <w:r>
        <w:rPr>
          <w:spacing w:val="-2"/>
          <w:sz w:val="24"/>
        </w:rPr>
        <w:t>tratamento;</w:t>
      </w:r>
    </w:p>
    <w:p w14:paraId="77842CE2" w14:textId="77777777" w:rsidR="00CD6054" w:rsidRPr="00A44E92" w:rsidRDefault="00CD6054">
      <w:pPr>
        <w:rPr>
          <w:sz w:val="24"/>
          <w:szCs w:val="24"/>
        </w:rPr>
      </w:pPr>
    </w:p>
    <w:p w14:paraId="36C3063D" w14:textId="3703A0AB" w:rsidR="00A44E92" w:rsidRPr="00A44E92" w:rsidRDefault="00A44E92">
      <w:pPr>
        <w:rPr>
          <w:sz w:val="24"/>
          <w:szCs w:val="24"/>
        </w:rPr>
        <w:sectPr w:rsidR="00A44E92" w:rsidRPr="00A44E92">
          <w:pgSz w:w="11910" w:h="16850"/>
          <w:pgMar w:top="1640" w:right="880" w:bottom="280" w:left="1460" w:header="720" w:footer="720" w:gutter="0"/>
          <w:cols w:space="720"/>
        </w:sectPr>
      </w:pPr>
      <w:r w:rsidRPr="00A44E92">
        <w:rPr>
          <w:sz w:val="24"/>
          <w:szCs w:val="24"/>
        </w:rPr>
        <w:tab/>
        <w:t xml:space="preserve">    - </w:t>
      </w:r>
      <w:r w:rsidRPr="00A44E92">
        <w:rPr>
          <w:color w:val="7030A0"/>
          <w:sz w:val="24"/>
          <w:szCs w:val="24"/>
        </w:rPr>
        <w:t>Verificar presença de</w:t>
      </w:r>
      <w:r w:rsidR="00425DCB">
        <w:rPr>
          <w:color w:val="7030A0"/>
          <w:sz w:val="24"/>
          <w:szCs w:val="24"/>
        </w:rPr>
        <w:t xml:space="preserve"> dor e de</w:t>
      </w:r>
      <w:r w:rsidRPr="00A44E92">
        <w:rPr>
          <w:color w:val="7030A0"/>
          <w:sz w:val="24"/>
          <w:szCs w:val="24"/>
        </w:rPr>
        <w:t xml:space="preserve"> di</w:t>
      </w:r>
      <w:r>
        <w:rPr>
          <w:color w:val="7030A0"/>
          <w:sz w:val="24"/>
          <w:szCs w:val="24"/>
        </w:rPr>
        <w:t xml:space="preserve">sfunção temporomandibular (DTM), </w:t>
      </w:r>
      <w:r w:rsidRPr="00A44E92">
        <w:rPr>
          <w:color w:val="7030A0"/>
          <w:sz w:val="24"/>
          <w:szCs w:val="24"/>
        </w:rPr>
        <w:t>por meio do Critério Diagnóstico para Disfunções Temporomandibulares (DC/TMD)</w:t>
      </w:r>
      <w:r w:rsidR="00425DCB">
        <w:rPr>
          <w:color w:val="7030A0"/>
          <w:sz w:val="24"/>
          <w:szCs w:val="24"/>
        </w:rPr>
        <w:t xml:space="preserve"> e escala de dor</w:t>
      </w:r>
      <w:r w:rsidR="0037292A">
        <w:rPr>
          <w:color w:val="7030A0"/>
          <w:sz w:val="24"/>
          <w:szCs w:val="24"/>
        </w:rPr>
        <w:t xml:space="preserve"> (EVA)</w:t>
      </w:r>
      <w:r>
        <w:rPr>
          <w:color w:val="7030A0"/>
          <w:sz w:val="24"/>
          <w:szCs w:val="24"/>
        </w:rPr>
        <w:t>.</w:t>
      </w:r>
    </w:p>
    <w:p w14:paraId="24BADD27" w14:textId="77777777" w:rsidR="00CD6054" w:rsidRDefault="00A44E92">
      <w:pPr>
        <w:pStyle w:val="Heading1"/>
        <w:numPr>
          <w:ilvl w:val="0"/>
          <w:numId w:val="7"/>
        </w:numPr>
        <w:tabs>
          <w:tab w:val="left" w:pos="957"/>
        </w:tabs>
        <w:spacing w:before="203"/>
        <w:ind w:left="957" w:hanging="360"/>
      </w:pPr>
      <w:r>
        <w:lastRenderedPageBreak/>
        <w:t>Relevância</w:t>
      </w:r>
      <w:r>
        <w:rPr>
          <w:spacing w:val="3"/>
        </w:rPr>
        <w:t xml:space="preserve"> </w:t>
      </w:r>
      <w:r>
        <w:t>Social</w:t>
      </w:r>
      <w:r>
        <w:rPr>
          <w:spacing w:val="-2"/>
        </w:rPr>
        <w:t xml:space="preserve"> (Justificativa)</w:t>
      </w:r>
    </w:p>
    <w:p w14:paraId="2FC2EF2B" w14:textId="77777777" w:rsidR="00CD6054" w:rsidRDefault="00CD6054">
      <w:pPr>
        <w:pStyle w:val="BodyText"/>
        <w:spacing w:before="213"/>
        <w:rPr>
          <w:b/>
        </w:rPr>
      </w:pPr>
    </w:p>
    <w:p w14:paraId="645E21D4" w14:textId="77777777" w:rsidR="00CD6054" w:rsidRDefault="00A44E92">
      <w:pPr>
        <w:pStyle w:val="BodyText"/>
        <w:spacing w:before="1" w:line="352" w:lineRule="auto"/>
        <w:ind w:left="236" w:right="240" w:firstLine="706"/>
        <w:jc w:val="both"/>
      </w:pPr>
      <w:r>
        <w:t>A doença renal crônica (DRC) é um problema global de saúde</w:t>
      </w:r>
      <w:r>
        <w:rPr>
          <w:spacing w:val="-5"/>
        </w:rPr>
        <w:t xml:space="preserve"> </w:t>
      </w:r>
      <w:r>
        <w:t>pública</w:t>
      </w:r>
      <w:r>
        <w:rPr>
          <w:spacing w:val="-5"/>
        </w:rPr>
        <w:t xml:space="preserve"> </w:t>
      </w:r>
      <w:r>
        <w:t>e</w:t>
      </w:r>
      <w:r>
        <w:rPr>
          <w:spacing w:val="-5"/>
        </w:rPr>
        <w:t xml:space="preserve"> </w:t>
      </w:r>
      <w:r>
        <w:t>prevalente</w:t>
      </w:r>
      <w:r>
        <w:rPr>
          <w:spacing w:val="-5"/>
        </w:rPr>
        <w:t xml:space="preserve"> </w:t>
      </w:r>
      <w:r>
        <w:t>no Brasil. As complicações sistêmicas e orais da DRC são diversas e podem influenciar negativamente a qualidade de vida desses pacientes [HALL et al., 2003].</w:t>
      </w:r>
    </w:p>
    <w:p w14:paraId="0A44C0B9" w14:textId="77777777" w:rsidR="00CD6054" w:rsidRDefault="00A44E92">
      <w:pPr>
        <w:pStyle w:val="BodyText"/>
        <w:spacing w:before="179" w:line="360" w:lineRule="auto"/>
        <w:ind w:left="236" w:right="245" w:firstLine="706"/>
        <w:jc w:val="both"/>
      </w:pPr>
      <w:r>
        <w:t>A doença periodontal é considerada um indicador de risco para diversas doenças sistêmicas. Assim, um correto diagnóstico e um tratamento periodontal adequado apresentam importante papel na progressão de doenças como diabetes, doenças cardiovasculares e a própria DRC</w:t>
      </w:r>
      <w:r>
        <w:rPr>
          <w:spacing w:val="-5"/>
        </w:rPr>
        <w:t xml:space="preserve"> </w:t>
      </w:r>
      <w:r>
        <w:t>[BORGNAKKE, 2013; FISHER et al., 2008]. A identificação de marcadores</w:t>
      </w:r>
      <w:r>
        <w:rPr>
          <w:spacing w:val="-1"/>
        </w:rPr>
        <w:t xml:space="preserve"> </w:t>
      </w:r>
      <w:r>
        <w:t>da doença periodontal e aqueles em comum com a DRC, possibilitam um diagnóstico precoce e colaboram para prevenção de riscos. Diante disso, há necessidade de aprofundar o conhecimento sobre a doença periodontal</w:t>
      </w:r>
      <w:r>
        <w:rPr>
          <w:spacing w:val="-9"/>
        </w:rPr>
        <w:t xml:space="preserve"> </w:t>
      </w:r>
      <w:r>
        <w:t>e</w:t>
      </w:r>
      <w:r>
        <w:rPr>
          <w:spacing w:val="-5"/>
        </w:rPr>
        <w:t xml:space="preserve"> </w:t>
      </w:r>
      <w:r>
        <w:t>os</w:t>
      </w:r>
      <w:r>
        <w:rPr>
          <w:spacing w:val="-6"/>
        </w:rPr>
        <w:t xml:space="preserve"> </w:t>
      </w:r>
      <w:r>
        <w:t>marcadores</w:t>
      </w:r>
      <w:r>
        <w:rPr>
          <w:spacing w:val="-6"/>
        </w:rPr>
        <w:t xml:space="preserve"> </w:t>
      </w:r>
      <w:r>
        <w:t>inflamatórios da</w:t>
      </w:r>
      <w:r>
        <w:rPr>
          <w:spacing w:val="-5"/>
        </w:rPr>
        <w:t xml:space="preserve"> </w:t>
      </w:r>
      <w:r>
        <w:t>DRC.</w:t>
      </w:r>
      <w:r>
        <w:rPr>
          <w:spacing w:val="-2"/>
        </w:rPr>
        <w:t xml:space="preserve"> </w:t>
      </w:r>
      <w:r>
        <w:t>Além</w:t>
      </w:r>
      <w:r>
        <w:rPr>
          <w:spacing w:val="-9"/>
        </w:rPr>
        <w:t xml:space="preserve"> </w:t>
      </w:r>
      <w:r>
        <w:t>disso, novas possibilidades de tratamento podem ser incluídas no gerenciamento multidisciplinar para os pacientes em risco da DRC, sendo assim, o efeito da terapia fotodinâmica em bolsas periodontais e o ganho de nível clínico de inserção tem sido avaliado em estudos recentes [CARDOSO et al., 2009; CITTERIO et al., 2021].</w:t>
      </w:r>
    </w:p>
    <w:p w14:paraId="0AA2329B" w14:textId="77777777" w:rsidR="00CD6054" w:rsidRDefault="00A44E92">
      <w:pPr>
        <w:pStyle w:val="BodyText"/>
        <w:spacing w:before="160" w:line="360" w:lineRule="auto"/>
        <w:ind w:left="236" w:right="244" w:firstLine="706"/>
        <w:jc w:val="both"/>
      </w:pPr>
      <w:r>
        <w:t>Por fim, o desenvolvimento de estudos em ambiente hospitalar com DRC com uma perspectiva interdisciplinar pode auxiliar no planejamento e implementação de políticas públicas, direcionar melhores tratamentos, colaborar com outros estudos, contribuindo assim, para a redução dos danos</w:t>
      </w:r>
      <w:r>
        <w:rPr>
          <w:spacing w:val="-2"/>
        </w:rPr>
        <w:t xml:space="preserve"> </w:t>
      </w:r>
      <w:r>
        <w:t>causados</w:t>
      </w:r>
      <w:r>
        <w:rPr>
          <w:spacing w:val="-2"/>
        </w:rPr>
        <w:t xml:space="preserve"> </w:t>
      </w:r>
      <w:r>
        <w:t>pela DRC a fim</w:t>
      </w:r>
      <w:r>
        <w:rPr>
          <w:spacing w:val="-6"/>
        </w:rPr>
        <w:t xml:space="preserve"> </w:t>
      </w:r>
      <w:r>
        <w:t>de melhorar</w:t>
      </w:r>
      <w:r>
        <w:rPr>
          <w:spacing w:val="-5"/>
        </w:rPr>
        <w:t xml:space="preserve"> </w:t>
      </w:r>
      <w:r>
        <w:t>as</w:t>
      </w:r>
      <w:r>
        <w:rPr>
          <w:spacing w:val="-2"/>
        </w:rPr>
        <w:t xml:space="preserve"> </w:t>
      </w:r>
      <w:r>
        <w:t>condições</w:t>
      </w:r>
      <w:r>
        <w:rPr>
          <w:spacing w:val="-2"/>
        </w:rPr>
        <w:t xml:space="preserve"> </w:t>
      </w:r>
      <w:r>
        <w:t>de saúde geral</w:t>
      </w:r>
      <w:r>
        <w:rPr>
          <w:spacing w:val="-6"/>
        </w:rPr>
        <w:t xml:space="preserve"> </w:t>
      </w:r>
      <w:r>
        <w:t>e bucal dessa população.</w:t>
      </w:r>
    </w:p>
    <w:p w14:paraId="0B7C1D08" w14:textId="77777777" w:rsidR="00CD6054" w:rsidRDefault="00CD6054">
      <w:pPr>
        <w:pStyle w:val="BodyText"/>
      </w:pPr>
    </w:p>
    <w:p w14:paraId="337282A4" w14:textId="77777777" w:rsidR="00CD6054" w:rsidRDefault="00CD6054">
      <w:pPr>
        <w:pStyle w:val="BodyText"/>
        <w:spacing w:before="186"/>
      </w:pPr>
    </w:p>
    <w:p w14:paraId="4B0A9309" w14:textId="77777777" w:rsidR="00CD6054" w:rsidRDefault="00A44E92">
      <w:pPr>
        <w:pStyle w:val="Heading1"/>
        <w:numPr>
          <w:ilvl w:val="0"/>
          <w:numId w:val="7"/>
        </w:numPr>
        <w:tabs>
          <w:tab w:val="left" w:pos="957"/>
        </w:tabs>
        <w:ind w:left="957" w:hanging="360"/>
      </w:pPr>
      <w:r>
        <w:t>Hipóteses</w:t>
      </w:r>
      <w:r>
        <w:rPr>
          <w:spacing w:val="11"/>
        </w:rPr>
        <w:t xml:space="preserve"> </w:t>
      </w:r>
      <w:r>
        <w:t>a</w:t>
      </w:r>
      <w:r>
        <w:rPr>
          <w:spacing w:val="-10"/>
        </w:rPr>
        <w:t xml:space="preserve"> </w:t>
      </w:r>
      <w:r>
        <w:t>serem</w:t>
      </w:r>
      <w:r>
        <w:rPr>
          <w:spacing w:val="-2"/>
        </w:rPr>
        <w:t xml:space="preserve"> testadas</w:t>
      </w:r>
    </w:p>
    <w:p w14:paraId="6FB7A8B8" w14:textId="77777777" w:rsidR="00CD6054" w:rsidRDefault="00CD6054">
      <w:pPr>
        <w:pStyle w:val="BodyText"/>
        <w:rPr>
          <w:b/>
        </w:rPr>
      </w:pPr>
    </w:p>
    <w:p w14:paraId="73D07C9F" w14:textId="77777777" w:rsidR="00CD6054" w:rsidRDefault="00CD6054">
      <w:pPr>
        <w:pStyle w:val="BodyText"/>
        <w:spacing w:before="163"/>
        <w:rPr>
          <w:b/>
        </w:rPr>
      </w:pPr>
    </w:p>
    <w:p w14:paraId="2049E19D" w14:textId="77777777" w:rsidR="00CD6054" w:rsidRDefault="00A44E92">
      <w:pPr>
        <w:pStyle w:val="ListParagraph"/>
        <w:numPr>
          <w:ilvl w:val="0"/>
          <w:numId w:val="6"/>
        </w:numPr>
        <w:tabs>
          <w:tab w:val="left" w:pos="715"/>
        </w:tabs>
        <w:spacing w:line="352" w:lineRule="auto"/>
        <w:ind w:left="236" w:right="259" w:firstLine="300"/>
        <w:jc w:val="left"/>
        <w:rPr>
          <w:sz w:val="24"/>
        </w:rPr>
      </w:pPr>
      <w:r>
        <w:rPr>
          <w:color w:val="A8D08D"/>
          <w:sz w:val="24"/>
        </w:rPr>
        <w:t>A</w:t>
      </w:r>
      <w:r>
        <w:rPr>
          <w:color w:val="A8D08D"/>
          <w:spacing w:val="40"/>
          <w:sz w:val="24"/>
        </w:rPr>
        <w:t xml:space="preserve"> </w:t>
      </w:r>
      <w:r>
        <w:rPr>
          <w:color w:val="A8D08D"/>
          <w:sz w:val="24"/>
        </w:rPr>
        <w:t>condição</w:t>
      </w:r>
      <w:r>
        <w:rPr>
          <w:color w:val="A8D08D"/>
          <w:spacing w:val="40"/>
          <w:sz w:val="24"/>
        </w:rPr>
        <w:t xml:space="preserve"> </w:t>
      </w:r>
      <w:r>
        <w:rPr>
          <w:color w:val="A8D08D"/>
          <w:sz w:val="24"/>
        </w:rPr>
        <w:t>bucal</w:t>
      </w:r>
      <w:r>
        <w:rPr>
          <w:color w:val="A8D08D"/>
          <w:spacing w:val="36"/>
          <w:sz w:val="24"/>
        </w:rPr>
        <w:t xml:space="preserve"> </w:t>
      </w:r>
      <w:r>
        <w:rPr>
          <w:color w:val="A8D08D"/>
          <w:sz w:val="24"/>
        </w:rPr>
        <w:t>e</w:t>
      </w:r>
      <w:r>
        <w:rPr>
          <w:color w:val="A8D08D"/>
          <w:spacing w:val="40"/>
          <w:sz w:val="24"/>
        </w:rPr>
        <w:t xml:space="preserve"> </w:t>
      </w:r>
      <w:r>
        <w:rPr>
          <w:color w:val="A8D08D"/>
          <w:sz w:val="24"/>
        </w:rPr>
        <w:t>periodontal</w:t>
      </w:r>
      <w:r>
        <w:rPr>
          <w:color w:val="A8D08D"/>
          <w:spacing w:val="36"/>
          <w:sz w:val="24"/>
        </w:rPr>
        <w:t xml:space="preserve"> </w:t>
      </w:r>
      <w:r>
        <w:rPr>
          <w:color w:val="A8D08D"/>
          <w:sz w:val="24"/>
        </w:rPr>
        <w:t>de</w:t>
      </w:r>
      <w:r>
        <w:rPr>
          <w:color w:val="A8D08D"/>
          <w:spacing w:val="40"/>
          <w:sz w:val="24"/>
        </w:rPr>
        <w:t xml:space="preserve"> </w:t>
      </w:r>
      <w:r>
        <w:rPr>
          <w:color w:val="A8D08D"/>
          <w:sz w:val="24"/>
        </w:rPr>
        <w:t>pacientes</w:t>
      </w:r>
      <w:r>
        <w:rPr>
          <w:color w:val="A8D08D"/>
          <w:spacing w:val="39"/>
          <w:sz w:val="24"/>
        </w:rPr>
        <w:t xml:space="preserve"> </w:t>
      </w:r>
      <w:r>
        <w:rPr>
          <w:color w:val="A8D08D"/>
          <w:sz w:val="24"/>
        </w:rPr>
        <w:t>com</w:t>
      </w:r>
      <w:r>
        <w:rPr>
          <w:color w:val="A8D08D"/>
          <w:spacing w:val="36"/>
          <w:sz w:val="24"/>
        </w:rPr>
        <w:t xml:space="preserve"> </w:t>
      </w:r>
      <w:r>
        <w:rPr>
          <w:color w:val="A8D08D"/>
          <w:sz w:val="24"/>
        </w:rPr>
        <w:t>DRC</w:t>
      </w:r>
      <w:r>
        <w:rPr>
          <w:color w:val="A8D08D"/>
          <w:spacing w:val="40"/>
          <w:sz w:val="24"/>
        </w:rPr>
        <w:t xml:space="preserve"> </w:t>
      </w:r>
      <w:r>
        <w:rPr>
          <w:color w:val="A8D08D"/>
          <w:sz w:val="24"/>
        </w:rPr>
        <w:t>é</w:t>
      </w:r>
      <w:r>
        <w:rPr>
          <w:color w:val="A8D08D"/>
          <w:spacing w:val="40"/>
          <w:sz w:val="24"/>
        </w:rPr>
        <w:t xml:space="preserve"> </w:t>
      </w:r>
      <w:r>
        <w:rPr>
          <w:color w:val="A8D08D"/>
          <w:sz w:val="24"/>
        </w:rPr>
        <w:t>pior</w:t>
      </w:r>
      <w:r>
        <w:rPr>
          <w:color w:val="A8D08D"/>
          <w:spacing w:val="37"/>
          <w:sz w:val="24"/>
        </w:rPr>
        <w:t xml:space="preserve"> </w:t>
      </w:r>
      <w:r>
        <w:rPr>
          <w:color w:val="A8D08D"/>
          <w:sz w:val="24"/>
        </w:rPr>
        <w:t>em</w:t>
      </w:r>
      <w:r>
        <w:rPr>
          <w:color w:val="A8D08D"/>
          <w:spacing w:val="36"/>
          <w:sz w:val="24"/>
        </w:rPr>
        <w:t xml:space="preserve"> </w:t>
      </w:r>
      <w:r>
        <w:rPr>
          <w:color w:val="A8D08D"/>
          <w:sz w:val="24"/>
        </w:rPr>
        <w:t>comparação</w:t>
      </w:r>
      <w:r>
        <w:rPr>
          <w:color w:val="A8D08D"/>
          <w:spacing w:val="27"/>
          <w:sz w:val="24"/>
        </w:rPr>
        <w:t xml:space="preserve"> </w:t>
      </w:r>
      <w:r>
        <w:rPr>
          <w:color w:val="A8D08D"/>
          <w:sz w:val="24"/>
        </w:rPr>
        <w:t>a</w:t>
      </w:r>
      <w:r>
        <w:rPr>
          <w:color w:val="A8D08D"/>
          <w:spacing w:val="26"/>
          <w:sz w:val="24"/>
        </w:rPr>
        <w:t xml:space="preserve"> </w:t>
      </w:r>
      <w:r>
        <w:rPr>
          <w:color w:val="A8D08D"/>
          <w:sz w:val="24"/>
        </w:rPr>
        <w:t>dos indivíduos saudáveis;</w:t>
      </w:r>
    </w:p>
    <w:p w14:paraId="4D6115A2" w14:textId="77777777" w:rsidR="00CD6054" w:rsidRDefault="00A44E92">
      <w:pPr>
        <w:pStyle w:val="ListParagraph"/>
        <w:numPr>
          <w:ilvl w:val="0"/>
          <w:numId w:val="6"/>
        </w:numPr>
        <w:tabs>
          <w:tab w:val="left" w:pos="670"/>
        </w:tabs>
        <w:spacing w:before="164"/>
        <w:ind w:left="670" w:hanging="133"/>
        <w:jc w:val="left"/>
        <w:rPr>
          <w:sz w:val="24"/>
        </w:rPr>
      </w:pPr>
      <w:r>
        <w:rPr>
          <w:color w:val="A8D08D"/>
          <w:sz w:val="24"/>
        </w:rPr>
        <w:t>A</w:t>
      </w:r>
      <w:r>
        <w:rPr>
          <w:color w:val="A8D08D"/>
          <w:spacing w:val="4"/>
          <w:sz w:val="24"/>
        </w:rPr>
        <w:t xml:space="preserve"> </w:t>
      </w:r>
      <w:r>
        <w:rPr>
          <w:color w:val="A8D08D"/>
          <w:sz w:val="24"/>
        </w:rPr>
        <w:t>composição</w:t>
      </w:r>
      <w:r>
        <w:rPr>
          <w:color w:val="A8D08D"/>
          <w:spacing w:val="14"/>
          <w:sz w:val="24"/>
        </w:rPr>
        <w:t xml:space="preserve"> </w:t>
      </w:r>
      <w:r>
        <w:rPr>
          <w:color w:val="A8D08D"/>
          <w:sz w:val="24"/>
        </w:rPr>
        <w:t>salivar</w:t>
      </w:r>
      <w:r>
        <w:rPr>
          <w:color w:val="A8D08D"/>
          <w:spacing w:val="25"/>
          <w:sz w:val="24"/>
        </w:rPr>
        <w:t xml:space="preserve"> </w:t>
      </w:r>
      <w:r>
        <w:rPr>
          <w:color w:val="A8D08D"/>
          <w:sz w:val="24"/>
        </w:rPr>
        <w:t>de</w:t>
      </w:r>
      <w:r>
        <w:rPr>
          <w:color w:val="A8D08D"/>
          <w:spacing w:val="-2"/>
          <w:sz w:val="24"/>
        </w:rPr>
        <w:t xml:space="preserve"> </w:t>
      </w:r>
      <w:r>
        <w:rPr>
          <w:color w:val="A8D08D"/>
          <w:sz w:val="24"/>
        </w:rPr>
        <w:t>pacientes</w:t>
      </w:r>
      <w:r>
        <w:rPr>
          <w:color w:val="A8D08D"/>
          <w:spacing w:val="-4"/>
          <w:sz w:val="24"/>
        </w:rPr>
        <w:t xml:space="preserve"> </w:t>
      </w:r>
      <w:r>
        <w:rPr>
          <w:color w:val="A8D08D"/>
          <w:sz w:val="24"/>
        </w:rPr>
        <w:t>com</w:t>
      </w:r>
      <w:r>
        <w:rPr>
          <w:color w:val="A8D08D"/>
          <w:spacing w:val="-6"/>
          <w:sz w:val="24"/>
        </w:rPr>
        <w:t xml:space="preserve"> </w:t>
      </w:r>
      <w:r>
        <w:rPr>
          <w:color w:val="A8D08D"/>
          <w:sz w:val="24"/>
        </w:rPr>
        <w:t>DRC</w:t>
      </w:r>
      <w:r>
        <w:rPr>
          <w:color w:val="A8D08D"/>
          <w:spacing w:val="4"/>
          <w:sz w:val="24"/>
        </w:rPr>
        <w:t xml:space="preserve"> </w:t>
      </w:r>
      <w:r>
        <w:rPr>
          <w:color w:val="A8D08D"/>
          <w:sz w:val="24"/>
        </w:rPr>
        <w:t>é</w:t>
      </w:r>
      <w:r>
        <w:rPr>
          <w:color w:val="A8D08D"/>
          <w:spacing w:val="-1"/>
          <w:sz w:val="24"/>
        </w:rPr>
        <w:t xml:space="preserve"> </w:t>
      </w:r>
      <w:r>
        <w:rPr>
          <w:color w:val="A8D08D"/>
          <w:sz w:val="24"/>
        </w:rPr>
        <w:t>diferente</w:t>
      </w:r>
      <w:r>
        <w:rPr>
          <w:color w:val="A8D08D"/>
          <w:spacing w:val="-2"/>
          <w:sz w:val="24"/>
        </w:rPr>
        <w:t xml:space="preserve"> </w:t>
      </w:r>
      <w:r>
        <w:rPr>
          <w:color w:val="A8D08D"/>
          <w:sz w:val="24"/>
        </w:rPr>
        <w:t>dos</w:t>
      </w:r>
      <w:r>
        <w:rPr>
          <w:color w:val="A8D08D"/>
          <w:spacing w:val="-4"/>
          <w:sz w:val="24"/>
        </w:rPr>
        <w:t xml:space="preserve"> </w:t>
      </w:r>
      <w:r>
        <w:rPr>
          <w:color w:val="A8D08D"/>
          <w:sz w:val="24"/>
        </w:rPr>
        <w:t>indivíduos</w:t>
      </w:r>
      <w:r>
        <w:rPr>
          <w:color w:val="A8D08D"/>
          <w:spacing w:val="-3"/>
          <w:sz w:val="24"/>
        </w:rPr>
        <w:t xml:space="preserve"> </w:t>
      </w:r>
      <w:r>
        <w:rPr>
          <w:color w:val="A8D08D"/>
          <w:spacing w:val="-2"/>
          <w:sz w:val="24"/>
        </w:rPr>
        <w:t>saudáveis</w:t>
      </w:r>
      <w:r>
        <w:rPr>
          <w:spacing w:val="-2"/>
          <w:sz w:val="24"/>
        </w:rPr>
        <w:t>;</w:t>
      </w:r>
    </w:p>
    <w:p w14:paraId="2087BA46" w14:textId="77777777" w:rsidR="00CD6054" w:rsidRDefault="00CD6054">
      <w:pPr>
        <w:pStyle w:val="BodyText"/>
        <w:spacing w:before="34"/>
      </w:pPr>
    </w:p>
    <w:p w14:paraId="1201E1C7" w14:textId="77777777" w:rsidR="00CD6054" w:rsidRDefault="00A44E92">
      <w:pPr>
        <w:pStyle w:val="ListParagraph"/>
        <w:numPr>
          <w:ilvl w:val="0"/>
          <w:numId w:val="6"/>
        </w:numPr>
        <w:tabs>
          <w:tab w:val="left" w:pos="639"/>
        </w:tabs>
        <w:spacing w:line="352" w:lineRule="auto"/>
        <w:ind w:left="236" w:right="244" w:firstLine="240"/>
        <w:jc w:val="left"/>
        <w:rPr>
          <w:sz w:val="24"/>
        </w:rPr>
      </w:pPr>
      <w:r>
        <w:rPr>
          <w:sz w:val="24"/>
        </w:rPr>
        <w:t>O</w:t>
      </w:r>
      <w:r>
        <w:rPr>
          <w:spacing w:val="27"/>
          <w:sz w:val="24"/>
        </w:rPr>
        <w:t xml:space="preserve"> </w:t>
      </w:r>
      <w:r>
        <w:rPr>
          <w:sz w:val="24"/>
        </w:rPr>
        <w:t xml:space="preserve">tratamento periodontal não cirúrgico com terapia fotodinâmica antimicrobiana é eficaz </w:t>
      </w:r>
      <w:r>
        <w:rPr>
          <w:color w:val="6FAC46"/>
          <w:sz w:val="24"/>
        </w:rPr>
        <w:t xml:space="preserve">para </w:t>
      </w:r>
      <w:r>
        <w:rPr>
          <w:sz w:val="24"/>
        </w:rPr>
        <w:t>pacientes com DRC;</w:t>
      </w:r>
    </w:p>
    <w:p w14:paraId="6D3F5AAB" w14:textId="77777777" w:rsidR="00CD6054" w:rsidRDefault="00CD6054">
      <w:pPr>
        <w:spacing w:line="352" w:lineRule="auto"/>
        <w:rPr>
          <w:sz w:val="24"/>
        </w:rPr>
        <w:sectPr w:rsidR="00CD6054">
          <w:pgSz w:w="11910" w:h="16850"/>
          <w:pgMar w:top="1940" w:right="880" w:bottom="280" w:left="1460" w:header="720" w:footer="720" w:gutter="0"/>
          <w:cols w:space="720"/>
        </w:sectPr>
      </w:pPr>
    </w:p>
    <w:p w14:paraId="179520BE" w14:textId="1A95A733" w:rsidR="00CD6054" w:rsidRPr="00E5183E" w:rsidRDefault="00A44E92" w:rsidP="00E5183E">
      <w:pPr>
        <w:pStyle w:val="ListParagraph"/>
        <w:numPr>
          <w:ilvl w:val="0"/>
          <w:numId w:val="6"/>
        </w:numPr>
        <w:tabs>
          <w:tab w:val="left" w:pos="775"/>
        </w:tabs>
        <w:spacing w:before="68" w:line="352" w:lineRule="auto"/>
        <w:ind w:left="236" w:right="253" w:firstLine="360"/>
        <w:jc w:val="left"/>
        <w:rPr>
          <w:sz w:val="24"/>
        </w:rPr>
      </w:pPr>
      <w:r>
        <w:rPr>
          <w:sz w:val="24"/>
        </w:rPr>
        <w:lastRenderedPageBreak/>
        <w:t>Polimorfismos genéticos do gene IL-6 podem estar associados à doença periodontal e</w:t>
      </w:r>
      <w:r>
        <w:rPr>
          <w:spacing w:val="80"/>
          <w:sz w:val="24"/>
        </w:rPr>
        <w:t xml:space="preserve"> </w:t>
      </w:r>
      <w:r>
        <w:rPr>
          <w:spacing w:val="-4"/>
          <w:sz w:val="24"/>
        </w:rPr>
        <w:t>DRC.</w:t>
      </w:r>
    </w:p>
    <w:p w14:paraId="6AC7D4FB" w14:textId="77777777" w:rsidR="00E5183E" w:rsidRPr="00E5183E" w:rsidRDefault="00E5183E" w:rsidP="00E5183E">
      <w:pPr>
        <w:tabs>
          <w:tab w:val="left" w:pos="775"/>
        </w:tabs>
        <w:spacing w:before="68" w:line="352" w:lineRule="auto"/>
        <w:ind w:right="253"/>
        <w:rPr>
          <w:sz w:val="24"/>
        </w:rPr>
      </w:pPr>
    </w:p>
    <w:p w14:paraId="4F15E620" w14:textId="77777777" w:rsidR="00CD6054" w:rsidRDefault="00A44E92">
      <w:pPr>
        <w:pStyle w:val="Heading1"/>
        <w:numPr>
          <w:ilvl w:val="0"/>
          <w:numId w:val="7"/>
        </w:numPr>
        <w:tabs>
          <w:tab w:val="left" w:pos="957"/>
        </w:tabs>
        <w:ind w:left="957" w:hanging="360"/>
      </w:pPr>
      <w:r>
        <w:t>Antecedentes</w:t>
      </w:r>
      <w:r>
        <w:rPr>
          <w:spacing w:val="-2"/>
        </w:rPr>
        <w:t xml:space="preserve"> Científicos</w:t>
      </w:r>
    </w:p>
    <w:p w14:paraId="162A2FF2" w14:textId="77777777" w:rsidR="00CD6054" w:rsidRDefault="00CD6054">
      <w:pPr>
        <w:pStyle w:val="BodyText"/>
        <w:rPr>
          <w:b/>
        </w:rPr>
      </w:pPr>
    </w:p>
    <w:p w14:paraId="6B7E13FA" w14:textId="77777777" w:rsidR="00CD6054" w:rsidRDefault="00CD6054">
      <w:pPr>
        <w:pStyle w:val="BodyText"/>
        <w:spacing w:before="133"/>
        <w:rPr>
          <w:b/>
        </w:rPr>
      </w:pPr>
    </w:p>
    <w:p w14:paraId="5ED15F72" w14:textId="77777777" w:rsidR="00CD6054" w:rsidRDefault="00A44E92">
      <w:pPr>
        <w:pStyle w:val="ListParagraph"/>
        <w:numPr>
          <w:ilvl w:val="1"/>
          <w:numId w:val="7"/>
        </w:numPr>
        <w:tabs>
          <w:tab w:val="left" w:pos="1318"/>
        </w:tabs>
        <w:ind w:hanging="721"/>
        <w:rPr>
          <w:b/>
          <w:sz w:val="24"/>
        </w:rPr>
      </w:pPr>
      <w:r>
        <w:rPr>
          <w:b/>
          <w:sz w:val="24"/>
        </w:rPr>
        <w:t>Doença</w:t>
      </w:r>
      <w:r>
        <w:rPr>
          <w:b/>
          <w:spacing w:val="3"/>
          <w:sz w:val="24"/>
        </w:rPr>
        <w:t xml:space="preserve"> </w:t>
      </w:r>
      <w:r>
        <w:rPr>
          <w:b/>
          <w:spacing w:val="-2"/>
          <w:sz w:val="24"/>
        </w:rPr>
        <w:t>Periodontal</w:t>
      </w:r>
    </w:p>
    <w:p w14:paraId="21477B8C" w14:textId="77777777" w:rsidR="00CD6054" w:rsidRDefault="00CD6054">
      <w:pPr>
        <w:pStyle w:val="BodyText"/>
        <w:spacing w:before="183"/>
        <w:rPr>
          <w:b/>
        </w:rPr>
      </w:pPr>
    </w:p>
    <w:p w14:paraId="4E5B6940" w14:textId="77777777" w:rsidR="00CD6054" w:rsidRDefault="00A44E92">
      <w:pPr>
        <w:pStyle w:val="BodyText"/>
        <w:spacing w:line="362" w:lineRule="auto"/>
        <w:ind w:left="236" w:right="252" w:firstLine="706"/>
        <w:jc w:val="both"/>
      </w:pPr>
      <w:r>
        <w:t>A doença periodontal é uma doença multifatorial, crônica, infecciosa e inflamatória associada a um biofilme disbiótico e caracterizada pela destruição progressiva do aparato de inserção dental. No início ocorre uma inflamação subclínica nos tecidos de proteção do periodonto (gengiva marginal livre e inserida). Se</w:t>
      </w:r>
      <w:r>
        <w:rPr>
          <w:spacing w:val="-9"/>
        </w:rPr>
        <w:t xml:space="preserve"> </w:t>
      </w:r>
      <w:r>
        <w:t>não</w:t>
      </w:r>
      <w:r>
        <w:rPr>
          <w:spacing w:val="-7"/>
        </w:rPr>
        <w:t xml:space="preserve"> </w:t>
      </w:r>
      <w:r>
        <w:t>controlada,</w:t>
      </w:r>
      <w:r>
        <w:rPr>
          <w:spacing w:val="-7"/>
        </w:rPr>
        <w:t xml:space="preserve"> </w:t>
      </w:r>
      <w:r>
        <w:t>a</w:t>
      </w:r>
      <w:r>
        <w:rPr>
          <w:spacing w:val="-9"/>
        </w:rPr>
        <w:t xml:space="preserve"> </w:t>
      </w:r>
      <w:r>
        <w:t>interação</w:t>
      </w:r>
      <w:r>
        <w:rPr>
          <w:spacing w:val="-7"/>
        </w:rPr>
        <w:t xml:space="preserve"> </w:t>
      </w:r>
      <w:r>
        <w:t>do</w:t>
      </w:r>
      <w:r>
        <w:rPr>
          <w:spacing w:val="-7"/>
        </w:rPr>
        <w:t xml:space="preserve"> </w:t>
      </w:r>
      <w:r>
        <w:t>biofilme</w:t>
      </w:r>
      <w:r>
        <w:rPr>
          <w:spacing w:val="-9"/>
        </w:rPr>
        <w:t xml:space="preserve"> </w:t>
      </w:r>
      <w:r>
        <w:t>com o hospedeiro leva a uma inflamação exagerada que acomete os tecidos de sustentação (osso alveolar, cemento radicular e ligamento periodontal), quadro chamado de periodontite [CATON</w:t>
      </w:r>
      <w:r>
        <w:rPr>
          <w:spacing w:val="29"/>
        </w:rPr>
        <w:t xml:space="preserve"> </w:t>
      </w:r>
      <w:r>
        <w:t>et</w:t>
      </w:r>
      <w:r>
        <w:rPr>
          <w:spacing w:val="34"/>
        </w:rPr>
        <w:t xml:space="preserve"> </w:t>
      </w:r>
      <w:r>
        <w:t>al.,</w:t>
      </w:r>
      <w:r>
        <w:rPr>
          <w:spacing w:val="23"/>
        </w:rPr>
        <w:t xml:space="preserve"> </w:t>
      </w:r>
      <w:r>
        <w:t>2018;</w:t>
      </w:r>
      <w:r>
        <w:rPr>
          <w:spacing w:val="17"/>
        </w:rPr>
        <w:t xml:space="preserve"> </w:t>
      </w:r>
      <w:r>
        <w:t>VAN</w:t>
      </w:r>
      <w:r>
        <w:rPr>
          <w:spacing w:val="31"/>
        </w:rPr>
        <w:t xml:space="preserve"> </w:t>
      </w:r>
      <w:r>
        <w:t>DAYKE,</w:t>
      </w:r>
      <w:r>
        <w:rPr>
          <w:spacing w:val="24"/>
        </w:rPr>
        <w:t xml:space="preserve"> </w:t>
      </w:r>
      <w:r>
        <w:t>BARTOLF</w:t>
      </w:r>
      <w:r>
        <w:rPr>
          <w:spacing w:val="26"/>
        </w:rPr>
        <w:t xml:space="preserve"> </w:t>
      </w:r>
      <w:r>
        <w:t>&amp;</w:t>
      </w:r>
      <w:r>
        <w:rPr>
          <w:spacing w:val="17"/>
        </w:rPr>
        <w:t xml:space="preserve"> </w:t>
      </w:r>
      <w:r>
        <w:t>REYNOLDS,</w:t>
      </w:r>
      <w:r>
        <w:rPr>
          <w:spacing w:val="23"/>
        </w:rPr>
        <w:t xml:space="preserve"> </w:t>
      </w:r>
      <w:r>
        <w:t>2020;</w:t>
      </w:r>
      <w:r>
        <w:rPr>
          <w:spacing w:val="17"/>
        </w:rPr>
        <w:t xml:space="preserve"> </w:t>
      </w:r>
      <w:r>
        <w:t>PAPAPANOU</w:t>
      </w:r>
      <w:r>
        <w:rPr>
          <w:spacing w:val="15"/>
        </w:rPr>
        <w:t xml:space="preserve"> </w:t>
      </w:r>
      <w:r>
        <w:rPr>
          <w:spacing w:val="-5"/>
        </w:rPr>
        <w:t>et</w:t>
      </w:r>
    </w:p>
    <w:p w14:paraId="23E1895A" w14:textId="77777777" w:rsidR="00CD6054" w:rsidRDefault="00A44E92">
      <w:pPr>
        <w:pStyle w:val="BodyText"/>
        <w:spacing w:line="257" w:lineRule="exact"/>
        <w:ind w:left="236"/>
        <w:jc w:val="both"/>
      </w:pPr>
      <w:r>
        <w:t>al.,</w:t>
      </w:r>
      <w:r>
        <w:rPr>
          <w:spacing w:val="53"/>
          <w:w w:val="150"/>
        </w:rPr>
        <w:t xml:space="preserve"> </w:t>
      </w:r>
      <w:r>
        <w:t>2018].</w:t>
      </w:r>
      <w:r>
        <w:rPr>
          <w:spacing w:val="56"/>
          <w:w w:val="150"/>
        </w:rPr>
        <w:t xml:space="preserve"> </w:t>
      </w:r>
      <w:r>
        <w:t>A</w:t>
      </w:r>
      <w:r>
        <w:rPr>
          <w:spacing w:val="62"/>
          <w:w w:val="150"/>
        </w:rPr>
        <w:t xml:space="preserve"> </w:t>
      </w:r>
      <w:r>
        <w:t>interação</w:t>
      </w:r>
      <w:r>
        <w:rPr>
          <w:spacing w:val="71"/>
        </w:rPr>
        <w:t xml:space="preserve"> </w:t>
      </w:r>
      <w:r>
        <w:t>entre</w:t>
      </w:r>
      <w:r>
        <w:rPr>
          <w:spacing w:val="70"/>
        </w:rPr>
        <w:t xml:space="preserve"> </w:t>
      </w:r>
      <w:r>
        <w:t>patógeno</w:t>
      </w:r>
      <w:r>
        <w:rPr>
          <w:spacing w:val="71"/>
        </w:rPr>
        <w:t xml:space="preserve"> </w:t>
      </w:r>
      <w:r>
        <w:t>e</w:t>
      </w:r>
      <w:r>
        <w:rPr>
          <w:spacing w:val="70"/>
        </w:rPr>
        <w:t xml:space="preserve"> </w:t>
      </w:r>
      <w:r>
        <w:t>hospedeiro</w:t>
      </w:r>
      <w:r>
        <w:rPr>
          <w:spacing w:val="71"/>
        </w:rPr>
        <w:t xml:space="preserve"> </w:t>
      </w:r>
      <w:r>
        <w:t>induz</w:t>
      </w:r>
      <w:r>
        <w:rPr>
          <w:spacing w:val="70"/>
        </w:rPr>
        <w:t xml:space="preserve"> </w:t>
      </w:r>
      <w:r>
        <w:t>a</w:t>
      </w:r>
      <w:r>
        <w:rPr>
          <w:spacing w:val="70"/>
        </w:rPr>
        <w:t xml:space="preserve"> </w:t>
      </w:r>
      <w:r>
        <w:t>liberação</w:t>
      </w:r>
      <w:r>
        <w:rPr>
          <w:spacing w:val="71"/>
        </w:rPr>
        <w:t xml:space="preserve"> </w:t>
      </w:r>
      <w:r>
        <w:t>de</w:t>
      </w:r>
      <w:r>
        <w:rPr>
          <w:spacing w:val="71"/>
        </w:rPr>
        <w:t xml:space="preserve"> </w:t>
      </w:r>
      <w:r>
        <w:rPr>
          <w:spacing w:val="-2"/>
        </w:rPr>
        <w:t>quimiocinas,</w:t>
      </w:r>
    </w:p>
    <w:p w14:paraId="1E5F1804" w14:textId="77777777" w:rsidR="00CD6054" w:rsidRDefault="00A44E92">
      <w:pPr>
        <w:pStyle w:val="BodyText"/>
        <w:spacing w:before="145" w:line="352" w:lineRule="auto"/>
        <w:ind w:left="236" w:right="248"/>
        <w:jc w:val="both"/>
      </w:pPr>
      <w:r>
        <w:t>citocinas e proteinases, com destaque para IL-1β, IL-8 e IL-6, enquanto a resposta imune</w:t>
      </w:r>
      <w:r>
        <w:rPr>
          <w:spacing w:val="80"/>
        </w:rPr>
        <w:t xml:space="preserve"> </w:t>
      </w:r>
      <w:r>
        <w:t>inata ativa os linfócitos B e T. [ALBIGER &amp; BAY, 1975]. Esse processo inflamatório,</w:t>
      </w:r>
      <w:r>
        <w:rPr>
          <w:spacing w:val="40"/>
        </w:rPr>
        <w:t xml:space="preserve"> </w:t>
      </w:r>
      <w:r>
        <w:t>quando descontrolado, favorece a reabsorção óssea alveolar.</w:t>
      </w:r>
    </w:p>
    <w:p w14:paraId="41290E85" w14:textId="77777777" w:rsidR="00CD6054" w:rsidRDefault="00A44E92">
      <w:pPr>
        <w:pStyle w:val="BodyText"/>
        <w:spacing w:before="179" w:line="360" w:lineRule="auto"/>
        <w:ind w:left="236" w:right="237" w:firstLine="706"/>
        <w:jc w:val="both"/>
      </w:pPr>
      <w:r>
        <w:t>Além dos efeitos locais da periodontite, esta faz parte do grupo das</w:t>
      </w:r>
      <w:r>
        <w:rPr>
          <w:spacing w:val="-2"/>
        </w:rPr>
        <w:t xml:space="preserve"> </w:t>
      </w:r>
      <w:r>
        <w:t>Doenças</w:t>
      </w:r>
      <w:r>
        <w:rPr>
          <w:spacing w:val="-2"/>
        </w:rPr>
        <w:t xml:space="preserve"> </w:t>
      </w:r>
      <w:r>
        <w:t>Crônicas não Transmissíveis (DCNT) e compartilha determinantes sociais e fatores de risco com as principais DCNT que são responsáveis por cerca de dois terços das mortes, como doença cardíaca, diabetes, câncer e doença respiratória crônica [AKRAM et al., 2016]. Uma das explicações para essa relação com doenças sistêmicas</w:t>
      </w:r>
      <w:r>
        <w:rPr>
          <w:spacing w:val="-9"/>
        </w:rPr>
        <w:t xml:space="preserve"> </w:t>
      </w:r>
      <w:r>
        <w:t>é</w:t>
      </w:r>
      <w:r>
        <w:rPr>
          <w:spacing w:val="-7"/>
        </w:rPr>
        <w:t xml:space="preserve"> </w:t>
      </w:r>
      <w:r>
        <w:t>a</w:t>
      </w:r>
      <w:r>
        <w:rPr>
          <w:spacing w:val="-7"/>
        </w:rPr>
        <w:t xml:space="preserve"> </w:t>
      </w:r>
      <w:r>
        <w:t>presença</w:t>
      </w:r>
      <w:r>
        <w:rPr>
          <w:spacing w:val="-7"/>
        </w:rPr>
        <w:t xml:space="preserve"> </w:t>
      </w:r>
      <w:r>
        <w:t>de</w:t>
      </w:r>
      <w:r>
        <w:rPr>
          <w:spacing w:val="-7"/>
        </w:rPr>
        <w:t xml:space="preserve"> </w:t>
      </w:r>
      <w:r>
        <w:t>disfunção</w:t>
      </w:r>
      <w:r>
        <w:rPr>
          <w:spacing w:val="-5"/>
        </w:rPr>
        <w:t xml:space="preserve"> </w:t>
      </w:r>
      <w:r>
        <w:t>endotelial</w:t>
      </w:r>
      <w:r>
        <w:rPr>
          <w:spacing w:val="-12"/>
        </w:rPr>
        <w:t xml:space="preserve"> </w:t>
      </w:r>
      <w:r>
        <w:t>nos pacientes com</w:t>
      </w:r>
      <w:r>
        <w:rPr>
          <w:spacing w:val="-6"/>
        </w:rPr>
        <w:t xml:space="preserve"> </w:t>
      </w:r>
      <w:r>
        <w:t>periodontite</w:t>
      </w:r>
      <w:r>
        <w:rPr>
          <w:spacing w:val="-15"/>
        </w:rPr>
        <w:t xml:space="preserve"> </w:t>
      </w:r>
      <w:r>
        <w:t>[HIGASHI</w:t>
      </w:r>
      <w:r>
        <w:rPr>
          <w:spacing w:val="-5"/>
        </w:rPr>
        <w:t xml:space="preserve"> </w:t>
      </w:r>
      <w:r>
        <w:t>et</w:t>
      </w:r>
      <w:r>
        <w:rPr>
          <w:spacing w:val="-6"/>
        </w:rPr>
        <w:t xml:space="preserve"> </w:t>
      </w:r>
      <w:r>
        <w:t>al., 2008;</w:t>
      </w:r>
      <w:r>
        <w:rPr>
          <w:spacing w:val="-6"/>
        </w:rPr>
        <w:t xml:space="preserve"> </w:t>
      </w:r>
      <w:r>
        <w:t>HIGASHI</w:t>
      </w:r>
      <w:r>
        <w:rPr>
          <w:spacing w:val="-5"/>
        </w:rPr>
        <w:t xml:space="preserve"> </w:t>
      </w:r>
      <w:r>
        <w:t>et al., 2009; MOSS et al., 2004; MERCANOGLU et al., 2004]. A disfunção endotelial é o primeiro sinal de alterações cardiovasculares e estaria no cerne da relação entre doença periodontal e alterações</w:t>
      </w:r>
      <w:r>
        <w:rPr>
          <w:spacing w:val="80"/>
        </w:rPr>
        <w:t xml:space="preserve"> </w:t>
      </w:r>
      <w:r>
        <w:t>sistêmicas. Adicionalmente, estudos demonstram que existe uma íntima relação entre a</w:t>
      </w:r>
      <w:r>
        <w:rPr>
          <w:spacing w:val="80"/>
        </w:rPr>
        <w:t xml:space="preserve"> </w:t>
      </w:r>
      <w:r>
        <w:t>doença periodontal e</w:t>
      </w:r>
      <w:r>
        <w:rPr>
          <w:spacing w:val="-2"/>
        </w:rPr>
        <w:t xml:space="preserve"> </w:t>
      </w:r>
      <w:r>
        <w:t>a</w:t>
      </w:r>
      <w:r>
        <w:rPr>
          <w:spacing w:val="-2"/>
        </w:rPr>
        <w:t xml:space="preserve"> </w:t>
      </w:r>
      <w:r>
        <w:t>doença</w:t>
      </w:r>
      <w:r>
        <w:rPr>
          <w:spacing w:val="-2"/>
        </w:rPr>
        <w:t xml:space="preserve"> </w:t>
      </w:r>
      <w:r>
        <w:t>renal</w:t>
      </w:r>
      <w:r>
        <w:rPr>
          <w:spacing w:val="-7"/>
        </w:rPr>
        <w:t xml:space="preserve"> </w:t>
      </w:r>
      <w:r>
        <w:t>crônica, devido ao perfil</w:t>
      </w:r>
      <w:r>
        <w:rPr>
          <w:spacing w:val="-7"/>
        </w:rPr>
        <w:t xml:space="preserve"> </w:t>
      </w:r>
      <w:r>
        <w:t>hiperinflamado do paciente, pela expressão de</w:t>
      </w:r>
      <w:r>
        <w:rPr>
          <w:spacing w:val="-15"/>
        </w:rPr>
        <w:t xml:space="preserve"> </w:t>
      </w:r>
      <w:r>
        <w:t>citocinas pró-inflamatórias</w:t>
      </w:r>
      <w:r>
        <w:rPr>
          <w:spacing w:val="24"/>
        </w:rPr>
        <w:t xml:space="preserve"> </w:t>
      </w:r>
      <w:r>
        <w:t>e</w:t>
      </w:r>
      <w:r>
        <w:rPr>
          <w:spacing w:val="-3"/>
        </w:rPr>
        <w:t xml:space="preserve"> </w:t>
      </w:r>
      <w:r>
        <w:t>disfunção</w:t>
      </w:r>
      <w:r>
        <w:rPr>
          <w:spacing w:val="-1"/>
        </w:rPr>
        <w:t xml:space="preserve"> </w:t>
      </w:r>
      <w:r>
        <w:t>endotelial</w:t>
      </w:r>
      <w:r>
        <w:rPr>
          <w:spacing w:val="-8"/>
        </w:rPr>
        <w:t xml:space="preserve"> </w:t>
      </w:r>
      <w:r>
        <w:t>[HELENIUS-HIETALA</w:t>
      </w:r>
      <w:r>
        <w:rPr>
          <w:spacing w:val="-10"/>
        </w:rPr>
        <w:t xml:space="preserve"> </w:t>
      </w:r>
      <w:r>
        <w:t>et</w:t>
      </w:r>
      <w:r>
        <w:rPr>
          <w:spacing w:val="-8"/>
        </w:rPr>
        <w:t xml:space="preserve"> </w:t>
      </w:r>
      <w:r>
        <w:t>al., 2018;</w:t>
      </w:r>
      <w:r>
        <w:rPr>
          <w:spacing w:val="20"/>
        </w:rPr>
        <w:t xml:space="preserve"> </w:t>
      </w:r>
      <w:r>
        <w:t>LINDHE</w:t>
      </w:r>
      <w:r>
        <w:rPr>
          <w:spacing w:val="31"/>
        </w:rPr>
        <w:t xml:space="preserve"> </w:t>
      </w:r>
      <w:r>
        <w:t>et</w:t>
      </w:r>
      <w:r>
        <w:rPr>
          <w:spacing w:val="37"/>
        </w:rPr>
        <w:t xml:space="preserve"> </w:t>
      </w:r>
      <w:r>
        <w:t>al.,</w:t>
      </w:r>
      <w:r>
        <w:rPr>
          <w:spacing w:val="28"/>
        </w:rPr>
        <w:t xml:space="preserve"> </w:t>
      </w:r>
      <w:r>
        <w:t>2015],</w:t>
      </w:r>
      <w:r>
        <w:rPr>
          <w:spacing w:val="29"/>
        </w:rPr>
        <w:t xml:space="preserve"> </w:t>
      </w:r>
      <w:r>
        <w:t>além</w:t>
      </w:r>
      <w:r>
        <w:rPr>
          <w:spacing w:val="22"/>
        </w:rPr>
        <w:t xml:space="preserve"> </w:t>
      </w:r>
      <w:r>
        <w:t>de</w:t>
      </w:r>
      <w:r>
        <w:rPr>
          <w:spacing w:val="27"/>
        </w:rPr>
        <w:t xml:space="preserve"> </w:t>
      </w:r>
      <w:r>
        <w:t>compartilharem</w:t>
      </w:r>
      <w:r>
        <w:rPr>
          <w:spacing w:val="8"/>
        </w:rPr>
        <w:t xml:space="preserve"> </w:t>
      </w:r>
      <w:r>
        <w:t>outros</w:t>
      </w:r>
      <w:r>
        <w:rPr>
          <w:spacing w:val="10"/>
        </w:rPr>
        <w:t xml:space="preserve"> </w:t>
      </w:r>
      <w:r>
        <w:t>fatores</w:t>
      </w:r>
      <w:r>
        <w:rPr>
          <w:spacing w:val="11"/>
        </w:rPr>
        <w:t xml:space="preserve"> </w:t>
      </w:r>
      <w:r>
        <w:t>de</w:t>
      </w:r>
      <w:r>
        <w:rPr>
          <w:spacing w:val="12"/>
        </w:rPr>
        <w:t xml:space="preserve"> </w:t>
      </w:r>
      <w:r>
        <w:t>risco</w:t>
      </w:r>
      <w:r>
        <w:rPr>
          <w:spacing w:val="14"/>
        </w:rPr>
        <w:t xml:space="preserve"> </w:t>
      </w:r>
      <w:r>
        <w:t>como</w:t>
      </w:r>
      <w:r>
        <w:rPr>
          <w:spacing w:val="14"/>
        </w:rPr>
        <w:t xml:space="preserve"> </w:t>
      </w:r>
      <w:r>
        <w:rPr>
          <w:spacing w:val="-2"/>
        </w:rPr>
        <w:t>diabetes</w:t>
      </w:r>
    </w:p>
    <w:p w14:paraId="5F1EDF94" w14:textId="77777777" w:rsidR="00CD6054" w:rsidRDefault="00CD6054">
      <w:pPr>
        <w:spacing w:line="360" w:lineRule="auto"/>
        <w:jc w:val="both"/>
        <w:sectPr w:rsidR="00CD6054">
          <w:pgSz w:w="11910" w:h="16850"/>
          <w:pgMar w:top="1640" w:right="880" w:bottom="280" w:left="1460" w:header="720" w:footer="720" w:gutter="0"/>
          <w:cols w:space="720"/>
        </w:sectPr>
      </w:pPr>
    </w:p>
    <w:p w14:paraId="3E7413BF" w14:textId="77777777" w:rsidR="00CD6054" w:rsidRDefault="00A44E92">
      <w:pPr>
        <w:pStyle w:val="BodyText"/>
        <w:spacing w:before="68" w:line="352" w:lineRule="auto"/>
        <w:ind w:left="236" w:right="259"/>
        <w:jc w:val="both"/>
      </w:pPr>
      <w:r>
        <w:lastRenderedPageBreak/>
        <w:t>mellitus, hipertensão, obesidade e tabagismo [FISHER et al., 2008], e serem consideradas fator de risco para doenças cardiovasculares [HANSEN et al., 2018; ZIEBLZ et al., 2017].</w:t>
      </w:r>
    </w:p>
    <w:p w14:paraId="06265E35" w14:textId="77777777" w:rsidR="00CD6054" w:rsidRDefault="00A44E92">
      <w:pPr>
        <w:pStyle w:val="BodyText"/>
        <w:spacing w:before="179" w:line="357" w:lineRule="auto"/>
        <w:ind w:left="236" w:right="243" w:firstLine="706"/>
        <w:jc w:val="both"/>
      </w:pPr>
      <w:r>
        <w:t>A relação entre epitélio da bolsa periodontal, causada pela doença periodontal, com o biofilme, viabiliza a entrada de bactérias e seus produtos, especialmente LPS, a desafiar o sistema imunológico, primeiramente de forma local, e posteriormente, com a entrada na circulação sanguínea, de forma generalizada, atingindo diversos órgãos, inclusive, os rins [EBERSOLE &amp;</w:t>
      </w:r>
      <w:r>
        <w:rPr>
          <w:spacing w:val="-6"/>
        </w:rPr>
        <w:t xml:space="preserve"> </w:t>
      </w:r>
      <w:r>
        <w:t>TAUBMAN, 1994]. Já foi</w:t>
      </w:r>
      <w:r>
        <w:rPr>
          <w:spacing w:val="-6"/>
        </w:rPr>
        <w:t xml:space="preserve"> </w:t>
      </w:r>
      <w:r>
        <w:t>demonstrada a associação entre níveis</w:t>
      </w:r>
      <w:r>
        <w:rPr>
          <w:spacing w:val="-3"/>
        </w:rPr>
        <w:t xml:space="preserve"> </w:t>
      </w:r>
      <w:r>
        <w:t>elevados</w:t>
      </w:r>
      <w:r>
        <w:rPr>
          <w:spacing w:val="-3"/>
        </w:rPr>
        <w:t xml:space="preserve"> </w:t>
      </w:r>
      <w:r>
        <w:t xml:space="preserve">de IgG contra periodontopatógenos, como </w:t>
      </w:r>
      <w:r>
        <w:rPr>
          <w:i/>
        </w:rPr>
        <w:t xml:space="preserve">Porphyromonas gingivalis, Treponema denticola </w:t>
      </w:r>
      <w:r>
        <w:t xml:space="preserve">e </w:t>
      </w:r>
      <w:r>
        <w:rPr>
          <w:i/>
        </w:rPr>
        <w:t xml:space="preserve">Aggregatibacter actinomicetemcomitans, </w:t>
      </w:r>
      <w:r>
        <w:t>em pacientes com função renal prejudicada [KSHIRSAGAR et al., 2009].</w:t>
      </w:r>
    </w:p>
    <w:p w14:paraId="08F8C63D" w14:textId="77777777" w:rsidR="00CD6054" w:rsidRDefault="00A44E92">
      <w:pPr>
        <w:pStyle w:val="BodyText"/>
        <w:spacing w:before="194" w:line="357" w:lineRule="auto"/>
        <w:ind w:left="236" w:right="239" w:firstLine="706"/>
        <w:jc w:val="both"/>
      </w:pPr>
      <w:r>
        <w:t>Muitos estudos mostram que pacientes com doença renal crônica apresentam pior estado periodontal, maiores perdas de inserção e de osso alveolar comparado a pacientes não doentes, além de ser responsável pela deterioração mais rápida da função renal nos enxertos [IOANNIDOU et al., 2010; MARTINS et al., 2006; ROMÃO et al., 2004]. Além da pobre condição periodontal, outras alterações bucais são observadas em pacientes com DRC, como xerostomia, sensação de gosto amargo na boca e alterações do paladar [HELENIUS- HIETALA et al., 2018]. Sendo assim, é essencial o acompanhamento odontológico desses pacientes para uma melhor qualidade de vida.</w:t>
      </w:r>
    </w:p>
    <w:p w14:paraId="4AD9C15D" w14:textId="77777777" w:rsidR="00CD6054" w:rsidRDefault="00A44E92">
      <w:pPr>
        <w:pStyle w:val="BodyText"/>
        <w:spacing w:before="178" w:line="360" w:lineRule="auto"/>
        <w:ind w:left="236" w:right="239" w:firstLine="706"/>
        <w:jc w:val="both"/>
      </w:pPr>
      <w:r>
        <w:t>Em estudo recente, nosso grupo de estudos mostrou que pacientes com DRC apresentaram maior área de inflamação periodontal mensurada pelo PISA (</w:t>
      </w:r>
      <w:r>
        <w:rPr>
          <w:i/>
        </w:rPr>
        <w:t>Periodontal inflammed Surface Area</w:t>
      </w:r>
      <w:r>
        <w:t>) (p&lt;0.05), pior índice de placa (p&lt;0.05) bem</w:t>
      </w:r>
      <w:r>
        <w:rPr>
          <w:spacing w:val="-12"/>
        </w:rPr>
        <w:t xml:space="preserve"> </w:t>
      </w:r>
      <w:r>
        <w:t>como</w:t>
      </w:r>
      <w:r>
        <w:rPr>
          <w:spacing w:val="-5"/>
        </w:rPr>
        <w:t xml:space="preserve"> </w:t>
      </w:r>
      <w:r>
        <w:t>menor</w:t>
      </w:r>
      <w:r>
        <w:rPr>
          <w:spacing w:val="-10"/>
        </w:rPr>
        <w:t xml:space="preserve"> </w:t>
      </w:r>
      <w:r>
        <w:t>número</w:t>
      </w:r>
      <w:r>
        <w:rPr>
          <w:spacing w:val="-5"/>
        </w:rPr>
        <w:t xml:space="preserve"> </w:t>
      </w:r>
      <w:r>
        <w:t>de dentes em boca (p&lt;0.05). Adicionalmente, são comuns outras alterações bucais, como xerostomia, sensação de gosto amargo na</w:t>
      </w:r>
      <w:r>
        <w:rPr>
          <w:spacing w:val="-1"/>
        </w:rPr>
        <w:t xml:space="preserve"> </w:t>
      </w:r>
      <w:r>
        <w:t>boca</w:t>
      </w:r>
      <w:r>
        <w:rPr>
          <w:spacing w:val="-1"/>
        </w:rPr>
        <w:t xml:space="preserve"> </w:t>
      </w:r>
      <w:r>
        <w:t>e</w:t>
      </w:r>
      <w:r>
        <w:rPr>
          <w:spacing w:val="-1"/>
        </w:rPr>
        <w:t xml:space="preserve"> </w:t>
      </w:r>
      <w:r>
        <w:t>alterações</w:t>
      </w:r>
      <w:r>
        <w:rPr>
          <w:spacing w:val="-3"/>
        </w:rPr>
        <w:t xml:space="preserve"> </w:t>
      </w:r>
      <w:r>
        <w:t>do paladar</w:t>
      </w:r>
      <w:r>
        <w:rPr>
          <w:spacing w:val="-5"/>
        </w:rPr>
        <w:t xml:space="preserve"> </w:t>
      </w:r>
      <w:r>
        <w:t>[DAVIDOVICH et al., 2005];</w:t>
      </w:r>
      <w:r>
        <w:rPr>
          <w:spacing w:val="19"/>
        </w:rPr>
        <w:t xml:space="preserve"> </w:t>
      </w:r>
      <w:r>
        <w:t>dessa</w:t>
      </w:r>
      <w:r>
        <w:rPr>
          <w:spacing w:val="24"/>
        </w:rPr>
        <w:t xml:space="preserve"> </w:t>
      </w:r>
      <w:r>
        <w:t>forma</w:t>
      </w:r>
      <w:r>
        <w:rPr>
          <w:spacing w:val="24"/>
        </w:rPr>
        <w:t xml:space="preserve"> </w:t>
      </w:r>
      <w:r>
        <w:t>o acompanhamento odontológico em pacientes com doença renal crônica é imprescindível [LINS et al., 2017].</w:t>
      </w:r>
    </w:p>
    <w:p w14:paraId="1EDBF743" w14:textId="77777777" w:rsidR="00CD6054" w:rsidRDefault="00CD6054">
      <w:pPr>
        <w:pStyle w:val="BodyText"/>
      </w:pPr>
    </w:p>
    <w:p w14:paraId="77A97D15" w14:textId="77777777" w:rsidR="00CD6054" w:rsidRDefault="00CD6054">
      <w:pPr>
        <w:pStyle w:val="BodyText"/>
        <w:spacing w:before="123"/>
      </w:pPr>
    </w:p>
    <w:p w14:paraId="3C30943A" w14:textId="77777777" w:rsidR="00CD6054" w:rsidRDefault="00A44E92">
      <w:pPr>
        <w:pStyle w:val="Heading1"/>
        <w:numPr>
          <w:ilvl w:val="1"/>
          <w:numId w:val="7"/>
        </w:numPr>
        <w:tabs>
          <w:tab w:val="left" w:pos="1318"/>
        </w:tabs>
        <w:ind w:hanging="721"/>
      </w:pPr>
      <w:r>
        <w:t>Doença</w:t>
      </w:r>
      <w:r>
        <w:rPr>
          <w:spacing w:val="5"/>
        </w:rPr>
        <w:t xml:space="preserve"> </w:t>
      </w:r>
      <w:r>
        <w:t>Renal</w:t>
      </w:r>
      <w:r>
        <w:rPr>
          <w:spacing w:val="-2"/>
        </w:rPr>
        <w:t xml:space="preserve"> Crônica</w:t>
      </w:r>
    </w:p>
    <w:p w14:paraId="2EB349D1" w14:textId="77777777" w:rsidR="00CD6054" w:rsidRDefault="00CD6054">
      <w:pPr>
        <w:pStyle w:val="BodyText"/>
        <w:spacing w:before="184"/>
        <w:rPr>
          <w:b/>
        </w:rPr>
      </w:pPr>
    </w:p>
    <w:p w14:paraId="2F239B1D" w14:textId="77777777" w:rsidR="00CD6054" w:rsidRDefault="00A44E92">
      <w:pPr>
        <w:pStyle w:val="BodyText"/>
        <w:spacing w:line="362" w:lineRule="auto"/>
        <w:ind w:left="236" w:right="243" w:firstLine="706"/>
        <w:jc w:val="both"/>
      </w:pPr>
      <w:r>
        <w:t>A doença renal crônica (DRC) é definida</w:t>
      </w:r>
      <w:r>
        <w:rPr>
          <w:spacing w:val="-5"/>
        </w:rPr>
        <w:t xml:space="preserve"> </w:t>
      </w:r>
      <w:r>
        <w:t>como</w:t>
      </w:r>
      <w:r>
        <w:rPr>
          <w:spacing w:val="-5"/>
        </w:rPr>
        <w:t xml:space="preserve"> </w:t>
      </w:r>
      <w:r>
        <w:t>uma</w:t>
      </w:r>
      <w:r>
        <w:rPr>
          <w:spacing w:val="-7"/>
        </w:rPr>
        <w:t xml:space="preserve"> </w:t>
      </w:r>
      <w:r>
        <w:t>lesão</w:t>
      </w:r>
      <w:r>
        <w:rPr>
          <w:spacing w:val="-5"/>
        </w:rPr>
        <w:t xml:space="preserve"> </w:t>
      </w:r>
      <w:r>
        <w:t>renal</w:t>
      </w:r>
      <w:r>
        <w:rPr>
          <w:spacing w:val="-11"/>
        </w:rPr>
        <w:t xml:space="preserve"> </w:t>
      </w:r>
      <w:r>
        <w:t>com</w:t>
      </w:r>
      <w:r>
        <w:rPr>
          <w:spacing w:val="-11"/>
        </w:rPr>
        <w:t xml:space="preserve"> </w:t>
      </w:r>
      <w:r>
        <w:t>perda</w:t>
      </w:r>
      <w:r>
        <w:rPr>
          <w:spacing w:val="-1"/>
        </w:rPr>
        <w:t xml:space="preserve"> </w:t>
      </w:r>
      <w:r>
        <w:t>progressiva e irreversível das funções renais, podendo ser glomerular, tubular ou endócrina [STENVINKEL et al., 2005] e caracterizada por níveis químicos sanguíneos anormais e elevados</w:t>
      </w:r>
      <w:r>
        <w:rPr>
          <w:spacing w:val="27"/>
        </w:rPr>
        <w:t xml:space="preserve"> </w:t>
      </w:r>
      <w:r>
        <w:t>de</w:t>
      </w:r>
      <w:r>
        <w:rPr>
          <w:spacing w:val="32"/>
        </w:rPr>
        <w:t xml:space="preserve"> </w:t>
      </w:r>
      <w:r>
        <w:t>potássio,</w:t>
      </w:r>
      <w:r>
        <w:rPr>
          <w:spacing w:val="32"/>
        </w:rPr>
        <w:t xml:space="preserve"> </w:t>
      </w:r>
      <w:r>
        <w:t>ureia</w:t>
      </w:r>
      <w:r>
        <w:rPr>
          <w:spacing w:val="32"/>
        </w:rPr>
        <w:t xml:space="preserve"> </w:t>
      </w:r>
      <w:r>
        <w:t>e</w:t>
      </w:r>
      <w:r>
        <w:rPr>
          <w:spacing w:val="31"/>
        </w:rPr>
        <w:t xml:space="preserve"> </w:t>
      </w:r>
      <w:r>
        <w:t>creatinina</w:t>
      </w:r>
      <w:r>
        <w:rPr>
          <w:spacing w:val="32"/>
        </w:rPr>
        <w:t xml:space="preserve"> </w:t>
      </w:r>
      <w:r>
        <w:t>[National</w:t>
      </w:r>
      <w:r>
        <w:rPr>
          <w:spacing w:val="26"/>
        </w:rPr>
        <w:t xml:space="preserve"> </w:t>
      </w:r>
      <w:r>
        <w:t>Kidney</w:t>
      </w:r>
      <w:r>
        <w:rPr>
          <w:spacing w:val="33"/>
        </w:rPr>
        <w:t xml:space="preserve"> </w:t>
      </w:r>
      <w:r>
        <w:t>Foundation,</w:t>
      </w:r>
      <w:r>
        <w:rPr>
          <w:spacing w:val="32"/>
        </w:rPr>
        <w:t xml:space="preserve"> </w:t>
      </w:r>
      <w:r>
        <w:t>2002;</w:t>
      </w:r>
      <w:r>
        <w:rPr>
          <w:spacing w:val="11"/>
        </w:rPr>
        <w:t xml:space="preserve"> </w:t>
      </w:r>
      <w:r>
        <w:t>CARDOSO</w:t>
      </w:r>
      <w:r>
        <w:rPr>
          <w:spacing w:val="25"/>
        </w:rPr>
        <w:t xml:space="preserve"> </w:t>
      </w:r>
      <w:r>
        <w:rPr>
          <w:spacing w:val="-5"/>
        </w:rPr>
        <w:t>et</w:t>
      </w:r>
    </w:p>
    <w:p w14:paraId="04026641" w14:textId="77777777" w:rsidR="00CD6054" w:rsidRDefault="00CD6054">
      <w:pPr>
        <w:spacing w:line="362" w:lineRule="auto"/>
        <w:jc w:val="both"/>
        <w:sectPr w:rsidR="00CD6054">
          <w:pgSz w:w="11910" w:h="16850"/>
          <w:pgMar w:top="1640" w:right="880" w:bottom="280" w:left="1460" w:header="720" w:footer="720" w:gutter="0"/>
          <w:cols w:space="720"/>
        </w:sectPr>
      </w:pPr>
    </w:p>
    <w:p w14:paraId="6B19805C" w14:textId="77777777" w:rsidR="00CD6054" w:rsidRDefault="00A44E92">
      <w:pPr>
        <w:pStyle w:val="BodyText"/>
        <w:spacing w:before="68" w:line="360" w:lineRule="auto"/>
        <w:ind w:left="236" w:right="243"/>
        <w:jc w:val="both"/>
      </w:pPr>
      <w:r>
        <w:lastRenderedPageBreak/>
        <w:t>al., 2009]. Na fase terminal de insuficiência renal crônica, os rins são incapazes de manter a homeostase do paciente, e é necessário terapia de substituição em forma de diálise ou transplante real [RUIZ-ORTEGA et al., 2001]. Além</w:t>
      </w:r>
      <w:r>
        <w:rPr>
          <w:spacing w:val="-7"/>
        </w:rPr>
        <w:t xml:space="preserve"> </w:t>
      </w:r>
      <w:r>
        <w:t>disso, os</w:t>
      </w:r>
      <w:r>
        <w:rPr>
          <w:spacing w:val="-4"/>
        </w:rPr>
        <w:t xml:space="preserve"> </w:t>
      </w:r>
      <w:r>
        <w:t>pacientes</w:t>
      </w:r>
      <w:r>
        <w:rPr>
          <w:spacing w:val="-4"/>
        </w:rPr>
        <w:t xml:space="preserve"> </w:t>
      </w:r>
      <w:r>
        <w:t>afetados</w:t>
      </w:r>
      <w:r>
        <w:rPr>
          <w:spacing w:val="-4"/>
        </w:rPr>
        <w:t xml:space="preserve"> </w:t>
      </w:r>
      <w:r>
        <w:t>pela</w:t>
      </w:r>
      <w:r>
        <w:rPr>
          <w:spacing w:val="-2"/>
        </w:rPr>
        <w:t xml:space="preserve"> </w:t>
      </w:r>
      <w:r>
        <w:t>doença renal crônica apresentam respostas imunes e humorais suprimidas. A hemodiálise é um tratamento que visa melhorar os sintomas causados pelo acúmulo de substâncias tóxicas, não filtradas e eliminadas pelos rins [BALBO et al., 2007]. Estima-se que haja 122.825 pacientes em tratamento dialítico no Brasil, um número praticamente triplicado comparado ao senso de 2000 [ZIEBLZ et al., 2017].</w:t>
      </w:r>
    </w:p>
    <w:p w14:paraId="4C5E44D4" w14:textId="77777777" w:rsidR="00CD6054" w:rsidRDefault="00A44E92">
      <w:pPr>
        <w:pStyle w:val="BodyText"/>
        <w:spacing w:before="171" w:line="360" w:lineRule="auto"/>
        <w:ind w:left="236" w:right="246" w:firstLine="706"/>
        <w:jc w:val="both"/>
      </w:pPr>
      <w:r>
        <w:t>A doença renal crônica pode ser causada por diversos fatores como diabetes mellitus, hipertensão arterial descompensada, glomerulonefrite crônica, obstrução do trato urinário, medicamentos e agentes ambientais. Entretanto, diabetes mellitus e hipertensão</w:t>
      </w:r>
      <w:r>
        <w:rPr>
          <w:spacing w:val="-5"/>
        </w:rPr>
        <w:t xml:space="preserve"> </w:t>
      </w:r>
      <w:r>
        <w:t>arterial</w:t>
      </w:r>
      <w:r>
        <w:rPr>
          <w:spacing w:val="-12"/>
        </w:rPr>
        <w:t xml:space="preserve"> </w:t>
      </w:r>
      <w:r>
        <w:t>são</w:t>
      </w:r>
      <w:r>
        <w:rPr>
          <w:spacing w:val="-5"/>
        </w:rPr>
        <w:t xml:space="preserve"> </w:t>
      </w:r>
      <w:r>
        <w:t>os principais fatores encontrados [ZIEBLZ et al., 2017]. Os sintomas se desenvolvem tardiamente e à medida que a insuficiência renal progride, os resíduos metabólicos se acumulam no sangue, potencializando os sintomas, que podem ser poliúria, oligúria, emagrecimento e distúrbios do equilíbrio hidroeletrolítico. Nas formas avançadas, pode</w:t>
      </w:r>
      <w:r>
        <w:rPr>
          <w:spacing w:val="-8"/>
        </w:rPr>
        <w:t xml:space="preserve"> </w:t>
      </w:r>
      <w:r>
        <w:t>haver alterações ósseas, na acuidade mental, alterações da pressão intraocular e cardíacas [EDDY, 2005]. O</w:t>
      </w:r>
      <w:r>
        <w:rPr>
          <w:spacing w:val="40"/>
        </w:rPr>
        <w:t xml:space="preserve"> </w:t>
      </w:r>
      <w:r>
        <w:t>diagnóstico pode ser realizado por exames de sangue e urina, como dosagem da ureia e creatinina, os quais confirmam a diminuição da função renal, e ultrassonografia, para análise da morfologia renal.</w:t>
      </w:r>
    </w:p>
    <w:p w14:paraId="57835926" w14:textId="77777777" w:rsidR="00CD6054" w:rsidRDefault="00A44E92">
      <w:pPr>
        <w:pStyle w:val="BodyText"/>
        <w:spacing w:before="160" w:line="360" w:lineRule="auto"/>
        <w:ind w:left="236" w:right="239" w:firstLine="706"/>
        <w:jc w:val="both"/>
      </w:pPr>
      <w:r>
        <w:t>O caminho natural da DRC é caracterizado pela fibrose glomerular ou dos túbulo- intersticiais, lesão capilar peritubular por hipóxia e perda de funcionamentos dos néfrons por esclerose glomerular e atrofia tubular [EDDY, 2005]. A diminuição da função renal leva a muitas alterações no organismo, levando a ruptura das funções endócrinas e metabólicas, distúrbios hidroeletrolíticos e ácido-básicos, além de redução do volume e aumento da concentração da urina. Ocorre acidose, diminuição na produção de glóbulos vermelhos, e consequente anemia. Os tratamentos são mudanças nutricionais e medicamentos, com</w:t>
      </w:r>
      <w:r>
        <w:rPr>
          <w:spacing w:val="80"/>
        </w:rPr>
        <w:t xml:space="preserve"> </w:t>
      </w:r>
      <w:r>
        <w:t>objetivo de retardar o declínio da função renal, e diálise ou transplante renal, em casos avançados [MCPHEE et al., 2014].</w:t>
      </w:r>
    </w:p>
    <w:p w14:paraId="64FFE25D" w14:textId="77777777" w:rsidR="00CD6054" w:rsidRDefault="00CD6054">
      <w:pPr>
        <w:pStyle w:val="BodyText"/>
      </w:pPr>
    </w:p>
    <w:p w14:paraId="479C08A3" w14:textId="77777777" w:rsidR="00CD6054" w:rsidRDefault="00CD6054">
      <w:pPr>
        <w:pStyle w:val="BodyText"/>
        <w:spacing w:before="256"/>
      </w:pPr>
    </w:p>
    <w:p w14:paraId="480442E9" w14:textId="77777777" w:rsidR="00CD6054" w:rsidRDefault="00A44E92">
      <w:pPr>
        <w:pStyle w:val="Heading1"/>
        <w:numPr>
          <w:ilvl w:val="1"/>
          <w:numId w:val="7"/>
        </w:numPr>
        <w:tabs>
          <w:tab w:val="left" w:pos="1318"/>
        </w:tabs>
        <w:spacing w:before="1"/>
        <w:ind w:hanging="721"/>
      </w:pPr>
      <w:r>
        <w:t>Perfil</w:t>
      </w:r>
      <w:r>
        <w:rPr>
          <w:spacing w:val="-6"/>
        </w:rPr>
        <w:t xml:space="preserve"> </w:t>
      </w:r>
      <w:r>
        <w:rPr>
          <w:spacing w:val="-2"/>
        </w:rPr>
        <w:t>hiperinflamatório</w:t>
      </w:r>
    </w:p>
    <w:p w14:paraId="6687BB7C" w14:textId="77777777" w:rsidR="00CD6054" w:rsidRDefault="00CD6054">
      <w:pPr>
        <w:sectPr w:rsidR="00CD6054">
          <w:pgSz w:w="11910" w:h="16850"/>
          <w:pgMar w:top="1640" w:right="880" w:bottom="280" w:left="1460" w:header="720" w:footer="720" w:gutter="0"/>
          <w:cols w:space="720"/>
        </w:sectPr>
      </w:pPr>
    </w:p>
    <w:p w14:paraId="003071E5" w14:textId="77777777" w:rsidR="00CD6054" w:rsidRDefault="00A44E92">
      <w:pPr>
        <w:pStyle w:val="BodyText"/>
        <w:spacing w:before="68" w:line="360" w:lineRule="auto"/>
        <w:ind w:left="236" w:right="256" w:firstLine="766"/>
        <w:jc w:val="both"/>
      </w:pPr>
      <w:r>
        <w:lastRenderedPageBreak/>
        <w:t>É considerada inflamação a resposta a</w:t>
      </w:r>
      <w:r>
        <w:rPr>
          <w:spacing w:val="-7"/>
        </w:rPr>
        <w:t xml:space="preserve"> </w:t>
      </w:r>
      <w:r>
        <w:t>uma</w:t>
      </w:r>
      <w:r>
        <w:rPr>
          <w:spacing w:val="-7"/>
        </w:rPr>
        <w:t xml:space="preserve"> </w:t>
      </w:r>
      <w:r>
        <w:t>infecção</w:t>
      </w:r>
      <w:r>
        <w:rPr>
          <w:spacing w:val="-5"/>
        </w:rPr>
        <w:t xml:space="preserve"> </w:t>
      </w:r>
      <w:r>
        <w:t>ou</w:t>
      </w:r>
      <w:r>
        <w:rPr>
          <w:spacing w:val="-5"/>
        </w:rPr>
        <w:t xml:space="preserve"> </w:t>
      </w:r>
      <w:r>
        <w:t>lesão;</w:t>
      </w:r>
      <w:r>
        <w:rPr>
          <w:spacing w:val="-12"/>
        </w:rPr>
        <w:t xml:space="preserve"> </w:t>
      </w:r>
      <w:r>
        <w:t>é</w:t>
      </w:r>
      <w:r>
        <w:rPr>
          <w:spacing w:val="-7"/>
        </w:rPr>
        <w:t xml:space="preserve"> </w:t>
      </w:r>
      <w:r>
        <w:t>uma</w:t>
      </w:r>
      <w:r>
        <w:rPr>
          <w:spacing w:val="-7"/>
        </w:rPr>
        <w:t xml:space="preserve"> </w:t>
      </w:r>
      <w:r>
        <w:t>resposta</w:t>
      </w:r>
      <w:r>
        <w:rPr>
          <w:spacing w:val="-7"/>
        </w:rPr>
        <w:t xml:space="preserve"> </w:t>
      </w:r>
      <w:r>
        <w:t>padrão</w:t>
      </w:r>
      <w:r>
        <w:rPr>
          <w:spacing w:val="-5"/>
        </w:rPr>
        <w:t xml:space="preserve"> </w:t>
      </w:r>
      <w:r>
        <w:t>a vários tipos de tecidos e é mediada por substâncias produzidas por células próximas a</w:t>
      </w:r>
      <w:r>
        <w:rPr>
          <w:spacing w:val="-5"/>
        </w:rPr>
        <w:t xml:space="preserve"> </w:t>
      </w:r>
      <w:r>
        <w:t>lesão</w:t>
      </w:r>
      <w:r>
        <w:rPr>
          <w:spacing w:val="-3"/>
        </w:rPr>
        <w:t xml:space="preserve"> </w:t>
      </w:r>
      <w:r>
        <w:t>e pelas próprias células do tecido danificado [VAN DYKE, 2020]. Quando essa resposta é exacerbada, ocorre um aumento do processo inflamatório e perda de tolerância periférica dos componentes teciduais, que se tornam antigênicos, desencadeando uma inflamação local [MARTINS et al., 2006]. Quando esse processo é prolongado, ocorre destruição total do tecido [EL NAHAS, 2005].</w:t>
      </w:r>
    </w:p>
    <w:p w14:paraId="5D8E1C9B" w14:textId="77777777" w:rsidR="00CD6054" w:rsidRDefault="00A44E92">
      <w:pPr>
        <w:pStyle w:val="BodyText"/>
        <w:spacing w:before="164" w:line="360" w:lineRule="auto"/>
        <w:ind w:left="236" w:right="239" w:firstLine="706"/>
        <w:jc w:val="both"/>
      </w:pPr>
      <w:r>
        <w:t>Estudos recentes destacam o papel da inflamação subclínica na progressão das</w:t>
      </w:r>
      <w:r>
        <w:rPr>
          <w:spacing w:val="80"/>
        </w:rPr>
        <w:t xml:space="preserve"> </w:t>
      </w:r>
      <w:r>
        <w:t>doenças crônico-degenerativas [TOMÁS et al., 2008]. Sugere-se uma relação proporcional entre os níveis de mediadores inflamatórios com os estágios da doença [OETTINGER- BARAK et al., 2007; STRECKFUS &amp; BIGLER, 2002]. É comumente encontrado em pacientes</w:t>
      </w:r>
      <w:r>
        <w:rPr>
          <w:spacing w:val="19"/>
        </w:rPr>
        <w:t xml:space="preserve"> </w:t>
      </w:r>
      <w:r>
        <w:t>que</w:t>
      </w:r>
      <w:r>
        <w:rPr>
          <w:spacing w:val="21"/>
        </w:rPr>
        <w:t xml:space="preserve"> </w:t>
      </w:r>
      <w:r>
        <w:t>realizam hemodiálise um aumento na Proteína C reativa (PCR) em soro, a qual é um importante biomarcador inflamatório [BLICHARZ et al., 2008]. Ureia e creatinina, resíduos metabólicos normalmente filtrados pelos rins, ficam aumentados na corrente sanguínea, causando imunodeficiência [PEYYALA &amp; EBERSOLE, 2013]. Dessa forma, a deterioração das funções renais tem sido associada ao aumento dos</w:t>
      </w:r>
      <w:r>
        <w:rPr>
          <w:spacing w:val="-4"/>
        </w:rPr>
        <w:t xml:space="preserve"> </w:t>
      </w:r>
      <w:r>
        <w:t>níveis</w:t>
      </w:r>
      <w:r>
        <w:rPr>
          <w:spacing w:val="-4"/>
        </w:rPr>
        <w:t xml:space="preserve"> </w:t>
      </w:r>
      <w:r>
        <w:t>de</w:t>
      </w:r>
      <w:r>
        <w:rPr>
          <w:spacing w:val="-2"/>
        </w:rPr>
        <w:t xml:space="preserve"> </w:t>
      </w:r>
      <w:r>
        <w:t>PCR e</w:t>
      </w:r>
      <w:r>
        <w:rPr>
          <w:spacing w:val="-2"/>
        </w:rPr>
        <w:t xml:space="preserve"> </w:t>
      </w:r>
      <w:r>
        <w:t>citocinas [CATON et al., 2018; SULIMAN et al., 2008].</w:t>
      </w:r>
    </w:p>
    <w:p w14:paraId="2FEC4BEA" w14:textId="77777777" w:rsidR="00CD6054" w:rsidRDefault="00A44E92">
      <w:pPr>
        <w:pStyle w:val="BodyText"/>
        <w:spacing w:before="170" w:line="360" w:lineRule="auto"/>
        <w:ind w:left="236" w:right="247" w:firstLine="706"/>
        <w:jc w:val="both"/>
      </w:pPr>
      <w:r>
        <w:rPr>
          <w:noProof/>
          <w:lang w:val="en-US"/>
        </w:rPr>
        <w:drawing>
          <wp:anchor distT="0" distB="0" distL="0" distR="0" simplePos="0" relativeHeight="486971904" behindDoc="1" locked="0" layoutInCell="1" allowOverlap="1" wp14:anchorId="58FE06A0" wp14:editId="245106B0">
            <wp:simplePos x="0" y="0"/>
            <wp:positionH relativeFrom="page">
              <wp:posOffset>4749419</wp:posOffset>
            </wp:positionH>
            <wp:positionV relativeFrom="paragraph">
              <wp:posOffset>889062</wp:posOffset>
            </wp:positionV>
            <wp:extent cx="171450" cy="181292"/>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171450" cy="181292"/>
                    </a:xfrm>
                    <a:prstGeom prst="rect">
                      <a:avLst/>
                    </a:prstGeom>
                  </pic:spPr>
                </pic:pic>
              </a:graphicData>
            </a:graphic>
          </wp:anchor>
        </w:drawing>
      </w:r>
      <w:r>
        <w:t>No processo fisiopatológico da progressão da doença renal, a participação dos mecanismos inflamatórios estão sendo cada vez mais detectados [SOCIEDADE BRASILEIRA DE NEFROLOGIA, 2017]. Dentre as citocinas pró-inflamatórias associadas à fisiopatologia da DRC, destacam-se a IL-1</w:t>
      </w:r>
      <w:r>
        <w:rPr>
          <w:rFonts w:ascii="Cambria Math" w:eastAsia="Cambria Math" w:hAnsi="Cambria Math"/>
        </w:rPr>
        <w:t>𝛽</w:t>
      </w:r>
      <w:r>
        <w:t>, IL-6 e o TNF-</w:t>
      </w:r>
      <w:r>
        <w:rPr>
          <w:spacing w:val="80"/>
          <w:w w:val="150"/>
        </w:rPr>
        <w:t xml:space="preserve"> </w:t>
      </w:r>
      <w:r>
        <w:t>[SULIMAN et al., 2008].</w:t>
      </w:r>
    </w:p>
    <w:p w14:paraId="17291D90" w14:textId="77777777" w:rsidR="00CD6054" w:rsidRDefault="00A44E92">
      <w:pPr>
        <w:pStyle w:val="BodyText"/>
        <w:spacing w:before="167" w:line="362" w:lineRule="auto"/>
        <w:ind w:left="236" w:right="243" w:firstLine="706"/>
        <w:jc w:val="both"/>
      </w:pPr>
      <w:r>
        <w:t>A doença periodontal, por sua vez, é ocasionada por um</w:t>
      </w:r>
      <w:r>
        <w:rPr>
          <w:spacing w:val="-9"/>
        </w:rPr>
        <w:t xml:space="preserve"> </w:t>
      </w:r>
      <w:r>
        <w:t>desequilíbrio</w:t>
      </w:r>
      <w:r>
        <w:rPr>
          <w:spacing w:val="-3"/>
        </w:rPr>
        <w:t xml:space="preserve"> </w:t>
      </w:r>
      <w:r>
        <w:t>entre</w:t>
      </w:r>
      <w:r>
        <w:rPr>
          <w:spacing w:val="-5"/>
        </w:rPr>
        <w:t xml:space="preserve"> </w:t>
      </w:r>
      <w:r>
        <w:t>patógenos</w:t>
      </w:r>
      <w:r>
        <w:rPr>
          <w:spacing w:val="40"/>
        </w:rPr>
        <w:t xml:space="preserve"> </w:t>
      </w:r>
      <w:r>
        <w:t>e</w:t>
      </w:r>
      <w:r>
        <w:rPr>
          <w:spacing w:val="-1"/>
        </w:rPr>
        <w:t xml:space="preserve"> </w:t>
      </w:r>
      <w:r>
        <w:t>a resposta imune do</w:t>
      </w:r>
      <w:r>
        <w:rPr>
          <w:spacing w:val="-13"/>
        </w:rPr>
        <w:t xml:space="preserve"> </w:t>
      </w:r>
      <w:r>
        <w:t>hospedeiro [LINDEN,</w:t>
      </w:r>
      <w:r>
        <w:rPr>
          <w:spacing w:val="-13"/>
        </w:rPr>
        <w:t xml:space="preserve"> </w:t>
      </w:r>
      <w:r>
        <w:t>LYONS</w:t>
      </w:r>
      <w:r>
        <w:rPr>
          <w:spacing w:val="-10"/>
        </w:rPr>
        <w:t xml:space="preserve"> </w:t>
      </w:r>
      <w:r>
        <w:t>&amp;</w:t>
      </w:r>
      <w:r>
        <w:rPr>
          <w:spacing w:val="-15"/>
        </w:rPr>
        <w:t xml:space="preserve"> </w:t>
      </w:r>
      <w:r>
        <w:t>SCANNAPIECO, 2013]. A alteração no</w:t>
      </w:r>
      <w:r>
        <w:rPr>
          <w:spacing w:val="40"/>
        </w:rPr>
        <w:t xml:space="preserve"> </w:t>
      </w:r>
      <w:r>
        <w:t>biofilme subgengival resulta em uma resposta inflamatória e imunológica, o que pode</w:t>
      </w:r>
      <w:r>
        <w:rPr>
          <w:spacing w:val="40"/>
        </w:rPr>
        <w:t xml:space="preserve"> </w:t>
      </w:r>
      <w:r>
        <w:t>levar a perda de inserção periodontal e, consequentemente, do elemento dentário [NAGLER, 2008; RIELA, 2010]. Em condições de saúde, os tecidos periodontais se encontram em inflamação subclínica, que consiste num</w:t>
      </w:r>
      <w:r>
        <w:rPr>
          <w:spacing w:val="-2"/>
        </w:rPr>
        <w:t xml:space="preserve"> </w:t>
      </w:r>
      <w:r>
        <w:t>estado inflamatório permanente, com</w:t>
      </w:r>
      <w:r>
        <w:rPr>
          <w:spacing w:val="-2"/>
        </w:rPr>
        <w:t xml:space="preserve"> </w:t>
      </w:r>
      <w:r>
        <w:t>uma expressão seletiva e discreta de quimiocinas e citocinas, guiando a infiltração dos</w:t>
      </w:r>
      <w:r>
        <w:rPr>
          <w:spacing w:val="-8"/>
        </w:rPr>
        <w:t xml:space="preserve"> </w:t>
      </w:r>
      <w:r>
        <w:t>neutrófilos</w:t>
      </w:r>
      <w:r>
        <w:rPr>
          <w:spacing w:val="-8"/>
        </w:rPr>
        <w:t xml:space="preserve"> </w:t>
      </w:r>
      <w:r>
        <w:t>no</w:t>
      </w:r>
      <w:r>
        <w:rPr>
          <w:spacing w:val="-4"/>
        </w:rPr>
        <w:t xml:space="preserve"> </w:t>
      </w:r>
      <w:r>
        <w:t>epitélio juncional e no controle da invasão tecidual de bactérias do biofilme. Com o excesso de inflamação e, consequentemente, com a formação da bolsa periodontal, o ambiente torna-se anaeróbico</w:t>
      </w:r>
      <w:r>
        <w:rPr>
          <w:spacing w:val="31"/>
        </w:rPr>
        <w:t xml:space="preserve"> </w:t>
      </w:r>
      <w:r>
        <w:t>e</w:t>
      </w:r>
      <w:r>
        <w:rPr>
          <w:spacing w:val="30"/>
        </w:rPr>
        <w:t xml:space="preserve"> </w:t>
      </w:r>
      <w:r>
        <w:t>rico</w:t>
      </w:r>
      <w:r>
        <w:rPr>
          <w:spacing w:val="31"/>
        </w:rPr>
        <w:t xml:space="preserve"> </w:t>
      </w:r>
      <w:r>
        <w:t>em produtos da degradação</w:t>
      </w:r>
      <w:r>
        <w:rPr>
          <w:spacing w:val="16"/>
        </w:rPr>
        <w:t xml:space="preserve"> </w:t>
      </w:r>
      <w:r>
        <w:t>tecidual,</w:t>
      </w:r>
      <w:r>
        <w:rPr>
          <w:spacing w:val="16"/>
        </w:rPr>
        <w:t xml:space="preserve"> </w:t>
      </w:r>
      <w:r>
        <w:t>aumentando</w:t>
      </w:r>
      <w:r>
        <w:rPr>
          <w:spacing w:val="16"/>
        </w:rPr>
        <w:t xml:space="preserve"> </w:t>
      </w:r>
      <w:r>
        <w:t>a expressão</w:t>
      </w:r>
      <w:r>
        <w:rPr>
          <w:spacing w:val="16"/>
        </w:rPr>
        <w:t xml:space="preserve"> </w:t>
      </w:r>
      <w:r>
        <w:t>de genes de</w:t>
      </w:r>
    </w:p>
    <w:p w14:paraId="1F5FD0B7" w14:textId="77777777" w:rsidR="00CD6054" w:rsidRDefault="00CD6054">
      <w:pPr>
        <w:spacing w:line="362" w:lineRule="auto"/>
        <w:jc w:val="both"/>
        <w:sectPr w:rsidR="00CD6054">
          <w:pgSz w:w="11910" w:h="16850"/>
          <w:pgMar w:top="1640" w:right="880" w:bottom="280" w:left="1460" w:header="720" w:footer="720" w:gutter="0"/>
          <w:cols w:space="720"/>
        </w:sectPr>
      </w:pPr>
    </w:p>
    <w:p w14:paraId="39D6C72F" w14:textId="77777777" w:rsidR="00CD6054" w:rsidRDefault="00A44E92">
      <w:pPr>
        <w:pStyle w:val="BodyText"/>
        <w:spacing w:before="68" w:line="352" w:lineRule="auto"/>
        <w:ind w:left="236"/>
      </w:pPr>
      <w:r>
        <w:lastRenderedPageBreak/>
        <w:t>virulência de todas</w:t>
      </w:r>
      <w:r>
        <w:rPr>
          <w:spacing w:val="-2"/>
        </w:rPr>
        <w:t xml:space="preserve"> </w:t>
      </w:r>
      <w:r>
        <w:t>as</w:t>
      </w:r>
      <w:r>
        <w:rPr>
          <w:spacing w:val="-2"/>
        </w:rPr>
        <w:t xml:space="preserve"> </w:t>
      </w:r>
      <w:r>
        <w:t>bactérias</w:t>
      </w:r>
      <w:r>
        <w:rPr>
          <w:spacing w:val="-2"/>
        </w:rPr>
        <w:t xml:space="preserve"> </w:t>
      </w:r>
      <w:r>
        <w:t>gengivais</w:t>
      </w:r>
      <w:r>
        <w:rPr>
          <w:spacing w:val="-2"/>
        </w:rPr>
        <w:t xml:space="preserve"> </w:t>
      </w:r>
      <w:r>
        <w:t>[VAN DAYKE, BARTOLF &amp;</w:t>
      </w:r>
      <w:r>
        <w:rPr>
          <w:spacing w:val="-5"/>
        </w:rPr>
        <w:t xml:space="preserve"> </w:t>
      </w:r>
      <w:r>
        <w:t>REYNOLDS, 2020; WEBSTER et al., 2017].</w:t>
      </w:r>
    </w:p>
    <w:p w14:paraId="7FA43395" w14:textId="77777777" w:rsidR="00CD6054" w:rsidRDefault="00A44E92">
      <w:pPr>
        <w:pStyle w:val="BodyText"/>
        <w:spacing w:before="179" w:line="362" w:lineRule="auto"/>
        <w:ind w:left="236" w:right="43" w:firstLine="706"/>
      </w:pPr>
      <w:r>
        <w:rPr>
          <w:noProof/>
          <w:lang w:val="en-US"/>
        </w:rPr>
        <w:drawing>
          <wp:anchor distT="0" distB="0" distL="0" distR="0" simplePos="0" relativeHeight="486972416" behindDoc="1" locked="0" layoutInCell="1" allowOverlap="1" wp14:anchorId="537A4A41" wp14:editId="157F81EC">
            <wp:simplePos x="0" y="0"/>
            <wp:positionH relativeFrom="page">
              <wp:posOffset>6761733</wp:posOffset>
            </wp:positionH>
            <wp:positionV relativeFrom="paragraph">
              <wp:posOffset>370540</wp:posOffset>
            </wp:positionV>
            <wp:extent cx="171450" cy="181292"/>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171450" cy="181292"/>
                    </a:xfrm>
                    <a:prstGeom prst="rect">
                      <a:avLst/>
                    </a:prstGeom>
                  </pic:spPr>
                </pic:pic>
              </a:graphicData>
            </a:graphic>
          </wp:anchor>
        </w:drawing>
      </w:r>
      <w:r>
        <w:t>Sendo assim, a doença periodontal contribui</w:t>
      </w:r>
      <w:r>
        <w:rPr>
          <w:spacing w:val="-9"/>
        </w:rPr>
        <w:t xml:space="preserve"> </w:t>
      </w:r>
      <w:r>
        <w:t>para</w:t>
      </w:r>
      <w:r>
        <w:rPr>
          <w:spacing w:val="-5"/>
        </w:rPr>
        <w:t xml:space="preserve"> </w:t>
      </w:r>
      <w:r>
        <w:t>um</w:t>
      </w:r>
      <w:r>
        <w:rPr>
          <w:spacing w:val="-9"/>
        </w:rPr>
        <w:t xml:space="preserve"> </w:t>
      </w:r>
      <w:r>
        <w:t>perfil</w:t>
      </w:r>
      <w:r>
        <w:rPr>
          <w:spacing w:val="-9"/>
        </w:rPr>
        <w:t xml:space="preserve"> </w:t>
      </w:r>
      <w:r>
        <w:t>de</w:t>
      </w:r>
      <w:r>
        <w:rPr>
          <w:spacing w:val="-5"/>
        </w:rPr>
        <w:t xml:space="preserve"> </w:t>
      </w:r>
      <w:r>
        <w:t>inflamação</w:t>
      </w:r>
      <w:r>
        <w:rPr>
          <w:spacing w:val="-3"/>
        </w:rPr>
        <w:t xml:space="preserve"> </w:t>
      </w:r>
      <w:r>
        <w:t>sistêmica</w:t>
      </w:r>
      <w:r>
        <w:rPr>
          <w:spacing w:val="-5"/>
        </w:rPr>
        <w:t xml:space="preserve"> </w:t>
      </w:r>
      <w:r>
        <w:t>do hospedeiro,</w:t>
      </w:r>
      <w:r>
        <w:rPr>
          <w:spacing w:val="40"/>
        </w:rPr>
        <w:t xml:space="preserve"> </w:t>
      </w:r>
      <w:r>
        <w:t>através</w:t>
      </w:r>
      <w:r>
        <w:rPr>
          <w:spacing w:val="40"/>
        </w:rPr>
        <w:t xml:space="preserve"> </w:t>
      </w:r>
      <w:r>
        <w:t>da</w:t>
      </w:r>
      <w:r>
        <w:rPr>
          <w:spacing w:val="40"/>
        </w:rPr>
        <w:t xml:space="preserve"> </w:t>
      </w:r>
      <w:r>
        <w:t>liberação</w:t>
      </w:r>
      <w:r>
        <w:rPr>
          <w:spacing w:val="40"/>
        </w:rPr>
        <w:t xml:space="preserve"> </w:t>
      </w:r>
      <w:r>
        <w:t>de</w:t>
      </w:r>
      <w:r>
        <w:rPr>
          <w:spacing w:val="40"/>
        </w:rPr>
        <w:t xml:space="preserve"> </w:t>
      </w:r>
      <w:r>
        <w:t>citocinas,</w:t>
      </w:r>
      <w:r>
        <w:rPr>
          <w:spacing w:val="40"/>
        </w:rPr>
        <w:t xml:space="preserve"> </w:t>
      </w:r>
      <w:r>
        <w:t>especialmente,</w:t>
      </w:r>
      <w:r>
        <w:rPr>
          <w:spacing w:val="40"/>
        </w:rPr>
        <w:t xml:space="preserve"> </w:t>
      </w:r>
      <w:r>
        <w:t>IL-6,</w:t>
      </w:r>
      <w:r>
        <w:rPr>
          <w:spacing w:val="40"/>
        </w:rPr>
        <w:t xml:space="preserve"> </w:t>
      </w:r>
      <w:r>
        <w:t>IL-8,</w:t>
      </w:r>
      <w:r>
        <w:rPr>
          <w:spacing w:val="40"/>
        </w:rPr>
        <w:t xml:space="preserve"> </w:t>
      </w:r>
      <w:r>
        <w:t>IL-1β</w:t>
      </w:r>
      <w:r>
        <w:rPr>
          <w:spacing w:val="40"/>
        </w:rPr>
        <w:t xml:space="preserve"> </w:t>
      </w:r>
      <w:r>
        <w:t>e</w:t>
      </w:r>
      <w:r>
        <w:rPr>
          <w:spacing w:val="40"/>
        </w:rPr>
        <w:t xml:space="preserve"> </w:t>
      </w:r>
      <w:r>
        <w:t>TNF- [AKRAM et</w:t>
      </w:r>
      <w:r>
        <w:rPr>
          <w:spacing w:val="23"/>
        </w:rPr>
        <w:t xml:space="preserve"> </w:t>
      </w:r>
      <w:r>
        <w:t>al., 2016]. Por</w:t>
      </w:r>
      <w:r>
        <w:rPr>
          <w:spacing w:val="-6"/>
        </w:rPr>
        <w:t xml:space="preserve"> </w:t>
      </w:r>
      <w:r>
        <w:t>outro lado, a</w:t>
      </w:r>
      <w:r>
        <w:rPr>
          <w:spacing w:val="-2"/>
        </w:rPr>
        <w:t xml:space="preserve"> </w:t>
      </w:r>
      <w:r>
        <w:t>redução da</w:t>
      </w:r>
      <w:r>
        <w:rPr>
          <w:spacing w:val="-2"/>
        </w:rPr>
        <w:t xml:space="preserve"> </w:t>
      </w:r>
      <w:r>
        <w:t>carga</w:t>
      </w:r>
      <w:r>
        <w:rPr>
          <w:spacing w:val="-2"/>
        </w:rPr>
        <w:t xml:space="preserve"> </w:t>
      </w:r>
      <w:r>
        <w:t>bacteriana</w:t>
      </w:r>
      <w:r>
        <w:rPr>
          <w:spacing w:val="-2"/>
        </w:rPr>
        <w:t xml:space="preserve"> </w:t>
      </w:r>
      <w:r>
        <w:t>e</w:t>
      </w:r>
      <w:r>
        <w:rPr>
          <w:spacing w:val="-2"/>
        </w:rPr>
        <w:t xml:space="preserve"> </w:t>
      </w:r>
      <w:r>
        <w:t>redução da</w:t>
      </w:r>
      <w:r>
        <w:rPr>
          <w:spacing w:val="-2"/>
        </w:rPr>
        <w:t xml:space="preserve"> </w:t>
      </w:r>
      <w:r>
        <w:t>inflamação atingidos pelo</w:t>
      </w:r>
      <w:r>
        <w:rPr>
          <w:spacing w:val="30"/>
        </w:rPr>
        <w:t xml:space="preserve"> </w:t>
      </w:r>
      <w:r>
        <w:t>tratamento</w:t>
      </w:r>
      <w:r>
        <w:rPr>
          <w:spacing w:val="30"/>
        </w:rPr>
        <w:t xml:space="preserve"> </w:t>
      </w:r>
      <w:r>
        <w:t>periodontal tendem a</w:t>
      </w:r>
      <w:r>
        <w:rPr>
          <w:spacing w:val="29"/>
        </w:rPr>
        <w:t xml:space="preserve"> </w:t>
      </w:r>
      <w:r>
        <w:t>melhorar a</w:t>
      </w:r>
      <w:r>
        <w:rPr>
          <w:spacing w:val="29"/>
        </w:rPr>
        <w:t xml:space="preserve"> </w:t>
      </w:r>
      <w:r>
        <w:t>função renal [BAHEKAR et al., 2007]</w:t>
      </w:r>
      <w:r>
        <w:rPr>
          <w:spacing w:val="40"/>
        </w:rPr>
        <w:t xml:space="preserve"> </w:t>
      </w:r>
      <w:r>
        <w:t>bem</w:t>
      </w:r>
      <w:r>
        <w:rPr>
          <w:spacing w:val="40"/>
        </w:rPr>
        <w:t xml:space="preserve"> </w:t>
      </w:r>
      <w:r>
        <w:t>como</w:t>
      </w:r>
      <w:r>
        <w:rPr>
          <w:spacing w:val="40"/>
        </w:rPr>
        <w:t xml:space="preserve"> </w:t>
      </w:r>
      <w:r>
        <w:t>a</w:t>
      </w:r>
      <w:r>
        <w:rPr>
          <w:spacing w:val="40"/>
        </w:rPr>
        <w:t xml:space="preserve"> </w:t>
      </w:r>
      <w:r>
        <w:t>inflamação</w:t>
      </w:r>
      <w:r>
        <w:rPr>
          <w:spacing w:val="40"/>
        </w:rPr>
        <w:t xml:space="preserve"> </w:t>
      </w:r>
      <w:r>
        <w:t>sistêmica.</w:t>
      </w:r>
      <w:r>
        <w:rPr>
          <w:spacing w:val="40"/>
        </w:rPr>
        <w:t xml:space="preserve"> </w:t>
      </w:r>
      <w:r>
        <w:t>Porém,</w:t>
      </w:r>
      <w:r>
        <w:rPr>
          <w:spacing w:val="40"/>
        </w:rPr>
        <w:t xml:space="preserve"> </w:t>
      </w:r>
      <w:r>
        <w:t>as</w:t>
      </w:r>
      <w:r>
        <w:rPr>
          <w:spacing w:val="33"/>
        </w:rPr>
        <w:t xml:space="preserve"> </w:t>
      </w:r>
      <w:r>
        <w:t>evidências</w:t>
      </w:r>
      <w:r>
        <w:rPr>
          <w:spacing w:val="33"/>
        </w:rPr>
        <w:t xml:space="preserve"> </w:t>
      </w:r>
      <w:r>
        <w:t>cientificas</w:t>
      </w:r>
      <w:r>
        <w:rPr>
          <w:spacing w:val="33"/>
        </w:rPr>
        <w:t xml:space="preserve"> </w:t>
      </w:r>
      <w:r>
        <w:t>fornecidas</w:t>
      </w:r>
      <w:r>
        <w:rPr>
          <w:spacing w:val="33"/>
        </w:rPr>
        <w:t xml:space="preserve"> </w:t>
      </w:r>
      <w:r>
        <w:t>pela literatura até o momento são consideradas insuficientes [BORGNAKKE, 2013; LINS et al.,</w:t>
      </w:r>
      <w:r>
        <w:rPr>
          <w:spacing w:val="40"/>
        </w:rPr>
        <w:t xml:space="preserve"> </w:t>
      </w:r>
      <w:r>
        <w:t>2017] e mais estudos são</w:t>
      </w:r>
      <w:r>
        <w:rPr>
          <w:spacing w:val="24"/>
        </w:rPr>
        <w:t xml:space="preserve"> </w:t>
      </w:r>
      <w:r>
        <w:t>necessários para a compreensão da relação entre a periodontite e a DRC</w:t>
      </w:r>
      <w:r>
        <w:rPr>
          <w:spacing w:val="2"/>
        </w:rPr>
        <w:t xml:space="preserve"> </w:t>
      </w:r>
      <w:r>
        <w:t>a</w:t>
      </w:r>
      <w:r>
        <w:rPr>
          <w:spacing w:val="-1"/>
        </w:rPr>
        <w:t xml:space="preserve"> </w:t>
      </w:r>
      <w:r>
        <w:t>fim</w:t>
      </w:r>
      <w:r>
        <w:rPr>
          <w:spacing w:val="-7"/>
        </w:rPr>
        <w:t xml:space="preserve"> </w:t>
      </w:r>
      <w:r>
        <w:t>de</w:t>
      </w:r>
      <w:r>
        <w:rPr>
          <w:spacing w:val="-1"/>
        </w:rPr>
        <w:t xml:space="preserve"> </w:t>
      </w:r>
      <w:r>
        <w:t>se</w:t>
      </w:r>
      <w:r>
        <w:rPr>
          <w:spacing w:val="-2"/>
        </w:rPr>
        <w:t xml:space="preserve"> </w:t>
      </w:r>
      <w:r>
        <w:t>obter</w:t>
      </w:r>
      <w:r>
        <w:rPr>
          <w:spacing w:val="-5"/>
        </w:rPr>
        <w:t xml:space="preserve"> </w:t>
      </w:r>
      <w:r>
        <w:t>um</w:t>
      </w:r>
      <w:r>
        <w:rPr>
          <w:spacing w:val="-6"/>
        </w:rPr>
        <w:t xml:space="preserve"> </w:t>
      </w:r>
      <w:r>
        <w:t>melhor</w:t>
      </w:r>
      <w:r>
        <w:rPr>
          <w:spacing w:val="-5"/>
        </w:rPr>
        <w:t xml:space="preserve"> </w:t>
      </w:r>
      <w:r>
        <w:t>direcionamento</w:t>
      </w:r>
      <w:r>
        <w:rPr>
          <w:spacing w:val="15"/>
        </w:rPr>
        <w:t xml:space="preserve"> </w:t>
      </w:r>
      <w:r>
        <w:t>para</w:t>
      </w:r>
      <w:r>
        <w:rPr>
          <w:spacing w:val="14"/>
        </w:rPr>
        <w:t xml:space="preserve"> </w:t>
      </w:r>
      <w:r>
        <w:t>o tratamento</w:t>
      </w:r>
      <w:r>
        <w:rPr>
          <w:spacing w:val="1"/>
        </w:rPr>
        <w:t xml:space="preserve"> </w:t>
      </w:r>
      <w:r>
        <w:t>desse</w:t>
      </w:r>
      <w:r>
        <w:rPr>
          <w:spacing w:val="-2"/>
        </w:rPr>
        <w:t xml:space="preserve"> </w:t>
      </w:r>
      <w:r>
        <w:t>grupo</w:t>
      </w:r>
      <w:r>
        <w:rPr>
          <w:spacing w:val="1"/>
        </w:rPr>
        <w:t xml:space="preserve"> </w:t>
      </w:r>
      <w:r>
        <w:t>de</w:t>
      </w:r>
      <w:r>
        <w:rPr>
          <w:spacing w:val="-1"/>
        </w:rPr>
        <w:t xml:space="preserve"> </w:t>
      </w:r>
      <w:r>
        <w:rPr>
          <w:spacing w:val="-2"/>
        </w:rPr>
        <w:t>pacientes.</w:t>
      </w:r>
    </w:p>
    <w:p w14:paraId="595BCF57" w14:textId="77777777" w:rsidR="00CD6054" w:rsidRDefault="00A44E92">
      <w:pPr>
        <w:pStyle w:val="Heading1"/>
        <w:numPr>
          <w:ilvl w:val="1"/>
          <w:numId w:val="7"/>
        </w:numPr>
        <w:tabs>
          <w:tab w:val="left" w:pos="1318"/>
        </w:tabs>
        <w:spacing w:before="239"/>
        <w:ind w:hanging="721"/>
      </w:pPr>
      <w:r>
        <w:t>Polimorfismos</w:t>
      </w:r>
      <w:r>
        <w:rPr>
          <w:spacing w:val="1"/>
        </w:rPr>
        <w:t xml:space="preserve"> </w:t>
      </w:r>
      <w:r>
        <w:rPr>
          <w:spacing w:val="-2"/>
        </w:rPr>
        <w:t>genéticos:</w:t>
      </w:r>
    </w:p>
    <w:p w14:paraId="322E3252" w14:textId="77777777" w:rsidR="00CD6054" w:rsidRDefault="00CD6054">
      <w:pPr>
        <w:pStyle w:val="BodyText"/>
        <w:rPr>
          <w:b/>
        </w:rPr>
      </w:pPr>
    </w:p>
    <w:p w14:paraId="314D34FA" w14:textId="77777777" w:rsidR="00CD6054" w:rsidRDefault="00CD6054">
      <w:pPr>
        <w:pStyle w:val="BodyText"/>
        <w:spacing w:before="133"/>
        <w:rPr>
          <w:b/>
        </w:rPr>
      </w:pPr>
    </w:p>
    <w:p w14:paraId="79F635B5" w14:textId="77777777" w:rsidR="00CD6054" w:rsidRDefault="00A44E92">
      <w:pPr>
        <w:pStyle w:val="BodyText"/>
        <w:spacing w:line="355" w:lineRule="auto"/>
        <w:ind w:left="236" w:right="242" w:firstLine="706"/>
        <w:jc w:val="both"/>
      </w:pPr>
      <w:r>
        <w:t>Com o progresso na área de genética humana, foi observado que existem variantes aléticas que podem alterar a suscetibilidade de doenças comuns, e podem atuar como fatores de riscos para distúrbios múltiplos, que podem manifestar-se como alterações leves de expressão ou</w:t>
      </w:r>
      <w:r>
        <w:rPr>
          <w:spacing w:val="-3"/>
        </w:rPr>
        <w:t xml:space="preserve"> </w:t>
      </w:r>
      <w:r>
        <w:t>alterações da</w:t>
      </w:r>
      <w:r>
        <w:rPr>
          <w:spacing w:val="-15"/>
        </w:rPr>
        <w:t xml:space="preserve"> </w:t>
      </w:r>
      <w:r>
        <w:t>função</w:t>
      </w:r>
      <w:r>
        <w:rPr>
          <w:spacing w:val="-3"/>
        </w:rPr>
        <w:t xml:space="preserve"> </w:t>
      </w:r>
      <w:r>
        <w:t>genética,</w:t>
      </w:r>
      <w:r>
        <w:rPr>
          <w:spacing w:val="-3"/>
        </w:rPr>
        <w:t xml:space="preserve"> </w:t>
      </w:r>
      <w:r>
        <w:t>ou</w:t>
      </w:r>
      <w:r>
        <w:rPr>
          <w:spacing w:val="-3"/>
        </w:rPr>
        <w:t xml:space="preserve"> </w:t>
      </w:r>
      <w:r>
        <w:t>seja, variantes de</w:t>
      </w:r>
      <w:r>
        <w:rPr>
          <w:spacing w:val="-15"/>
        </w:rPr>
        <w:t xml:space="preserve"> </w:t>
      </w:r>
      <w:r>
        <w:t xml:space="preserve">sequência </w:t>
      </w:r>
      <w:r>
        <w:rPr>
          <w:spacing w:val="10"/>
        </w:rPr>
        <w:t>do</w:t>
      </w:r>
      <w:r>
        <w:rPr>
          <w:spacing w:val="-15"/>
        </w:rPr>
        <w:t xml:space="preserve"> </w:t>
      </w:r>
      <w:r>
        <w:t>DNA</w:t>
      </w:r>
      <w:r>
        <w:rPr>
          <w:spacing w:val="-11"/>
        </w:rPr>
        <w:t xml:space="preserve"> </w:t>
      </w:r>
      <w:r>
        <w:t>[ARNAR &amp; PALSSON, 2017; GOICOECHEA DE JORGE et al., 2018].</w:t>
      </w:r>
    </w:p>
    <w:p w14:paraId="75774741" w14:textId="77777777" w:rsidR="00CD6054" w:rsidRDefault="00A44E92">
      <w:pPr>
        <w:pStyle w:val="BodyText"/>
        <w:spacing w:before="195" w:line="357" w:lineRule="auto"/>
        <w:ind w:left="236" w:right="257" w:firstLine="706"/>
        <w:jc w:val="both"/>
      </w:pPr>
      <w:r>
        <w:t>Essas variantes que apresentam</w:t>
      </w:r>
      <w:r>
        <w:rPr>
          <w:spacing w:val="-1"/>
        </w:rPr>
        <w:t xml:space="preserve"> </w:t>
      </w:r>
      <w:r>
        <w:t>uma repetição maior ou igual</w:t>
      </w:r>
      <w:r>
        <w:rPr>
          <w:spacing w:val="-1"/>
        </w:rPr>
        <w:t xml:space="preserve"> </w:t>
      </w:r>
      <w:r>
        <w:t>a 1% em</w:t>
      </w:r>
      <w:r>
        <w:rPr>
          <w:spacing w:val="-1"/>
        </w:rPr>
        <w:t xml:space="preserve"> </w:t>
      </w:r>
      <w:r>
        <w:t>uma</w:t>
      </w:r>
      <w:r>
        <w:rPr>
          <w:spacing w:val="-9"/>
        </w:rPr>
        <w:t xml:space="preserve"> </w:t>
      </w:r>
      <w:r>
        <w:t>população são conhecidas como polimorfismos genéticos [VIJAYALAKSHMI et al., 2010], que são variações locais dos genomas, podendo ter dois ou mais alelos em um local. Podem estar associados a mecanismos de defesa em algumas doenças e podem alterar proteínas</w:t>
      </w:r>
      <w:r>
        <w:rPr>
          <w:spacing w:val="40"/>
        </w:rPr>
        <w:t xml:space="preserve"> </w:t>
      </w:r>
      <w:r>
        <w:t>codificadas ou até mesmo suas expressões, levando a transformações nas imunidades inata e adaptativa no metabolismo (enzimas, citocinas, receptores de antígenos e de superfície</w:t>
      </w:r>
      <w:r>
        <w:rPr>
          <w:spacing w:val="40"/>
        </w:rPr>
        <w:t xml:space="preserve"> </w:t>
      </w:r>
      <w:r>
        <w:t>celular)</w:t>
      </w:r>
      <w:r>
        <w:rPr>
          <w:spacing w:val="40"/>
        </w:rPr>
        <w:t xml:space="preserve"> </w:t>
      </w:r>
      <w:r>
        <w:t>[KINANE et al., 2000; MOUT et al., 1991].</w:t>
      </w:r>
    </w:p>
    <w:p w14:paraId="7BF57508" w14:textId="77777777" w:rsidR="00CD6054" w:rsidRDefault="00A44E92">
      <w:pPr>
        <w:pStyle w:val="BodyText"/>
        <w:spacing w:before="169" w:line="360" w:lineRule="auto"/>
        <w:ind w:left="236" w:right="239" w:firstLine="706"/>
        <w:jc w:val="both"/>
      </w:pPr>
      <w:r>
        <w:t>A literatura é limitada com relação às associações entre polimorfismos genéticos em pacientes com doença renal crônica e doença periodontal. Associações positivas foram encontradas</w:t>
      </w:r>
      <w:r>
        <w:rPr>
          <w:spacing w:val="-3"/>
        </w:rPr>
        <w:t xml:space="preserve"> </w:t>
      </w:r>
      <w:r>
        <w:t>em</w:t>
      </w:r>
      <w:r>
        <w:rPr>
          <w:spacing w:val="-6"/>
        </w:rPr>
        <w:t xml:space="preserve"> </w:t>
      </w:r>
      <w:r>
        <w:t>dois</w:t>
      </w:r>
      <w:r>
        <w:rPr>
          <w:spacing w:val="-2"/>
        </w:rPr>
        <w:t xml:space="preserve"> </w:t>
      </w:r>
      <w:r>
        <w:t>estudos</w:t>
      </w:r>
      <w:r>
        <w:rPr>
          <w:spacing w:val="-2"/>
        </w:rPr>
        <w:t xml:space="preserve"> </w:t>
      </w:r>
      <w:r>
        <w:t>caso-controle para o gene da</w:t>
      </w:r>
      <w:r>
        <w:rPr>
          <w:spacing w:val="-15"/>
        </w:rPr>
        <w:t xml:space="preserve"> </w:t>
      </w:r>
      <w:r>
        <w:t>IL-4 [KSIAZEK et al., 2019]</w:t>
      </w:r>
      <w:r>
        <w:rPr>
          <w:spacing w:val="-4"/>
        </w:rPr>
        <w:t xml:space="preserve"> </w:t>
      </w:r>
      <w:r>
        <w:t>e para o gene MCP-1 [KSIAZEK et al., 2020]. Demais associações já foram estudadas, porém sem apresentar diferença</w:t>
      </w:r>
      <w:r>
        <w:rPr>
          <w:spacing w:val="-15"/>
        </w:rPr>
        <w:t xml:space="preserve"> </w:t>
      </w:r>
      <w:r>
        <w:t>nos grupos estudados,</w:t>
      </w:r>
      <w:r>
        <w:rPr>
          <w:spacing w:val="-15"/>
        </w:rPr>
        <w:t xml:space="preserve"> </w:t>
      </w:r>
      <w:r>
        <w:t>como o gene</w:t>
      </w:r>
      <w:r>
        <w:rPr>
          <w:spacing w:val="-1"/>
        </w:rPr>
        <w:t xml:space="preserve"> </w:t>
      </w:r>
      <w:r>
        <w:t>OPG</w:t>
      </w:r>
      <w:r>
        <w:rPr>
          <w:spacing w:val="-8"/>
        </w:rPr>
        <w:t xml:space="preserve"> </w:t>
      </w:r>
      <w:r>
        <w:t>[BAIONI</w:t>
      </w:r>
      <w:r>
        <w:rPr>
          <w:spacing w:val="-5"/>
        </w:rPr>
        <w:t xml:space="preserve"> </w:t>
      </w:r>
      <w:r>
        <w:t>et</w:t>
      </w:r>
      <w:r>
        <w:rPr>
          <w:spacing w:val="-6"/>
        </w:rPr>
        <w:t xml:space="preserve"> </w:t>
      </w:r>
      <w:r>
        <w:t>al., 2008], gene</w:t>
      </w:r>
      <w:r>
        <w:rPr>
          <w:spacing w:val="-1"/>
        </w:rPr>
        <w:t xml:space="preserve"> </w:t>
      </w:r>
      <w:r>
        <w:t>IL- 1 [BRAOSI et al., 2012] entre outros. Desse modo, mais estudos em busca de possíveis polimorfismos genéticos podem ser promissores para o melhor entendimento e manejo das doenças renais e doenças periodontais.</w:t>
      </w:r>
    </w:p>
    <w:p w14:paraId="1297ADD1" w14:textId="77777777" w:rsidR="00CD6054" w:rsidRDefault="00CD6054">
      <w:pPr>
        <w:spacing w:line="360" w:lineRule="auto"/>
        <w:jc w:val="both"/>
        <w:sectPr w:rsidR="00CD6054">
          <w:pgSz w:w="11910" w:h="16850"/>
          <w:pgMar w:top="1640" w:right="880" w:bottom="280" w:left="1460" w:header="720" w:footer="720" w:gutter="0"/>
          <w:cols w:space="720"/>
        </w:sectPr>
      </w:pPr>
    </w:p>
    <w:p w14:paraId="5FF3F2C8" w14:textId="77777777" w:rsidR="00CD6054" w:rsidRDefault="00CD6054">
      <w:pPr>
        <w:pStyle w:val="BodyText"/>
        <w:spacing w:before="77"/>
      </w:pPr>
    </w:p>
    <w:p w14:paraId="2CB5C3EA" w14:textId="77777777" w:rsidR="00CD6054" w:rsidRDefault="00A44E92">
      <w:pPr>
        <w:pStyle w:val="Heading1"/>
        <w:numPr>
          <w:ilvl w:val="0"/>
          <w:numId w:val="7"/>
        </w:numPr>
        <w:tabs>
          <w:tab w:val="left" w:pos="957"/>
        </w:tabs>
        <w:ind w:left="957" w:hanging="360"/>
      </w:pPr>
      <w:r>
        <w:t>Terapia</w:t>
      </w:r>
      <w:r>
        <w:rPr>
          <w:spacing w:val="-15"/>
        </w:rPr>
        <w:t xml:space="preserve"> </w:t>
      </w:r>
      <w:r>
        <w:t>antimicrobiana</w:t>
      </w:r>
      <w:r>
        <w:rPr>
          <w:spacing w:val="5"/>
        </w:rPr>
        <w:t xml:space="preserve"> </w:t>
      </w:r>
      <w:r>
        <w:rPr>
          <w:spacing w:val="-2"/>
        </w:rPr>
        <w:t>fotodinâmica:</w:t>
      </w:r>
    </w:p>
    <w:p w14:paraId="5429B901" w14:textId="77777777" w:rsidR="00CD6054" w:rsidRDefault="00CD6054">
      <w:pPr>
        <w:pStyle w:val="BodyText"/>
        <w:rPr>
          <w:b/>
        </w:rPr>
      </w:pPr>
    </w:p>
    <w:p w14:paraId="5FAB42C3" w14:textId="77777777" w:rsidR="00CD6054" w:rsidRDefault="00CD6054">
      <w:pPr>
        <w:pStyle w:val="BodyText"/>
        <w:spacing w:before="163"/>
        <w:rPr>
          <w:b/>
        </w:rPr>
      </w:pPr>
    </w:p>
    <w:p w14:paraId="482D2628" w14:textId="77777777" w:rsidR="00CD6054" w:rsidRDefault="00A44E92">
      <w:pPr>
        <w:pStyle w:val="BodyText"/>
        <w:spacing w:line="355" w:lineRule="auto"/>
        <w:ind w:left="236" w:right="258" w:firstLine="706"/>
        <w:jc w:val="both"/>
      </w:pPr>
      <w:r>
        <w:t>A progressão da doença periodontal atinge os tecidos de proteção e de sustentação dentais, o que pode levar à perda dental [CATON et al., 2019]. A terapia periodontal tem como objetivo reduzir os efeitos deletérios causados pela interação entre</w:t>
      </w:r>
      <w:r>
        <w:rPr>
          <w:spacing w:val="-7"/>
        </w:rPr>
        <w:t xml:space="preserve"> </w:t>
      </w:r>
      <w:r>
        <w:t>biofilme</w:t>
      </w:r>
      <w:r>
        <w:rPr>
          <w:spacing w:val="-7"/>
        </w:rPr>
        <w:t xml:space="preserve"> </w:t>
      </w:r>
      <w:r>
        <w:t>disbiótico</w:t>
      </w:r>
      <w:r>
        <w:rPr>
          <w:spacing w:val="-5"/>
        </w:rPr>
        <w:t xml:space="preserve"> </w:t>
      </w:r>
      <w:r>
        <w:t>e resposta do hospedeiro, a fim de impedir a progressão da doença. A terapia</w:t>
      </w:r>
      <w:r>
        <w:rPr>
          <w:spacing w:val="-2"/>
        </w:rPr>
        <w:t xml:space="preserve"> </w:t>
      </w:r>
      <w:r>
        <w:t>periodontal</w:t>
      </w:r>
      <w:r>
        <w:rPr>
          <w:spacing w:val="-7"/>
        </w:rPr>
        <w:t xml:space="preserve"> </w:t>
      </w:r>
      <w:r>
        <w:t>pode ser cirúrgica</w:t>
      </w:r>
      <w:r>
        <w:rPr>
          <w:spacing w:val="39"/>
        </w:rPr>
        <w:t xml:space="preserve"> </w:t>
      </w:r>
      <w:r>
        <w:t>ou não cirúrgica</w:t>
      </w:r>
      <w:r>
        <w:rPr>
          <w:spacing w:val="39"/>
        </w:rPr>
        <w:t xml:space="preserve"> </w:t>
      </w:r>
      <w:r>
        <w:t>[JOSEPH et al., 2017; CASSARIN et al., 2012].</w:t>
      </w:r>
    </w:p>
    <w:p w14:paraId="071D94EA" w14:textId="77777777" w:rsidR="00CD6054" w:rsidRDefault="00A44E92">
      <w:pPr>
        <w:pStyle w:val="BodyText"/>
        <w:spacing w:before="180" w:line="357" w:lineRule="auto"/>
        <w:ind w:left="236" w:right="255" w:firstLine="706"/>
        <w:jc w:val="both"/>
      </w:pPr>
      <w:r>
        <w:t>Em alguns casos, apenas a terapia não cirúrgica pode não ser</w:t>
      </w:r>
      <w:r>
        <w:rPr>
          <w:spacing w:val="-11"/>
        </w:rPr>
        <w:t xml:space="preserve"> </w:t>
      </w:r>
      <w:r>
        <w:t>suficiente,</w:t>
      </w:r>
      <w:r>
        <w:rPr>
          <w:spacing w:val="-5"/>
        </w:rPr>
        <w:t xml:space="preserve"> </w:t>
      </w:r>
      <w:r>
        <w:t>o</w:t>
      </w:r>
      <w:r>
        <w:rPr>
          <w:spacing w:val="-5"/>
        </w:rPr>
        <w:t xml:space="preserve"> </w:t>
      </w:r>
      <w:r>
        <w:t>que</w:t>
      </w:r>
      <w:r>
        <w:rPr>
          <w:spacing w:val="-7"/>
        </w:rPr>
        <w:t xml:space="preserve"> </w:t>
      </w:r>
      <w:r>
        <w:t>se</w:t>
      </w:r>
      <w:r>
        <w:rPr>
          <w:spacing w:val="-7"/>
        </w:rPr>
        <w:t xml:space="preserve"> </w:t>
      </w:r>
      <w:r>
        <w:t>torna uma indicação para terapias adjuntas [GRZECH-LESNIAK &amp;</w:t>
      </w:r>
      <w:r>
        <w:rPr>
          <w:spacing w:val="-5"/>
        </w:rPr>
        <w:t xml:space="preserve"> </w:t>
      </w:r>
      <w:r>
        <w:t>MATYS, 2018;</w:t>
      </w:r>
      <w:r>
        <w:rPr>
          <w:spacing w:val="-5"/>
        </w:rPr>
        <w:t xml:space="preserve"> </w:t>
      </w:r>
      <w:r>
        <w:t>CITTERIO et al., 2021]. Uma possibilidade de terapia adjunta é a terapia antimicrobiana fotodinâmica (aPDT), a qual consiste na aplicação de luz vermelha, de ondas entre 650 e 900 nm, com substâncias fotoativas conhecidas como fotossensibilizantes; comumente são utilizados o</w:t>
      </w:r>
      <w:r>
        <w:rPr>
          <w:spacing w:val="-7"/>
        </w:rPr>
        <w:t xml:space="preserve"> </w:t>
      </w:r>
      <w:r>
        <w:t>azul de tolueno e de metileno [BASSIR et al., 2013; KUMAR et al., 2015].</w:t>
      </w:r>
    </w:p>
    <w:p w14:paraId="14E69A52" w14:textId="77777777" w:rsidR="00CD6054" w:rsidRDefault="00A44E92">
      <w:pPr>
        <w:pStyle w:val="BodyText"/>
        <w:spacing w:before="175" w:line="362" w:lineRule="auto"/>
        <w:ind w:left="236" w:right="238" w:firstLine="706"/>
        <w:jc w:val="both"/>
      </w:pPr>
      <w:r>
        <w:t>Estudos encontrados na literatura que demonstram uma redução de bactérias periodontopatogênicas significantes [PETELIN et al., 2015; AKRAM et al., 2016; CORBELLA et al., 2023], além da redução de inflamação e sangramento a sondagem [ANDERSEN</w:t>
      </w:r>
      <w:r>
        <w:rPr>
          <w:spacing w:val="54"/>
          <w:w w:val="150"/>
        </w:rPr>
        <w:t xml:space="preserve"> </w:t>
      </w:r>
      <w:r>
        <w:t>et</w:t>
      </w:r>
      <w:r>
        <w:rPr>
          <w:spacing w:val="59"/>
          <w:w w:val="150"/>
        </w:rPr>
        <w:t xml:space="preserve"> </w:t>
      </w:r>
      <w:r>
        <w:t>al.,</w:t>
      </w:r>
      <w:r>
        <w:rPr>
          <w:spacing w:val="50"/>
          <w:w w:val="150"/>
        </w:rPr>
        <w:t xml:space="preserve"> </w:t>
      </w:r>
      <w:r>
        <w:t>2007;</w:t>
      </w:r>
      <w:r>
        <w:rPr>
          <w:spacing w:val="73"/>
        </w:rPr>
        <w:t xml:space="preserve"> </w:t>
      </w:r>
      <w:r>
        <w:t>AZARIPOUR</w:t>
      </w:r>
      <w:r>
        <w:rPr>
          <w:spacing w:val="55"/>
          <w:w w:val="150"/>
        </w:rPr>
        <w:t xml:space="preserve"> </w:t>
      </w:r>
      <w:r>
        <w:t>et</w:t>
      </w:r>
      <w:r>
        <w:rPr>
          <w:spacing w:val="58"/>
          <w:w w:val="150"/>
        </w:rPr>
        <w:t xml:space="preserve"> </w:t>
      </w:r>
      <w:r>
        <w:t>al.,</w:t>
      </w:r>
      <w:r>
        <w:rPr>
          <w:spacing w:val="50"/>
          <w:w w:val="150"/>
        </w:rPr>
        <w:t xml:space="preserve"> </w:t>
      </w:r>
      <w:r>
        <w:t>2018;</w:t>
      </w:r>
      <w:r>
        <w:rPr>
          <w:spacing w:val="73"/>
        </w:rPr>
        <w:t xml:space="preserve"> </w:t>
      </w:r>
      <w:r>
        <w:t>BERAKDAR</w:t>
      </w:r>
      <w:r>
        <w:rPr>
          <w:spacing w:val="55"/>
          <w:w w:val="150"/>
        </w:rPr>
        <w:t xml:space="preserve"> </w:t>
      </w:r>
      <w:r>
        <w:t>et</w:t>
      </w:r>
      <w:r>
        <w:rPr>
          <w:spacing w:val="72"/>
        </w:rPr>
        <w:t xml:space="preserve"> </w:t>
      </w:r>
      <w:r>
        <w:t>al.,</w:t>
      </w:r>
      <w:r>
        <w:rPr>
          <w:spacing w:val="64"/>
        </w:rPr>
        <w:t xml:space="preserve"> </w:t>
      </w:r>
      <w:r>
        <w:t>2012]</w:t>
      </w:r>
      <w:r>
        <w:rPr>
          <w:spacing w:val="80"/>
        </w:rPr>
        <w:t xml:space="preserve"> </w:t>
      </w:r>
      <w:r>
        <w:rPr>
          <w:spacing w:val="-5"/>
        </w:rPr>
        <w:t>em</w:t>
      </w:r>
    </w:p>
    <w:p w14:paraId="6DBAEFF0" w14:textId="77777777" w:rsidR="00CD6054" w:rsidRDefault="00A44E92">
      <w:pPr>
        <w:pStyle w:val="BodyText"/>
        <w:spacing w:line="355" w:lineRule="auto"/>
        <w:ind w:left="236" w:right="241"/>
        <w:jc w:val="both"/>
      </w:pPr>
      <w:r>
        <w:t>pacientes tratados com terapia fotodinâmica antimicrobiana. Como descrito acima, pacientes com a doença renal crônica apresentam um perfil hiperinflamatório e pacientes com periodontite também, sendo assim a terapia adjunta fotodinâmica poderia ser incluída no gerenciamento multidisciplinar destes pacientes. Corbella et al., (2023) analisaram esse tipo</w:t>
      </w:r>
      <w:r>
        <w:rPr>
          <w:spacing w:val="40"/>
        </w:rPr>
        <w:t xml:space="preserve"> </w:t>
      </w:r>
      <w:r>
        <w:t>de terapia em pacientes com diabetes e periodontite e tiveram um resultado promissor.</w:t>
      </w:r>
    </w:p>
    <w:p w14:paraId="3793B436" w14:textId="77777777" w:rsidR="00CD6054" w:rsidRDefault="00A44E92">
      <w:pPr>
        <w:pStyle w:val="BodyText"/>
        <w:spacing w:before="179" w:line="357" w:lineRule="auto"/>
        <w:ind w:left="236" w:right="239" w:firstLine="706"/>
        <w:jc w:val="both"/>
      </w:pPr>
      <w:r>
        <w:t>A literatura é controversa quanto aos benefícios</w:t>
      </w:r>
      <w:r>
        <w:rPr>
          <w:spacing w:val="-5"/>
        </w:rPr>
        <w:t xml:space="preserve"> </w:t>
      </w:r>
      <w:r>
        <w:t>da</w:t>
      </w:r>
      <w:r>
        <w:rPr>
          <w:spacing w:val="-3"/>
        </w:rPr>
        <w:t xml:space="preserve"> </w:t>
      </w:r>
      <w:r>
        <w:t>terapia</w:t>
      </w:r>
      <w:r>
        <w:rPr>
          <w:spacing w:val="-3"/>
        </w:rPr>
        <w:t xml:space="preserve"> </w:t>
      </w:r>
      <w:r>
        <w:t>fotodinâmica</w:t>
      </w:r>
      <w:r>
        <w:rPr>
          <w:spacing w:val="-3"/>
        </w:rPr>
        <w:t xml:space="preserve"> </w:t>
      </w:r>
      <w:r>
        <w:t>ao</w:t>
      </w:r>
      <w:r>
        <w:rPr>
          <w:spacing w:val="-1"/>
        </w:rPr>
        <w:t xml:space="preserve"> </w:t>
      </w:r>
      <w:r>
        <w:t>tratamento periodontal. Sabe-se que terapias adjuntas não são preconizadas a todos os pacientes e têm suas indicações restritas a</w:t>
      </w:r>
      <w:r>
        <w:rPr>
          <w:spacing w:val="-3"/>
        </w:rPr>
        <w:t xml:space="preserve"> </w:t>
      </w:r>
      <w:r>
        <w:t>determinados</w:t>
      </w:r>
      <w:r>
        <w:rPr>
          <w:spacing w:val="-5"/>
        </w:rPr>
        <w:t xml:space="preserve"> </w:t>
      </w:r>
      <w:r>
        <w:t>grupos</w:t>
      </w:r>
      <w:r>
        <w:rPr>
          <w:spacing w:val="-5"/>
        </w:rPr>
        <w:t xml:space="preserve"> </w:t>
      </w:r>
      <w:r>
        <w:t>de</w:t>
      </w:r>
      <w:r>
        <w:rPr>
          <w:spacing w:val="-3"/>
        </w:rPr>
        <w:t xml:space="preserve"> </w:t>
      </w:r>
      <w:r>
        <w:t>risco.</w:t>
      </w:r>
      <w:r>
        <w:rPr>
          <w:spacing w:val="-1"/>
        </w:rPr>
        <w:t xml:space="preserve"> </w:t>
      </w:r>
      <w:r>
        <w:t>Desse</w:t>
      </w:r>
      <w:r>
        <w:rPr>
          <w:spacing w:val="-3"/>
        </w:rPr>
        <w:t xml:space="preserve"> </w:t>
      </w:r>
      <w:r>
        <w:t>modo,</w:t>
      </w:r>
      <w:r>
        <w:rPr>
          <w:spacing w:val="-1"/>
        </w:rPr>
        <w:t xml:space="preserve"> </w:t>
      </w:r>
      <w:r>
        <w:t>com</w:t>
      </w:r>
      <w:r>
        <w:rPr>
          <w:spacing w:val="-8"/>
        </w:rPr>
        <w:t xml:space="preserve"> </w:t>
      </w:r>
      <w:r>
        <w:t>este</w:t>
      </w:r>
      <w:r>
        <w:rPr>
          <w:spacing w:val="-3"/>
        </w:rPr>
        <w:t xml:space="preserve"> </w:t>
      </w:r>
      <w:r>
        <w:t>estudo</w:t>
      </w:r>
      <w:r>
        <w:rPr>
          <w:spacing w:val="-1"/>
        </w:rPr>
        <w:t xml:space="preserve"> </w:t>
      </w:r>
      <w:r>
        <w:t>espera- se verificar se há benefícios de se utilizar a terapia fotodinâmica adjunta ao tratamento periodontal em uma população comprometida sistemicamente, como é o caso dos pacientes com doença renal crônica.</w:t>
      </w:r>
    </w:p>
    <w:p w14:paraId="3875565B" w14:textId="77777777" w:rsidR="00CD6054" w:rsidRDefault="00A44E92">
      <w:pPr>
        <w:pStyle w:val="Heading1"/>
        <w:numPr>
          <w:ilvl w:val="0"/>
          <w:numId w:val="7"/>
        </w:numPr>
        <w:tabs>
          <w:tab w:val="left" w:pos="957"/>
        </w:tabs>
        <w:spacing w:before="265"/>
        <w:ind w:left="957" w:hanging="360"/>
      </w:pPr>
      <w:r>
        <w:rPr>
          <w:spacing w:val="-2"/>
        </w:rPr>
        <w:t>Casuística:</w:t>
      </w:r>
    </w:p>
    <w:p w14:paraId="087EB9A1" w14:textId="77777777" w:rsidR="00CD6054" w:rsidRDefault="00CD6054">
      <w:pPr>
        <w:sectPr w:rsidR="00CD6054">
          <w:pgSz w:w="11910" w:h="16850"/>
          <w:pgMar w:top="1940" w:right="880" w:bottom="280" w:left="1460" w:header="720" w:footer="720" w:gutter="0"/>
          <w:cols w:space="720"/>
        </w:sectPr>
      </w:pPr>
    </w:p>
    <w:p w14:paraId="00A3FD6E" w14:textId="77777777" w:rsidR="00CD6054" w:rsidRDefault="00A44E92">
      <w:pPr>
        <w:pStyle w:val="BodyText"/>
        <w:spacing w:before="68" w:line="360" w:lineRule="auto"/>
        <w:ind w:left="236" w:right="243" w:firstLine="706"/>
        <w:jc w:val="both"/>
      </w:pPr>
      <w:r>
        <w:lastRenderedPageBreak/>
        <w:t>Estudos epidemiológicos mostram que fatores como tabagismo, diabetes, entre outros contribuem para o desenvolvimento da doença periodontal (DP). Em sua forma leve, a periodontite afeta cerca de 45-50% dos adultos. As formas mais severas da doença atingem cerca de 11% da população adulta, o que corresponde a mais de 743 milhões de pessoas [KASSEBAUM et al., 2014]. A DP também está associada a doenças crônicas não transmissíveis (como doenças respiratórias, cardiovasculares, diabetes e doença renal</w:t>
      </w:r>
      <w:r>
        <w:rPr>
          <w:spacing w:val="80"/>
        </w:rPr>
        <w:t xml:space="preserve"> </w:t>
      </w:r>
      <w:r>
        <w:t>crônica), o que pode agravar o quadro inflamatório dos pacientes afetados. Pesquisadores já identificaram que a DP é considerada um fator agravante para pacientes com doença renal crônica (DRC) [OBERG et al., 2004; STENVINKEL et al., 2005]. Em 2021, no Brasil, a estimativa é de que 148.363 pacientes realizaram diálise, um número maior que do senso de 2012 que teve uma</w:t>
      </w:r>
      <w:r>
        <w:rPr>
          <w:spacing w:val="-5"/>
        </w:rPr>
        <w:t xml:space="preserve"> </w:t>
      </w:r>
      <w:r>
        <w:t>estimativa</w:t>
      </w:r>
      <w:r>
        <w:rPr>
          <w:spacing w:val="-5"/>
        </w:rPr>
        <w:t xml:space="preserve"> </w:t>
      </w:r>
      <w:r>
        <w:t>de</w:t>
      </w:r>
      <w:r>
        <w:rPr>
          <w:spacing w:val="-5"/>
        </w:rPr>
        <w:t xml:space="preserve"> </w:t>
      </w:r>
      <w:r>
        <w:t>97.586. As</w:t>
      </w:r>
      <w:r>
        <w:rPr>
          <w:spacing w:val="-7"/>
        </w:rPr>
        <w:t xml:space="preserve"> </w:t>
      </w:r>
      <w:r>
        <w:t>taxas</w:t>
      </w:r>
      <w:r>
        <w:rPr>
          <w:spacing w:val="-7"/>
        </w:rPr>
        <w:t xml:space="preserve"> </w:t>
      </w:r>
      <w:r>
        <w:t>de</w:t>
      </w:r>
      <w:r>
        <w:rPr>
          <w:spacing w:val="-5"/>
        </w:rPr>
        <w:t xml:space="preserve"> </w:t>
      </w:r>
      <w:r>
        <w:t>prevalência</w:t>
      </w:r>
      <w:r>
        <w:rPr>
          <w:spacing w:val="-5"/>
        </w:rPr>
        <w:t xml:space="preserve"> </w:t>
      </w:r>
      <w:r>
        <w:t>e</w:t>
      </w:r>
      <w:r>
        <w:rPr>
          <w:spacing w:val="-5"/>
        </w:rPr>
        <w:t xml:space="preserve"> </w:t>
      </w:r>
      <w:r>
        <w:t>incidência correspondem</w:t>
      </w:r>
      <w:r>
        <w:rPr>
          <w:spacing w:val="-10"/>
        </w:rPr>
        <w:t xml:space="preserve"> </w:t>
      </w:r>
      <w:r>
        <w:t>a 696 e 224, respectivamente, por milhão</w:t>
      </w:r>
      <w:r>
        <w:rPr>
          <w:spacing w:val="40"/>
        </w:rPr>
        <w:t xml:space="preserve"> </w:t>
      </w:r>
      <w:r>
        <w:t>da população [NERBASS et al., 2021].</w:t>
      </w:r>
    </w:p>
    <w:p w14:paraId="2E3E1152" w14:textId="77777777" w:rsidR="00CD6054" w:rsidRDefault="00CD6054">
      <w:pPr>
        <w:pStyle w:val="BodyText"/>
      </w:pPr>
    </w:p>
    <w:p w14:paraId="1E2B3EA6" w14:textId="77777777" w:rsidR="00CD6054" w:rsidRDefault="00CD6054">
      <w:pPr>
        <w:pStyle w:val="BodyText"/>
        <w:spacing w:before="110"/>
      </w:pPr>
    </w:p>
    <w:p w14:paraId="7C0F2CB2" w14:textId="77777777" w:rsidR="00CD6054" w:rsidRDefault="00A44E92">
      <w:pPr>
        <w:pStyle w:val="Heading1"/>
        <w:numPr>
          <w:ilvl w:val="0"/>
          <w:numId w:val="7"/>
        </w:numPr>
        <w:tabs>
          <w:tab w:val="left" w:pos="957"/>
        </w:tabs>
        <w:ind w:left="957" w:hanging="360"/>
      </w:pPr>
      <w:r>
        <w:t>Material</w:t>
      </w:r>
      <w:r>
        <w:rPr>
          <w:spacing w:val="12"/>
        </w:rPr>
        <w:t xml:space="preserve"> </w:t>
      </w:r>
      <w:r>
        <w:t>e</w:t>
      </w:r>
      <w:r>
        <w:rPr>
          <w:spacing w:val="-9"/>
        </w:rPr>
        <w:t xml:space="preserve"> </w:t>
      </w:r>
      <w:r>
        <w:rPr>
          <w:spacing w:val="-2"/>
        </w:rPr>
        <w:t>Metodologia</w:t>
      </w:r>
    </w:p>
    <w:p w14:paraId="6D32AEAC" w14:textId="77777777" w:rsidR="00CD6054" w:rsidRDefault="00CD6054">
      <w:pPr>
        <w:pStyle w:val="BodyText"/>
        <w:rPr>
          <w:b/>
        </w:rPr>
      </w:pPr>
    </w:p>
    <w:p w14:paraId="4C63E469" w14:textId="77777777" w:rsidR="00CD6054" w:rsidRDefault="00CD6054">
      <w:pPr>
        <w:pStyle w:val="BodyText"/>
        <w:spacing w:before="72"/>
        <w:rPr>
          <w:b/>
        </w:rPr>
      </w:pPr>
    </w:p>
    <w:p w14:paraId="2F3E6796" w14:textId="77777777" w:rsidR="00CD6054" w:rsidRDefault="00A44E92">
      <w:pPr>
        <w:pStyle w:val="BodyText"/>
        <w:spacing w:before="1" w:line="254" w:lineRule="auto"/>
        <w:ind w:left="236" w:right="43"/>
      </w:pPr>
      <w:r>
        <w:rPr>
          <w:color w:val="6FAC46"/>
        </w:rPr>
        <w:t>OBS:</w:t>
      </w:r>
      <w:r>
        <w:rPr>
          <w:color w:val="6FAC46"/>
          <w:spacing w:val="-7"/>
        </w:rPr>
        <w:t xml:space="preserve"> </w:t>
      </w:r>
      <w:r>
        <w:rPr>
          <w:color w:val="6FAC46"/>
        </w:rPr>
        <w:t>este</w:t>
      </w:r>
      <w:r>
        <w:rPr>
          <w:color w:val="6FAC46"/>
          <w:spacing w:val="-2"/>
        </w:rPr>
        <w:t xml:space="preserve"> </w:t>
      </w:r>
      <w:r>
        <w:rPr>
          <w:color w:val="6FAC46"/>
        </w:rPr>
        <w:t>projeto reflete</w:t>
      </w:r>
      <w:r>
        <w:rPr>
          <w:color w:val="6FAC46"/>
          <w:spacing w:val="-2"/>
        </w:rPr>
        <w:t xml:space="preserve"> </w:t>
      </w:r>
      <w:r>
        <w:rPr>
          <w:color w:val="6FAC46"/>
        </w:rPr>
        <w:t>a</w:t>
      </w:r>
      <w:r>
        <w:rPr>
          <w:color w:val="6FAC46"/>
          <w:spacing w:val="-2"/>
        </w:rPr>
        <w:t xml:space="preserve"> </w:t>
      </w:r>
      <w:r>
        <w:rPr>
          <w:color w:val="6FAC46"/>
        </w:rPr>
        <w:t>continuidade</w:t>
      </w:r>
      <w:r>
        <w:rPr>
          <w:color w:val="6FAC46"/>
          <w:spacing w:val="-2"/>
        </w:rPr>
        <w:t xml:space="preserve"> </w:t>
      </w:r>
      <w:r>
        <w:rPr>
          <w:color w:val="6FAC46"/>
        </w:rPr>
        <w:t>de</w:t>
      </w:r>
      <w:r>
        <w:rPr>
          <w:color w:val="6FAC46"/>
          <w:spacing w:val="-2"/>
        </w:rPr>
        <w:t xml:space="preserve"> </w:t>
      </w:r>
      <w:r>
        <w:rPr>
          <w:color w:val="6FAC46"/>
        </w:rPr>
        <w:t>uma</w:t>
      </w:r>
      <w:r>
        <w:rPr>
          <w:color w:val="6FAC46"/>
          <w:spacing w:val="-2"/>
        </w:rPr>
        <w:t xml:space="preserve"> </w:t>
      </w:r>
      <w:r>
        <w:rPr>
          <w:color w:val="6FAC46"/>
        </w:rPr>
        <w:t>parceria</w:t>
      </w:r>
      <w:r>
        <w:rPr>
          <w:color w:val="6FAC46"/>
          <w:spacing w:val="-2"/>
        </w:rPr>
        <w:t xml:space="preserve"> </w:t>
      </w:r>
      <w:r>
        <w:rPr>
          <w:color w:val="6FAC46"/>
        </w:rPr>
        <w:t>já</w:t>
      </w:r>
      <w:r>
        <w:rPr>
          <w:color w:val="6FAC46"/>
          <w:spacing w:val="-2"/>
        </w:rPr>
        <w:t xml:space="preserve"> </w:t>
      </w:r>
      <w:r>
        <w:rPr>
          <w:color w:val="6FAC46"/>
        </w:rPr>
        <w:t>estabelecida</w:t>
      </w:r>
      <w:r>
        <w:rPr>
          <w:color w:val="6FAC46"/>
          <w:spacing w:val="-2"/>
        </w:rPr>
        <w:t xml:space="preserve"> </w:t>
      </w:r>
      <w:r>
        <w:rPr>
          <w:color w:val="6FAC46"/>
        </w:rPr>
        <w:t>com a</w:t>
      </w:r>
      <w:r>
        <w:rPr>
          <w:color w:val="6FAC46"/>
          <w:spacing w:val="-2"/>
        </w:rPr>
        <w:t xml:space="preserve"> </w:t>
      </w:r>
      <w:r>
        <w:rPr>
          <w:color w:val="6FAC46"/>
        </w:rPr>
        <w:t>Fundação Pró- Renal. As amostras coletadas na Fundação serão codificadas, transportadas e analisadas na UFPR (esta informação também consta no TCLE)</w:t>
      </w:r>
    </w:p>
    <w:p w14:paraId="0818BE5C" w14:textId="77777777" w:rsidR="00CD6054" w:rsidRDefault="00A44E92">
      <w:pPr>
        <w:pStyle w:val="Heading1"/>
        <w:numPr>
          <w:ilvl w:val="1"/>
          <w:numId w:val="7"/>
        </w:numPr>
        <w:tabs>
          <w:tab w:val="left" w:pos="1318"/>
        </w:tabs>
        <w:spacing w:before="248"/>
        <w:ind w:hanging="721"/>
      </w:pPr>
      <w:r>
        <w:t>Seleção</w:t>
      </w:r>
      <w:r>
        <w:rPr>
          <w:spacing w:val="7"/>
        </w:rPr>
        <w:t xml:space="preserve"> </w:t>
      </w:r>
      <w:r>
        <w:t>dos</w:t>
      </w:r>
      <w:r>
        <w:rPr>
          <w:spacing w:val="-8"/>
        </w:rPr>
        <w:t xml:space="preserve"> </w:t>
      </w:r>
      <w:r>
        <w:rPr>
          <w:spacing w:val="-2"/>
        </w:rPr>
        <w:t>voluntários:</w:t>
      </w:r>
    </w:p>
    <w:p w14:paraId="384B933C" w14:textId="77777777" w:rsidR="00CD6054" w:rsidRDefault="00CD6054">
      <w:pPr>
        <w:pStyle w:val="BodyText"/>
        <w:rPr>
          <w:b/>
        </w:rPr>
      </w:pPr>
    </w:p>
    <w:p w14:paraId="465C2709" w14:textId="77777777" w:rsidR="00CD6054" w:rsidRDefault="00CD6054">
      <w:pPr>
        <w:pStyle w:val="BodyText"/>
        <w:spacing w:before="28"/>
        <w:rPr>
          <w:b/>
        </w:rPr>
      </w:pPr>
    </w:p>
    <w:p w14:paraId="58524DA0" w14:textId="77777777" w:rsidR="00CD6054" w:rsidRDefault="00A44E92">
      <w:pPr>
        <w:pStyle w:val="BodyText"/>
        <w:spacing w:line="352" w:lineRule="auto"/>
        <w:ind w:left="236" w:right="243" w:firstLine="706"/>
        <w:jc w:val="both"/>
      </w:pPr>
      <w:r>
        <w:t>Esse estudo será composto por 2 grupos. Serão selecionados voluntários de ambos os sexos, o grupo teste será composto por pacientes com doença renal crônica atendidos na Clínica Odontológica da Fundação Pró-Renal em tratamento de diálise ou hemodiálise.</w:t>
      </w:r>
    </w:p>
    <w:p w14:paraId="6878C64B" w14:textId="77777777" w:rsidR="00CD6054" w:rsidRDefault="00A44E92">
      <w:pPr>
        <w:pStyle w:val="BodyText"/>
        <w:spacing w:before="179" w:line="355" w:lineRule="auto"/>
        <w:ind w:left="236" w:right="248" w:firstLine="706"/>
        <w:jc w:val="both"/>
      </w:pPr>
      <w:r>
        <w:t>O grupo controle será composto por pacientes que procurarem a Clínica Odontológica da UFPR, sem doença renal crônica. O projeto será avaliado pelo Comitê de Ética em</w:t>
      </w:r>
      <w:r>
        <w:rPr>
          <w:spacing w:val="40"/>
        </w:rPr>
        <w:t xml:space="preserve"> </w:t>
      </w:r>
      <w:r>
        <w:t>Pesquisa da UFPR, e todos os voluntários serão informados sobre a natureza, risco e benefícios</w:t>
      </w:r>
      <w:r>
        <w:rPr>
          <w:spacing w:val="20"/>
        </w:rPr>
        <w:t xml:space="preserve"> </w:t>
      </w:r>
      <w:r>
        <w:t>da sua participação e serão convidados a assinar o Termo de Consentimento Livre</w:t>
      </w:r>
      <w:r>
        <w:rPr>
          <w:spacing w:val="40"/>
        </w:rPr>
        <w:t xml:space="preserve"> </w:t>
      </w:r>
      <w:r>
        <w:t>e Esclarecido. Espera-se atingir um tamanho amostral de 50 pacientes por grupo.</w:t>
      </w:r>
    </w:p>
    <w:p w14:paraId="7C5C1CE9" w14:textId="77777777" w:rsidR="00CD6054" w:rsidRDefault="00CD6054">
      <w:pPr>
        <w:spacing w:line="355" w:lineRule="auto"/>
        <w:jc w:val="both"/>
        <w:sectPr w:rsidR="00CD6054">
          <w:pgSz w:w="11910" w:h="16850"/>
          <w:pgMar w:top="1640" w:right="880" w:bottom="280" w:left="1460" w:header="720" w:footer="720" w:gutter="0"/>
          <w:cols w:space="720"/>
        </w:sectPr>
      </w:pPr>
    </w:p>
    <w:p w14:paraId="74CE0589" w14:textId="77777777" w:rsidR="00CD6054" w:rsidRDefault="00A44E92">
      <w:pPr>
        <w:pStyle w:val="BodyText"/>
        <w:ind w:left="190"/>
        <w:rPr>
          <w:sz w:val="20"/>
        </w:rPr>
      </w:pPr>
      <w:r>
        <w:rPr>
          <w:noProof/>
          <w:sz w:val="20"/>
          <w:lang w:val="en-US"/>
        </w:rPr>
        <w:lastRenderedPageBreak/>
        <w:drawing>
          <wp:inline distT="0" distB="0" distL="0" distR="0" wp14:anchorId="57A7FA33" wp14:editId="62364A98">
            <wp:extent cx="5635485" cy="3560730"/>
            <wp:effectExtent l="0" t="0" r="0" b="0"/>
            <wp:docPr id="6" name="Image 6" descr="Linha do tempo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Linha do tempo  Descrição gerada automaticamente"/>
                    <pic:cNvPicPr/>
                  </pic:nvPicPr>
                  <pic:blipFill>
                    <a:blip r:embed="rId7" cstate="print"/>
                    <a:stretch>
                      <a:fillRect/>
                    </a:stretch>
                  </pic:blipFill>
                  <pic:spPr>
                    <a:xfrm>
                      <a:off x="0" y="0"/>
                      <a:ext cx="5635485" cy="3560730"/>
                    </a:xfrm>
                    <a:prstGeom prst="rect">
                      <a:avLst/>
                    </a:prstGeom>
                  </pic:spPr>
                </pic:pic>
              </a:graphicData>
            </a:graphic>
          </wp:inline>
        </w:drawing>
      </w:r>
    </w:p>
    <w:p w14:paraId="1EB75261" w14:textId="77777777" w:rsidR="00CD6054" w:rsidRDefault="00A44E92">
      <w:pPr>
        <w:spacing w:before="56"/>
        <w:ind w:left="236"/>
        <w:rPr>
          <w:sz w:val="19"/>
        </w:rPr>
      </w:pPr>
      <w:r>
        <w:rPr>
          <w:sz w:val="19"/>
        </w:rPr>
        <w:t>Protocolo</w:t>
      </w:r>
      <w:r>
        <w:rPr>
          <w:spacing w:val="28"/>
          <w:sz w:val="19"/>
        </w:rPr>
        <w:t xml:space="preserve"> </w:t>
      </w:r>
      <w:r>
        <w:rPr>
          <w:spacing w:val="-2"/>
          <w:sz w:val="19"/>
        </w:rPr>
        <w:t>experimental.</w:t>
      </w:r>
    </w:p>
    <w:p w14:paraId="79E02595" w14:textId="77777777" w:rsidR="00CD6054" w:rsidRDefault="00CD6054">
      <w:pPr>
        <w:pStyle w:val="BodyText"/>
        <w:rPr>
          <w:sz w:val="19"/>
        </w:rPr>
      </w:pPr>
    </w:p>
    <w:p w14:paraId="270EB6DF" w14:textId="77777777" w:rsidR="00CD6054" w:rsidRDefault="00CD6054">
      <w:pPr>
        <w:pStyle w:val="BodyText"/>
        <w:rPr>
          <w:sz w:val="19"/>
        </w:rPr>
      </w:pPr>
    </w:p>
    <w:p w14:paraId="7A8A58A8" w14:textId="77777777" w:rsidR="00CD6054" w:rsidRDefault="00CD6054">
      <w:pPr>
        <w:pStyle w:val="BodyText"/>
        <w:spacing w:before="146"/>
        <w:rPr>
          <w:sz w:val="19"/>
        </w:rPr>
      </w:pPr>
    </w:p>
    <w:p w14:paraId="28782875" w14:textId="77777777" w:rsidR="00CD6054" w:rsidRDefault="00A44E92">
      <w:pPr>
        <w:pStyle w:val="Heading1"/>
        <w:numPr>
          <w:ilvl w:val="1"/>
          <w:numId w:val="7"/>
        </w:numPr>
        <w:tabs>
          <w:tab w:val="left" w:pos="1318"/>
        </w:tabs>
        <w:ind w:hanging="721"/>
      </w:pPr>
      <w:r>
        <w:t>Critérios de</w:t>
      </w:r>
      <w:r>
        <w:rPr>
          <w:spacing w:val="-10"/>
        </w:rPr>
        <w:t xml:space="preserve"> </w:t>
      </w:r>
      <w:r>
        <w:rPr>
          <w:spacing w:val="-2"/>
        </w:rPr>
        <w:t>inclusão:</w:t>
      </w:r>
    </w:p>
    <w:p w14:paraId="49449E06" w14:textId="77777777" w:rsidR="00CD6054" w:rsidRDefault="00CD6054">
      <w:pPr>
        <w:pStyle w:val="BodyText"/>
        <w:spacing w:before="160"/>
        <w:rPr>
          <w:b/>
        </w:rPr>
      </w:pPr>
    </w:p>
    <w:p w14:paraId="686F2245" w14:textId="77777777" w:rsidR="00CD6054" w:rsidRDefault="00A44E92">
      <w:pPr>
        <w:pStyle w:val="ListParagraph"/>
        <w:numPr>
          <w:ilvl w:val="0"/>
          <w:numId w:val="5"/>
        </w:numPr>
        <w:tabs>
          <w:tab w:val="left" w:pos="1318"/>
        </w:tabs>
        <w:ind w:hanging="360"/>
        <w:jc w:val="left"/>
        <w:rPr>
          <w:sz w:val="24"/>
        </w:rPr>
      </w:pPr>
      <w:r>
        <w:rPr>
          <w:color w:val="A8D08D"/>
          <w:sz w:val="24"/>
        </w:rPr>
        <w:t>Faixa</w:t>
      </w:r>
      <w:r>
        <w:rPr>
          <w:color w:val="A8D08D"/>
          <w:spacing w:val="10"/>
          <w:sz w:val="24"/>
        </w:rPr>
        <w:t xml:space="preserve"> </w:t>
      </w:r>
      <w:r>
        <w:rPr>
          <w:color w:val="A8D08D"/>
          <w:sz w:val="24"/>
        </w:rPr>
        <w:t>etária</w:t>
      </w:r>
      <w:r>
        <w:rPr>
          <w:color w:val="A8D08D"/>
          <w:spacing w:val="-3"/>
          <w:sz w:val="24"/>
        </w:rPr>
        <w:t xml:space="preserve"> </w:t>
      </w:r>
      <w:r>
        <w:rPr>
          <w:color w:val="A8D08D"/>
          <w:sz w:val="24"/>
        </w:rPr>
        <w:t>de</w:t>
      </w:r>
      <w:r>
        <w:rPr>
          <w:color w:val="A8D08D"/>
          <w:spacing w:val="-2"/>
          <w:sz w:val="24"/>
        </w:rPr>
        <w:t xml:space="preserve"> </w:t>
      </w:r>
      <w:r>
        <w:rPr>
          <w:color w:val="A8D08D"/>
          <w:sz w:val="24"/>
        </w:rPr>
        <w:t>30</w:t>
      </w:r>
      <w:r>
        <w:rPr>
          <w:color w:val="A8D08D"/>
          <w:spacing w:val="-1"/>
          <w:sz w:val="24"/>
        </w:rPr>
        <w:t xml:space="preserve"> </w:t>
      </w:r>
      <w:r>
        <w:rPr>
          <w:color w:val="A8D08D"/>
          <w:sz w:val="24"/>
        </w:rPr>
        <w:t>a</w:t>
      </w:r>
      <w:r>
        <w:rPr>
          <w:color w:val="A8D08D"/>
          <w:spacing w:val="-2"/>
          <w:sz w:val="24"/>
        </w:rPr>
        <w:t xml:space="preserve"> </w:t>
      </w:r>
      <w:r>
        <w:rPr>
          <w:color w:val="A8D08D"/>
          <w:sz w:val="24"/>
        </w:rPr>
        <w:t>80</w:t>
      </w:r>
      <w:r>
        <w:rPr>
          <w:color w:val="A8D08D"/>
          <w:spacing w:val="4"/>
          <w:sz w:val="24"/>
        </w:rPr>
        <w:t xml:space="preserve"> </w:t>
      </w:r>
      <w:r>
        <w:rPr>
          <w:color w:val="A8D08D"/>
          <w:spacing w:val="-2"/>
          <w:sz w:val="24"/>
        </w:rPr>
        <w:t>anos</w:t>
      </w:r>
      <w:r>
        <w:rPr>
          <w:spacing w:val="-2"/>
          <w:sz w:val="24"/>
        </w:rPr>
        <w:t>;</w:t>
      </w:r>
    </w:p>
    <w:p w14:paraId="0A82A5F5" w14:textId="77777777" w:rsidR="00CD6054" w:rsidRDefault="00A44E92">
      <w:pPr>
        <w:pStyle w:val="ListParagraph"/>
        <w:numPr>
          <w:ilvl w:val="0"/>
          <w:numId w:val="5"/>
        </w:numPr>
        <w:tabs>
          <w:tab w:val="left" w:pos="1318"/>
        </w:tabs>
        <w:spacing w:before="127" w:line="357" w:lineRule="auto"/>
        <w:ind w:right="249"/>
        <w:jc w:val="left"/>
        <w:rPr>
          <w:sz w:val="24"/>
        </w:rPr>
      </w:pPr>
      <w:r>
        <w:rPr>
          <w:sz w:val="24"/>
        </w:rPr>
        <w:t>Ter</w:t>
      </w:r>
      <w:r>
        <w:rPr>
          <w:spacing w:val="40"/>
          <w:sz w:val="24"/>
        </w:rPr>
        <w:t xml:space="preserve"> </w:t>
      </w:r>
      <w:r>
        <w:rPr>
          <w:sz w:val="24"/>
        </w:rPr>
        <w:t>no</w:t>
      </w:r>
      <w:r>
        <w:rPr>
          <w:spacing w:val="40"/>
          <w:sz w:val="24"/>
        </w:rPr>
        <w:t xml:space="preserve"> </w:t>
      </w:r>
      <w:r>
        <w:rPr>
          <w:sz w:val="24"/>
        </w:rPr>
        <w:t>mínimo</w:t>
      </w:r>
      <w:r>
        <w:rPr>
          <w:spacing w:val="40"/>
          <w:sz w:val="24"/>
        </w:rPr>
        <w:t xml:space="preserve"> </w:t>
      </w:r>
      <w:r>
        <w:rPr>
          <w:sz w:val="24"/>
        </w:rPr>
        <w:t>de</w:t>
      </w:r>
      <w:r>
        <w:rPr>
          <w:spacing w:val="40"/>
          <w:sz w:val="24"/>
        </w:rPr>
        <w:t xml:space="preserve"> </w:t>
      </w:r>
      <w:r>
        <w:rPr>
          <w:sz w:val="24"/>
        </w:rPr>
        <w:t>10</w:t>
      </w:r>
      <w:r>
        <w:rPr>
          <w:spacing w:val="40"/>
          <w:sz w:val="24"/>
        </w:rPr>
        <w:t xml:space="preserve"> </w:t>
      </w:r>
      <w:r>
        <w:rPr>
          <w:sz w:val="24"/>
        </w:rPr>
        <w:t>dentes</w:t>
      </w:r>
      <w:r>
        <w:rPr>
          <w:spacing w:val="40"/>
          <w:sz w:val="24"/>
        </w:rPr>
        <w:t xml:space="preserve"> </w:t>
      </w:r>
      <w:r>
        <w:rPr>
          <w:sz w:val="24"/>
        </w:rPr>
        <w:t>em</w:t>
      </w:r>
      <w:r>
        <w:rPr>
          <w:spacing w:val="40"/>
          <w:sz w:val="24"/>
        </w:rPr>
        <w:t xml:space="preserve"> </w:t>
      </w:r>
      <w:r>
        <w:rPr>
          <w:sz w:val="24"/>
        </w:rPr>
        <w:t>boca,</w:t>
      </w:r>
      <w:r>
        <w:rPr>
          <w:spacing w:val="40"/>
          <w:sz w:val="24"/>
        </w:rPr>
        <w:t xml:space="preserve"> </w:t>
      </w:r>
      <w:r>
        <w:rPr>
          <w:sz w:val="24"/>
        </w:rPr>
        <w:t>excluindo-se</w:t>
      </w:r>
      <w:r>
        <w:rPr>
          <w:spacing w:val="40"/>
          <w:sz w:val="24"/>
        </w:rPr>
        <w:t xml:space="preserve"> </w:t>
      </w:r>
      <w:r>
        <w:rPr>
          <w:sz w:val="24"/>
        </w:rPr>
        <w:t>dentes</w:t>
      </w:r>
      <w:r>
        <w:rPr>
          <w:spacing w:val="40"/>
          <w:sz w:val="24"/>
        </w:rPr>
        <w:t xml:space="preserve"> </w:t>
      </w:r>
      <w:r>
        <w:rPr>
          <w:sz w:val="24"/>
        </w:rPr>
        <w:t>com</w:t>
      </w:r>
      <w:r>
        <w:rPr>
          <w:spacing w:val="36"/>
          <w:sz w:val="24"/>
        </w:rPr>
        <w:t xml:space="preserve"> </w:t>
      </w:r>
      <w:r>
        <w:rPr>
          <w:sz w:val="24"/>
        </w:rPr>
        <w:t>indicação</w:t>
      </w:r>
      <w:r>
        <w:rPr>
          <w:spacing w:val="40"/>
          <w:sz w:val="24"/>
        </w:rPr>
        <w:t xml:space="preserve"> </w:t>
      </w:r>
      <w:r>
        <w:rPr>
          <w:sz w:val="24"/>
        </w:rPr>
        <w:t xml:space="preserve">de </w:t>
      </w:r>
      <w:r>
        <w:rPr>
          <w:spacing w:val="-2"/>
          <w:sz w:val="24"/>
        </w:rPr>
        <w:t>extração;</w:t>
      </w:r>
    </w:p>
    <w:p w14:paraId="51256944" w14:textId="77777777" w:rsidR="00CD6054" w:rsidRDefault="00A44E92">
      <w:pPr>
        <w:pStyle w:val="ListParagraph"/>
        <w:numPr>
          <w:ilvl w:val="0"/>
          <w:numId w:val="5"/>
        </w:numPr>
        <w:tabs>
          <w:tab w:val="left" w:pos="1318"/>
        </w:tabs>
        <w:spacing w:before="6"/>
        <w:ind w:hanging="360"/>
        <w:jc w:val="left"/>
        <w:rPr>
          <w:sz w:val="24"/>
        </w:rPr>
      </w:pPr>
      <w:r>
        <w:rPr>
          <w:sz w:val="24"/>
        </w:rPr>
        <w:t>Serem pacientes</w:t>
      </w:r>
      <w:r>
        <w:rPr>
          <w:spacing w:val="-9"/>
          <w:sz w:val="24"/>
        </w:rPr>
        <w:t xml:space="preserve"> </w:t>
      </w:r>
      <w:r>
        <w:rPr>
          <w:sz w:val="24"/>
        </w:rPr>
        <w:t>com doença</w:t>
      </w:r>
      <w:r>
        <w:rPr>
          <w:spacing w:val="-8"/>
          <w:sz w:val="24"/>
        </w:rPr>
        <w:t xml:space="preserve"> </w:t>
      </w:r>
      <w:r>
        <w:rPr>
          <w:sz w:val="24"/>
        </w:rPr>
        <w:t>renal</w:t>
      </w:r>
      <w:r>
        <w:rPr>
          <w:spacing w:val="-12"/>
          <w:sz w:val="24"/>
        </w:rPr>
        <w:t xml:space="preserve"> </w:t>
      </w:r>
      <w:r>
        <w:rPr>
          <w:sz w:val="24"/>
        </w:rPr>
        <w:t>crônica</w:t>
      </w:r>
      <w:r>
        <w:rPr>
          <w:spacing w:val="5"/>
          <w:sz w:val="24"/>
        </w:rPr>
        <w:t xml:space="preserve"> </w:t>
      </w:r>
      <w:r>
        <w:rPr>
          <w:sz w:val="24"/>
        </w:rPr>
        <w:t>(grupo</w:t>
      </w:r>
      <w:r>
        <w:rPr>
          <w:spacing w:val="7"/>
          <w:sz w:val="24"/>
        </w:rPr>
        <w:t xml:space="preserve"> </w:t>
      </w:r>
      <w:r>
        <w:rPr>
          <w:spacing w:val="-2"/>
          <w:sz w:val="24"/>
        </w:rPr>
        <w:t>teste);</w:t>
      </w:r>
    </w:p>
    <w:p w14:paraId="23443790" w14:textId="77777777" w:rsidR="00CD6054" w:rsidRDefault="00A44E92">
      <w:pPr>
        <w:pStyle w:val="ListParagraph"/>
        <w:numPr>
          <w:ilvl w:val="0"/>
          <w:numId w:val="5"/>
        </w:numPr>
        <w:tabs>
          <w:tab w:val="left" w:pos="1318"/>
        </w:tabs>
        <w:spacing w:before="126"/>
        <w:ind w:hanging="360"/>
        <w:jc w:val="left"/>
        <w:rPr>
          <w:sz w:val="24"/>
        </w:rPr>
      </w:pPr>
      <w:r>
        <w:rPr>
          <w:sz w:val="24"/>
        </w:rPr>
        <w:t>Serem</w:t>
      </w:r>
      <w:r>
        <w:rPr>
          <w:spacing w:val="-2"/>
          <w:sz w:val="24"/>
        </w:rPr>
        <w:t xml:space="preserve"> </w:t>
      </w:r>
      <w:r>
        <w:rPr>
          <w:sz w:val="24"/>
        </w:rPr>
        <w:t>pacientes</w:t>
      </w:r>
      <w:r>
        <w:rPr>
          <w:spacing w:val="-11"/>
          <w:sz w:val="24"/>
        </w:rPr>
        <w:t xml:space="preserve"> </w:t>
      </w:r>
      <w:r>
        <w:rPr>
          <w:sz w:val="24"/>
        </w:rPr>
        <w:t>sem</w:t>
      </w:r>
      <w:r>
        <w:rPr>
          <w:spacing w:val="1"/>
          <w:sz w:val="24"/>
        </w:rPr>
        <w:t xml:space="preserve"> </w:t>
      </w:r>
      <w:r>
        <w:rPr>
          <w:sz w:val="24"/>
        </w:rPr>
        <w:t>doença</w:t>
      </w:r>
      <w:r>
        <w:rPr>
          <w:spacing w:val="-9"/>
          <w:sz w:val="24"/>
        </w:rPr>
        <w:t xml:space="preserve"> </w:t>
      </w:r>
      <w:r>
        <w:rPr>
          <w:sz w:val="24"/>
        </w:rPr>
        <w:t>renal</w:t>
      </w:r>
      <w:r>
        <w:rPr>
          <w:spacing w:val="1"/>
          <w:sz w:val="24"/>
        </w:rPr>
        <w:t xml:space="preserve"> </w:t>
      </w:r>
      <w:r>
        <w:rPr>
          <w:sz w:val="24"/>
        </w:rPr>
        <w:t>crônica</w:t>
      </w:r>
      <w:r>
        <w:rPr>
          <w:spacing w:val="4"/>
          <w:sz w:val="24"/>
        </w:rPr>
        <w:t xml:space="preserve"> </w:t>
      </w:r>
      <w:r>
        <w:rPr>
          <w:sz w:val="24"/>
        </w:rPr>
        <w:t>(grupo</w:t>
      </w:r>
      <w:r>
        <w:rPr>
          <w:spacing w:val="-6"/>
          <w:sz w:val="24"/>
        </w:rPr>
        <w:t xml:space="preserve"> </w:t>
      </w:r>
      <w:r>
        <w:rPr>
          <w:spacing w:val="-2"/>
          <w:sz w:val="24"/>
        </w:rPr>
        <w:t>controle);</w:t>
      </w:r>
    </w:p>
    <w:p w14:paraId="0B144B55" w14:textId="77777777" w:rsidR="00CD6054" w:rsidRDefault="00A44E92">
      <w:pPr>
        <w:pStyle w:val="ListParagraph"/>
        <w:numPr>
          <w:ilvl w:val="0"/>
          <w:numId w:val="5"/>
        </w:numPr>
        <w:tabs>
          <w:tab w:val="left" w:pos="1318"/>
        </w:tabs>
        <w:spacing w:before="142" w:line="362" w:lineRule="auto"/>
        <w:ind w:right="251"/>
        <w:rPr>
          <w:sz w:val="24"/>
        </w:rPr>
      </w:pPr>
      <w:r>
        <w:rPr>
          <w:sz w:val="24"/>
        </w:rPr>
        <w:t xml:space="preserve">Apresentar um mínimo de 3 dentes com pelo menos 1 sítio interproximal, não contíguo, com PS e NIC </w:t>
      </w:r>
      <w:r>
        <w:rPr>
          <w:color w:val="1F2023"/>
          <w:sz w:val="24"/>
        </w:rPr>
        <w:t>≥ 5 mm, bem</w:t>
      </w:r>
      <w:r>
        <w:rPr>
          <w:color w:val="1F2023"/>
          <w:spacing w:val="-10"/>
          <w:sz w:val="24"/>
        </w:rPr>
        <w:t xml:space="preserve"> </w:t>
      </w:r>
      <w:r>
        <w:rPr>
          <w:color w:val="1F2023"/>
          <w:sz w:val="24"/>
        </w:rPr>
        <w:t>como,</w:t>
      </w:r>
      <w:r>
        <w:rPr>
          <w:color w:val="1F2023"/>
          <w:spacing w:val="-3"/>
          <w:sz w:val="24"/>
        </w:rPr>
        <w:t xml:space="preserve"> </w:t>
      </w:r>
      <w:r>
        <w:rPr>
          <w:color w:val="1F2023"/>
          <w:sz w:val="24"/>
        </w:rPr>
        <w:t>pelo</w:t>
      </w:r>
      <w:r>
        <w:rPr>
          <w:color w:val="1F2023"/>
          <w:spacing w:val="-3"/>
          <w:sz w:val="24"/>
        </w:rPr>
        <w:t xml:space="preserve"> </w:t>
      </w:r>
      <w:r>
        <w:rPr>
          <w:color w:val="1F2023"/>
          <w:sz w:val="24"/>
        </w:rPr>
        <w:t>menos</w:t>
      </w:r>
      <w:r>
        <w:rPr>
          <w:color w:val="1F2023"/>
          <w:spacing w:val="-7"/>
          <w:sz w:val="24"/>
        </w:rPr>
        <w:t xml:space="preserve"> </w:t>
      </w:r>
      <w:r>
        <w:rPr>
          <w:color w:val="1F2023"/>
          <w:sz w:val="24"/>
        </w:rPr>
        <w:t>30%</w:t>
      </w:r>
      <w:r>
        <w:rPr>
          <w:color w:val="1F2023"/>
          <w:spacing w:val="-8"/>
          <w:sz w:val="24"/>
        </w:rPr>
        <w:t xml:space="preserve"> </w:t>
      </w:r>
      <w:r>
        <w:rPr>
          <w:color w:val="1F2023"/>
          <w:sz w:val="24"/>
        </w:rPr>
        <w:t>dos</w:t>
      </w:r>
      <w:r>
        <w:rPr>
          <w:color w:val="1F2023"/>
          <w:spacing w:val="-7"/>
          <w:sz w:val="24"/>
        </w:rPr>
        <w:t xml:space="preserve"> </w:t>
      </w:r>
      <w:r>
        <w:rPr>
          <w:color w:val="1F2023"/>
          <w:sz w:val="24"/>
        </w:rPr>
        <w:t>sítios</w:t>
      </w:r>
      <w:r>
        <w:rPr>
          <w:color w:val="1F2023"/>
          <w:spacing w:val="-7"/>
          <w:sz w:val="24"/>
        </w:rPr>
        <w:t xml:space="preserve"> </w:t>
      </w:r>
      <w:r>
        <w:rPr>
          <w:color w:val="1F2023"/>
          <w:sz w:val="24"/>
        </w:rPr>
        <w:t>com</w:t>
      </w:r>
      <w:r>
        <w:rPr>
          <w:color w:val="1F2023"/>
          <w:spacing w:val="-10"/>
          <w:sz w:val="24"/>
        </w:rPr>
        <w:t xml:space="preserve"> </w:t>
      </w:r>
      <w:r>
        <w:rPr>
          <w:color w:val="1F2023"/>
          <w:sz w:val="24"/>
        </w:rPr>
        <w:t>PS</w:t>
      </w:r>
      <w:r>
        <w:rPr>
          <w:color w:val="1F2023"/>
          <w:spacing w:val="-2"/>
          <w:sz w:val="24"/>
        </w:rPr>
        <w:t xml:space="preserve"> </w:t>
      </w:r>
      <w:r>
        <w:rPr>
          <w:color w:val="1F2023"/>
          <w:sz w:val="24"/>
        </w:rPr>
        <w:t>e NIC ≥ 4 mm e sangramento à sondagem (SS).</w:t>
      </w:r>
    </w:p>
    <w:p w14:paraId="249AC250" w14:textId="77777777" w:rsidR="00CD6054" w:rsidRDefault="00A44E92">
      <w:pPr>
        <w:pStyle w:val="ListParagraph"/>
        <w:numPr>
          <w:ilvl w:val="0"/>
          <w:numId w:val="5"/>
        </w:numPr>
        <w:tabs>
          <w:tab w:val="left" w:pos="1318"/>
        </w:tabs>
        <w:spacing w:line="278" w:lineRule="exact"/>
        <w:ind w:hanging="360"/>
        <w:rPr>
          <w:sz w:val="24"/>
        </w:rPr>
      </w:pPr>
      <w:r>
        <w:rPr>
          <w:color w:val="A8D08D"/>
          <w:sz w:val="24"/>
        </w:rPr>
        <w:t>Os</w:t>
      </w:r>
      <w:r>
        <w:rPr>
          <w:color w:val="A8D08D"/>
          <w:spacing w:val="34"/>
          <w:sz w:val="24"/>
        </w:rPr>
        <w:t xml:space="preserve"> </w:t>
      </w:r>
      <w:r>
        <w:rPr>
          <w:color w:val="A8D08D"/>
          <w:sz w:val="24"/>
        </w:rPr>
        <w:t>pacientes</w:t>
      </w:r>
      <w:r>
        <w:rPr>
          <w:color w:val="A8D08D"/>
          <w:spacing w:val="37"/>
          <w:sz w:val="24"/>
        </w:rPr>
        <w:t xml:space="preserve"> </w:t>
      </w:r>
      <w:r>
        <w:rPr>
          <w:color w:val="A8D08D"/>
          <w:sz w:val="24"/>
        </w:rPr>
        <w:t>do</w:t>
      </w:r>
      <w:r>
        <w:rPr>
          <w:color w:val="A8D08D"/>
          <w:spacing w:val="40"/>
          <w:sz w:val="24"/>
        </w:rPr>
        <w:t xml:space="preserve"> </w:t>
      </w:r>
      <w:r>
        <w:rPr>
          <w:color w:val="A8D08D"/>
          <w:sz w:val="24"/>
        </w:rPr>
        <w:t>grupo</w:t>
      </w:r>
      <w:r>
        <w:rPr>
          <w:color w:val="A8D08D"/>
          <w:spacing w:val="39"/>
          <w:sz w:val="24"/>
        </w:rPr>
        <w:t xml:space="preserve"> </w:t>
      </w:r>
      <w:r>
        <w:rPr>
          <w:color w:val="A8D08D"/>
          <w:sz w:val="24"/>
        </w:rPr>
        <w:t>controle</w:t>
      </w:r>
      <w:r>
        <w:rPr>
          <w:color w:val="A8D08D"/>
          <w:spacing w:val="39"/>
          <w:sz w:val="24"/>
        </w:rPr>
        <w:t xml:space="preserve"> </w:t>
      </w:r>
      <w:r>
        <w:rPr>
          <w:color w:val="A8D08D"/>
          <w:sz w:val="24"/>
        </w:rPr>
        <w:t>terão</w:t>
      </w:r>
      <w:r>
        <w:rPr>
          <w:color w:val="A8D08D"/>
          <w:spacing w:val="39"/>
          <w:sz w:val="24"/>
        </w:rPr>
        <w:t xml:space="preserve"> </w:t>
      </w:r>
      <w:r>
        <w:rPr>
          <w:color w:val="A8D08D"/>
          <w:sz w:val="24"/>
        </w:rPr>
        <w:t>os</w:t>
      </w:r>
      <w:r>
        <w:rPr>
          <w:color w:val="A8D08D"/>
          <w:spacing w:val="37"/>
          <w:sz w:val="24"/>
        </w:rPr>
        <w:t xml:space="preserve"> </w:t>
      </w:r>
      <w:r>
        <w:rPr>
          <w:color w:val="A8D08D"/>
          <w:sz w:val="24"/>
        </w:rPr>
        <w:t>mesmos</w:t>
      </w:r>
      <w:r>
        <w:rPr>
          <w:color w:val="A8D08D"/>
          <w:spacing w:val="37"/>
          <w:sz w:val="24"/>
        </w:rPr>
        <w:t xml:space="preserve"> </w:t>
      </w:r>
      <w:r>
        <w:rPr>
          <w:color w:val="A8D08D"/>
          <w:sz w:val="24"/>
        </w:rPr>
        <w:t>critérios</w:t>
      </w:r>
      <w:r>
        <w:rPr>
          <w:color w:val="A8D08D"/>
          <w:spacing w:val="37"/>
          <w:sz w:val="24"/>
        </w:rPr>
        <w:t xml:space="preserve"> </w:t>
      </w:r>
      <w:r>
        <w:rPr>
          <w:color w:val="A8D08D"/>
          <w:sz w:val="24"/>
        </w:rPr>
        <w:t>de</w:t>
      </w:r>
      <w:r>
        <w:rPr>
          <w:color w:val="A8D08D"/>
          <w:spacing w:val="24"/>
          <w:sz w:val="24"/>
        </w:rPr>
        <w:t xml:space="preserve"> </w:t>
      </w:r>
      <w:r>
        <w:rPr>
          <w:color w:val="A8D08D"/>
          <w:sz w:val="24"/>
        </w:rPr>
        <w:t>inclusão,</w:t>
      </w:r>
      <w:r>
        <w:rPr>
          <w:color w:val="A8D08D"/>
          <w:spacing w:val="25"/>
          <w:sz w:val="24"/>
        </w:rPr>
        <w:t xml:space="preserve"> </w:t>
      </w:r>
      <w:r>
        <w:rPr>
          <w:color w:val="A8D08D"/>
          <w:sz w:val="24"/>
        </w:rPr>
        <w:t>exceto</w:t>
      </w:r>
      <w:r>
        <w:rPr>
          <w:color w:val="A8D08D"/>
          <w:spacing w:val="26"/>
          <w:sz w:val="24"/>
        </w:rPr>
        <w:t xml:space="preserve"> </w:t>
      </w:r>
      <w:r>
        <w:rPr>
          <w:color w:val="A8D08D"/>
          <w:spacing w:val="-10"/>
          <w:sz w:val="24"/>
        </w:rPr>
        <w:t>a</w:t>
      </w:r>
    </w:p>
    <w:p w14:paraId="601D4702" w14:textId="77777777" w:rsidR="00CD6054" w:rsidRDefault="00A44E92">
      <w:pPr>
        <w:pStyle w:val="BodyText"/>
        <w:spacing w:before="128"/>
        <w:ind w:left="1318"/>
        <w:jc w:val="both"/>
      </w:pPr>
      <w:r>
        <w:rPr>
          <w:color w:val="A8D08D"/>
        </w:rPr>
        <w:t>presença</w:t>
      </w:r>
      <w:r>
        <w:rPr>
          <w:color w:val="A8D08D"/>
          <w:spacing w:val="12"/>
        </w:rPr>
        <w:t xml:space="preserve"> </w:t>
      </w:r>
      <w:r>
        <w:rPr>
          <w:color w:val="A8D08D"/>
        </w:rPr>
        <w:t>de DRC,</w:t>
      </w:r>
      <w:r>
        <w:rPr>
          <w:color w:val="A8D08D"/>
          <w:spacing w:val="1"/>
        </w:rPr>
        <w:t xml:space="preserve"> </w:t>
      </w:r>
      <w:r>
        <w:rPr>
          <w:color w:val="A8D08D"/>
        </w:rPr>
        <w:t>e</w:t>
      </w:r>
      <w:r>
        <w:rPr>
          <w:color w:val="A8D08D"/>
          <w:spacing w:val="-1"/>
        </w:rPr>
        <w:t xml:space="preserve"> </w:t>
      </w:r>
      <w:r>
        <w:rPr>
          <w:color w:val="A8D08D"/>
        </w:rPr>
        <w:t>serão</w:t>
      </w:r>
      <w:r>
        <w:rPr>
          <w:color w:val="A8D08D"/>
          <w:spacing w:val="2"/>
        </w:rPr>
        <w:t xml:space="preserve"> </w:t>
      </w:r>
      <w:r>
        <w:rPr>
          <w:color w:val="A8D08D"/>
        </w:rPr>
        <w:t>pareados</w:t>
      </w:r>
      <w:r>
        <w:rPr>
          <w:color w:val="A8D08D"/>
          <w:spacing w:val="-3"/>
        </w:rPr>
        <w:t xml:space="preserve"> </w:t>
      </w:r>
      <w:r>
        <w:rPr>
          <w:color w:val="A8D08D"/>
        </w:rPr>
        <w:t>de acordo</w:t>
      </w:r>
      <w:r>
        <w:rPr>
          <w:color w:val="A8D08D"/>
          <w:spacing w:val="1"/>
        </w:rPr>
        <w:t xml:space="preserve"> </w:t>
      </w:r>
      <w:r>
        <w:rPr>
          <w:color w:val="A8D08D"/>
        </w:rPr>
        <w:t>com</w:t>
      </w:r>
      <w:r>
        <w:rPr>
          <w:color w:val="A8D08D"/>
          <w:spacing w:val="-6"/>
        </w:rPr>
        <w:t xml:space="preserve"> </w:t>
      </w:r>
      <w:r>
        <w:rPr>
          <w:color w:val="A8D08D"/>
        </w:rPr>
        <w:t>idade (+</w:t>
      </w:r>
      <w:r>
        <w:rPr>
          <w:color w:val="A8D08D"/>
          <w:spacing w:val="1"/>
        </w:rPr>
        <w:t xml:space="preserve"> </w:t>
      </w:r>
      <w:r>
        <w:rPr>
          <w:color w:val="A8D08D"/>
        </w:rPr>
        <w:t>ou</w:t>
      </w:r>
      <w:r>
        <w:rPr>
          <w:color w:val="A8D08D"/>
          <w:spacing w:val="14"/>
        </w:rPr>
        <w:t xml:space="preserve"> </w:t>
      </w:r>
      <w:r>
        <w:rPr>
          <w:color w:val="A8D08D"/>
        </w:rPr>
        <w:t>–</w:t>
      </w:r>
      <w:r>
        <w:rPr>
          <w:color w:val="A8D08D"/>
          <w:spacing w:val="1"/>
        </w:rPr>
        <w:t xml:space="preserve"> </w:t>
      </w:r>
      <w:r>
        <w:rPr>
          <w:color w:val="A8D08D"/>
        </w:rPr>
        <w:t>3</w:t>
      </w:r>
      <w:r>
        <w:rPr>
          <w:color w:val="A8D08D"/>
          <w:spacing w:val="2"/>
        </w:rPr>
        <w:t xml:space="preserve"> </w:t>
      </w:r>
      <w:r>
        <w:rPr>
          <w:color w:val="A8D08D"/>
        </w:rPr>
        <w:t>anos)</w:t>
      </w:r>
      <w:r>
        <w:rPr>
          <w:color w:val="A8D08D"/>
          <w:spacing w:val="-5"/>
        </w:rPr>
        <w:t xml:space="preserve"> </w:t>
      </w:r>
      <w:r>
        <w:rPr>
          <w:color w:val="A8D08D"/>
        </w:rPr>
        <w:t xml:space="preserve">e </w:t>
      </w:r>
      <w:r>
        <w:rPr>
          <w:color w:val="A8D08D"/>
          <w:spacing w:val="-2"/>
        </w:rPr>
        <w:t>sexo</w:t>
      </w:r>
      <w:r>
        <w:rPr>
          <w:spacing w:val="-2"/>
        </w:rPr>
        <w:t>.</w:t>
      </w:r>
    </w:p>
    <w:p w14:paraId="749E03AD" w14:textId="77777777" w:rsidR="00CD6054" w:rsidRDefault="00CD6054">
      <w:pPr>
        <w:pStyle w:val="BodyText"/>
      </w:pPr>
    </w:p>
    <w:p w14:paraId="6CFFED58" w14:textId="77777777" w:rsidR="00CD6054" w:rsidRDefault="00CD6054">
      <w:pPr>
        <w:pStyle w:val="BodyText"/>
        <w:spacing w:before="127"/>
      </w:pPr>
    </w:p>
    <w:p w14:paraId="31413F95" w14:textId="77777777" w:rsidR="00CD6054" w:rsidRDefault="00A44E92">
      <w:pPr>
        <w:pStyle w:val="Heading1"/>
        <w:numPr>
          <w:ilvl w:val="1"/>
          <w:numId w:val="7"/>
        </w:numPr>
        <w:tabs>
          <w:tab w:val="left" w:pos="1318"/>
        </w:tabs>
        <w:ind w:hanging="721"/>
      </w:pPr>
      <w:r>
        <w:t>Critérios de</w:t>
      </w:r>
      <w:r>
        <w:rPr>
          <w:spacing w:val="-10"/>
        </w:rPr>
        <w:t xml:space="preserve"> </w:t>
      </w:r>
      <w:r>
        <w:rPr>
          <w:spacing w:val="-2"/>
        </w:rPr>
        <w:t>exclusão:</w:t>
      </w:r>
    </w:p>
    <w:p w14:paraId="2F30FF49" w14:textId="77777777" w:rsidR="00CD6054" w:rsidRDefault="00CD6054">
      <w:pPr>
        <w:sectPr w:rsidR="00CD6054">
          <w:pgSz w:w="11910" w:h="16850"/>
          <w:pgMar w:top="1780" w:right="880" w:bottom="280" w:left="1460" w:header="720" w:footer="720" w:gutter="0"/>
          <w:cols w:space="720"/>
        </w:sectPr>
      </w:pPr>
    </w:p>
    <w:p w14:paraId="05BE6A4A" w14:textId="77777777" w:rsidR="00CD6054" w:rsidRDefault="00A44E92">
      <w:pPr>
        <w:pStyle w:val="BodyText"/>
        <w:spacing w:before="68" w:line="352" w:lineRule="auto"/>
        <w:ind w:left="236" w:right="257" w:firstLine="706"/>
        <w:jc w:val="both"/>
      </w:pPr>
      <w:r>
        <w:lastRenderedPageBreak/>
        <w:t>Mulheres gestantes; paciente que realizou tratamento periodontal nos últimos seis meses;</w:t>
      </w:r>
      <w:r>
        <w:rPr>
          <w:spacing w:val="40"/>
        </w:rPr>
        <w:t xml:space="preserve"> </w:t>
      </w:r>
      <w:r>
        <w:t>pacientes fumantes ou ex-fumantes há menos de 5 anos.</w:t>
      </w:r>
    </w:p>
    <w:p w14:paraId="75005965" w14:textId="77777777" w:rsidR="00CD6054" w:rsidRDefault="00A44E92">
      <w:pPr>
        <w:pStyle w:val="Heading1"/>
        <w:numPr>
          <w:ilvl w:val="1"/>
          <w:numId w:val="7"/>
        </w:numPr>
        <w:tabs>
          <w:tab w:val="left" w:pos="1318"/>
        </w:tabs>
        <w:spacing w:before="254"/>
        <w:ind w:hanging="721"/>
      </w:pPr>
      <w:r>
        <w:t>Avaliação</w:t>
      </w:r>
      <w:r>
        <w:rPr>
          <w:spacing w:val="6"/>
        </w:rPr>
        <w:t xml:space="preserve"> </w:t>
      </w:r>
      <w:r>
        <w:t>de</w:t>
      </w:r>
      <w:r>
        <w:rPr>
          <w:spacing w:val="-8"/>
        </w:rPr>
        <w:t xml:space="preserve"> </w:t>
      </w:r>
      <w:r>
        <w:t>Hábitos</w:t>
      </w:r>
      <w:r>
        <w:rPr>
          <w:spacing w:val="4"/>
        </w:rPr>
        <w:t xml:space="preserve"> </w:t>
      </w:r>
      <w:r>
        <w:t>de</w:t>
      </w:r>
      <w:r>
        <w:rPr>
          <w:spacing w:val="-8"/>
        </w:rPr>
        <w:t xml:space="preserve"> </w:t>
      </w:r>
      <w:r>
        <w:rPr>
          <w:spacing w:val="-2"/>
        </w:rPr>
        <w:t>Saúde:</w:t>
      </w:r>
    </w:p>
    <w:p w14:paraId="29726098" w14:textId="77777777" w:rsidR="00CD6054" w:rsidRDefault="00CD6054">
      <w:pPr>
        <w:pStyle w:val="BodyText"/>
        <w:rPr>
          <w:b/>
        </w:rPr>
      </w:pPr>
    </w:p>
    <w:p w14:paraId="23F06616" w14:textId="77777777" w:rsidR="00CD6054" w:rsidRDefault="00CD6054">
      <w:pPr>
        <w:pStyle w:val="BodyText"/>
        <w:spacing w:before="28"/>
        <w:rPr>
          <w:b/>
        </w:rPr>
      </w:pPr>
    </w:p>
    <w:p w14:paraId="58891CAD" w14:textId="77777777" w:rsidR="00CD6054" w:rsidRDefault="00A44E92">
      <w:pPr>
        <w:pStyle w:val="BodyText"/>
        <w:spacing w:line="357" w:lineRule="auto"/>
        <w:ind w:left="236" w:right="252" w:firstLine="706"/>
        <w:jc w:val="both"/>
      </w:pPr>
      <w:r>
        <w:t>O paciente responderá a um questionário, em forma de entrevista, contendo questões sobre dados pessoais, hábitos de</w:t>
      </w:r>
      <w:r>
        <w:rPr>
          <w:spacing w:val="-4"/>
        </w:rPr>
        <w:t xml:space="preserve"> </w:t>
      </w:r>
      <w:r>
        <w:t>higiene</w:t>
      </w:r>
      <w:r>
        <w:rPr>
          <w:spacing w:val="-4"/>
        </w:rPr>
        <w:t xml:space="preserve"> </w:t>
      </w:r>
      <w:r>
        <w:t>bucal,</w:t>
      </w:r>
      <w:r>
        <w:rPr>
          <w:spacing w:val="-2"/>
        </w:rPr>
        <w:t xml:space="preserve"> </w:t>
      </w:r>
      <w:r>
        <w:t>frequência</w:t>
      </w:r>
      <w:r>
        <w:rPr>
          <w:spacing w:val="-4"/>
        </w:rPr>
        <w:t xml:space="preserve"> </w:t>
      </w:r>
      <w:r>
        <w:t>de</w:t>
      </w:r>
      <w:r>
        <w:rPr>
          <w:spacing w:val="-4"/>
        </w:rPr>
        <w:t xml:space="preserve"> </w:t>
      </w:r>
      <w:r>
        <w:t>escovação,</w:t>
      </w:r>
      <w:r>
        <w:rPr>
          <w:spacing w:val="-2"/>
        </w:rPr>
        <w:t xml:space="preserve"> </w:t>
      </w:r>
      <w:r>
        <w:t>frequência</w:t>
      </w:r>
      <w:r>
        <w:rPr>
          <w:spacing w:val="-4"/>
        </w:rPr>
        <w:t xml:space="preserve"> </w:t>
      </w:r>
      <w:r>
        <w:t>do</w:t>
      </w:r>
      <w:r>
        <w:rPr>
          <w:spacing w:val="-2"/>
        </w:rPr>
        <w:t xml:space="preserve"> </w:t>
      </w:r>
      <w:r>
        <w:t>uso</w:t>
      </w:r>
      <w:r>
        <w:rPr>
          <w:spacing w:val="-2"/>
        </w:rPr>
        <w:t xml:space="preserve"> </w:t>
      </w:r>
      <w:r>
        <w:t xml:space="preserve">de fio dental, história médica (doenças sistêmicas, tabagismo, medicamentos) e histórico odontológico </w:t>
      </w:r>
      <w:r>
        <w:rPr>
          <w:color w:val="6FAC46"/>
        </w:rPr>
        <w:t>(Anexo 23.1)</w:t>
      </w:r>
      <w:r>
        <w:t>.</w:t>
      </w:r>
    </w:p>
    <w:p w14:paraId="1F1E0C04" w14:textId="77777777" w:rsidR="00CD6054" w:rsidRDefault="00A44E92">
      <w:pPr>
        <w:pStyle w:val="Heading1"/>
        <w:numPr>
          <w:ilvl w:val="1"/>
          <w:numId w:val="7"/>
        </w:numPr>
        <w:tabs>
          <w:tab w:val="left" w:pos="1318"/>
        </w:tabs>
        <w:spacing w:before="247"/>
        <w:ind w:hanging="721"/>
      </w:pPr>
      <w:r>
        <w:t>Avaliação</w:t>
      </w:r>
      <w:r>
        <w:rPr>
          <w:spacing w:val="-3"/>
        </w:rPr>
        <w:t xml:space="preserve"> </w:t>
      </w:r>
      <w:r>
        <w:t>clínica</w:t>
      </w:r>
      <w:r>
        <w:rPr>
          <w:spacing w:val="-3"/>
        </w:rPr>
        <w:t xml:space="preserve"> </w:t>
      </w:r>
      <w:r>
        <w:rPr>
          <w:spacing w:val="-2"/>
        </w:rPr>
        <w:t>odontológica:</w:t>
      </w:r>
    </w:p>
    <w:p w14:paraId="5EBFAFE5" w14:textId="77777777" w:rsidR="00CD6054" w:rsidRDefault="00CD6054">
      <w:pPr>
        <w:pStyle w:val="BodyText"/>
        <w:rPr>
          <w:b/>
        </w:rPr>
      </w:pPr>
    </w:p>
    <w:p w14:paraId="7ACBD81A" w14:textId="77777777" w:rsidR="00CD6054" w:rsidRDefault="00CD6054">
      <w:pPr>
        <w:pStyle w:val="BodyText"/>
        <w:spacing w:before="27"/>
        <w:rPr>
          <w:b/>
        </w:rPr>
      </w:pPr>
    </w:p>
    <w:p w14:paraId="792E5D92" w14:textId="77777777" w:rsidR="00CD6054" w:rsidRDefault="00A44E92">
      <w:pPr>
        <w:pStyle w:val="BodyText"/>
        <w:spacing w:before="1" w:line="357" w:lineRule="auto"/>
        <w:ind w:left="236" w:right="246" w:firstLine="706"/>
        <w:jc w:val="both"/>
      </w:pPr>
      <w:r>
        <w:t>Serão sondados os seis sítios de cada dente presente (mesio-vestibular, vestibular, disto-vestibular, mesio-palatina/lingual, palatino/lingual, disto-palatino/lingual), com a utilização de sonda periodontal milimetrada Carolina do Norte, por um examinador previamente calibrado.</w:t>
      </w:r>
    </w:p>
    <w:p w14:paraId="02C89B43" w14:textId="77777777" w:rsidR="00CD6054" w:rsidRDefault="00A44E92">
      <w:pPr>
        <w:pStyle w:val="BodyText"/>
        <w:spacing w:before="156"/>
        <w:ind w:left="943"/>
        <w:jc w:val="both"/>
      </w:pPr>
      <w:r>
        <w:t>Os</w:t>
      </w:r>
      <w:r>
        <w:rPr>
          <w:spacing w:val="-14"/>
        </w:rPr>
        <w:t xml:space="preserve"> </w:t>
      </w:r>
      <w:r>
        <w:t>seguintes</w:t>
      </w:r>
      <w:r>
        <w:rPr>
          <w:spacing w:val="-13"/>
        </w:rPr>
        <w:t xml:space="preserve"> </w:t>
      </w:r>
      <w:r>
        <w:t>parâmetros</w:t>
      </w:r>
      <w:r>
        <w:rPr>
          <w:spacing w:val="-1"/>
        </w:rPr>
        <w:t xml:space="preserve"> </w:t>
      </w:r>
      <w:r>
        <w:t>clínicos</w:t>
      </w:r>
      <w:r>
        <w:rPr>
          <w:spacing w:val="12"/>
        </w:rPr>
        <w:t xml:space="preserve"> </w:t>
      </w:r>
      <w:r>
        <w:t>serão</w:t>
      </w:r>
      <w:r>
        <w:rPr>
          <w:spacing w:val="2"/>
        </w:rPr>
        <w:t xml:space="preserve"> </w:t>
      </w:r>
      <w:r>
        <w:rPr>
          <w:spacing w:val="-2"/>
        </w:rPr>
        <w:t>avaliados:</w:t>
      </w:r>
    </w:p>
    <w:p w14:paraId="64F8F822" w14:textId="77777777" w:rsidR="00CD6054" w:rsidRDefault="00CD6054">
      <w:pPr>
        <w:pStyle w:val="BodyText"/>
        <w:spacing w:before="31"/>
      </w:pPr>
    </w:p>
    <w:p w14:paraId="3E54234B" w14:textId="77777777" w:rsidR="00CD6054" w:rsidRDefault="00A44E92">
      <w:pPr>
        <w:pStyle w:val="ListParagraph"/>
        <w:numPr>
          <w:ilvl w:val="0"/>
          <w:numId w:val="4"/>
        </w:numPr>
        <w:tabs>
          <w:tab w:val="left" w:pos="1663"/>
        </w:tabs>
        <w:spacing w:before="1" w:line="357" w:lineRule="auto"/>
        <w:ind w:left="1663" w:right="244"/>
        <w:rPr>
          <w:sz w:val="24"/>
        </w:rPr>
      </w:pPr>
      <w:r>
        <w:rPr>
          <w:sz w:val="24"/>
        </w:rPr>
        <w:t>Índice de placa visível: presença (1) ou ausência (0) de placa supragengival, após passar a sonda periodontal levemente ao longo do sulco gengival.</w:t>
      </w:r>
    </w:p>
    <w:p w14:paraId="3CDAD727" w14:textId="77777777" w:rsidR="00CD6054" w:rsidRDefault="00A44E92">
      <w:pPr>
        <w:pStyle w:val="ListParagraph"/>
        <w:numPr>
          <w:ilvl w:val="0"/>
          <w:numId w:val="4"/>
        </w:numPr>
        <w:tabs>
          <w:tab w:val="left" w:pos="1663"/>
        </w:tabs>
        <w:spacing w:before="6" w:line="345" w:lineRule="auto"/>
        <w:ind w:left="1663" w:right="259"/>
        <w:rPr>
          <w:sz w:val="24"/>
        </w:rPr>
      </w:pPr>
      <w:r>
        <w:rPr>
          <w:sz w:val="24"/>
        </w:rPr>
        <w:t>Índice de sangramento gengival (ISG): presença (1) ou ausência (0) de sangramento da gengiva marginal, após passar a sonda periodontal</w:t>
      </w:r>
      <w:r>
        <w:rPr>
          <w:spacing w:val="-2"/>
          <w:sz w:val="24"/>
        </w:rPr>
        <w:t xml:space="preserve"> </w:t>
      </w:r>
      <w:r>
        <w:rPr>
          <w:sz w:val="24"/>
        </w:rPr>
        <w:t>levemente.</w:t>
      </w:r>
    </w:p>
    <w:p w14:paraId="327CC404" w14:textId="77777777" w:rsidR="00CD6054" w:rsidRDefault="00A44E92">
      <w:pPr>
        <w:pStyle w:val="ListParagraph"/>
        <w:numPr>
          <w:ilvl w:val="0"/>
          <w:numId w:val="4"/>
        </w:numPr>
        <w:tabs>
          <w:tab w:val="left" w:pos="1663"/>
        </w:tabs>
        <w:spacing w:before="20" w:line="357" w:lineRule="auto"/>
        <w:ind w:left="1663" w:right="246"/>
        <w:rPr>
          <w:sz w:val="24"/>
        </w:rPr>
      </w:pPr>
      <w:r>
        <w:rPr>
          <w:sz w:val="24"/>
        </w:rPr>
        <w:t>Profundidade de sondagem (PS): distância, em milímetro, entre a margem gengival livre e a porção mais apical sondável</w:t>
      </w:r>
      <w:r>
        <w:rPr>
          <w:spacing w:val="-1"/>
          <w:sz w:val="24"/>
        </w:rPr>
        <w:t xml:space="preserve"> </w:t>
      </w:r>
      <w:r>
        <w:rPr>
          <w:sz w:val="24"/>
        </w:rPr>
        <w:t>do sulco/bolsa periodontal.</w:t>
      </w:r>
    </w:p>
    <w:p w14:paraId="7778A6EA" w14:textId="77777777" w:rsidR="00CD6054" w:rsidRDefault="00A44E92">
      <w:pPr>
        <w:pStyle w:val="ListParagraph"/>
        <w:numPr>
          <w:ilvl w:val="0"/>
          <w:numId w:val="4"/>
        </w:numPr>
        <w:tabs>
          <w:tab w:val="left" w:pos="1663"/>
          <w:tab w:val="left" w:pos="1722"/>
        </w:tabs>
        <w:spacing w:line="357" w:lineRule="auto"/>
        <w:ind w:left="1663" w:right="260"/>
        <w:rPr>
          <w:sz w:val="24"/>
        </w:rPr>
      </w:pPr>
      <w:r>
        <w:rPr>
          <w:sz w:val="24"/>
        </w:rPr>
        <w:tab/>
        <w:t>Nível clínico de inserção: distância, em milímetros, entre a junção cemento esmalte e a porção mais apical sondável do sulco/bolsa periodontal.</w:t>
      </w:r>
    </w:p>
    <w:p w14:paraId="6AA85A90" w14:textId="77777777" w:rsidR="00CD6054" w:rsidRDefault="00A44E92">
      <w:pPr>
        <w:pStyle w:val="ListParagraph"/>
        <w:numPr>
          <w:ilvl w:val="0"/>
          <w:numId w:val="4"/>
        </w:numPr>
        <w:tabs>
          <w:tab w:val="left" w:pos="1663"/>
        </w:tabs>
        <w:spacing w:line="345" w:lineRule="auto"/>
        <w:ind w:left="1663" w:right="260"/>
        <w:rPr>
          <w:sz w:val="24"/>
        </w:rPr>
      </w:pPr>
      <w:r>
        <w:rPr>
          <w:sz w:val="24"/>
        </w:rPr>
        <w:t>Sangramento a sondagem (SS): presença (1) ou ausência (0) de sangramento, espontâneo ou após 20 segundos da sondagem com a sonda periodontal.</w:t>
      </w:r>
    </w:p>
    <w:p w14:paraId="57A73462" w14:textId="77777777" w:rsidR="00CD6054" w:rsidRDefault="00A44E92">
      <w:pPr>
        <w:pStyle w:val="ListParagraph"/>
        <w:numPr>
          <w:ilvl w:val="0"/>
          <w:numId w:val="4"/>
        </w:numPr>
        <w:tabs>
          <w:tab w:val="left" w:pos="1663"/>
        </w:tabs>
        <w:spacing w:before="18" w:line="357" w:lineRule="auto"/>
        <w:ind w:left="1663" w:right="260"/>
        <w:rPr>
          <w:sz w:val="24"/>
        </w:rPr>
      </w:pPr>
      <w:r>
        <w:rPr>
          <w:sz w:val="24"/>
        </w:rPr>
        <w:t>Supuração: presença (1) ou ausência (0) de supuração espontânea ou após 20 segundos da sondagem.</w:t>
      </w:r>
    </w:p>
    <w:p w14:paraId="449166EC" w14:textId="77777777" w:rsidR="00CD6054" w:rsidRDefault="00A44E92">
      <w:pPr>
        <w:pStyle w:val="ListParagraph"/>
        <w:numPr>
          <w:ilvl w:val="0"/>
          <w:numId w:val="4"/>
        </w:numPr>
        <w:tabs>
          <w:tab w:val="left" w:pos="1663"/>
        </w:tabs>
        <w:spacing w:line="362" w:lineRule="auto"/>
        <w:ind w:left="1663" w:right="258"/>
        <w:rPr>
          <w:sz w:val="24"/>
        </w:rPr>
      </w:pPr>
      <w:r>
        <w:rPr>
          <w:sz w:val="24"/>
        </w:rPr>
        <w:t>Lesão de furca: sem comprometimento de furca (0), penetração da</w:t>
      </w:r>
      <w:r>
        <w:rPr>
          <w:spacing w:val="-3"/>
          <w:sz w:val="24"/>
        </w:rPr>
        <w:t xml:space="preserve"> </w:t>
      </w:r>
      <w:r>
        <w:rPr>
          <w:sz w:val="24"/>
        </w:rPr>
        <w:t>sonda</w:t>
      </w:r>
      <w:r>
        <w:rPr>
          <w:spacing w:val="-3"/>
          <w:sz w:val="24"/>
        </w:rPr>
        <w:t xml:space="preserve"> </w:t>
      </w:r>
      <w:r>
        <w:rPr>
          <w:sz w:val="24"/>
        </w:rPr>
        <w:t>até</w:t>
      </w:r>
      <w:r>
        <w:rPr>
          <w:spacing w:val="-3"/>
          <w:sz w:val="24"/>
        </w:rPr>
        <w:t xml:space="preserve"> </w:t>
      </w:r>
      <w:r>
        <w:rPr>
          <w:sz w:val="24"/>
        </w:rPr>
        <w:t>3 mm horizontalmente (1), penetração da sonda mais de 3mm horizontalmente (2), a sonda atravessa para o outro lado (3).</w:t>
      </w:r>
    </w:p>
    <w:p w14:paraId="192644FA" w14:textId="77777777" w:rsidR="00CD6054" w:rsidRDefault="00CD6054">
      <w:pPr>
        <w:spacing w:line="362" w:lineRule="auto"/>
        <w:jc w:val="both"/>
        <w:rPr>
          <w:sz w:val="24"/>
        </w:rPr>
        <w:sectPr w:rsidR="00CD6054">
          <w:pgSz w:w="11910" w:h="16850"/>
          <w:pgMar w:top="1640" w:right="880" w:bottom="280" w:left="1460" w:header="720" w:footer="720" w:gutter="0"/>
          <w:cols w:space="720"/>
        </w:sectPr>
      </w:pPr>
    </w:p>
    <w:p w14:paraId="6C30EB1B" w14:textId="77777777" w:rsidR="00CD6054" w:rsidRDefault="00A44E92">
      <w:pPr>
        <w:pStyle w:val="ListParagraph"/>
        <w:numPr>
          <w:ilvl w:val="0"/>
          <w:numId w:val="4"/>
        </w:numPr>
        <w:tabs>
          <w:tab w:val="left" w:pos="1663"/>
        </w:tabs>
        <w:spacing w:before="85" w:line="362" w:lineRule="auto"/>
        <w:ind w:left="1663" w:right="252"/>
        <w:rPr>
          <w:sz w:val="24"/>
        </w:rPr>
      </w:pPr>
      <w:r>
        <w:rPr>
          <w:sz w:val="24"/>
        </w:rPr>
        <w:lastRenderedPageBreak/>
        <w:t>Mobilidade: sem mobilidade fisiológica (0), até 1 mm no sentido horizontal</w:t>
      </w:r>
      <w:r>
        <w:rPr>
          <w:spacing w:val="40"/>
          <w:sz w:val="24"/>
        </w:rPr>
        <w:t xml:space="preserve"> </w:t>
      </w:r>
      <w:r>
        <w:rPr>
          <w:sz w:val="24"/>
        </w:rPr>
        <w:t>(1), maior que 1 mm no sentido horizontal (2), direção horizontal e vertical, quando avaliado com o cabo do espelho e o cabo da sonda periodontal.</w:t>
      </w:r>
    </w:p>
    <w:p w14:paraId="2BB8652B" w14:textId="77777777" w:rsidR="00CD6054" w:rsidRDefault="00A44E92">
      <w:pPr>
        <w:pStyle w:val="ListParagraph"/>
        <w:numPr>
          <w:ilvl w:val="0"/>
          <w:numId w:val="4"/>
        </w:numPr>
        <w:tabs>
          <w:tab w:val="left" w:pos="1663"/>
        </w:tabs>
        <w:spacing w:line="263" w:lineRule="exact"/>
        <w:ind w:left="1663" w:hanging="360"/>
        <w:jc w:val="left"/>
        <w:rPr>
          <w:sz w:val="24"/>
        </w:rPr>
      </w:pPr>
      <w:r>
        <w:rPr>
          <w:sz w:val="24"/>
        </w:rPr>
        <w:t>Índice</w:t>
      </w:r>
      <w:r>
        <w:rPr>
          <w:spacing w:val="21"/>
          <w:sz w:val="24"/>
        </w:rPr>
        <w:t xml:space="preserve"> </w:t>
      </w:r>
      <w:r>
        <w:rPr>
          <w:sz w:val="24"/>
        </w:rPr>
        <w:t>CPO-</w:t>
      </w:r>
      <w:r>
        <w:rPr>
          <w:spacing w:val="-5"/>
          <w:sz w:val="24"/>
        </w:rPr>
        <w:t>D.</w:t>
      </w:r>
    </w:p>
    <w:p w14:paraId="5C0DEDEC" w14:textId="77777777" w:rsidR="00CD6054" w:rsidRDefault="00CD6054">
      <w:pPr>
        <w:pStyle w:val="BodyText"/>
        <w:spacing w:before="123"/>
      </w:pPr>
    </w:p>
    <w:p w14:paraId="1D6D65A1" w14:textId="77777777" w:rsidR="00CD6054" w:rsidRDefault="00A44E92">
      <w:pPr>
        <w:pStyle w:val="Heading1"/>
        <w:numPr>
          <w:ilvl w:val="1"/>
          <w:numId w:val="7"/>
        </w:numPr>
        <w:tabs>
          <w:tab w:val="left" w:pos="1318"/>
        </w:tabs>
        <w:ind w:hanging="721"/>
      </w:pPr>
      <w:r>
        <w:t>Coleta</w:t>
      </w:r>
      <w:r>
        <w:rPr>
          <w:spacing w:val="-9"/>
        </w:rPr>
        <w:t xml:space="preserve"> </w:t>
      </w:r>
      <w:r>
        <w:rPr>
          <w:spacing w:val="-2"/>
        </w:rPr>
        <w:t>salivar:</w:t>
      </w:r>
    </w:p>
    <w:p w14:paraId="08E0A4BD" w14:textId="77777777" w:rsidR="00CD6054" w:rsidRDefault="00CD6054">
      <w:pPr>
        <w:pStyle w:val="BodyText"/>
        <w:rPr>
          <w:b/>
        </w:rPr>
      </w:pPr>
    </w:p>
    <w:p w14:paraId="2D1C9292" w14:textId="77777777" w:rsidR="00CD6054" w:rsidRDefault="00CD6054">
      <w:pPr>
        <w:pStyle w:val="BodyText"/>
        <w:spacing w:before="28"/>
        <w:rPr>
          <w:b/>
        </w:rPr>
      </w:pPr>
    </w:p>
    <w:p w14:paraId="3C2FAF73" w14:textId="77777777" w:rsidR="00CD6054" w:rsidRDefault="00A44E92">
      <w:pPr>
        <w:pStyle w:val="BodyText"/>
        <w:spacing w:line="357" w:lineRule="auto"/>
        <w:ind w:left="236" w:right="244" w:firstLine="706"/>
        <w:jc w:val="both"/>
      </w:pPr>
      <w:r>
        <w:t>As amostras de saliva serão coletadas para avaliação</w:t>
      </w:r>
      <w:r>
        <w:rPr>
          <w:spacing w:val="-5"/>
        </w:rPr>
        <w:t xml:space="preserve"> </w:t>
      </w:r>
      <w:r>
        <w:t>do</w:t>
      </w:r>
      <w:r>
        <w:rPr>
          <w:spacing w:val="-5"/>
        </w:rPr>
        <w:t xml:space="preserve"> </w:t>
      </w:r>
      <w:r>
        <w:t>DNA genômico,</w:t>
      </w:r>
      <w:r>
        <w:rPr>
          <w:spacing w:val="-5"/>
        </w:rPr>
        <w:t xml:space="preserve"> </w:t>
      </w:r>
      <w:r>
        <w:t>fluxo</w:t>
      </w:r>
      <w:r>
        <w:rPr>
          <w:spacing w:val="-5"/>
        </w:rPr>
        <w:t xml:space="preserve"> </w:t>
      </w:r>
      <w:r>
        <w:t>salivar, pH, ureia, amilase salivar e proteínas totais. Serão coletadas</w:t>
      </w:r>
      <w:r>
        <w:rPr>
          <w:spacing w:val="-11"/>
        </w:rPr>
        <w:t xml:space="preserve"> </w:t>
      </w:r>
      <w:r>
        <w:t>amostras</w:t>
      </w:r>
      <w:r>
        <w:rPr>
          <w:spacing w:val="-11"/>
        </w:rPr>
        <w:t xml:space="preserve"> </w:t>
      </w:r>
      <w:r>
        <w:t>de</w:t>
      </w:r>
      <w:r>
        <w:rPr>
          <w:spacing w:val="-9"/>
        </w:rPr>
        <w:t xml:space="preserve"> </w:t>
      </w:r>
      <w:r>
        <w:t>saliva</w:t>
      </w:r>
      <w:r>
        <w:rPr>
          <w:spacing w:val="-9"/>
        </w:rPr>
        <w:t xml:space="preserve"> </w:t>
      </w:r>
      <w:r>
        <w:t>em</w:t>
      </w:r>
      <w:r>
        <w:rPr>
          <w:spacing w:val="-13"/>
        </w:rPr>
        <w:t xml:space="preserve"> </w:t>
      </w:r>
      <w:r>
        <w:t>microtubos de 1,5 mL. Os participantes não poderão ingerir bebida nem alimentos uma hora antes da coleta. As amostras serão</w:t>
      </w:r>
      <w:r>
        <w:rPr>
          <w:spacing w:val="-3"/>
        </w:rPr>
        <w:t xml:space="preserve"> </w:t>
      </w:r>
      <w:r>
        <w:t>coletadas</w:t>
      </w:r>
      <w:r>
        <w:rPr>
          <w:spacing w:val="-7"/>
        </w:rPr>
        <w:t xml:space="preserve"> </w:t>
      </w:r>
      <w:r>
        <w:t>pedindo</w:t>
      </w:r>
      <w:r>
        <w:rPr>
          <w:spacing w:val="-3"/>
        </w:rPr>
        <w:t xml:space="preserve"> </w:t>
      </w:r>
      <w:r>
        <w:t>ao</w:t>
      </w:r>
      <w:r>
        <w:rPr>
          <w:spacing w:val="-3"/>
        </w:rPr>
        <w:t xml:space="preserve"> </w:t>
      </w:r>
      <w:r>
        <w:t>indivíduo</w:t>
      </w:r>
      <w:r>
        <w:rPr>
          <w:spacing w:val="-3"/>
        </w:rPr>
        <w:t xml:space="preserve"> </w:t>
      </w:r>
      <w:r>
        <w:t>que</w:t>
      </w:r>
      <w:r>
        <w:rPr>
          <w:spacing w:val="-5"/>
        </w:rPr>
        <w:t xml:space="preserve"> </w:t>
      </w:r>
      <w:r>
        <w:t>primeiro</w:t>
      </w:r>
      <w:r>
        <w:rPr>
          <w:spacing w:val="-3"/>
        </w:rPr>
        <w:t xml:space="preserve"> </w:t>
      </w:r>
      <w:r>
        <w:t>faça</w:t>
      </w:r>
      <w:r>
        <w:rPr>
          <w:spacing w:val="-5"/>
        </w:rPr>
        <w:t xml:space="preserve"> </w:t>
      </w:r>
      <w:r>
        <w:t>um</w:t>
      </w:r>
      <w:r>
        <w:rPr>
          <w:spacing w:val="-10"/>
        </w:rPr>
        <w:t xml:space="preserve"> </w:t>
      </w:r>
      <w:r>
        <w:t>bochecho</w:t>
      </w:r>
      <w:r>
        <w:rPr>
          <w:spacing w:val="-3"/>
        </w:rPr>
        <w:t xml:space="preserve"> </w:t>
      </w:r>
      <w:r>
        <w:t>com soro fisiológico 0,5 e em seguida</w:t>
      </w:r>
      <w:r>
        <w:rPr>
          <w:spacing w:val="-7"/>
        </w:rPr>
        <w:t xml:space="preserve"> </w:t>
      </w:r>
      <w:r>
        <w:t>descarte</w:t>
      </w:r>
      <w:r>
        <w:rPr>
          <w:spacing w:val="-7"/>
        </w:rPr>
        <w:t xml:space="preserve"> </w:t>
      </w:r>
      <w:r>
        <w:t>e</w:t>
      </w:r>
      <w:r>
        <w:rPr>
          <w:spacing w:val="-7"/>
        </w:rPr>
        <w:t xml:space="preserve"> </w:t>
      </w:r>
      <w:r>
        <w:t>expectore</w:t>
      </w:r>
      <w:r>
        <w:rPr>
          <w:spacing w:val="-7"/>
        </w:rPr>
        <w:t xml:space="preserve"> </w:t>
      </w:r>
      <w:r>
        <w:t>saliva</w:t>
      </w:r>
      <w:r>
        <w:rPr>
          <w:spacing w:val="-7"/>
        </w:rPr>
        <w:t xml:space="preserve"> </w:t>
      </w:r>
      <w:r>
        <w:t>num pote</w:t>
      </w:r>
      <w:r>
        <w:rPr>
          <w:spacing w:val="-7"/>
        </w:rPr>
        <w:t xml:space="preserve"> </w:t>
      </w:r>
      <w:r>
        <w:t>Falcon.</w:t>
      </w:r>
      <w:r>
        <w:rPr>
          <w:spacing w:val="-5"/>
        </w:rPr>
        <w:t xml:space="preserve"> </w:t>
      </w:r>
      <w:r>
        <w:t>Com</w:t>
      </w:r>
      <w:r>
        <w:rPr>
          <w:spacing w:val="-11"/>
        </w:rPr>
        <w:t xml:space="preserve"> </w:t>
      </w:r>
      <w:r>
        <w:t>auxílio</w:t>
      </w:r>
      <w:r>
        <w:rPr>
          <w:spacing w:val="-5"/>
        </w:rPr>
        <w:t xml:space="preserve"> </w:t>
      </w:r>
      <w:r>
        <w:t>de uma micropipeta de 1000 µL serão transferidos 200 µL de saliva para um eppendorf de 1,5 mL. Para minimizar a degradação de proteínas será adicionado 25 µL de</w:t>
      </w:r>
      <w:r>
        <w:rPr>
          <w:spacing w:val="-4"/>
        </w:rPr>
        <w:t xml:space="preserve"> </w:t>
      </w:r>
      <w:r>
        <w:t>inibidor</w:t>
      </w:r>
      <w:r>
        <w:rPr>
          <w:spacing w:val="-8"/>
        </w:rPr>
        <w:t xml:space="preserve"> </w:t>
      </w:r>
      <w:r>
        <w:t>de</w:t>
      </w:r>
      <w:r>
        <w:rPr>
          <w:spacing w:val="-4"/>
        </w:rPr>
        <w:t xml:space="preserve"> </w:t>
      </w:r>
      <w:r>
        <w:t>protease (P2714-1 BTL Sigma-Aldrich) em cada amostra de 200 µL</w:t>
      </w:r>
      <w:r>
        <w:rPr>
          <w:spacing w:val="-1"/>
        </w:rPr>
        <w:t xml:space="preserve"> </w:t>
      </w:r>
      <w:r>
        <w:t>de</w:t>
      </w:r>
      <w:r>
        <w:rPr>
          <w:spacing w:val="-6"/>
        </w:rPr>
        <w:t xml:space="preserve"> </w:t>
      </w:r>
      <w:r>
        <w:t>saliva.</w:t>
      </w:r>
      <w:r>
        <w:rPr>
          <w:spacing w:val="-4"/>
        </w:rPr>
        <w:t xml:space="preserve"> </w:t>
      </w:r>
      <w:r>
        <w:t>Em</w:t>
      </w:r>
      <w:r>
        <w:rPr>
          <w:spacing w:val="-10"/>
        </w:rPr>
        <w:t xml:space="preserve"> </w:t>
      </w:r>
      <w:r>
        <w:t>seguida</w:t>
      </w:r>
      <w:r>
        <w:rPr>
          <w:spacing w:val="-6"/>
        </w:rPr>
        <w:t xml:space="preserve"> </w:t>
      </w:r>
      <w:r>
        <w:t>as</w:t>
      </w:r>
      <w:r>
        <w:rPr>
          <w:spacing w:val="-8"/>
        </w:rPr>
        <w:t xml:space="preserve"> </w:t>
      </w:r>
      <w:r>
        <w:t>amostras serão armazenadas em bolsa térmica com gelo e levadas ao laboratório (UFPR, Curitiba, Paraná). As amostras serão centrifugadas a 3000 rpm por 5 minutos a 4º C para remoção de células e debris e o sobrenadante será aliquotado para amostras estocadas a -80ºC até o momento da análise.</w:t>
      </w:r>
    </w:p>
    <w:p w14:paraId="0C6AA267" w14:textId="77777777" w:rsidR="00CD6054" w:rsidRDefault="00CD6054">
      <w:pPr>
        <w:pStyle w:val="BodyText"/>
      </w:pPr>
    </w:p>
    <w:p w14:paraId="71E4F1CD" w14:textId="77777777" w:rsidR="00CD6054" w:rsidRDefault="00CD6054">
      <w:pPr>
        <w:pStyle w:val="BodyText"/>
      </w:pPr>
    </w:p>
    <w:p w14:paraId="771D4200" w14:textId="77777777" w:rsidR="00CD6054" w:rsidRDefault="00CD6054">
      <w:pPr>
        <w:pStyle w:val="BodyText"/>
        <w:spacing w:before="18"/>
      </w:pPr>
    </w:p>
    <w:p w14:paraId="3879F602" w14:textId="77777777" w:rsidR="00CD6054" w:rsidRDefault="00A44E92">
      <w:pPr>
        <w:pStyle w:val="Heading1"/>
        <w:numPr>
          <w:ilvl w:val="1"/>
          <w:numId w:val="7"/>
        </w:numPr>
        <w:tabs>
          <w:tab w:val="left" w:pos="1318"/>
        </w:tabs>
        <w:ind w:hanging="721"/>
      </w:pPr>
      <w:r>
        <w:t>Coleta</w:t>
      </w:r>
      <w:r>
        <w:rPr>
          <w:spacing w:val="-8"/>
        </w:rPr>
        <w:t xml:space="preserve"> </w:t>
      </w:r>
      <w:r>
        <w:t>de</w:t>
      </w:r>
      <w:r>
        <w:rPr>
          <w:spacing w:val="-9"/>
        </w:rPr>
        <w:t xml:space="preserve"> </w:t>
      </w:r>
      <w:r>
        <w:t>fluído</w:t>
      </w:r>
      <w:r>
        <w:rPr>
          <w:spacing w:val="5"/>
        </w:rPr>
        <w:t xml:space="preserve"> </w:t>
      </w:r>
      <w:r>
        <w:t>crevicular</w:t>
      </w:r>
      <w:r>
        <w:rPr>
          <w:spacing w:val="5"/>
        </w:rPr>
        <w:t xml:space="preserve"> </w:t>
      </w:r>
      <w:r>
        <w:rPr>
          <w:spacing w:val="-2"/>
        </w:rPr>
        <w:t>gengival:</w:t>
      </w:r>
    </w:p>
    <w:p w14:paraId="39DF75E1" w14:textId="77777777" w:rsidR="00CD6054" w:rsidRDefault="00CD6054">
      <w:pPr>
        <w:pStyle w:val="BodyText"/>
        <w:rPr>
          <w:b/>
        </w:rPr>
      </w:pPr>
    </w:p>
    <w:p w14:paraId="4CBA19B2" w14:textId="77777777" w:rsidR="00CD6054" w:rsidRDefault="00CD6054">
      <w:pPr>
        <w:pStyle w:val="BodyText"/>
        <w:spacing w:before="12"/>
        <w:rPr>
          <w:b/>
        </w:rPr>
      </w:pPr>
    </w:p>
    <w:p w14:paraId="1A789D27" w14:textId="77777777" w:rsidR="00CD6054" w:rsidRDefault="00A44E92">
      <w:pPr>
        <w:pStyle w:val="BodyText"/>
        <w:spacing w:line="360" w:lineRule="auto"/>
        <w:ind w:left="236" w:right="246" w:firstLine="706"/>
        <w:jc w:val="both"/>
      </w:pPr>
      <w:r>
        <w:t>A avaliação dos mediadores inflamatórios no fluído gengival tem sido proposto para investigação molecular da patogênese das doenças periodontais e para avaliação da resposta imune do hospedeiro [FERES et al., 2001; SOCRANSKY &amp; HAFFAJEE, 2005]. O fluído crevicular gengival (FCG) será coletado no início, 3 meses e 6 meses, no qual será</w:t>
      </w:r>
      <w:r>
        <w:rPr>
          <w:spacing w:val="40"/>
        </w:rPr>
        <w:t xml:space="preserve"> </w:t>
      </w:r>
      <w:r>
        <w:t>selecionado</w:t>
      </w:r>
      <w:r>
        <w:rPr>
          <w:spacing w:val="12"/>
        </w:rPr>
        <w:t xml:space="preserve"> </w:t>
      </w:r>
      <w:r>
        <w:t>4</w:t>
      </w:r>
      <w:r>
        <w:rPr>
          <w:spacing w:val="12"/>
        </w:rPr>
        <w:t xml:space="preserve"> </w:t>
      </w:r>
      <w:r>
        <w:t>sítios</w:t>
      </w:r>
      <w:r>
        <w:rPr>
          <w:spacing w:val="13"/>
        </w:rPr>
        <w:t xml:space="preserve"> </w:t>
      </w:r>
      <w:r>
        <w:t>–</w:t>
      </w:r>
      <w:r>
        <w:rPr>
          <w:spacing w:val="13"/>
        </w:rPr>
        <w:t xml:space="preserve"> </w:t>
      </w:r>
      <w:r>
        <w:t>2</w:t>
      </w:r>
      <w:r>
        <w:rPr>
          <w:spacing w:val="12"/>
        </w:rPr>
        <w:t xml:space="preserve"> </w:t>
      </w:r>
      <w:r>
        <w:t>sítios doentes (NIC</w:t>
      </w:r>
      <w:r>
        <w:rPr>
          <w:spacing w:val="17"/>
        </w:rPr>
        <w:t xml:space="preserve"> </w:t>
      </w:r>
      <w:r>
        <w:t>e</w:t>
      </w:r>
      <w:r>
        <w:rPr>
          <w:spacing w:val="-3"/>
        </w:rPr>
        <w:t xml:space="preserve"> </w:t>
      </w:r>
      <w:r>
        <w:t>PS ≥ 5mm,</w:t>
      </w:r>
      <w:r>
        <w:rPr>
          <w:spacing w:val="-1"/>
        </w:rPr>
        <w:t xml:space="preserve"> </w:t>
      </w:r>
      <w:r>
        <w:t>SS e</w:t>
      </w:r>
      <w:r>
        <w:rPr>
          <w:spacing w:val="-3"/>
        </w:rPr>
        <w:t xml:space="preserve"> </w:t>
      </w:r>
      <w:r>
        <w:t>SEM</w:t>
      </w:r>
      <w:r>
        <w:rPr>
          <w:spacing w:val="-4"/>
        </w:rPr>
        <w:t xml:space="preserve"> </w:t>
      </w:r>
      <w:r>
        <w:t>envolvimento</w:t>
      </w:r>
      <w:r>
        <w:rPr>
          <w:spacing w:val="-1"/>
        </w:rPr>
        <w:t xml:space="preserve"> </w:t>
      </w:r>
      <w:r>
        <w:t>de</w:t>
      </w:r>
      <w:r>
        <w:rPr>
          <w:spacing w:val="-3"/>
        </w:rPr>
        <w:t xml:space="preserve"> </w:t>
      </w:r>
      <w:r>
        <w:t>furca)</w:t>
      </w:r>
      <w:r>
        <w:rPr>
          <w:spacing w:val="-7"/>
        </w:rPr>
        <w:t xml:space="preserve"> </w:t>
      </w:r>
      <w:r>
        <w:t xml:space="preserve">e 2 sítios saudáveis (NIC e PS ≤ 3mm, sem SS e/ou SG) – que serão isolados com roletes de algodão e suavemente secos com jatos de ar para eliminar a possibilidade de contaminação salivar, e serão processadas pela técnica </w:t>
      </w:r>
      <w:r>
        <w:rPr>
          <w:i/>
        </w:rPr>
        <w:t>Imunoensaio multiplex</w:t>
      </w:r>
      <w:r>
        <w:t>. Utilizaremos o Periopaper,</w:t>
      </w:r>
      <w:r>
        <w:rPr>
          <w:spacing w:val="40"/>
        </w:rPr>
        <w:t xml:space="preserve"> </w:t>
      </w:r>
      <w:r>
        <w:t>no qual a parte branca do Periopaper deve ser inserida (aproximadamente 2 mm) no sulco gengival por 20 segundos, após 10 segundos, remover e guardar nos tubos secos e armazenar</w:t>
      </w:r>
      <w:r>
        <w:rPr>
          <w:spacing w:val="40"/>
        </w:rPr>
        <w:t xml:space="preserve"> </w:t>
      </w:r>
      <w:r>
        <w:t>a -80ºC. As tiras visualmente</w:t>
      </w:r>
      <w:r>
        <w:rPr>
          <w:spacing w:val="40"/>
        </w:rPr>
        <w:t xml:space="preserve"> </w:t>
      </w:r>
      <w:r>
        <w:t>contaminadas com sangue serão descartadas.</w:t>
      </w:r>
    </w:p>
    <w:p w14:paraId="2031B2B1" w14:textId="77777777" w:rsidR="00CD6054" w:rsidRDefault="00CD6054">
      <w:pPr>
        <w:spacing w:line="360" w:lineRule="auto"/>
        <w:jc w:val="both"/>
        <w:sectPr w:rsidR="00CD6054">
          <w:pgSz w:w="11910" w:h="16850"/>
          <w:pgMar w:top="1620" w:right="880" w:bottom="280" w:left="1460" w:header="720" w:footer="720" w:gutter="0"/>
          <w:cols w:space="720"/>
        </w:sectPr>
      </w:pPr>
    </w:p>
    <w:p w14:paraId="2DA0FBC1" w14:textId="77777777" w:rsidR="00CD6054" w:rsidRDefault="00A44E92">
      <w:pPr>
        <w:pStyle w:val="Heading1"/>
        <w:numPr>
          <w:ilvl w:val="1"/>
          <w:numId w:val="7"/>
        </w:numPr>
        <w:tabs>
          <w:tab w:val="left" w:pos="1318"/>
        </w:tabs>
        <w:spacing w:before="68"/>
        <w:ind w:hanging="721"/>
      </w:pPr>
      <w:r>
        <w:lastRenderedPageBreak/>
        <w:t>Coleta</w:t>
      </w:r>
      <w:r>
        <w:rPr>
          <w:spacing w:val="-4"/>
        </w:rPr>
        <w:t xml:space="preserve"> </w:t>
      </w:r>
      <w:r>
        <w:t>do</w:t>
      </w:r>
      <w:r>
        <w:rPr>
          <w:spacing w:val="-4"/>
        </w:rPr>
        <w:t xml:space="preserve"> </w:t>
      </w:r>
      <w:r>
        <w:rPr>
          <w:spacing w:val="-2"/>
        </w:rPr>
        <w:t>biofilme:</w:t>
      </w:r>
    </w:p>
    <w:p w14:paraId="13E6F195" w14:textId="77777777" w:rsidR="00CD6054" w:rsidRDefault="00CD6054">
      <w:pPr>
        <w:pStyle w:val="BodyText"/>
        <w:rPr>
          <w:b/>
        </w:rPr>
      </w:pPr>
    </w:p>
    <w:p w14:paraId="1DCEAC22" w14:textId="77777777" w:rsidR="00CD6054" w:rsidRDefault="00CD6054">
      <w:pPr>
        <w:pStyle w:val="BodyText"/>
        <w:spacing w:before="27"/>
        <w:rPr>
          <w:b/>
        </w:rPr>
      </w:pPr>
    </w:p>
    <w:p w14:paraId="1CAE6760" w14:textId="77777777" w:rsidR="00CD6054" w:rsidRDefault="00A44E92">
      <w:pPr>
        <w:pStyle w:val="BodyText"/>
        <w:spacing w:line="357" w:lineRule="auto"/>
        <w:ind w:left="236" w:right="247" w:firstLine="706"/>
        <w:jc w:val="both"/>
      </w:pPr>
      <w:r>
        <w:t>A avaliação do biofilme dos voluntários será por sequenciamento, 4 sítios (2 de cada categoria</w:t>
      </w:r>
      <w:r>
        <w:rPr>
          <w:spacing w:val="40"/>
        </w:rPr>
        <w:t xml:space="preserve"> </w:t>
      </w:r>
      <w:r>
        <w:t>de</w:t>
      </w:r>
      <w:r>
        <w:rPr>
          <w:spacing w:val="40"/>
        </w:rPr>
        <w:t xml:space="preserve"> </w:t>
      </w:r>
      <w:r>
        <w:t>PS – raso e profundo – definido após o periograma) serão utilizados para a coleta, no qual será removido com a cureta Gracey em um único golpe. Após removido o biofilme, o armazenamento será feito em tubos de eppendorf</w:t>
      </w:r>
      <w:r>
        <w:rPr>
          <w:spacing w:val="40"/>
        </w:rPr>
        <w:t xml:space="preserve"> </w:t>
      </w:r>
      <w:r>
        <w:t xml:space="preserve">com 150 µL de TE RNAze Freed e armazenados a -80ºC [WANG et al., 2021]. </w:t>
      </w:r>
      <w:r>
        <w:rPr>
          <w:color w:val="A8D08D"/>
        </w:rPr>
        <w:t>Esta avaliação será para análise microbiológica a fim de verificar quais espécies estão mais presentes no biofilme bucal de pacientes com ou sem doença renal crônica.</w:t>
      </w:r>
    </w:p>
    <w:p w14:paraId="69C08B3D" w14:textId="77777777" w:rsidR="00CD6054" w:rsidRDefault="00CD6054">
      <w:pPr>
        <w:pStyle w:val="BodyText"/>
      </w:pPr>
    </w:p>
    <w:p w14:paraId="1AAA9A4C" w14:textId="77777777" w:rsidR="00CD6054" w:rsidRDefault="00CD6054">
      <w:pPr>
        <w:pStyle w:val="BodyText"/>
      </w:pPr>
    </w:p>
    <w:p w14:paraId="1DEE281C" w14:textId="77777777" w:rsidR="00CD6054" w:rsidRDefault="00CD6054">
      <w:pPr>
        <w:pStyle w:val="BodyText"/>
        <w:spacing w:before="2"/>
      </w:pPr>
    </w:p>
    <w:p w14:paraId="54856D1F" w14:textId="77777777" w:rsidR="00CD6054" w:rsidRDefault="00A44E92">
      <w:pPr>
        <w:pStyle w:val="Heading1"/>
        <w:numPr>
          <w:ilvl w:val="1"/>
          <w:numId w:val="7"/>
        </w:numPr>
        <w:tabs>
          <w:tab w:val="left" w:pos="1318"/>
        </w:tabs>
        <w:ind w:hanging="721"/>
      </w:pPr>
      <w:r>
        <w:t>Protocolo</w:t>
      </w:r>
      <w:r>
        <w:rPr>
          <w:spacing w:val="6"/>
        </w:rPr>
        <w:t xml:space="preserve"> </w:t>
      </w:r>
      <w:r>
        <w:t>de</w:t>
      </w:r>
      <w:r>
        <w:rPr>
          <w:spacing w:val="-7"/>
        </w:rPr>
        <w:t xml:space="preserve"> </w:t>
      </w:r>
      <w:r>
        <w:rPr>
          <w:spacing w:val="-2"/>
        </w:rPr>
        <w:t>tratamento:</w:t>
      </w:r>
    </w:p>
    <w:p w14:paraId="1DB82BE2" w14:textId="77777777" w:rsidR="00CD6054" w:rsidRDefault="00CD6054">
      <w:pPr>
        <w:pStyle w:val="BodyText"/>
        <w:rPr>
          <w:b/>
        </w:rPr>
      </w:pPr>
    </w:p>
    <w:p w14:paraId="3D784CFA" w14:textId="77777777" w:rsidR="00CD6054" w:rsidRDefault="00CD6054">
      <w:pPr>
        <w:pStyle w:val="BodyText"/>
        <w:spacing w:before="28"/>
        <w:rPr>
          <w:b/>
        </w:rPr>
      </w:pPr>
    </w:p>
    <w:p w14:paraId="4B2DDE6C" w14:textId="77777777" w:rsidR="00CD6054" w:rsidRDefault="00A44E92">
      <w:pPr>
        <w:pStyle w:val="BodyText"/>
        <w:spacing w:line="357" w:lineRule="auto"/>
        <w:ind w:left="236" w:right="242" w:firstLine="706"/>
        <w:jc w:val="both"/>
      </w:pPr>
      <w:r>
        <w:t>Após realizar os exames clínicos periodontais, feito por um examinador previamente calibrado para avaliar os parâmetros de IPV, PS, NIC, SS e SUP, será explicado para os pacientes as informações detalhadas sobre a etiologia da doença periodontal e instruções de higiene bucal. Após a inclusão dos pacientes na pesquisa, os pacientes passarão pelo</w:t>
      </w:r>
      <w:r>
        <w:rPr>
          <w:spacing w:val="-7"/>
        </w:rPr>
        <w:t xml:space="preserve"> </w:t>
      </w:r>
      <w:r>
        <w:t>processo de randomização utilizando um sistema de aleatorização online (</w:t>
      </w:r>
      <w:hyperlink r:id="rId8">
        <w:r>
          <w:t>www.random.org</w:t>
        </w:r>
      </w:hyperlink>
      <w:r>
        <w:t>), para determinar qual lado receberá a terapia fotodinâmica antimicrobiana. Serão montados envelopes referentes ao tratamento de cada voluntário por um profissional que não realizou a avaliação dos pacientes nem os tratamentos.</w:t>
      </w:r>
    </w:p>
    <w:p w14:paraId="39BAB9A4" w14:textId="77777777" w:rsidR="00CD6054" w:rsidRDefault="00A44E92">
      <w:pPr>
        <w:pStyle w:val="BodyText"/>
        <w:spacing w:before="178" w:line="357" w:lineRule="auto"/>
        <w:ind w:left="236" w:right="245" w:firstLine="706"/>
        <w:jc w:val="both"/>
      </w:pPr>
      <w:r>
        <w:t>O tratamento de Raspagem</w:t>
      </w:r>
      <w:r>
        <w:rPr>
          <w:spacing w:val="-9"/>
        </w:rPr>
        <w:t xml:space="preserve"> </w:t>
      </w:r>
      <w:r>
        <w:t>e</w:t>
      </w:r>
      <w:r>
        <w:rPr>
          <w:spacing w:val="-5"/>
        </w:rPr>
        <w:t xml:space="preserve"> </w:t>
      </w:r>
      <w:r>
        <w:t>Alisamento</w:t>
      </w:r>
      <w:r>
        <w:rPr>
          <w:spacing w:val="-3"/>
        </w:rPr>
        <w:t xml:space="preserve"> </w:t>
      </w:r>
      <w:r>
        <w:t>Radicular</w:t>
      </w:r>
      <w:r>
        <w:rPr>
          <w:spacing w:val="-8"/>
        </w:rPr>
        <w:t xml:space="preserve"> </w:t>
      </w:r>
      <w:r>
        <w:t>(RAR) será</w:t>
      </w:r>
      <w:r>
        <w:rPr>
          <w:spacing w:val="-5"/>
        </w:rPr>
        <w:t xml:space="preserve"> </w:t>
      </w:r>
      <w:r>
        <w:t>feito</w:t>
      </w:r>
      <w:r>
        <w:rPr>
          <w:spacing w:val="-2"/>
        </w:rPr>
        <w:t xml:space="preserve"> </w:t>
      </w:r>
      <w:r>
        <w:t>em</w:t>
      </w:r>
      <w:r>
        <w:rPr>
          <w:spacing w:val="-9"/>
        </w:rPr>
        <w:t xml:space="preserve"> </w:t>
      </w:r>
      <w:r>
        <w:t>sessões</w:t>
      </w:r>
      <w:r>
        <w:rPr>
          <w:spacing w:val="-7"/>
        </w:rPr>
        <w:t xml:space="preserve"> </w:t>
      </w:r>
      <w:r>
        <w:t>com</w:t>
      </w:r>
      <w:r>
        <w:rPr>
          <w:spacing w:val="-9"/>
        </w:rPr>
        <w:t xml:space="preserve"> </w:t>
      </w:r>
      <w:r>
        <w:t>a raspagem supra gengival (acima da gengiva) com</w:t>
      </w:r>
      <w:r>
        <w:rPr>
          <w:spacing w:val="-1"/>
        </w:rPr>
        <w:t xml:space="preserve"> </w:t>
      </w:r>
      <w:r>
        <w:t>ultrassom</w:t>
      </w:r>
      <w:r>
        <w:rPr>
          <w:spacing w:val="-1"/>
        </w:rPr>
        <w:t xml:space="preserve"> </w:t>
      </w:r>
      <w:r>
        <w:t>e raspagem</w:t>
      </w:r>
      <w:r>
        <w:rPr>
          <w:spacing w:val="-1"/>
        </w:rPr>
        <w:t xml:space="preserve"> </w:t>
      </w:r>
      <w:r>
        <w:t>sub gengival</w:t>
      </w:r>
      <w:r>
        <w:rPr>
          <w:spacing w:val="-1"/>
        </w:rPr>
        <w:t xml:space="preserve"> </w:t>
      </w:r>
      <w:r>
        <w:t>(abaixo da gengiva – dentro da bolsa periodontal) com curetas manuais (Hu-Friedy, Chicago, IL, EUA) [THEODORO et al., 2017; MATARAZZO et al., 2008; RIBEIRO et al., 2009].</w:t>
      </w:r>
    </w:p>
    <w:p w14:paraId="4B708B57" w14:textId="77777777" w:rsidR="00CD6054" w:rsidRDefault="00A44E92">
      <w:pPr>
        <w:pStyle w:val="BodyText"/>
        <w:spacing w:before="172" w:line="357" w:lineRule="auto"/>
        <w:ind w:left="236" w:right="244" w:firstLine="706"/>
        <w:jc w:val="both"/>
      </w:pPr>
      <w:r>
        <w:rPr>
          <w:color w:val="6FAC46"/>
        </w:rPr>
        <w:t>Ao</w:t>
      </w:r>
      <w:r>
        <w:rPr>
          <w:color w:val="6FAC46"/>
          <w:spacing w:val="40"/>
        </w:rPr>
        <w:t xml:space="preserve"> </w:t>
      </w:r>
      <w:r>
        <w:rPr>
          <w:color w:val="6FAC46"/>
        </w:rPr>
        <w:t>final do</w:t>
      </w:r>
      <w:r>
        <w:rPr>
          <w:color w:val="6FAC46"/>
          <w:spacing w:val="40"/>
        </w:rPr>
        <w:t xml:space="preserve"> </w:t>
      </w:r>
      <w:r>
        <w:rPr>
          <w:color w:val="6FAC46"/>
        </w:rPr>
        <w:t>acompanhamento,</w:t>
      </w:r>
      <w:r>
        <w:rPr>
          <w:color w:val="6FAC46"/>
          <w:spacing w:val="40"/>
        </w:rPr>
        <w:t xml:space="preserve"> </w:t>
      </w:r>
      <w:r>
        <w:rPr>
          <w:color w:val="6FAC46"/>
        </w:rPr>
        <w:t>os pacientes que não atingirem a meta de melhora, serão submetidos ao retratamento periodontal e terapias adjuntas, caso necessário. Conforme as diretrizes preconizadas pela Academia Americana de Periodontia e Federação Europeia</w:t>
      </w:r>
      <w:r>
        <w:rPr>
          <w:color w:val="6FAC46"/>
          <w:spacing w:val="-4"/>
        </w:rPr>
        <w:t xml:space="preserve"> </w:t>
      </w:r>
      <w:r>
        <w:rPr>
          <w:color w:val="6FAC46"/>
        </w:rPr>
        <w:t xml:space="preserve">de </w:t>
      </w:r>
      <w:r>
        <w:rPr>
          <w:color w:val="6FAC46"/>
          <w:spacing w:val="-2"/>
        </w:rPr>
        <w:t>Periodontia.</w:t>
      </w:r>
    </w:p>
    <w:p w14:paraId="379E5C60" w14:textId="77777777" w:rsidR="00CD6054" w:rsidRDefault="00CD6054">
      <w:pPr>
        <w:pStyle w:val="BodyText"/>
      </w:pPr>
    </w:p>
    <w:p w14:paraId="514AAB90" w14:textId="77777777" w:rsidR="00CD6054" w:rsidRDefault="00CD6054">
      <w:pPr>
        <w:pStyle w:val="BodyText"/>
      </w:pPr>
    </w:p>
    <w:p w14:paraId="38A4813D" w14:textId="77777777" w:rsidR="00CD6054" w:rsidRDefault="00CD6054">
      <w:pPr>
        <w:pStyle w:val="BodyText"/>
        <w:spacing w:before="5"/>
      </w:pPr>
    </w:p>
    <w:p w14:paraId="19FED768" w14:textId="77777777" w:rsidR="00CD6054" w:rsidRDefault="00A44E92">
      <w:pPr>
        <w:pStyle w:val="Heading1"/>
        <w:numPr>
          <w:ilvl w:val="1"/>
          <w:numId w:val="7"/>
        </w:numPr>
        <w:tabs>
          <w:tab w:val="left" w:pos="1318"/>
        </w:tabs>
        <w:ind w:hanging="721"/>
      </w:pPr>
      <w:r>
        <w:t>Terapia</w:t>
      </w:r>
      <w:r>
        <w:rPr>
          <w:spacing w:val="-15"/>
        </w:rPr>
        <w:t xml:space="preserve"> </w:t>
      </w:r>
      <w:r>
        <w:t>antimicrobiana</w:t>
      </w:r>
      <w:r>
        <w:rPr>
          <w:spacing w:val="5"/>
        </w:rPr>
        <w:t xml:space="preserve"> </w:t>
      </w:r>
      <w:r>
        <w:rPr>
          <w:spacing w:val="-2"/>
        </w:rPr>
        <w:t>fotodinâmica:</w:t>
      </w:r>
    </w:p>
    <w:p w14:paraId="609A66E1" w14:textId="77777777" w:rsidR="00CD6054" w:rsidRDefault="00CD6054">
      <w:pPr>
        <w:sectPr w:rsidR="00CD6054">
          <w:pgSz w:w="11910" w:h="16850"/>
          <w:pgMar w:top="1640" w:right="880" w:bottom="280" w:left="1460" w:header="720" w:footer="720" w:gutter="0"/>
          <w:cols w:space="720"/>
        </w:sectPr>
      </w:pPr>
    </w:p>
    <w:p w14:paraId="1E69A520" w14:textId="77777777" w:rsidR="00CD6054" w:rsidRDefault="00A44E92">
      <w:pPr>
        <w:pStyle w:val="BodyText"/>
        <w:spacing w:before="68" w:line="360" w:lineRule="auto"/>
        <w:ind w:left="236" w:right="242" w:firstLine="706"/>
        <w:jc w:val="both"/>
      </w:pPr>
      <w:r>
        <w:lastRenderedPageBreak/>
        <w:t>O estudo será de forma de boca dividida, bilateral. Dentes com</w:t>
      </w:r>
      <w:r>
        <w:rPr>
          <w:spacing w:val="-6"/>
        </w:rPr>
        <w:t xml:space="preserve"> </w:t>
      </w:r>
      <w:r>
        <w:t>sítios</w:t>
      </w:r>
      <w:r>
        <w:rPr>
          <w:spacing w:val="-5"/>
        </w:rPr>
        <w:t xml:space="preserve"> </w:t>
      </w:r>
      <w:r>
        <w:t>com</w:t>
      </w:r>
      <w:r>
        <w:rPr>
          <w:spacing w:val="-8"/>
        </w:rPr>
        <w:t xml:space="preserve"> </w:t>
      </w:r>
      <w:r>
        <w:t>PS ≥ 5 mm serão irrigados com 1 mL (1 mg/mL) de Azul de Metileno e após 1 minuto serão irradiados com laser com 660 nm, durante 48 segundos, totalizando 157 J/cm</w:t>
      </w:r>
      <w:r>
        <w:rPr>
          <w:position w:val="7"/>
          <w:sz w:val="16"/>
        </w:rPr>
        <w:t>2</w:t>
      </w:r>
      <w:r>
        <w:t>, energia de 4,7 J, com potência de 100 mW e fibra óptica com diâmetro de saída de 0,03 cm</w:t>
      </w:r>
      <w:r>
        <w:rPr>
          <w:position w:val="7"/>
          <w:sz w:val="16"/>
        </w:rPr>
        <w:t>2</w:t>
      </w:r>
      <w:r>
        <w:rPr>
          <w:spacing w:val="40"/>
          <w:position w:val="7"/>
          <w:sz w:val="16"/>
        </w:rPr>
        <w:t xml:space="preserve"> </w:t>
      </w:r>
      <w:r>
        <w:t>[THEODORO et al., 2017]. A ponta do laser será introduzida na área da bolsa periodontal paralelamente ao</w:t>
      </w:r>
      <w:r>
        <w:rPr>
          <w:spacing w:val="-2"/>
        </w:rPr>
        <w:t xml:space="preserve"> </w:t>
      </w:r>
      <w:r>
        <w:t xml:space="preserve">longo eixo do dente até sentir resistência da região apical. O lado teste será definido a partir de programa de randomização </w:t>
      </w:r>
      <w:hyperlink r:id="rId9">
        <w:r>
          <w:t>www.random.org</w:t>
        </w:r>
      </w:hyperlink>
      <w:r>
        <w:t>.</w:t>
      </w:r>
    </w:p>
    <w:p w14:paraId="55F078DE" w14:textId="77777777" w:rsidR="00CD6054" w:rsidRDefault="00CD6054">
      <w:pPr>
        <w:pStyle w:val="BodyText"/>
      </w:pPr>
    </w:p>
    <w:p w14:paraId="0559B7FD" w14:textId="77777777" w:rsidR="00CD6054" w:rsidRDefault="00CD6054">
      <w:pPr>
        <w:pStyle w:val="BodyText"/>
        <w:spacing w:before="273"/>
      </w:pPr>
    </w:p>
    <w:p w14:paraId="5DF4287E" w14:textId="77777777" w:rsidR="00CD6054" w:rsidRDefault="00A44E92">
      <w:pPr>
        <w:pStyle w:val="Heading1"/>
        <w:numPr>
          <w:ilvl w:val="1"/>
          <w:numId w:val="7"/>
        </w:numPr>
        <w:tabs>
          <w:tab w:val="left" w:pos="1318"/>
        </w:tabs>
        <w:ind w:hanging="721"/>
      </w:pPr>
      <w:r>
        <w:t>Avaliação</w:t>
      </w:r>
      <w:r>
        <w:rPr>
          <w:spacing w:val="4"/>
        </w:rPr>
        <w:t xml:space="preserve"> </w:t>
      </w:r>
      <w:r>
        <w:t>dos</w:t>
      </w:r>
      <w:r>
        <w:rPr>
          <w:spacing w:val="-11"/>
        </w:rPr>
        <w:t xml:space="preserve"> </w:t>
      </w:r>
      <w:r>
        <w:t>mediadores</w:t>
      </w:r>
      <w:r>
        <w:rPr>
          <w:spacing w:val="3"/>
        </w:rPr>
        <w:t xml:space="preserve"> </w:t>
      </w:r>
      <w:r>
        <w:rPr>
          <w:spacing w:val="-2"/>
        </w:rPr>
        <w:t>inflamatórios:</w:t>
      </w:r>
    </w:p>
    <w:p w14:paraId="7AC263D4" w14:textId="77777777" w:rsidR="00CD6054" w:rsidRDefault="00CD6054">
      <w:pPr>
        <w:pStyle w:val="BodyText"/>
        <w:rPr>
          <w:b/>
        </w:rPr>
      </w:pPr>
    </w:p>
    <w:p w14:paraId="0E7CB81A" w14:textId="77777777" w:rsidR="00CD6054" w:rsidRDefault="00CD6054">
      <w:pPr>
        <w:pStyle w:val="BodyText"/>
        <w:spacing w:before="13"/>
        <w:rPr>
          <w:b/>
        </w:rPr>
      </w:pPr>
    </w:p>
    <w:p w14:paraId="61AF6920" w14:textId="77777777" w:rsidR="00CD6054" w:rsidRDefault="00A44E92">
      <w:pPr>
        <w:pStyle w:val="BodyText"/>
        <w:spacing w:line="357" w:lineRule="auto"/>
        <w:ind w:left="236" w:right="243" w:firstLine="706"/>
        <w:jc w:val="both"/>
      </w:pPr>
      <w:r>
        <w:t>As amostras de saliva serão analisadas por meio do ensaio Imunoensaio ELISA para IL-6 utilizando kits comercialmente disponíveis e um leitor de placas, de acordo com as recomendações do fabricante. E</w:t>
      </w:r>
      <w:r>
        <w:rPr>
          <w:spacing w:val="18"/>
        </w:rPr>
        <w:t xml:space="preserve"> </w:t>
      </w:r>
      <w:r>
        <w:t>os tubos colhidos</w:t>
      </w:r>
      <w:r>
        <w:rPr>
          <w:spacing w:val="-4"/>
        </w:rPr>
        <w:t xml:space="preserve"> </w:t>
      </w:r>
      <w:r>
        <w:t>serão submetidos</w:t>
      </w:r>
      <w:r>
        <w:rPr>
          <w:spacing w:val="-4"/>
        </w:rPr>
        <w:t xml:space="preserve"> </w:t>
      </w:r>
      <w:r>
        <w:t>a</w:t>
      </w:r>
      <w:r>
        <w:rPr>
          <w:spacing w:val="-2"/>
        </w:rPr>
        <w:t xml:space="preserve"> </w:t>
      </w:r>
      <w:r>
        <w:t>vortex por</w:t>
      </w:r>
      <w:r>
        <w:rPr>
          <w:spacing w:val="-5"/>
        </w:rPr>
        <w:t xml:space="preserve"> </w:t>
      </w:r>
      <w:r>
        <w:t>15 segundos e centrifugados por 5 minutos a 1.500xg para eluir.</w:t>
      </w:r>
    </w:p>
    <w:p w14:paraId="2160ECDC" w14:textId="77777777" w:rsidR="00CD6054" w:rsidRDefault="00CD6054">
      <w:pPr>
        <w:pStyle w:val="BodyText"/>
      </w:pPr>
    </w:p>
    <w:p w14:paraId="1E6B6D8B" w14:textId="77777777" w:rsidR="00CD6054" w:rsidRDefault="00CD6054">
      <w:pPr>
        <w:pStyle w:val="BodyText"/>
      </w:pPr>
    </w:p>
    <w:p w14:paraId="1A563B20" w14:textId="77777777" w:rsidR="00CD6054" w:rsidRDefault="00CD6054">
      <w:pPr>
        <w:pStyle w:val="BodyText"/>
        <w:spacing w:before="4"/>
      </w:pPr>
    </w:p>
    <w:p w14:paraId="7926F4FE" w14:textId="77777777" w:rsidR="00CD6054" w:rsidRDefault="00A44E92">
      <w:pPr>
        <w:pStyle w:val="Heading1"/>
        <w:numPr>
          <w:ilvl w:val="1"/>
          <w:numId w:val="7"/>
        </w:numPr>
        <w:tabs>
          <w:tab w:val="left" w:pos="1318"/>
        </w:tabs>
        <w:ind w:hanging="721"/>
      </w:pPr>
      <w:r>
        <w:t>Função renal</w:t>
      </w:r>
      <w:r>
        <w:rPr>
          <w:spacing w:val="-7"/>
        </w:rPr>
        <w:t xml:space="preserve"> </w:t>
      </w:r>
      <w:r>
        <w:t>do grupo</w:t>
      </w:r>
      <w:r>
        <w:rPr>
          <w:spacing w:val="1"/>
        </w:rPr>
        <w:t xml:space="preserve"> </w:t>
      </w:r>
      <w:r>
        <w:rPr>
          <w:spacing w:val="-2"/>
        </w:rPr>
        <w:t>controle:</w:t>
      </w:r>
    </w:p>
    <w:p w14:paraId="6691A138" w14:textId="77777777" w:rsidR="00CD6054" w:rsidRDefault="00CD6054">
      <w:pPr>
        <w:pStyle w:val="BodyText"/>
        <w:rPr>
          <w:b/>
        </w:rPr>
      </w:pPr>
    </w:p>
    <w:p w14:paraId="7BE2BF60" w14:textId="77777777" w:rsidR="00CD6054" w:rsidRDefault="00CD6054">
      <w:pPr>
        <w:pStyle w:val="BodyText"/>
        <w:spacing w:before="163"/>
        <w:rPr>
          <w:b/>
        </w:rPr>
      </w:pPr>
    </w:p>
    <w:p w14:paraId="44D4C481" w14:textId="77777777" w:rsidR="00CD6054" w:rsidRDefault="00A44E92">
      <w:pPr>
        <w:pStyle w:val="BodyText"/>
        <w:spacing w:line="355" w:lineRule="auto"/>
        <w:ind w:left="236" w:right="237" w:firstLine="706"/>
        <w:jc w:val="both"/>
      </w:pPr>
      <w:r>
        <w:t>Para comprovação de saúde renal dos</w:t>
      </w:r>
      <w:r>
        <w:rPr>
          <w:spacing w:val="-6"/>
        </w:rPr>
        <w:t xml:space="preserve"> </w:t>
      </w:r>
      <w:r>
        <w:t>pacientes</w:t>
      </w:r>
      <w:r>
        <w:rPr>
          <w:spacing w:val="-6"/>
        </w:rPr>
        <w:t xml:space="preserve"> </w:t>
      </w:r>
      <w:r>
        <w:t>sem</w:t>
      </w:r>
      <w:r>
        <w:rPr>
          <w:spacing w:val="-9"/>
        </w:rPr>
        <w:t xml:space="preserve"> </w:t>
      </w:r>
      <w:r>
        <w:t>a</w:t>
      </w:r>
      <w:r>
        <w:rPr>
          <w:spacing w:val="-4"/>
        </w:rPr>
        <w:t xml:space="preserve"> </w:t>
      </w:r>
      <w:r>
        <w:t>doença</w:t>
      </w:r>
      <w:r>
        <w:rPr>
          <w:spacing w:val="-4"/>
        </w:rPr>
        <w:t xml:space="preserve"> </w:t>
      </w:r>
      <w:r>
        <w:t>renal</w:t>
      </w:r>
      <w:r>
        <w:rPr>
          <w:spacing w:val="-9"/>
        </w:rPr>
        <w:t xml:space="preserve"> </w:t>
      </w:r>
      <w:r>
        <w:t>crônica,</w:t>
      </w:r>
      <w:r>
        <w:rPr>
          <w:spacing w:val="-2"/>
        </w:rPr>
        <w:t xml:space="preserve"> </w:t>
      </w:r>
      <w:r>
        <w:t>estes</w:t>
      </w:r>
      <w:r>
        <w:rPr>
          <w:spacing w:val="-6"/>
        </w:rPr>
        <w:t xml:space="preserve"> </w:t>
      </w:r>
      <w:r>
        <w:t>terão a creatinina quantificada para fins de identificar qualquer alteração renal, caso apresentem alterações dos níveis de creatinina, será considerado critério de exclusão, e os pacientes</w:t>
      </w:r>
      <w:r>
        <w:rPr>
          <w:spacing w:val="-8"/>
        </w:rPr>
        <w:t xml:space="preserve"> </w:t>
      </w:r>
      <w:r>
        <w:t>serão informados desta</w:t>
      </w:r>
      <w:r>
        <w:rPr>
          <w:spacing w:val="-3"/>
        </w:rPr>
        <w:t xml:space="preserve"> </w:t>
      </w:r>
      <w:r>
        <w:t>condição e</w:t>
      </w:r>
      <w:r>
        <w:rPr>
          <w:spacing w:val="-3"/>
        </w:rPr>
        <w:t xml:space="preserve"> </w:t>
      </w:r>
      <w:r>
        <w:t>devidamente</w:t>
      </w:r>
      <w:r>
        <w:rPr>
          <w:spacing w:val="-3"/>
        </w:rPr>
        <w:t xml:space="preserve"> </w:t>
      </w:r>
      <w:r>
        <w:t>orientados.</w:t>
      </w:r>
      <w:r>
        <w:rPr>
          <w:spacing w:val="-1"/>
        </w:rPr>
        <w:t xml:space="preserve"> </w:t>
      </w:r>
      <w:r>
        <w:t>Sendo</w:t>
      </w:r>
      <w:r>
        <w:rPr>
          <w:spacing w:val="-1"/>
        </w:rPr>
        <w:t xml:space="preserve"> </w:t>
      </w:r>
      <w:r>
        <w:t>assim,</w:t>
      </w:r>
      <w:r>
        <w:rPr>
          <w:spacing w:val="-1"/>
        </w:rPr>
        <w:t xml:space="preserve"> </w:t>
      </w:r>
      <w:r>
        <w:t>será mantida</w:t>
      </w:r>
      <w:r>
        <w:rPr>
          <w:spacing w:val="-1"/>
        </w:rPr>
        <w:t xml:space="preserve"> </w:t>
      </w:r>
      <w:r>
        <w:t>uma</w:t>
      </w:r>
      <w:r>
        <w:rPr>
          <w:spacing w:val="-3"/>
        </w:rPr>
        <w:t xml:space="preserve"> </w:t>
      </w:r>
      <w:r>
        <w:t>parceria já existente com o LEAC (Laboratório Escola de Análise Clínicas</w:t>
      </w:r>
      <w:r>
        <w:rPr>
          <w:spacing w:val="40"/>
        </w:rPr>
        <w:t xml:space="preserve"> </w:t>
      </w:r>
      <w:r>
        <w:t>da UFPR) – UFPR.</w:t>
      </w:r>
    </w:p>
    <w:p w14:paraId="318361CE" w14:textId="77777777" w:rsidR="00CD6054" w:rsidRDefault="00CD6054">
      <w:pPr>
        <w:pStyle w:val="BodyText"/>
      </w:pPr>
    </w:p>
    <w:p w14:paraId="184BE69E" w14:textId="77777777" w:rsidR="00CD6054" w:rsidRDefault="00CD6054">
      <w:pPr>
        <w:pStyle w:val="BodyText"/>
      </w:pPr>
    </w:p>
    <w:p w14:paraId="32DAF984" w14:textId="77777777" w:rsidR="00CD6054" w:rsidRDefault="00CD6054">
      <w:pPr>
        <w:pStyle w:val="BodyText"/>
        <w:spacing w:before="13"/>
      </w:pPr>
    </w:p>
    <w:p w14:paraId="15A306AF" w14:textId="77777777" w:rsidR="00CD6054" w:rsidRDefault="00A44E92">
      <w:pPr>
        <w:pStyle w:val="Heading1"/>
        <w:numPr>
          <w:ilvl w:val="1"/>
          <w:numId w:val="7"/>
        </w:numPr>
        <w:tabs>
          <w:tab w:val="left" w:pos="1318"/>
        </w:tabs>
        <w:ind w:hanging="721"/>
      </w:pPr>
      <w:r>
        <w:t>Avaliação</w:t>
      </w:r>
      <w:r>
        <w:rPr>
          <w:spacing w:val="4"/>
        </w:rPr>
        <w:t xml:space="preserve"> </w:t>
      </w:r>
      <w:r>
        <w:t>dos</w:t>
      </w:r>
      <w:r>
        <w:rPr>
          <w:spacing w:val="-12"/>
        </w:rPr>
        <w:t xml:space="preserve"> </w:t>
      </w:r>
      <w:r>
        <w:t>polimorfismos</w:t>
      </w:r>
      <w:r>
        <w:rPr>
          <w:spacing w:val="15"/>
        </w:rPr>
        <w:t xml:space="preserve"> </w:t>
      </w:r>
      <w:r>
        <w:t>genéticos</w:t>
      </w:r>
      <w:r>
        <w:rPr>
          <w:spacing w:val="1"/>
        </w:rPr>
        <w:t xml:space="preserve"> </w:t>
      </w:r>
      <w:r>
        <w:t>(SNPs)</w:t>
      </w:r>
      <w:r>
        <w:rPr>
          <w:spacing w:val="-6"/>
        </w:rPr>
        <w:t xml:space="preserve"> </w:t>
      </w:r>
      <w:r>
        <w:t>-</w:t>
      </w:r>
      <w:r>
        <w:rPr>
          <w:spacing w:val="-12"/>
        </w:rPr>
        <w:t xml:space="preserve"> </w:t>
      </w:r>
      <w:r>
        <w:rPr>
          <w:spacing w:val="-4"/>
        </w:rPr>
        <w:t>ILs:</w:t>
      </w:r>
    </w:p>
    <w:p w14:paraId="2A44373A" w14:textId="77777777" w:rsidR="00CD6054" w:rsidRDefault="00CD6054">
      <w:pPr>
        <w:pStyle w:val="BodyText"/>
        <w:rPr>
          <w:b/>
        </w:rPr>
      </w:pPr>
    </w:p>
    <w:p w14:paraId="160762C5" w14:textId="77777777" w:rsidR="00CD6054" w:rsidRDefault="00CD6054">
      <w:pPr>
        <w:pStyle w:val="BodyText"/>
        <w:spacing w:before="162"/>
        <w:rPr>
          <w:b/>
        </w:rPr>
      </w:pPr>
    </w:p>
    <w:p w14:paraId="3464E9F9" w14:textId="77777777" w:rsidR="00CD6054" w:rsidRDefault="00A44E92">
      <w:pPr>
        <w:pStyle w:val="BodyText"/>
        <w:spacing w:before="1" w:line="360" w:lineRule="auto"/>
        <w:ind w:left="236" w:right="245" w:firstLine="706"/>
        <w:jc w:val="both"/>
      </w:pPr>
      <w:r>
        <w:t>A saliva será centrifugada a 550 g durante 10 minutos para sedimentação</w:t>
      </w:r>
      <w:r>
        <w:rPr>
          <w:spacing w:val="-1"/>
        </w:rPr>
        <w:t xml:space="preserve"> </w:t>
      </w:r>
      <w:r>
        <w:t>do</w:t>
      </w:r>
      <w:r>
        <w:rPr>
          <w:spacing w:val="-1"/>
        </w:rPr>
        <w:t xml:space="preserve"> </w:t>
      </w:r>
      <w:r>
        <w:t>pellet de células. O sobrenadante será descartado e o pellet ressuspendido em 1 mL de tampão de extração (TE) (Tris-HCl 10 mM, pH 7,8; EDTA 5 mM; SDS 0,5%). Posteriormente, o material biológico será transferido para um tubo de 1,5 mL. As</w:t>
      </w:r>
      <w:r>
        <w:rPr>
          <w:spacing w:val="-7"/>
        </w:rPr>
        <w:t xml:space="preserve"> </w:t>
      </w:r>
      <w:r>
        <w:t>amostras</w:t>
      </w:r>
      <w:r>
        <w:rPr>
          <w:spacing w:val="-7"/>
        </w:rPr>
        <w:t xml:space="preserve"> </w:t>
      </w:r>
      <w:r>
        <w:t>serão</w:t>
      </w:r>
      <w:r>
        <w:rPr>
          <w:spacing w:val="-4"/>
        </w:rPr>
        <w:t xml:space="preserve"> </w:t>
      </w:r>
      <w:r>
        <w:t>descongeladas</w:t>
      </w:r>
      <w:r>
        <w:rPr>
          <w:spacing w:val="40"/>
        </w:rPr>
        <w:t xml:space="preserve"> </w:t>
      </w:r>
      <w:r>
        <w:t>e</w:t>
      </w:r>
      <w:r>
        <w:rPr>
          <w:spacing w:val="7"/>
        </w:rPr>
        <w:t xml:space="preserve"> </w:t>
      </w:r>
      <w:r>
        <w:t>incubadas</w:t>
      </w:r>
      <w:r>
        <w:rPr>
          <w:spacing w:val="7"/>
        </w:rPr>
        <w:t xml:space="preserve"> </w:t>
      </w:r>
      <w:r>
        <w:t>com</w:t>
      </w:r>
      <w:r>
        <w:rPr>
          <w:spacing w:val="4"/>
        </w:rPr>
        <w:t xml:space="preserve"> </w:t>
      </w:r>
      <w:r>
        <w:t>100</w:t>
      </w:r>
      <w:r>
        <w:rPr>
          <w:spacing w:val="10"/>
        </w:rPr>
        <w:t xml:space="preserve"> </w:t>
      </w:r>
      <w:r>
        <w:t>ng/mL</w:t>
      </w:r>
      <w:r>
        <w:rPr>
          <w:spacing w:val="15"/>
        </w:rPr>
        <w:t xml:space="preserve"> </w:t>
      </w:r>
      <w:r>
        <w:t>de</w:t>
      </w:r>
      <w:r>
        <w:rPr>
          <w:spacing w:val="9"/>
        </w:rPr>
        <w:t xml:space="preserve"> </w:t>
      </w:r>
      <w:r>
        <w:t>Proteinase</w:t>
      </w:r>
      <w:r>
        <w:rPr>
          <w:spacing w:val="9"/>
        </w:rPr>
        <w:t xml:space="preserve"> </w:t>
      </w:r>
      <w:r>
        <w:t>K</w:t>
      </w:r>
      <w:r>
        <w:rPr>
          <w:spacing w:val="17"/>
        </w:rPr>
        <w:t xml:space="preserve"> </w:t>
      </w:r>
      <w:r>
        <w:t>em</w:t>
      </w:r>
      <w:r>
        <w:rPr>
          <w:spacing w:val="4"/>
        </w:rPr>
        <w:t xml:space="preserve"> </w:t>
      </w:r>
      <w:r>
        <w:t>banho-maria</w:t>
      </w:r>
      <w:r>
        <w:rPr>
          <w:spacing w:val="9"/>
        </w:rPr>
        <w:t xml:space="preserve"> </w:t>
      </w:r>
      <w:r>
        <w:t>a</w:t>
      </w:r>
      <w:r>
        <w:rPr>
          <w:spacing w:val="9"/>
        </w:rPr>
        <w:t xml:space="preserve"> </w:t>
      </w:r>
      <w:r>
        <w:t>56°C</w:t>
      </w:r>
      <w:r>
        <w:rPr>
          <w:spacing w:val="15"/>
        </w:rPr>
        <w:t xml:space="preserve"> </w:t>
      </w:r>
      <w:r>
        <w:t>overnight</w:t>
      </w:r>
      <w:r>
        <w:rPr>
          <w:spacing w:val="19"/>
        </w:rPr>
        <w:t xml:space="preserve"> </w:t>
      </w:r>
      <w:r>
        <w:t>e</w:t>
      </w:r>
      <w:r>
        <w:rPr>
          <w:spacing w:val="-5"/>
        </w:rPr>
        <w:t xml:space="preserve"> </w:t>
      </w:r>
      <w:r>
        <w:rPr>
          <w:spacing w:val="-2"/>
        </w:rPr>
        <w:t>submetidas</w:t>
      </w:r>
    </w:p>
    <w:p w14:paraId="1E70B719" w14:textId="77777777" w:rsidR="00CD6054" w:rsidRDefault="00CD6054">
      <w:pPr>
        <w:spacing w:line="360" w:lineRule="auto"/>
        <w:jc w:val="both"/>
        <w:sectPr w:rsidR="00CD6054">
          <w:pgSz w:w="11910" w:h="16850"/>
          <w:pgMar w:top="1640" w:right="880" w:bottom="280" w:left="1460" w:header="720" w:footer="720" w:gutter="0"/>
          <w:cols w:space="720"/>
        </w:sectPr>
      </w:pPr>
    </w:p>
    <w:p w14:paraId="652CF20D" w14:textId="77777777" w:rsidR="00CD6054" w:rsidRDefault="00A44E92">
      <w:pPr>
        <w:pStyle w:val="BodyText"/>
        <w:spacing w:before="68" w:line="360" w:lineRule="auto"/>
        <w:ind w:left="236" w:right="243"/>
        <w:jc w:val="both"/>
      </w:pPr>
      <w:r>
        <w:lastRenderedPageBreak/>
        <w:t>a processos de precipitação utilizando-se 400 µL de solução de acetato de amônio a</w:t>
      </w:r>
      <w:r>
        <w:rPr>
          <w:spacing w:val="-3"/>
        </w:rPr>
        <w:t xml:space="preserve"> </w:t>
      </w:r>
      <w:r>
        <w:t>10</w:t>
      </w:r>
      <w:r>
        <w:rPr>
          <w:spacing w:val="-1"/>
        </w:rPr>
        <w:t xml:space="preserve"> </w:t>
      </w:r>
      <w:r>
        <w:t>M.</w:t>
      </w:r>
      <w:r>
        <w:rPr>
          <w:spacing w:val="-1"/>
        </w:rPr>
        <w:t xml:space="preserve"> </w:t>
      </w:r>
      <w:r>
        <w:t>A seguir, todos os tubos serão agitados por 5 minutos e centrifugados por 15 minutos (12000 rpm). O</w:t>
      </w:r>
      <w:r>
        <w:rPr>
          <w:spacing w:val="40"/>
        </w:rPr>
        <w:t xml:space="preserve"> </w:t>
      </w:r>
      <w:r>
        <w:t>sobrenadante será dividido em dois tubos de 700 µL cada. O mesmo volume de álcool isopropílico gelado (700 µL) será adicionado em cada espécime e agitado. Todas as alíquotas que posteriormente serão centrifugadas por 20 minutos a 12000 rpm. Então o sobrenadante será descartado com cuidado para não deslocar o pellet de DNA, e 1 mL de etanol 70% gelado será adicionado e centrifugado por 15 minutos a 12000 rpm. Posteriormente o sobrenadante será descartado e o tubo será aberto e emborcado em papel</w:t>
      </w:r>
      <w:r>
        <w:rPr>
          <w:spacing w:val="40"/>
        </w:rPr>
        <w:t xml:space="preserve"> </w:t>
      </w:r>
      <w:r>
        <w:t>para secar por pelo menos 30 minutos e evaporar o excesso de etanol 70%. O pellet de</w:t>
      </w:r>
      <w:r>
        <w:rPr>
          <w:spacing w:val="-4"/>
        </w:rPr>
        <w:t xml:space="preserve"> </w:t>
      </w:r>
      <w:r>
        <w:t>DNA será ressuspendido em 50 µL de</w:t>
      </w:r>
      <w:r>
        <w:rPr>
          <w:spacing w:val="-3"/>
        </w:rPr>
        <w:t xml:space="preserve"> </w:t>
      </w:r>
      <w:r>
        <w:t>TE e</w:t>
      </w:r>
      <w:r>
        <w:rPr>
          <w:spacing w:val="-3"/>
        </w:rPr>
        <w:t xml:space="preserve"> </w:t>
      </w:r>
      <w:r>
        <w:t>congelado</w:t>
      </w:r>
      <w:r>
        <w:rPr>
          <w:spacing w:val="-1"/>
        </w:rPr>
        <w:t xml:space="preserve"> </w:t>
      </w:r>
      <w:r>
        <w:t>a -20°C.</w:t>
      </w:r>
      <w:r>
        <w:rPr>
          <w:spacing w:val="-1"/>
        </w:rPr>
        <w:t xml:space="preserve"> </w:t>
      </w:r>
      <w:r>
        <w:t>A concentração</w:t>
      </w:r>
      <w:r>
        <w:rPr>
          <w:spacing w:val="-1"/>
        </w:rPr>
        <w:t xml:space="preserve"> </w:t>
      </w:r>
      <w:r>
        <w:t>e</w:t>
      </w:r>
      <w:r>
        <w:rPr>
          <w:spacing w:val="-3"/>
        </w:rPr>
        <w:t xml:space="preserve"> </w:t>
      </w:r>
      <w:r>
        <w:t>a</w:t>
      </w:r>
      <w:r>
        <w:rPr>
          <w:spacing w:val="-3"/>
        </w:rPr>
        <w:t xml:space="preserve"> </w:t>
      </w:r>
      <w:r>
        <w:t>pureza</w:t>
      </w:r>
      <w:r>
        <w:rPr>
          <w:spacing w:val="-3"/>
        </w:rPr>
        <w:t xml:space="preserve"> </w:t>
      </w:r>
      <w:r>
        <w:t>do</w:t>
      </w:r>
      <w:r>
        <w:rPr>
          <w:spacing w:val="-1"/>
        </w:rPr>
        <w:t xml:space="preserve"> </w:t>
      </w:r>
      <w:r>
        <w:t>DNA serão determinados por densidade óptica em espectrofotômetro (NanoDrop®2000c) utilizando-se 2 µL do material extraído. A concentração de DNA será avaliada em um comprimento de onda de 260 nm. A razão entre</w:t>
      </w:r>
      <w:r>
        <w:rPr>
          <w:spacing w:val="-2"/>
        </w:rPr>
        <w:t xml:space="preserve"> </w:t>
      </w:r>
      <w:r>
        <w:t>os</w:t>
      </w:r>
      <w:r>
        <w:rPr>
          <w:spacing w:val="-4"/>
        </w:rPr>
        <w:t xml:space="preserve"> </w:t>
      </w:r>
      <w:r>
        <w:t>valores</w:t>
      </w:r>
      <w:r>
        <w:rPr>
          <w:spacing w:val="-4"/>
        </w:rPr>
        <w:t xml:space="preserve"> </w:t>
      </w:r>
      <w:r>
        <w:t>obtidos</w:t>
      </w:r>
      <w:r>
        <w:rPr>
          <w:spacing w:val="-4"/>
        </w:rPr>
        <w:t xml:space="preserve"> </w:t>
      </w:r>
      <w:r>
        <w:t>nos</w:t>
      </w:r>
      <w:r>
        <w:rPr>
          <w:spacing w:val="-4"/>
        </w:rPr>
        <w:t xml:space="preserve"> </w:t>
      </w:r>
      <w:r>
        <w:t>comprimentos</w:t>
      </w:r>
      <w:r>
        <w:rPr>
          <w:spacing w:val="-4"/>
        </w:rPr>
        <w:t xml:space="preserve"> </w:t>
      </w:r>
      <w:r>
        <w:t>de</w:t>
      </w:r>
      <w:r>
        <w:rPr>
          <w:spacing w:val="-2"/>
        </w:rPr>
        <w:t xml:space="preserve"> </w:t>
      </w:r>
      <w:r>
        <w:t>onda 260</w:t>
      </w:r>
      <w:r>
        <w:rPr>
          <w:spacing w:val="26"/>
        </w:rPr>
        <w:t xml:space="preserve"> </w:t>
      </w:r>
      <w:r>
        <w:t>nm e 280 nm será usada para estimar a pureza do DNA genômico. Somente as amostras de DNA com razão 260/280 acima de 1,8 serão incluídas neste estudo.</w:t>
      </w:r>
    </w:p>
    <w:p w14:paraId="084ED0DD" w14:textId="77777777" w:rsidR="00CD6054" w:rsidRDefault="00A44E92">
      <w:pPr>
        <w:pStyle w:val="BodyText"/>
        <w:spacing w:before="171" w:line="355" w:lineRule="auto"/>
        <w:ind w:left="236" w:right="252" w:firstLine="706"/>
        <w:jc w:val="both"/>
      </w:pPr>
      <w:r>
        <w:t>Para a genotipagem, a reação de PCR em tempo real será realizada contendo um volume final de 3 µL (4 ng de DNA/reação, 1,5 µL de TaqMan PCR master mix, 0,075 de SNP assay-by Design (Applied Biosystems-Foster City, CA) e água deionizada q.s.p.). Para amplificação 40 ciclos serão realizados</w:t>
      </w:r>
      <w:r>
        <w:rPr>
          <w:spacing w:val="-8"/>
        </w:rPr>
        <w:t xml:space="preserve"> </w:t>
      </w:r>
      <w:r>
        <w:t>de</w:t>
      </w:r>
      <w:r>
        <w:rPr>
          <w:spacing w:val="-7"/>
        </w:rPr>
        <w:t xml:space="preserve"> </w:t>
      </w:r>
      <w:r>
        <w:t>95oC</w:t>
      </w:r>
      <w:r>
        <w:rPr>
          <w:spacing w:val="-1"/>
        </w:rPr>
        <w:t xml:space="preserve"> </w:t>
      </w:r>
      <w:r>
        <w:t>por</w:t>
      </w:r>
      <w:r>
        <w:rPr>
          <w:spacing w:val="-9"/>
        </w:rPr>
        <w:t xml:space="preserve"> </w:t>
      </w:r>
      <w:r>
        <w:t>10</w:t>
      </w:r>
      <w:r>
        <w:rPr>
          <w:spacing w:val="-5"/>
        </w:rPr>
        <w:t xml:space="preserve"> </w:t>
      </w:r>
      <w:r>
        <w:t>minutos,</w:t>
      </w:r>
      <w:r>
        <w:rPr>
          <w:spacing w:val="-5"/>
        </w:rPr>
        <w:t xml:space="preserve"> </w:t>
      </w:r>
      <w:r>
        <w:t>92ºC por</w:t>
      </w:r>
      <w:r>
        <w:rPr>
          <w:spacing w:val="-9"/>
        </w:rPr>
        <w:t xml:space="preserve"> </w:t>
      </w:r>
      <w:r>
        <w:t>15</w:t>
      </w:r>
      <w:r>
        <w:rPr>
          <w:spacing w:val="-5"/>
        </w:rPr>
        <w:t xml:space="preserve"> </w:t>
      </w:r>
      <w:r>
        <w:t>segundos</w:t>
      </w:r>
      <w:r>
        <w:rPr>
          <w:spacing w:val="-8"/>
        </w:rPr>
        <w:t xml:space="preserve"> </w:t>
      </w:r>
      <w:r>
        <w:t>e</w:t>
      </w:r>
      <w:r>
        <w:rPr>
          <w:spacing w:val="-7"/>
        </w:rPr>
        <w:t xml:space="preserve"> </w:t>
      </w:r>
      <w:r>
        <w:t>60ºC por 1 minuto.</w:t>
      </w:r>
    </w:p>
    <w:p w14:paraId="52AF7697" w14:textId="77777777" w:rsidR="00CD6054" w:rsidRDefault="00A44E92">
      <w:pPr>
        <w:pStyle w:val="BodyText"/>
        <w:spacing w:before="179"/>
        <w:ind w:left="943"/>
        <w:jc w:val="both"/>
      </w:pPr>
      <w:r>
        <w:t>Serão</w:t>
      </w:r>
      <w:r>
        <w:rPr>
          <w:spacing w:val="-13"/>
        </w:rPr>
        <w:t xml:space="preserve"> </w:t>
      </w:r>
      <w:r>
        <w:t>avaliados</w:t>
      </w:r>
      <w:r>
        <w:rPr>
          <w:spacing w:val="-1"/>
        </w:rPr>
        <w:t xml:space="preserve"> </w:t>
      </w:r>
      <w:r>
        <w:t>polimorfismos</w:t>
      </w:r>
      <w:r>
        <w:rPr>
          <w:spacing w:val="12"/>
        </w:rPr>
        <w:t xml:space="preserve"> </w:t>
      </w:r>
      <w:r>
        <w:t>genéticos</w:t>
      </w:r>
      <w:r>
        <w:rPr>
          <w:spacing w:val="-2"/>
        </w:rPr>
        <w:t xml:space="preserve"> </w:t>
      </w:r>
      <w:r>
        <w:t>representados</w:t>
      </w:r>
      <w:r>
        <w:rPr>
          <w:spacing w:val="-13"/>
        </w:rPr>
        <w:t xml:space="preserve"> </w:t>
      </w:r>
      <w:r>
        <w:t>na</w:t>
      </w:r>
      <w:r>
        <w:rPr>
          <w:spacing w:val="-12"/>
        </w:rPr>
        <w:t xml:space="preserve"> </w:t>
      </w:r>
      <w:r>
        <w:t>Tabela</w:t>
      </w:r>
      <w:r>
        <w:rPr>
          <w:spacing w:val="1"/>
        </w:rPr>
        <w:t xml:space="preserve"> </w:t>
      </w:r>
      <w:r>
        <w:rPr>
          <w:spacing w:val="-5"/>
        </w:rPr>
        <w:t>1.</w:t>
      </w:r>
    </w:p>
    <w:p w14:paraId="3065638F" w14:textId="77777777" w:rsidR="00CD6054" w:rsidRDefault="00CD6054">
      <w:pPr>
        <w:pStyle w:val="BodyText"/>
        <w:spacing w:before="63"/>
        <w:rPr>
          <w:sz w:val="20"/>
        </w:rPr>
      </w:pPr>
    </w:p>
    <w:tbl>
      <w:tblPr>
        <w:tblStyle w:val="TableNormal1"/>
        <w:tblW w:w="0" w:type="auto"/>
        <w:tblInd w:w="139" w:type="dxa"/>
        <w:tblLayout w:type="fixed"/>
        <w:tblLook w:val="01E0" w:firstRow="1" w:lastRow="1" w:firstColumn="1" w:lastColumn="1" w:noHBand="0" w:noVBand="0"/>
      </w:tblPr>
      <w:tblGrid>
        <w:gridCol w:w="1346"/>
        <w:gridCol w:w="1914"/>
        <w:gridCol w:w="1944"/>
        <w:gridCol w:w="1281"/>
        <w:gridCol w:w="1698"/>
      </w:tblGrid>
      <w:tr w:rsidR="00CD6054" w14:paraId="449294C7" w14:textId="77777777">
        <w:trPr>
          <w:trHeight w:val="428"/>
        </w:trPr>
        <w:tc>
          <w:tcPr>
            <w:tcW w:w="8183" w:type="dxa"/>
            <w:gridSpan w:val="5"/>
            <w:tcBorders>
              <w:bottom w:val="single" w:sz="6" w:space="0" w:color="000000"/>
            </w:tcBorders>
          </w:tcPr>
          <w:p w14:paraId="3CA94396" w14:textId="77777777" w:rsidR="00CD6054" w:rsidRDefault="00A44E92">
            <w:pPr>
              <w:pStyle w:val="TableParagraph"/>
              <w:spacing w:line="250" w:lineRule="exact"/>
              <w:ind w:left="105"/>
              <w:rPr>
                <w:rFonts w:ascii="Arial" w:hAnsi="Arial"/>
              </w:rPr>
            </w:pPr>
            <w:r>
              <w:rPr>
                <w:rFonts w:ascii="Arial" w:hAnsi="Arial"/>
                <w:b/>
              </w:rPr>
              <w:t>Tabela</w:t>
            </w:r>
            <w:r>
              <w:rPr>
                <w:rFonts w:ascii="Arial" w:hAnsi="Arial"/>
                <w:b/>
                <w:spacing w:val="-8"/>
              </w:rPr>
              <w:t xml:space="preserve"> </w:t>
            </w:r>
            <w:r>
              <w:rPr>
                <w:rFonts w:ascii="Arial" w:hAnsi="Arial"/>
                <w:b/>
              </w:rPr>
              <w:t>1.</w:t>
            </w:r>
            <w:r>
              <w:rPr>
                <w:rFonts w:ascii="Arial" w:hAnsi="Arial"/>
                <w:b/>
                <w:spacing w:val="-5"/>
              </w:rPr>
              <w:t xml:space="preserve"> </w:t>
            </w:r>
            <w:r>
              <w:rPr>
                <w:rFonts w:ascii="Arial" w:hAnsi="Arial"/>
              </w:rPr>
              <w:t>Genes</w:t>
            </w:r>
            <w:r>
              <w:rPr>
                <w:rFonts w:ascii="Arial" w:hAnsi="Arial"/>
                <w:spacing w:val="-11"/>
              </w:rPr>
              <w:t xml:space="preserve"> </w:t>
            </w:r>
            <w:r>
              <w:rPr>
                <w:rFonts w:ascii="Arial" w:hAnsi="Arial"/>
              </w:rPr>
              <w:t>e</w:t>
            </w:r>
            <w:r>
              <w:rPr>
                <w:rFonts w:ascii="Arial" w:hAnsi="Arial"/>
                <w:spacing w:val="-9"/>
              </w:rPr>
              <w:t xml:space="preserve"> </w:t>
            </w:r>
            <w:r>
              <w:rPr>
                <w:rFonts w:ascii="Arial" w:hAnsi="Arial"/>
              </w:rPr>
              <w:t>polimorfismos</w:t>
            </w:r>
            <w:r>
              <w:rPr>
                <w:rFonts w:ascii="Arial" w:hAnsi="Arial"/>
                <w:spacing w:val="-11"/>
              </w:rPr>
              <w:t xml:space="preserve"> </w:t>
            </w:r>
            <w:r>
              <w:rPr>
                <w:rFonts w:ascii="Arial" w:hAnsi="Arial"/>
              </w:rPr>
              <w:t>incluídos</w:t>
            </w:r>
            <w:r>
              <w:rPr>
                <w:rFonts w:ascii="Arial" w:hAnsi="Arial"/>
                <w:spacing w:val="18"/>
              </w:rPr>
              <w:t xml:space="preserve"> </w:t>
            </w:r>
            <w:r>
              <w:rPr>
                <w:rFonts w:ascii="Arial" w:hAnsi="Arial"/>
              </w:rPr>
              <w:t>no</w:t>
            </w:r>
            <w:r>
              <w:rPr>
                <w:rFonts w:ascii="Arial" w:hAnsi="Arial"/>
                <w:spacing w:val="-4"/>
              </w:rPr>
              <w:t xml:space="preserve"> </w:t>
            </w:r>
            <w:r>
              <w:rPr>
                <w:rFonts w:ascii="Arial" w:hAnsi="Arial"/>
                <w:spacing w:val="-2"/>
              </w:rPr>
              <w:t>estudo.</w:t>
            </w:r>
          </w:p>
        </w:tc>
      </w:tr>
      <w:tr w:rsidR="00CD6054" w14:paraId="111DE50F" w14:textId="77777777">
        <w:trPr>
          <w:trHeight w:val="915"/>
        </w:trPr>
        <w:tc>
          <w:tcPr>
            <w:tcW w:w="1346" w:type="dxa"/>
            <w:tcBorders>
              <w:top w:val="single" w:sz="6" w:space="0" w:color="000000"/>
              <w:bottom w:val="single" w:sz="6" w:space="0" w:color="000000"/>
            </w:tcBorders>
          </w:tcPr>
          <w:p w14:paraId="4662747A" w14:textId="77777777" w:rsidR="00CD6054" w:rsidRDefault="00A44E92">
            <w:pPr>
              <w:pStyle w:val="TableParagraph"/>
              <w:spacing w:before="184"/>
              <w:ind w:left="145" w:right="1"/>
              <w:jc w:val="center"/>
              <w:rPr>
                <w:rFonts w:ascii="Arial"/>
                <w:b/>
              </w:rPr>
            </w:pPr>
            <w:r>
              <w:rPr>
                <w:rFonts w:ascii="Arial"/>
                <w:b/>
                <w:spacing w:val="-4"/>
              </w:rPr>
              <w:t>Gene</w:t>
            </w:r>
          </w:p>
        </w:tc>
        <w:tc>
          <w:tcPr>
            <w:tcW w:w="1914" w:type="dxa"/>
            <w:tcBorders>
              <w:top w:val="single" w:sz="6" w:space="0" w:color="000000"/>
              <w:bottom w:val="single" w:sz="6" w:space="0" w:color="000000"/>
            </w:tcBorders>
          </w:tcPr>
          <w:p w14:paraId="4A1B5286" w14:textId="77777777" w:rsidR="00CD6054" w:rsidRDefault="00A44E92">
            <w:pPr>
              <w:pStyle w:val="TableParagraph"/>
              <w:spacing w:before="184"/>
              <w:ind w:left="157"/>
              <w:jc w:val="center"/>
              <w:rPr>
                <w:rFonts w:ascii="Arial"/>
                <w:b/>
              </w:rPr>
            </w:pPr>
            <w:r>
              <w:rPr>
                <w:rFonts w:ascii="Arial"/>
                <w:b/>
                <w:spacing w:val="-2"/>
              </w:rPr>
              <w:t>Cromossomo</w:t>
            </w:r>
          </w:p>
        </w:tc>
        <w:tc>
          <w:tcPr>
            <w:tcW w:w="1944" w:type="dxa"/>
            <w:tcBorders>
              <w:top w:val="single" w:sz="6" w:space="0" w:color="000000"/>
              <w:bottom w:val="single" w:sz="6" w:space="0" w:color="000000"/>
            </w:tcBorders>
          </w:tcPr>
          <w:p w14:paraId="1539AF3B" w14:textId="77777777" w:rsidR="00CD6054" w:rsidRDefault="00A44E92">
            <w:pPr>
              <w:pStyle w:val="TableParagraph"/>
              <w:spacing w:line="369" w:lineRule="auto"/>
              <w:ind w:left="389" w:hanging="225"/>
              <w:rPr>
                <w:rFonts w:ascii="Arial" w:hAnsi="Arial"/>
                <w:b/>
              </w:rPr>
            </w:pPr>
            <w:r>
              <w:rPr>
                <w:rFonts w:ascii="Arial" w:hAnsi="Arial"/>
                <w:b/>
                <w:spacing w:val="-2"/>
              </w:rPr>
              <w:t>Polimorfismo Genético</w:t>
            </w:r>
          </w:p>
        </w:tc>
        <w:tc>
          <w:tcPr>
            <w:tcW w:w="1281" w:type="dxa"/>
            <w:tcBorders>
              <w:top w:val="single" w:sz="6" w:space="0" w:color="000000"/>
              <w:bottom w:val="single" w:sz="6" w:space="0" w:color="000000"/>
            </w:tcBorders>
          </w:tcPr>
          <w:p w14:paraId="61042806" w14:textId="77777777" w:rsidR="00CD6054" w:rsidRDefault="00A44E92">
            <w:pPr>
              <w:pStyle w:val="TableParagraph"/>
              <w:spacing w:before="184"/>
              <w:ind w:left="7" w:right="57"/>
              <w:jc w:val="center"/>
              <w:rPr>
                <w:rFonts w:ascii="Arial"/>
                <w:b/>
              </w:rPr>
            </w:pPr>
            <w:r>
              <w:rPr>
                <w:rFonts w:ascii="Arial"/>
                <w:b/>
                <w:spacing w:val="-5"/>
              </w:rPr>
              <w:t>MFA</w:t>
            </w:r>
          </w:p>
        </w:tc>
        <w:tc>
          <w:tcPr>
            <w:tcW w:w="1698" w:type="dxa"/>
            <w:tcBorders>
              <w:top w:val="single" w:sz="6" w:space="0" w:color="000000"/>
              <w:bottom w:val="single" w:sz="6" w:space="0" w:color="000000"/>
            </w:tcBorders>
          </w:tcPr>
          <w:p w14:paraId="778053DB" w14:textId="77777777" w:rsidR="00CD6054" w:rsidRDefault="00A44E92">
            <w:pPr>
              <w:pStyle w:val="TableParagraph"/>
              <w:spacing w:line="369" w:lineRule="auto"/>
              <w:ind w:left="469" w:right="52" w:hanging="45"/>
              <w:rPr>
                <w:rFonts w:ascii="Arial" w:hAnsi="Arial"/>
                <w:b/>
              </w:rPr>
            </w:pPr>
            <w:r>
              <w:rPr>
                <w:rFonts w:ascii="Arial" w:hAnsi="Arial"/>
                <w:b/>
                <w:spacing w:val="-2"/>
              </w:rPr>
              <w:t xml:space="preserve">Alteração </w:t>
            </w:r>
            <w:r>
              <w:rPr>
                <w:rFonts w:ascii="Arial" w:hAnsi="Arial"/>
                <w:b/>
              </w:rPr>
              <w:t>da</w:t>
            </w:r>
            <w:r>
              <w:rPr>
                <w:rFonts w:ascii="Arial" w:hAnsi="Arial"/>
                <w:b/>
                <w:spacing w:val="-5"/>
              </w:rPr>
              <w:t xml:space="preserve"> </w:t>
            </w:r>
            <w:r>
              <w:rPr>
                <w:rFonts w:ascii="Arial" w:hAnsi="Arial"/>
                <w:b/>
                <w:spacing w:val="-2"/>
              </w:rPr>
              <w:t>Base*</w:t>
            </w:r>
          </w:p>
        </w:tc>
      </w:tr>
      <w:tr w:rsidR="00CD6054" w14:paraId="60DC5AAA" w14:textId="77777777">
        <w:trPr>
          <w:trHeight w:val="253"/>
        </w:trPr>
        <w:tc>
          <w:tcPr>
            <w:tcW w:w="1346" w:type="dxa"/>
            <w:tcBorders>
              <w:top w:val="single" w:sz="6" w:space="0" w:color="000000"/>
            </w:tcBorders>
          </w:tcPr>
          <w:p w14:paraId="42E92486" w14:textId="77777777" w:rsidR="00CD6054" w:rsidRDefault="00CD6054">
            <w:pPr>
              <w:pStyle w:val="TableParagraph"/>
              <w:rPr>
                <w:sz w:val="18"/>
              </w:rPr>
            </w:pPr>
          </w:p>
        </w:tc>
        <w:tc>
          <w:tcPr>
            <w:tcW w:w="1914" w:type="dxa"/>
            <w:tcBorders>
              <w:top w:val="single" w:sz="6" w:space="0" w:color="000000"/>
            </w:tcBorders>
          </w:tcPr>
          <w:p w14:paraId="052B0BBD" w14:textId="77777777" w:rsidR="00CD6054" w:rsidRDefault="00CD6054">
            <w:pPr>
              <w:pStyle w:val="TableParagraph"/>
              <w:rPr>
                <w:sz w:val="18"/>
              </w:rPr>
            </w:pPr>
          </w:p>
        </w:tc>
        <w:tc>
          <w:tcPr>
            <w:tcW w:w="1944" w:type="dxa"/>
            <w:tcBorders>
              <w:top w:val="single" w:sz="6" w:space="0" w:color="000000"/>
            </w:tcBorders>
          </w:tcPr>
          <w:p w14:paraId="5F6E0A14" w14:textId="77777777" w:rsidR="00CD6054" w:rsidRDefault="00A44E92">
            <w:pPr>
              <w:pStyle w:val="TableParagraph"/>
              <w:spacing w:line="232" w:lineRule="exact"/>
              <w:ind w:left="344"/>
              <w:rPr>
                <w:rFonts w:ascii="Arial"/>
                <w:i/>
              </w:rPr>
            </w:pPr>
            <w:r>
              <w:rPr>
                <w:rFonts w:ascii="Arial"/>
                <w:i/>
                <w:spacing w:val="-2"/>
              </w:rPr>
              <w:t>rs1800795</w:t>
            </w:r>
          </w:p>
        </w:tc>
        <w:tc>
          <w:tcPr>
            <w:tcW w:w="1281" w:type="dxa"/>
            <w:tcBorders>
              <w:top w:val="single" w:sz="6" w:space="0" w:color="000000"/>
            </w:tcBorders>
          </w:tcPr>
          <w:p w14:paraId="1B8598DB" w14:textId="77777777" w:rsidR="00CD6054" w:rsidRDefault="00A44E92">
            <w:pPr>
              <w:pStyle w:val="TableParagraph"/>
              <w:spacing w:line="232" w:lineRule="exact"/>
              <w:ind w:right="57"/>
              <w:jc w:val="center"/>
              <w:rPr>
                <w:rFonts w:ascii="Arial"/>
              </w:rPr>
            </w:pPr>
            <w:r>
              <w:rPr>
                <w:rFonts w:ascii="Arial"/>
                <w:spacing w:val="-4"/>
              </w:rPr>
              <w:t>0.14</w:t>
            </w:r>
          </w:p>
        </w:tc>
        <w:tc>
          <w:tcPr>
            <w:tcW w:w="1698" w:type="dxa"/>
            <w:tcBorders>
              <w:top w:val="single" w:sz="6" w:space="0" w:color="000000"/>
            </w:tcBorders>
          </w:tcPr>
          <w:p w14:paraId="6F45B923" w14:textId="77777777" w:rsidR="00CD6054" w:rsidRDefault="00A44E92">
            <w:pPr>
              <w:pStyle w:val="TableParagraph"/>
              <w:spacing w:line="232" w:lineRule="exact"/>
              <w:ind w:right="572"/>
              <w:jc w:val="right"/>
              <w:rPr>
                <w:rFonts w:ascii="Arial"/>
              </w:rPr>
            </w:pPr>
            <w:r>
              <w:rPr>
                <w:rFonts w:ascii="Arial"/>
                <w:spacing w:val="-5"/>
              </w:rPr>
              <w:t>C/G</w:t>
            </w:r>
          </w:p>
        </w:tc>
      </w:tr>
      <w:tr w:rsidR="00CD6054" w14:paraId="66545A2C" w14:textId="77777777">
        <w:trPr>
          <w:trHeight w:val="270"/>
        </w:trPr>
        <w:tc>
          <w:tcPr>
            <w:tcW w:w="1346" w:type="dxa"/>
          </w:tcPr>
          <w:p w14:paraId="008F1BC8" w14:textId="77777777" w:rsidR="00CD6054" w:rsidRDefault="00A44E92">
            <w:pPr>
              <w:pStyle w:val="TableParagraph"/>
              <w:spacing w:before="7" w:line="243" w:lineRule="exact"/>
              <w:ind w:left="145"/>
              <w:jc w:val="center"/>
              <w:rPr>
                <w:rFonts w:ascii="Arial"/>
                <w:i/>
              </w:rPr>
            </w:pPr>
            <w:r>
              <w:rPr>
                <w:rFonts w:ascii="Arial"/>
                <w:i/>
                <w:spacing w:val="-2"/>
              </w:rPr>
              <w:t>IL-</w:t>
            </w:r>
            <w:r>
              <w:rPr>
                <w:rFonts w:ascii="Arial"/>
                <w:i/>
                <w:spacing w:val="-10"/>
              </w:rPr>
              <w:t>6</w:t>
            </w:r>
          </w:p>
        </w:tc>
        <w:tc>
          <w:tcPr>
            <w:tcW w:w="1914" w:type="dxa"/>
          </w:tcPr>
          <w:p w14:paraId="0D2969FA" w14:textId="77777777" w:rsidR="00CD6054" w:rsidRDefault="00A44E92">
            <w:pPr>
              <w:pStyle w:val="TableParagraph"/>
              <w:spacing w:before="7" w:line="243" w:lineRule="exact"/>
              <w:ind w:left="157" w:right="12"/>
              <w:jc w:val="center"/>
              <w:rPr>
                <w:rFonts w:ascii="Arial"/>
              </w:rPr>
            </w:pPr>
            <w:r>
              <w:rPr>
                <w:rFonts w:ascii="Arial"/>
                <w:spacing w:val="-10"/>
              </w:rPr>
              <w:t>7</w:t>
            </w:r>
          </w:p>
        </w:tc>
        <w:tc>
          <w:tcPr>
            <w:tcW w:w="1944" w:type="dxa"/>
          </w:tcPr>
          <w:p w14:paraId="08D356A5" w14:textId="77777777" w:rsidR="00CD6054" w:rsidRDefault="00CD6054">
            <w:pPr>
              <w:pStyle w:val="TableParagraph"/>
              <w:rPr>
                <w:sz w:val="20"/>
              </w:rPr>
            </w:pPr>
          </w:p>
        </w:tc>
        <w:tc>
          <w:tcPr>
            <w:tcW w:w="1281" w:type="dxa"/>
          </w:tcPr>
          <w:p w14:paraId="2EAFA71C" w14:textId="77777777" w:rsidR="00CD6054" w:rsidRDefault="00CD6054">
            <w:pPr>
              <w:pStyle w:val="TableParagraph"/>
              <w:rPr>
                <w:sz w:val="20"/>
              </w:rPr>
            </w:pPr>
          </w:p>
        </w:tc>
        <w:tc>
          <w:tcPr>
            <w:tcW w:w="1698" w:type="dxa"/>
          </w:tcPr>
          <w:p w14:paraId="23AAB0FB" w14:textId="77777777" w:rsidR="00CD6054" w:rsidRDefault="00CD6054">
            <w:pPr>
              <w:pStyle w:val="TableParagraph"/>
              <w:rPr>
                <w:sz w:val="20"/>
              </w:rPr>
            </w:pPr>
          </w:p>
        </w:tc>
      </w:tr>
      <w:tr w:rsidR="00CD6054" w14:paraId="1ACDC008" w14:textId="77777777">
        <w:trPr>
          <w:trHeight w:val="543"/>
        </w:trPr>
        <w:tc>
          <w:tcPr>
            <w:tcW w:w="1346" w:type="dxa"/>
            <w:tcBorders>
              <w:bottom w:val="single" w:sz="6" w:space="0" w:color="000000"/>
            </w:tcBorders>
          </w:tcPr>
          <w:p w14:paraId="4D142908" w14:textId="77777777" w:rsidR="00CD6054" w:rsidRDefault="00CD6054">
            <w:pPr>
              <w:pStyle w:val="TableParagraph"/>
            </w:pPr>
          </w:p>
        </w:tc>
        <w:tc>
          <w:tcPr>
            <w:tcW w:w="1914" w:type="dxa"/>
            <w:tcBorders>
              <w:bottom w:val="single" w:sz="6" w:space="0" w:color="000000"/>
            </w:tcBorders>
          </w:tcPr>
          <w:p w14:paraId="1976EE60" w14:textId="77777777" w:rsidR="00CD6054" w:rsidRDefault="00CD6054">
            <w:pPr>
              <w:pStyle w:val="TableParagraph"/>
            </w:pPr>
          </w:p>
        </w:tc>
        <w:tc>
          <w:tcPr>
            <w:tcW w:w="1944" w:type="dxa"/>
            <w:tcBorders>
              <w:bottom w:val="single" w:sz="6" w:space="0" w:color="000000"/>
            </w:tcBorders>
          </w:tcPr>
          <w:p w14:paraId="02A3A3E2" w14:textId="77777777" w:rsidR="00CD6054" w:rsidRDefault="00A44E92">
            <w:pPr>
              <w:pStyle w:val="TableParagraph"/>
              <w:spacing w:before="6"/>
              <w:ind w:left="344"/>
              <w:rPr>
                <w:rFonts w:ascii="Arial"/>
                <w:i/>
              </w:rPr>
            </w:pPr>
            <w:r>
              <w:rPr>
                <w:rFonts w:ascii="Arial"/>
                <w:i/>
                <w:spacing w:val="-2"/>
              </w:rPr>
              <w:t>rs1524107</w:t>
            </w:r>
          </w:p>
        </w:tc>
        <w:tc>
          <w:tcPr>
            <w:tcW w:w="1281" w:type="dxa"/>
            <w:tcBorders>
              <w:bottom w:val="single" w:sz="6" w:space="0" w:color="000000"/>
            </w:tcBorders>
          </w:tcPr>
          <w:p w14:paraId="5AD2C1C2" w14:textId="77777777" w:rsidR="00CD6054" w:rsidRDefault="00A44E92">
            <w:pPr>
              <w:pStyle w:val="TableParagraph"/>
              <w:spacing w:before="6"/>
              <w:ind w:right="57"/>
              <w:jc w:val="center"/>
              <w:rPr>
                <w:rFonts w:ascii="Arial"/>
              </w:rPr>
            </w:pPr>
            <w:r>
              <w:rPr>
                <w:rFonts w:ascii="Arial"/>
                <w:spacing w:val="-4"/>
              </w:rPr>
              <w:t>0.30</w:t>
            </w:r>
          </w:p>
        </w:tc>
        <w:tc>
          <w:tcPr>
            <w:tcW w:w="1698" w:type="dxa"/>
            <w:tcBorders>
              <w:bottom w:val="single" w:sz="6" w:space="0" w:color="000000"/>
            </w:tcBorders>
          </w:tcPr>
          <w:p w14:paraId="62601335" w14:textId="77777777" w:rsidR="00CD6054" w:rsidRDefault="00A44E92">
            <w:pPr>
              <w:pStyle w:val="TableParagraph"/>
              <w:spacing w:before="6"/>
              <w:ind w:right="579"/>
              <w:jc w:val="right"/>
              <w:rPr>
                <w:rFonts w:ascii="Arial"/>
              </w:rPr>
            </w:pPr>
            <w:r>
              <w:rPr>
                <w:rFonts w:ascii="Arial"/>
                <w:spacing w:val="-5"/>
              </w:rPr>
              <w:t>C/T</w:t>
            </w:r>
          </w:p>
        </w:tc>
      </w:tr>
    </w:tbl>
    <w:p w14:paraId="624CBC56" w14:textId="77777777" w:rsidR="00CD6054" w:rsidRDefault="00A44E92">
      <w:pPr>
        <w:spacing w:before="13"/>
        <w:ind w:left="236"/>
        <w:jc w:val="both"/>
        <w:rPr>
          <w:rFonts w:ascii="Arial" w:hAnsi="Arial"/>
        </w:rPr>
      </w:pPr>
      <w:r>
        <w:rPr>
          <w:rFonts w:ascii="Arial" w:hAnsi="Arial"/>
          <w:b/>
        </w:rPr>
        <w:t>Nota:</w:t>
      </w:r>
      <w:r>
        <w:rPr>
          <w:rFonts w:ascii="Arial" w:hAnsi="Arial"/>
          <w:b/>
          <w:spacing w:val="4"/>
        </w:rPr>
        <w:t xml:space="preserve"> </w:t>
      </w:r>
      <w:r>
        <w:rPr>
          <w:rFonts w:ascii="Arial" w:hAnsi="Arial"/>
        </w:rPr>
        <w:t>MFA</w:t>
      </w:r>
      <w:r>
        <w:rPr>
          <w:rFonts w:ascii="Arial" w:hAnsi="Arial"/>
          <w:spacing w:val="3"/>
        </w:rPr>
        <w:t xml:space="preserve"> </w:t>
      </w:r>
      <w:r>
        <w:rPr>
          <w:rFonts w:ascii="Arial" w:hAnsi="Arial"/>
        </w:rPr>
        <w:t>significa</w:t>
      </w:r>
      <w:r>
        <w:rPr>
          <w:rFonts w:ascii="Arial" w:hAnsi="Arial"/>
          <w:spacing w:val="-3"/>
        </w:rPr>
        <w:t xml:space="preserve"> </w:t>
      </w:r>
      <w:r>
        <w:rPr>
          <w:rFonts w:ascii="Arial" w:hAnsi="Arial"/>
        </w:rPr>
        <w:t>a</w:t>
      </w:r>
      <w:r>
        <w:rPr>
          <w:rFonts w:ascii="Arial" w:hAnsi="Arial"/>
          <w:spacing w:val="-3"/>
        </w:rPr>
        <w:t xml:space="preserve"> </w:t>
      </w:r>
      <w:r>
        <w:rPr>
          <w:rFonts w:ascii="Arial" w:hAnsi="Arial"/>
        </w:rPr>
        <w:t>menor</w:t>
      </w:r>
      <w:r>
        <w:rPr>
          <w:rFonts w:ascii="Arial" w:hAnsi="Arial"/>
          <w:spacing w:val="2"/>
        </w:rPr>
        <w:t xml:space="preserve"> </w:t>
      </w:r>
      <w:r>
        <w:rPr>
          <w:rFonts w:ascii="Arial" w:hAnsi="Arial"/>
        </w:rPr>
        <w:t>frequência</w:t>
      </w:r>
      <w:r>
        <w:rPr>
          <w:rFonts w:ascii="Arial" w:hAnsi="Arial"/>
          <w:spacing w:val="-3"/>
        </w:rPr>
        <w:t xml:space="preserve"> </w:t>
      </w:r>
      <w:r>
        <w:rPr>
          <w:rFonts w:ascii="Arial" w:hAnsi="Arial"/>
          <w:spacing w:val="-2"/>
        </w:rPr>
        <w:t>alélica</w:t>
      </w:r>
    </w:p>
    <w:p w14:paraId="34E20962" w14:textId="77777777" w:rsidR="00CD6054" w:rsidRDefault="00CD6054">
      <w:pPr>
        <w:pStyle w:val="BodyText"/>
        <w:rPr>
          <w:rFonts w:ascii="Arial"/>
          <w:sz w:val="22"/>
        </w:rPr>
      </w:pPr>
    </w:p>
    <w:p w14:paraId="5E8EBBC8" w14:textId="77777777" w:rsidR="00CD6054" w:rsidRDefault="00CD6054">
      <w:pPr>
        <w:pStyle w:val="BodyText"/>
        <w:spacing w:before="229"/>
        <w:rPr>
          <w:rFonts w:ascii="Arial"/>
          <w:sz w:val="22"/>
        </w:rPr>
      </w:pPr>
    </w:p>
    <w:p w14:paraId="24C6D6ED" w14:textId="572425D1" w:rsidR="00CD6054" w:rsidRPr="00572BAD" w:rsidRDefault="00A44E92">
      <w:pPr>
        <w:pStyle w:val="Heading1"/>
        <w:numPr>
          <w:ilvl w:val="1"/>
          <w:numId w:val="7"/>
        </w:numPr>
        <w:tabs>
          <w:tab w:val="left" w:pos="1318"/>
        </w:tabs>
        <w:ind w:hanging="721"/>
        <w:rPr>
          <w:color w:val="7030A0"/>
        </w:rPr>
      </w:pPr>
      <w:r w:rsidRPr="00572BAD">
        <w:rPr>
          <w:color w:val="7030A0"/>
        </w:rPr>
        <w:t>Análise</w:t>
      </w:r>
      <w:r w:rsidR="00572BAD" w:rsidRPr="00572BAD">
        <w:rPr>
          <w:color w:val="7030A0"/>
          <w:spacing w:val="-2"/>
        </w:rPr>
        <w:t xml:space="preserve"> de disfunção temporomandibular e zumbido</w:t>
      </w:r>
      <w:r w:rsidRPr="00572BAD">
        <w:rPr>
          <w:color w:val="7030A0"/>
          <w:spacing w:val="-2"/>
        </w:rPr>
        <w:t>:</w:t>
      </w:r>
    </w:p>
    <w:p w14:paraId="502083E9" w14:textId="36DFA346" w:rsidR="00572BAD" w:rsidRDefault="00455D49" w:rsidP="00572BAD">
      <w:pPr>
        <w:pStyle w:val="Heading1"/>
        <w:tabs>
          <w:tab w:val="left" w:pos="1318"/>
        </w:tabs>
        <w:spacing w:before="68" w:line="360" w:lineRule="auto"/>
        <w:ind w:left="238" w:right="261" w:firstLine="709"/>
        <w:jc w:val="both"/>
        <w:rPr>
          <w:b w:val="0"/>
          <w:bCs w:val="0"/>
          <w:color w:val="7030A0"/>
        </w:rPr>
      </w:pPr>
      <w:r>
        <w:rPr>
          <w:b w:val="0"/>
          <w:bCs w:val="0"/>
          <w:color w:val="7030A0"/>
        </w:rPr>
        <w:t>A presença de disfunção temporomandibular (DTM) será por meio d</w:t>
      </w:r>
      <w:r w:rsidR="00572BAD" w:rsidRPr="00572BAD">
        <w:rPr>
          <w:b w:val="0"/>
          <w:bCs w:val="0"/>
          <w:color w:val="7030A0"/>
        </w:rPr>
        <w:t xml:space="preserve">o Critério Diagnóstico para Disfunções Temporomandibulares (DC/TMD), (ANEXO 23.3), adaptado e validado para língua portuguesa do Brasil por Pereira Júnior e Gonçalves D em 2019 (Goncalves, 2019). Os examinadores </w:t>
      </w:r>
      <w:r w:rsidR="00A44E92">
        <w:rPr>
          <w:b w:val="0"/>
          <w:bCs w:val="0"/>
          <w:color w:val="7030A0"/>
        </w:rPr>
        <w:t>serão</w:t>
      </w:r>
      <w:r w:rsidR="00572BAD" w:rsidRPr="00572BAD">
        <w:rPr>
          <w:b w:val="0"/>
          <w:bCs w:val="0"/>
          <w:color w:val="7030A0"/>
        </w:rPr>
        <w:t xml:space="preserve"> previamente calibrados para uso dessa ferramenta </w:t>
      </w:r>
      <w:r w:rsidR="00572BAD" w:rsidRPr="00572BAD">
        <w:rPr>
          <w:b w:val="0"/>
          <w:bCs w:val="0"/>
          <w:color w:val="7030A0"/>
        </w:rPr>
        <w:lastRenderedPageBreak/>
        <w:t>de diagnóstico.  De acordo com este critério diagnóstico, os indivíduos serão classificados em DTM por comprometimento articular, muscular ou ambos (Schiffman et al., 2014).</w:t>
      </w:r>
    </w:p>
    <w:p w14:paraId="07AEFB73" w14:textId="77777777" w:rsidR="00572BAD" w:rsidRDefault="00572BAD" w:rsidP="00572BAD">
      <w:pPr>
        <w:pStyle w:val="BodyText"/>
        <w:spacing w:line="357" w:lineRule="auto"/>
        <w:ind w:left="236" w:right="243" w:firstLine="706"/>
        <w:jc w:val="both"/>
        <w:rPr>
          <w:color w:val="7030A0"/>
        </w:rPr>
      </w:pPr>
      <w:r w:rsidRPr="00782E9C">
        <w:rPr>
          <w:color w:val="7030A0"/>
        </w:rPr>
        <w:t>A presença de zumbido somatosensorial (ZS) será investigada por meio de perguntas específicas que indicam um provável ZS, uni ou bilateral, de acordo com os critérios propostos por Michiels et al.  2022. Para esta pesquisa, ficará definido que a presença de provável ZS se estabelece quando o participante responder positivamente as perguntas de escaneamento: “Você tem zumbido nos seus ouvidos E desconforto na região da face, cabeça e/ou pescoço?” e “Seu zumbido acompanha os períodos de desconforto na região da face, cabeça e/ou pescoço?”.</w:t>
      </w:r>
    </w:p>
    <w:p w14:paraId="59041ECA" w14:textId="7EA01DAF" w:rsidR="00D53E07" w:rsidRPr="00782E9C" w:rsidRDefault="00D53E07" w:rsidP="00572BAD">
      <w:pPr>
        <w:pStyle w:val="BodyText"/>
        <w:spacing w:line="357" w:lineRule="auto"/>
        <w:ind w:left="236" w:right="243" w:firstLine="706"/>
        <w:jc w:val="both"/>
        <w:rPr>
          <w:color w:val="7030A0"/>
        </w:rPr>
      </w:pPr>
      <w:r>
        <w:rPr>
          <w:color w:val="7030A0"/>
        </w:rPr>
        <w:t>A presença de dor será investigada por meio da escala visual analógica de dor (EVA)</w:t>
      </w:r>
      <w:r w:rsidR="00AB4D46">
        <w:rPr>
          <w:color w:val="7030A0"/>
        </w:rPr>
        <w:t xml:space="preserve"> (</w:t>
      </w:r>
      <w:bookmarkStart w:id="0" w:name="_GoBack"/>
      <w:bookmarkEnd w:id="0"/>
      <w:r w:rsidR="00AB4D46">
        <w:rPr>
          <w:color w:val="7030A0"/>
        </w:rPr>
        <w:t>ANEXO 23.1)</w:t>
      </w:r>
      <w:r w:rsidR="00F82430">
        <w:rPr>
          <w:color w:val="7030A0"/>
        </w:rPr>
        <w:t>.</w:t>
      </w:r>
    </w:p>
    <w:p w14:paraId="2E477DB9" w14:textId="77777777" w:rsidR="00572BAD" w:rsidRPr="00572BAD" w:rsidRDefault="00572BAD" w:rsidP="00572BAD">
      <w:pPr>
        <w:pStyle w:val="Heading1"/>
        <w:tabs>
          <w:tab w:val="left" w:pos="1318"/>
        </w:tabs>
        <w:spacing w:before="68"/>
        <w:ind w:left="238" w:right="261" w:firstLine="1315"/>
        <w:jc w:val="both"/>
        <w:rPr>
          <w:b w:val="0"/>
          <w:bCs w:val="0"/>
          <w:color w:val="7030A0"/>
        </w:rPr>
      </w:pPr>
    </w:p>
    <w:p w14:paraId="4E012AD4" w14:textId="417D4D1F" w:rsidR="00572BAD" w:rsidRPr="00572BAD" w:rsidRDefault="00572BAD" w:rsidP="00572BAD">
      <w:pPr>
        <w:pStyle w:val="Heading1"/>
        <w:numPr>
          <w:ilvl w:val="1"/>
          <w:numId w:val="7"/>
        </w:numPr>
        <w:tabs>
          <w:tab w:val="left" w:pos="1318"/>
        </w:tabs>
        <w:ind w:hanging="721"/>
      </w:pPr>
      <w:r>
        <w:rPr>
          <w:spacing w:val="-2"/>
        </w:rPr>
        <w:t>Análise estatística:</w:t>
      </w:r>
    </w:p>
    <w:p w14:paraId="664D13F9" w14:textId="77777777" w:rsidR="00572BAD" w:rsidRDefault="00572BAD" w:rsidP="00572BAD">
      <w:pPr>
        <w:tabs>
          <w:tab w:val="left" w:pos="5340"/>
        </w:tabs>
      </w:pPr>
    </w:p>
    <w:p w14:paraId="060CE2BD" w14:textId="7F0462BE" w:rsidR="00402437" w:rsidRPr="00572BAD" w:rsidRDefault="00572BAD" w:rsidP="00572BAD">
      <w:pPr>
        <w:tabs>
          <w:tab w:val="left" w:pos="5340"/>
        </w:tabs>
        <w:spacing w:before="68" w:line="360" w:lineRule="auto"/>
        <w:ind w:left="238" w:right="261" w:firstLine="709"/>
        <w:jc w:val="both"/>
        <w:rPr>
          <w:sz w:val="24"/>
          <w:szCs w:val="24"/>
        </w:rPr>
      </w:pPr>
      <w:r w:rsidRPr="00572BAD">
        <w:rPr>
          <w:sz w:val="24"/>
          <w:szCs w:val="24"/>
        </w:rPr>
        <w:t>Os dados serão submetidos</w:t>
      </w:r>
      <w:r w:rsidRPr="00572BAD">
        <w:rPr>
          <w:spacing w:val="-6"/>
          <w:sz w:val="24"/>
          <w:szCs w:val="24"/>
        </w:rPr>
        <w:t xml:space="preserve"> </w:t>
      </w:r>
      <w:r w:rsidRPr="00572BAD">
        <w:rPr>
          <w:sz w:val="24"/>
          <w:szCs w:val="24"/>
        </w:rPr>
        <w:t>aos</w:t>
      </w:r>
      <w:r w:rsidRPr="00572BAD">
        <w:rPr>
          <w:spacing w:val="-6"/>
          <w:sz w:val="24"/>
          <w:szCs w:val="24"/>
        </w:rPr>
        <w:t xml:space="preserve"> </w:t>
      </w:r>
      <w:r w:rsidRPr="00572BAD">
        <w:rPr>
          <w:sz w:val="24"/>
          <w:szCs w:val="24"/>
        </w:rPr>
        <w:t>testes</w:t>
      </w:r>
      <w:r w:rsidRPr="00572BAD">
        <w:rPr>
          <w:spacing w:val="-6"/>
          <w:sz w:val="24"/>
          <w:szCs w:val="24"/>
        </w:rPr>
        <w:t xml:space="preserve"> </w:t>
      </w:r>
      <w:r w:rsidRPr="00572BAD">
        <w:rPr>
          <w:sz w:val="24"/>
          <w:szCs w:val="24"/>
        </w:rPr>
        <w:t>de</w:t>
      </w:r>
      <w:r w:rsidRPr="00572BAD">
        <w:rPr>
          <w:spacing w:val="-4"/>
          <w:sz w:val="24"/>
          <w:szCs w:val="24"/>
        </w:rPr>
        <w:t xml:space="preserve"> </w:t>
      </w:r>
      <w:r w:rsidRPr="00572BAD">
        <w:rPr>
          <w:sz w:val="24"/>
          <w:szCs w:val="24"/>
        </w:rPr>
        <w:t>normalidade. Posteriormente</w:t>
      </w:r>
      <w:r w:rsidRPr="00572BAD">
        <w:rPr>
          <w:spacing w:val="-1"/>
          <w:sz w:val="24"/>
          <w:szCs w:val="24"/>
        </w:rPr>
        <w:t xml:space="preserve"> </w:t>
      </w:r>
      <w:r w:rsidRPr="00572BAD">
        <w:rPr>
          <w:sz w:val="24"/>
          <w:szCs w:val="24"/>
        </w:rPr>
        <w:t>serão</w:t>
      </w:r>
      <w:r w:rsidRPr="00572BAD">
        <w:rPr>
          <w:spacing w:val="-2"/>
          <w:sz w:val="24"/>
          <w:szCs w:val="24"/>
        </w:rPr>
        <w:t xml:space="preserve"> </w:t>
      </w:r>
      <w:r w:rsidRPr="00572BAD">
        <w:rPr>
          <w:sz w:val="24"/>
          <w:szCs w:val="24"/>
        </w:rPr>
        <w:t>analisados por ANOVA de uma via seguida por pós teste de Tukey. Um</w:t>
      </w:r>
      <w:r w:rsidRPr="00572BAD">
        <w:rPr>
          <w:spacing w:val="-6"/>
          <w:sz w:val="24"/>
          <w:szCs w:val="24"/>
        </w:rPr>
        <w:t xml:space="preserve"> </w:t>
      </w:r>
      <w:r w:rsidRPr="00572BAD">
        <w:rPr>
          <w:sz w:val="24"/>
          <w:szCs w:val="24"/>
        </w:rPr>
        <w:t>valor</w:t>
      </w:r>
      <w:r w:rsidRPr="00572BAD">
        <w:rPr>
          <w:spacing w:val="-5"/>
          <w:sz w:val="24"/>
          <w:szCs w:val="24"/>
        </w:rPr>
        <w:t xml:space="preserve"> </w:t>
      </w:r>
      <w:r w:rsidRPr="00572BAD">
        <w:rPr>
          <w:sz w:val="24"/>
          <w:szCs w:val="24"/>
        </w:rPr>
        <w:t>de</w:t>
      </w:r>
      <w:r w:rsidRPr="00572BAD">
        <w:rPr>
          <w:spacing w:val="-1"/>
          <w:sz w:val="24"/>
          <w:szCs w:val="24"/>
        </w:rPr>
        <w:t xml:space="preserve"> </w:t>
      </w:r>
      <w:r w:rsidRPr="00572BAD">
        <w:rPr>
          <w:sz w:val="24"/>
          <w:szCs w:val="24"/>
        </w:rPr>
        <w:t>p menos</w:t>
      </w:r>
      <w:r w:rsidRPr="00572BAD">
        <w:rPr>
          <w:spacing w:val="-3"/>
          <w:sz w:val="24"/>
          <w:szCs w:val="24"/>
        </w:rPr>
        <w:t xml:space="preserve"> </w:t>
      </w:r>
      <w:r w:rsidRPr="00572BAD">
        <w:rPr>
          <w:sz w:val="24"/>
          <w:szCs w:val="24"/>
        </w:rPr>
        <w:t>que</w:t>
      </w:r>
      <w:r w:rsidRPr="00572BAD">
        <w:rPr>
          <w:spacing w:val="-1"/>
          <w:sz w:val="24"/>
          <w:szCs w:val="24"/>
        </w:rPr>
        <w:t xml:space="preserve"> </w:t>
      </w:r>
      <w:r w:rsidRPr="00572BAD">
        <w:rPr>
          <w:sz w:val="24"/>
          <w:szCs w:val="24"/>
        </w:rPr>
        <w:t>0,05 será considerado significativo. Variáveis categóricas serão analisadas por teste qui-quadrado. Será utilizado o software GraphPad Prism 9.0.1 (La Jolla, CA, USA).</w:t>
      </w:r>
    </w:p>
    <w:p w14:paraId="7428D525" w14:textId="77777777" w:rsidR="00CD6054" w:rsidRDefault="00CD6054">
      <w:pPr>
        <w:pStyle w:val="BodyText"/>
      </w:pPr>
    </w:p>
    <w:p w14:paraId="5D85DBDC" w14:textId="77777777" w:rsidR="00CD6054" w:rsidRDefault="00CD6054">
      <w:pPr>
        <w:pStyle w:val="BodyText"/>
        <w:spacing w:before="145"/>
      </w:pPr>
    </w:p>
    <w:p w14:paraId="735064A8" w14:textId="77777777" w:rsidR="00CD6054" w:rsidRDefault="00A44E92">
      <w:pPr>
        <w:pStyle w:val="Heading1"/>
        <w:numPr>
          <w:ilvl w:val="0"/>
          <w:numId w:val="7"/>
        </w:numPr>
        <w:tabs>
          <w:tab w:val="left" w:pos="957"/>
        </w:tabs>
        <w:ind w:left="957" w:hanging="360"/>
      </w:pPr>
      <w:r>
        <w:t xml:space="preserve">Resultados </w:t>
      </w:r>
      <w:r>
        <w:rPr>
          <w:spacing w:val="-2"/>
        </w:rPr>
        <w:t>Esperados:</w:t>
      </w:r>
    </w:p>
    <w:p w14:paraId="6E3263C9" w14:textId="77777777" w:rsidR="00CD6054" w:rsidRDefault="00CD6054">
      <w:pPr>
        <w:pStyle w:val="BodyText"/>
        <w:rPr>
          <w:b/>
        </w:rPr>
      </w:pPr>
    </w:p>
    <w:p w14:paraId="1E2AFF72" w14:textId="77777777" w:rsidR="00CD6054" w:rsidRDefault="00CD6054">
      <w:pPr>
        <w:pStyle w:val="BodyText"/>
        <w:spacing w:before="42"/>
        <w:rPr>
          <w:b/>
        </w:rPr>
      </w:pPr>
    </w:p>
    <w:p w14:paraId="729681C4" w14:textId="77777777" w:rsidR="00CD6054" w:rsidRDefault="00A44E92">
      <w:pPr>
        <w:pStyle w:val="BodyText"/>
        <w:spacing w:line="357" w:lineRule="auto"/>
        <w:ind w:left="236" w:right="243" w:firstLine="706"/>
        <w:jc w:val="both"/>
      </w:pPr>
      <w:r>
        <w:t>Espera-se observar a melhora nos parâmetros clínicos periodontais com a terapia fotodinâmica antimicrobiana. Espera-se também compreender o potencial dos polimorfismos genéticos da IL-6 em pacientes que apresentam a doença periodontal e doença renal crônica. Os resultados serão comparados com dados já existentes na literatura. Os resultados obtidos podem auxiliar na compreensão da etiopatogenia de ambas as doenças, bem como podem orientar em estudos futuros e melhores formas de tratamento a esses pacientes.</w:t>
      </w:r>
    </w:p>
    <w:p w14:paraId="12FD35BD" w14:textId="77777777" w:rsidR="00CD6054" w:rsidRDefault="00CD6054">
      <w:pPr>
        <w:pStyle w:val="BodyText"/>
      </w:pPr>
    </w:p>
    <w:p w14:paraId="17035F1E" w14:textId="77777777" w:rsidR="00CD6054" w:rsidRDefault="00CD6054">
      <w:pPr>
        <w:pStyle w:val="BodyText"/>
        <w:spacing w:before="179"/>
      </w:pPr>
    </w:p>
    <w:p w14:paraId="7764B200" w14:textId="77777777" w:rsidR="00CD6054" w:rsidRDefault="00A44E92">
      <w:pPr>
        <w:pStyle w:val="Heading1"/>
        <w:numPr>
          <w:ilvl w:val="0"/>
          <w:numId w:val="7"/>
        </w:numPr>
        <w:tabs>
          <w:tab w:val="left" w:pos="957"/>
        </w:tabs>
        <w:ind w:left="957" w:hanging="360"/>
      </w:pPr>
      <w:r>
        <w:t>Análise</w:t>
      </w:r>
      <w:r>
        <w:rPr>
          <w:spacing w:val="5"/>
        </w:rPr>
        <w:t xml:space="preserve"> </w:t>
      </w:r>
      <w:r>
        <w:t>Crítica</w:t>
      </w:r>
      <w:r>
        <w:rPr>
          <w:spacing w:val="5"/>
        </w:rPr>
        <w:t xml:space="preserve"> </w:t>
      </w:r>
      <w:r>
        <w:t>de</w:t>
      </w:r>
      <w:r>
        <w:rPr>
          <w:spacing w:val="-8"/>
        </w:rPr>
        <w:t xml:space="preserve"> </w:t>
      </w:r>
      <w:r>
        <w:t>Riscos</w:t>
      </w:r>
      <w:r>
        <w:rPr>
          <w:spacing w:val="-10"/>
        </w:rPr>
        <w:t xml:space="preserve"> </w:t>
      </w:r>
      <w:r>
        <w:t>e</w:t>
      </w:r>
      <w:r>
        <w:rPr>
          <w:spacing w:val="-8"/>
        </w:rPr>
        <w:t xml:space="preserve"> </w:t>
      </w:r>
      <w:r>
        <w:rPr>
          <w:spacing w:val="-2"/>
        </w:rPr>
        <w:t>Benefícios:</w:t>
      </w:r>
    </w:p>
    <w:p w14:paraId="6D0D9B5D" w14:textId="77777777" w:rsidR="00CD6054" w:rsidRDefault="00CD6054">
      <w:pPr>
        <w:pStyle w:val="BodyText"/>
        <w:spacing w:before="34"/>
        <w:rPr>
          <w:b/>
        </w:rPr>
      </w:pPr>
    </w:p>
    <w:p w14:paraId="3E0E383F" w14:textId="77777777" w:rsidR="00CD6054" w:rsidRDefault="00A44E92">
      <w:pPr>
        <w:pStyle w:val="ListParagraph"/>
        <w:numPr>
          <w:ilvl w:val="1"/>
          <w:numId w:val="3"/>
        </w:numPr>
        <w:tabs>
          <w:tab w:val="left" w:pos="957"/>
        </w:tabs>
        <w:ind w:left="957" w:hanging="360"/>
        <w:rPr>
          <w:b/>
          <w:sz w:val="24"/>
        </w:rPr>
      </w:pPr>
      <w:r>
        <w:rPr>
          <w:b/>
          <w:sz w:val="24"/>
        </w:rPr>
        <w:t>Quais</w:t>
      </w:r>
      <w:r>
        <w:rPr>
          <w:b/>
          <w:spacing w:val="1"/>
          <w:sz w:val="24"/>
        </w:rPr>
        <w:t xml:space="preserve"> </w:t>
      </w:r>
      <w:r>
        <w:rPr>
          <w:b/>
          <w:sz w:val="24"/>
        </w:rPr>
        <w:t>os</w:t>
      </w:r>
      <w:r>
        <w:rPr>
          <w:b/>
          <w:spacing w:val="-10"/>
          <w:sz w:val="24"/>
        </w:rPr>
        <w:t xml:space="preserve"> </w:t>
      </w:r>
      <w:r>
        <w:rPr>
          <w:b/>
          <w:sz w:val="24"/>
        </w:rPr>
        <w:t>benefícios,</w:t>
      </w:r>
      <w:r>
        <w:rPr>
          <w:b/>
          <w:spacing w:val="7"/>
          <w:sz w:val="24"/>
        </w:rPr>
        <w:t xml:space="preserve"> </w:t>
      </w:r>
      <w:r>
        <w:rPr>
          <w:b/>
          <w:sz w:val="24"/>
        </w:rPr>
        <w:t>diretos</w:t>
      </w:r>
      <w:r>
        <w:rPr>
          <w:b/>
          <w:spacing w:val="3"/>
          <w:sz w:val="24"/>
        </w:rPr>
        <w:t xml:space="preserve"> </w:t>
      </w:r>
      <w:r>
        <w:rPr>
          <w:b/>
          <w:sz w:val="24"/>
        </w:rPr>
        <w:t>ou</w:t>
      </w:r>
      <w:r>
        <w:rPr>
          <w:b/>
          <w:spacing w:val="-5"/>
          <w:sz w:val="24"/>
        </w:rPr>
        <w:t xml:space="preserve"> </w:t>
      </w:r>
      <w:r>
        <w:rPr>
          <w:b/>
          <w:sz w:val="24"/>
        </w:rPr>
        <w:t>indiretos,</w:t>
      </w:r>
      <w:r>
        <w:rPr>
          <w:b/>
          <w:spacing w:val="6"/>
          <w:sz w:val="24"/>
        </w:rPr>
        <w:t xml:space="preserve"> </w:t>
      </w:r>
      <w:r>
        <w:rPr>
          <w:b/>
          <w:sz w:val="24"/>
        </w:rPr>
        <w:t>para</w:t>
      </w:r>
      <w:r>
        <w:rPr>
          <w:b/>
          <w:spacing w:val="-6"/>
          <w:sz w:val="24"/>
        </w:rPr>
        <w:t xml:space="preserve"> </w:t>
      </w:r>
      <w:r>
        <w:rPr>
          <w:b/>
          <w:sz w:val="24"/>
        </w:rPr>
        <w:t>a</w:t>
      </w:r>
      <w:r>
        <w:rPr>
          <w:b/>
          <w:spacing w:val="-6"/>
          <w:sz w:val="24"/>
        </w:rPr>
        <w:t xml:space="preserve"> </w:t>
      </w:r>
      <w:r>
        <w:rPr>
          <w:b/>
          <w:sz w:val="24"/>
        </w:rPr>
        <w:t>população</w:t>
      </w:r>
      <w:r>
        <w:rPr>
          <w:b/>
          <w:spacing w:val="6"/>
          <w:sz w:val="24"/>
        </w:rPr>
        <w:t xml:space="preserve"> </w:t>
      </w:r>
      <w:r>
        <w:rPr>
          <w:b/>
          <w:sz w:val="24"/>
        </w:rPr>
        <w:t>e</w:t>
      </w:r>
      <w:r>
        <w:rPr>
          <w:b/>
          <w:spacing w:val="-8"/>
          <w:sz w:val="24"/>
        </w:rPr>
        <w:t xml:space="preserve"> </w:t>
      </w:r>
      <w:r>
        <w:rPr>
          <w:b/>
          <w:sz w:val="24"/>
        </w:rPr>
        <w:t>a</w:t>
      </w:r>
      <w:r>
        <w:rPr>
          <w:b/>
          <w:spacing w:val="-6"/>
          <w:sz w:val="24"/>
        </w:rPr>
        <w:t xml:space="preserve"> </w:t>
      </w:r>
      <w:r>
        <w:rPr>
          <w:b/>
          <w:spacing w:val="-2"/>
          <w:sz w:val="24"/>
        </w:rPr>
        <w:t>sociedade?</w:t>
      </w:r>
    </w:p>
    <w:p w14:paraId="42908D4C" w14:textId="77777777" w:rsidR="00CD6054" w:rsidRDefault="00CD6054">
      <w:pPr>
        <w:pStyle w:val="BodyText"/>
        <w:spacing w:before="33"/>
        <w:rPr>
          <w:b/>
        </w:rPr>
      </w:pPr>
    </w:p>
    <w:p w14:paraId="3E89703B" w14:textId="77777777" w:rsidR="00CD6054" w:rsidRDefault="00A44E92">
      <w:pPr>
        <w:pStyle w:val="BodyText"/>
        <w:spacing w:line="357" w:lineRule="auto"/>
        <w:ind w:left="236" w:right="245" w:firstLine="706"/>
        <w:jc w:val="both"/>
      </w:pPr>
      <w:r>
        <w:t xml:space="preserve">Os resultados obtidos neste estudo poderão orientar estudos futuros, direcionar melhores tratamentos, bem como melhorar a qualidade de vida dos pacientes com doença renal crônica por meio do controle da doença periodontal e consequente redução do perfil inflamatório. Os pacientes do grupo controle serão beneficiados pelo fato de realizarem, sem </w:t>
      </w:r>
      <w:r>
        <w:lastRenderedPageBreak/>
        <w:t>custo, o exame sorológico bem como análise salivar. Caso seja observada alguma alteração nesses exames, os pacientes serão informados dessa condição.</w:t>
      </w:r>
    </w:p>
    <w:p w14:paraId="39A3562F" w14:textId="77777777" w:rsidR="00CD6054" w:rsidRDefault="00A44E92">
      <w:pPr>
        <w:pStyle w:val="BodyText"/>
        <w:spacing w:before="176" w:line="357" w:lineRule="auto"/>
        <w:ind w:left="236" w:right="239" w:firstLine="706"/>
        <w:jc w:val="both"/>
        <w:rPr>
          <w:color w:val="6FAC46"/>
        </w:rPr>
      </w:pPr>
      <w:r>
        <w:rPr>
          <w:color w:val="6FAC46"/>
        </w:rPr>
        <w:t>Caso a terapia fotodinâmica antimicrobiana apresente melhoras significativas nas regiões de inflamação periodontal que receberam esta terapia, será feita a aplicação desta terapia nos dentes que não receberam, a fim de propiciar aos pacientes (da Fundação Pró- Renal e da Universidade Federal do Paraná) o melhor tratamento que podemos oferecer.</w:t>
      </w:r>
    </w:p>
    <w:p w14:paraId="5823B58A" w14:textId="43E78C6B" w:rsidR="00A44E92" w:rsidRDefault="00A44E92">
      <w:pPr>
        <w:pStyle w:val="BodyText"/>
        <w:spacing w:before="176" w:line="357" w:lineRule="auto"/>
        <w:ind w:left="236" w:right="239" w:firstLine="706"/>
        <w:jc w:val="both"/>
      </w:pPr>
      <w:r w:rsidRPr="00A44E92">
        <w:rPr>
          <w:color w:val="8064A2" w:themeColor="accent4"/>
        </w:rPr>
        <w:t xml:space="preserve">Os participantes serão avaliados quanto à presença de disfunção temporomandibular (DTM), por meio do Critério Diagnóstico para Disfunções Temporomandibulares </w:t>
      </w:r>
      <w:r w:rsidRPr="00A44E92">
        <w:rPr>
          <w:color w:val="7030A0"/>
        </w:rPr>
        <w:t>(DC/TMD)</w:t>
      </w:r>
      <w:r>
        <w:rPr>
          <w:color w:val="7030A0"/>
        </w:rPr>
        <w:t>. No caso da presença, os participantes serão orientados quanto a esta condição e serão encaminhados para devido atendimento na clínica odontológica da UFPR.</w:t>
      </w:r>
    </w:p>
    <w:p w14:paraId="4A2E1F3E" w14:textId="77777777" w:rsidR="00CD6054" w:rsidRDefault="00A44E92">
      <w:pPr>
        <w:pStyle w:val="Heading1"/>
        <w:numPr>
          <w:ilvl w:val="1"/>
          <w:numId w:val="3"/>
        </w:numPr>
        <w:tabs>
          <w:tab w:val="left" w:pos="957"/>
        </w:tabs>
        <w:spacing w:before="156"/>
        <w:ind w:left="957" w:hanging="360"/>
        <w:jc w:val="both"/>
      </w:pPr>
      <w:r>
        <w:t>Quais</w:t>
      </w:r>
      <w:r>
        <w:rPr>
          <w:spacing w:val="1"/>
        </w:rPr>
        <w:t xml:space="preserve"> </w:t>
      </w:r>
      <w:r>
        <w:t>os</w:t>
      </w:r>
      <w:r>
        <w:rPr>
          <w:spacing w:val="-11"/>
        </w:rPr>
        <w:t xml:space="preserve"> </w:t>
      </w:r>
      <w:r>
        <w:t>riscos</w:t>
      </w:r>
      <w:r>
        <w:rPr>
          <w:spacing w:val="2"/>
        </w:rPr>
        <w:t xml:space="preserve"> </w:t>
      </w:r>
      <w:r>
        <w:t>inerentes</w:t>
      </w:r>
      <w:r>
        <w:rPr>
          <w:spacing w:val="15"/>
        </w:rPr>
        <w:t xml:space="preserve"> </w:t>
      </w:r>
      <w:r>
        <w:t>ou</w:t>
      </w:r>
      <w:r>
        <w:rPr>
          <w:spacing w:val="-7"/>
        </w:rPr>
        <w:t xml:space="preserve"> </w:t>
      </w:r>
      <w:r>
        <w:t>decorrentes</w:t>
      </w:r>
      <w:r>
        <w:rPr>
          <w:spacing w:val="1"/>
        </w:rPr>
        <w:t xml:space="preserve"> </w:t>
      </w:r>
      <w:r>
        <w:t>da</w:t>
      </w:r>
      <w:r>
        <w:rPr>
          <w:spacing w:val="-7"/>
        </w:rPr>
        <w:t xml:space="preserve"> </w:t>
      </w:r>
      <w:r>
        <w:rPr>
          <w:spacing w:val="-2"/>
        </w:rPr>
        <w:t>pesquisa?</w:t>
      </w:r>
    </w:p>
    <w:p w14:paraId="66716304" w14:textId="77777777" w:rsidR="00CD6054" w:rsidRDefault="00CD6054">
      <w:pPr>
        <w:pStyle w:val="BodyText"/>
        <w:spacing w:before="49"/>
        <w:rPr>
          <w:b/>
        </w:rPr>
      </w:pPr>
    </w:p>
    <w:p w14:paraId="3D81BCA8" w14:textId="7CB4DB64" w:rsidR="00CD6054" w:rsidRDefault="00A44E92" w:rsidP="001379A8">
      <w:pPr>
        <w:pStyle w:val="BodyText"/>
        <w:spacing w:line="360" w:lineRule="auto"/>
        <w:ind w:left="236" w:right="252" w:firstLine="706"/>
        <w:jc w:val="both"/>
      </w:pPr>
      <w:r>
        <w:t>A participação neste estudo envolve um risco mínimo. Serão aplicadas técnicas adequadas e previstas na literatura tanto para o exame clínico quanto para as coletas dos materiais</w:t>
      </w:r>
      <w:r>
        <w:rPr>
          <w:spacing w:val="47"/>
        </w:rPr>
        <w:t xml:space="preserve"> </w:t>
      </w:r>
      <w:r>
        <w:t>biológicos</w:t>
      </w:r>
      <w:r>
        <w:rPr>
          <w:spacing w:val="49"/>
        </w:rPr>
        <w:t xml:space="preserve"> </w:t>
      </w:r>
      <w:r>
        <w:t>a</w:t>
      </w:r>
      <w:r>
        <w:rPr>
          <w:spacing w:val="48"/>
        </w:rPr>
        <w:t xml:space="preserve"> </w:t>
      </w:r>
      <w:r>
        <w:t>serem</w:t>
      </w:r>
      <w:r>
        <w:rPr>
          <w:spacing w:val="44"/>
        </w:rPr>
        <w:t xml:space="preserve"> </w:t>
      </w:r>
      <w:r>
        <w:t>avaliados.</w:t>
      </w:r>
      <w:r>
        <w:rPr>
          <w:spacing w:val="50"/>
        </w:rPr>
        <w:t xml:space="preserve"> </w:t>
      </w:r>
      <w:r>
        <w:t>Uma</w:t>
      </w:r>
      <w:r>
        <w:rPr>
          <w:spacing w:val="34"/>
        </w:rPr>
        <w:t xml:space="preserve"> </w:t>
      </w:r>
      <w:r>
        <w:t>técnica</w:t>
      </w:r>
      <w:r>
        <w:rPr>
          <w:spacing w:val="35"/>
        </w:rPr>
        <w:t xml:space="preserve"> </w:t>
      </w:r>
      <w:r>
        <w:t>invasiva</w:t>
      </w:r>
      <w:r>
        <w:rPr>
          <w:spacing w:val="35"/>
        </w:rPr>
        <w:t xml:space="preserve"> </w:t>
      </w:r>
      <w:r>
        <w:t>será</w:t>
      </w:r>
      <w:r>
        <w:rPr>
          <w:spacing w:val="35"/>
        </w:rPr>
        <w:t xml:space="preserve"> </w:t>
      </w:r>
      <w:r>
        <w:t>usada</w:t>
      </w:r>
      <w:r>
        <w:rPr>
          <w:spacing w:val="34"/>
        </w:rPr>
        <w:t xml:space="preserve"> </w:t>
      </w:r>
      <w:r>
        <w:t>para</w:t>
      </w:r>
      <w:r>
        <w:rPr>
          <w:spacing w:val="35"/>
        </w:rPr>
        <w:t xml:space="preserve"> </w:t>
      </w:r>
      <w:r>
        <w:t>a</w:t>
      </w:r>
      <w:r>
        <w:rPr>
          <w:spacing w:val="35"/>
        </w:rPr>
        <w:t xml:space="preserve"> </w:t>
      </w:r>
      <w:r>
        <w:t>coleta</w:t>
      </w:r>
      <w:r>
        <w:rPr>
          <w:spacing w:val="35"/>
        </w:rPr>
        <w:t xml:space="preserve"> </w:t>
      </w:r>
      <w:r>
        <w:rPr>
          <w:spacing w:val="-5"/>
        </w:rPr>
        <w:t>do</w:t>
      </w:r>
      <w:r w:rsidR="001379A8">
        <w:t xml:space="preserve"> </w:t>
      </w:r>
      <w:r>
        <w:t xml:space="preserve">sangue periférico mediante punção venosa, </w:t>
      </w:r>
      <w:r>
        <w:rPr>
          <w:color w:val="6FAC46"/>
        </w:rPr>
        <w:t>pode haver dor e formação de hematoma</w:t>
      </w:r>
      <w:r>
        <w:t>, entretanto</w:t>
      </w:r>
      <w:r>
        <w:rPr>
          <w:spacing w:val="-9"/>
        </w:rPr>
        <w:t xml:space="preserve"> </w:t>
      </w:r>
      <w:r>
        <w:t>é um exame realizado de forma rotineira pelos pacientes</w:t>
      </w:r>
      <w:r>
        <w:rPr>
          <w:spacing w:val="-8"/>
        </w:rPr>
        <w:t xml:space="preserve"> </w:t>
      </w:r>
      <w:r>
        <w:t>d</w:t>
      </w:r>
      <w:r>
        <w:rPr>
          <w:spacing w:val="-15"/>
        </w:rPr>
        <w:t xml:space="preserve"> </w:t>
      </w:r>
      <w:r>
        <w:t>a</w:t>
      </w:r>
      <w:r>
        <w:rPr>
          <w:spacing w:val="-6"/>
        </w:rPr>
        <w:t xml:space="preserve"> </w:t>
      </w:r>
      <w:r>
        <w:t>Fundação</w:t>
      </w:r>
      <w:r>
        <w:rPr>
          <w:spacing w:val="-4"/>
        </w:rPr>
        <w:t xml:space="preserve"> </w:t>
      </w:r>
      <w:r>
        <w:t>Pró-Renal,</w:t>
      </w:r>
      <w:r>
        <w:rPr>
          <w:spacing w:val="-4"/>
        </w:rPr>
        <w:t xml:space="preserve"> </w:t>
      </w:r>
      <w:r>
        <w:t>e independente da participação no estudo, os pacientes já iriam realizar o exame. Os pacientes do grupo controle farão as coletas sanguíneas na Clínica Odontológica da UFPR por profissional capacitado em parceria com o Laboratório Escola de Análises Clínicas. Serão tomados todos os cuidados de biossegurança para a realização do exame. O paciente será orientado a permanecer sentado durante alguns minutos após a coleta a fim de evitar hipotensão. Não será necessário jejum para realizar o exame.</w:t>
      </w:r>
    </w:p>
    <w:p w14:paraId="352F515F" w14:textId="77777777" w:rsidR="00CD6054" w:rsidRDefault="00A44E92">
      <w:pPr>
        <w:pStyle w:val="BodyText"/>
        <w:spacing w:before="171" w:line="360" w:lineRule="auto"/>
        <w:ind w:left="236" w:right="240" w:firstLine="706"/>
        <w:jc w:val="both"/>
      </w:pPr>
      <w:r>
        <w:t>Outro possível risco é um leve desconforto</w:t>
      </w:r>
      <w:r>
        <w:rPr>
          <w:spacing w:val="-1"/>
        </w:rPr>
        <w:t xml:space="preserve"> </w:t>
      </w:r>
      <w:r>
        <w:t>durante</w:t>
      </w:r>
      <w:r>
        <w:rPr>
          <w:spacing w:val="-3"/>
        </w:rPr>
        <w:t xml:space="preserve"> </w:t>
      </w:r>
      <w:r>
        <w:t>o</w:t>
      </w:r>
      <w:r>
        <w:rPr>
          <w:spacing w:val="-1"/>
        </w:rPr>
        <w:t xml:space="preserve"> </w:t>
      </w:r>
      <w:r>
        <w:t>exame</w:t>
      </w:r>
      <w:r>
        <w:rPr>
          <w:spacing w:val="-3"/>
        </w:rPr>
        <w:t xml:space="preserve"> </w:t>
      </w:r>
      <w:r>
        <w:t>odontológico.</w:t>
      </w:r>
      <w:r>
        <w:rPr>
          <w:spacing w:val="-1"/>
        </w:rPr>
        <w:t xml:space="preserve"> </w:t>
      </w:r>
      <w:r>
        <w:t>Pode</w:t>
      </w:r>
      <w:r>
        <w:rPr>
          <w:spacing w:val="-3"/>
        </w:rPr>
        <w:t xml:space="preserve"> </w:t>
      </w:r>
      <w:r>
        <w:t>haver sensibilidade e desconforto durante o exame periodontal. No entanto, esse exame é prática rotineira para diagnóstico da doença periodontal</w:t>
      </w:r>
      <w:r>
        <w:rPr>
          <w:spacing w:val="-1"/>
        </w:rPr>
        <w:t xml:space="preserve"> </w:t>
      </w:r>
      <w:r>
        <w:t>durante</w:t>
      </w:r>
      <w:r>
        <w:rPr>
          <w:spacing w:val="-3"/>
        </w:rPr>
        <w:t xml:space="preserve"> </w:t>
      </w:r>
      <w:r>
        <w:t>o</w:t>
      </w:r>
      <w:r>
        <w:rPr>
          <w:spacing w:val="-1"/>
        </w:rPr>
        <w:t xml:space="preserve"> </w:t>
      </w:r>
      <w:r>
        <w:t>exame</w:t>
      </w:r>
      <w:r>
        <w:rPr>
          <w:spacing w:val="-3"/>
        </w:rPr>
        <w:t xml:space="preserve"> </w:t>
      </w:r>
      <w:r>
        <w:t>odontológico</w:t>
      </w:r>
      <w:r>
        <w:rPr>
          <w:spacing w:val="-1"/>
        </w:rPr>
        <w:t xml:space="preserve"> </w:t>
      </w:r>
      <w:r>
        <w:t>e</w:t>
      </w:r>
      <w:r>
        <w:rPr>
          <w:spacing w:val="-3"/>
        </w:rPr>
        <w:t xml:space="preserve"> </w:t>
      </w:r>
      <w:r>
        <w:t>os</w:t>
      </w:r>
      <w:r>
        <w:rPr>
          <w:spacing w:val="-5"/>
        </w:rPr>
        <w:t xml:space="preserve"> </w:t>
      </w:r>
      <w:r>
        <w:t>pacientes (tanto da Fundação Pró-Renal como da clínica odontológica da</w:t>
      </w:r>
      <w:r>
        <w:rPr>
          <w:spacing w:val="-3"/>
        </w:rPr>
        <w:t xml:space="preserve"> </w:t>
      </w:r>
      <w:r>
        <w:t>UFPR)</w:t>
      </w:r>
      <w:r>
        <w:rPr>
          <w:spacing w:val="-7"/>
        </w:rPr>
        <w:t xml:space="preserve"> </w:t>
      </w:r>
      <w:r>
        <w:t>passariam</w:t>
      </w:r>
      <w:r>
        <w:rPr>
          <w:spacing w:val="-8"/>
        </w:rPr>
        <w:t xml:space="preserve"> </w:t>
      </w:r>
      <w:r>
        <w:t>pelo</w:t>
      </w:r>
      <w:r>
        <w:rPr>
          <w:spacing w:val="-1"/>
        </w:rPr>
        <w:t xml:space="preserve"> </w:t>
      </w:r>
      <w:r>
        <w:t xml:space="preserve">exame mesmo sem participar da pesquisa. Os pacientes da Fundação Pró-Renal realizam esse exame no ambulatório odontológico da instituição em suas consultas de rotina. </w:t>
      </w:r>
      <w:r>
        <w:rPr>
          <w:color w:val="6FAC46"/>
        </w:rPr>
        <w:t>Pode haver também constrangimento ao responder as perguntas durante anamnese. O que será minimizado pelo profissional durante o atendimento. O atendimento será</w:t>
      </w:r>
      <w:r>
        <w:rPr>
          <w:color w:val="6FAC46"/>
          <w:spacing w:val="-3"/>
        </w:rPr>
        <w:t xml:space="preserve"> </w:t>
      </w:r>
      <w:r>
        <w:rPr>
          <w:color w:val="6FAC46"/>
        </w:rPr>
        <w:t>feito</w:t>
      </w:r>
      <w:r>
        <w:rPr>
          <w:color w:val="6FAC46"/>
          <w:spacing w:val="-1"/>
        </w:rPr>
        <w:t xml:space="preserve"> </w:t>
      </w:r>
      <w:r>
        <w:rPr>
          <w:color w:val="6FAC46"/>
        </w:rPr>
        <w:t>de</w:t>
      </w:r>
      <w:r>
        <w:rPr>
          <w:color w:val="6FAC46"/>
          <w:spacing w:val="-3"/>
        </w:rPr>
        <w:t xml:space="preserve"> </w:t>
      </w:r>
      <w:r>
        <w:rPr>
          <w:color w:val="6FAC46"/>
        </w:rPr>
        <w:t>maneira</w:t>
      </w:r>
      <w:r>
        <w:rPr>
          <w:color w:val="6FAC46"/>
          <w:spacing w:val="-3"/>
        </w:rPr>
        <w:t xml:space="preserve"> </w:t>
      </w:r>
      <w:r>
        <w:rPr>
          <w:color w:val="6FAC46"/>
        </w:rPr>
        <w:t>que</w:t>
      </w:r>
      <w:r>
        <w:rPr>
          <w:color w:val="6FAC46"/>
          <w:spacing w:val="-3"/>
        </w:rPr>
        <w:t xml:space="preserve"> </w:t>
      </w:r>
      <w:r>
        <w:rPr>
          <w:color w:val="6FAC46"/>
        </w:rPr>
        <w:t>o</w:t>
      </w:r>
      <w:r>
        <w:rPr>
          <w:color w:val="6FAC46"/>
          <w:spacing w:val="-1"/>
        </w:rPr>
        <w:t xml:space="preserve"> </w:t>
      </w:r>
      <w:r>
        <w:rPr>
          <w:color w:val="6FAC46"/>
        </w:rPr>
        <w:t>participante</w:t>
      </w:r>
      <w:r>
        <w:rPr>
          <w:color w:val="6FAC46"/>
          <w:spacing w:val="-3"/>
        </w:rPr>
        <w:t xml:space="preserve"> </w:t>
      </w:r>
      <w:r>
        <w:rPr>
          <w:color w:val="6FAC46"/>
        </w:rPr>
        <w:t>se sinta confortável e seguro.</w:t>
      </w:r>
    </w:p>
    <w:p w14:paraId="73518944" w14:textId="77777777" w:rsidR="00CD6054" w:rsidRDefault="00A44E92">
      <w:pPr>
        <w:pStyle w:val="BodyText"/>
        <w:spacing w:before="163" w:line="357" w:lineRule="auto"/>
        <w:ind w:left="236" w:right="253" w:firstLine="706"/>
        <w:jc w:val="both"/>
      </w:pPr>
      <w:r>
        <w:rPr>
          <w:color w:val="6FAC46"/>
        </w:rPr>
        <w:t xml:space="preserve">Durante a terapia periodontal pode haver dor e desconforto. No entanto, os pacientes necessitariam passar por este tratamento mesmo sem fazer parte da pesquisa. A terapia periodontal (raspagem e alisamento radicular) é consolidada na literatura e traz muito </w:t>
      </w:r>
      <w:r>
        <w:rPr>
          <w:color w:val="6FAC46"/>
        </w:rPr>
        <w:lastRenderedPageBreak/>
        <w:t>benefícios à saúde do paciente, como redução da inflamação local e sistêmica. Pacientes que não fazem tratamento periodontal correm o risco de perder os dentes. Logo, os riscos da terapia são mínimos comparados aos benefícios.</w:t>
      </w:r>
    </w:p>
    <w:p w14:paraId="1A0BFB27" w14:textId="77777777" w:rsidR="00CD6054" w:rsidRDefault="00A44E92">
      <w:pPr>
        <w:pStyle w:val="BodyText"/>
        <w:spacing w:before="175" w:line="357" w:lineRule="auto"/>
        <w:ind w:left="236" w:right="248" w:firstLine="706"/>
        <w:jc w:val="both"/>
      </w:pPr>
      <w:r>
        <w:rPr>
          <w:color w:val="6FAC46"/>
        </w:rPr>
        <w:t>Durante a coleta de biofilme e de fluido crevicular, pode haver um leve desconforto. Porém, o movimento para a coleta do biofilme e de fluido crevicular é o mesmo movimento</w:t>
      </w:r>
      <w:r>
        <w:rPr>
          <w:color w:val="6FAC46"/>
          <w:spacing w:val="40"/>
        </w:rPr>
        <w:t xml:space="preserve"> </w:t>
      </w:r>
      <w:r>
        <w:rPr>
          <w:color w:val="6FAC46"/>
        </w:rPr>
        <w:t>de raspagem</w:t>
      </w:r>
      <w:r>
        <w:rPr>
          <w:color w:val="6FAC46"/>
          <w:spacing w:val="-3"/>
        </w:rPr>
        <w:t xml:space="preserve"> </w:t>
      </w:r>
      <w:r>
        <w:rPr>
          <w:color w:val="6FAC46"/>
        </w:rPr>
        <w:t>radicular, ou seja, o paciente passaria pela mesma situação</w:t>
      </w:r>
      <w:r>
        <w:rPr>
          <w:color w:val="6FAC46"/>
          <w:spacing w:val="-10"/>
        </w:rPr>
        <w:t xml:space="preserve"> </w:t>
      </w:r>
      <w:r>
        <w:rPr>
          <w:color w:val="6FAC46"/>
        </w:rPr>
        <w:t>mesmo</w:t>
      </w:r>
      <w:r>
        <w:rPr>
          <w:color w:val="6FAC46"/>
          <w:spacing w:val="-10"/>
        </w:rPr>
        <w:t xml:space="preserve"> </w:t>
      </w:r>
      <w:r>
        <w:rPr>
          <w:color w:val="6FAC46"/>
        </w:rPr>
        <w:t>sem</w:t>
      </w:r>
      <w:r>
        <w:rPr>
          <w:color w:val="6FAC46"/>
          <w:spacing w:val="-15"/>
        </w:rPr>
        <w:t xml:space="preserve"> </w:t>
      </w:r>
      <w:r>
        <w:rPr>
          <w:color w:val="6FAC46"/>
        </w:rPr>
        <w:t>participar da pesquisa. A coleta do biofilme e de fluido crevicular não traz risco adicional ao paciente.</w:t>
      </w:r>
    </w:p>
    <w:p w14:paraId="13E2A138" w14:textId="207B6FF6" w:rsidR="00CD6054" w:rsidRDefault="00A44E92" w:rsidP="001C620E">
      <w:pPr>
        <w:pStyle w:val="BodyText"/>
        <w:spacing w:before="172" w:line="362" w:lineRule="auto"/>
        <w:ind w:left="236" w:right="241" w:firstLine="706"/>
        <w:jc w:val="both"/>
      </w:pPr>
      <w:r>
        <w:rPr>
          <w:color w:val="6FAC46"/>
        </w:rPr>
        <w:t>A terapia fotodinâmica antimicrobiana se associa ao risco de dano aos olhos durante utilização do laser, caso o paciente</w:t>
      </w:r>
      <w:r>
        <w:rPr>
          <w:color w:val="6FAC46"/>
          <w:spacing w:val="-6"/>
        </w:rPr>
        <w:t xml:space="preserve"> </w:t>
      </w:r>
      <w:r>
        <w:rPr>
          <w:color w:val="6FAC46"/>
        </w:rPr>
        <w:t>olhe</w:t>
      </w:r>
      <w:r>
        <w:rPr>
          <w:color w:val="6FAC46"/>
          <w:spacing w:val="-6"/>
        </w:rPr>
        <w:t xml:space="preserve"> </w:t>
      </w:r>
      <w:r>
        <w:rPr>
          <w:color w:val="6FAC46"/>
        </w:rPr>
        <w:t>diretamente</w:t>
      </w:r>
      <w:r>
        <w:rPr>
          <w:color w:val="6FAC46"/>
          <w:spacing w:val="-6"/>
        </w:rPr>
        <w:t xml:space="preserve"> </w:t>
      </w:r>
      <w:r>
        <w:rPr>
          <w:color w:val="6FAC46"/>
        </w:rPr>
        <w:t>ao</w:t>
      </w:r>
      <w:r>
        <w:rPr>
          <w:color w:val="6FAC46"/>
          <w:spacing w:val="-4"/>
        </w:rPr>
        <w:t xml:space="preserve"> </w:t>
      </w:r>
      <w:r>
        <w:rPr>
          <w:color w:val="6FAC46"/>
        </w:rPr>
        <w:t>laser</w:t>
      </w:r>
      <w:r>
        <w:rPr>
          <w:color w:val="6FAC46"/>
          <w:spacing w:val="-10"/>
        </w:rPr>
        <w:t xml:space="preserve"> </w:t>
      </w:r>
      <w:r>
        <w:rPr>
          <w:color w:val="6FAC46"/>
        </w:rPr>
        <w:t>e</w:t>
      </w:r>
      <w:r>
        <w:rPr>
          <w:color w:val="6FAC46"/>
          <w:spacing w:val="-6"/>
        </w:rPr>
        <w:t xml:space="preserve"> </w:t>
      </w:r>
      <w:r>
        <w:rPr>
          <w:color w:val="6FAC46"/>
        </w:rPr>
        <w:t>não</w:t>
      </w:r>
      <w:r>
        <w:rPr>
          <w:color w:val="6FAC46"/>
          <w:spacing w:val="-4"/>
        </w:rPr>
        <w:t xml:space="preserve"> </w:t>
      </w:r>
      <w:r>
        <w:rPr>
          <w:color w:val="6FAC46"/>
        </w:rPr>
        <w:t>faça</w:t>
      </w:r>
      <w:r>
        <w:rPr>
          <w:color w:val="6FAC46"/>
          <w:spacing w:val="-6"/>
        </w:rPr>
        <w:t xml:space="preserve"> </w:t>
      </w:r>
      <w:r>
        <w:rPr>
          <w:color w:val="6FAC46"/>
        </w:rPr>
        <w:t>a</w:t>
      </w:r>
      <w:r>
        <w:rPr>
          <w:color w:val="6FAC46"/>
          <w:spacing w:val="-6"/>
        </w:rPr>
        <w:t xml:space="preserve"> </w:t>
      </w:r>
      <w:r>
        <w:rPr>
          <w:color w:val="6FAC46"/>
        </w:rPr>
        <w:t>utilização</w:t>
      </w:r>
      <w:r>
        <w:rPr>
          <w:color w:val="6FAC46"/>
          <w:spacing w:val="-4"/>
        </w:rPr>
        <w:t xml:space="preserve"> </w:t>
      </w:r>
      <w:r>
        <w:rPr>
          <w:color w:val="6FAC46"/>
        </w:rPr>
        <w:t>dos</w:t>
      </w:r>
      <w:r>
        <w:rPr>
          <w:color w:val="6FAC46"/>
          <w:spacing w:val="-8"/>
        </w:rPr>
        <w:t xml:space="preserve"> </w:t>
      </w:r>
      <w:r>
        <w:rPr>
          <w:color w:val="6FAC46"/>
        </w:rPr>
        <w:t>óculos de proteção. Devido a esses riscos com o laser, serão adotadas nesta pesquisa as normas recomendadas para lasers da classe 3B (riscos para os olhos nus quando observados diretamente),</w:t>
      </w:r>
      <w:r>
        <w:rPr>
          <w:color w:val="6FAC46"/>
          <w:spacing w:val="40"/>
        </w:rPr>
        <w:t xml:space="preserve"> </w:t>
      </w:r>
      <w:r>
        <w:rPr>
          <w:color w:val="6FAC46"/>
        </w:rPr>
        <w:t>incluindo</w:t>
      </w:r>
      <w:r>
        <w:rPr>
          <w:color w:val="6FAC46"/>
          <w:spacing w:val="40"/>
        </w:rPr>
        <w:t xml:space="preserve"> </w:t>
      </w:r>
      <w:r>
        <w:rPr>
          <w:color w:val="6FAC46"/>
        </w:rPr>
        <w:t>diretrizes</w:t>
      </w:r>
      <w:r>
        <w:rPr>
          <w:color w:val="6FAC46"/>
          <w:spacing w:val="40"/>
        </w:rPr>
        <w:t xml:space="preserve"> </w:t>
      </w:r>
      <w:r>
        <w:rPr>
          <w:color w:val="6FAC46"/>
        </w:rPr>
        <w:t>de</w:t>
      </w:r>
      <w:r>
        <w:rPr>
          <w:color w:val="6FAC46"/>
          <w:spacing w:val="40"/>
        </w:rPr>
        <w:t xml:space="preserve"> </w:t>
      </w:r>
      <w:r>
        <w:rPr>
          <w:color w:val="6FAC46"/>
        </w:rPr>
        <w:t>biossegurança</w:t>
      </w:r>
      <w:r>
        <w:rPr>
          <w:color w:val="6FAC46"/>
          <w:spacing w:val="40"/>
        </w:rPr>
        <w:t xml:space="preserve"> </w:t>
      </w:r>
      <w:r>
        <w:rPr>
          <w:color w:val="6FAC46"/>
        </w:rPr>
        <w:t>(uso</w:t>
      </w:r>
      <w:r>
        <w:rPr>
          <w:color w:val="6FAC46"/>
          <w:spacing w:val="40"/>
        </w:rPr>
        <w:t xml:space="preserve"> </w:t>
      </w:r>
      <w:r>
        <w:rPr>
          <w:color w:val="6FAC46"/>
        </w:rPr>
        <w:t>de</w:t>
      </w:r>
      <w:r>
        <w:rPr>
          <w:color w:val="6FAC46"/>
          <w:spacing w:val="40"/>
        </w:rPr>
        <w:t xml:space="preserve"> </w:t>
      </w:r>
      <w:r>
        <w:rPr>
          <w:color w:val="6FAC46"/>
        </w:rPr>
        <w:t>óculos</w:t>
      </w:r>
      <w:r>
        <w:rPr>
          <w:color w:val="6FAC46"/>
          <w:spacing w:val="38"/>
        </w:rPr>
        <w:t xml:space="preserve"> </w:t>
      </w:r>
      <w:r>
        <w:rPr>
          <w:color w:val="6FAC46"/>
        </w:rPr>
        <w:t>de</w:t>
      </w:r>
      <w:r>
        <w:rPr>
          <w:color w:val="6FAC46"/>
          <w:spacing w:val="40"/>
        </w:rPr>
        <w:t xml:space="preserve"> </w:t>
      </w:r>
      <w:r>
        <w:rPr>
          <w:color w:val="6FAC46"/>
        </w:rPr>
        <w:t>proteção</w:t>
      </w:r>
      <w:r>
        <w:rPr>
          <w:color w:val="6FAC46"/>
          <w:spacing w:val="40"/>
        </w:rPr>
        <w:t xml:space="preserve"> </w:t>
      </w:r>
      <w:r>
        <w:rPr>
          <w:color w:val="6FAC46"/>
        </w:rPr>
        <w:t>apropriada</w:t>
      </w:r>
      <w:r w:rsidR="001C620E">
        <w:t xml:space="preserve"> </w:t>
      </w:r>
      <w:r>
        <w:rPr>
          <w:color w:val="6FAC46"/>
        </w:rPr>
        <w:t>para manipulação do laser). Neste projeto, serão utilizadas todas as recomendações para segurança do profissional e do paciente. Logo, o risco de danos aos olhos é mínimo pois em hipótese alguma as normas solicitadas serão negligenciadas.</w:t>
      </w:r>
    </w:p>
    <w:p w14:paraId="784F9D22" w14:textId="77777777" w:rsidR="00CD6054" w:rsidRDefault="00A44E92">
      <w:pPr>
        <w:pStyle w:val="BodyText"/>
        <w:spacing w:before="169" w:line="357" w:lineRule="auto"/>
        <w:ind w:left="236" w:right="246" w:firstLine="706"/>
        <w:jc w:val="both"/>
      </w:pPr>
      <w:r>
        <w:rPr>
          <w:color w:val="6FAC46"/>
        </w:rPr>
        <w:t xml:space="preserve">Com relação aos dados coletados dos pacientes, serão respeitadas todas as normas vigentes para manipulação de dados, incluindo a LGPD (Lei 13.853 de 2019), bem como resolução 466/2012. </w:t>
      </w:r>
      <w:r>
        <w:rPr>
          <w:color w:val="C45811"/>
        </w:rPr>
        <w:t>Há a remota possibilidade de alguém externo ao projeto ler as informações dos prontuários dos pacientes. Para que isso não ocorra, será tomado muito cuidado com os prontuários de todos os pacientes. Apenas a equipe da pesquisa terá acesso</w:t>
      </w:r>
      <w:r>
        <w:rPr>
          <w:color w:val="C45811"/>
          <w:spacing w:val="40"/>
        </w:rPr>
        <w:t xml:space="preserve"> </w:t>
      </w:r>
      <w:r>
        <w:rPr>
          <w:color w:val="C45811"/>
        </w:rPr>
        <w:t>aos dados.</w:t>
      </w:r>
    </w:p>
    <w:p w14:paraId="214C1F9C" w14:textId="77777777" w:rsidR="00CD6054" w:rsidRDefault="00A44E92">
      <w:pPr>
        <w:pStyle w:val="Heading1"/>
        <w:numPr>
          <w:ilvl w:val="0"/>
          <w:numId w:val="7"/>
        </w:numPr>
        <w:tabs>
          <w:tab w:val="left" w:pos="957"/>
        </w:tabs>
        <w:spacing w:before="175"/>
        <w:ind w:left="957" w:hanging="360"/>
        <w:jc w:val="both"/>
      </w:pPr>
      <w:r>
        <w:t>Duração</w:t>
      </w:r>
      <w:r>
        <w:rPr>
          <w:spacing w:val="-2"/>
        </w:rPr>
        <w:t xml:space="preserve"> </w:t>
      </w:r>
      <w:r>
        <w:t>Total</w:t>
      </w:r>
      <w:r>
        <w:rPr>
          <w:spacing w:val="-9"/>
        </w:rPr>
        <w:t xml:space="preserve"> </w:t>
      </w:r>
      <w:r>
        <w:t>da</w:t>
      </w:r>
      <w:r>
        <w:rPr>
          <w:spacing w:val="-2"/>
        </w:rPr>
        <w:t xml:space="preserve"> </w:t>
      </w:r>
      <w:r>
        <w:t>Pesquisa/</w:t>
      </w:r>
      <w:r>
        <w:rPr>
          <w:spacing w:val="6"/>
        </w:rPr>
        <w:t xml:space="preserve"> </w:t>
      </w:r>
      <w:r>
        <w:t>Cronograma</w:t>
      </w:r>
      <w:r>
        <w:rPr>
          <w:spacing w:val="-2"/>
        </w:rPr>
        <w:t xml:space="preserve"> </w:t>
      </w:r>
      <w:r>
        <w:t>de</w:t>
      </w:r>
      <w:r>
        <w:rPr>
          <w:spacing w:val="5"/>
        </w:rPr>
        <w:t xml:space="preserve"> </w:t>
      </w:r>
      <w:r>
        <w:rPr>
          <w:spacing w:val="-2"/>
        </w:rPr>
        <w:t>Execução:</w:t>
      </w:r>
    </w:p>
    <w:p w14:paraId="006559B3" w14:textId="77777777" w:rsidR="00CD6054" w:rsidRDefault="00A44E92">
      <w:pPr>
        <w:pStyle w:val="BodyText"/>
        <w:spacing w:before="145" w:line="352" w:lineRule="auto"/>
        <w:ind w:left="236" w:right="258" w:firstLine="706"/>
        <w:jc w:val="both"/>
      </w:pPr>
      <w:r>
        <w:t>Segue abaixo o cronograma previsto para a execução da pesquisa. Os pesquisadores envolvidos comprometem-se</w:t>
      </w:r>
      <w:r>
        <w:rPr>
          <w:spacing w:val="40"/>
        </w:rPr>
        <w:t xml:space="preserve"> </w:t>
      </w:r>
      <w:r>
        <w:t>a iniciar</w:t>
      </w:r>
      <w:r>
        <w:rPr>
          <w:spacing w:val="40"/>
        </w:rPr>
        <w:t xml:space="preserve"> </w:t>
      </w:r>
      <w:r>
        <w:t>o estudo somente após a aprovação do CEP/SD.</w:t>
      </w:r>
    </w:p>
    <w:tbl>
      <w:tblPr>
        <w:tblStyle w:val="TableNormal1"/>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40"/>
        <w:gridCol w:w="2794"/>
        <w:gridCol w:w="2118"/>
      </w:tblGrid>
      <w:tr w:rsidR="00CD6054" w14:paraId="24654070" w14:textId="77777777">
        <w:trPr>
          <w:trHeight w:val="405"/>
        </w:trPr>
        <w:tc>
          <w:tcPr>
            <w:tcW w:w="3440" w:type="dxa"/>
          </w:tcPr>
          <w:p w14:paraId="4B2EDA14" w14:textId="77777777" w:rsidR="00CD6054" w:rsidRDefault="00A44E92">
            <w:pPr>
              <w:pStyle w:val="TableParagraph"/>
              <w:spacing w:before="15"/>
              <w:ind w:left="112"/>
              <w:rPr>
                <w:b/>
                <w:sz w:val="24"/>
              </w:rPr>
            </w:pPr>
            <w:r>
              <w:rPr>
                <w:b/>
                <w:sz w:val="24"/>
              </w:rPr>
              <w:t>Identificação</w:t>
            </w:r>
            <w:r>
              <w:rPr>
                <w:b/>
                <w:spacing w:val="2"/>
                <w:sz w:val="24"/>
              </w:rPr>
              <w:t xml:space="preserve"> </w:t>
            </w:r>
            <w:r>
              <w:rPr>
                <w:b/>
                <w:sz w:val="24"/>
              </w:rPr>
              <w:t>da</w:t>
            </w:r>
            <w:r>
              <w:rPr>
                <w:b/>
                <w:spacing w:val="-8"/>
                <w:sz w:val="24"/>
              </w:rPr>
              <w:t xml:space="preserve"> </w:t>
            </w:r>
            <w:r>
              <w:rPr>
                <w:b/>
                <w:spacing w:val="-4"/>
                <w:sz w:val="24"/>
              </w:rPr>
              <w:t>Etapa</w:t>
            </w:r>
          </w:p>
        </w:tc>
        <w:tc>
          <w:tcPr>
            <w:tcW w:w="2794" w:type="dxa"/>
          </w:tcPr>
          <w:p w14:paraId="5F7117FE" w14:textId="77777777" w:rsidR="00CD6054" w:rsidRDefault="00A44E92">
            <w:pPr>
              <w:pStyle w:val="TableParagraph"/>
              <w:spacing w:before="15"/>
              <w:ind w:left="126"/>
              <w:rPr>
                <w:b/>
                <w:sz w:val="24"/>
              </w:rPr>
            </w:pPr>
            <w:r>
              <w:rPr>
                <w:b/>
                <w:sz w:val="24"/>
              </w:rPr>
              <w:t>Início</w:t>
            </w:r>
            <w:r>
              <w:rPr>
                <w:b/>
                <w:spacing w:val="-5"/>
                <w:sz w:val="24"/>
              </w:rPr>
              <w:t xml:space="preserve"> </w:t>
            </w:r>
            <w:r>
              <w:rPr>
                <w:b/>
                <w:spacing w:val="-2"/>
                <w:sz w:val="24"/>
              </w:rPr>
              <w:t>(DD/MM/AAAA)</w:t>
            </w:r>
          </w:p>
        </w:tc>
        <w:tc>
          <w:tcPr>
            <w:tcW w:w="2118" w:type="dxa"/>
          </w:tcPr>
          <w:p w14:paraId="10B254A0" w14:textId="77777777" w:rsidR="00CD6054" w:rsidRDefault="00A44E92">
            <w:pPr>
              <w:pStyle w:val="TableParagraph"/>
              <w:spacing w:before="15"/>
              <w:ind w:left="126"/>
              <w:rPr>
                <w:b/>
                <w:sz w:val="24"/>
              </w:rPr>
            </w:pPr>
            <w:r>
              <w:rPr>
                <w:b/>
                <w:spacing w:val="-2"/>
                <w:sz w:val="24"/>
              </w:rPr>
              <w:t>Término</w:t>
            </w:r>
          </w:p>
        </w:tc>
      </w:tr>
      <w:tr w:rsidR="00CD6054" w14:paraId="2F4177CB" w14:textId="77777777">
        <w:trPr>
          <w:trHeight w:val="825"/>
        </w:trPr>
        <w:tc>
          <w:tcPr>
            <w:tcW w:w="3440" w:type="dxa"/>
          </w:tcPr>
          <w:p w14:paraId="5B65D902" w14:textId="77777777" w:rsidR="00CD6054" w:rsidRDefault="00A44E92">
            <w:pPr>
              <w:pStyle w:val="TableParagraph"/>
              <w:tabs>
                <w:tab w:val="left" w:pos="1388"/>
                <w:tab w:val="left" w:pos="2050"/>
                <w:tab w:val="left" w:pos="3114"/>
              </w:tabs>
              <w:spacing w:before="16"/>
              <w:ind w:left="112"/>
              <w:rPr>
                <w:sz w:val="24"/>
              </w:rPr>
            </w:pPr>
            <w:r>
              <w:rPr>
                <w:spacing w:val="-2"/>
                <w:sz w:val="24"/>
              </w:rPr>
              <w:t>Inscrição</w:t>
            </w:r>
            <w:r>
              <w:rPr>
                <w:sz w:val="24"/>
              </w:rPr>
              <w:tab/>
            </w:r>
            <w:r>
              <w:rPr>
                <w:spacing w:val="-5"/>
                <w:sz w:val="24"/>
              </w:rPr>
              <w:t>do</w:t>
            </w:r>
            <w:r>
              <w:rPr>
                <w:sz w:val="24"/>
              </w:rPr>
              <w:tab/>
            </w:r>
            <w:r>
              <w:rPr>
                <w:spacing w:val="-2"/>
                <w:sz w:val="24"/>
              </w:rPr>
              <w:t>projeto</w:t>
            </w:r>
            <w:r>
              <w:rPr>
                <w:sz w:val="24"/>
              </w:rPr>
              <w:tab/>
            </w:r>
            <w:r>
              <w:rPr>
                <w:spacing w:val="-5"/>
                <w:sz w:val="24"/>
              </w:rPr>
              <w:t>na</w:t>
            </w:r>
          </w:p>
          <w:p w14:paraId="6D431723" w14:textId="77777777" w:rsidR="00CD6054" w:rsidRDefault="00A44E92">
            <w:pPr>
              <w:pStyle w:val="TableParagraph"/>
              <w:spacing w:before="144"/>
              <w:ind w:left="112"/>
              <w:rPr>
                <w:sz w:val="24"/>
              </w:rPr>
            </w:pPr>
            <w:r>
              <w:rPr>
                <w:sz w:val="24"/>
              </w:rPr>
              <w:t>Plataforma</w:t>
            </w:r>
            <w:r>
              <w:rPr>
                <w:spacing w:val="-8"/>
                <w:sz w:val="24"/>
              </w:rPr>
              <w:t xml:space="preserve"> </w:t>
            </w:r>
            <w:r>
              <w:rPr>
                <w:spacing w:val="-2"/>
                <w:sz w:val="24"/>
              </w:rPr>
              <w:t>Brasil</w:t>
            </w:r>
          </w:p>
        </w:tc>
        <w:tc>
          <w:tcPr>
            <w:tcW w:w="2794" w:type="dxa"/>
          </w:tcPr>
          <w:p w14:paraId="41DB8BC2" w14:textId="77777777" w:rsidR="00CD6054" w:rsidRDefault="00A44E92">
            <w:pPr>
              <w:pStyle w:val="TableParagraph"/>
              <w:spacing w:before="16"/>
              <w:ind w:left="126"/>
              <w:rPr>
                <w:sz w:val="24"/>
              </w:rPr>
            </w:pPr>
            <w:r>
              <w:rPr>
                <w:spacing w:val="-2"/>
                <w:sz w:val="24"/>
              </w:rPr>
              <w:t>05/10/2023</w:t>
            </w:r>
          </w:p>
        </w:tc>
        <w:tc>
          <w:tcPr>
            <w:tcW w:w="2118" w:type="dxa"/>
          </w:tcPr>
          <w:p w14:paraId="1E8D56A3" w14:textId="77777777" w:rsidR="00CD6054" w:rsidRDefault="00A44E92">
            <w:pPr>
              <w:pStyle w:val="TableParagraph"/>
              <w:spacing w:before="16"/>
              <w:ind w:left="126"/>
              <w:rPr>
                <w:sz w:val="24"/>
              </w:rPr>
            </w:pPr>
            <w:r>
              <w:rPr>
                <w:spacing w:val="-2"/>
                <w:sz w:val="24"/>
              </w:rPr>
              <w:t>29/02/2024</w:t>
            </w:r>
          </w:p>
        </w:tc>
      </w:tr>
      <w:tr w:rsidR="00CD6054" w14:paraId="74E5A8D0" w14:textId="77777777">
        <w:trPr>
          <w:trHeight w:val="405"/>
        </w:trPr>
        <w:tc>
          <w:tcPr>
            <w:tcW w:w="3440" w:type="dxa"/>
          </w:tcPr>
          <w:p w14:paraId="7D9D72A5" w14:textId="77777777" w:rsidR="00CD6054" w:rsidRDefault="00A44E92">
            <w:pPr>
              <w:pStyle w:val="TableParagraph"/>
              <w:spacing w:before="16"/>
              <w:ind w:left="112"/>
              <w:rPr>
                <w:sz w:val="24"/>
              </w:rPr>
            </w:pPr>
            <w:r>
              <w:rPr>
                <w:sz w:val="24"/>
              </w:rPr>
              <w:t>Seleção</w:t>
            </w:r>
            <w:r>
              <w:rPr>
                <w:spacing w:val="14"/>
                <w:sz w:val="24"/>
              </w:rPr>
              <w:t xml:space="preserve"> </w:t>
            </w:r>
            <w:r>
              <w:rPr>
                <w:sz w:val="24"/>
              </w:rPr>
              <w:t>da</w:t>
            </w:r>
            <w:r>
              <w:rPr>
                <w:spacing w:val="-2"/>
                <w:sz w:val="24"/>
              </w:rPr>
              <w:t xml:space="preserve"> Amostra</w:t>
            </w:r>
          </w:p>
        </w:tc>
        <w:tc>
          <w:tcPr>
            <w:tcW w:w="2794" w:type="dxa"/>
          </w:tcPr>
          <w:p w14:paraId="1C442439" w14:textId="77777777" w:rsidR="00CD6054" w:rsidRDefault="00A44E92">
            <w:pPr>
              <w:pStyle w:val="TableParagraph"/>
              <w:spacing w:before="16"/>
              <w:ind w:left="126"/>
              <w:rPr>
                <w:sz w:val="24"/>
              </w:rPr>
            </w:pPr>
            <w:r>
              <w:rPr>
                <w:spacing w:val="-2"/>
                <w:sz w:val="24"/>
              </w:rPr>
              <w:t>30/03/2024</w:t>
            </w:r>
          </w:p>
        </w:tc>
        <w:tc>
          <w:tcPr>
            <w:tcW w:w="2118" w:type="dxa"/>
          </w:tcPr>
          <w:p w14:paraId="7D2E50FB" w14:textId="77777777" w:rsidR="00CD6054" w:rsidRDefault="00A44E92">
            <w:pPr>
              <w:pStyle w:val="TableParagraph"/>
              <w:spacing w:before="16"/>
              <w:ind w:left="126"/>
              <w:rPr>
                <w:sz w:val="24"/>
              </w:rPr>
            </w:pPr>
            <w:r>
              <w:rPr>
                <w:spacing w:val="-2"/>
                <w:sz w:val="24"/>
              </w:rPr>
              <w:t>17/01/2027</w:t>
            </w:r>
          </w:p>
        </w:tc>
      </w:tr>
      <w:tr w:rsidR="00CD6054" w14:paraId="0DCC3B4F" w14:textId="77777777">
        <w:trPr>
          <w:trHeight w:val="1246"/>
        </w:trPr>
        <w:tc>
          <w:tcPr>
            <w:tcW w:w="3440" w:type="dxa"/>
          </w:tcPr>
          <w:p w14:paraId="298A28AD" w14:textId="77777777" w:rsidR="00CD6054" w:rsidRDefault="00A44E92">
            <w:pPr>
              <w:pStyle w:val="TableParagraph"/>
              <w:tabs>
                <w:tab w:val="left" w:pos="1029"/>
                <w:tab w:val="left" w:pos="1900"/>
                <w:tab w:val="left" w:pos="3234"/>
              </w:tabs>
              <w:spacing w:before="16"/>
              <w:ind w:left="112"/>
              <w:rPr>
                <w:sz w:val="24"/>
              </w:rPr>
            </w:pPr>
            <w:r>
              <w:rPr>
                <w:spacing w:val="-2"/>
                <w:sz w:val="24"/>
              </w:rPr>
              <w:t>Exame</w:t>
            </w:r>
            <w:r>
              <w:rPr>
                <w:sz w:val="24"/>
              </w:rPr>
              <w:tab/>
            </w:r>
            <w:r>
              <w:rPr>
                <w:spacing w:val="-2"/>
                <w:sz w:val="24"/>
              </w:rPr>
              <w:t>clínico</w:t>
            </w:r>
            <w:r>
              <w:rPr>
                <w:sz w:val="24"/>
              </w:rPr>
              <w:tab/>
            </w:r>
            <w:r>
              <w:rPr>
                <w:spacing w:val="-2"/>
                <w:sz w:val="24"/>
              </w:rPr>
              <w:t>periodontal</w:t>
            </w:r>
            <w:r>
              <w:rPr>
                <w:sz w:val="24"/>
              </w:rPr>
              <w:tab/>
            </w:r>
            <w:r>
              <w:rPr>
                <w:spacing w:val="-10"/>
                <w:sz w:val="24"/>
              </w:rPr>
              <w:t>e</w:t>
            </w:r>
          </w:p>
          <w:p w14:paraId="34474B17" w14:textId="77777777" w:rsidR="00CD6054" w:rsidRDefault="00A44E92">
            <w:pPr>
              <w:pStyle w:val="TableParagraph"/>
              <w:tabs>
                <w:tab w:val="left" w:pos="1734"/>
                <w:tab w:val="left" w:pos="2694"/>
              </w:tabs>
              <w:spacing w:before="20" w:line="400" w:lineRule="atLeast"/>
              <w:ind w:left="112" w:right="82"/>
              <w:rPr>
                <w:sz w:val="24"/>
              </w:rPr>
            </w:pPr>
            <w:r>
              <w:rPr>
                <w:spacing w:val="-2"/>
                <w:sz w:val="24"/>
              </w:rPr>
              <w:t>aplicação</w:t>
            </w:r>
            <w:r>
              <w:rPr>
                <w:sz w:val="24"/>
              </w:rPr>
              <w:tab/>
            </w:r>
            <w:r>
              <w:rPr>
                <w:spacing w:val="-6"/>
                <w:sz w:val="24"/>
              </w:rPr>
              <w:t>da</w:t>
            </w:r>
            <w:r>
              <w:rPr>
                <w:sz w:val="24"/>
              </w:rPr>
              <w:tab/>
            </w:r>
            <w:r>
              <w:rPr>
                <w:spacing w:val="-2"/>
                <w:sz w:val="24"/>
              </w:rPr>
              <w:t xml:space="preserve">terapia </w:t>
            </w:r>
            <w:r>
              <w:rPr>
                <w:sz w:val="24"/>
              </w:rPr>
              <w:t>fotodinâmica antimicrobiana</w:t>
            </w:r>
          </w:p>
        </w:tc>
        <w:tc>
          <w:tcPr>
            <w:tcW w:w="2794" w:type="dxa"/>
          </w:tcPr>
          <w:p w14:paraId="2E188DD2" w14:textId="77777777" w:rsidR="00CD6054" w:rsidRDefault="00A44E92">
            <w:pPr>
              <w:pStyle w:val="TableParagraph"/>
              <w:spacing w:before="16"/>
              <w:ind w:left="126"/>
              <w:rPr>
                <w:sz w:val="24"/>
              </w:rPr>
            </w:pPr>
            <w:r>
              <w:rPr>
                <w:color w:val="EC7C30"/>
                <w:spacing w:val="-2"/>
                <w:sz w:val="24"/>
              </w:rPr>
              <w:t>30/04/2024</w:t>
            </w:r>
          </w:p>
        </w:tc>
        <w:tc>
          <w:tcPr>
            <w:tcW w:w="2118" w:type="dxa"/>
          </w:tcPr>
          <w:p w14:paraId="7F056A4E" w14:textId="77777777" w:rsidR="00CD6054" w:rsidRDefault="00A44E92">
            <w:pPr>
              <w:pStyle w:val="TableParagraph"/>
              <w:spacing w:before="16"/>
              <w:ind w:left="126"/>
              <w:rPr>
                <w:sz w:val="24"/>
              </w:rPr>
            </w:pPr>
            <w:r>
              <w:rPr>
                <w:color w:val="EC7C30"/>
                <w:spacing w:val="-2"/>
                <w:sz w:val="24"/>
              </w:rPr>
              <w:t>15/03/2027</w:t>
            </w:r>
          </w:p>
        </w:tc>
      </w:tr>
      <w:tr w:rsidR="00CD6054" w14:paraId="1A274547" w14:textId="77777777">
        <w:trPr>
          <w:trHeight w:val="405"/>
        </w:trPr>
        <w:tc>
          <w:tcPr>
            <w:tcW w:w="3440" w:type="dxa"/>
          </w:tcPr>
          <w:p w14:paraId="6F0BFAAC" w14:textId="77777777" w:rsidR="00CD6054" w:rsidRDefault="00A44E92">
            <w:pPr>
              <w:pStyle w:val="TableParagraph"/>
              <w:spacing w:before="16"/>
              <w:ind w:left="112"/>
              <w:rPr>
                <w:sz w:val="24"/>
              </w:rPr>
            </w:pPr>
            <w:r>
              <w:rPr>
                <w:sz w:val="24"/>
              </w:rPr>
              <w:t>Coleta</w:t>
            </w:r>
            <w:r>
              <w:rPr>
                <w:spacing w:val="-7"/>
                <w:sz w:val="24"/>
              </w:rPr>
              <w:t xml:space="preserve"> </w:t>
            </w:r>
            <w:r>
              <w:rPr>
                <w:sz w:val="24"/>
              </w:rPr>
              <w:t>para</w:t>
            </w:r>
            <w:r>
              <w:rPr>
                <w:spacing w:val="-7"/>
                <w:sz w:val="24"/>
              </w:rPr>
              <w:t xml:space="preserve"> </w:t>
            </w:r>
            <w:r>
              <w:rPr>
                <w:sz w:val="24"/>
              </w:rPr>
              <w:t>exames</w:t>
            </w:r>
            <w:r>
              <w:rPr>
                <w:spacing w:val="6"/>
                <w:sz w:val="24"/>
              </w:rPr>
              <w:t xml:space="preserve"> </w:t>
            </w:r>
            <w:r>
              <w:rPr>
                <w:spacing w:val="-2"/>
                <w:sz w:val="24"/>
              </w:rPr>
              <w:t>sorológicos</w:t>
            </w:r>
          </w:p>
        </w:tc>
        <w:tc>
          <w:tcPr>
            <w:tcW w:w="2794" w:type="dxa"/>
          </w:tcPr>
          <w:p w14:paraId="399C826F" w14:textId="77777777" w:rsidR="00CD6054" w:rsidRDefault="00A44E92">
            <w:pPr>
              <w:pStyle w:val="TableParagraph"/>
              <w:spacing w:before="16"/>
              <w:ind w:left="126"/>
              <w:rPr>
                <w:sz w:val="24"/>
              </w:rPr>
            </w:pPr>
            <w:r>
              <w:rPr>
                <w:spacing w:val="-2"/>
                <w:sz w:val="24"/>
              </w:rPr>
              <w:t>30/03/2024</w:t>
            </w:r>
          </w:p>
        </w:tc>
        <w:tc>
          <w:tcPr>
            <w:tcW w:w="2118" w:type="dxa"/>
          </w:tcPr>
          <w:p w14:paraId="4444B02B" w14:textId="77777777" w:rsidR="00CD6054" w:rsidRDefault="00A44E92">
            <w:pPr>
              <w:pStyle w:val="TableParagraph"/>
              <w:spacing w:before="16"/>
              <w:ind w:left="126"/>
              <w:rPr>
                <w:sz w:val="24"/>
              </w:rPr>
            </w:pPr>
            <w:r>
              <w:rPr>
                <w:spacing w:val="-2"/>
                <w:sz w:val="24"/>
              </w:rPr>
              <w:t>15/03/2027</w:t>
            </w:r>
          </w:p>
        </w:tc>
      </w:tr>
      <w:tr w:rsidR="00CD6054" w14:paraId="4FE3C5DC" w14:textId="77777777">
        <w:trPr>
          <w:trHeight w:val="1245"/>
        </w:trPr>
        <w:tc>
          <w:tcPr>
            <w:tcW w:w="3440" w:type="dxa"/>
          </w:tcPr>
          <w:p w14:paraId="6F997E98" w14:textId="77777777" w:rsidR="00CD6054" w:rsidRDefault="00A44E92">
            <w:pPr>
              <w:pStyle w:val="TableParagraph"/>
              <w:tabs>
                <w:tab w:val="left" w:pos="1044"/>
                <w:tab w:val="left" w:pos="2005"/>
                <w:tab w:val="left" w:pos="3009"/>
              </w:tabs>
              <w:spacing w:before="15" w:line="352" w:lineRule="auto"/>
              <w:ind w:left="112" w:right="79"/>
              <w:rPr>
                <w:sz w:val="24"/>
              </w:rPr>
            </w:pPr>
            <w:r>
              <w:rPr>
                <w:spacing w:val="-2"/>
                <w:sz w:val="24"/>
              </w:rPr>
              <w:lastRenderedPageBreak/>
              <w:t>Coleta</w:t>
            </w:r>
            <w:r>
              <w:rPr>
                <w:sz w:val="24"/>
              </w:rPr>
              <w:tab/>
            </w:r>
            <w:r>
              <w:rPr>
                <w:spacing w:val="-2"/>
                <w:sz w:val="24"/>
              </w:rPr>
              <w:t>salivar,</w:t>
            </w:r>
            <w:r>
              <w:rPr>
                <w:sz w:val="24"/>
              </w:rPr>
              <w:tab/>
            </w:r>
            <w:r>
              <w:rPr>
                <w:spacing w:val="-2"/>
                <w:sz w:val="24"/>
              </w:rPr>
              <w:t>preparo</w:t>
            </w:r>
            <w:r>
              <w:rPr>
                <w:sz w:val="24"/>
              </w:rPr>
              <w:tab/>
            </w:r>
            <w:r>
              <w:rPr>
                <w:spacing w:val="-4"/>
                <w:sz w:val="24"/>
              </w:rPr>
              <w:t xml:space="preserve">das </w:t>
            </w:r>
            <w:r>
              <w:rPr>
                <w:sz w:val="24"/>
              </w:rPr>
              <w:t>amostras</w:t>
            </w:r>
            <w:r>
              <w:rPr>
                <w:spacing w:val="24"/>
                <w:sz w:val="24"/>
              </w:rPr>
              <w:t xml:space="preserve"> </w:t>
            </w:r>
            <w:r>
              <w:rPr>
                <w:sz w:val="24"/>
              </w:rPr>
              <w:t>para</w:t>
            </w:r>
            <w:r>
              <w:rPr>
                <w:spacing w:val="14"/>
                <w:sz w:val="24"/>
              </w:rPr>
              <w:t xml:space="preserve"> </w:t>
            </w:r>
            <w:r>
              <w:rPr>
                <w:sz w:val="24"/>
              </w:rPr>
              <w:t>avaliação</w:t>
            </w:r>
            <w:r>
              <w:rPr>
                <w:spacing w:val="13"/>
                <w:sz w:val="24"/>
              </w:rPr>
              <w:t xml:space="preserve"> </w:t>
            </w:r>
            <w:r>
              <w:rPr>
                <w:sz w:val="24"/>
              </w:rPr>
              <w:t>salivar</w:t>
            </w:r>
            <w:r>
              <w:rPr>
                <w:spacing w:val="11"/>
                <w:sz w:val="24"/>
              </w:rPr>
              <w:t xml:space="preserve"> </w:t>
            </w:r>
            <w:r>
              <w:rPr>
                <w:spacing w:val="-10"/>
                <w:sz w:val="24"/>
              </w:rPr>
              <w:t>e</w:t>
            </w:r>
          </w:p>
          <w:p w14:paraId="6E9A8A32" w14:textId="77777777" w:rsidR="00CD6054" w:rsidRDefault="00A44E92">
            <w:pPr>
              <w:pStyle w:val="TableParagraph"/>
              <w:spacing w:before="15"/>
              <w:ind w:left="112"/>
              <w:rPr>
                <w:sz w:val="24"/>
              </w:rPr>
            </w:pPr>
            <w:r>
              <w:rPr>
                <w:sz w:val="24"/>
              </w:rPr>
              <w:t>dos</w:t>
            </w:r>
            <w:r>
              <w:rPr>
                <w:spacing w:val="-13"/>
                <w:sz w:val="24"/>
              </w:rPr>
              <w:t xml:space="preserve"> </w:t>
            </w:r>
            <w:r>
              <w:rPr>
                <w:sz w:val="24"/>
              </w:rPr>
              <w:t>polimorfismos</w:t>
            </w:r>
            <w:r>
              <w:rPr>
                <w:spacing w:val="13"/>
                <w:sz w:val="24"/>
              </w:rPr>
              <w:t xml:space="preserve"> </w:t>
            </w:r>
            <w:r>
              <w:rPr>
                <w:spacing w:val="-2"/>
                <w:sz w:val="24"/>
              </w:rPr>
              <w:t>genéticos</w:t>
            </w:r>
          </w:p>
        </w:tc>
        <w:tc>
          <w:tcPr>
            <w:tcW w:w="2794" w:type="dxa"/>
          </w:tcPr>
          <w:p w14:paraId="39B49F78" w14:textId="77777777" w:rsidR="00CD6054" w:rsidRDefault="00A44E92">
            <w:pPr>
              <w:pStyle w:val="TableParagraph"/>
              <w:spacing w:before="15"/>
              <w:ind w:left="126"/>
              <w:rPr>
                <w:sz w:val="24"/>
              </w:rPr>
            </w:pPr>
            <w:r>
              <w:rPr>
                <w:spacing w:val="-2"/>
                <w:sz w:val="24"/>
              </w:rPr>
              <w:t>30/03/2024</w:t>
            </w:r>
          </w:p>
        </w:tc>
        <w:tc>
          <w:tcPr>
            <w:tcW w:w="2118" w:type="dxa"/>
          </w:tcPr>
          <w:p w14:paraId="61568972" w14:textId="77777777" w:rsidR="00CD6054" w:rsidRDefault="00A44E92">
            <w:pPr>
              <w:pStyle w:val="TableParagraph"/>
              <w:spacing w:before="15"/>
              <w:ind w:left="126"/>
              <w:rPr>
                <w:sz w:val="24"/>
              </w:rPr>
            </w:pPr>
            <w:r>
              <w:rPr>
                <w:spacing w:val="-2"/>
                <w:sz w:val="24"/>
              </w:rPr>
              <w:t>15/03/2027</w:t>
            </w:r>
          </w:p>
        </w:tc>
      </w:tr>
      <w:tr w:rsidR="00CD6054" w14:paraId="0696FC59" w14:textId="77777777">
        <w:trPr>
          <w:trHeight w:val="810"/>
        </w:trPr>
        <w:tc>
          <w:tcPr>
            <w:tcW w:w="3440" w:type="dxa"/>
          </w:tcPr>
          <w:p w14:paraId="702A74E4" w14:textId="77777777" w:rsidR="00CD6054" w:rsidRDefault="00A44E92">
            <w:pPr>
              <w:pStyle w:val="TableParagraph"/>
              <w:tabs>
                <w:tab w:val="left" w:pos="1477"/>
                <w:tab w:val="left" w:pos="2227"/>
              </w:tabs>
              <w:spacing w:before="1"/>
              <w:ind w:left="112"/>
              <w:rPr>
                <w:sz w:val="24"/>
              </w:rPr>
            </w:pPr>
            <w:r>
              <w:rPr>
                <w:spacing w:val="-2"/>
                <w:sz w:val="24"/>
              </w:rPr>
              <w:t>Avaliação</w:t>
            </w:r>
            <w:r>
              <w:rPr>
                <w:sz w:val="24"/>
              </w:rPr>
              <w:tab/>
            </w:r>
            <w:r>
              <w:rPr>
                <w:spacing w:val="-5"/>
                <w:sz w:val="24"/>
              </w:rPr>
              <w:t>dos</w:t>
            </w:r>
            <w:r>
              <w:rPr>
                <w:sz w:val="24"/>
              </w:rPr>
              <w:tab/>
            </w:r>
            <w:r>
              <w:rPr>
                <w:spacing w:val="-2"/>
                <w:sz w:val="24"/>
              </w:rPr>
              <w:t>mediadores</w:t>
            </w:r>
          </w:p>
          <w:p w14:paraId="27D34537" w14:textId="77777777" w:rsidR="00CD6054" w:rsidRDefault="00A44E92">
            <w:pPr>
              <w:pStyle w:val="TableParagraph"/>
              <w:spacing w:before="144"/>
              <w:ind w:left="112"/>
              <w:rPr>
                <w:sz w:val="24"/>
              </w:rPr>
            </w:pPr>
            <w:r>
              <w:rPr>
                <w:spacing w:val="-2"/>
                <w:sz w:val="24"/>
              </w:rPr>
              <w:t>inflamatórios</w:t>
            </w:r>
          </w:p>
        </w:tc>
        <w:tc>
          <w:tcPr>
            <w:tcW w:w="2794" w:type="dxa"/>
          </w:tcPr>
          <w:p w14:paraId="6F132884" w14:textId="77777777" w:rsidR="00CD6054" w:rsidRDefault="00A44E92">
            <w:pPr>
              <w:pStyle w:val="TableParagraph"/>
              <w:spacing w:before="1"/>
              <w:ind w:left="126"/>
              <w:rPr>
                <w:sz w:val="24"/>
              </w:rPr>
            </w:pPr>
            <w:r>
              <w:rPr>
                <w:spacing w:val="-2"/>
                <w:sz w:val="24"/>
              </w:rPr>
              <w:t>30/03/2024</w:t>
            </w:r>
          </w:p>
        </w:tc>
        <w:tc>
          <w:tcPr>
            <w:tcW w:w="2118" w:type="dxa"/>
          </w:tcPr>
          <w:p w14:paraId="4D06527A" w14:textId="77777777" w:rsidR="00CD6054" w:rsidRDefault="00A44E92">
            <w:pPr>
              <w:pStyle w:val="TableParagraph"/>
              <w:spacing w:before="1"/>
              <w:ind w:left="126"/>
              <w:rPr>
                <w:sz w:val="24"/>
              </w:rPr>
            </w:pPr>
            <w:r>
              <w:rPr>
                <w:spacing w:val="-2"/>
                <w:sz w:val="24"/>
              </w:rPr>
              <w:t>15/03/2027</w:t>
            </w:r>
          </w:p>
        </w:tc>
      </w:tr>
      <w:tr w:rsidR="00CD6054" w14:paraId="43E552E0" w14:textId="77777777">
        <w:trPr>
          <w:trHeight w:val="420"/>
        </w:trPr>
        <w:tc>
          <w:tcPr>
            <w:tcW w:w="3440" w:type="dxa"/>
          </w:tcPr>
          <w:p w14:paraId="695B96A1" w14:textId="77777777" w:rsidR="00CD6054" w:rsidRDefault="00A44E92">
            <w:pPr>
              <w:pStyle w:val="TableParagraph"/>
              <w:spacing w:before="16"/>
              <w:ind w:left="112"/>
              <w:rPr>
                <w:sz w:val="24"/>
              </w:rPr>
            </w:pPr>
            <w:r>
              <w:rPr>
                <w:sz w:val="24"/>
              </w:rPr>
              <w:t>Tratamento</w:t>
            </w:r>
            <w:r>
              <w:rPr>
                <w:spacing w:val="-1"/>
                <w:sz w:val="24"/>
              </w:rPr>
              <w:t xml:space="preserve"> </w:t>
            </w:r>
            <w:r>
              <w:rPr>
                <w:spacing w:val="-2"/>
                <w:sz w:val="24"/>
              </w:rPr>
              <w:t>periodontal</w:t>
            </w:r>
          </w:p>
        </w:tc>
        <w:tc>
          <w:tcPr>
            <w:tcW w:w="2794" w:type="dxa"/>
          </w:tcPr>
          <w:p w14:paraId="79AE9672" w14:textId="77777777" w:rsidR="00CD6054" w:rsidRDefault="00A44E92">
            <w:pPr>
              <w:pStyle w:val="TableParagraph"/>
              <w:spacing w:before="16"/>
              <w:ind w:left="126"/>
              <w:rPr>
                <w:sz w:val="24"/>
              </w:rPr>
            </w:pPr>
            <w:r>
              <w:rPr>
                <w:spacing w:val="-2"/>
                <w:sz w:val="24"/>
              </w:rPr>
              <w:t>30/03/2024</w:t>
            </w:r>
          </w:p>
        </w:tc>
        <w:tc>
          <w:tcPr>
            <w:tcW w:w="2118" w:type="dxa"/>
          </w:tcPr>
          <w:p w14:paraId="39CE8C33" w14:textId="77777777" w:rsidR="00CD6054" w:rsidRDefault="00A44E92">
            <w:pPr>
              <w:pStyle w:val="TableParagraph"/>
              <w:spacing w:before="16"/>
              <w:ind w:left="126"/>
              <w:rPr>
                <w:sz w:val="24"/>
              </w:rPr>
            </w:pPr>
            <w:r>
              <w:rPr>
                <w:spacing w:val="-2"/>
                <w:sz w:val="24"/>
              </w:rPr>
              <w:t>15/03/2027</w:t>
            </w:r>
          </w:p>
        </w:tc>
      </w:tr>
      <w:tr w:rsidR="00CD6054" w14:paraId="28FF8376" w14:textId="77777777">
        <w:trPr>
          <w:trHeight w:val="825"/>
        </w:trPr>
        <w:tc>
          <w:tcPr>
            <w:tcW w:w="3440" w:type="dxa"/>
          </w:tcPr>
          <w:p w14:paraId="4FA926C1" w14:textId="77777777" w:rsidR="00CD6054" w:rsidRDefault="00A44E92">
            <w:pPr>
              <w:pStyle w:val="TableParagraph"/>
              <w:tabs>
                <w:tab w:val="left" w:pos="1866"/>
                <w:tab w:val="left" w:pos="2601"/>
              </w:tabs>
              <w:spacing w:before="1"/>
              <w:ind w:left="112"/>
              <w:rPr>
                <w:sz w:val="24"/>
              </w:rPr>
            </w:pPr>
            <w:r>
              <w:rPr>
                <w:spacing w:val="-2"/>
                <w:sz w:val="24"/>
              </w:rPr>
              <w:t>Apresentação</w:t>
            </w:r>
            <w:r>
              <w:rPr>
                <w:sz w:val="24"/>
              </w:rPr>
              <w:tab/>
            </w:r>
            <w:r>
              <w:rPr>
                <w:spacing w:val="-5"/>
                <w:sz w:val="24"/>
              </w:rPr>
              <w:t>em</w:t>
            </w:r>
            <w:r>
              <w:rPr>
                <w:sz w:val="24"/>
              </w:rPr>
              <w:tab/>
            </w:r>
            <w:r>
              <w:rPr>
                <w:spacing w:val="-2"/>
                <w:sz w:val="24"/>
              </w:rPr>
              <w:t>eventos</w:t>
            </w:r>
          </w:p>
          <w:p w14:paraId="2740899D" w14:textId="77777777" w:rsidR="00CD6054" w:rsidRDefault="00A44E92">
            <w:pPr>
              <w:pStyle w:val="TableParagraph"/>
              <w:spacing w:before="144"/>
              <w:ind w:left="112"/>
              <w:rPr>
                <w:sz w:val="24"/>
              </w:rPr>
            </w:pPr>
            <w:r>
              <w:rPr>
                <w:spacing w:val="-2"/>
                <w:sz w:val="24"/>
              </w:rPr>
              <w:t>científicos</w:t>
            </w:r>
          </w:p>
        </w:tc>
        <w:tc>
          <w:tcPr>
            <w:tcW w:w="4912" w:type="dxa"/>
            <w:gridSpan w:val="2"/>
          </w:tcPr>
          <w:p w14:paraId="71EC1B28" w14:textId="77777777" w:rsidR="00CD6054" w:rsidRDefault="00A44E92">
            <w:pPr>
              <w:pStyle w:val="TableParagraph"/>
              <w:spacing w:before="1"/>
              <w:ind w:left="126"/>
              <w:rPr>
                <w:sz w:val="24"/>
              </w:rPr>
            </w:pPr>
            <w:r>
              <w:rPr>
                <w:sz w:val="24"/>
              </w:rPr>
              <w:t>Eventos</w:t>
            </w:r>
            <w:r>
              <w:rPr>
                <w:spacing w:val="7"/>
                <w:sz w:val="24"/>
              </w:rPr>
              <w:t xml:space="preserve"> </w:t>
            </w:r>
            <w:r>
              <w:rPr>
                <w:sz w:val="24"/>
              </w:rPr>
              <w:t>científicos</w:t>
            </w:r>
            <w:r>
              <w:rPr>
                <w:spacing w:val="7"/>
                <w:sz w:val="24"/>
              </w:rPr>
              <w:t xml:space="preserve"> </w:t>
            </w:r>
            <w:r>
              <w:rPr>
                <w:sz w:val="24"/>
              </w:rPr>
              <w:t>que</w:t>
            </w:r>
            <w:r>
              <w:rPr>
                <w:spacing w:val="-6"/>
                <w:sz w:val="24"/>
              </w:rPr>
              <w:t xml:space="preserve"> </w:t>
            </w:r>
            <w:r>
              <w:rPr>
                <w:sz w:val="24"/>
              </w:rPr>
              <w:t>ocorrerem</w:t>
            </w:r>
            <w:r>
              <w:rPr>
                <w:spacing w:val="-11"/>
                <w:sz w:val="24"/>
              </w:rPr>
              <w:t xml:space="preserve"> </w:t>
            </w:r>
            <w:r>
              <w:rPr>
                <w:sz w:val="24"/>
              </w:rPr>
              <w:t>no</w:t>
            </w:r>
            <w:r>
              <w:rPr>
                <w:spacing w:val="-4"/>
                <w:sz w:val="24"/>
              </w:rPr>
              <w:t xml:space="preserve"> </w:t>
            </w:r>
            <w:r>
              <w:rPr>
                <w:sz w:val="24"/>
              </w:rPr>
              <w:t>período</w:t>
            </w:r>
            <w:r>
              <w:rPr>
                <w:spacing w:val="-4"/>
                <w:sz w:val="24"/>
              </w:rPr>
              <w:t xml:space="preserve"> </w:t>
            </w:r>
            <w:r>
              <w:rPr>
                <w:spacing w:val="-5"/>
                <w:sz w:val="24"/>
              </w:rPr>
              <w:t>de</w:t>
            </w:r>
          </w:p>
          <w:p w14:paraId="09DAC68B" w14:textId="77777777" w:rsidR="00CD6054" w:rsidRDefault="00A44E92">
            <w:pPr>
              <w:pStyle w:val="TableParagraph"/>
              <w:spacing w:before="144"/>
              <w:ind w:left="126"/>
              <w:rPr>
                <w:sz w:val="24"/>
              </w:rPr>
            </w:pPr>
            <w:r>
              <w:rPr>
                <w:sz w:val="24"/>
              </w:rPr>
              <w:t>01/09/2024</w:t>
            </w:r>
            <w:r>
              <w:rPr>
                <w:spacing w:val="7"/>
                <w:sz w:val="24"/>
              </w:rPr>
              <w:t xml:space="preserve"> </w:t>
            </w:r>
            <w:r>
              <w:rPr>
                <w:sz w:val="24"/>
              </w:rPr>
              <w:t>a</w:t>
            </w:r>
            <w:r>
              <w:rPr>
                <w:spacing w:val="-7"/>
                <w:sz w:val="24"/>
              </w:rPr>
              <w:t xml:space="preserve"> </w:t>
            </w:r>
            <w:r>
              <w:rPr>
                <w:spacing w:val="-2"/>
                <w:sz w:val="24"/>
              </w:rPr>
              <w:t>01/06/2028</w:t>
            </w:r>
          </w:p>
        </w:tc>
      </w:tr>
      <w:tr w:rsidR="00CD6054" w14:paraId="1E151C46" w14:textId="77777777">
        <w:trPr>
          <w:trHeight w:val="405"/>
        </w:trPr>
        <w:tc>
          <w:tcPr>
            <w:tcW w:w="3440" w:type="dxa"/>
          </w:tcPr>
          <w:p w14:paraId="6D630BD9" w14:textId="77777777" w:rsidR="00CD6054" w:rsidRDefault="00A44E92">
            <w:pPr>
              <w:pStyle w:val="TableParagraph"/>
              <w:spacing w:before="1"/>
              <w:ind w:left="112"/>
              <w:rPr>
                <w:sz w:val="24"/>
              </w:rPr>
            </w:pPr>
            <w:r>
              <w:rPr>
                <w:sz w:val="24"/>
              </w:rPr>
              <w:t>Análise</w:t>
            </w:r>
            <w:r>
              <w:rPr>
                <w:spacing w:val="13"/>
                <w:sz w:val="24"/>
              </w:rPr>
              <w:t xml:space="preserve"> </w:t>
            </w:r>
            <w:r>
              <w:rPr>
                <w:sz w:val="24"/>
              </w:rPr>
              <w:t>dos</w:t>
            </w:r>
            <w:r>
              <w:rPr>
                <w:spacing w:val="-4"/>
                <w:sz w:val="24"/>
              </w:rPr>
              <w:t xml:space="preserve"> </w:t>
            </w:r>
            <w:r>
              <w:rPr>
                <w:spacing w:val="-2"/>
                <w:sz w:val="24"/>
              </w:rPr>
              <w:t>Resultados</w:t>
            </w:r>
          </w:p>
        </w:tc>
        <w:tc>
          <w:tcPr>
            <w:tcW w:w="2794" w:type="dxa"/>
          </w:tcPr>
          <w:p w14:paraId="0BCA76B3" w14:textId="77777777" w:rsidR="00CD6054" w:rsidRDefault="00A44E92">
            <w:pPr>
              <w:pStyle w:val="TableParagraph"/>
              <w:spacing w:before="1"/>
              <w:ind w:left="126"/>
              <w:rPr>
                <w:sz w:val="24"/>
              </w:rPr>
            </w:pPr>
            <w:r>
              <w:rPr>
                <w:spacing w:val="-2"/>
                <w:sz w:val="24"/>
              </w:rPr>
              <w:t>01/07/2024</w:t>
            </w:r>
          </w:p>
        </w:tc>
        <w:tc>
          <w:tcPr>
            <w:tcW w:w="2118" w:type="dxa"/>
          </w:tcPr>
          <w:p w14:paraId="71387609" w14:textId="77777777" w:rsidR="00CD6054" w:rsidRDefault="00A44E92">
            <w:pPr>
              <w:pStyle w:val="TableParagraph"/>
              <w:spacing w:before="1"/>
              <w:ind w:left="126"/>
              <w:rPr>
                <w:sz w:val="24"/>
              </w:rPr>
            </w:pPr>
            <w:r>
              <w:rPr>
                <w:spacing w:val="-2"/>
                <w:sz w:val="24"/>
              </w:rPr>
              <w:t>01/08/2028</w:t>
            </w:r>
          </w:p>
        </w:tc>
      </w:tr>
      <w:tr w:rsidR="00CD6054" w14:paraId="5686E48A" w14:textId="77777777">
        <w:trPr>
          <w:trHeight w:val="405"/>
        </w:trPr>
        <w:tc>
          <w:tcPr>
            <w:tcW w:w="3440" w:type="dxa"/>
          </w:tcPr>
          <w:p w14:paraId="2AEA7D93" w14:textId="77777777" w:rsidR="00CD6054" w:rsidRDefault="00A44E92">
            <w:pPr>
              <w:pStyle w:val="TableParagraph"/>
              <w:spacing w:before="1"/>
              <w:ind w:left="112"/>
              <w:rPr>
                <w:sz w:val="24"/>
              </w:rPr>
            </w:pPr>
            <w:r>
              <w:rPr>
                <w:sz w:val="24"/>
              </w:rPr>
              <w:t>Escrita</w:t>
            </w:r>
            <w:r>
              <w:rPr>
                <w:spacing w:val="-2"/>
                <w:sz w:val="24"/>
              </w:rPr>
              <w:t xml:space="preserve"> </w:t>
            </w:r>
            <w:r>
              <w:rPr>
                <w:sz w:val="24"/>
              </w:rPr>
              <w:t>do</w:t>
            </w:r>
            <w:r>
              <w:rPr>
                <w:spacing w:val="4"/>
                <w:sz w:val="24"/>
              </w:rPr>
              <w:t xml:space="preserve"> </w:t>
            </w:r>
            <w:r>
              <w:rPr>
                <w:spacing w:val="-2"/>
                <w:sz w:val="24"/>
              </w:rPr>
              <w:t>Artigo</w:t>
            </w:r>
          </w:p>
        </w:tc>
        <w:tc>
          <w:tcPr>
            <w:tcW w:w="2794" w:type="dxa"/>
          </w:tcPr>
          <w:p w14:paraId="00E04992" w14:textId="77777777" w:rsidR="00CD6054" w:rsidRDefault="00A44E92">
            <w:pPr>
              <w:pStyle w:val="TableParagraph"/>
              <w:spacing w:before="1"/>
              <w:ind w:left="126"/>
              <w:rPr>
                <w:sz w:val="24"/>
              </w:rPr>
            </w:pPr>
            <w:r>
              <w:rPr>
                <w:spacing w:val="-2"/>
                <w:sz w:val="24"/>
              </w:rPr>
              <w:t>01/09/2024</w:t>
            </w:r>
          </w:p>
        </w:tc>
        <w:tc>
          <w:tcPr>
            <w:tcW w:w="2118" w:type="dxa"/>
          </w:tcPr>
          <w:p w14:paraId="37731F5C" w14:textId="77777777" w:rsidR="00CD6054" w:rsidRDefault="00A44E92">
            <w:pPr>
              <w:pStyle w:val="TableParagraph"/>
              <w:spacing w:before="1"/>
              <w:ind w:left="126"/>
              <w:rPr>
                <w:sz w:val="24"/>
              </w:rPr>
            </w:pPr>
            <w:r>
              <w:rPr>
                <w:spacing w:val="-2"/>
                <w:sz w:val="24"/>
              </w:rPr>
              <w:t>01/08/2028</w:t>
            </w:r>
          </w:p>
        </w:tc>
      </w:tr>
      <w:tr w:rsidR="00CD6054" w14:paraId="1D23D5F0" w14:textId="77777777">
        <w:trPr>
          <w:trHeight w:val="405"/>
        </w:trPr>
        <w:tc>
          <w:tcPr>
            <w:tcW w:w="3440" w:type="dxa"/>
          </w:tcPr>
          <w:p w14:paraId="0FFA5874" w14:textId="77777777" w:rsidR="00CD6054" w:rsidRDefault="00A44E92">
            <w:pPr>
              <w:pStyle w:val="TableParagraph"/>
              <w:spacing w:before="16"/>
              <w:ind w:left="112"/>
              <w:rPr>
                <w:sz w:val="24"/>
              </w:rPr>
            </w:pPr>
            <w:r>
              <w:rPr>
                <w:sz w:val="24"/>
              </w:rPr>
              <w:t>Relatório</w:t>
            </w:r>
            <w:r>
              <w:rPr>
                <w:spacing w:val="2"/>
                <w:sz w:val="24"/>
              </w:rPr>
              <w:t xml:space="preserve"> </w:t>
            </w:r>
            <w:r>
              <w:rPr>
                <w:spacing w:val="-2"/>
                <w:sz w:val="24"/>
              </w:rPr>
              <w:t>Final</w:t>
            </w:r>
          </w:p>
        </w:tc>
        <w:tc>
          <w:tcPr>
            <w:tcW w:w="2794" w:type="dxa"/>
          </w:tcPr>
          <w:p w14:paraId="12201736" w14:textId="77777777" w:rsidR="00CD6054" w:rsidRDefault="00A44E92">
            <w:pPr>
              <w:pStyle w:val="TableParagraph"/>
              <w:spacing w:before="16"/>
              <w:ind w:left="126"/>
              <w:rPr>
                <w:sz w:val="24"/>
              </w:rPr>
            </w:pPr>
            <w:r>
              <w:rPr>
                <w:spacing w:val="-2"/>
                <w:sz w:val="24"/>
              </w:rPr>
              <w:t>04/05/2028</w:t>
            </w:r>
          </w:p>
        </w:tc>
        <w:tc>
          <w:tcPr>
            <w:tcW w:w="2118" w:type="dxa"/>
          </w:tcPr>
          <w:p w14:paraId="74272784" w14:textId="77777777" w:rsidR="00CD6054" w:rsidRDefault="00A44E92">
            <w:pPr>
              <w:pStyle w:val="TableParagraph"/>
              <w:spacing w:before="16"/>
              <w:ind w:left="126"/>
              <w:rPr>
                <w:sz w:val="24"/>
              </w:rPr>
            </w:pPr>
            <w:r>
              <w:rPr>
                <w:spacing w:val="-2"/>
                <w:sz w:val="24"/>
              </w:rPr>
              <w:t>01/08/2028</w:t>
            </w:r>
          </w:p>
        </w:tc>
      </w:tr>
    </w:tbl>
    <w:p w14:paraId="02D309B8" w14:textId="77777777" w:rsidR="00CD6054" w:rsidRDefault="00CD6054">
      <w:pPr>
        <w:rPr>
          <w:sz w:val="24"/>
        </w:rPr>
        <w:sectPr w:rsidR="00CD6054">
          <w:pgSz w:w="11910" w:h="16850"/>
          <w:pgMar w:top="1640" w:right="880" w:bottom="280" w:left="1460" w:header="720" w:footer="720" w:gutter="0"/>
          <w:cols w:space="720"/>
        </w:sectPr>
      </w:pPr>
    </w:p>
    <w:p w14:paraId="75288DCA" w14:textId="77777777" w:rsidR="00CD6054" w:rsidRDefault="00A44E92">
      <w:pPr>
        <w:pStyle w:val="Heading1"/>
        <w:spacing w:before="68"/>
        <w:ind w:left="236" w:firstLine="0"/>
      </w:pPr>
      <w:r>
        <w:lastRenderedPageBreak/>
        <w:t>OBS:</w:t>
      </w:r>
      <w:r>
        <w:rPr>
          <w:spacing w:val="-12"/>
        </w:rPr>
        <w:t xml:space="preserve"> </w:t>
      </w:r>
      <w:r>
        <w:t>a</w:t>
      </w:r>
      <w:r>
        <w:rPr>
          <w:spacing w:val="-6"/>
        </w:rPr>
        <w:t xml:space="preserve"> </w:t>
      </w:r>
      <w:r>
        <w:t>seleção</w:t>
      </w:r>
      <w:r>
        <w:rPr>
          <w:spacing w:val="6"/>
        </w:rPr>
        <w:t xml:space="preserve"> </w:t>
      </w:r>
      <w:r>
        <w:t>da</w:t>
      </w:r>
      <w:r>
        <w:rPr>
          <w:spacing w:val="-6"/>
        </w:rPr>
        <w:t xml:space="preserve"> </w:t>
      </w:r>
      <w:r>
        <w:t>amostra</w:t>
      </w:r>
      <w:r>
        <w:rPr>
          <w:spacing w:val="6"/>
        </w:rPr>
        <w:t xml:space="preserve"> </w:t>
      </w:r>
      <w:r>
        <w:t>iniciará</w:t>
      </w:r>
      <w:r>
        <w:rPr>
          <w:spacing w:val="26"/>
        </w:rPr>
        <w:t xml:space="preserve"> </w:t>
      </w:r>
      <w:r>
        <w:t>apenas</w:t>
      </w:r>
      <w:r>
        <w:rPr>
          <w:spacing w:val="-10"/>
        </w:rPr>
        <w:t xml:space="preserve"> </w:t>
      </w:r>
      <w:r>
        <w:t>após</w:t>
      </w:r>
      <w:r>
        <w:rPr>
          <w:spacing w:val="-10"/>
        </w:rPr>
        <w:t xml:space="preserve"> </w:t>
      </w:r>
      <w:r>
        <w:t>aprovação</w:t>
      </w:r>
      <w:r>
        <w:rPr>
          <w:spacing w:val="-6"/>
        </w:rPr>
        <w:t xml:space="preserve"> </w:t>
      </w:r>
      <w:r>
        <w:t>pelo</w:t>
      </w:r>
      <w:r>
        <w:rPr>
          <w:spacing w:val="7"/>
        </w:rPr>
        <w:t xml:space="preserve"> </w:t>
      </w:r>
      <w:r>
        <w:rPr>
          <w:spacing w:val="-4"/>
        </w:rPr>
        <w:t>CEP.</w:t>
      </w:r>
    </w:p>
    <w:p w14:paraId="2FD47632" w14:textId="77777777" w:rsidR="00CD6054" w:rsidRDefault="00CD6054">
      <w:pPr>
        <w:pStyle w:val="BodyText"/>
        <w:rPr>
          <w:b/>
        </w:rPr>
      </w:pPr>
    </w:p>
    <w:p w14:paraId="04C737A8" w14:textId="77777777" w:rsidR="00CD6054" w:rsidRDefault="00CD6054">
      <w:pPr>
        <w:pStyle w:val="BodyText"/>
        <w:rPr>
          <w:b/>
        </w:rPr>
      </w:pPr>
    </w:p>
    <w:p w14:paraId="69AED330" w14:textId="77777777" w:rsidR="00CD6054" w:rsidRDefault="00CD6054">
      <w:pPr>
        <w:pStyle w:val="BodyText"/>
        <w:rPr>
          <w:b/>
        </w:rPr>
      </w:pPr>
    </w:p>
    <w:p w14:paraId="72E8CA40" w14:textId="77777777" w:rsidR="00CD6054" w:rsidRDefault="00CD6054">
      <w:pPr>
        <w:pStyle w:val="BodyText"/>
        <w:spacing w:before="16"/>
        <w:rPr>
          <w:b/>
        </w:rPr>
      </w:pPr>
    </w:p>
    <w:p w14:paraId="67A3F614" w14:textId="77777777" w:rsidR="00CD6054" w:rsidRDefault="00A44E92">
      <w:pPr>
        <w:pStyle w:val="ListParagraph"/>
        <w:numPr>
          <w:ilvl w:val="0"/>
          <w:numId w:val="7"/>
        </w:numPr>
        <w:tabs>
          <w:tab w:val="left" w:pos="957"/>
        </w:tabs>
        <w:ind w:left="957" w:hanging="360"/>
        <w:rPr>
          <w:b/>
          <w:sz w:val="24"/>
        </w:rPr>
      </w:pPr>
      <w:r>
        <w:rPr>
          <w:b/>
          <w:sz w:val="24"/>
        </w:rPr>
        <w:t>Local</w:t>
      </w:r>
      <w:r>
        <w:rPr>
          <w:b/>
          <w:spacing w:val="-10"/>
          <w:sz w:val="24"/>
        </w:rPr>
        <w:t xml:space="preserve"> </w:t>
      </w:r>
      <w:r>
        <w:rPr>
          <w:b/>
          <w:sz w:val="24"/>
        </w:rPr>
        <w:t>de</w:t>
      </w:r>
      <w:r>
        <w:rPr>
          <w:b/>
          <w:spacing w:val="-4"/>
          <w:sz w:val="24"/>
        </w:rPr>
        <w:t xml:space="preserve"> </w:t>
      </w:r>
      <w:r>
        <w:rPr>
          <w:b/>
          <w:sz w:val="24"/>
        </w:rPr>
        <w:t>Realização</w:t>
      </w:r>
      <w:r>
        <w:rPr>
          <w:b/>
          <w:spacing w:val="11"/>
          <w:sz w:val="24"/>
        </w:rPr>
        <w:t xml:space="preserve"> </w:t>
      </w:r>
      <w:r>
        <w:rPr>
          <w:b/>
          <w:sz w:val="24"/>
        </w:rPr>
        <w:t>da</w:t>
      </w:r>
      <w:r>
        <w:rPr>
          <w:b/>
          <w:spacing w:val="-2"/>
          <w:sz w:val="24"/>
        </w:rPr>
        <w:t xml:space="preserve"> Pesquisa:</w:t>
      </w:r>
    </w:p>
    <w:p w14:paraId="18244EC9" w14:textId="77777777" w:rsidR="00CD6054" w:rsidRDefault="00CD6054">
      <w:pPr>
        <w:pStyle w:val="BodyText"/>
        <w:spacing w:before="33"/>
        <w:rPr>
          <w:b/>
        </w:rPr>
      </w:pPr>
    </w:p>
    <w:p w14:paraId="43EF2F9D" w14:textId="77777777" w:rsidR="00CD6054" w:rsidRDefault="00A44E92">
      <w:pPr>
        <w:pStyle w:val="BodyText"/>
        <w:spacing w:line="352" w:lineRule="auto"/>
        <w:ind w:left="236" w:right="261" w:firstLine="706"/>
        <w:jc w:val="both"/>
      </w:pPr>
      <w:r>
        <w:t>A</w:t>
      </w:r>
      <w:r>
        <w:rPr>
          <w:spacing w:val="31"/>
        </w:rPr>
        <w:t xml:space="preserve"> </w:t>
      </w:r>
      <w:r>
        <w:t>pesquisa será realizada na Universidade Federal do Paraná, no campus Botânico e na Fundação Pró-Renal, ambas localizadas em Curitiba-PR.</w:t>
      </w:r>
    </w:p>
    <w:p w14:paraId="4A027586" w14:textId="77777777" w:rsidR="00CD6054" w:rsidRDefault="00CD6054">
      <w:pPr>
        <w:pStyle w:val="BodyText"/>
      </w:pPr>
    </w:p>
    <w:p w14:paraId="5B636733" w14:textId="77777777" w:rsidR="00CD6054" w:rsidRDefault="00CD6054">
      <w:pPr>
        <w:pStyle w:val="BodyText"/>
        <w:spacing w:before="183"/>
      </w:pPr>
    </w:p>
    <w:p w14:paraId="0F7B0159" w14:textId="77777777" w:rsidR="00CD6054" w:rsidRDefault="00A44E92">
      <w:pPr>
        <w:pStyle w:val="Heading1"/>
        <w:numPr>
          <w:ilvl w:val="0"/>
          <w:numId w:val="7"/>
        </w:numPr>
        <w:tabs>
          <w:tab w:val="left" w:pos="957"/>
        </w:tabs>
        <w:ind w:left="957" w:hanging="360"/>
      </w:pPr>
      <w:r>
        <w:t>Critérios</w:t>
      </w:r>
      <w:r>
        <w:rPr>
          <w:spacing w:val="4"/>
        </w:rPr>
        <w:t xml:space="preserve"> </w:t>
      </w:r>
      <w:r>
        <w:t>para</w:t>
      </w:r>
      <w:r>
        <w:rPr>
          <w:spacing w:val="-6"/>
        </w:rPr>
        <w:t xml:space="preserve"> </w:t>
      </w:r>
      <w:r>
        <w:t>suspender</w:t>
      </w:r>
      <w:r>
        <w:rPr>
          <w:spacing w:val="6"/>
        </w:rPr>
        <w:t xml:space="preserve"> </w:t>
      </w:r>
      <w:r>
        <w:t>ou</w:t>
      </w:r>
      <w:r>
        <w:rPr>
          <w:spacing w:val="-5"/>
        </w:rPr>
        <w:t xml:space="preserve"> </w:t>
      </w:r>
      <w:r>
        <w:t>encerrar</w:t>
      </w:r>
      <w:r>
        <w:rPr>
          <w:spacing w:val="-8"/>
        </w:rPr>
        <w:t xml:space="preserve"> </w:t>
      </w:r>
      <w:r>
        <w:t>a</w:t>
      </w:r>
      <w:r>
        <w:rPr>
          <w:spacing w:val="2"/>
        </w:rPr>
        <w:t xml:space="preserve"> </w:t>
      </w:r>
      <w:r>
        <w:rPr>
          <w:spacing w:val="-2"/>
        </w:rPr>
        <w:t>pesquisa:</w:t>
      </w:r>
    </w:p>
    <w:p w14:paraId="7CEF636F" w14:textId="77777777" w:rsidR="00CD6054" w:rsidRDefault="00CD6054">
      <w:pPr>
        <w:pStyle w:val="BodyText"/>
        <w:spacing w:before="49"/>
        <w:rPr>
          <w:b/>
        </w:rPr>
      </w:pPr>
    </w:p>
    <w:p w14:paraId="06C68AB2" w14:textId="77777777" w:rsidR="00CD6054" w:rsidRDefault="00A44E92">
      <w:pPr>
        <w:pStyle w:val="BodyText"/>
        <w:spacing w:line="338" w:lineRule="auto"/>
        <w:ind w:left="236" w:right="253" w:firstLine="706"/>
        <w:jc w:val="both"/>
      </w:pPr>
      <w:r>
        <w:t>A pesquisa poderá ser encerrada caso haja indisponibilidade dos possíveis</w:t>
      </w:r>
      <w:r>
        <w:rPr>
          <w:spacing w:val="40"/>
        </w:rPr>
        <w:t xml:space="preserve"> </w:t>
      </w:r>
      <w:r>
        <w:t>participantes do estudo.</w:t>
      </w:r>
    </w:p>
    <w:p w14:paraId="09C37B66" w14:textId="77777777" w:rsidR="00CD6054" w:rsidRDefault="00CD6054">
      <w:pPr>
        <w:pStyle w:val="BodyText"/>
      </w:pPr>
    </w:p>
    <w:p w14:paraId="2B61BC64" w14:textId="77777777" w:rsidR="00CD6054" w:rsidRDefault="00CD6054">
      <w:pPr>
        <w:pStyle w:val="BodyText"/>
        <w:spacing w:before="51"/>
      </w:pPr>
    </w:p>
    <w:p w14:paraId="5F8514FA" w14:textId="77777777" w:rsidR="00CD6054" w:rsidRDefault="00A44E92">
      <w:pPr>
        <w:pStyle w:val="Heading1"/>
        <w:numPr>
          <w:ilvl w:val="0"/>
          <w:numId w:val="7"/>
        </w:numPr>
        <w:tabs>
          <w:tab w:val="left" w:pos="957"/>
        </w:tabs>
        <w:ind w:left="957" w:hanging="360"/>
      </w:pPr>
      <w:r>
        <w:t>Demonstrativo</w:t>
      </w:r>
      <w:r>
        <w:rPr>
          <w:spacing w:val="4"/>
        </w:rPr>
        <w:t xml:space="preserve"> </w:t>
      </w:r>
      <w:r>
        <w:t>da</w:t>
      </w:r>
      <w:r>
        <w:rPr>
          <w:spacing w:val="-11"/>
        </w:rPr>
        <w:t xml:space="preserve"> </w:t>
      </w:r>
      <w:r>
        <w:t>Existência</w:t>
      </w:r>
      <w:r>
        <w:rPr>
          <w:spacing w:val="4"/>
        </w:rPr>
        <w:t xml:space="preserve"> </w:t>
      </w:r>
      <w:r>
        <w:t>de</w:t>
      </w:r>
      <w:r>
        <w:rPr>
          <w:spacing w:val="-10"/>
        </w:rPr>
        <w:t xml:space="preserve"> </w:t>
      </w:r>
      <w:r>
        <w:rPr>
          <w:spacing w:val="-2"/>
        </w:rPr>
        <w:t>Infraestrutura:</w:t>
      </w:r>
    </w:p>
    <w:p w14:paraId="0F82B40F" w14:textId="77777777" w:rsidR="00CD6054" w:rsidRDefault="00CD6054">
      <w:pPr>
        <w:pStyle w:val="BodyText"/>
        <w:spacing w:before="33"/>
        <w:rPr>
          <w:b/>
        </w:rPr>
      </w:pPr>
    </w:p>
    <w:p w14:paraId="244252E1" w14:textId="77777777" w:rsidR="00CD6054" w:rsidRDefault="00A44E92">
      <w:pPr>
        <w:pStyle w:val="BodyText"/>
        <w:spacing w:line="360" w:lineRule="auto"/>
        <w:ind w:left="236" w:right="244" w:firstLine="826"/>
        <w:jc w:val="both"/>
      </w:pPr>
      <w:r>
        <w:t>Laboratório de</w:t>
      </w:r>
      <w:r>
        <w:rPr>
          <w:spacing w:val="-15"/>
        </w:rPr>
        <w:t xml:space="preserve"> </w:t>
      </w:r>
      <w:r>
        <w:t>Pesquisa Básica</w:t>
      </w:r>
      <w:r>
        <w:rPr>
          <w:spacing w:val="-2"/>
        </w:rPr>
        <w:t xml:space="preserve"> </w:t>
      </w:r>
      <w:r>
        <w:t>em Odontologia</w:t>
      </w:r>
      <w:r>
        <w:rPr>
          <w:spacing w:val="-15"/>
        </w:rPr>
        <w:t xml:space="preserve"> </w:t>
      </w:r>
      <w:r>
        <w:t>da</w:t>
      </w:r>
      <w:r>
        <w:rPr>
          <w:spacing w:val="-15"/>
        </w:rPr>
        <w:t xml:space="preserve"> </w:t>
      </w:r>
      <w:r>
        <w:t>Universidade</w:t>
      </w:r>
      <w:r>
        <w:rPr>
          <w:spacing w:val="-2"/>
        </w:rPr>
        <w:t xml:space="preserve"> </w:t>
      </w:r>
      <w:r>
        <w:t>Federal</w:t>
      </w:r>
      <w:r>
        <w:rPr>
          <w:spacing w:val="-7"/>
        </w:rPr>
        <w:t xml:space="preserve"> </w:t>
      </w:r>
      <w:r>
        <w:t>do Paraná – ambiente com infraestrutura e equipamentos para processamento do material biológico,</w:t>
      </w:r>
      <w:r>
        <w:rPr>
          <w:spacing w:val="40"/>
        </w:rPr>
        <w:t xml:space="preserve"> </w:t>
      </w:r>
      <w:r>
        <w:t>análise salivar,</w:t>
      </w:r>
      <w:r>
        <w:rPr>
          <w:spacing w:val="40"/>
        </w:rPr>
        <w:t xml:space="preserve"> </w:t>
      </w:r>
      <w:r>
        <w:t>extração do DNA e genotipagem de todo DNA humano.</w:t>
      </w:r>
    </w:p>
    <w:p w14:paraId="1F725AC1" w14:textId="77777777" w:rsidR="00CD6054" w:rsidRDefault="00A44E92">
      <w:pPr>
        <w:pStyle w:val="BodyText"/>
        <w:spacing w:before="5" w:line="360" w:lineRule="auto"/>
        <w:ind w:left="236" w:right="245" w:firstLine="826"/>
        <w:jc w:val="both"/>
      </w:pPr>
      <w:r>
        <w:t>Departamento de Estomatologia da Universidade Federal do Paraná – ambiente</w:t>
      </w:r>
      <w:r>
        <w:rPr>
          <w:spacing w:val="-2"/>
        </w:rPr>
        <w:t xml:space="preserve"> </w:t>
      </w:r>
      <w:r>
        <w:t>para realização da calibração dos examinadores, atendimento clínico dos pacientes do grupo controle, análise</w:t>
      </w:r>
      <w:r>
        <w:rPr>
          <w:spacing w:val="40"/>
        </w:rPr>
        <w:t xml:space="preserve"> </w:t>
      </w:r>
      <w:r>
        <w:t>dos dados, discussão da metodologia empregada.</w:t>
      </w:r>
    </w:p>
    <w:p w14:paraId="01106FDD" w14:textId="77777777" w:rsidR="00CD6054" w:rsidRDefault="00A44E92">
      <w:pPr>
        <w:pStyle w:val="BodyText"/>
        <w:spacing w:before="4" w:line="340" w:lineRule="auto"/>
        <w:ind w:left="236" w:right="692" w:firstLine="706"/>
        <w:jc w:val="both"/>
      </w:pPr>
      <w:r>
        <w:t>O Laboratório</w:t>
      </w:r>
      <w:r>
        <w:rPr>
          <w:spacing w:val="-4"/>
        </w:rPr>
        <w:t xml:space="preserve"> </w:t>
      </w:r>
      <w:r>
        <w:t>Escola de</w:t>
      </w:r>
      <w:r>
        <w:rPr>
          <w:spacing w:val="-6"/>
        </w:rPr>
        <w:t xml:space="preserve"> </w:t>
      </w:r>
      <w:r>
        <w:t>Análises</w:t>
      </w:r>
      <w:r>
        <w:rPr>
          <w:spacing w:val="-8"/>
        </w:rPr>
        <w:t xml:space="preserve"> </w:t>
      </w:r>
      <w:r>
        <w:t>Clínicas</w:t>
      </w:r>
      <w:r>
        <w:rPr>
          <w:spacing w:val="20"/>
        </w:rPr>
        <w:t xml:space="preserve"> </w:t>
      </w:r>
      <w:r>
        <w:t>(LEAC)</w:t>
      </w:r>
      <w:r>
        <w:rPr>
          <w:spacing w:val="-10"/>
        </w:rPr>
        <w:t xml:space="preserve"> </w:t>
      </w:r>
      <w:r>
        <w:t>da</w:t>
      </w:r>
      <w:r>
        <w:rPr>
          <w:spacing w:val="-6"/>
        </w:rPr>
        <w:t xml:space="preserve"> </w:t>
      </w:r>
      <w:r>
        <w:t>UFPR possui</w:t>
      </w:r>
      <w:r>
        <w:rPr>
          <w:spacing w:val="-11"/>
        </w:rPr>
        <w:t xml:space="preserve"> </w:t>
      </w:r>
      <w:r>
        <w:t>infraestrutura necessária</w:t>
      </w:r>
      <w:r>
        <w:rPr>
          <w:spacing w:val="40"/>
        </w:rPr>
        <w:t xml:space="preserve"> </w:t>
      </w:r>
      <w:r>
        <w:t>para as análises sorológicas do grupo controle.</w:t>
      </w:r>
    </w:p>
    <w:p w14:paraId="6EA02B47" w14:textId="77777777" w:rsidR="00CD6054" w:rsidRDefault="00A44E92">
      <w:pPr>
        <w:pStyle w:val="BodyText"/>
        <w:spacing w:before="207" w:line="338" w:lineRule="auto"/>
        <w:ind w:left="236" w:right="663" w:firstLine="706"/>
        <w:jc w:val="both"/>
      </w:pPr>
      <w:r>
        <w:t>A</w:t>
      </w:r>
      <w:r>
        <w:rPr>
          <w:spacing w:val="-1"/>
        </w:rPr>
        <w:t xml:space="preserve"> </w:t>
      </w:r>
      <w:r>
        <w:t>Fundação</w:t>
      </w:r>
      <w:r>
        <w:rPr>
          <w:spacing w:val="-6"/>
        </w:rPr>
        <w:t xml:space="preserve"> </w:t>
      </w:r>
      <w:r>
        <w:t>Pró-Renal</w:t>
      </w:r>
      <w:r>
        <w:rPr>
          <w:spacing w:val="-13"/>
        </w:rPr>
        <w:t xml:space="preserve"> </w:t>
      </w:r>
      <w:r>
        <w:t>possui consultório odontológico</w:t>
      </w:r>
      <w:r>
        <w:rPr>
          <w:spacing w:val="-6"/>
        </w:rPr>
        <w:t xml:space="preserve"> </w:t>
      </w:r>
      <w:r>
        <w:t>apropriado</w:t>
      </w:r>
      <w:r>
        <w:rPr>
          <w:spacing w:val="-6"/>
        </w:rPr>
        <w:t xml:space="preserve"> </w:t>
      </w:r>
      <w:r>
        <w:t>para</w:t>
      </w:r>
      <w:r>
        <w:rPr>
          <w:spacing w:val="-8"/>
        </w:rPr>
        <w:t xml:space="preserve"> </w:t>
      </w:r>
      <w:r>
        <w:t>o</w:t>
      </w:r>
      <w:r>
        <w:rPr>
          <w:spacing w:val="-6"/>
        </w:rPr>
        <w:t xml:space="preserve"> </w:t>
      </w:r>
      <w:r>
        <w:t>exame e tratamento periodontal dos pacientes.</w:t>
      </w:r>
    </w:p>
    <w:p w14:paraId="11A93344" w14:textId="77777777" w:rsidR="00CD6054" w:rsidRDefault="00CD6054">
      <w:pPr>
        <w:pStyle w:val="BodyText"/>
      </w:pPr>
    </w:p>
    <w:p w14:paraId="23206915" w14:textId="77777777" w:rsidR="00CD6054" w:rsidRDefault="00CD6054">
      <w:pPr>
        <w:pStyle w:val="BodyText"/>
        <w:spacing w:before="216"/>
      </w:pPr>
    </w:p>
    <w:p w14:paraId="2D6C1901" w14:textId="77777777" w:rsidR="00CD6054" w:rsidRDefault="00A44E92">
      <w:pPr>
        <w:pStyle w:val="Heading1"/>
        <w:numPr>
          <w:ilvl w:val="0"/>
          <w:numId w:val="7"/>
        </w:numPr>
        <w:tabs>
          <w:tab w:val="left" w:pos="957"/>
        </w:tabs>
        <w:ind w:left="957" w:hanging="360"/>
      </w:pPr>
      <w:r>
        <w:t>Propriedade</w:t>
      </w:r>
      <w:r>
        <w:rPr>
          <w:spacing w:val="-5"/>
        </w:rPr>
        <w:t xml:space="preserve"> </w:t>
      </w:r>
      <w:r>
        <w:t>das</w:t>
      </w:r>
      <w:r>
        <w:rPr>
          <w:spacing w:val="8"/>
        </w:rPr>
        <w:t xml:space="preserve"> </w:t>
      </w:r>
      <w:r>
        <w:rPr>
          <w:spacing w:val="-2"/>
        </w:rPr>
        <w:t>Informações:</w:t>
      </w:r>
    </w:p>
    <w:p w14:paraId="2708150E" w14:textId="77777777" w:rsidR="00CD6054" w:rsidRDefault="00CD6054">
      <w:pPr>
        <w:pStyle w:val="BodyText"/>
        <w:spacing w:before="34"/>
        <w:rPr>
          <w:b/>
        </w:rPr>
      </w:pPr>
    </w:p>
    <w:p w14:paraId="7C1C7DD1" w14:textId="77777777" w:rsidR="00CD6054" w:rsidRDefault="00A44E92">
      <w:pPr>
        <w:pStyle w:val="BodyText"/>
        <w:spacing w:line="352" w:lineRule="auto"/>
        <w:ind w:left="236" w:right="261" w:firstLine="706"/>
        <w:jc w:val="both"/>
      </w:pPr>
      <w:r>
        <w:t>Todas as informações coletadas durante a pesquisa, desde a coleta de dados até resultados, estarão sob responsabilidade da pesquisadora principal</w:t>
      </w:r>
      <w:r>
        <w:rPr>
          <w:spacing w:val="40"/>
        </w:rPr>
        <w:t xml:space="preserve"> </w:t>
      </w:r>
      <w:r>
        <w:t>da pesquisa.</w:t>
      </w:r>
    </w:p>
    <w:p w14:paraId="6C13C2EB" w14:textId="77777777" w:rsidR="00CD6054" w:rsidRDefault="00CD6054">
      <w:pPr>
        <w:pStyle w:val="BodyText"/>
      </w:pPr>
    </w:p>
    <w:p w14:paraId="4D29A549" w14:textId="77777777" w:rsidR="00CD6054" w:rsidRDefault="00CD6054">
      <w:pPr>
        <w:pStyle w:val="BodyText"/>
        <w:spacing w:before="198"/>
      </w:pPr>
    </w:p>
    <w:p w14:paraId="51B6BB5C" w14:textId="77777777" w:rsidR="00CD6054" w:rsidRDefault="00A44E92">
      <w:pPr>
        <w:pStyle w:val="Heading1"/>
        <w:numPr>
          <w:ilvl w:val="0"/>
          <w:numId w:val="7"/>
        </w:numPr>
        <w:tabs>
          <w:tab w:val="left" w:pos="958"/>
        </w:tabs>
        <w:spacing w:line="352" w:lineRule="auto"/>
        <w:ind w:right="260"/>
      </w:pPr>
      <w:r>
        <w:t>Informações relativas ao participante da pesquisa e características</w:t>
      </w:r>
      <w:r>
        <w:rPr>
          <w:spacing w:val="-1"/>
        </w:rPr>
        <w:t xml:space="preserve"> </w:t>
      </w:r>
      <w:r>
        <w:t>da população a ser estudada:</w:t>
      </w:r>
    </w:p>
    <w:p w14:paraId="6A3E8A17" w14:textId="77777777" w:rsidR="00CD6054" w:rsidRDefault="00CD6054">
      <w:pPr>
        <w:spacing w:line="352" w:lineRule="auto"/>
        <w:sectPr w:rsidR="00CD6054">
          <w:pgSz w:w="11910" w:h="16850"/>
          <w:pgMar w:top="1640" w:right="880" w:bottom="280" w:left="1460" w:header="720" w:footer="720" w:gutter="0"/>
          <w:cols w:space="720"/>
        </w:sectPr>
      </w:pPr>
    </w:p>
    <w:p w14:paraId="7C44941B" w14:textId="77777777" w:rsidR="00CD6054" w:rsidRDefault="00A44E92">
      <w:pPr>
        <w:pStyle w:val="BodyText"/>
        <w:spacing w:before="68" w:line="352" w:lineRule="auto"/>
        <w:ind w:left="236" w:right="246" w:firstLine="706"/>
        <w:jc w:val="both"/>
      </w:pPr>
      <w:r>
        <w:lastRenderedPageBreak/>
        <w:t>A amostra será constituída por pacientes com doença renal crônica em tratamento na Fundação Pró-Renal e por pacientes da Clínica Odontológica da UFPR.</w:t>
      </w:r>
    </w:p>
    <w:p w14:paraId="6DF2C465" w14:textId="77777777" w:rsidR="00CD6054" w:rsidRDefault="00CD6054">
      <w:pPr>
        <w:pStyle w:val="BodyText"/>
      </w:pPr>
    </w:p>
    <w:p w14:paraId="156548CF" w14:textId="77777777" w:rsidR="00CD6054" w:rsidRDefault="00CD6054">
      <w:pPr>
        <w:pStyle w:val="BodyText"/>
        <w:spacing w:before="197"/>
      </w:pPr>
    </w:p>
    <w:p w14:paraId="69A6F940" w14:textId="77777777" w:rsidR="00CD6054" w:rsidRDefault="00A44E92">
      <w:pPr>
        <w:pStyle w:val="Heading1"/>
        <w:numPr>
          <w:ilvl w:val="0"/>
          <w:numId w:val="7"/>
        </w:numPr>
        <w:tabs>
          <w:tab w:val="left" w:pos="957"/>
        </w:tabs>
        <w:ind w:left="957" w:hanging="360"/>
      </w:pPr>
      <w:r>
        <w:t>Grupo</w:t>
      </w:r>
      <w:r>
        <w:rPr>
          <w:spacing w:val="8"/>
        </w:rPr>
        <w:t xml:space="preserve"> </w:t>
      </w:r>
      <w:r>
        <w:rPr>
          <w:spacing w:val="-2"/>
        </w:rPr>
        <w:t>Vulneráveis:</w:t>
      </w:r>
    </w:p>
    <w:p w14:paraId="45B4F41A" w14:textId="77777777" w:rsidR="00CD6054" w:rsidRDefault="00CD6054">
      <w:pPr>
        <w:pStyle w:val="BodyText"/>
        <w:spacing w:before="19"/>
        <w:rPr>
          <w:b/>
        </w:rPr>
      </w:pPr>
    </w:p>
    <w:p w14:paraId="4A0559D8" w14:textId="77777777" w:rsidR="00CD6054" w:rsidRDefault="00A44E92">
      <w:pPr>
        <w:pStyle w:val="BodyText"/>
        <w:ind w:left="943"/>
      </w:pPr>
      <w:r>
        <w:t>A</w:t>
      </w:r>
      <w:r>
        <w:rPr>
          <w:spacing w:val="3"/>
        </w:rPr>
        <w:t xml:space="preserve"> </w:t>
      </w:r>
      <w:r>
        <w:t>população</w:t>
      </w:r>
      <w:r>
        <w:rPr>
          <w:spacing w:val="-1"/>
        </w:rPr>
        <w:t xml:space="preserve"> </w:t>
      </w:r>
      <w:r>
        <w:t>a</w:t>
      </w:r>
      <w:r>
        <w:rPr>
          <w:spacing w:val="-3"/>
        </w:rPr>
        <w:t xml:space="preserve"> </w:t>
      </w:r>
      <w:r>
        <w:t>ser</w:t>
      </w:r>
      <w:r>
        <w:rPr>
          <w:spacing w:val="8"/>
        </w:rPr>
        <w:t xml:space="preserve"> </w:t>
      </w:r>
      <w:r>
        <w:t>incluída</w:t>
      </w:r>
      <w:r>
        <w:rPr>
          <w:spacing w:val="12"/>
        </w:rPr>
        <w:t xml:space="preserve"> </w:t>
      </w:r>
      <w:r>
        <w:t>no</w:t>
      </w:r>
      <w:r>
        <w:rPr>
          <w:spacing w:val="-1"/>
        </w:rPr>
        <w:t xml:space="preserve"> </w:t>
      </w:r>
      <w:r>
        <w:t>estudo</w:t>
      </w:r>
      <w:r>
        <w:rPr>
          <w:spacing w:val="-1"/>
        </w:rPr>
        <w:t xml:space="preserve"> </w:t>
      </w:r>
      <w:r>
        <w:t>não</w:t>
      </w:r>
      <w:r>
        <w:rPr>
          <w:spacing w:val="-1"/>
        </w:rPr>
        <w:t xml:space="preserve"> </w:t>
      </w:r>
      <w:r>
        <w:t>é</w:t>
      </w:r>
      <w:r>
        <w:rPr>
          <w:spacing w:val="-3"/>
        </w:rPr>
        <w:t xml:space="preserve"> </w:t>
      </w:r>
      <w:r>
        <w:t>considerada</w:t>
      </w:r>
      <w:r>
        <w:rPr>
          <w:spacing w:val="-2"/>
        </w:rPr>
        <w:t xml:space="preserve"> vulnerável.</w:t>
      </w:r>
    </w:p>
    <w:p w14:paraId="4A54897C" w14:textId="77777777" w:rsidR="00CD6054" w:rsidRDefault="00CD6054">
      <w:pPr>
        <w:pStyle w:val="BodyText"/>
      </w:pPr>
    </w:p>
    <w:p w14:paraId="282B47F8" w14:textId="77777777" w:rsidR="00CD6054" w:rsidRDefault="00CD6054">
      <w:pPr>
        <w:pStyle w:val="BodyText"/>
        <w:spacing w:before="163"/>
      </w:pPr>
    </w:p>
    <w:p w14:paraId="1F74BA7B" w14:textId="77777777" w:rsidR="00CD6054" w:rsidRDefault="00A44E92">
      <w:pPr>
        <w:pStyle w:val="Heading1"/>
        <w:numPr>
          <w:ilvl w:val="0"/>
          <w:numId w:val="7"/>
        </w:numPr>
        <w:tabs>
          <w:tab w:val="left" w:pos="957"/>
        </w:tabs>
        <w:ind w:left="957" w:hanging="360"/>
      </w:pPr>
      <w:r>
        <w:t>Fontes</w:t>
      </w:r>
      <w:r>
        <w:rPr>
          <w:spacing w:val="-9"/>
        </w:rPr>
        <w:t xml:space="preserve"> </w:t>
      </w:r>
      <w:r>
        <w:t>de</w:t>
      </w:r>
      <w:r>
        <w:rPr>
          <w:spacing w:val="-6"/>
        </w:rPr>
        <w:t xml:space="preserve"> </w:t>
      </w:r>
      <w:r>
        <w:t>Material</w:t>
      </w:r>
      <w:r>
        <w:rPr>
          <w:spacing w:val="16"/>
        </w:rPr>
        <w:t xml:space="preserve"> </w:t>
      </w:r>
      <w:r>
        <w:t>da</w:t>
      </w:r>
      <w:r>
        <w:rPr>
          <w:spacing w:val="-4"/>
        </w:rPr>
        <w:t xml:space="preserve"> </w:t>
      </w:r>
      <w:r>
        <w:rPr>
          <w:spacing w:val="-2"/>
        </w:rPr>
        <w:t>Pesquisa:</w:t>
      </w:r>
    </w:p>
    <w:p w14:paraId="5C22BBCD" w14:textId="77777777" w:rsidR="00CD6054" w:rsidRDefault="00CD6054">
      <w:pPr>
        <w:pStyle w:val="BodyText"/>
        <w:spacing w:before="33"/>
        <w:rPr>
          <w:b/>
        </w:rPr>
      </w:pPr>
    </w:p>
    <w:p w14:paraId="3B8B8D60" w14:textId="77777777" w:rsidR="00CD6054" w:rsidRDefault="00A44E92">
      <w:pPr>
        <w:pStyle w:val="BodyText"/>
        <w:spacing w:line="352" w:lineRule="auto"/>
        <w:ind w:left="236" w:right="243" w:firstLine="706"/>
        <w:jc w:val="both"/>
      </w:pPr>
      <w:r>
        <w:t>Nesta pesquisa será feito exame e tratamento odontológicos, coletas de saliva, de</w:t>
      </w:r>
      <w:r>
        <w:rPr>
          <w:spacing w:val="40"/>
        </w:rPr>
        <w:t xml:space="preserve"> </w:t>
      </w:r>
      <w:r>
        <w:t xml:space="preserve">fluido crevicular gengival, de biofilme e de sangue. Além do uso dos prontuários e </w:t>
      </w:r>
      <w:r>
        <w:rPr>
          <w:spacing w:val="-2"/>
        </w:rPr>
        <w:t>questionários.</w:t>
      </w:r>
    </w:p>
    <w:p w14:paraId="73BB76E9" w14:textId="77777777" w:rsidR="00CD6054" w:rsidRDefault="00CD6054">
      <w:pPr>
        <w:pStyle w:val="BodyText"/>
      </w:pPr>
    </w:p>
    <w:p w14:paraId="79CDBD14" w14:textId="77777777" w:rsidR="00CD6054" w:rsidRDefault="00CD6054">
      <w:pPr>
        <w:pStyle w:val="BodyText"/>
        <w:spacing w:before="198"/>
      </w:pPr>
    </w:p>
    <w:p w14:paraId="64DBB2F5" w14:textId="77777777" w:rsidR="00CD6054" w:rsidRDefault="00A44E92">
      <w:pPr>
        <w:pStyle w:val="Heading1"/>
        <w:numPr>
          <w:ilvl w:val="0"/>
          <w:numId w:val="7"/>
        </w:numPr>
        <w:tabs>
          <w:tab w:val="left" w:pos="957"/>
        </w:tabs>
        <w:ind w:left="957" w:hanging="360"/>
      </w:pPr>
      <w:r>
        <w:t>Planos</w:t>
      </w:r>
      <w:r>
        <w:rPr>
          <w:spacing w:val="-11"/>
        </w:rPr>
        <w:t xml:space="preserve"> </w:t>
      </w:r>
      <w:r>
        <w:t>para</w:t>
      </w:r>
      <w:r>
        <w:rPr>
          <w:spacing w:val="-7"/>
        </w:rPr>
        <w:t xml:space="preserve"> </w:t>
      </w:r>
      <w:r>
        <w:t>o</w:t>
      </w:r>
      <w:r>
        <w:rPr>
          <w:spacing w:val="-6"/>
        </w:rPr>
        <w:t xml:space="preserve"> </w:t>
      </w:r>
      <w:r>
        <w:t>recrutamento</w:t>
      </w:r>
      <w:r>
        <w:rPr>
          <w:spacing w:val="18"/>
        </w:rPr>
        <w:t xml:space="preserve"> </w:t>
      </w:r>
      <w:r>
        <w:t>do</w:t>
      </w:r>
      <w:r>
        <w:rPr>
          <w:spacing w:val="-6"/>
        </w:rPr>
        <w:t xml:space="preserve"> </w:t>
      </w:r>
      <w:r>
        <w:t>Participante</w:t>
      </w:r>
      <w:r>
        <w:rPr>
          <w:spacing w:val="4"/>
        </w:rPr>
        <w:t xml:space="preserve"> </w:t>
      </w:r>
      <w:r>
        <w:t>da</w:t>
      </w:r>
      <w:r>
        <w:rPr>
          <w:spacing w:val="-6"/>
        </w:rPr>
        <w:t xml:space="preserve"> </w:t>
      </w:r>
      <w:r>
        <w:rPr>
          <w:spacing w:val="-2"/>
        </w:rPr>
        <w:t>Pesquisa:</w:t>
      </w:r>
    </w:p>
    <w:p w14:paraId="5B6D433C" w14:textId="77777777" w:rsidR="00CD6054" w:rsidRDefault="00CD6054">
      <w:pPr>
        <w:pStyle w:val="BodyText"/>
        <w:spacing w:before="34"/>
        <w:rPr>
          <w:b/>
        </w:rPr>
      </w:pPr>
    </w:p>
    <w:p w14:paraId="09B933A9" w14:textId="77777777" w:rsidR="00CD6054" w:rsidRDefault="00A44E92">
      <w:pPr>
        <w:pStyle w:val="BodyText"/>
        <w:spacing w:line="357" w:lineRule="auto"/>
        <w:ind w:left="236" w:right="243" w:firstLine="706"/>
        <w:jc w:val="both"/>
      </w:pPr>
      <w:r>
        <w:rPr>
          <w:color w:val="6FAC46"/>
        </w:rPr>
        <w:t xml:space="preserve">Serão afixados cartazes informativos sobre a pesquisa (na Fundação Pró-Renal e na Clínica Odontológica na UFPR). </w:t>
      </w:r>
      <w:r>
        <w:t xml:space="preserve">Os pacientes em atendimento na Fundação Pró-Renal </w:t>
      </w:r>
      <w:r>
        <w:rPr>
          <w:color w:val="6FAC46"/>
        </w:rPr>
        <w:t xml:space="preserve">que manifestem interesse terão suas dúvidas sobre a pesquisa esclarecidas </w:t>
      </w:r>
      <w:r>
        <w:t>pelo cirurgião-dentista da Fundação. Este explicará os objetivos do estudo, e explicará também que o paciente tem total liberdade para participar ou não. Caso seja do interesse do paciente, este será encaminhado para um</w:t>
      </w:r>
      <w:r>
        <w:rPr>
          <w:spacing w:val="-10"/>
        </w:rPr>
        <w:t xml:space="preserve"> </w:t>
      </w:r>
      <w:r>
        <w:t>dos</w:t>
      </w:r>
      <w:r>
        <w:rPr>
          <w:spacing w:val="-7"/>
        </w:rPr>
        <w:t xml:space="preserve"> </w:t>
      </w:r>
      <w:r>
        <w:t>pesquisadores</w:t>
      </w:r>
      <w:r>
        <w:rPr>
          <w:spacing w:val="-7"/>
        </w:rPr>
        <w:t xml:space="preserve"> </w:t>
      </w:r>
      <w:r>
        <w:t>e</w:t>
      </w:r>
      <w:r>
        <w:rPr>
          <w:spacing w:val="-5"/>
        </w:rPr>
        <w:t xml:space="preserve"> </w:t>
      </w:r>
      <w:r>
        <w:t>será</w:t>
      </w:r>
      <w:r>
        <w:rPr>
          <w:spacing w:val="-5"/>
        </w:rPr>
        <w:t xml:space="preserve"> </w:t>
      </w:r>
      <w:r>
        <w:t>apresentado</w:t>
      </w:r>
      <w:r>
        <w:rPr>
          <w:spacing w:val="-3"/>
        </w:rPr>
        <w:t xml:space="preserve"> </w:t>
      </w:r>
      <w:r>
        <w:t>o</w:t>
      </w:r>
      <w:r>
        <w:rPr>
          <w:spacing w:val="-3"/>
        </w:rPr>
        <w:t xml:space="preserve"> </w:t>
      </w:r>
      <w:r>
        <w:t xml:space="preserve">TCLE. </w:t>
      </w:r>
      <w:r>
        <w:rPr>
          <w:color w:val="6FAC46"/>
        </w:rPr>
        <w:t>Será</w:t>
      </w:r>
      <w:r>
        <w:rPr>
          <w:color w:val="6FAC46"/>
          <w:spacing w:val="-5"/>
        </w:rPr>
        <w:t xml:space="preserve"> </w:t>
      </w:r>
      <w:r>
        <w:rPr>
          <w:color w:val="6FAC46"/>
        </w:rPr>
        <w:t>deixado</w:t>
      </w:r>
      <w:r>
        <w:rPr>
          <w:color w:val="6FAC46"/>
          <w:spacing w:val="-3"/>
        </w:rPr>
        <w:t xml:space="preserve"> </w:t>
      </w:r>
      <w:r>
        <w:rPr>
          <w:color w:val="6FAC46"/>
        </w:rPr>
        <w:t>claro</w:t>
      </w:r>
      <w:r>
        <w:rPr>
          <w:color w:val="6FAC46"/>
          <w:spacing w:val="-3"/>
        </w:rPr>
        <w:t xml:space="preserve"> </w:t>
      </w:r>
      <w:r>
        <w:rPr>
          <w:color w:val="6FAC46"/>
        </w:rPr>
        <w:t>que</w:t>
      </w:r>
      <w:r>
        <w:rPr>
          <w:color w:val="6FAC46"/>
          <w:spacing w:val="-5"/>
        </w:rPr>
        <w:t xml:space="preserve"> </w:t>
      </w:r>
      <w:r>
        <w:rPr>
          <w:color w:val="6FAC46"/>
        </w:rPr>
        <w:t>o paciente terá total liberdade para participar ou não, bem como poderá desistir de sua participação a qualquer momento, sem qualquer tipo de prejuízo ao tratamento.</w:t>
      </w:r>
    </w:p>
    <w:p w14:paraId="20FF8C39" w14:textId="77777777" w:rsidR="00CD6054" w:rsidRDefault="00A44E92">
      <w:pPr>
        <w:pStyle w:val="BodyText"/>
        <w:spacing w:before="178" w:line="360" w:lineRule="auto"/>
        <w:ind w:left="236" w:right="247" w:firstLine="706"/>
        <w:jc w:val="both"/>
      </w:pPr>
      <w:r>
        <w:rPr>
          <w:color w:val="6FAC46"/>
        </w:rPr>
        <w:t>Na sala de espera da clínica odontológica da</w:t>
      </w:r>
      <w:r>
        <w:rPr>
          <w:color w:val="6FAC46"/>
          <w:spacing w:val="-4"/>
        </w:rPr>
        <w:t xml:space="preserve"> </w:t>
      </w:r>
      <w:r>
        <w:rPr>
          <w:color w:val="6FAC46"/>
        </w:rPr>
        <w:t>UFPR também</w:t>
      </w:r>
      <w:r>
        <w:rPr>
          <w:color w:val="6FAC46"/>
          <w:spacing w:val="-9"/>
        </w:rPr>
        <w:t xml:space="preserve"> </w:t>
      </w:r>
      <w:r>
        <w:rPr>
          <w:color w:val="6FAC46"/>
        </w:rPr>
        <w:t>haverá</w:t>
      </w:r>
      <w:r>
        <w:rPr>
          <w:color w:val="6FAC46"/>
          <w:spacing w:val="-4"/>
        </w:rPr>
        <w:t xml:space="preserve"> </w:t>
      </w:r>
      <w:r>
        <w:rPr>
          <w:color w:val="6FAC46"/>
        </w:rPr>
        <w:t>cartaz</w:t>
      </w:r>
      <w:r>
        <w:rPr>
          <w:color w:val="6FAC46"/>
          <w:spacing w:val="-4"/>
        </w:rPr>
        <w:t xml:space="preserve"> </w:t>
      </w:r>
      <w:r>
        <w:rPr>
          <w:color w:val="6FAC46"/>
        </w:rPr>
        <w:t xml:space="preserve">informativo sobre a pesquisa afixado, com contato dos pesquisadores. </w:t>
      </w:r>
      <w:r>
        <w:t>Caso seja do interesse do</w:t>
      </w:r>
      <w:r>
        <w:rPr>
          <w:spacing w:val="-2"/>
        </w:rPr>
        <w:t xml:space="preserve"> </w:t>
      </w:r>
      <w:r>
        <w:t>paciente, este será encaminhado para um dos pesquisadores e será</w:t>
      </w:r>
      <w:r>
        <w:rPr>
          <w:spacing w:val="-6"/>
        </w:rPr>
        <w:t xml:space="preserve"> </w:t>
      </w:r>
      <w:r>
        <w:t>apresentado</w:t>
      </w:r>
      <w:r>
        <w:rPr>
          <w:spacing w:val="-4"/>
        </w:rPr>
        <w:t xml:space="preserve"> </w:t>
      </w:r>
      <w:r>
        <w:t>o</w:t>
      </w:r>
      <w:r>
        <w:rPr>
          <w:spacing w:val="-4"/>
        </w:rPr>
        <w:t xml:space="preserve"> </w:t>
      </w:r>
      <w:r>
        <w:t>TCLE. Será</w:t>
      </w:r>
      <w:r>
        <w:rPr>
          <w:spacing w:val="-6"/>
        </w:rPr>
        <w:t xml:space="preserve"> </w:t>
      </w:r>
      <w:r>
        <w:t>explicado também que a pessoa pode desistir</w:t>
      </w:r>
      <w:r>
        <w:rPr>
          <w:spacing w:val="-9"/>
        </w:rPr>
        <w:t xml:space="preserve"> </w:t>
      </w:r>
      <w:r>
        <w:t>a</w:t>
      </w:r>
      <w:r>
        <w:rPr>
          <w:spacing w:val="-5"/>
        </w:rPr>
        <w:t xml:space="preserve"> </w:t>
      </w:r>
      <w:r>
        <w:t>qualquer</w:t>
      </w:r>
      <w:r>
        <w:rPr>
          <w:spacing w:val="-9"/>
        </w:rPr>
        <w:t xml:space="preserve"> </w:t>
      </w:r>
      <w:r>
        <w:t>momento,</w:t>
      </w:r>
      <w:r>
        <w:rPr>
          <w:spacing w:val="-3"/>
        </w:rPr>
        <w:t xml:space="preserve"> </w:t>
      </w:r>
      <w:r>
        <w:t>sem</w:t>
      </w:r>
      <w:r>
        <w:rPr>
          <w:spacing w:val="-10"/>
        </w:rPr>
        <w:t xml:space="preserve"> </w:t>
      </w:r>
      <w:r>
        <w:t>interferência</w:t>
      </w:r>
      <w:r>
        <w:rPr>
          <w:spacing w:val="-5"/>
        </w:rPr>
        <w:t xml:space="preserve"> </w:t>
      </w:r>
      <w:r>
        <w:t>de</w:t>
      </w:r>
      <w:r>
        <w:rPr>
          <w:spacing w:val="-5"/>
        </w:rPr>
        <w:t xml:space="preserve"> </w:t>
      </w:r>
      <w:r>
        <w:t>qualquer</w:t>
      </w:r>
      <w:r>
        <w:rPr>
          <w:spacing w:val="-9"/>
        </w:rPr>
        <w:t xml:space="preserve"> </w:t>
      </w:r>
      <w:r>
        <w:t>tipo</w:t>
      </w:r>
      <w:r>
        <w:rPr>
          <w:spacing w:val="-3"/>
        </w:rPr>
        <w:t xml:space="preserve"> </w:t>
      </w:r>
      <w:r>
        <w:t xml:space="preserve">no </w:t>
      </w:r>
      <w:r>
        <w:rPr>
          <w:spacing w:val="-2"/>
        </w:rPr>
        <w:t>tratamento.</w:t>
      </w:r>
    </w:p>
    <w:p w14:paraId="06B33888" w14:textId="77777777" w:rsidR="00CD6054" w:rsidRDefault="00CD6054">
      <w:pPr>
        <w:pStyle w:val="BodyText"/>
      </w:pPr>
    </w:p>
    <w:p w14:paraId="248C7A5F" w14:textId="77777777" w:rsidR="00CD6054" w:rsidRDefault="00CD6054">
      <w:pPr>
        <w:pStyle w:val="BodyText"/>
        <w:spacing w:before="171"/>
      </w:pPr>
    </w:p>
    <w:p w14:paraId="3C3F547F" w14:textId="77777777" w:rsidR="00CD6054" w:rsidRDefault="00A44E92">
      <w:pPr>
        <w:pStyle w:val="Heading1"/>
        <w:numPr>
          <w:ilvl w:val="0"/>
          <w:numId w:val="7"/>
        </w:numPr>
        <w:tabs>
          <w:tab w:val="left" w:pos="957"/>
        </w:tabs>
        <w:ind w:left="957" w:hanging="360"/>
      </w:pPr>
      <w:r>
        <w:t>Medidas de</w:t>
      </w:r>
      <w:r>
        <w:rPr>
          <w:spacing w:val="-9"/>
        </w:rPr>
        <w:t xml:space="preserve"> </w:t>
      </w:r>
      <w:r>
        <w:t>Proteção</w:t>
      </w:r>
      <w:r>
        <w:rPr>
          <w:spacing w:val="-8"/>
        </w:rPr>
        <w:t xml:space="preserve"> </w:t>
      </w:r>
      <w:r>
        <w:t>ou</w:t>
      </w:r>
      <w:r>
        <w:rPr>
          <w:spacing w:val="-6"/>
        </w:rPr>
        <w:t xml:space="preserve"> </w:t>
      </w:r>
      <w:r>
        <w:t>Minimização</w:t>
      </w:r>
      <w:r>
        <w:rPr>
          <w:spacing w:val="18"/>
        </w:rPr>
        <w:t xml:space="preserve"> </w:t>
      </w:r>
      <w:r>
        <w:t>de</w:t>
      </w:r>
      <w:r>
        <w:rPr>
          <w:spacing w:val="-9"/>
        </w:rPr>
        <w:t xml:space="preserve"> </w:t>
      </w:r>
      <w:r>
        <w:t>Qualquer</w:t>
      </w:r>
      <w:r>
        <w:rPr>
          <w:spacing w:val="4"/>
        </w:rPr>
        <w:t xml:space="preserve"> </w:t>
      </w:r>
      <w:r>
        <w:t>Risco</w:t>
      </w:r>
      <w:r>
        <w:rPr>
          <w:spacing w:val="-7"/>
        </w:rPr>
        <w:t xml:space="preserve"> </w:t>
      </w:r>
      <w:r>
        <w:rPr>
          <w:spacing w:val="-2"/>
        </w:rPr>
        <w:t>Eventual:</w:t>
      </w:r>
    </w:p>
    <w:p w14:paraId="649958A3" w14:textId="77777777" w:rsidR="00CD6054" w:rsidRDefault="00CD6054">
      <w:pPr>
        <w:pStyle w:val="BodyText"/>
        <w:spacing w:before="48"/>
        <w:rPr>
          <w:b/>
        </w:rPr>
      </w:pPr>
    </w:p>
    <w:p w14:paraId="69EA5083" w14:textId="77777777" w:rsidR="00CD6054" w:rsidRDefault="00A44E92">
      <w:pPr>
        <w:pStyle w:val="BodyText"/>
        <w:spacing w:before="1" w:line="352" w:lineRule="auto"/>
        <w:ind w:left="236" w:right="246" w:firstLine="706"/>
        <w:jc w:val="both"/>
      </w:pPr>
      <w:r>
        <w:t>Serão tomadas medidas para minimizar possíveis riscos. Serão tomados todos os cuidados</w:t>
      </w:r>
      <w:r>
        <w:rPr>
          <w:spacing w:val="37"/>
        </w:rPr>
        <w:t xml:space="preserve"> </w:t>
      </w:r>
      <w:r>
        <w:t>de</w:t>
      </w:r>
      <w:r>
        <w:rPr>
          <w:spacing w:val="25"/>
        </w:rPr>
        <w:t xml:space="preserve"> </w:t>
      </w:r>
      <w:r>
        <w:t>biossegurança</w:t>
      </w:r>
      <w:r>
        <w:rPr>
          <w:spacing w:val="25"/>
        </w:rPr>
        <w:t xml:space="preserve"> </w:t>
      </w:r>
      <w:r>
        <w:t>para</w:t>
      </w:r>
      <w:r>
        <w:rPr>
          <w:spacing w:val="25"/>
        </w:rPr>
        <w:t xml:space="preserve"> </w:t>
      </w:r>
      <w:r>
        <w:t>a</w:t>
      </w:r>
      <w:r>
        <w:rPr>
          <w:spacing w:val="25"/>
        </w:rPr>
        <w:t xml:space="preserve"> </w:t>
      </w:r>
      <w:r>
        <w:t>realização</w:t>
      </w:r>
      <w:r>
        <w:rPr>
          <w:spacing w:val="26"/>
        </w:rPr>
        <w:t xml:space="preserve"> </w:t>
      </w:r>
      <w:r>
        <w:t>do</w:t>
      </w:r>
      <w:r>
        <w:rPr>
          <w:spacing w:val="26"/>
        </w:rPr>
        <w:t xml:space="preserve"> </w:t>
      </w:r>
      <w:r>
        <w:t>exame.</w:t>
      </w:r>
      <w:r>
        <w:rPr>
          <w:spacing w:val="26"/>
        </w:rPr>
        <w:t xml:space="preserve"> </w:t>
      </w:r>
      <w:r>
        <w:t>Para</w:t>
      </w:r>
      <w:r>
        <w:rPr>
          <w:spacing w:val="25"/>
        </w:rPr>
        <w:t xml:space="preserve"> </w:t>
      </w:r>
      <w:r>
        <w:t>a</w:t>
      </w:r>
      <w:r>
        <w:rPr>
          <w:spacing w:val="25"/>
        </w:rPr>
        <w:t xml:space="preserve"> </w:t>
      </w:r>
      <w:r>
        <w:t>coleta</w:t>
      </w:r>
      <w:r>
        <w:rPr>
          <w:spacing w:val="25"/>
        </w:rPr>
        <w:t xml:space="preserve"> </w:t>
      </w:r>
      <w:r>
        <w:t>de</w:t>
      </w:r>
      <w:r>
        <w:rPr>
          <w:spacing w:val="25"/>
        </w:rPr>
        <w:t xml:space="preserve"> </w:t>
      </w:r>
      <w:r>
        <w:t>sangue,</w:t>
      </w:r>
      <w:r>
        <w:rPr>
          <w:spacing w:val="26"/>
        </w:rPr>
        <w:t xml:space="preserve"> </w:t>
      </w:r>
      <w:r>
        <w:t>o</w:t>
      </w:r>
      <w:r>
        <w:rPr>
          <w:spacing w:val="26"/>
        </w:rPr>
        <w:t xml:space="preserve"> </w:t>
      </w:r>
      <w:r>
        <w:t>paciente</w:t>
      </w:r>
    </w:p>
    <w:p w14:paraId="5D1F8FA0" w14:textId="77777777" w:rsidR="00CD6054" w:rsidRDefault="00CD6054">
      <w:pPr>
        <w:spacing w:line="352" w:lineRule="auto"/>
        <w:jc w:val="both"/>
        <w:sectPr w:rsidR="00CD6054">
          <w:pgSz w:w="11910" w:h="16850"/>
          <w:pgMar w:top="1640" w:right="880" w:bottom="280" w:left="1460" w:header="720" w:footer="720" w:gutter="0"/>
          <w:cols w:space="720"/>
        </w:sectPr>
      </w:pPr>
    </w:p>
    <w:p w14:paraId="1ED5C565" w14:textId="77777777" w:rsidR="00CD6054" w:rsidRDefault="00A44E92">
      <w:pPr>
        <w:pStyle w:val="BodyText"/>
        <w:spacing w:before="68" w:line="352" w:lineRule="auto"/>
        <w:ind w:left="236" w:right="259"/>
        <w:jc w:val="both"/>
      </w:pPr>
      <w:r>
        <w:lastRenderedPageBreak/>
        <w:t>será orientado a permanecer sentado durante alguns minutos após a coleta a fim de evitar hipotensão. Não será necessário jejum para realizar o exame.</w:t>
      </w:r>
    </w:p>
    <w:p w14:paraId="0A02661F" w14:textId="77777777" w:rsidR="00CD6054" w:rsidRDefault="00A44E92">
      <w:pPr>
        <w:pStyle w:val="BodyText"/>
        <w:spacing w:before="179" w:line="357" w:lineRule="auto"/>
        <w:ind w:left="236" w:right="248" w:firstLine="706"/>
        <w:jc w:val="both"/>
      </w:pPr>
      <w:r>
        <w:t>Outro possível risco é um leve desconforto</w:t>
      </w:r>
      <w:r>
        <w:rPr>
          <w:spacing w:val="-1"/>
        </w:rPr>
        <w:t xml:space="preserve"> </w:t>
      </w:r>
      <w:r>
        <w:t>durante</w:t>
      </w:r>
      <w:r>
        <w:rPr>
          <w:spacing w:val="-3"/>
        </w:rPr>
        <w:t xml:space="preserve"> </w:t>
      </w:r>
      <w:r>
        <w:t>o</w:t>
      </w:r>
      <w:r>
        <w:rPr>
          <w:spacing w:val="-1"/>
        </w:rPr>
        <w:t xml:space="preserve"> </w:t>
      </w:r>
      <w:r>
        <w:t>exame</w:t>
      </w:r>
      <w:r>
        <w:rPr>
          <w:spacing w:val="-3"/>
        </w:rPr>
        <w:t xml:space="preserve"> </w:t>
      </w:r>
      <w:r>
        <w:t>odontológico.</w:t>
      </w:r>
      <w:r>
        <w:rPr>
          <w:spacing w:val="-1"/>
        </w:rPr>
        <w:t xml:space="preserve"> </w:t>
      </w:r>
      <w:r>
        <w:t>Pode</w:t>
      </w:r>
      <w:r>
        <w:rPr>
          <w:spacing w:val="-3"/>
        </w:rPr>
        <w:t xml:space="preserve"> </w:t>
      </w:r>
      <w:r>
        <w:t>haver sensibilidade e desconforto durante o exame da gengiva. No entanto, esse exame é prática rotineira para diagnóstico da doença periodontal</w:t>
      </w:r>
      <w:r>
        <w:rPr>
          <w:spacing w:val="-7"/>
        </w:rPr>
        <w:t xml:space="preserve"> </w:t>
      </w:r>
      <w:r>
        <w:t>durante</w:t>
      </w:r>
      <w:r>
        <w:rPr>
          <w:spacing w:val="-2"/>
        </w:rPr>
        <w:t xml:space="preserve"> </w:t>
      </w:r>
      <w:r>
        <w:t>o exame</w:t>
      </w:r>
      <w:r>
        <w:rPr>
          <w:spacing w:val="-2"/>
        </w:rPr>
        <w:t xml:space="preserve"> </w:t>
      </w:r>
      <w:r>
        <w:t>odontológico e</w:t>
      </w:r>
      <w:r>
        <w:rPr>
          <w:spacing w:val="-2"/>
        </w:rPr>
        <w:t xml:space="preserve"> </w:t>
      </w:r>
      <w:r>
        <w:t>os</w:t>
      </w:r>
      <w:r>
        <w:rPr>
          <w:spacing w:val="-4"/>
        </w:rPr>
        <w:t xml:space="preserve"> </w:t>
      </w:r>
      <w:r>
        <w:t>pacientes (tanto da Fundação Pró-Renal como da clínica odontológica da</w:t>
      </w:r>
      <w:r>
        <w:rPr>
          <w:spacing w:val="-3"/>
        </w:rPr>
        <w:t xml:space="preserve"> </w:t>
      </w:r>
      <w:r>
        <w:t>UFPR)</w:t>
      </w:r>
      <w:r>
        <w:rPr>
          <w:spacing w:val="-7"/>
        </w:rPr>
        <w:t xml:space="preserve"> </w:t>
      </w:r>
      <w:r>
        <w:t>passariam</w:t>
      </w:r>
      <w:r>
        <w:rPr>
          <w:spacing w:val="-8"/>
        </w:rPr>
        <w:t xml:space="preserve"> </w:t>
      </w:r>
      <w:r>
        <w:t>pelo</w:t>
      </w:r>
      <w:r>
        <w:rPr>
          <w:spacing w:val="-1"/>
        </w:rPr>
        <w:t xml:space="preserve"> </w:t>
      </w:r>
      <w:r>
        <w:t>exame mesmo sem participar da pesquisa. Os pacientes da Fundação Pró-Renal realizam esse exame no ambulatório odontológico da instituição em suas consultas de rotina.</w:t>
      </w:r>
    </w:p>
    <w:p w14:paraId="1914701B" w14:textId="77777777" w:rsidR="00CD6054" w:rsidRDefault="00CD6054">
      <w:pPr>
        <w:pStyle w:val="BodyText"/>
      </w:pPr>
    </w:p>
    <w:p w14:paraId="401D822B" w14:textId="77777777" w:rsidR="00CD6054" w:rsidRDefault="00CD6054">
      <w:pPr>
        <w:pStyle w:val="BodyText"/>
        <w:spacing w:before="193"/>
      </w:pPr>
    </w:p>
    <w:p w14:paraId="4717749A" w14:textId="77777777" w:rsidR="00CD6054" w:rsidRDefault="00A44E92">
      <w:pPr>
        <w:pStyle w:val="Heading1"/>
        <w:numPr>
          <w:ilvl w:val="0"/>
          <w:numId w:val="7"/>
        </w:numPr>
        <w:tabs>
          <w:tab w:val="left" w:pos="957"/>
        </w:tabs>
        <w:spacing w:before="1"/>
        <w:ind w:left="957" w:hanging="360"/>
      </w:pPr>
      <w:r>
        <w:t>Previsão</w:t>
      </w:r>
      <w:r>
        <w:rPr>
          <w:spacing w:val="2"/>
        </w:rPr>
        <w:t xml:space="preserve"> </w:t>
      </w:r>
      <w:r>
        <w:t>de</w:t>
      </w:r>
      <w:r>
        <w:rPr>
          <w:spacing w:val="-9"/>
        </w:rPr>
        <w:t xml:space="preserve"> </w:t>
      </w:r>
      <w:r>
        <w:t>Ressarcimento</w:t>
      </w:r>
      <w:r>
        <w:rPr>
          <w:spacing w:val="5"/>
        </w:rPr>
        <w:t xml:space="preserve"> </w:t>
      </w:r>
      <w:r>
        <w:t>de</w:t>
      </w:r>
      <w:r>
        <w:rPr>
          <w:spacing w:val="-9"/>
        </w:rPr>
        <w:t xml:space="preserve"> </w:t>
      </w:r>
      <w:r>
        <w:t>Gastos</w:t>
      </w:r>
      <w:r>
        <w:rPr>
          <w:spacing w:val="-11"/>
        </w:rPr>
        <w:t xml:space="preserve"> </w:t>
      </w:r>
      <w:r>
        <w:t>aos</w:t>
      </w:r>
      <w:r>
        <w:rPr>
          <w:spacing w:val="2"/>
        </w:rPr>
        <w:t xml:space="preserve"> </w:t>
      </w:r>
      <w:r>
        <w:t>Participantes</w:t>
      </w:r>
      <w:r>
        <w:rPr>
          <w:spacing w:val="2"/>
        </w:rPr>
        <w:t xml:space="preserve"> </w:t>
      </w:r>
      <w:r>
        <w:t>da</w:t>
      </w:r>
      <w:r>
        <w:rPr>
          <w:spacing w:val="-7"/>
        </w:rPr>
        <w:t xml:space="preserve"> </w:t>
      </w:r>
      <w:r>
        <w:rPr>
          <w:spacing w:val="-2"/>
        </w:rPr>
        <w:t>Pesquisa:</w:t>
      </w:r>
    </w:p>
    <w:p w14:paraId="69E10EA3" w14:textId="77777777" w:rsidR="00CD6054" w:rsidRDefault="00CD6054">
      <w:pPr>
        <w:pStyle w:val="BodyText"/>
        <w:spacing w:before="33"/>
        <w:rPr>
          <w:b/>
        </w:rPr>
      </w:pPr>
    </w:p>
    <w:p w14:paraId="79FB631F" w14:textId="77777777" w:rsidR="00CD6054" w:rsidRDefault="00A44E92">
      <w:pPr>
        <w:pStyle w:val="BodyText"/>
        <w:spacing w:line="357" w:lineRule="auto"/>
        <w:ind w:left="236" w:right="251" w:firstLine="706"/>
        <w:jc w:val="both"/>
      </w:pPr>
      <w:r>
        <w:t>A participação nesta pesquisa não acarretará nenhum custo para os voluntários, desse modo, não cabe nenhum tipo de ressarcimento. Adicionalmente, os participantes também</w:t>
      </w:r>
      <w:r>
        <w:rPr>
          <w:spacing w:val="-11"/>
        </w:rPr>
        <w:t xml:space="preserve"> </w:t>
      </w:r>
      <w:r>
        <w:t>não precisarão se deslocar, pois as coletas serão realizadas em dias em que</w:t>
      </w:r>
      <w:r>
        <w:rPr>
          <w:spacing w:val="-9"/>
        </w:rPr>
        <w:t xml:space="preserve"> </w:t>
      </w:r>
      <w:r>
        <w:t>o</w:t>
      </w:r>
      <w:r>
        <w:rPr>
          <w:spacing w:val="-7"/>
        </w:rPr>
        <w:t xml:space="preserve"> </w:t>
      </w:r>
      <w:r>
        <w:t>paciente</w:t>
      </w:r>
      <w:r>
        <w:rPr>
          <w:spacing w:val="-9"/>
        </w:rPr>
        <w:t xml:space="preserve"> </w:t>
      </w:r>
      <w:r>
        <w:t>já</w:t>
      </w:r>
      <w:r>
        <w:rPr>
          <w:spacing w:val="-9"/>
        </w:rPr>
        <w:t xml:space="preserve"> </w:t>
      </w:r>
      <w:r>
        <w:t>iria</w:t>
      </w:r>
      <w:r>
        <w:rPr>
          <w:spacing w:val="-9"/>
        </w:rPr>
        <w:t xml:space="preserve"> </w:t>
      </w:r>
      <w:r>
        <w:t>para</w:t>
      </w:r>
      <w:r>
        <w:rPr>
          <w:spacing w:val="-9"/>
        </w:rPr>
        <w:t xml:space="preserve"> </w:t>
      </w:r>
      <w:r>
        <w:t>a Fundação Pró-Renal ou Clínica Odontológica da UFPR.</w:t>
      </w:r>
    </w:p>
    <w:p w14:paraId="3C168948" w14:textId="77777777" w:rsidR="00CD6054" w:rsidRDefault="00CD6054">
      <w:pPr>
        <w:pStyle w:val="BodyText"/>
      </w:pPr>
    </w:p>
    <w:p w14:paraId="479D7416" w14:textId="77777777" w:rsidR="00CD6054" w:rsidRDefault="00CD6054">
      <w:pPr>
        <w:pStyle w:val="BodyText"/>
        <w:spacing w:before="175"/>
      </w:pPr>
    </w:p>
    <w:p w14:paraId="7E7B3D2A" w14:textId="77777777" w:rsidR="00CD6054" w:rsidRDefault="00A44E92">
      <w:pPr>
        <w:pStyle w:val="Heading1"/>
        <w:numPr>
          <w:ilvl w:val="0"/>
          <w:numId w:val="7"/>
        </w:numPr>
        <w:tabs>
          <w:tab w:val="left" w:pos="957"/>
        </w:tabs>
        <w:ind w:left="957" w:hanging="360"/>
      </w:pPr>
      <w:r>
        <w:rPr>
          <w:spacing w:val="-2"/>
        </w:rPr>
        <w:t>Orçamento:</w:t>
      </w:r>
    </w:p>
    <w:p w14:paraId="58E677E8" w14:textId="77777777" w:rsidR="00CD6054" w:rsidRDefault="00CD6054">
      <w:pPr>
        <w:pStyle w:val="BodyText"/>
        <w:spacing w:before="79"/>
        <w:rPr>
          <w:b/>
          <w:sz w:val="20"/>
        </w:rPr>
      </w:pPr>
    </w:p>
    <w:tbl>
      <w:tblPr>
        <w:tblStyle w:val="TableNormal1"/>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04"/>
        <w:gridCol w:w="1697"/>
        <w:gridCol w:w="1592"/>
        <w:gridCol w:w="1577"/>
      </w:tblGrid>
      <w:tr w:rsidR="00CD6054" w14:paraId="497BB35D" w14:textId="77777777">
        <w:trPr>
          <w:trHeight w:val="1363"/>
        </w:trPr>
        <w:tc>
          <w:tcPr>
            <w:tcW w:w="2704" w:type="dxa"/>
            <w:tcBorders>
              <w:bottom w:val="single" w:sz="8" w:space="0" w:color="000000"/>
            </w:tcBorders>
          </w:tcPr>
          <w:p w14:paraId="1C92DEAB" w14:textId="77777777" w:rsidR="00CD6054" w:rsidRDefault="00CD6054">
            <w:pPr>
              <w:pStyle w:val="TableParagraph"/>
              <w:spacing w:before="8"/>
              <w:rPr>
                <w:b/>
                <w:sz w:val="19"/>
              </w:rPr>
            </w:pPr>
          </w:p>
          <w:p w14:paraId="4975025D" w14:textId="77777777" w:rsidR="00CD6054" w:rsidRDefault="00A44E92">
            <w:pPr>
              <w:pStyle w:val="TableParagraph"/>
              <w:spacing w:line="460" w:lineRule="atLeast"/>
              <w:ind w:left="713" w:hanging="346"/>
              <w:rPr>
                <w:b/>
                <w:sz w:val="19"/>
              </w:rPr>
            </w:pPr>
            <w:r>
              <w:rPr>
                <w:b/>
                <w:sz w:val="19"/>
              </w:rPr>
              <w:t>IDENTIFICAÇÃO</w:t>
            </w:r>
            <w:r>
              <w:rPr>
                <w:b/>
                <w:spacing w:val="40"/>
                <w:sz w:val="19"/>
              </w:rPr>
              <w:t xml:space="preserve"> </w:t>
            </w:r>
            <w:r>
              <w:rPr>
                <w:b/>
                <w:sz w:val="19"/>
              </w:rPr>
              <w:t xml:space="preserve">DO </w:t>
            </w:r>
            <w:r>
              <w:rPr>
                <w:b/>
                <w:spacing w:val="-2"/>
                <w:sz w:val="19"/>
              </w:rPr>
              <w:t>ORÇAMENTO</w:t>
            </w:r>
          </w:p>
        </w:tc>
        <w:tc>
          <w:tcPr>
            <w:tcW w:w="1697" w:type="dxa"/>
            <w:tcBorders>
              <w:bottom w:val="single" w:sz="8" w:space="0" w:color="000000"/>
            </w:tcBorders>
          </w:tcPr>
          <w:p w14:paraId="28E88520" w14:textId="77777777" w:rsidR="00CD6054" w:rsidRDefault="00CD6054">
            <w:pPr>
              <w:pStyle w:val="TableParagraph"/>
              <w:rPr>
                <w:b/>
                <w:sz w:val="19"/>
              </w:rPr>
            </w:pPr>
          </w:p>
          <w:p w14:paraId="7B47E035" w14:textId="77777777" w:rsidR="00CD6054" w:rsidRDefault="00CD6054">
            <w:pPr>
              <w:pStyle w:val="TableParagraph"/>
              <w:spacing w:before="31"/>
              <w:rPr>
                <w:b/>
                <w:sz w:val="19"/>
              </w:rPr>
            </w:pPr>
          </w:p>
          <w:p w14:paraId="0F714B51" w14:textId="77777777" w:rsidR="00CD6054" w:rsidRDefault="00A44E92">
            <w:pPr>
              <w:pStyle w:val="TableParagraph"/>
              <w:ind w:left="111"/>
              <w:rPr>
                <w:b/>
                <w:sz w:val="19"/>
              </w:rPr>
            </w:pPr>
            <w:r>
              <w:rPr>
                <w:b/>
                <w:spacing w:val="-2"/>
                <w:sz w:val="19"/>
              </w:rPr>
              <w:t>QUANTIDADE</w:t>
            </w:r>
          </w:p>
        </w:tc>
        <w:tc>
          <w:tcPr>
            <w:tcW w:w="1592" w:type="dxa"/>
            <w:tcBorders>
              <w:bottom w:val="single" w:sz="8" w:space="0" w:color="000000"/>
            </w:tcBorders>
          </w:tcPr>
          <w:p w14:paraId="086311DC" w14:textId="77777777" w:rsidR="00CD6054" w:rsidRDefault="00CD6054">
            <w:pPr>
              <w:pStyle w:val="TableParagraph"/>
              <w:spacing w:before="8"/>
              <w:rPr>
                <w:b/>
                <w:sz w:val="19"/>
              </w:rPr>
            </w:pPr>
          </w:p>
          <w:p w14:paraId="5BB0D792" w14:textId="77777777" w:rsidR="00CD6054" w:rsidRDefault="00A44E92">
            <w:pPr>
              <w:pStyle w:val="TableParagraph"/>
              <w:spacing w:line="460" w:lineRule="atLeast"/>
              <w:ind w:left="307" w:firstLine="150"/>
              <w:rPr>
                <w:b/>
                <w:sz w:val="19"/>
              </w:rPr>
            </w:pPr>
            <w:r>
              <w:rPr>
                <w:b/>
                <w:spacing w:val="-2"/>
                <w:sz w:val="19"/>
              </w:rPr>
              <w:t>VALOR UNITÁRIO</w:t>
            </w:r>
          </w:p>
        </w:tc>
        <w:tc>
          <w:tcPr>
            <w:tcW w:w="1577" w:type="dxa"/>
            <w:tcBorders>
              <w:bottom w:val="single" w:sz="8" w:space="0" w:color="000000"/>
            </w:tcBorders>
          </w:tcPr>
          <w:p w14:paraId="2A4AF427" w14:textId="77777777" w:rsidR="00CD6054" w:rsidRDefault="00CD6054">
            <w:pPr>
              <w:pStyle w:val="TableParagraph"/>
              <w:spacing w:before="8"/>
              <w:rPr>
                <w:b/>
                <w:sz w:val="19"/>
              </w:rPr>
            </w:pPr>
          </w:p>
          <w:p w14:paraId="1885362A" w14:textId="77777777" w:rsidR="00CD6054" w:rsidRDefault="00A44E92">
            <w:pPr>
              <w:pStyle w:val="TableParagraph"/>
              <w:spacing w:line="460" w:lineRule="atLeast"/>
              <w:ind w:left="442"/>
              <w:rPr>
                <w:b/>
                <w:sz w:val="19"/>
              </w:rPr>
            </w:pPr>
            <w:r>
              <w:rPr>
                <w:b/>
                <w:spacing w:val="-2"/>
                <w:sz w:val="19"/>
              </w:rPr>
              <w:t>VALOR TOTAL</w:t>
            </w:r>
          </w:p>
        </w:tc>
      </w:tr>
      <w:tr w:rsidR="00CD6054" w14:paraId="1388AC03" w14:textId="77777777">
        <w:trPr>
          <w:trHeight w:val="913"/>
        </w:trPr>
        <w:tc>
          <w:tcPr>
            <w:tcW w:w="2704" w:type="dxa"/>
            <w:tcBorders>
              <w:top w:val="single" w:sz="8" w:space="0" w:color="000000"/>
            </w:tcBorders>
          </w:tcPr>
          <w:p w14:paraId="299CC2EA" w14:textId="77777777" w:rsidR="00CD6054" w:rsidRDefault="00A44E92">
            <w:pPr>
              <w:pStyle w:val="TableParagraph"/>
              <w:tabs>
                <w:tab w:val="left" w:pos="2348"/>
              </w:tabs>
              <w:spacing w:before="15"/>
              <w:ind w:left="112"/>
              <w:rPr>
                <w:sz w:val="19"/>
              </w:rPr>
            </w:pPr>
            <w:r>
              <w:rPr>
                <w:spacing w:val="-2"/>
                <w:sz w:val="19"/>
              </w:rPr>
              <w:t>LUVAS</w:t>
            </w:r>
            <w:r>
              <w:rPr>
                <w:sz w:val="19"/>
              </w:rPr>
              <w:tab/>
            </w:r>
            <w:r>
              <w:rPr>
                <w:spacing w:val="-5"/>
                <w:sz w:val="19"/>
              </w:rPr>
              <w:t>DE</w:t>
            </w:r>
          </w:p>
          <w:p w14:paraId="7DEE5376" w14:textId="77777777" w:rsidR="00CD6054" w:rsidRDefault="00CD6054">
            <w:pPr>
              <w:pStyle w:val="TableParagraph"/>
              <w:spacing w:before="28"/>
              <w:rPr>
                <w:b/>
                <w:sz w:val="19"/>
              </w:rPr>
            </w:pPr>
          </w:p>
          <w:p w14:paraId="3B04C882" w14:textId="77777777" w:rsidR="00CD6054" w:rsidRDefault="00A44E92">
            <w:pPr>
              <w:pStyle w:val="TableParagraph"/>
              <w:spacing w:before="1"/>
              <w:ind w:left="112"/>
              <w:rPr>
                <w:sz w:val="19"/>
              </w:rPr>
            </w:pPr>
            <w:r>
              <w:rPr>
                <w:spacing w:val="-2"/>
                <w:sz w:val="19"/>
              </w:rPr>
              <w:t>PROCEDIMENTO</w:t>
            </w:r>
          </w:p>
        </w:tc>
        <w:tc>
          <w:tcPr>
            <w:tcW w:w="1697" w:type="dxa"/>
            <w:tcBorders>
              <w:top w:val="single" w:sz="8" w:space="0" w:color="000000"/>
            </w:tcBorders>
          </w:tcPr>
          <w:p w14:paraId="418CF9C5" w14:textId="77777777" w:rsidR="00CD6054" w:rsidRDefault="00A44E92">
            <w:pPr>
              <w:pStyle w:val="TableParagraph"/>
              <w:spacing w:before="15"/>
              <w:ind w:left="20" w:right="6"/>
              <w:jc w:val="center"/>
              <w:rPr>
                <w:sz w:val="19"/>
              </w:rPr>
            </w:pPr>
            <w:r>
              <w:rPr>
                <w:spacing w:val="-5"/>
                <w:sz w:val="19"/>
              </w:rPr>
              <w:t>03</w:t>
            </w:r>
          </w:p>
        </w:tc>
        <w:tc>
          <w:tcPr>
            <w:tcW w:w="1592" w:type="dxa"/>
            <w:tcBorders>
              <w:top w:val="single" w:sz="8" w:space="0" w:color="000000"/>
            </w:tcBorders>
          </w:tcPr>
          <w:p w14:paraId="5856CC89" w14:textId="77777777" w:rsidR="00CD6054" w:rsidRDefault="00A44E92">
            <w:pPr>
              <w:pStyle w:val="TableParagraph"/>
              <w:spacing w:before="15"/>
              <w:ind w:right="405"/>
              <w:jc w:val="right"/>
              <w:rPr>
                <w:sz w:val="19"/>
              </w:rPr>
            </w:pPr>
            <w:r>
              <w:rPr>
                <w:sz w:val="19"/>
              </w:rPr>
              <w:t>R$</w:t>
            </w:r>
            <w:r>
              <w:rPr>
                <w:spacing w:val="13"/>
                <w:sz w:val="19"/>
              </w:rPr>
              <w:t xml:space="preserve"> </w:t>
            </w:r>
            <w:r>
              <w:rPr>
                <w:spacing w:val="-2"/>
                <w:sz w:val="19"/>
              </w:rPr>
              <w:t>32,90</w:t>
            </w:r>
          </w:p>
        </w:tc>
        <w:tc>
          <w:tcPr>
            <w:tcW w:w="1577" w:type="dxa"/>
            <w:tcBorders>
              <w:top w:val="single" w:sz="8" w:space="0" w:color="000000"/>
            </w:tcBorders>
          </w:tcPr>
          <w:p w14:paraId="14F19909" w14:textId="77777777" w:rsidR="00CD6054" w:rsidRDefault="00A44E92">
            <w:pPr>
              <w:pStyle w:val="TableParagraph"/>
              <w:spacing w:before="15"/>
              <w:ind w:left="21" w:right="16"/>
              <w:jc w:val="center"/>
              <w:rPr>
                <w:sz w:val="19"/>
              </w:rPr>
            </w:pPr>
            <w:r>
              <w:rPr>
                <w:sz w:val="19"/>
              </w:rPr>
              <w:t>R$</w:t>
            </w:r>
            <w:r>
              <w:rPr>
                <w:spacing w:val="13"/>
                <w:sz w:val="19"/>
              </w:rPr>
              <w:t xml:space="preserve"> </w:t>
            </w:r>
            <w:r>
              <w:rPr>
                <w:spacing w:val="-2"/>
                <w:sz w:val="19"/>
              </w:rPr>
              <w:t>98,70</w:t>
            </w:r>
          </w:p>
        </w:tc>
      </w:tr>
      <w:tr w:rsidR="00CD6054" w14:paraId="53BD78BD" w14:textId="77777777">
        <w:trPr>
          <w:trHeight w:val="465"/>
        </w:trPr>
        <w:tc>
          <w:tcPr>
            <w:tcW w:w="2704" w:type="dxa"/>
          </w:tcPr>
          <w:p w14:paraId="7D3BBC56" w14:textId="77777777" w:rsidR="00CD6054" w:rsidRDefault="00A44E92">
            <w:pPr>
              <w:pStyle w:val="TableParagraph"/>
              <w:spacing w:before="18"/>
              <w:ind w:left="112"/>
              <w:rPr>
                <w:sz w:val="19"/>
              </w:rPr>
            </w:pPr>
            <w:r>
              <w:rPr>
                <w:sz w:val="19"/>
              </w:rPr>
              <w:t>TOUCA</w:t>
            </w:r>
            <w:r>
              <w:rPr>
                <w:spacing w:val="26"/>
                <w:sz w:val="19"/>
              </w:rPr>
              <w:t xml:space="preserve"> </w:t>
            </w:r>
            <w:r>
              <w:rPr>
                <w:spacing w:val="-2"/>
                <w:sz w:val="19"/>
              </w:rPr>
              <w:t>CIRÚRGICA</w:t>
            </w:r>
          </w:p>
        </w:tc>
        <w:tc>
          <w:tcPr>
            <w:tcW w:w="1697" w:type="dxa"/>
          </w:tcPr>
          <w:p w14:paraId="77B539DB" w14:textId="77777777" w:rsidR="00CD6054" w:rsidRDefault="00A44E92">
            <w:pPr>
              <w:pStyle w:val="TableParagraph"/>
              <w:spacing w:before="18"/>
              <w:ind w:left="20" w:right="6"/>
              <w:jc w:val="center"/>
              <w:rPr>
                <w:sz w:val="19"/>
              </w:rPr>
            </w:pPr>
            <w:r>
              <w:rPr>
                <w:spacing w:val="-5"/>
                <w:sz w:val="19"/>
              </w:rPr>
              <w:t>03</w:t>
            </w:r>
          </w:p>
        </w:tc>
        <w:tc>
          <w:tcPr>
            <w:tcW w:w="1592" w:type="dxa"/>
          </w:tcPr>
          <w:p w14:paraId="7E798842" w14:textId="77777777" w:rsidR="00CD6054" w:rsidRDefault="00A44E92">
            <w:pPr>
              <w:pStyle w:val="TableParagraph"/>
              <w:spacing w:before="18"/>
              <w:ind w:right="405"/>
              <w:jc w:val="right"/>
              <w:rPr>
                <w:sz w:val="19"/>
              </w:rPr>
            </w:pPr>
            <w:r>
              <w:rPr>
                <w:sz w:val="19"/>
              </w:rPr>
              <w:t>R$</w:t>
            </w:r>
            <w:r>
              <w:rPr>
                <w:spacing w:val="13"/>
                <w:sz w:val="19"/>
              </w:rPr>
              <w:t xml:space="preserve"> </w:t>
            </w:r>
            <w:r>
              <w:rPr>
                <w:spacing w:val="-2"/>
                <w:sz w:val="19"/>
              </w:rPr>
              <w:t>24,90</w:t>
            </w:r>
          </w:p>
        </w:tc>
        <w:tc>
          <w:tcPr>
            <w:tcW w:w="1577" w:type="dxa"/>
          </w:tcPr>
          <w:p w14:paraId="176D3601" w14:textId="77777777" w:rsidR="00CD6054" w:rsidRDefault="00A44E92">
            <w:pPr>
              <w:pStyle w:val="TableParagraph"/>
              <w:spacing w:before="18"/>
              <w:ind w:left="21" w:right="16"/>
              <w:jc w:val="center"/>
              <w:rPr>
                <w:sz w:val="19"/>
              </w:rPr>
            </w:pPr>
            <w:r>
              <w:rPr>
                <w:sz w:val="19"/>
              </w:rPr>
              <w:t>R$</w:t>
            </w:r>
            <w:r>
              <w:rPr>
                <w:spacing w:val="13"/>
                <w:sz w:val="19"/>
              </w:rPr>
              <w:t xml:space="preserve"> </w:t>
            </w:r>
            <w:r>
              <w:rPr>
                <w:spacing w:val="-2"/>
                <w:sz w:val="19"/>
              </w:rPr>
              <w:t>74,70</w:t>
            </w:r>
          </w:p>
        </w:tc>
      </w:tr>
      <w:tr w:rsidR="00CD6054" w14:paraId="77B2EDEC" w14:textId="77777777">
        <w:trPr>
          <w:trHeight w:val="915"/>
        </w:trPr>
        <w:tc>
          <w:tcPr>
            <w:tcW w:w="2704" w:type="dxa"/>
          </w:tcPr>
          <w:p w14:paraId="26CDC33A" w14:textId="77777777" w:rsidR="00CD6054" w:rsidRDefault="00A44E92">
            <w:pPr>
              <w:pStyle w:val="TableParagraph"/>
              <w:spacing w:before="2"/>
              <w:ind w:left="112"/>
              <w:rPr>
                <w:sz w:val="19"/>
              </w:rPr>
            </w:pPr>
            <w:r>
              <w:rPr>
                <w:sz w:val="19"/>
              </w:rPr>
              <w:t>MICRO</w:t>
            </w:r>
            <w:r>
              <w:rPr>
                <w:spacing w:val="3"/>
                <w:sz w:val="19"/>
              </w:rPr>
              <w:t xml:space="preserve"> </w:t>
            </w:r>
            <w:r>
              <w:rPr>
                <w:sz w:val="19"/>
              </w:rPr>
              <w:t>TUBO</w:t>
            </w:r>
            <w:r>
              <w:rPr>
                <w:spacing w:val="43"/>
                <w:sz w:val="19"/>
              </w:rPr>
              <w:t xml:space="preserve"> </w:t>
            </w:r>
            <w:r>
              <w:rPr>
                <w:sz w:val="19"/>
              </w:rPr>
              <w:t>1,5</w:t>
            </w:r>
            <w:r>
              <w:rPr>
                <w:spacing w:val="21"/>
                <w:sz w:val="19"/>
              </w:rPr>
              <w:t xml:space="preserve"> </w:t>
            </w:r>
            <w:r>
              <w:rPr>
                <w:spacing w:val="-5"/>
                <w:sz w:val="19"/>
              </w:rPr>
              <w:t>ML</w:t>
            </w:r>
          </w:p>
        </w:tc>
        <w:tc>
          <w:tcPr>
            <w:tcW w:w="1697" w:type="dxa"/>
          </w:tcPr>
          <w:p w14:paraId="3EC7565F" w14:textId="77777777" w:rsidR="00CD6054" w:rsidRDefault="00A44E92">
            <w:pPr>
              <w:pStyle w:val="TableParagraph"/>
              <w:spacing w:before="2"/>
              <w:ind w:left="20" w:right="6"/>
              <w:jc w:val="center"/>
              <w:rPr>
                <w:sz w:val="19"/>
              </w:rPr>
            </w:pPr>
            <w:r>
              <w:rPr>
                <w:spacing w:val="-5"/>
                <w:sz w:val="19"/>
              </w:rPr>
              <w:t>10</w:t>
            </w:r>
          </w:p>
        </w:tc>
        <w:tc>
          <w:tcPr>
            <w:tcW w:w="1592" w:type="dxa"/>
          </w:tcPr>
          <w:p w14:paraId="00494D3D" w14:textId="77777777" w:rsidR="00CD6054" w:rsidRDefault="00A44E92">
            <w:pPr>
              <w:pStyle w:val="TableParagraph"/>
              <w:spacing w:before="2"/>
              <w:ind w:right="406"/>
              <w:jc w:val="right"/>
              <w:rPr>
                <w:sz w:val="19"/>
              </w:rPr>
            </w:pPr>
            <w:r>
              <w:rPr>
                <w:sz w:val="19"/>
              </w:rPr>
              <w:t>R$</w:t>
            </w:r>
            <w:r>
              <w:rPr>
                <w:spacing w:val="12"/>
                <w:sz w:val="19"/>
              </w:rPr>
              <w:t xml:space="preserve"> </w:t>
            </w:r>
            <w:r>
              <w:rPr>
                <w:spacing w:val="-2"/>
                <w:sz w:val="19"/>
              </w:rPr>
              <w:t>38,00</w:t>
            </w:r>
          </w:p>
        </w:tc>
        <w:tc>
          <w:tcPr>
            <w:tcW w:w="1577" w:type="dxa"/>
          </w:tcPr>
          <w:p w14:paraId="1724BEA8" w14:textId="77777777" w:rsidR="00CD6054" w:rsidRDefault="00A44E92">
            <w:pPr>
              <w:pStyle w:val="TableParagraph"/>
              <w:spacing w:before="2"/>
              <w:ind w:left="21" w:right="3"/>
              <w:jc w:val="center"/>
              <w:rPr>
                <w:sz w:val="19"/>
              </w:rPr>
            </w:pPr>
            <w:r>
              <w:rPr>
                <w:sz w:val="19"/>
              </w:rPr>
              <w:t>R$</w:t>
            </w:r>
            <w:r>
              <w:rPr>
                <w:spacing w:val="12"/>
                <w:sz w:val="19"/>
              </w:rPr>
              <w:t xml:space="preserve"> </w:t>
            </w:r>
            <w:r>
              <w:rPr>
                <w:spacing w:val="-2"/>
                <w:sz w:val="19"/>
              </w:rPr>
              <w:t>380,00</w:t>
            </w:r>
          </w:p>
        </w:tc>
      </w:tr>
      <w:tr w:rsidR="00CD6054" w14:paraId="7DB391CC" w14:textId="77777777">
        <w:trPr>
          <w:trHeight w:val="915"/>
        </w:trPr>
        <w:tc>
          <w:tcPr>
            <w:tcW w:w="2704" w:type="dxa"/>
          </w:tcPr>
          <w:p w14:paraId="265E7C77" w14:textId="77777777" w:rsidR="00CD6054" w:rsidRDefault="00A44E92">
            <w:pPr>
              <w:pStyle w:val="TableParagraph"/>
              <w:tabs>
                <w:tab w:val="left" w:pos="1386"/>
              </w:tabs>
              <w:spacing w:before="2"/>
              <w:ind w:left="112"/>
              <w:rPr>
                <w:sz w:val="19"/>
              </w:rPr>
            </w:pPr>
            <w:r>
              <w:rPr>
                <w:spacing w:val="-2"/>
                <w:sz w:val="19"/>
              </w:rPr>
              <w:t>PONTEIRAS</w:t>
            </w:r>
            <w:r>
              <w:rPr>
                <w:sz w:val="19"/>
              </w:rPr>
              <w:tab/>
              <w:t>DE</w:t>
            </w:r>
            <w:r>
              <w:rPr>
                <w:spacing w:val="49"/>
                <w:sz w:val="19"/>
              </w:rPr>
              <w:t xml:space="preserve">  </w:t>
            </w:r>
            <w:r>
              <w:rPr>
                <w:spacing w:val="-2"/>
                <w:sz w:val="19"/>
              </w:rPr>
              <w:t>PIPETAS</w:t>
            </w:r>
          </w:p>
          <w:p w14:paraId="11D9A558" w14:textId="77777777" w:rsidR="00CD6054" w:rsidRDefault="00CD6054">
            <w:pPr>
              <w:pStyle w:val="TableParagraph"/>
              <w:spacing w:before="29"/>
              <w:rPr>
                <w:b/>
                <w:sz w:val="19"/>
              </w:rPr>
            </w:pPr>
          </w:p>
          <w:p w14:paraId="65A8D8B7" w14:textId="77777777" w:rsidR="00CD6054" w:rsidRDefault="00A44E92">
            <w:pPr>
              <w:pStyle w:val="TableParagraph"/>
              <w:ind w:left="112"/>
              <w:rPr>
                <w:sz w:val="19"/>
              </w:rPr>
            </w:pPr>
            <w:r>
              <w:rPr>
                <w:sz w:val="19"/>
              </w:rPr>
              <w:t>200</w:t>
            </w:r>
            <w:r>
              <w:rPr>
                <w:spacing w:val="23"/>
                <w:sz w:val="19"/>
              </w:rPr>
              <w:t xml:space="preserve"> </w:t>
            </w:r>
            <w:r>
              <w:rPr>
                <w:spacing w:val="-2"/>
                <w:sz w:val="19"/>
              </w:rPr>
              <w:t>MICROLITROS</w:t>
            </w:r>
          </w:p>
        </w:tc>
        <w:tc>
          <w:tcPr>
            <w:tcW w:w="1697" w:type="dxa"/>
          </w:tcPr>
          <w:p w14:paraId="198EC3B8" w14:textId="77777777" w:rsidR="00CD6054" w:rsidRDefault="00A44E92">
            <w:pPr>
              <w:pStyle w:val="TableParagraph"/>
              <w:spacing w:before="2"/>
              <w:ind w:left="20" w:right="6"/>
              <w:jc w:val="center"/>
              <w:rPr>
                <w:sz w:val="19"/>
              </w:rPr>
            </w:pPr>
            <w:r>
              <w:rPr>
                <w:spacing w:val="-5"/>
                <w:sz w:val="19"/>
              </w:rPr>
              <w:t>02</w:t>
            </w:r>
          </w:p>
        </w:tc>
        <w:tc>
          <w:tcPr>
            <w:tcW w:w="1592" w:type="dxa"/>
          </w:tcPr>
          <w:p w14:paraId="14F71827" w14:textId="77777777" w:rsidR="00CD6054" w:rsidRDefault="00A44E92">
            <w:pPr>
              <w:pStyle w:val="TableParagraph"/>
              <w:spacing w:before="2"/>
              <w:ind w:right="406"/>
              <w:jc w:val="right"/>
              <w:rPr>
                <w:sz w:val="19"/>
              </w:rPr>
            </w:pPr>
            <w:r>
              <w:rPr>
                <w:sz w:val="19"/>
              </w:rPr>
              <w:t>R$</w:t>
            </w:r>
            <w:r>
              <w:rPr>
                <w:spacing w:val="12"/>
                <w:sz w:val="19"/>
              </w:rPr>
              <w:t xml:space="preserve"> </w:t>
            </w:r>
            <w:r>
              <w:rPr>
                <w:spacing w:val="-2"/>
                <w:sz w:val="19"/>
              </w:rPr>
              <w:t>95,93</w:t>
            </w:r>
          </w:p>
        </w:tc>
        <w:tc>
          <w:tcPr>
            <w:tcW w:w="1577" w:type="dxa"/>
          </w:tcPr>
          <w:p w14:paraId="66664D62" w14:textId="77777777" w:rsidR="00CD6054" w:rsidRDefault="00A44E92">
            <w:pPr>
              <w:pStyle w:val="TableParagraph"/>
              <w:spacing w:before="2"/>
              <w:ind w:left="21" w:right="3"/>
              <w:jc w:val="center"/>
              <w:rPr>
                <w:sz w:val="19"/>
              </w:rPr>
            </w:pPr>
            <w:r>
              <w:rPr>
                <w:sz w:val="19"/>
              </w:rPr>
              <w:t>R$</w:t>
            </w:r>
            <w:r>
              <w:rPr>
                <w:spacing w:val="12"/>
                <w:sz w:val="19"/>
              </w:rPr>
              <w:t xml:space="preserve"> </w:t>
            </w:r>
            <w:r>
              <w:rPr>
                <w:spacing w:val="-2"/>
                <w:sz w:val="19"/>
              </w:rPr>
              <w:t>191,86</w:t>
            </w:r>
          </w:p>
        </w:tc>
      </w:tr>
      <w:tr w:rsidR="00CD6054" w14:paraId="278C26F8" w14:textId="77777777">
        <w:trPr>
          <w:trHeight w:val="916"/>
        </w:trPr>
        <w:tc>
          <w:tcPr>
            <w:tcW w:w="2704" w:type="dxa"/>
          </w:tcPr>
          <w:p w14:paraId="6CED4035" w14:textId="77777777" w:rsidR="00CD6054" w:rsidRDefault="00A44E92">
            <w:pPr>
              <w:pStyle w:val="TableParagraph"/>
              <w:tabs>
                <w:tab w:val="left" w:pos="1386"/>
              </w:tabs>
              <w:spacing w:before="3"/>
              <w:ind w:left="112"/>
              <w:rPr>
                <w:sz w:val="19"/>
              </w:rPr>
            </w:pPr>
            <w:r>
              <w:rPr>
                <w:spacing w:val="-2"/>
                <w:sz w:val="19"/>
              </w:rPr>
              <w:t>PONTEIRAS</w:t>
            </w:r>
            <w:r>
              <w:rPr>
                <w:sz w:val="19"/>
              </w:rPr>
              <w:tab/>
              <w:t>DE</w:t>
            </w:r>
            <w:r>
              <w:rPr>
                <w:spacing w:val="49"/>
                <w:sz w:val="19"/>
              </w:rPr>
              <w:t xml:space="preserve">  </w:t>
            </w:r>
            <w:r>
              <w:rPr>
                <w:spacing w:val="-2"/>
                <w:sz w:val="19"/>
              </w:rPr>
              <w:t>PIPETAS</w:t>
            </w:r>
          </w:p>
          <w:p w14:paraId="64C53041" w14:textId="77777777" w:rsidR="00CD6054" w:rsidRDefault="00CD6054">
            <w:pPr>
              <w:pStyle w:val="TableParagraph"/>
              <w:spacing w:before="28"/>
              <w:rPr>
                <w:b/>
                <w:sz w:val="19"/>
              </w:rPr>
            </w:pPr>
          </w:p>
          <w:p w14:paraId="7BD92951" w14:textId="77777777" w:rsidR="00CD6054" w:rsidRDefault="00A44E92">
            <w:pPr>
              <w:pStyle w:val="TableParagraph"/>
              <w:ind w:left="112"/>
              <w:rPr>
                <w:sz w:val="19"/>
              </w:rPr>
            </w:pPr>
            <w:r>
              <w:rPr>
                <w:sz w:val="19"/>
              </w:rPr>
              <w:t>1000</w:t>
            </w:r>
            <w:r>
              <w:rPr>
                <w:spacing w:val="32"/>
                <w:sz w:val="19"/>
              </w:rPr>
              <w:t xml:space="preserve"> </w:t>
            </w:r>
            <w:r>
              <w:rPr>
                <w:spacing w:val="-2"/>
                <w:sz w:val="19"/>
              </w:rPr>
              <w:t>MICROLITROS</w:t>
            </w:r>
          </w:p>
        </w:tc>
        <w:tc>
          <w:tcPr>
            <w:tcW w:w="1697" w:type="dxa"/>
          </w:tcPr>
          <w:p w14:paraId="5513045B" w14:textId="77777777" w:rsidR="00CD6054" w:rsidRDefault="00A44E92">
            <w:pPr>
              <w:pStyle w:val="TableParagraph"/>
              <w:spacing w:before="3"/>
              <w:ind w:left="20" w:right="6"/>
              <w:jc w:val="center"/>
              <w:rPr>
                <w:sz w:val="19"/>
              </w:rPr>
            </w:pPr>
            <w:r>
              <w:rPr>
                <w:spacing w:val="-5"/>
                <w:sz w:val="19"/>
              </w:rPr>
              <w:t>02</w:t>
            </w:r>
          </w:p>
        </w:tc>
        <w:tc>
          <w:tcPr>
            <w:tcW w:w="1592" w:type="dxa"/>
          </w:tcPr>
          <w:p w14:paraId="559B01AE" w14:textId="77777777" w:rsidR="00CD6054" w:rsidRDefault="00A44E92">
            <w:pPr>
              <w:pStyle w:val="TableParagraph"/>
              <w:spacing w:before="3"/>
              <w:ind w:right="361"/>
              <w:jc w:val="right"/>
              <w:rPr>
                <w:sz w:val="19"/>
              </w:rPr>
            </w:pPr>
            <w:r>
              <w:rPr>
                <w:sz w:val="19"/>
              </w:rPr>
              <w:t>R$</w:t>
            </w:r>
            <w:r>
              <w:rPr>
                <w:spacing w:val="12"/>
                <w:sz w:val="19"/>
              </w:rPr>
              <w:t xml:space="preserve"> </w:t>
            </w:r>
            <w:r>
              <w:rPr>
                <w:spacing w:val="-2"/>
                <w:sz w:val="19"/>
              </w:rPr>
              <w:t>224,00</w:t>
            </w:r>
          </w:p>
        </w:tc>
        <w:tc>
          <w:tcPr>
            <w:tcW w:w="1577" w:type="dxa"/>
          </w:tcPr>
          <w:p w14:paraId="369C5C42" w14:textId="77777777" w:rsidR="00CD6054" w:rsidRDefault="00A44E92">
            <w:pPr>
              <w:pStyle w:val="TableParagraph"/>
              <w:spacing w:before="3"/>
              <w:ind w:left="21" w:right="3"/>
              <w:jc w:val="center"/>
              <w:rPr>
                <w:sz w:val="19"/>
              </w:rPr>
            </w:pPr>
            <w:r>
              <w:rPr>
                <w:sz w:val="19"/>
              </w:rPr>
              <w:t>R$</w:t>
            </w:r>
            <w:r>
              <w:rPr>
                <w:spacing w:val="12"/>
                <w:sz w:val="19"/>
              </w:rPr>
              <w:t xml:space="preserve"> </w:t>
            </w:r>
            <w:r>
              <w:rPr>
                <w:spacing w:val="-2"/>
                <w:sz w:val="19"/>
              </w:rPr>
              <w:t>448,00</w:t>
            </w:r>
          </w:p>
        </w:tc>
      </w:tr>
      <w:tr w:rsidR="00CD6054" w14:paraId="26B4390D" w14:textId="77777777">
        <w:trPr>
          <w:trHeight w:val="450"/>
        </w:trPr>
        <w:tc>
          <w:tcPr>
            <w:tcW w:w="2704" w:type="dxa"/>
          </w:tcPr>
          <w:p w14:paraId="46BFCD83" w14:textId="77777777" w:rsidR="00CD6054" w:rsidRDefault="00A44E92">
            <w:pPr>
              <w:pStyle w:val="TableParagraph"/>
              <w:tabs>
                <w:tab w:val="left" w:pos="1386"/>
              </w:tabs>
              <w:spacing w:before="2"/>
              <w:ind w:left="112"/>
              <w:rPr>
                <w:sz w:val="19"/>
              </w:rPr>
            </w:pPr>
            <w:r>
              <w:rPr>
                <w:spacing w:val="-2"/>
                <w:sz w:val="19"/>
              </w:rPr>
              <w:t>PONTEIRAS</w:t>
            </w:r>
            <w:r>
              <w:rPr>
                <w:sz w:val="19"/>
              </w:rPr>
              <w:tab/>
              <w:t>DE</w:t>
            </w:r>
            <w:r>
              <w:rPr>
                <w:spacing w:val="49"/>
                <w:sz w:val="19"/>
              </w:rPr>
              <w:t xml:space="preserve">  </w:t>
            </w:r>
            <w:r>
              <w:rPr>
                <w:spacing w:val="-2"/>
                <w:sz w:val="19"/>
              </w:rPr>
              <w:t>PIPETAS</w:t>
            </w:r>
          </w:p>
        </w:tc>
        <w:tc>
          <w:tcPr>
            <w:tcW w:w="1697" w:type="dxa"/>
          </w:tcPr>
          <w:p w14:paraId="473BF720" w14:textId="77777777" w:rsidR="00CD6054" w:rsidRDefault="00A44E92">
            <w:pPr>
              <w:pStyle w:val="TableParagraph"/>
              <w:spacing w:before="2"/>
              <w:ind w:left="20" w:right="6"/>
              <w:jc w:val="center"/>
              <w:rPr>
                <w:sz w:val="19"/>
              </w:rPr>
            </w:pPr>
            <w:r>
              <w:rPr>
                <w:spacing w:val="-5"/>
                <w:sz w:val="19"/>
              </w:rPr>
              <w:t>02</w:t>
            </w:r>
          </w:p>
        </w:tc>
        <w:tc>
          <w:tcPr>
            <w:tcW w:w="1592" w:type="dxa"/>
          </w:tcPr>
          <w:p w14:paraId="62846CFA" w14:textId="77777777" w:rsidR="00CD6054" w:rsidRDefault="00A44E92">
            <w:pPr>
              <w:pStyle w:val="TableParagraph"/>
              <w:spacing w:before="2"/>
              <w:ind w:right="361"/>
              <w:jc w:val="right"/>
              <w:rPr>
                <w:sz w:val="19"/>
              </w:rPr>
            </w:pPr>
            <w:r>
              <w:rPr>
                <w:sz w:val="19"/>
              </w:rPr>
              <w:t>R$</w:t>
            </w:r>
            <w:r>
              <w:rPr>
                <w:spacing w:val="12"/>
                <w:sz w:val="19"/>
              </w:rPr>
              <w:t xml:space="preserve"> </w:t>
            </w:r>
            <w:r>
              <w:rPr>
                <w:spacing w:val="-2"/>
                <w:sz w:val="19"/>
              </w:rPr>
              <w:t>157,00</w:t>
            </w:r>
          </w:p>
        </w:tc>
        <w:tc>
          <w:tcPr>
            <w:tcW w:w="1577" w:type="dxa"/>
          </w:tcPr>
          <w:p w14:paraId="0D55914F" w14:textId="77777777" w:rsidR="00CD6054" w:rsidRDefault="00A44E92">
            <w:pPr>
              <w:pStyle w:val="TableParagraph"/>
              <w:spacing w:before="2"/>
              <w:ind w:left="21" w:right="3"/>
              <w:jc w:val="center"/>
              <w:rPr>
                <w:sz w:val="19"/>
              </w:rPr>
            </w:pPr>
            <w:r>
              <w:rPr>
                <w:sz w:val="19"/>
              </w:rPr>
              <w:t>R$</w:t>
            </w:r>
            <w:r>
              <w:rPr>
                <w:spacing w:val="12"/>
                <w:sz w:val="19"/>
              </w:rPr>
              <w:t xml:space="preserve"> </w:t>
            </w:r>
            <w:r>
              <w:rPr>
                <w:spacing w:val="-2"/>
                <w:sz w:val="19"/>
              </w:rPr>
              <w:t>314,00</w:t>
            </w:r>
          </w:p>
        </w:tc>
      </w:tr>
    </w:tbl>
    <w:p w14:paraId="6AFD67C9" w14:textId="77777777" w:rsidR="00CD6054" w:rsidRDefault="00CD6054">
      <w:pPr>
        <w:jc w:val="center"/>
        <w:rPr>
          <w:sz w:val="19"/>
        </w:rPr>
        <w:sectPr w:rsidR="00CD6054">
          <w:pgSz w:w="11910" w:h="16850"/>
          <w:pgMar w:top="1640" w:right="880" w:bottom="1102" w:left="1460" w:header="720" w:footer="720" w:gutter="0"/>
          <w:cols w:space="720"/>
        </w:sectPr>
      </w:pPr>
    </w:p>
    <w:tbl>
      <w:tblPr>
        <w:tblStyle w:val="TableNormal1"/>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704"/>
        <w:gridCol w:w="1697"/>
        <w:gridCol w:w="1592"/>
        <w:gridCol w:w="1577"/>
      </w:tblGrid>
      <w:tr w:rsidR="00CD6054" w14:paraId="72415FE8" w14:textId="77777777">
        <w:trPr>
          <w:trHeight w:val="465"/>
        </w:trPr>
        <w:tc>
          <w:tcPr>
            <w:tcW w:w="2704" w:type="dxa"/>
          </w:tcPr>
          <w:p w14:paraId="16836F7A" w14:textId="77777777" w:rsidR="00CD6054" w:rsidRDefault="00A44E92">
            <w:pPr>
              <w:pStyle w:val="TableParagraph"/>
              <w:spacing w:before="17"/>
              <w:ind w:left="112"/>
              <w:rPr>
                <w:sz w:val="19"/>
              </w:rPr>
            </w:pPr>
            <w:r>
              <w:rPr>
                <w:sz w:val="19"/>
              </w:rPr>
              <w:lastRenderedPageBreak/>
              <w:t>10</w:t>
            </w:r>
            <w:r>
              <w:rPr>
                <w:spacing w:val="14"/>
                <w:sz w:val="19"/>
              </w:rPr>
              <w:t xml:space="preserve"> </w:t>
            </w:r>
            <w:r>
              <w:rPr>
                <w:spacing w:val="-2"/>
                <w:sz w:val="19"/>
              </w:rPr>
              <w:t>MICROLITROS</w:t>
            </w:r>
          </w:p>
        </w:tc>
        <w:tc>
          <w:tcPr>
            <w:tcW w:w="1697" w:type="dxa"/>
          </w:tcPr>
          <w:p w14:paraId="4B584CB3" w14:textId="77777777" w:rsidR="00CD6054" w:rsidRDefault="00CD6054">
            <w:pPr>
              <w:pStyle w:val="TableParagraph"/>
            </w:pPr>
          </w:p>
        </w:tc>
        <w:tc>
          <w:tcPr>
            <w:tcW w:w="1592" w:type="dxa"/>
          </w:tcPr>
          <w:p w14:paraId="15833D68" w14:textId="77777777" w:rsidR="00CD6054" w:rsidRDefault="00CD6054">
            <w:pPr>
              <w:pStyle w:val="TableParagraph"/>
            </w:pPr>
          </w:p>
        </w:tc>
        <w:tc>
          <w:tcPr>
            <w:tcW w:w="1577" w:type="dxa"/>
          </w:tcPr>
          <w:p w14:paraId="66D7721B" w14:textId="77777777" w:rsidR="00CD6054" w:rsidRDefault="00CD6054">
            <w:pPr>
              <w:pStyle w:val="TableParagraph"/>
            </w:pPr>
          </w:p>
        </w:tc>
      </w:tr>
      <w:tr w:rsidR="00CD6054" w14:paraId="451FA096" w14:textId="77777777">
        <w:trPr>
          <w:trHeight w:val="915"/>
        </w:trPr>
        <w:tc>
          <w:tcPr>
            <w:tcW w:w="2704" w:type="dxa"/>
          </w:tcPr>
          <w:p w14:paraId="510928E9" w14:textId="77777777" w:rsidR="00CD6054" w:rsidRDefault="00A44E92">
            <w:pPr>
              <w:pStyle w:val="TableParagraph"/>
              <w:spacing w:before="2"/>
              <w:ind w:left="112"/>
              <w:rPr>
                <w:sz w:val="19"/>
              </w:rPr>
            </w:pPr>
            <w:r>
              <w:rPr>
                <w:sz w:val="19"/>
              </w:rPr>
              <w:t>INIBIDOR</w:t>
            </w:r>
            <w:r>
              <w:rPr>
                <w:spacing w:val="15"/>
                <w:sz w:val="19"/>
              </w:rPr>
              <w:t xml:space="preserve"> </w:t>
            </w:r>
            <w:r>
              <w:rPr>
                <w:sz w:val="19"/>
              </w:rPr>
              <w:t>DE</w:t>
            </w:r>
            <w:r>
              <w:rPr>
                <w:spacing w:val="28"/>
                <w:sz w:val="19"/>
              </w:rPr>
              <w:t xml:space="preserve"> </w:t>
            </w:r>
            <w:r>
              <w:rPr>
                <w:spacing w:val="-2"/>
                <w:sz w:val="19"/>
              </w:rPr>
              <w:t>PROTEASE</w:t>
            </w:r>
          </w:p>
        </w:tc>
        <w:tc>
          <w:tcPr>
            <w:tcW w:w="1697" w:type="dxa"/>
          </w:tcPr>
          <w:p w14:paraId="6773668E" w14:textId="77777777" w:rsidR="00CD6054" w:rsidRDefault="00A44E92">
            <w:pPr>
              <w:pStyle w:val="TableParagraph"/>
              <w:spacing w:before="2"/>
              <w:ind w:left="20" w:right="6"/>
              <w:jc w:val="center"/>
              <w:rPr>
                <w:sz w:val="19"/>
              </w:rPr>
            </w:pPr>
            <w:r>
              <w:rPr>
                <w:spacing w:val="-5"/>
                <w:sz w:val="19"/>
              </w:rPr>
              <w:t>05</w:t>
            </w:r>
          </w:p>
        </w:tc>
        <w:tc>
          <w:tcPr>
            <w:tcW w:w="1592" w:type="dxa"/>
          </w:tcPr>
          <w:p w14:paraId="513255B6" w14:textId="77777777" w:rsidR="00CD6054" w:rsidRDefault="00A44E92">
            <w:pPr>
              <w:pStyle w:val="TableParagraph"/>
              <w:spacing w:before="2"/>
              <w:ind w:left="19" w:right="16"/>
              <w:jc w:val="center"/>
              <w:rPr>
                <w:sz w:val="19"/>
              </w:rPr>
            </w:pPr>
            <w:r>
              <w:rPr>
                <w:sz w:val="19"/>
              </w:rPr>
              <w:t>R$</w:t>
            </w:r>
            <w:r>
              <w:rPr>
                <w:spacing w:val="12"/>
                <w:sz w:val="19"/>
              </w:rPr>
              <w:t xml:space="preserve"> </w:t>
            </w:r>
            <w:r>
              <w:rPr>
                <w:spacing w:val="-2"/>
                <w:sz w:val="19"/>
              </w:rPr>
              <w:t>232,45</w:t>
            </w:r>
          </w:p>
        </w:tc>
        <w:tc>
          <w:tcPr>
            <w:tcW w:w="1577" w:type="dxa"/>
          </w:tcPr>
          <w:p w14:paraId="130F1830" w14:textId="77777777" w:rsidR="00CD6054" w:rsidRDefault="00A44E92">
            <w:pPr>
              <w:pStyle w:val="TableParagraph"/>
              <w:spacing w:before="2"/>
              <w:ind w:left="21" w:right="18"/>
              <w:jc w:val="center"/>
              <w:rPr>
                <w:sz w:val="19"/>
              </w:rPr>
            </w:pPr>
            <w:r>
              <w:rPr>
                <w:sz w:val="19"/>
              </w:rPr>
              <w:t>R$</w:t>
            </w:r>
            <w:r>
              <w:rPr>
                <w:spacing w:val="12"/>
                <w:sz w:val="19"/>
              </w:rPr>
              <w:t xml:space="preserve"> </w:t>
            </w:r>
            <w:r>
              <w:rPr>
                <w:spacing w:val="-2"/>
                <w:sz w:val="19"/>
              </w:rPr>
              <w:t>1162,25</w:t>
            </w:r>
          </w:p>
        </w:tc>
      </w:tr>
      <w:tr w:rsidR="00CD6054" w14:paraId="7F7AE00D" w14:textId="77777777">
        <w:trPr>
          <w:trHeight w:val="450"/>
        </w:trPr>
        <w:tc>
          <w:tcPr>
            <w:tcW w:w="2704" w:type="dxa"/>
          </w:tcPr>
          <w:p w14:paraId="69606857" w14:textId="77777777" w:rsidR="00CD6054" w:rsidRDefault="00A44E92">
            <w:pPr>
              <w:pStyle w:val="TableParagraph"/>
              <w:spacing w:before="2"/>
              <w:ind w:left="112"/>
              <w:rPr>
                <w:sz w:val="19"/>
              </w:rPr>
            </w:pPr>
            <w:r>
              <w:rPr>
                <w:sz w:val="19"/>
              </w:rPr>
              <w:t>MARCADOR</w:t>
            </w:r>
            <w:r>
              <w:rPr>
                <w:spacing w:val="45"/>
                <w:sz w:val="19"/>
              </w:rPr>
              <w:t xml:space="preserve"> </w:t>
            </w:r>
            <w:r>
              <w:rPr>
                <w:spacing w:val="-2"/>
                <w:sz w:val="19"/>
              </w:rPr>
              <w:t>GENÉTICO</w:t>
            </w:r>
          </w:p>
        </w:tc>
        <w:tc>
          <w:tcPr>
            <w:tcW w:w="1697" w:type="dxa"/>
          </w:tcPr>
          <w:p w14:paraId="328FC73E" w14:textId="77777777" w:rsidR="00CD6054" w:rsidRDefault="00A44E92">
            <w:pPr>
              <w:pStyle w:val="TableParagraph"/>
              <w:spacing w:before="2"/>
              <w:ind w:left="14" w:right="20"/>
              <w:jc w:val="center"/>
              <w:rPr>
                <w:sz w:val="19"/>
              </w:rPr>
            </w:pPr>
            <w:r>
              <w:rPr>
                <w:spacing w:val="-10"/>
                <w:sz w:val="19"/>
              </w:rPr>
              <w:t>1</w:t>
            </w:r>
          </w:p>
        </w:tc>
        <w:tc>
          <w:tcPr>
            <w:tcW w:w="1592" w:type="dxa"/>
          </w:tcPr>
          <w:p w14:paraId="50DB761B" w14:textId="77777777" w:rsidR="00CD6054" w:rsidRDefault="00A44E92">
            <w:pPr>
              <w:pStyle w:val="TableParagraph"/>
              <w:spacing w:before="2"/>
              <w:ind w:left="19" w:right="1"/>
              <w:jc w:val="center"/>
              <w:rPr>
                <w:sz w:val="19"/>
              </w:rPr>
            </w:pPr>
            <w:r>
              <w:rPr>
                <w:sz w:val="19"/>
              </w:rPr>
              <w:t>R$</w:t>
            </w:r>
            <w:r>
              <w:rPr>
                <w:spacing w:val="12"/>
                <w:sz w:val="19"/>
              </w:rPr>
              <w:t xml:space="preserve"> </w:t>
            </w:r>
            <w:r>
              <w:rPr>
                <w:spacing w:val="-2"/>
                <w:sz w:val="19"/>
              </w:rPr>
              <w:t>3115,00</w:t>
            </w:r>
          </w:p>
        </w:tc>
        <w:tc>
          <w:tcPr>
            <w:tcW w:w="1577" w:type="dxa"/>
          </w:tcPr>
          <w:p w14:paraId="0E4EC8D2" w14:textId="77777777" w:rsidR="00CD6054" w:rsidRDefault="00A44E92">
            <w:pPr>
              <w:pStyle w:val="TableParagraph"/>
              <w:spacing w:before="2"/>
              <w:ind w:left="21" w:right="17"/>
              <w:jc w:val="center"/>
              <w:rPr>
                <w:sz w:val="19"/>
              </w:rPr>
            </w:pPr>
            <w:r>
              <w:rPr>
                <w:sz w:val="19"/>
              </w:rPr>
              <w:t>R$</w:t>
            </w:r>
            <w:r>
              <w:rPr>
                <w:spacing w:val="13"/>
                <w:sz w:val="19"/>
              </w:rPr>
              <w:t xml:space="preserve"> </w:t>
            </w:r>
            <w:r>
              <w:rPr>
                <w:spacing w:val="-2"/>
                <w:sz w:val="19"/>
              </w:rPr>
              <w:t>3115,00</w:t>
            </w:r>
          </w:p>
        </w:tc>
      </w:tr>
      <w:tr w:rsidR="00CD6054" w14:paraId="30E96E85" w14:textId="77777777">
        <w:trPr>
          <w:trHeight w:val="450"/>
        </w:trPr>
        <w:tc>
          <w:tcPr>
            <w:tcW w:w="2704" w:type="dxa"/>
          </w:tcPr>
          <w:p w14:paraId="27F242AB" w14:textId="77777777" w:rsidR="00CD6054" w:rsidRDefault="00A44E92">
            <w:pPr>
              <w:pStyle w:val="TableParagraph"/>
              <w:spacing w:before="18"/>
              <w:ind w:left="112"/>
              <w:rPr>
                <w:sz w:val="19"/>
              </w:rPr>
            </w:pPr>
            <w:r>
              <w:rPr>
                <w:sz w:val="19"/>
              </w:rPr>
              <w:t>ÁLCOOL</w:t>
            </w:r>
            <w:r>
              <w:rPr>
                <w:spacing w:val="28"/>
                <w:sz w:val="19"/>
              </w:rPr>
              <w:t xml:space="preserve"> </w:t>
            </w:r>
            <w:r>
              <w:rPr>
                <w:spacing w:val="-5"/>
                <w:sz w:val="19"/>
              </w:rPr>
              <w:t>70%</w:t>
            </w:r>
          </w:p>
        </w:tc>
        <w:tc>
          <w:tcPr>
            <w:tcW w:w="1697" w:type="dxa"/>
          </w:tcPr>
          <w:p w14:paraId="13F45BFC" w14:textId="77777777" w:rsidR="00CD6054" w:rsidRDefault="00A44E92">
            <w:pPr>
              <w:pStyle w:val="TableParagraph"/>
              <w:spacing w:before="18"/>
              <w:ind w:left="14" w:right="20"/>
              <w:jc w:val="center"/>
              <w:rPr>
                <w:sz w:val="19"/>
              </w:rPr>
            </w:pPr>
            <w:r>
              <w:rPr>
                <w:spacing w:val="-10"/>
                <w:sz w:val="19"/>
              </w:rPr>
              <w:t>6</w:t>
            </w:r>
          </w:p>
        </w:tc>
        <w:tc>
          <w:tcPr>
            <w:tcW w:w="1592" w:type="dxa"/>
          </w:tcPr>
          <w:p w14:paraId="20799F6D" w14:textId="77777777" w:rsidR="00CD6054" w:rsidRDefault="00A44E92">
            <w:pPr>
              <w:pStyle w:val="TableParagraph"/>
              <w:spacing w:before="18"/>
              <w:ind w:left="19" w:right="15"/>
              <w:jc w:val="center"/>
              <w:rPr>
                <w:sz w:val="19"/>
              </w:rPr>
            </w:pPr>
            <w:r>
              <w:rPr>
                <w:sz w:val="19"/>
              </w:rPr>
              <w:t>R$</w:t>
            </w:r>
            <w:r>
              <w:rPr>
                <w:spacing w:val="12"/>
                <w:sz w:val="19"/>
              </w:rPr>
              <w:t xml:space="preserve"> </w:t>
            </w:r>
            <w:r>
              <w:rPr>
                <w:spacing w:val="-4"/>
                <w:sz w:val="19"/>
              </w:rPr>
              <w:t>6,40</w:t>
            </w:r>
          </w:p>
        </w:tc>
        <w:tc>
          <w:tcPr>
            <w:tcW w:w="1577" w:type="dxa"/>
          </w:tcPr>
          <w:p w14:paraId="74E5DA02" w14:textId="77777777" w:rsidR="00CD6054" w:rsidRDefault="00A44E92">
            <w:pPr>
              <w:pStyle w:val="TableParagraph"/>
              <w:spacing w:before="18"/>
              <w:ind w:left="21" w:right="17"/>
              <w:jc w:val="center"/>
              <w:rPr>
                <w:sz w:val="19"/>
              </w:rPr>
            </w:pPr>
            <w:r>
              <w:rPr>
                <w:sz w:val="19"/>
              </w:rPr>
              <w:t>R$</w:t>
            </w:r>
            <w:r>
              <w:rPr>
                <w:spacing w:val="12"/>
                <w:sz w:val="19"/>
              </w:rPr>
              <w:t xml:space="preserve"> </w:t>
            </w:r>
            <w:r>
              <w:rPr>
                <w:spacing w:val="-2"/>
                <w:sz w:val="19"/>
              </w:rPr>
              <w:t>38,40</w:t>
            </w:r>
          </w:p>
        </w:tc>
      </w:tr>
      <w:tr w:rsidR="00CD6054" w14:paraId="630602D4" w14:textId="77777777">
        <w:trPr>
          <w:trHeight w:val="465"/>
        </w:trPr>
        <w:tc>
          <w:tcPr>
            <w:tcW w:w="2704" w:type="dxa"/>
          </w:tcPr>
          <w:p w14:paraId="0641BE76" w14:textId="77777777" w:rsidR="00CD6054" w:rsidRDefault="00A44E92">
            <w:pPr>
              <w:pStyle w:val="TableParagraph"/>
              <w:spacing w:before="18"/>
              <w:ind w:left="112"/>
              <w:rPr>
                <w:sz w:val="19"/>
              </w:rPr>
            </w:pPr>
            <w:r>
              <w:rPr>
                <w:sz w:val="19"/>
              </w:rPr>
              <w:t>ALCOOL</w:t>
            </w:r>
            <w:r>
              <w:rPr>
                <w:spacing w:val="28"/>
                <w:sz w:val="19"/>
              </w:rPr>
              <w:t xml:space="preserve"> </w:t>
            </w:r>
            <w:r>
              <w:rPr>
                <w:spacing w:val="-2"/>
                <w:sz w:val="19"/>
              </w:rPr>
              <w:t>ISOPROPÍLICO</w:t>
            </w:r>
          </w:p>
        </w:tc>
        <w:tc>
          <w:tcPr>
            <w:tcW w:w="1697" w:type="dxa"/>
          </w:tcPr>
          <w:p w14:paraId="233455B0" w14:textId="77777777" w:rsidR="00CD6054" w:rsidRDefault="00A44E92">
            <w:pPr>
              <w:pStyle w:val="TableParagraph"/>
              <w:spacing w:before="18"/>
              <w:ind w:left="14" w:right="20"/>
              <w:jc w:val="center"/>
              <w:rPr>
                <w:sz w:val="19"/>
              </w:rPr>
            </w:pPr>
            <w:r>
              <w:rPr>
                <w:spacing w:val="-10"/>
                <w:sz w:val="19"/>
              </w:rPr>
              <w:t>2</w:t>
            </w:r>
          </w:p>
        </w:tc>
        <w:tc>
          <w:tcPr>
            <w:tcW w:w="1592" w:type="dxa"/>
          </w:tcPr>
          <w:p w14:paraId="29C809D8" w14:textId="77777777" w:rsidR="00CD6054" w:rsidRDefault="00A44E92">
            <w:pPr>
              <w:pStyle w:val="TableParagraph"/>
              <w:spacing w:before="18"/>
              <w:ind w:left="19"/>
              <w:jc w:val="center"/>
              <w:rPr>
                <w:sz w:val="19"/>
              </w:rPr>
            </w:pPr>
            <w:r>
              <w:rPr>
                <w:sz w:val="19"/>
              </w:rPr>
              <w:t>R$</w:t>
            </w:r>
            <w:r>
              <w:rPr>
                <w:spacing w:val="12"/>
                <w:sz w:val="19"/>
              </w:rPr>
              <w:t xml:space="preserve"> </w:t>
            </w:r>
            <w:r>
              <w:rPr>
                <w:spacing w:val="-2"/>
                <w:sz w:val="19"/>
              </w:rPr>
              <w:t>21,90</w:t>
            </w:r>
          </w:p>
        </w:tc>
        <w:tc>
          <w:tcPr>
            <w:tcW w:w="1577" w:type="dxa"/>
          </w:tcPr>
          <w:p w14:paraId="7A2E7330" w14:textId="77777777" w:rsidR="00CD6054" w:rsidRDefault="00A44E92">
            <w:pPr>
              <w:pStyle w:val="TableParagraph"/>
              <w:spacing w:before="18"/>
              <w:ind w:left="21" w:right="17"/>
              <w:jc w:val="center"/>
              <w:rPr>
                <w:sz w:val="19"/>
              </w:rPr>
            </w:pPr>
            <w:r>
              <w:rPr>
                <w:sz w:val="19"/>
              </w:rPr>
              <w:t>R$</w:t>
            </w:r>
            <w:r>
              <w:rPr>
                <w:spacing w:val="12"/>
                <w:sz w:val="19"/>
              </w:rPr>
              <w:t xml:space="preserve"> </w:t>
            </w:r>
            <w:r>
              <w:rPr>
                <w:spacing w:val="-2"/>
                <w:sz w:val="19"/>
              </w:rPr>
              <w:t>43,80</w:t>
            </w:r>
          </w:p>
        </w:tc>
      </w:tr>
      <w:tr w:rsidR="00CD6054" w14:paraId="6974CB42" w14:textId="77777777">
        <w:trPr>
          <w:trHeight w:val="495"/>
        </w:trPr>
        <w:tc>
          <w:tcPr>
            <w:tcW w:w="2704" w:type="dxa"/>
          </w:tcPr>
          <w:p w14:paraId="78A76BBC" w14:textId="77777777" w:rsidR="00CD6054" w:rsidRDefault="00A44E92">
            <w:pPr>
              <w:pStyle w:val="TableParagraph"/>
              <w:spacing w:before="78"/>
              <w:ind w:left="112"/>
              <w:rPr>
                <w:sz w:val="19"/>
              </w:rPr>
            </w:pPr>
            <w:r>
              <w:rPr>
                <w:sz w:val="19"/>
              </w:rPr>
              <w:t>PLACAS</w:t>
            </w:r>
            <w:r>
              <w:rPr>
                <w:spacing w:val="29"/>
                <w:sz w:val="19"/>
              </w:rPr>
              <w:t xml:space="preserve"> </w:t>
            </w:r>
            <w:r>
              <w:rPr>
                <w:sz w:val="19"/>
              </w:rPr>
              <w:t>PCR</w:t>
            </w:r>
            <w:r>
              <w:rPr>
                <w:spacing w:val="26"/>
                <w:sz w:val="19"/>
              </w:rPr>
              <w:t xml:space="preserve"> </w:t>
            </w:r>
            <w:r>
              <w:rPr>
                <w:sz w:val="19"/>
              </w:rPr>
              <w:t>–</w:t>
            </w:r>
            <w:r>
              <w:rPr>
                <w:spacing w:val="10"/>
                <w:sz w:val="19"/>
              </w:rPr>
              <w:t xml:space="preserve"> </w:t>
            </w:r>
            <w:r>
              <w:rPr>
                <w:sz w:val="19"/>
              </w:rPr>
              <w:t>96</w:t>
            </w:r>
            <w:r>
              <w:rPr>
                <w:spacing w:val="9"/>
                <w:sz w:val="19"/>
              </w:rPr>
              <w:t xml:space="preserve"> </w:t>
            </w:r>
            <w:r>
              <w:rPr>
                <w:spacing w:val="-4"/>
                <w:sz w:val="19"/>
              </w:rPr>
              <w:t>poços</w:t>
            </w:r>
          </w:p>
        </w:tc>
        <w:tc>
          <w:tcPr>
            <w:tcW w:w="1697" w:type="dxa"/>
          </w:tcPr>
          <w:p w14:paraId="49DCFAA4" w14:textId="77777777" w:rsidR="00CD6054" w:rsidRDefault="00A44E92">
            <w:pPr>
              <w:pStyle w:val="TableParagraph"/>
              <w:spacing w:before="78"/>
              <w:ind w:left="20" w:right="6"/>
              <w:jc w:val="center"/>
              <w:rPr>
                <w:sz w:val="19"/>
              </w:rPr>
            </w:pPr>
            <w:r>
              <w:rPr>
                <w:spacing w:val="-5"/>
                <w:sz w:val="19"/>
              </w:rPr>
              <w:t>12</w:t>
            </w:r>
          </w:p>
        </w:tc>
        <w:tc>
          <w:tcPr>
            <w:tcW w:w="1592" w:type="dxa"/>
          </w:tcPr>
          <w:p w14:paraId="3D883C6C" w14:textId="77777777" w:rsidR="00CD6054" w:rsidRDefault="00A44E92">
            <w:pPr>
              <w:pStyle w:val="TableParagraph"/>
              <w:spacing w:before="78"/>
              <w:ind w:left="19" w:right="16"/>
              <w:jc w:val="center"/>
              <w:rPr>
                <w:sz w:val="19"/>
              </w:rPr>
            </w:pPr>
            <w:r>
              <w:rPr>
                <w:sz w:val="19"/>
              </w:rPr>
              <w:t>R$</w:t>
            </w:r>
            <w:r>
              <w:rPr>
                <w:spacing w:val="12"/>
                <w:sz w:val="19"/>
              </w:rPr>
              <w:t xml:space="preserve"> </w:t>
            </w:r>
            <w:r>
              <w:rPr>
                <w:spacing w:val="-2"/>
                <w:sz w:val="19"/>
              </w:rPr>
              <w:t>220,92</w:t>
            </w:r>
          </w:p>
        </w:tc>
        <w:tc>
          <w:tcPr>
            <w:tcW w:w="1577" w:type="dxa"/>
          </w:tcPr>
          <w:p w14:paraId="2E82C2B8" w14:textId="77777777" w:rsidR="00CD6054" w:rsidRDefault="00A44E92">
            <w:pPr>
              <w:pStyle w:val="TableParagraph"/>
              <w:spacing w:before="78"/>
              <w:ind w:left="21" w:right="3"/>
              <w:jc w:val="center"/>
              <w:rPr>
                <w:sz w:val="19"/>
              </w:rPr>
            </w:pPr>
            <w:r>
              <w:rPr>
                <w:sz w:val="19"/>
              </w:rPr>
              <w:t>R$</w:t>
            </w:r>
            <w:r>
              <w:rPr>
                <w:spacing w:val="12"/>
                <w:sz w:val="19"/>
              </w:rPr>
              <w:t xml:space="preserve"> </w:t>
            </w:r>
            <w:r>
              <w:rPr>
                <w:spacing w:val="-2"/>
                <w:sz w:val="19"/>
              </w:rPr>
              <w:t>2.651,04</w:t>
            </w:r>
          </w:p>
        </w:tc>
      </w:tr>
      <w:tr w:rsidR="00CD6054" w14:paraId="0FBC6143" w14:textId="77777777">
        <w:trPr>
          <w:trHeight w:val="510"/>
        </w:trPr>
        <w:tc>
          <w:tcPr>
            <w:tcW w:w="2704" w:type="dxa"/>
          </w:tcPr>
          <w:p w14:paraId="40A68894" w14:textId="77777777" w:rsidR="00CD6054" w:rsidRDefault="00A44E92">
            <w:pPr>
              <w:pStyle w:val="TableParagraph"/>
              <w:spacing w:before="93"/>
              <w:ind w:left="112"/>
              <w:rPr>
                <w:sz w:val="19"/>
              </w:rPr>
            </w:pPr>
            <w:r>
              <w:rPr>
                <w:sz w:val="19"/>
              </w:rPr>
              <w:t>ACETATO</w:t>
            </w:r>
            <w:r>
              <w:rPr>
                <w:spacing w:val="41"/>
                <w:sz w:val="19"/>
              </w:rPr>
              <w:t xml:space="preserve"> </w:t>
            </w:r>
            <w:r>
              <w:rPr>
                <w:sz w:val="19"/>
              </w:rPr>
              <w:t>DE</w:t>
            </w:r>
            <w:r>
              <w:rPr>
                <w:spacing w:val="15"/>
                <w:sz w:val="19"/>
              </w:rPr>
              <w:t xml:space="preserve"> </w:t>
            </w:r>
            <w:r>
              <w:rPr>
                <w:spacing w:val="-2"/>
                <w:sz w:val="19"/>
              </w:rPr>
              <w:t>AMÔNIO</w:t>
            </w:r>
          </w:p>
        </w:tc>
        <w:tc>
          <w:tcPr>
            <w:tcW w:w="1697" w:type="dxa"/>
          </w:tcPr>
          <w:p w14:paraId="4FD27B4B" w14:textId="77777777" w:rsidR="00CD6054" w:rsidRDefault="00A44E92">
            <w:pPr>
              <w:pStyle w:val="TableParagraph"/>
              <w:spacing w:before="93"/>
              <w:ind w:left="20" w:right="6"/>
              <w:jc w:val="center"/>
              <w:rPr>
                <w:sz w:val="19"/>
              </w:rPr>
            </w:pPr>
            <w:r>
              <w:rPr>
                <w:spacing w:val="-5"/>
                <w:sz w:val="19"/>
              </w:rPr>
              <w:t>01</w:t>
            </w:r>
          </w:p>
        </w:tc>
        <w:tc>
          <w:tcPr>
            <w:tcW w:w="1592" w:type="dxa"/>
          </w:tcPr>
          <w:p w14:paraId="58D0CACE" w14:textId="77777777" w:rsidR="00CD6054" w:rsidRDefault="00A44E92">
            <w:pPr>
              <w:pStyle w:val="TableParagraph"/>
              <w:spacing w:before="93"/>
              <w:ind w:left="19" w:right="16"/>
              <w:jc w:val="center"/>
              <w:rPr>
                <w:sz w:val="19"/>
              </w:rPr>
            </w:pPr>
            <w:r>
              <w:rPr>
                <w:sz w:val="19"/>
              </w:rPr>
              <w:t>R$</w:t>
            </w:r>
            <w:r>
              <w:rPr>
                <w:spacing w:val="12"/>
                <w:sz w:val="19"/>
              </w:rPr>
              <w:t xml:space="preserve"> </w:t>
            </w:r>
            <w:r>
              <w:rPr>
                <w:spacing w:val="-2"/>
                <w:sz w:val="19"/>
              </w:rPr>
              <w:t>100,00</w:t>
            </w:r>
          </w:p>
        </w:tc>
        <w:tc>
          <w:tcPr>
            <w:tcW w:w="1577" w:type="dxa"/>
          </w:tcPr>
          <w:p w14:paraId="5D012384" w14:textId="77777777" w:rsidR="00CD6054" w:rsidRDefault="00A44E92">
            <w:pPr>
              <w:pStyle w:val="TableParagraph"/>
              <w:spacing w:before="93"/>
              <w:ind w:left="21" w:right="3"/>
              <w:jc w:val="center"/>
              <w:rPr>
                <w:sz w:val="19"/>
              </w:rPr>
            </w:pPr>
            <w:r>
              <w:rPr>
                <w:sz w:val="19"/>
              </w:rPr>
              <w:t>R$</w:t>
            </w:r>
            <w:r>
              <w:rPr>
                <w:spacing w:val="12"/>
                <w:sz w:val="19"/>
              </w:rPr>
              <w:t xml:space="preserve"> </w:t>
            </w:r>
            <w:r>
              <w:rPr>
                <w:spacing w:val="-2"/>
                <w:sz w:val="19"/>
              </w:rPr>
              <w:t>100,00</w:t>
            </w:r>
          </w:p>
        </w:tc>
      </w:tr>
      <w:tr w:rsidR="00CD6054" w14:paraId="1A0CC55E" w14:textId="77777777">
        <w:trPr>
          <w:trHeight w:val="510"/>
        </w:trPr>
        <w:tc>
          <w:tcPr>
            <w:tcW w:w="2704" w:type="dxa"/>
          </w:tcPr>
          <w:p w14:paraId="48EC06CE" w14:textId="77777777" w:rsidR="00CD6054" w:rsidRDefault="00A44E92">
            <w:pPr>
              <w:pStyle w:val="TableParagraph"/>
              <w:spacing w:before="77"/>
              <w:ind w:left="112"/>
              <w:rPr>
                <w:sz w:val="19"/>
              </w:rPr>
            </w:pPr>
            <w:r>
              <w:rPr>
                <w:sz w:val="19"/>
              </w:rPr>
              <w:t>AZUL</w:t>
            </w:r>
            <w:r>
              <w:rPr>
                <w:spacing w:val="25"/>
                <w:sz w:val="19"/>
              </w:rPr>
              <w:t xml:space="preserve"> </w:t>
            </w:r>
            <w:r>
              <w:rPr>
                <w:sz w:val="19"/>
              </w:rPr>
              <w:t>DE</w:t>
            </w:r>
            <w:r>
              <w:rPr>
                <w:spacing w:val="11"/>
                <w:sz w:val="19"/>
              </w:rPr>
              <w:t xml:space="preserve"> </w:t>
            </w:r>
            <w:r>
              <w:rPr>
                <w:spacing w:val="-2"/>
                <w:sz w:val="19"/>
              </w:rPr>
              <w:t>METILENO</w:t>
            </w:r>
          </w:p>
        </w:tc>
        <w:tc>
          <w:tcPr>
            <w:tcW w:w="1697" w:type="dxa"/>
          </w:tcPr>
          <w:p w14:paraId="21CDE0E8" w14:textId="77777777" w:rsidR="00CD6054" w:rsidRDefault="00A44E92">
            <w:pPr>
              <w:pStyle w:val="TableParagraph"/>
              <w:spacing w:before="77"/>
              <w:ind w:left="14" w:right="20"/>
              <w:jc w:val="center"/>
              <w:rPr>
                <w:sz w:val="19"/>
              </w:rPr>
            </w:pPr>
            <w:r>
              <w:rPr>
                <w:spacing w:val="-10"/>
                <w:sz w:val="19"/>
              </w:rPr>
              <w:t>1</w:t>
            </w:r>
          </w:p>
        </w:tc>
        <w:tc>
          <w:tcPr>
            <w:tcW w:w="1592" w:type="dxa"/>
          </w:tcPr>
          <w:p w14:paraId="7239F67A" w14:textId="77777777" w:rsidR="00CD6054" w:rsidRDefault="00A44E92">
            <w:pPr>
              <w:pStyle w:val="TableParagraph"/>
              <w:spacing w:before="77"/>
              <w:ind w:left="19" w:right="16"/>
              <w:jc w:val="center"/>
              <w:rPr>
                <w:sz w:val="19"/>
              </w:rPr>
            </w:pPr>
            <w:r>
              <w:rPr>
                <w:sz w:val="19"/>
              </w:rPr>
              <w:t>R$</w:t>
            </w:r>
            <w:r>
              <w:rPr>
                <w:spacing w:val="12"/>
                <w:sz w:val="19"/>
              </w:rPr>
              <w:t xml:space="preserve"> </w:t>
            </w:r>
            <w:r>
              <w:rPr>
                <w:spacing w:val="-2"/>
                <w:sz w:val="19"/>
              </w:rPr>
              <w:t>187,00</w:t>
            </w:r>
          </w:p>
        </w:tc>
        <w:tc>
          <w:tcPr>
            <w:tcW w:w="1577" w:type="dxa"/>
          </w:tcPr>
          <w:p w14:paraId="34B18A20" w14:textId="77777777" w:rsidR="00CD6054" w:rsidRDefault="00A44E92">
            <w:pPr>
              <w:pStyle w:val="TableParagraph"/>
              <w:spacing w:before="77"/>
              <w:ind w:left="21" w:right="3"/>
              <w:jc w:val="center"/>
              <w:rPr>
                <w:sz w:val="19"/>
              </w:rPr>
            </w:pPr>
            <w:r>
              <w:rPr>
                <w:sz w:val="19"/>
              </w:rPr>
              <w:t>R$</w:t>
            </w:r>
            <w:r>
              <w:rPr>
                <w:spacing w:val="12"/>
                <w:sz w:val="19"/>
              </w:rPr>
              <w:t xml:space="preserve"> </w:t>
            </w:r>
            <w:r>
              <w:rPr>
                <w:spacing w:val="-2"/>
                <w:sz w:val="19"/>
              </w:rPr>
              <w:t>187,00</w:t>
            </w:r>
          </w:p>
        </w:tc>
      </w:tr>
      <w:tr w:rsidR="00CD6054" w14:paraId="2AA51AAF" w14:textId="77777777">
        <w:trPr>
          <w:trHeight w:val="450"/>
        </w:trPr>
        <w:tc>
          <w:tcPr>
            <w:tcW w:w="2704" w:type="dxa"/>
          </w:tcPr>
          <w:p w14:paraId="76FC7585" w14:textId="77777777" w:rsidR="00CD6054" w:rsidRDefault="00A44E92">
            <w:pPr>
              <w:pStyle w:val="TableParagraph"/>
              <w:spacing w:before="2"/>
              <w:ind w:left="112"/>
              <w:rPr>
                <w:b/>
                <w:sz w:val="19"/>
              </w:rPr>
            </w:pPr>
            <w:r>
              <w:rPr>
                <w:b/>
                <w:sz w:val="19"/>
              </w:rPr>
              <w:t>CUSTO</w:t>
            </w:r>
            <w:r>
              <w:rPr>
                <w:b/>
                <w:spacing w:val="26"/>
                <w:sz w:val="19"/>
              </w:rPr>
              <w:t xml:space="preserve"> </w:t>
            </w:r>
            <w:r>
              <w:rPr>
                <w:b/>
                <w:spacing w:val="-2"/>
                <w:sz w:val="19"/>
              </w:rPr>
              <w:t>TOTAL</w:t>
            </w:r>
          </w:p>
        </w:tc>
        <w:tc>
          <w:tcPr>
            <w:tcW w:w="1697" w:type="dxa"/>
          </w:tcPr>
          <w:p w14:paraId="4E356F5E" w14:textId="77777777" w:rsidR="00CD6054" w:rsidRDefault="00CD6054">
            <w:pPr>
              <w:pStyle w:val="TableParagraph"/>
            </w:pPr>
          </w:p>
        </w:tc>
        <w:tc>
          <w:tcPr>
            <w:tcW w:w="1592" w:type="dxa"/>
          </w:tcPr>
          <w:p w14:paraId="72FE5352" w14:textId="77777777" w:rsidR="00CD6054" w:rsidRDefault="00CD6054">
            <w:pPr>
              <w:pStyle w:val="TableParagraph"/>
            </w:pPr>
          </w:p>
        </w:tc>
        <w:tc>
          <w:tcPr>
            <w:tcW w:w="1577" w:type="dxa"/>
          </w:tcPr>
          <w:p w14:paraId="21CF5964" w14:textId="77777777" w:rsidR="00CD6054" w:rsidRDefault="00A44E92">
            <w:pPr>
              <w:pStyle w:val="TableParagraph"/>
              <w:spacing w:before="95"/>
              <w:ind w:left="21"/>
              <w:jc w:val="center"/>
              <w:rPr>
                <w:b/>
              </w:rPr>
            </w:pPr>
            <w:r>
              <w:rPr>
                <w:b/>
              </w:rPr>
              <w:t>R$</w:t>
            </w:r>
            <w:r>
              <w:rPr>
                <w:b/>
                <w:spacing w:val="20"/>
              </w:rPr>
              <w:t xml:space="preserve"> </w:t>
            </w:r>
            <w:r>
              <w:rPr>
                <w:b/>
                <w:spacing w:val="-2"/>
              </w:rPr>
              <w:t>8.804,75</w:t>
            </w:r>
          </w:p>
        </w:tc>
      </w:tr>
    </w:tbl>
    <w:p w14:paraId="1AFD7EBF" w14:textId="77777777" w:rsidR="00CD6054" w:rsidRDefault="00CD6054">
      <w:pPr>
        <w:pStyle w:val="BodyText"/>
        <w:rPr>
          <w:b/>
        </w:rPr>
      </w:pPr>
    </w:p>
    <w:p w14:paraId="09F430B1" w14:textId="77777777" w:rsidR="00CD6054" w:rsidRDefault="00CD6054">
      <w:pPr>
        <w:pStyle w:val="BodyText"/>
        <w:rPr>
          <w:b/>
        </w:rPr>
      </w:pPr>
    </w:p>
    <w:p w14:paraId="77FCBED4" w14:textId="77777777" w:rsidR="00CD6054" w:rsidRDefault="00CD6054">
      <w:pPr>
        <w:pStyle w:val="BodyText"/>
        <w:rPr>
          <w:b/>
        </w:rPr>
      </w:pPr>
    </w:p>
    <w:p w14:paraId="3631C4A0" w14:textId="77777777" w:rsidR="00CD6054" w:rsidRDefault="00CD6054">
      <w:pPr>
        <w:pStyle w:val="BodyText"/>
        <w:rPr>
          <w:b/>
        </w:rPr>
      </w:pPr>
    </w:p>
    <w:p w14:paraId="2E510079" w14:textId="77777777" w:rsidR="00CD6054" w:rsidRDefault="00CD6054">
      <w:pPr>
        <w:pStyle w:val="BodyText"/>
        <w:rPr>
          <w:b/>
        </w:rPr>
      </w:pPr>
    </w:p>
    <w:p w14:paraId="748BED55" w14:textId="77777777" w:rsidR="00CD6054" w:rsidRDefault="00CD6054">
      <w:pPr>
        <w:pStyle w:val="BodyText"/>
        <w:spacing w:before="12"/>
        <w:rPr>
          <w:b/>
        </w:rPr>
      </w:pPr>
    </w:p>
    <w:p w14:paraId="371CCBBE" w14:textId="77777777" w:rsidR="00CD6054" w:rsidRDefault="00A44E92">
      <w:pPr>
        <w:pStyle w:val="ListParagraph"/>
        <w:numPr>
          <w:ilvl w:val="0"/>
          <w:numId w:val="7"/>
        </w:numPr>
        <w:tabs>
          <w:tab w:val="left" w:pos="957"/>
        </w:tabs>
        <w:ind w:left="957" w:hanging="360"/>
        <w:rPr>
          <w:b/>
          <w:sz w:val="24"/>
        </w:rPr>
      </w:pPr>
      <w:r>
        <w:rPr>
          <w:b/>
          <w:sz w:val="24"/>
        </w:rPr>
        <w:t>Referências</w:t>
      </w:r>
      <w:r>
        <w:rPr>
          <w:b/>
          <w:spacing w:val="-5"/>
          <w:sz w:val="24"/>
        </w:rPr>
        <w:t xml:space="preserve"> </w:t>
      </w:r>
      <w:r>
        <w:rPr>
          <w:b/>
          <w:spacing w:val="-2"/>
          <w:sz w:val="24"/>
        </w:rPr>
        <w:t>Bibliográficas:</w:t>
      </w:r>
    </w:p>
    <w:p w14:paraId="66C10738" w14:textId="77777777" w:rsidR="00CD6054" w:rsidRDefault="00CD6054">
      <w:pPr>
        <w:pStyle w:val="BodyText"/>
        <w:spacing w:before="169"/>
        <w:rPr>
          <w:b/>
        </w:rPr>
      </w:pPr>
    </w:p>
    <w:p w14:paraId="163EEF53" w14:textId="77777777" w:rsidR="00CD6054" w:rsidRDefault="00A44E92">
      <w:pPr>
        <w:pStyle w:val="ListParagraph"/>
        <w:numPr>
          <w:ilvl w:val="0"/>
          <w:numId w:val="2"/>
        </w:numPr>
        <w:tabs>
          <w:tab w:val="left" w:pos="1648"/>
        </w:tabs>
        <w:spacing w:line="360" w:lineRule="auto"/>
        <w:ind w:left="236" w:right="257" w:firstLine="706"/>
        <w:rPr>
          <w:sz w:val="24"/>
        </w:rPr>
      </w:pPr>
      <w:r>
        <w:rPr>
          <w:sz w:val="24"/>
        </w:rPr>
        <w:t>Akram Z, Abduljabbar, T, Abu Hassan MI, Javed F &amp; Vohra F. Cytokine profile in chronic periodontitis patients with and without obesity: a systematic review and meta-analysis.</w:t>
      </w:r>
      <w:r>
        <w:rPr>
          <w:spacing w:val="40"/>
          <w:sz w:val="24"/>
        </w:rPr>
        <w:t xml:space="preserve"> </w:t>
      </w:r>
      <w:r>
        <w:rPr>
          <w:sz w:val="24"/>
        </w:rPr>
        <w:t>Disease Markers, 2016. 2016 (2), 4801418.</w:t>
      </w:r>
    </w:p>
    <w:p w14:paraId="076FFFEC" w14:textId="77777777" w:rsidR="00CD6054" w:rsidRDefault="00A44E92">
      <w:pPr>
        <w:pStyle w:val="ListParagraph"/>
        <w:numPr>
          <w:ilvl w:val="0"/>
          <w:numId w:val="2"/>
        </w:numPr>
        <w:tabs>
          <w:tab w:val="left" w:pos="1648"/>
        </w:tabs>
        <w:spacing w:line="364" w:lineRule="auto"/>
        <w:ind w:left="236" w:right="261" w:firstLine="706"/>
        <w:rPr>
          <w:sz w:val="24"/>
        </w:rPr>
      </w:pPr>
      <w:r>
        <w:rPr>
          <w:color w:val="202020"/>
          <w:sz w:val="24"/>
        </w:rPr>
        <w:t xml:space="preserve">Akram Z, Al-Shareef SA, Daood U, et al. Bactericidal Efficacy of Photodynamic Therapy Against Periodontal Pathogens in Periodontal Disease: A Systematic Review. </w:t>
      </w:r>
      <w:r>
        <w:rPr>
          <w:i/>
          <w:color w:val="202020"/>
          <w:sz w:val="24"/>
        </w:rPr>
        <w:t>Photomed Laser Surg</w:t>
      </w:r>
      <w:r>
        <w:rPr>
          <w:color w:val="202020"/>
          <w:sz w:val="24"/>
        </w:rPr>
        <w:t>. 2016;34(4):137-149. doi:10.1089/pho.2015.4076</w:t>
      </w:r>
    </w:p>
    <w:p w14:paraId="6EB9C01F" w14:textId="77777777" w:rsidR="00CD6054" w:rsidRDefault="00A44E92">
      <w:pPr>
        <w:pStyle w:val="ListParagraph"/>
        <w:numPr>
          <w:ilvl w:val="0"/>
          <w:numId w:val="2"/>
        </w:numPr>
        <w:tabs>
          <w:tab w:val="left" w:pos="1648"/>
        </w:tabs>
        <w:spacing w:line="364" w:lineRule="auto"/>
        <w:ind w:left="236" w:right="257" w:firstLine="706"/>
        <w:rPr>
          <w:sz w:val="24"/>
        </w:rPr>
      </w:pPr>
      <w:r>
        <w:rPr>
          <w:sz w:val="24"/>
        </w:rPr>
        <w:t>Albiger J &amp; Bay I. Problems and proposals for recording gingivits and plaque. International Dental Journal. 1975. 25, 229-235.</w:t>
      </w:r>
    </w:p>
    <w:p w14:paraId="670C58B9" w14:textId="77777777" w:rsidR="00CD6054" w:rsidRDefault="00A44E92">
      <w:pPr>
        <w:pStyle w:val="ListParagraph"/>
        <w:numPr>
          <w:ilvl w:val="0"/>
          <w:numId w:val="2"/>
        </w:numPr>
        <w:tabs>
          <w:tab w:val="left" w:pos="1648"/>
        </w:tabs>
        <w:spacing w:line="364" w:lineRule="auto"/>
        <w:ind w:left="236" w:right="244" w:firstLine="706"/>
        <w:rPr>
          <w:sz w:val="24"/>
        </w:rPr>
      </w:pPr>
      <w:r>
        <w:rPr>
          <w:color w:val="202020"/>
          <w:sz w:val="24"/>
        </w:rPr>
        <w:t xml:space="preserve">Andersen R, Loebel N, Hammond D, Wilson M. Treatment of periodontal disease by photodisinfection compared to scaling and root planing. </w:t>
      </w:r>
      <w:r>
        <w:rPr>
          <w:i/>
          <w:color w:val="202020"/>
          <w:sz w:val="24"/>
        </w:rPr>
        <w:t>J Clin Dent</w:t>
      </w:r>
      <w:r>
        <w:rPr>
          <w:color w:val="202020"/>
          <w:sz w:val="24"/>
        </w:rPr>
        <w:t>.</w:t>
      </w:r>
      <w:r>
        <w:rPr>
          <w:color w:val="202020"/>
          <w:spacing w:val="40"/>
          <w:sz w:val="24"/>
        </w:rPr>
        <w:t xml:space="preserve"> </w:t>
      </w:r>
      <w:r>
        <w:rPr>
          <w:color w:val="202020"/>
          <w:spacing w:val="-2"/>
          <w:sz w:val="24"/>
        </w:rPr>
        <w:t>2007;18(2):34-38.</w:t>
      </w:r>
    </w:p>
    <w:p w14:paraId="5FB4ADF6" w14:textId="77777777" w:rsidR="00CD6054" w:rsidRDefault="00A44E92">
      <w:pPr>
        <w:pStyle w:val="ListParagraph"/>
        <w:numPr>
          <w:ilvl w:val="0"/>
          <w:numId w:val="2"/>
        </w:numPr>
        <w:tabs>
          <w:tab w:val="left" w:pos="1648"/>
        </w:tabs>
        <w:spacing w:line="364" w:lineRule="auto"/>
        <w:ind w:left="236" w:right="254" w:firstLine="706"/>
        <w:rPr>
          <w:sz w:val="24"/>
        </w:rPr>
      </w:pPr>
      <w:r>
        <w:rPr>
          <w:color w:val="202020"/>
          <w:sz w:val="24"/>
        </w:rPr>
        <w:t xml:space="preserve">Arnar DO &amp; Palsson R. Genetic of common complex diseases: a view from Iceland. </w:t>
      </w:r>
      <w:r>
        <w:rPr>
          <w:i/>
          <w:color w:val="202020"/>
          <w:sz w:val="24"/>
        </w:rPr>
        <w:t>European Journal of Internal</w:t>
      </w:r>
      <w:r>
        <w:rPr>
          <w:i/>
          <w:color w:val="202020"/>
          <w:spacing w:val="38"/>
          <w:sz w:val="24"/>
        </w:rPr>
        <w:t xml:space="preserve"> </w:t>
      </w:r>
      <w:r>
        <w:rPr>
          <w:i/>
          <w:color w:val="202020"/>
          <w:sz w:val="24"/>
        </w:rPr>
        <w:t>Medicine</w:t>
      </w:r>
      <w:r>
        <w:rPr>
          <w:color w:val="202020"/>
          <w:sz w:val="24"/>
        </w:rPr>
        <w:t>,</w:t>
      </w:r>
      <w:r>
        <w:rPr>
          <w:color w:val="202020"/>
          <w:spacing w:val="40"/>
          <w:sz w:val="24"/>
        </w:rPr>
        <w:t xml:space="preserve"> </w:t>
      </w:r>
      <w:r>
        <w:rPr>
          <w:color w:val="202020"/>
          <w:sz w:val="24"/>
        </w:rPr>
        <w:t>v. 41, p. 3-9, 2017.</w:t>
      </w:r>
    </w:p>
    <w:p w14:paraId="3182A0C4" w14:textId="77777777" w:rsidR="00CD6054" w:rsidRDefault="00A44E92">
      <w:pPr>
        <w:pStyle w:val="ListParagraph"/>
        <w:numPr>
          <w:ilvl w:val="0"/>
          <w:numId w:val="2"/>
        </w:numPr>
        <w:tabs>
          <w:tab w:val="left" w:pos="1648"/>
        </w:tabs>
        <w:spacing w:line="364" w:lineRule="auto"/>
        <w:ind w:left="236" w:right="257" w:firstLine="706"/>
        <w:rPr>
          <w:sz w:val="24"/>
        </w:rPr>
      </w:pPr>
      <w:r>
        <w:rPr>
          <w:color w:val="202020"/>
          <w:sz w:val="24"/>
        </w:rPr>
        <w:t>Azaripour A, Dittrich S, Van Noorden CJF, Willershausen B. Efficacy of photodynamic therapy as adjunct treatment of chronic periodontitis: a systematic review and meta-analysis.</w:t>
      </w:r>
      <w:r>
        <w:rPr>
          <w:color w:val="202020"/>
          <w:spacing w:val="40"/>
          <w:sz w:val="24"/>
        </w:rPr>
        <w:t xml:space="preserve"> </w:t>
      </w:r>
      <w:r>
        <w:rPr>
          <w:i/>
          <w:color w:val="202020"/>
          <w:sz w:val="24"/>
        </w:rPr>
        <w:t>Lasers Med Sci</w:t>
      </w:r>
      <w:r>
        <w:rPr>
          <w:color w:val="202020"/>
          <w:sz w:val="24"/>
        </w:rPr>
        <w:t>. 2018;33(2):407-423. doi:10.1007/s10103-017-2383-7</w:t>
      </w:r>
    </w:p>
    <w:p w14:paraId="7B5E5657" w14:textId="77777777" w:rsidR="00CD6054" w:rsidRDefault="00CD6054">
      <w:pPr>
        <w:spacing w:line="364" w:lineRule="auto"/>
        <w:jc w:val="both"/>
        <w:rPr>
          <w:sz w:val="24"/>
        </w:rPr>
        <w:sectPr w:rsidR="00CD6054">
          <w:type w:val="continuous"/>
          <w:pgSz w:w="11910" w:h="16850"/>
          <w:pgMar w:top="1680" w:right="880" w:bottom="280" w:left="1460" w:header="720" w:footer="720" w:gutter="0"/>
          <w:cols w:space="720"/>
        </w:sectPr>
      </w:pPr>
    </w:p>
    <w:p w14:paraId="6D235152" w14:textId="77777777" w:rsidR="00CD6054" w:rsidRDefault="00A44E92">
      <w:pPr>
        <w:pStyle w:val="ListParagraph"/>
        <w:numPr>
          <w:ilvl w:val="0"/>
          <w:numId w:val="2"/>
        </w:numPr>
        <w:tabs>
          <w:tab w:val="left" w:pos="1648"/>
        </w:tabs>
        <w:spacing w:before="68" w:line="360" w:lineRule="auto"/>
        <w:ind w:left="236" w:right="245" w:firstLine="706"/>
        <w:rPr>
          <w:sz w:val="24"/>
        </w:rPr>
      </w:pPr>
      <w:r>
        <w:rPr>
          <w:sz w:val="24"/>
        </w:rPr>
        <w:lastRenderedPageBreak/>
        <w:t>Baioni CS, de Souza CM, Ribeiro Braosi AP, Luczyszyn SM, Dias da Silva MA, Ignácio SA, Naval Machado MA, Benato Martins WD, Riella MC, Pecoits-Filho R, Trevilatto PC. Analysis of the association of polymorphism in the oteoprotegerin gene with susceptibility to chronic kidney disease and periodontitis. J Periodontal Res. 2008 Oct;43(5):578-84. doi: 10.1111/j.1600-0765.2008.01098.x. Epub 2008 Jul 4.</w:t>
      </w:r>
      <w:r>
        <w:rPr>
          <w:spacing w:val="40"/>
          <w:sz w:val="24"/>
        </w:rPr>
        <w:t xml:space="preserve"> </w:t>
      </w:r>
      <w:r>
        <w:rPr>
          <w:spacing w:val="-2"/>
          <w:sz w:val="24"/>
        </w:rPr>
        <w:t>PMID:18624938.</w:t>
      </w:r>
    </w:p>
    <w:p w14:paraId="7EF3B198" w14:textId="77777777" w:rsidR="00CD6054" w:rsidRDefault="00A44E92">
      <w:pPr>
        <w:pStyle w:val="ListParagraph"/>
        <w:numPr>
          <w:ilvl w:val="0"/>
          <w:numId w:val="2"/>
        </w:numPr>
        <w:tabs>
          <w:tab w:val="left" w:pos="1648"/>
        </w:tabs>
        <w:spacing w:before="8" w:line="360" w:lineRule="auto"/>
        <w:ind w:left="236" w:right="245" w:firstLine="706"/>
        <w:rPr>
          <w:sz w:val="24"/>
        </w:rPr>
      </w:pPr>
      <w:r>
        <w:rPr>
          <w:sz w:val="24"/>
        </w:rPr>
        <w:t>Bahekar A.A., Singh S, Saha S, Molnar J, Arora R. The prevalence and incidence of coronary heart disease is significantly increased in periodontitis:</w:t>
      </w:r>
      <w:r>
        <w:rPr>
          <w:spacing w:val="-15"/>
          <w:sz w:val="24"/>
        </w:rPr>
        <w:t xml:space="preserve"> </w:t>
      </w:r>
      <w:r>
        <w:rPr>
          <w:sz w:val="24"/>
        </w:rPr>
        <w:t>a</w:t>
      </w:r>
      <w:r>
        <w:rPr>
          <w:spacing w:val="-11"/>
          <w:sz w:val="24"/>
        </w:rPr>
        <w:t xml:space="preserve"> </w:t>
      </w:r>
      <w:r>
        <w:rPr>
          <w:sz w:val="24"/>
        </w:rPr>
        <w:t>meta-analysis. Am Heart J. 2007. 154: 830-837.</w:t>
      </w:r>
    </w:p>
    <w:p w14:paraId="65F10954" w14:textId="77777777" w:rsidR="00CD6054" w:rsidRDefault="00A44E92">
      <w:pPr>
        <w:pStyle w:val="ListParagraph"/>
        <w:numPr>
          <w:ilvl w:val="0"/>
          <w:numId w:val="2"/>
        </w:numPr>
        <w:tabs>
          <w:tab w:val="left" w:pos="1648"/>
        </w:tabs>
        <w:spacing w:before="4" w:line="360" w:lineRule="auto"/>
        <w:ind w:left="236" w:right="258" w:firstLine="706"/>
        <w:rPr>
          <w:sz w:val="24"/>
        </w:rPr>
      </w:pPr>
      <w:r>
        <w:rPr>
          <w:sz w:val="24"/>
        </w:rPr>
        <w:t>Balbo BE, Cavalcante RM, Romão Junior JE, Barros RT, Zatz R, Abensus H. Profile of patients with end-stage renal disease before starting renal replacemnt therapy, dervied from a Tertiary Nephrology Center. J. Bras Nefrol. 2007; 29(4):203-8.</w:t>
      </w:r>
    </w:p>
    <w:p w14:paraId="6AFFD81E" w14:textId="77777777" w:rsidR="00CD6054" w:rsidRDefault="00A44E92">
      <w:pPr>
        <w:pStyle w:val="ListParagraph"/>
        <w:numPr>
          <w:ilvl w:val="0"/>
          <w:numId w:val="2"/>
        </w:numPr>
        <w:tabs>
          <w:tab w:val="left" w:pos="1648"/>
        </w:tabs>
        <w:spacing w:before="4" w:line="357" w:lineRule="auto"/>
        <w:ind w:left="236" w:right="239" w:firstLine="706"/>
        <w:rPr>
          <w:sz w:val="24"/>
        </w:rPr>
      </w:pPr>
      <w:r>
        <w:rPr>
          <w:color w:val="202020"/>
          <w:sz w:val="24"/>
        </w:rPr>
        <w:t>Bassir SH, Moslemi N, Jamali R, et al. Photoactivated disinfection</w:t>
      </w:r>
      <w:r>
        <w:rPr>
          <w:color w:val="202020"/>
          <w:spacing w:val="-5"/>
          <w:sz w:val="24"/>
        </w:rPr>
        <w:t xml:space="preserve"> </w:t>
      </w:r>
      <w:r>
        <w:rPr>
          <w:color w:val="202020"/>
          <w:sz w:val="24"/>
        </w:rPr>
        <w:t>using</w:t>
      </w:r>
      <w:r>
        <w:rPr>
          <w:color w:val="202020"/>
          <w:spacing w:val="-5"/>
          <w:sz w:val="24"/>
        </w:rPr>
        <w:t xml:space="preserve"> </w:t>
      </w:r>
      <w:r>
        <w:rPr>
          <w:color w:val="202020"/>
          <w:sz w:val="24"/>
        </w:rPr>
        <w:t>light- emitting diode as an adjunct in the management of chronic periodontitis:</w:t>
      </w:r>
      <w:r>
        <w:rPr>
          <w:color w:val="202020"/>
          <w:spacing w:val="-9"/>
          <w:sz w:val="24"/>
        </w:rPr>
        <w:t xml:space="preserve"> </w:t>
      </w:r>
      <w:r>
        <w:rPr>
          <w:color w:val="202020"/>
          <w:sz w:val="24"/>
        </w:rPr>
        <w:t>a</w:t>
      </w:r>
      <w:r>
        <w:rPr>
          <w:color w:val="202020"/>
          <w:spacing w:val="-4"/>
          <w:sz w:val="24"/>
        </w:rPr>
        <w:t xml:space="preserve"> </w:t>
      </w:r>
      <w:r>
        <w:rPr>
          <w:color w:val="202020"/>
          <w:sz w:val="24"/>
        </w:rPr>
        <w:t xml:space="preserve">pilot double-blind split-mouth randomized clinical trial. </w:t>
      </w:r>
      <w:r>
        <w:rPr>
          <w:i/>
          <w:color w:val="202020"/>
          <w:sz w:val="24"/>
        </w:rPr>
        <w:t>J Clin Periodontol</w:t>
      </w:r>
      <w:r>
        <w:rPr>
          <w:color w:val="202020"/>
          <w:sz w:val="24"/>
        </w:rPr>
        <w:t xml:space="preserve">. 2013;40(1):65-72. </w:t>
      </w:r>
      <w:r>
        <w:rPr>
          <w:color w:val="202020"/>
          <w:spacing w:val="-2"/>
          <w:sz w:val="24"/>
        </w:rPr>
        <w:t>doi:10.1111/jcpe.12024</w:t>
      </w:r>
    </w:p>
    <w:p w14:paraId="7412F9B8" w14:textId="77777777" w:rsidR="00CD6054" w:rsidRDefault="00A44E92">
      <w:pPr>
        <w:pStyle w:val="ListParagraph"/>
        <w:numPr>
          <w:ilvl w:val="0"/>
          <w:numId w:val="2"/>
        </w:numPr>
        <w:tabs>
          <w:tab w:val="left" w:pos="1648"/>
        </w:tabs>
        <w:spacing w:before="7" w:line="360" w:lineRule="auto"/>
        <w:ind w:left="236" w:right="245" w:firstLine="706"/>
        <w:rPr>
          <w:sz w:val="24"/>
        </w:rPr>
      </w:pPr>
      <w:r>
        <w:rPr>
          <w:color w:val="202020"/>
          <w:sz w:val="24"/>
        </w:rPr>
        <w:t>Berakdar M, Callaway A, Eddin MF, Ross A, Willershausen B. Comparison between scaling-root-planing (SRP) and SRP/photodynamic therapy: six-month study.</w:t>
      </w:r>
      <w:r>
        <w:rPr>
          <w:color w:val="202020"/>
          <w:spacing w:val="-2"/>
          <w:sz w:val="24"/>
        </w:rPr>
        <w:t xml:space="preserve"> </w:t>
      </w:r>
      <w:r>
        <w:rPr>
          <w:i/>
          <w:color w:val="202020"/>
          <w:sz w:val="24"/>
        </w:rPr>
        <w:t>Head Face Med</w:t>
      </w:r>
      <w:r>
        <w:rPr>
          <w:color w:val="202020"/>
          <w:sz w:val="24"/>
        </w:rPr>
        <w:t>. 2012;8:12. Published</w:t>
      </w:r>
      <w:r>
        <w:rPr>
          <w:color w:val="202020"/>
          <w:spacing w:val="40"/>
          <w:sz w:val="24"/>
        </w:rPr>
        <w:t xml:space="preserve"> </w:t>
      </w:r>
      <w:r>
        <w:rPr>
          <w:color w:val="202020"/>
          <w:sz w:val="24"/>
        </w:rPr>
        <w:t>2012 Apr 5. doi:10.1186/1746-160X-8-12</w:t>
      </w:r>
    </w:p>
    <w:p w14:paraId="17030DBE" w14:textId="77777777" w:rsidR="00CD6054" w:rsidRDefault="00A44E92">
      <w:pPr>
        <w:pStyle w:val="ListParagraph"/>
        <w:numPr>
          <w:ilvl w:val="0"/>
          <w:numId w:val="2"/>
        </w:numPr>
        <w:tabs>
          <w:tab w:val="left" w:pos="1648"/>
        </w:tabs>
        <w:spacing w:before="4" w:line="360" w:lineRule="auto"/>
        <w:ind w:left="236" w:right="239" w:firstLine="706"/>
        <w:rPr>
          <w:sz w:val="24"/>
        </w:rPr>
      </w:pPr>
      <w:r>
        <w:rPr>
          <w:sz w:val="24"/>
        </w:rPr>
        <w:t>Blicharz TM, Rissin DM, Bowden M, Hayman RB, Di C, Bhatia JS. Use of colorimetric test</w:t>
      </w:r>
      <w:r>
        <w:rPr>
          <w:spacing w:val="40"/>
          <w:sz w:val="24"/>
        </w:rPr>
        <w:t xml:space="preserve"> </w:t>
      </w:r>
      <w:r>
        <w:rPr>
          <w:sz w:val="24"/>
        </w:rPr>
        <w:t>strips for monitoring the effect</w:t>
      </w:r>
      <w:r>
        <w:rPr>
          <w:spacing w:val="40"/>
          <w:sz w:val="24"/>
        </w:rPr>
        <w:t xml:space="preserve"> </w:t>
      </w:r>
      <w:r>
        <w:rPr>
          <w:sz w:val="24"/>
        </w:rPr>
        <w:t>of hemodialysis on salivar nitrite and uric acid in patients with end-stage renal disease: a</w:t>
      </w:r>
      <w:r>
        <w:rPr>
          <w:spacing w:val="-6"/>
          <w:sz w:val="24"/>
        </w:rPr>
        <w:t xml:space="preserve"> </w:t>
      </w:r>
      <w:r>
        <w:rPr>
          <w:sz w:val="24"/>
        </w:rPr>
        <w:t>proof of principle. Clin</w:t>
      </w:r>
      <w:r>
        <w:rPr>
          <w:spacing w:val="-5"/>
          <w:sz w:val="24"/>
        </w:rPr>
        <w:t xml:space="preserve"> </w:t>
      </w:r>
      <w:r>
        <w:rPr>
          <w:sz w:val="24"/>
        </w:rPr>
        <w:t>Chem.</w:t>
      </w:r>
      <w:r>
        <w:rPr>
          <w:spacing w:val="-5"/>
          <w:sz w:val="24"/>
        </w:rPr>
        <w:t xml:space="preserve"> </w:t>
      </w:r>
      <w:r>
        <w:rPr>
          <w:sz w:val="24"/>
        </w:rPr>
        <w:t>2008.</w:t>
      </w:r>
      <w:r>
        <w:rPr>
          <w:spacing w:val="-5"/>
          <w:sz w:val="24"/>
        </w:rPr>
        <w:t xml:space="preserve"> </w:t>
      </w:r>
      <w:r>
        <w:rPr>
          <w:sz w:val="24"/>
        </w:rPr>
        <w:t>54,</w:t>
      </w:r>
      <w:r>
        <w:rPr>
          <w:spacing w:val="-5"/>
          <w:sz w:val="24"/>
        </w:rPr>
        <w:t xml:space="preserve"> </w:t>
      </w:r>
      <w:r>
        <w:rPr>
          <w:sz w:val="24"/>
        </w:rPr>
        <w:t xml:space="preserve">1473- </w:t>
      </w:r>
      <w:r>
        <w:rPr>
          <w:spacing w:val="-2"/>
          <w:sz w:val="24"/>
        </w:rPr>
        <w:t>1480.</w:t>
      </w:r>
    </w:p>
    <w:p w14:paraId="6B32FC46" w14:textId="77777777" w:rsidR="00CD6054" w:rsidRDefault="00A44E92">
      <w:pPr>
        <w:pStyle w:val="ListParagraph"/>
        <w:numPr>
          <w:ilvl w:val="0"/>
          <w:numId w:val="2"/>
        </w:numPr>
        <w:tabs>
          <w:tab w:val="left" w:pos="1648"/>
        </w:tabs>
        <w:spacing w:line="360" w:lineRule="auto"/>
        <w:ind w:left="236" w:right="250" w:firstLine="706"/>
        <w:rPr>
          <w:sz w:val="24"/>
        </w:rPr>
      </w:pPr>
      <w:r>
        <w:rPr>
          <w:sz w:val="24"/>
        </w:rPr>
        <w:t>Borgnakke WS. Periodontitis may be associated with chronic kidney disease, but current evidence is insuficiente. The Journal of Evidence-Based Dental Practice. 2013. 13(3), 88-90.</w:t>
      </w:r>
    </w:p>
    <w:p w14:paraId="1E0509DC" w14:textId="77777777" w:rsidR="00CD6054" w:rsidRDefault="00A44E92">
      <w:pPr>
        <w:pStyle w:val="ListParagraph"/>
        <w:numPr>
          <w:ilvl w:val="0"/>
          <w:numId w:val="2"/>
        </w:numPr>
        <w:tabs>
          <w:tab w:val="left" w:pos="1648"/>
        </w:tabs>
        <w:spacing w:line="360" w:lineRule="auto"/>
        <w:ind w:left="236" w:right="247" w:firstLine="706"/>
        <w:rPr>
          <w:sz w:val="24"/>
        </w:rPr>
      </w:pPr>
      <w:r>
        <w:rPr>
          <w:sz w:val="24"/>
        </w:rPr>
        <w:t>Braosi AP, de Souza CM, Luczyszyn SM, Dirschnabel AJ, Claudino M, Olandoski M, Probst CM, Garlet GP, Pecoits-Filho R, Trevilatto PC. Analysis of IL1 gene polymorphisms and transcript levels in periodontal and chronic kidney disease. Cytokine. 2012 Oct;60(1):76-82. doi:</w:t>
      </w:r>
      <w:r>
        <w:rPr>
          <w:spacing w:val="-1"/>
          <w:sz w:val="24"/>
        </w:rPr>
        <w:t xml:space="preserve"> </w:t>
      </w:r>
      <w:r>
        <w:rPr>
          <w:sz w:val="24"/>
        </w:rPr>
        <w:t>10.1016/j.cyto.2012.06.006. Epub 2012 Jul 13. PMID:</w:t>
      </w:r>
      <w:r>
        <w:rPr>
          <w:spacing w:val="-1"/>
          <w:sz w:val="24"/>
        </w:rPr>
        <w:t xml:space="preserve"> </w:t>
      </w:r>
      <w:r>
        <w:rPr>
          <w:sz w:val="24"/>
        </w:rPr>
        <w:t>22795294.</w:t>
      </w:r>
    </w:p>
    <w:p w14:paraId="4257FD49" w14:textId="77777777" w:rsidR="00CD6054" w:rsidRDefault="00A44E92">
      <w:pPr>
        <w:pStyle w:val="ListParagraph"/>
        <w:numPr>
          <w:ilvl w:val="0"/>
          <w:numId w:val="2"/>
        </w:numPr>
        <w:tabs>
          <w:tab w:val="left" w:pos="1648"/>
        </w:tabs>
        <w:spacing w:line="364" w:lineRule="auto"/>
        <w:ind w:left="236" w:right="246" w:firstLine="706"/>
        <w:rPr>
          <w:sz w:val="24"/>
        </w:rPr>
      </w:pPr>
      <w:r>
        <w:rPr>
          <w:sz w:val="24"/>
        </w:rPr>
        <w:t>Cardoso EM, Arregger AL, Tumilasci OR, Elbert Am Contreras LN. Assessment of</w:t>
      </w:r>
      <w:r>
        <w:rPr>
          <w:spacing w:val="40"/>
          <w:sz w:val="24"/>
        </w:rPr>
        <w:t xml:space="preserve"> </w:t>
      </w:r>
      <w:r>
        <w:rPr>
          <w:sz w:val="24"/>
        </w:rPr>
        <w:t>salivar urea as a less invasive alternative to sérum determinations. Scand J. Clin Lab Invest. 2009; 69(3): 330-4.</w:t>
      </w:r>
    </w:p>
    <w:p w14:paraId="449CB47C" w14:textId="77777777" w:rsidR="00CD6054" w:rsidRDefault="00CD6054">
      <w:pPr>
        <w:spacing w:line="364" w:lineRule="auto"/>
        <w:jc w:val="both"/>
        <w:rPr>
          <w:sz w:val="24"/>
        </w:rPr>
        <w:sectPr w:rsidR="00CD6054">
          <w:pgSz w:w="11910" w:h="16850"/>
          <w:pgMar w:top="1640" w:right="880" w:bottom="280" w:left="1460" w:header="720" w:footer="720" w:gutter="0"/>
          <w:cols w:space="720"/>
        </w:sectPr>
      </w:pPr>
    </w:p>
    <w:p w14:paraId="4AC4C027" w14:textId="77777777" w:rsidR="00CD6054" w:rsidRDefault="00A44E92">
      <w:pPr>
        <w:pStyle w:val="ListParagraph"/>
        <w:numPr>
          <w:ilvl w:val="0"/>
          <w:numId w:val="2"/>
        </w:numPr>
        <w:tabs>
          <w:tab w:val="left" w:pos="1648"/>
        </w:tabs>
        <w:spacing w:before="68" w:line="360" w:lineRule="auto"/>
        <w:ind w:left="236" w:right="254" w:firstLine="706"/>
        <w:rPr>
          <w:sz w:val="24"/>
        </w:rPr>
      </w:pPr>
      <w:r>
        <w:rPr>
          <w:sz w:val="24"/>
        </w:rPr>
        <w:lastRenderedPageBreak/>
        <w:t>Cassarin RC, Peloso Ed, Sallum EA, Nociti FH Jr, Gonçalves RB &amp; Casati</w:t>
      </w:r>
      <w:r>
        <w:rPr>
          <w:spacing w:val="40"/>
          <w:sz w:val="24"/>
        </w:rPr>
        <w:t xml:space="preserve"> </w:t>
      </w:r>
      <w:r>
        <w:rPr>
          <w:sz w:val="24"/>
        </w:rPr>
        <w:t>MC. The combination of amoxicillin and metronidazole improves clinical and microbiologic results o fone-stage, full-mouth, ultrasonic debridement in aggressive periodontitis treatment. Journal of Periodontology. 2012; 83(8), 988-998.</w:t>
      </w:r>
    </w:p>
    <w:p w14:paraId="790C8077" w14:textId="77777777" w:rsidR="00CD6054" w:rsidRDefault="00A44E92">
      <w:pPr>
        <w:pStyle w:val="ListParagraph"/>
        <w:numPr>
          <w:ilvl w:val="0"/>
          <w:numId w:val="2"/>
        </w:numPr>
        <w:tabs>
          <w:tab w:val="left" w:pos="1648"/>
        </w:tabs>
        <w:spacing w:before="10" w:line="360" w:lineRule="auto"/>
        <w:ind w:left="236" w:right="245" w:firstLine="706"/>
        <w:rPr>
          <w:sz w:val="24"/>
        </w:rPr>
      </w:pPr>
      <w:r>
        <w:rPr>
          <w:color w:val="202020"/>
          <w:sz w:val="24"/>
        </w:rPr>
        <w:t>Caton JG, Armitage G, Berglundh T, Chapple ILC, Jepsen S, Kornman KS, Mealey BL, Papapanou PN,</w:t>
      </w:r>
      <w:r>
        <w:rPr>
          <w:color w:val="202020"/>
          <w:spacing w:val="-4"/>
          <w:sz w:val="24"/>
        </w:rPr>
        <w:t xml:space="preserve"> </w:t>
      </w:r>
      <w:r>
        <w:rPr>
          <w:color w:val="202020"/>
          <w:sz w:val="24"/>
        </w:rPr>
        <w:t>Sanz</w:t>
      </w:r>
      <w:r>
        <w:rPr>
          <w:color w:val="202020"/>
          <w:spacing w:val="-6"/>
          <w:sz w:val="24"/>
        </w:rPr>
        <w:t xml:space="preserve"> </w:t>
      </w:r>
      <w:r>
        <w:rPr>
          <w:color w:val="202020"/>
          <w:sz w:val="24"/>
        </w:rPr>
        <w:t>M,</w:t>
      </w:r>
      <w:r>
        <w:rPr>
          <w:color w:val="202020"/>
          <w:spacing w:val="-4"/>
          <w:sz w:val="24"/>
        </w:rPr>
        <w:t xml:space="preserve"> </w:t>
      </w:r>
      <w:r>
        <w:rPr>
          <w:color w:val="202020"/>
          <w:sz w:val="24"/>
        </w:rPr>
        <w:t>Tonetti</w:t>
      </w:r>
      <w:r>
        <w:rPr>
          <w:color w:val="202020"/>
          <w:spacing w:val="-11"/>
          <w:sz w:val="24"/>
        </w:rPr>
        <w:t xml:space="preserve"> </w:t>
      </w:r>
      <w:r>
        <w:rPr>
          <w:color w:val="202020"/>
          <w:sz w:val="24"/>
        </w:rPr>
        <w:t>MS. A new classification</w:t>
      </w:r>
      <w:r>
        <w:rPr>
          <w:color w:val="202020"/>
          <w:spacing w:val="-4"/>
          <w:sz w:val="24"/>
        </w:rPr>
        <w:t xml:space="preserve"> </w:t>
      </w:r>
      <w:r>
        <w:rPr>
          <w:color w:val="202020"/>
          <w:sz w:val="24"/>
        </w:rPr>
        <w:t>scheme</w:t>
      </w:r>
      <w:r>
        <w:rPr>
          <w:color w:val="202020"/>
          <w:spacing w:val="-6"/>
          <w:sz w:val="24"/>
        </w:rPr>
        <w:t xml:space="preserve"> </w:t>
      </w:r>
      <w:r>
        <w:rPr>
          <w:color w:val="202020"/>
          <w:sz w:val="24"/>
        </w:rPr>
        <w:t>for</w:t>
      </w:r>
      <w:r>
        <w:rPr>
          <w:color w:val="202020"/>
          <w:spacing w:val="-10"/>
          <w:sz w:val="24"/>
        </w:rPr>
        <w:t xml:space="preserve"> </w:t>
      </w:r>
      <w:r>
        <w:rPr>
          <w:color w:val="202020"/>
          <w:sz w:val="24"/>
        </w:rPr>
        <w:t>periodontal and peri-implant diseases and conditions - Introduction and key changes from the 1999 classification. J Clin Periodontol. 2018 Jun;45 Suppl 20:S1-S8. doi: 10.1111/jcpe.12935. PMID: 29926489.</w:t>
      </w:r>
    </w:p>
    <w:p w14:paraId="6FA94F70" w14:textId="77777777" w:rsidR="00CD6054" w:rsidRDefault="00A44E92">
      <w:pPr>
        <w:pStyle w:val="ListParagraph"/>
        <w:numPr>
          <w:ilvl w:val="0"/>
          <w:numId w:val="2"/>
        </w:numPr>
        <w:tabs>
          <w:tab w:val="left" w:pos="1648"/>
        </w:tabs>
        <w:spacing w:before="2" w:line="352" w:lineRule="auto"/>
        <w:ind w:left="236" w:right="257" w:firstLine="706"/>
        <w:rPr>
          <w:sz w:val="24"/>
        </w:rPr>
      </w:pPr>
      <w:r>
        <w:rPr>
          <w:sz w:val="24"/>
        </w:rPr>
        <w:t>Cheung WW, Pail KH, Mak RH. Inflammation</w:t>
      </w:r>
      <w:r>
        <w:rPr>
          <w:spacing w:val="-4"/>
          <w:sz w:val="24"/>
        </w:rPr>
        <w:t xml:space="preserve"> </w:t>
      </w:r>
      <w:r>
        <w:rPr>
          <w:sz w:val="24"/>
        </w:rPr>
        <w:t>and cachexia</w:t>
      </w:r>
      <w:r>
        <w:rPr>
          <w:spacing w:val="-6"/>
          <w:sz w:val="24"/>
        </w:rPr>
        <w:t xml:space="preserve"> </w:t>
      </w:r>
      <w:r>
        <w:rPr>
          <w:sz w:val="24"/>
        </w:rPr>
        <w:t>in</w:t>
      </w:r>
      <w:r>
        <w:rPr>
          <w:spacing w:val="-4"/>
          <w:sz w:val="24"/>
        </w:rPr>
        <w:t xml:space="preserve"> </w:t>
      </w:r>
      <w:r>
        <w:rPr>
          <w:sz w:val="24"/>
        </w:rPr>
        <w:t>chronic</w:t>
      </w:r>
      <w:r>
        <w:rPr>
          <w:spacing w:val="-6"/>
          <w:sz w:val="24"/>
        </w:rPr>
        <w:t xml:space="preserve"> </w:t>
      </w:r>
      <w:r>
        <w:rPr>
          <w:sz w:val="24"/>
        </w:rPr>
        <w:t>kidney disease. Pediatr Nephrol. 2010; 25:711-24.</w:t>
      </w:r>
    </w:p>
    <w:p w14:paraId="4D595F6B" w14:textId="77777777" w:rsidR="00CD6054" w:rsidRDefault="00A44E92">
      <w:pPr>
        <w:pStyle w:val="ListParagraph"/>
        <w:numPr>
          <w:ilvl w:val="0"/>
          <w:numId w:val="2"/>
        </w:numPr>
        <w:tabs>
          <w:tab w:val="left" w:pos="1648"/>
        </w:tabs>
        <w:spacing w:before="15" w:line="360" w:lineRule="auto"/>
        <w:ind w:left="236" w:right="244" w:firstLine="706"/>
        <w:rPr>
          <w:sz w:val="24"/>
        </w:rPr>
      </w:pPr>
      <w:r>
        <w:rPr>
          <w:color w:val="202020"/>
          <w:sz w:val="24"/>
        </w:rPr>
        <w:t>Citterio F, Gualini G, Chang M,</w:t>
      </w:r>
      <w:r>
        <w:rPr>
          <w:color w:val="202020"/>
          <w:spacing w:val="-3"/>
          <w:sz w:val="24"/>
        </w:rPr>
        <w:t xml:space="preserve"> </w:t>
      </w:r>
      <w:r>
        <w:rPr>
          <w:color w:val="202020"/>
          <w:sz w:val="24"/>
        </w:rPr>
        <w:t>et al.</w:t>
      </w:r>
      <w:r>
        <w:rPr>
          <w:color w:val="202020"/>
          <w:spacing w:val="-3"/>
          <w:sz w:val="24"/>
        </w:rPr>
        <w:t xml:space="preserve"> </w:t>
      </w:r>
      <w:r>
        <w:rPr>
          <w:color w:val="202020"/>
          <w:sz w:val="24"/>
        </w:rPr>
        <w:t>Pocket closure</w:t>
      </w:r>
      <w:r>
        <w:rPr>
          <w:color w:val="202020"/>
          <w:spacing w:val="-5"/>
          <w:sz w:val="24"/>
        </w:rPr>
        <w:t xml:space="preserve"> </w:t>
      </w:r>
      <w:r>
        <w:rPr>
          <w:color w:val="202020"/>
          <w:sz w:val="24"/>
        </w:rPr>
        <w:t>and residual</w:t>
      </w:r>
      <w:r>
        <w:rPr>
          <w:color w:val="202020"/>
          <w:spacing w:val="-10"/>
          <w:sz w:val="24"/>
        </w:rPr>
        <w:t xml:space="preserve"> </w:t>
      </w:r>
      <w:r>
        <w:rPr>
          <w:color w:val="202020"/>
          <w:sz w:val="24"/>
        </w:rPr>
        <w:t>pockets</w:t>
      </w:r>
      <w:r>
        <w:rPr>
          <w:color w:val="202020"/>
          <w:spacing w:val="-7"/>
          <w:sz w:val="24"/>
        </w:rPr>
        <w:t xml:space="preserve"> </w:t>
      </w:r>
      <w:r>
        <w:rPr>
          <w:color w:val="202020"/>
          <w:sz w:val="24"/>
        </w:rPr>
        <w:t>after non-surgical periodontal therapy: A systematic review and meta-analysis.</w:t>
      </w:r>
      <w:r>
        <w:rPr>
          <w:color w:val="202020"/>
          <w:spacing w:val="-8"/>
          <w:sz w:val="24"/>
        </w:rPr>
        <w:t xml:space="preserve"> </w:t>
      </w:r>
      <w:r>
        <w:rPr>
          <w:i/>
          <w:color w:val="202020"/>
          <w:sz w:val="24"/>
        </w:rPr>
        <w:t>J Clin Periodontol</w:t>
      </w:r>
      <w:r>
        <w:rPr>
          <w:color w:val="202020"/>
          <w:sz w:val="24"/>
        </w:rPr>
        <w:t>. 2022;49(1):2-14. doi:10.1111/jcpe.13547</w:t>
      </w:r>
    </w:p>
    <w:p w14:paraId="78AE5CB7" w14:textId="77777777" w:rsidR="00CD6054" w:rsidRDefault="00A44E92">
      <w:pPr>
        <w:pStyle w:val="ListParagraph"/>
        <w:numPr>
          <w:ilvl w:val="0"/>
          <w:numId w:val="2"/>
        </w:numPr>
        <w:tabs>
          <w:tab w:val="left" w:pos="1648"/>
        </w:tabs>
        <w:spacing w:before="4" w:line="352" w:lineRule="auto"/>
        <w:ind w:left="236" w:right="246" w:firstLine="706"/>
        <w:rPr>
          <w:sz w:val="24"/>
        </w:rPr>
      </w:pPr>
      <w:r>
        <w:rPr>
          <w:sz w:val="24"/>
        </w:rPr>
        <w:t>Cochran DL.</w:t>
      </w:r>
      <w:r>
        <w:rPr>
          <w:spacing w:val="-5"/>
          <w:sz w:val="24"/>
        </w:rPr>
        <w:t xml:space="preserve"> </w:t>
      </w:r>
      <w:r>
        <w:rPr>
          <w:sz w:val="24"/>
        </w:rPr>
        <w:t>Inflammation</w:t>
      </w:r>
      <w:r>
        <w:rPr>
          <w:spacing w:val="-5"/>
          <w:sz w:val="24"/>
        </w:rPr>
        <w:t xml:space="preserve"> </w:t>
      </w:r>
      <w:r>
        <w:rPr>
          <w:sz w:val="24"/>
        </w:rPr>
        <w:t>and bone</w:t>
      </w:r>
      <w:r>
        <w:rPr>
          <w:spacing w:val="-6"/>
          <w:sz w:val="24"/>
        </w:rPr>
        <w:t xml:space="preserve"> </w:t>
      </w:r>
      <w:r>
        <w:rPr>
          <w:sz w:val="24"/>
        </w:rPr>
        <w:t>loss</w:t>
      </w:r>
      <w:r>
        <w:rPr>
          <w:spacing w:val="-8"/>
          <w:sz w:val="24"/>
        </w:rPr>
        <w:t xml:space="preserve"> </w:t>
      </w:r>
      <w:r>
        <w:rPr>
          <w:sz w:val="24"/>
        </w:rPr>
        <w:t>in</w:t>
      </w:r>
      <w:r>
        <w:rPr>
          <w:spacing w:val="-5"/>
          <w:sz w:val="24"/>
        </w:rPr>
        <w:t xml:space="preserve"> </w:t>
      </w:r>
      <w:r>
        <w:rPr>
          <w:sz w:val="24"/>
        </w:rPr>
        <w:t>periodontal</w:t>
      </w:r>
      <w:r>
        <w:rPr>
          <w:spacing w:val="-11"/>
          <w:sz w:val="24"/>
        </w:rPr>
        <w:t xml:space="preserve"> </w:t>
      </w:r>
      <w:r>
        <w:rPr>
          <w:sz w:val="24"/>
        </w:rPr>
        <w:t>disease. J.</w:t>
      </w:r>
      <w:r>
        <w:rPr>
          <w:spacing w:val="-5"/>
          <w:sz w:val="24"/>
        </w:rPr>
        <w:t xml:space="preserve"> </w:t>
      </w:r>
      <w:r>
        <w:rPr>
          <w:sz w:val="24"/>
        </w:rPr>
        <w:t>Periodontol. 2008 Aug; 79(8):1569-76.</w:t>
      </w:r>
    </w:p>
    <w:p w14:paraId="5427D84F" w14:textId="77777777" w:rsidR="00CD6054" w:rsidRDefault="00A44E92">
      <w:pPr>
        <w:pStyle w:val="ListParagraph"/>
        <w:numPr>
          <w:ilvl w:val="0"/>
          <w:numId w:val="2"/>
        </w:numPr>
        <w:tabs>
          <w:tab w:val="left" w:pos="1648"/>
        </w:tabs>
        <w:spacing w:before="14" w:line="360" w:lineRule="auto"/>
        <w:ind w:left="236" w:right="240" w:firstLine="706"/>
        <w:rPr>
          <w:sz w:val="24"/>
        </w:rPr>
      </w:pPr>
      <w:r>
        <w:rPr>
          <w:sz w:val="24"/>
        </w:rPr>
        <w:t>Corbella S, Calciolari E, Donos N, Alberti A, Ercal P, Francetti L. Laser tratemets as na adjunct to non-surgical periodontal therapy in subjects with periodontitis and type 2 diabetes mellitus: a systematic review and meta-analysis. Clin Oral Investig. 2023 Apr;27(4):1311-1327. doi: 10.1007/s00784-023-04873-y. Epub 2023 Feb 28. PMID: 36849595; PMCID: PMC10101891.</w:t>
      </w:r>
    </w:p>
    <w:p w14:paraId="17A2240C" w14:textId="77777777" w:rsidR="00CD6054" w:rsidRDefault="00A44E92">
      <w:pPr>
        <w:pStyle w:val="ListParagraph"/>
        <w:numPr>
          <w:ilvl w:val="0"/>
          <w:numId w:val="2"/>
        </w:numPr>
        <w:tabs>
          <w:tab w:val="left" w:pos="1648"/>
        </w:tabs>
        <w:spacing w:before="2" w:line="364" w:lineRule="auto"/>
        <w:ind w:left="236" w:right="246" w:firstLine="706"/>
        <w:rPr>
          <w:sz w:val="24"/>
        </w:rPr>
      </w:pPr>
      <w:r>
        <w:rPr>
          <w:sz w:val="24"/>
        </w:rPr>
        <w:t>Cross BW &amp; Ruhl S. Glycan recognition at the saliva - Oral microbiome interface. Cellular Immunology. 2018; p.1-15.</w:t>
      </w:r>
    </w:p>
    <w:p w14:paraId="424D8F90" w14:textId="77777777" w:rsidR="00CD6054" w:rsidRDefault="00A44E92">
      <w:pPr>
        <w:pStyle w:val="ListParagraph"/>
        <w:numPr>
          <w:ilvl w:val="0"/>
          <w:numId w:val="2"/>
        </w:numPr>
        <w:tabs>
          <w:tab w:val="left" w:pos="1648"/>
        </w:tabs>
        <w:spacing w:line="360" w:lineRule="auto"/>
        <w:ind w:left="236" w:right="258" w:firstLine="706"/>
        <w:rPr>
          <w:sz w:val="24"/>
        </w:rPr>
      </w:pPr>
      <w:r>
        <w:rPr>
          <w:sz w:val="24"/>
        </w:rPr>
        <w:t>Davidovich E, Davidovits M, Eidelman E, Schawarz Z, Bimstein E. Pathophysiology, therapy and oral</w:t>
      </w:r>
      <w:r>
        <w:rPr>
          <w:spacing w:val="-1"/>
          <w:sz w:val="24"/>
        </w:rPr>
        <w:t xml:space="preserve"> </w:t>
      </w:r>
      <w:r>
        <w:rPr>
          <w:sz w:val="24"/>
        </w:rPr>
        <w:t>implications of renal</w:t>
      </w:r>
      <w:r>
        <w:rPr>
          <w:spacing w:val="-1"/>
          <w:sz w:val="24"/>
        </w:rPr>
        <w:t xml:space="preserve"> </w:t>
      </w:r>
      <w:r>
        <w:rPr>
          <w:sz w:val="24"/>
        </w:rPr>
        <w:t>failure</w:t>
      </w:r>
      <w:r>
        <w:rPr>
          <w:spacing w:val="-10"/>
          <w:sz w:val="24"/>
        </w:rPr>
        <w:t xml:space="preserve"> </w:t>
      </w:r>
      <w:r>
        <w:rPr>
          <w:sz w:val="24"/>
        </w:rPr>
        <w:t>in</w:t>
      </w:r>
      <w:r>
        <w:rPr>
          <w:spacing w:val="-8"/>
          <w:sz w:val="24"/>
        </w:rPr>
        <w:t xml:space="preserve"> </w:t>
      </w:r>
      <w:r>
        <w:rPr>
          <w:sz w:val="24"/>
        </w:rPr>
        <w:t>childre</w:t>
      </w:r>
      <w:r>
        <w:rPr>
          <w:spacing w:val="-10"/>
          <w:sz w:val="24"/>
        </w:rPr>
        <w:t xml:space="preserve"> </w:t>
      </w:r>
      <w:r>
        <w:rPr>
          <w:sz w:val="24"/>
        </w:rPr>
        <w:t>and adolescentes:</w:t>
      </w:r>
      <w:r>
        <w:rPr>
          <w:spacing w:val="-14"/>
          <w:sz w:val="24"/>
        </w:rPr>
        <w:t xml:space="preserve"> </w:t>
      </w:r>
      <w:r>
        <w:rPr>
          <w:sz w:val="24"/>
        </w:rPr>
        <w:t>an update. Pediatr. Dent. 2005. Mar-Abr; 27(2):98-106.</w:t>
      </w:r>
    </w:p>
    <w:p w14:paraId="348971C9" w14:textId="77777777" w:rsidR="00CD6054" w:rsidRDefault="00A44E92">
      <w:pPr>
        <w:pStyle w:val="ListParagraph"/>
        <w:numPr>
          <w:ilvl w:val="0"/>
          <w:numId w:val="2"/>
        </w:numPr>
        <w:tabs>
          <w:tab w:val="left" w:pos="1648"/>
        </w:tabs>
        <w:spacing w:line="364" w:lineRule="auto"/>
        <w:ind w:left="236" w:right="259" w:firstLine="706"/>
        <w:rPr>
          <w:sz w:val="24"/>
        </w:rPr>
      </w:pPr>
      <w:r>
        <w:rPr>
          <w:sz w:val="24"/>
        </w:rPr>
        <w:t>Ebersole JL, Taubman MA. The protective nature of host responses in periodontal diseases. Periodontol 2000. 1994; 5:112-141.</w:t>
      </w:r>
    </w:p>
    <w:p w14:paraId="17DF0A22" w14:textId="77777777" w:rsidR="00CD6054" w:rsidRDefault="00A44E92">
      <w:pPr>
        <w:pStyle w:val="ListParagraph"/>
        <w:numPr>
          <w:ilvl w:val="0"/>
          <w:numId w:val="2"/>
        </w:numPr>
        <w:tabs>
          <w:tab w:val="left" w:pos="1648"/>
        </w:tabs>
        <w:spacing w:line="364" w:lineRule="auto"/>
        <w:ind w:left="236" w:right="249" w:firstLine="706"/>
        <w:rPr>
          <w:sz w:val="24"/>
        </w:rPr>
      </w:pPr>
      <w:r>
        <w:rPr>
          <w:sz w:val="24"/>
        </w:rPr>
        <w:t>Eddy AA. Progression in chronic kidney disease. Adv Chronic Kidney Dis. 2005; 12:353-65.</w:t>
      </w:r>
    </w:p>
    <w:p w14:paraId="62947338" w14:textId="77777777" w:rsidR="00CD6054" w:rsidRDefault="00A44E92">
      <w:pPr>
        <w:pStyle w:val="ListParagraph"/>
        <w:numPr>
          <w:ilvl w:val="0"/>
          <w:numId w:val="2"/>
        </w:numPr>
        <w:tabs>
          <w:tab w:val="left" w:pos="1648"/>
        </w:tabs>
        <w:spacing w:line="364" w:lineRule="auto"/>
        <w:ind w:left="236" w:right="240" w:firstLine="706"/>
        <w:rPr>
          <w:sz w:val="24"/>
        </w:rPr>
      </w:pPr>
      <w:r>
        <w:rPr>
          <w:sz w:val="24"/>
        </w:rPr>
        <w:t>El Nahas M. The global challenge of chronic</w:t>
      </w:r>
      <w:r>
        <w:rPr>
          <w:spacing w:val="-6"/>
          <w:sz w:val="24"/>
        </w:rPr>
        <w:t xml:space="preserve"> </w:t>
      </w:r>
      <w:r>
        <w:rPr>
          <w:sz w:val="24"/>
        </w:rPr>
        <w:t>kidney</w:t>
      </w:r>
      <w:r>
        <w:rPr>
          <w:spacing w:val="-4"/>
          <w:sz w:val="24"/>
        </w:rPr>
        <w:t xml:space="preserve"> </w:t>
      </w:r>
      <w:r>
        <w:rPr>
          <w:sz w:val="24"/>
        </w:rPr>
        <w:t>disease. Kidney</w:t>
      </w:r>
      <w:r>
        <w:rPr>
          <w:spacing w:val="-4"/>
          <w:sz w:val="24"/>
        </w:rPr>
        <w:t xml:space="preserve"> </w:t>
      </w:r>
      <w:r>
        <w:rPr>
          <w:sz w:val="24"/>
        </w:rPr>
        <w:t>Int.</w:t>
      </w:r>
      <w:r>
        <w:rPr>
          <w:spacing w:val="-4"/>
          <w:sz w:val="24"/>
        </w:rPr>
        <w:t xml:space="preserve"> </w:t>
      </w:r>
      <w:r>
        <w:rPr>
          <w:sz w:val="24"/>
        </w:rPr>
        <w:t xml:space="preserve">2005; </w:t>
      </w:r>
      <w:r>
        <w:rPr>
          <w:spacing w:val="-2"/>
          <w:sz w:val="24"/>
        </w:rPr>
        <w:t>68:2918-29.</w:t>
      </w:r>
    </w:p>
    <w:p w14:paraId="74152660" w14:textId="77777777" w:rsidR="00CD6054" w:rsidRDefault="00A44E92">
      <w:pPr>
        <w:pStyle w:val="ListParagraph"/>
        <w:numPr>
          <w:ilvl w:val="0"/>
          <w:numId w:val="2"/>
        </w:numPr>
        <w:tabs>
          <w:tab w:val="left" w:pos="1648"/>
        </w:tabs>
        <w:spacing w:line="352" w:lineRule="auto"/>
        <w:ind w:left="236" w:right="251" w:firstLine="706"/>
        <w:rPr>
          <w:sz w:val="24"/>
        </w:rPr>
      </w:pPr>
      <w:r>
        <w:rPr>
          <w:sz w:val="24"/>
        </w:rPr>
        <w:t>Fisher MA, Taylor GW, Shelton BJ, Jamerson KA, Rahman M, Ojo AO &amp; Sehgal</w:t>
      </w:r>
      <w:r>
        <w:rPr>
          <w:spacing w:val="40"/>
          <w:sz w:val="24"/>
        </w:rPr>
        <w:t xml:space="preserve"> </w:t>
      </w:r>
      <w:r>
        <w:rPr>
          <w:sz w:val="24"/>
        </w:rPr>
        <w:t>AR.</w:t>
      </w:r>
      <w:r>
        <w:rPr>
          <w:spacing w:val="40"/>
          <w:sz w:val="24"/>
        </w:rPr>
        <w:t xml:space="preserve"> </w:t>
      </w:r>
      <w:r>
        <w:rPr>
          <w:sz w:val="24"/>
        </w:rPr>
        <w:t>Periodontal</w:t>
      </w:r>
      <w:r>
        <w:rPr>
          <w:spacing w:val="40"/>
          <w:sz w:val="24"/>
        </w:rPr>
        <w:t xml:space="preserve"> </w:t>
      </w:r>
      <w:r>
        <w:rPr>
          <w:sz w:val="24"/>
        </w:rPr>
        <w:t>disease</w:t>
      </w:r>
      <w:r>
        <w:rPr>
          <w:spacing w:val="40"/>
          <w:sz w:val="24"/>
        </w:rPr>
        <w:t xml:space="preserve"> </w:t>
      </w:r>
      <w:r>
        <w:rPr>
          <w:sz w:val="24"/>
        </w:rPr>
        <w:t>and</w:t>
      </w:r>
      <w:r>
        <w:rPr>
          <w:spacing w:val="40"/>
          <w:sz w:val="24"/>
        </w:rPr>
        <w:t xml:space="preserve"> </w:t>
      </w:r>
      <w:r>
        <w:rPr>
          <w:sz w:val="24"/>
        </w:rPr>
        <w:t>Other</w:t>
      </w:r>
      <w:r>
        <w:rPr>
          <w:spacing w:val="40"/>
          <w:sz w:val="24"/>
        </w:rPr>
        <w:t xml:space="preserve"> </w:t>
      </w:r>
      <w:r>
        <w:rPr>
          <w:sz w:val="24"/>
        </w:rPr>
        <w:t>nontraditional</w:t>
      </w:r>
      <w:r>
        <w:rPr>
          <w:spacing w:val="40"/>
          <w:sz w:val="24"/>
        </w:rPr>
        <w:t xml:space="preserve"> </w:t>
      </w:r>
      <w:r>
        <w:rPr>
          <w:sz w:val="24"/>
        </w:rPr>
        <w:t>risk</w:t>
      </w:r>
      <w:r>
        <w:rPr>
          <w:spacing w:val="40"/>
          <w:sz w:val="24"/>
        </w:rPr>
        <w:t xml:space="preserve"> </w:t>
      </w:r>
      <w:r>
        <w:rPr>
          <w:sz w:val="24"/>
        </w:rPr>
        <w:t>factors</w:t>
      </w:r>
      <w:r>
        <w:rPr>
          <w:spacing w:val="40"/>
          <w:sz w:val="24"/>
        </w:rPr>
        <w:t xml:space="preserve"> </w:t>
      </w:r>
      <w:r>
        <w:rPr>
          <w:sz w:val="24"/>
        </w:rPr>
        <w:t>for</w:t>
      </w:r>
      <w:r>
        <w:rPr>
          <w:spacing w:val="40"/>
          <w:sz w:val="24"/>
        </w:rPr>
        <w:t xml:space="preserve"> </w:t>
      </w:r>
      <w:r>
        <w:rPr>
          <w:sz w:val="24"/>
        </w:rPr>
        <w:t>CKD.</w:t>
      </w:r>
      <w:r>
        <w:rPr>
          <w:spacing w:val="40"/>
          <w:sz w:val="24"/>
        </w:rPr>
        <w:t xml:space="preserve"> </w:t>
      </w:r>
      <w:r>
        <w:rPr>
          <w:sz w:val="24"/>
        </w:rPr>
        <w:t>American</w:t>
      </w:r>
    </w:p>
    <w:p w14:paraId="6A6E1474" w14:textId="77777777" w:rsidR="00CD6054" w:rsidRDefault="00CD6054">
      <w:pPr>
        <w:spacing w:line="352" w:lineRule="auto"/>
        <w:jc w:val="both"/>
        <w:rPr>
          <w:sz w:val="24"/>
        </w:rPr>
        <w:sectPr w:rsidR="00CD6054">
          <w:pgSz w:w="11910" w:h="16850"/>
          <w:pgMar w:top="1640" w:right="880" w:bottom="280" w:left="1460" w:header="720" w:footer="720" w:gutter="0"/>
          <w:cols w:space="720"/>
        </w:sectPr>
      </w:pPr>
    </w:p>
    <w:p w14:paraId="1C138F6B" w14:textId="77777777" w:rsidR="00CD6054" w:rsidRDefault="00A44E92">
      <w:pPr>
        <w:pStyle w:val="BodyText"/>
        <w:spacing w:before="68" w:line="364" w:lineRule="auto"/>
        <w:ind w:left="236" w:right="263"/>
        <w:jc w:val="both"/>
      </w:pPr>
      <w:r>
        <w:lastRenderedPageBreak/>
        <w:t>Journal of Kidney Diseases: The Official Journal of the National Kidney Foudantion, 2008. 51(1), 45-52.</w:t>
      </w:r>
    </w:p>
    <w:p w14:paraId="3571B737" w14:textId="77777777" w:rsidR="00CD6054" w:rsidRDefault="00A44E92">
      <w:pPr>
        <w:pStyle w:val="ListParagraph"/>
        <w:numPr>
          <w:ilvl w:val="0"/>
          <w:numId w:val="2"/>
        </w:numPr>
        <w:tabs>
          <w:tab w:val="left" w:pos="1648"/>
        </w:tabs>
        <w:spacing w:before="1" w:line="352" w:lineRule="auto"/>
        <w:ind w:left="236" w:right="262" w:firstLine="706"/>
        <w:rPr>
          <w:sz w:val="24"/>
        </w:rPr>
      </w:pPr>
      <w:r>
        <w:rPr>
          <w:sz w:val="24"/>
        </w:rPr>
        <w:t>Goicoechea de Jorge E, et al. Common and rare genetic variants of</w:t>
      </w:r>
      <w:r>
        <w:rPr>
          <w:spacing w:val="40"/>
          <w:sz w:val="24"/>
        </w:rPr>
        <w:t xml:space="preserve"> </w:t>
      </w:r>
      <w:r>
        <w:rPr>
          <w:sz w:val="24"/>
        </w:rPr>
        <w:t>complement components in human disease. Molecular Immunology, n. June, p. 0-1, 2018.</w:t>
      </w:r>
    </w:p>
    <w:p w14:paraId="7DF6ADB9" w14:textId="51C27E91" w:rsidR="00402437" w:rsidRPr="00402437" w:rsidRDefault="00402437">
      <w:pPr>
        <w:pStyle w:val="ListParagraph"/>
        <w:numPr>
          <w:ilvl w:val="0"/>
          <w:numId w:val="2"/>
        </w:numPr>
        <w:tabs>
          <w:tab w:val="left" w:pos="1648"/>
        </w:tabs>
        <w:spacing w:before="1" w:line="352" w:lineRule="auto"/>
        <w:ind w:left="236" w:right="262" w:firstLine="706"/>
        <w:rPr>
          <w:color w:val="7030A0"/>
          <w:sz w:val="24"/>
          <w:szCs w:val="24"/>
        </w:rPr>
      </w:pPr>
      <w:r w:rsidRPr="00402437">
        <w:rPr>
          <w:color w:val="7030A0"/>
          <w:sz w:val="24"/>
          <w:szCs w:val="24"/>
        </w:rPr>
        <w:t>Goncalves, F. J. P. J. a. D. A. G.</w:t>
      </w:r>
      <w:r w:rsidRPr="00402437">
        <w:rPr>
          <w:color w:val="7030A0"/>
          <w:sz w:val="24"/>
          <w:szCs w:val="24"/>
          <w:lang w:val="pt-BR"/>
        </w:rPr>
        <w:t xml:space="preserve"> Critérios Diagnósticos para Desordens Temporomandibulares: Protocolo Clínico e Instrumentos de Avaliação. International Network for Orofacial Pain and Related Disorders Methodology, 2019. p. 1-75.</w:t>
      </w:r>
    </w:p>
    <w:p w14:paraId="668E8D6C" w14:textId="77777777" w:rsidR="00CD6054" w:rsidRDefault="00A44E92">
      <w:pPr>
        <w:pStyle w:val="ListParagraph"/>
        <w:numPr>
          <w:ilvl w:val="0"/>
          <w:numId w:val="2"/>
        </w:numPr>
        <w:tabs>
          <w:tab w:val="left" w:pos="1648"/>
        </w:tabs>
        <w:spacing w:before="14" w:line="360" w:lineRule="auto"/>
        <w:ind w:left="236" w:right="244" w:firstLine="706"/>
        <w:rPr>
          <w:sz w:val="24"/>
        </w:rPr>
      </w:pPr>
      <w:r>
        <w:rPr>
          <w:sz w:val="24"/>
        </w:rPr>
        <w:t>Granger DL, Hibbs JB Jr, Perfect JR, Durack</w:t>
      </w:r>
      <w:r>
        <w:rPr>
          <w:spacing w:val="-4"/>
          <w:sz w:val="24"/>
        </w:rPr>
        <w:t xml:space="preserve"> </w:t>
      </w:r>
      <w:r>
        <w:rPr>
          <w:sz w:val="24"/>
        </w:rPr>
        <w:t>DT.</w:t>
      </w:r>
      <w:r>
        <w:rPr>
          <w:spacing w:val="-4"/>
          <w:sz w:val="24"/>
        </w:rPr>
        <w:t xml:space="preserve"> </w:t>
      </w:r>
      <w:r>
        <w:rPr>
          <w:sz w:val="24"/>
        </w:rPr>
        <w:t>Metabolic</w:t>
      </w:r>
      <w:r>
        <w:rPr>
          <w:spacing w:val="-5"/>
          <w:sz w:val="24"/>
        </w:rPr>
        <w:t xml:space="preserve"> </w:t>
      </w:r>
      <w:r>
        <w:rPr>
          <w:sz w:val="24"/>
        </w:rPr>
        <w:t>fate</w:t>
      </w:r>
      <w:r>
        <w:rPr>
          <w:spacing w:val="-5"/>
          <w:sz w:val="24"/>
        </w:rPr>
        <w:t xml:space="preserve"> </w:t>
      </w:r>
      <w:r>
        <w:rPr>
          <w:sz w:val="24"/>
        </w:rPr>
        <w:t>of L-arginine in</w:t>
      </w:r>
      <w:r>
        <w:rPr>
          <w:spacing w:val="40"/>
          <w:sz w:val="24"/>
        </w:rPr>
        <w:t xml:space="preserve"> </w:t>
      </w:r>
      <w:r>
        <w:rPr>
          <w:sz w:val="24"/>
        </w:rPr>
        <w:t>relation to microbiostatic capability of murine macrophages. J. Clin Invest. 1990 Jan;</w:t>
      </w:r>
      <w:r>
        <w:rPr>
          <w:spacing w:val="40"/>
          <w:sz w:val="24"/>
        </w:rPr>
        <w:t xml:space="preserve"> </w:t>
      </w:r>
      <w:r>
        <w:rPr>
          <w:sz w:val="24"/>
        </w:rPr>
        <w:t>85(1): 264-73.</w:t>
      </w:r>
    </w:p>
    <w:p w14:paraId="05D45D47" w14:textId="77777777" w:rsidR="00CD6054" w:rsidRDefault="00A44E92">
      <w:pPr>
        <w:pStyle w:val="ListParagraph"/>
        <w:numPr>
          <w:ilvl w:val="0"/>
          <w:numId w:val="2"/>
        </w:numPr>
        <w:tabs>
          <w:tab w:val="left" w:pos="1648"/>
        </w:tabs>
        <w:spacing w:before="5" w:line="360" w:lineRule="auto"/>
        <w:ind w:left="236" w:right="239" w:firstLine="706"/>
        <w:rPr>
          <w:sz w:val="24"/>
        </w:rPr>
      </w:pPr>
      <w:r>
        <w:rPr>
          <w:color w:val="202020"/>
          <w:sz w:val="24"/>
        </w:rPr>
        <w:t>Grzech-Leśniak K, Gaspirc B, Sculean A. Clinical and microbiological effects of multiple applications of antibacterial photodynamic therapy in periodontal maintenance patients. A randomized controlled clinical</w:t>
      </w:r>
      <w:r>
        <w:rPr>
          <w:color w:val="202020"/>
          <w:spacing w:val="-2"/>
          <w:sz w:val="24"/>
        </w:rPr>
        <w:t xml:space="preserve"> </w:t>
      </w:r>
      <w:r>
        <w:rPr>
          <w:color w:val="202020"/>
          <w:sz w:val="24"/>
        </w:rPr>
        <w:t xml:space="preserve">study. </w:t>
      </w:r>
      <w:r>
        <w:rPr>
          <w:i/>
          <w:color w:val="202020"/>
          <w:sz w:val="24"/>
        </w:rPr>
        <w:t>Photodiagnosis Photodyn Ther</w:t>
      </w:r>
      <w:r>
        <w:rPr>
          <w:color w:val="202020"/>
          <w:sz w:val="24"/>
        </w:rPr>
        <w:t>.</w:t>
      </w:r>
      <w:r>
        <w:rPr>
          <w:color w:val="202020"/>
          <w:spacing w:val="-9"/>
          <w:sz w:val="24"/>
        </w:rPr>
        <w:t xml:space="preserve"> </w:t>
      </w:r>
      <w:r>
        <w:rPr>
          <w:color w:val="202020"/>
          <w:sz w:val="24"/>
        </w:rPr>
        <w:t>2019;27:44-</w:t>
      </w:r>
    </w:p>
    <w:p w14:paraId="3F0B15A1" w14:textId="77777777" w:rsidR="00CD6054" w:rsidRDefault="00A44E92">
      <w:pPr>
        <w:pStyle w:val="BodyText"/>
        <w:spacing w:line="265" w:lineRule="exact"/>
        <w:ind w:left="236"/>
        <w:jc w:val="both"/>
      </w:pPr>
      <w:r>
        <w:rPr>
          <w:color w:val="202020"/>
        </w:rPr>
        <w:t xml:space="preserve">50. </w:t>
      </w:r>
      <w:r>
        <w:rPr>
          <w:color w:val="202020"/>
          <w:spacing w:val="-2"/>
        </w:rPr>
        <w:t>doi:10.1016/j.pdpdt.2019.05.028.</w:t>
      </w:r>
    </w:p>
    <w:p w14:paraId="27499B1B" w14:textId="77777777" w:rsidR="00CD6054" w:rsidRDefault="00A44E92">
      <w:pPr>
        <w:pStyle w:val="ListParagraph"/>
        <w:numPr>
          <w:ilvl w:val="0"/>
          <w:numId w:val="2"/>
        </w:numPr>
        <w:tabs>
          <w:tab w:val="left" w:pos="1648"/>
        </w:tabs>
        <w:spacing w:before="144" w:line="360" w:lineRule="auto"/>
        <w:ind w:left="236" w:right="239" w:firstLine="706"/>
        <w:rPr>
          <w:sz w:val="24"/>
        </w:rPr>
      </w:pPr>
      <w:r>
        <w:rPr>
          <w:color w:val="202020"/>
          <w:sz w:val="24"/>
        </w:rPr>
        <w:t>Hall JE, Kuo JJ, da Silva AA, de Paula RB, Liu J, Tallam L</w:t>
      </w:r>
      <w:r>
        <w:rPr>
          <w:sz w:val="24"/>
        </w:rPr>
        <w:t>. Obesity- associated hypertension and kidney disease</w:t>
      </w:r>
      <w:r>
        <w:rPr>
          <w:i/>
          <w:sz w:val="24"/>
        </w:rPr>
        <w:t>. Curr Opin Nephrol Hypertens</w:t>
      </w:r>
      <w:r>
        <w:rPr>
          <w:sz w:val="24"/>
        </w:rPr>
        <w:t>. 2003 Mar;12(2):195-200.</w:t>
      </w:r>
      <w:r>
        <w:rPr>
          <w:spacing w:val="40"/>
          <w:sz w:val="24"/>
        </w:rPr>
        <w:t xml:space="preserve"> </w:t>
      </w:r>
      <w:r>
        <w:rPr>
          <w:sz w:val="24"/>
        </w:rPr>
        <w:t>doi 10.1097/00041552-200303000-00011. PMID: 12589181.</w:t>
      </w:r>
    </w:p>
    <w:p w14:paraId="4DD01793" w14:textId="77777777" w:rsidR="00CD6054" w:rsidRDefault="00A44E92">
      <w:pPr>
        <w:pStyle w:val="ListParagraph"/>
        <w:numPr>
          <w:ilvl w:val="0"/>
          <w:numId w:val="2"/>
        </w:numPr>
        <w:tabs>
          <w:tab w:val="left" w:pos="1648"/>
        </w:tabs>
        <w:spacing w:before="4" w:line="360" w:lineRule="auto"/>
        <w:ind w:left="236" w:right="255" w:firstLine="706"/>
        <w:rPr>
          <w:sz w:val="24"/>
        </w:rPr>
      </w:pPr>
      <w:r>
        <w:rPr>
          <w:sz w:val="24"/>
        </w:rPr>
        <w:t>Hansen GM, Egeberg A, Holmstrup P &amp; Hansen RP. Relation of periodontitis to risk of cardiovascular and all-cause mortality (from a Danish Nationwide Cohort Study). The American Journal of Cardiology. 2018. 118(4), 489-493.</w:t>
      </w:r>
    </w:p>
    <w:p w14:paraId="43254828" w14:textId="77777777" w:rsidR="00CD6054" w:rsidRDefault="00A44E92">
      <w:pPr>
        <w:pStyle w:val="ListParagraph"/>
        <w:numPr>
          <w:ilvl w:val="0"/>
          <w:numId w:val="2"/>
        </w:numPr>
        <w:tabs>
          <w:tab w:val="left" w:pos="1648"/>
        </w:tabs>
        <w:spacing w:before="4" w:line="357" w:lineRule="auto"/>
        <w:ind w:left="236" w:right="248" w:firstLine="706"/>
        <w:rPr>
          <w:sz w:val="24"/>
        </w:rPr>
      </w:pPr>
      <w:r>
        <w:rPr>
          <w:color w:val="202020"/>
          <w:sz w:val="24"/>
        </w:rPr>
        <w:t>Helenius-Hietala J, Suominen AL, Ruokonen H, Knuuttila M, Puukka P, Jula A, Meurman JH, Åberg F. Periodontitis is associated with incident chronic liver disease-A population-based cohort study. Liver Int. 2019 Mar;39(3):583-591. doi: 10.1111/liv.13985. Epub 2018 Oct 27. PMID: 30300961.</w:t>
      </w:r>
    </w:p>
    <w:p w14:paraId="084DF3A3" w14:textId="77777777" w:rsidR="00CD6054" w:rsidRDefault="00A44E92">
      <w:pPr>
        <w:pStyle w:val="ListParagraph"/>
        <w:numPr>
          <w:ilvl w:val="0"/>
          <w:numId w:val="2"/>
        </w:numPr>
        <w:tabs>
          <w:tab w:val="left" w:pos="1648"/>
        </w:tabs>
        <w:spacing w:before="7" w:line="360" w:lineRule="auto"/>
        <w:ind w:left="236" w:right="261" w:firstLine="706"/>
        <w:rPr>
          <w:sz w:val="24"/>
        </w:rPr>
      </w:pPr>
      <w:r>
        <w:rPr>
          <w:color w:val="202020"/>
          <w:sz w:val="24"/>
        </w:rPr>
        <w:t>Higashi Y, Goto C, Jitsuiki D, Umemura T, Nishioka K, Hidaka T, et al. Periodontal infection is associated with endotelial dysfunction in the dealthy sybjects and hypertensive patients. Hypertension. 2008 Feb; 51:446-53.</w:t>
      </w:r>
    </w:p>
    <w:p w14:paraId="3188642C" w14:textId="77777777" w:rsidR="00CD6054" w:rsidRDefault="00A44E92">
      <w:pPr>
        <w:pStyle w:val="ListParagraph"/>
        <w:numPr>
          <w:ilvl w:val="0"/>
          <w:numId w:val="2"/>
        </w:numPr>
        <w:tabs>
          <w:tab w:val="left" w:pos="1648"/>
        </w:tabs>
        <w:spacing w:before="4" w:line="360" w:lineRule="auto"/>
        <w:ind w:left="236" w:right="239" w:firstLine="706"/>
        <w:rPr>
          <w:sz w:val="24"/>
        </w:rPr>
      </w:pPr>
      <w:r>
        <w:rPr>
          <w:color w:val="202020"/>
          <w:sz w:val="24"/>
        </w:rPr>
        <w:t>Higashi Y, Goto C,</w:t>
      </w:r>
      <w:r>
        <w:rPr>
          <w:color w:val="202020"/>
          <w:spacing w:val="-3"/>
          <w:sz w:val="24"/>
        </w:rPr>
        <w:t xml:space="preserve"> </w:t>
      </w:r>
      <w:r>
        <w:rPr>
          <w:color w:val="202020"/>
          <w:sz w:val="24"/>
        </w:rPr>
        <w:t>Hidaka</w:t>
      </w:r>
      <w:r>
        <w:rPr>
          <w:color w:val="202020"/>
          <w:spacing w:val="-5"/>
          <w:sz w:val="24"/>
        </w:rPr>
        <w:t xml:space="preserve"> </w:t>
      </w:r>
      <w:r>
        <w:rPr>
          <w:color w:val="202020"/>
          <w:sz w:val="24"/>
        </w:rPr>
        <w:t>T,</w:t>
      </w:r>
      <w:r>
        <w:rPr>
          <w:color w:val="202020"/>
          <w:spacing w:val="-3"/>
          <w:sz w:val="24"/>
        </w:rPr>
        <w:t xml:space="preserve"> </w:t>
      </w:r>
      <w:r>
        <w:rPr>
          <w:color w:val="202020"/>
          <w:sz w:val="24"/>
        </w:rPr>
        <w:t>Soga</w:t>
      </w:r>
      <w:r>
        <w:rPr>
          <w:color w:val="202020"/>
          <w:spacing w:val="-5"/>
          <w:sz w:val="24"/>
        </w:rPr>
        <w:t xml:space="preserve"> </w:t>
      </w:r>
      <w:r>
        <w:rPr>
          <w:color w:val="202020"/>
          <w:sz w:val="24"/>
        </w:rPr>
        <w:t>J,</w:t>
      </w:r>
      <w:r>
        <w:rPr>
          <w:color w:val="202020"/>
          <w:spacing w:val="-3"/>
          <w:sz w:val="24"/>
        </w:rPr>
        <w:t xml:space="preserve"> </w:t>
      </w:r>
      <w:r>
        <w:rPr>
          <w:color w:val="202020"/>
          <w:sz w:val="24"/>
        </w:rPr>
        <w:t>Najamura</w:t>
      </w:r>
      <w:r>
        <w:rPr>
          <w:color w:val="202020"/>
          <w:spacing w:val="-5"/>
          <w:sz w:val="24"/>
        </w:rPr>
        <w:t xml:space="preserve"> </w:t>
      </w:r>
      <w:r>
        <w:rPr>
          <w:color w:val="202020"/>
          <w:sz w:val="24"/>
        </w:rPr>
        <w:t>S,</w:t>
      </w:r>
      <w:r>
        <w:rPr>
          <w:color w:val="202020"/>
          <w:spacing w:val="-3"/>
          <w:sz w:val="24"/>
        </w:rPr>
        <w:t xml:space="preserve"> </w:t>
      </w:r>
      <w:r>
        <w:rPr>
          <w:color w:val="202020"/>
          <w:sz w:val="24"/>
        </w:rPr>
        <w:t>Fujii</w:t>
      </w:r>
      <w:r>
        <w:rPr>
          <w:color w:val="202020"/>
          <w:spacing w:val="-9"/>
          <w:sz w:val="24"/>
        </w:rPr>
        <w:t xml:space="preserve"> </w:t>
      </w:r>
      <w:r>
        <w:rPr>
          <w:color w:val="202020"/>
          <w:sz w:val="24"/>
        </w:rPr>
        <w:t>Y et al.</w:t>
      </w:r>
      <w:r>
        <w:rPr>
          <w:color w:val="202020"/>
          <w:spacing w:val="-3"/>
          <w:sz w:val="24"/>
        </w:rPr>
        <w:t xml:space="preserve"> </w:t>
      </w:r>
      <w:r>
        <w:rPr>
          <w:color w:val="202020"/>
          <w:sz w:val="24"/>
        </w:rPr>
        <w:t>Oral</w:t>
      </w:r>
      <w:r>
        <w:rPr>
          <w:color w:val="202020"/>
          <w:spacing w:val="-9"/>
          <w:sz w:val="24"/>
        </w:rPr>
        <w:t xml:space="preserve"> </w:t>
      </w:r>
      <w:r>
        <w:rPr>
          <w:color w:val="202020"/>
          <w:sz w:val="24"/>
        </w:rPr>
        <w:t>infection- inflammatory pathway, periodontitis, is a risk fator</w:t>
      </w:r>
      <w:r>
        <w:rPr>
          <w:color w:val="202020"/>
          <w:spacing w:val="-5"/>
          <w:sz w:val="24"/>
        </w:rPr>
        <w:t xml:space="preserve"> </w:t>
      </w:r>
      <w:r>
        <w:rPr>
          <w:color w:val="202020"/>
          <w:sz w:val="24"/>
        </w:rPr>
        <w:t>for</w:t>
      </w:r>
      <w:r>
        <w:rPr>
          <w:color w:val="202020"/>
          <w:spacing w:val="-5"/>
          <w:sz w:val="24"/>
        </w:rPr>
        <w:t xml:space="preserve"> </w:t>
      </w:r>
      <w:r>
        <w:rPr>
          <w:color w:val="202020"/>
          <w:sz w:val="24"/>
        </w:rPr>
        <w:t>endotelial</w:t>
      </w:r>
      <w:r>
        <w:rPr>
          <w:color w:val="202020"/>
          <w:spacing w:val="-6"/>
          <w:sz w:val="24"/>
        </w:rPr>
        <w:t xml:space="preserve"> </w:t>
      </w:r>
      <w:r>
        <w:rPr>
          <w:color w:val="202020"/>
          <w:sz w:val="24"/>
        </w:rPr>
        <w:t>dysfunction in patients</w:t>
      </w:r>
      <w:r>
        <w:rPr>
          <w:color w:val="202020"/>
          <w:spacing w:val="-3"/>
          <w:sz w:val="24"/>
        </w:rPr>
        <w:t xml:space="preserve"> </w:t>
      </w:r>
      <w:r>
        <w:rPr>
          <w:color w:val="202020"/>
          <w:sz w:val="24"/>
        </w:rPr>
        <w:t>with coronary artery disease. Atherosclerosis.</w:t>
      </w:r>
      <w:r>
        <w:rPr>
          <w:color w:val="202020"/>
          <w:spacing w:val="40"/>
          <w:sz w:val="24"/>
        </w:rPr>
        <w:t xml:space="preserve"> </w:t>
      </w:r>
      <w:r>
        <w:rPr>
          <w:color w:val="202020"/>
          <w:sz w:val="24"/>
        </w:rPr>
        <w:t>2009 Oct; 206(2):604-10.</w:t>
      </w:r>
    </w:p>
    <w:p w14:paraId="5877A90D" w14:textId="77777777" w:rsidR="00CD6054" w:rsidRDefault="00A44E92">
      <w:pPr>
        <w:pStyle w:val="ListParagraph"/>
        <w:numPr>
          <w:ilvl w:val="0"/>
          <w:numId w:val="2"/>
        </w:numPr>
        <w:tabs>
          <w:tab w:val="left" w:pos="1648"/>
        </w:tabs>
        <w:spacing w:before="5" w:line="357" w:lineRule="auto"/>
        <w:ind w:left="236" w:right="238" w:firstLine="706"/>
        <w:rPr>
          <w:sz w:val="24"/>
        </w:rPr>
      </w:pPr>
      <w:r>
        <w:rPr>
          <w:color w:val="202020"/>
          <w:sz w:val="24"/>
        </w:rPr>
        <w:t>Ioannidou E, Shaqman M, Burleson J, Dongari-Bagtzoglou A. Periodontitis case definition affects the association with renal function</w:t>
      </w:r>
      <w:r>
        <w:rPr>
          <w:color w:val="202020"/>
          <w:spacing w:val="-3"/>
          <w:sz w:val="24"/>
        </w:rPr>
        <w:t xml:space="preserve"> </w:t>
      </w:r>
      <w:r>
        <w:rPr>
          <w:color w:val="202020"/>
          <w:sz w:val="24"/>
        </w:rPr>
        <w:t>in</w:t>
      </w:r>
      <w:r>
        <w:rPr>
          <w:color w:val="202020"/>
          <w:spacing w:val="-3"/>
          <w:sz w:val="24"/>
        </w:rPr>
        <w:t xml:space="preserve"> </w:t>
      </w:r>
      <w:r>
        <w:rPr>
          <w:color w:val="202020"/>
          <w:sz w:val="24"/>
        </w:rPr>
        <w:t>kidney</w:t>
      </w:r>
      <w:r>
        <w:rPr>
          <w:color w:val="202020"/>
          <w:spacing w:val="-3"/>
          <w:sz w:val="24"/>
        </w:rPr>
        <w:t xml:space="preserve"> </w:t>
      </w:r>
      <w:r>
        <w:rPr>
          <w:color w:val="202020"/>
          <w:sz w:val="24"/>
        </w:rPr>
        <w:t>transplant recipients. Oral Dis. 2010 Oct;16(7):636-42. doi: 10.1111/j.1601-0825.2010.01665. x. PMID: 20412451; PMCID: PMC2910134.</w:t>
      </w:r>
    </w:p>
    <w:p w14:paraId="019D32FD" w14:textId="77777777" w:rsidR="00CD6054" w:rsidRDefault="00A44E92">
      <w:pPr>
        <w:pStyle w:val="ListParagraph"/>
        <w:numPr>
          <w:ilvl w:val="0"/>
          <w:numId w:val="2"/>
        </w:numPr>
        <w:tabs>
          <w:tab w:val="left" w:pos="1648"/>
        </w:tabs>
        <w:spacing w:before="6" w:line="364" w:lineRule="auto"/>
        <w:ind w:left="236" w:right="258" w:firstLine="706"/>
        <w:rPr>
          <w:sz w:val="24"/>
        </w:rPr>
      </w:pPr>
      <w:r>
        <w:rPr>
          <w:color w:val="202020"/>
          <w:sz w:val="24"/>
        </w:rPr>
        <w:t>Joseph B, Janam P, Narayanan S, Anil S. Is Antimicrobial Photodynamic Therapy</w:t>
      </w:r>
      <w:r>
        <w:rPr>
          <w:color w:val="202020"/>
          <w:spacing w:val="71"/>
          <w:sz w:val="24"/>
        </w:rPr>
        <w:t xml:space="preserve"> </w:t>
      </w:r>
      <w:r>
        <w:rPr>
          <w:color w:val="202020"/>
          <w:sz w:val="24"/>
        </w:rPr>
        <w:t>Effective</w:t>
      </w:r>
      <w:r>
        <w:rPr>
          <w:color w:val="202020"/>
          <w:spacing w:val="55"/>
          <w:sz w:val="24"/>
        </w:rPr>
        <w:t xml:space="preserve"> </w:t>
      </w:r>
      <w:r>
        <w:rPr>
          <w:color w:val="202020"/>
          <w:sz w:val="24"/>
        </w:rPr>
        <w:t>as</w:t>
      </w:r>
      <w:r>
        <w:rPr>
          <w:color w:val="202020"/>
          <w:spacing w:val="40"/>
          <w:sz w:val="24"/>
        </w:rPr>
        <w:t xml:space="preserve"> </w:t>
      </w:r>
      <w:r>
        <w:rPr>
          <w:color w:val="202020"/>
          <w:sz w:val="24"/>
        </w:rPr>
        <w:t>an</w:t>
      </w:r>
      <w:r>
        <w:rPr>
          <w:color w:val="202020"/>
          <w:spacing w:val="56"/>
          <w:sz w:val="24"/>
        </w:rPr>
        <w:t xml:space="preserve"> </w:t>
      </w:r>
      <w:r>
        <w:rPr>
          <w:color w:val="202020"/>
          <w:sz w:val="24"/>
        </w:rPr>
        <w:t>Adjunct</w:t>
      </w:r>
      <w:r>
        <w:rPr>
          <w:color w:val="202020"/>
          <w:spacing w:val="64"/>
          <w:sz w:val="24"/>
        </w:rPr>
        <w:t xml:space="preserve"> </w:t>
      </w:r>
      <w:r>
        <w:rPr>
          <w:color w:val="202020"/>
          <w:sz w:val="24"/>
        </w:rPr>
        <w:t>to</w:t>
      </w:r>
      <w:r>
        <w:rPr>
          <w:color w:val="202020"/>
          <w:spacing w:val="56"/>
          <w:sz w:val="24"/>
        </w:rPr>
        <w:t xml:space="preserve"> </w:t>
      </w:r>
      <w:r>
        <w:rPr>
          <w:color w:val="202020"/>
          <w:sz w:val="24"/>
        </w:rPr>
        <w:t>Scaling</w:t>
      </w:r>
      <w:r>
        <w:rPr>
          <w:color w:val="202020"/>
          <w:spacing w:val="56"/>
          <w:sz w:val="24"/>
        </w:rPr>
        <w:t xml:space="preserve"> </w:t>
      </w:r>
      <w:r>
        <w:rPr>
          <w:color w:val="202020"/>
          <w:sz w:val="24"/>
        </w:rPr>
        <w:t>and</w:t>
      </w:r>
      <w:r>
        <w:rPr>
          <w:color w:val="202020"/>
          <w:spacing w:val="71"/>
          <w:sz w:val="24"/>
        </w:rPr>
        <w:t xml:space="preserve"> </w:t>
      </w:r>
      <w:r>
        <w:rPr>
          <w:color w:val="202020"/>
          <w:sz w:val="24"/>
        </w:rPr>
        <w:t>Root</w:t>
      </w:r>
      <w:r>
        <w:rPr>
          <w:color w:val="202020"/>
          <w:spacing w:val="64"/>
          <w:sz w:val="24"/>
        </w:rPr>
        <w:t xml:space="preserve"> </w:t>
      </w:r>
      <w:r>
        <w:rPr>
          <w:color w:val="202020"/>
          <w:sz w:val="24"/>
        </w:rPr>
        <w:t>Planing</w:t>
      </w:r>
      <w:r>
        <w:rPr>
          <w:color w:val="202020"/>
          <w:spacing w:val="56"/>
          <w:sz w:val="24"/>
        </w:rPr>
        <w:t xml:space="preserve"> </w:t>
      </w:r>
      <w:r>
        <w:rPr>
          <w:color w:val="202020"/>
          <w:sz w:val="24"/>
        </w:rPr>
        <w:t>in</w:t>
      </w:r>
      <w:r>
        <w:rPr>
          <w:color w:val="202020"/>
          <w:spacing w:val="56"/>
          <w:sz w:val="24"/>
        </w:rPr>
        <w:t xml:space="preserve"> </w:t>
      </w:r>
      <w:r>
        <w:rPr>
          <w:color w:val="202020"/>
          <w:sz w:val="24"/>
        </w:rPr>
        <w:t>Patients</w:t>
      </w:r>
      <w:r>
        <w:rPr>
          <w:color w:val="202020"/>
          <w:spacing w:val="40"/>
          <w:sz w:val="24"/>
        </w:rPr>
        <w:t xml:space="preserve"> </w:t>
      </w:r>
      <w:r>
        <w:rPr>
          <w:color w:val="202020"/>
          <w:sz w:val="24"/>
        </w:rPr>
        <w:t>with</w:t>
      </w:r>
      <w:r>
        <w:rPr>
          <w:color w:val="202020"/>
          <w:spacing w:val="56"/>
          <w:sz w:val="24"/>
        </w:rPr>
        <w:t xml:space="preserve"> </w:t>
      </w:r>
      <w:r>
        <w:rPr>
          <w:color w:val="202020"/>
          <w:sz w:val="24"/>
        </w:rPr>
        <w:t>Chronic</w:t>
      </w:r>
    </w:p>
    <w:p w14:paraId="06B9D088" w14:textId="77777777" w:rsidR="00CD6054" w:rsidRDefault="00CD6054">
      <w:pPr>
        <w:spacing w:line="364" w:lineRule="auto"/>
        <w:jc w:val="both"/>
        <w:rPr>
          <w:sz w:val="24"/>
        </w:rPr>
        <w:sectPr w:rsidR="00CD6054">
          <w:pgSz w:w="11910" w:h="16850"/>
          <w:pgMar w:top="1640" w:right="880" w:bottom="280" w:left="1460" w:header="720" w:footer="720" w:gutter="0"/>
          <w:cols w:space="720"/>
        </w:sectPr>
      </w:pPr>
    </w:p>
    <w:p w14:paraId="2181A2DD" w14:textId="77777777" w:rsidR="00CD6054" w:rsidRDefault="00A44E92">
      <w:pPr>
        <w:pStyle w:val="BodyText"/>
        <w:spacing w:before="68" w:line="364" w:lineRule="auto"/>
        <w:ind w:left="236" w:right="251"/>
        <w:jc w:val="both"/>
      </w:pPr>
      <w:r>
        <w:rPr>
          <w:color w:val="202020"/>
        </w:rPr>
        <w:lastRenderedPageBreak/>
        <w:t>Periodontitis? A Systematic Review.</w:t>
      </w:r>
      <w:r>
        <w:rPr>
          <w:color w:val="202020"/>
          <w:spacing w:val="-1"/>
        </w:rPr>
        <w:t xml:space="preserve"> </w:t>
      </w:r>
      <w:r>
        <w:rPr>
          <w:i/>
          <w:color w:val="202020"/>
        </w:rPr>
        <w:t>Biomolecules</w:t>
      </w:r>
      <w:r>
        <w:rPr>
          <w:color w:val="202020"/>
        </w:rPr>
        <w:t xml:space="preserve">. 2017;7(4):79. Published 2017 Nov 24. </w:t>
      </w:r>
      <w:r>
        <w:rPr>
          <w:color w:val="202020"/>
          <w:spacing w:val="-2"/>
        </w:rPr>
        <w:t>doi:10.3390/biom7040079.</w:t>
      </w:r>
    </w:p>
    <w:p w14:paraId="0551B2C5" w14:textId="77777777" w:rsidR="00CD6054" w:rsidRDefault="00A44E92">
      <w:pPr>
        <w:pStyle w:val="ListParagraph"/>
        <w:numPr>
          <w:ilvl w:val="0"/>
          <w:numId w:val="2"/>
        </w:numPr>
        <w:tabs>
          <w:tab w:val="left" w:pos="1648"/>
        </w:tabs>
        <w:spacing w:before="1" w:line="360" w:lineRule="auto"/>
        <w:ind w:left="236" w:right="240" w:firstLine="706"/>
        <w:rPr>
          <w:sz w:val="24"/>
        </w:rPr>
      </w:pPr>
      <w:r>
        <w:rPr>
          <w:color w:val="202020"/>
          <w:sz w:val="24"/>
        </w:rPr>
        <w:t>Kassebaum NJ, Bernabé E, Dahiya M, Bhandari B,</w:t>
      </w:r>
      <w:r>
        <w:rPr>
          <w:color w:val="202020"/>
          <w:spacing w:val="-3"/>
          <w:sz w:val="24"/>
        </w:rPr>
        <w:t xml:space="preserve"> </w:t>
      </w:r>
      <w:r>
        <w:rPr>
          <w:color w:val="202020"/>
          <w:sz w:val="24"/>
        </w:rPr>
        <w:t>Murray</w:t>
      </w:r>
      <w:r>
        <w:rPr>
          <w:color w:val="202020"/>
          <w:spacing w:val="-3"/>
          <w:sz w:val="24"/>
        </w:rPr>
        <w:t xml:space="preserve"> </w:t>
      </w:r>
      <w:r>
        <w:rPr>
          <w:color w:val="202020"/>
          <w:sz w:val="24"/>
        </w:rPr>
        <w:t>CJ</w:t>
      </w:r>
      <w:r>
        <w:rPr>
          <w:color w:val="202020"/>
          <w:spacing w:val="-7"/>
          <w:sz w:val="24"/>
        </w:rPr>
        <w:t xml:space="preserve"> </w:t>
      </w:r>
      <w:r>
        <w:rPr>
          <w:color w:val="202020"/>
          <w:sz w:val="24"/>
        </w:rPr>
        <w:t>&amp;</w:t>
      </w:r>
      <w:r>
        <w:rPr>
          <w:color w:val="202020"/>
          <w:spacing w:val="-10"/>
          <w:sz w:val="24"/>
        </w:rPr>
        <w:t xml:space="preserve"> </w:t>
      </w:r>
      <w:r>
        <w:rPr>
          <w:color w:val="202020"/>
          <w:sz w:val="24"/>
        </w:rPr>
        <w:t>Marcanes</w:t>
      </w:r>
      <w:r>
        <w:rPr>
          <w:color w:val="202020"/>
          <w:spacing w:val="-7"/>
          <w:sz w:val="24"/>
        </w:rPr>
        <w:t xml:space="preserve"> </w:t>
      </w:r>
      <w:r>
        <w:rPr>
          <w:color w:val="202020"/>
          <w:sz w:val="24"/>
        </w:rPr>
        <w:t>W. Global burden of severe tooth loss: A systematic</w:t>
      </w:r>
      <w:r>
        <w:rPr>
          <w:color w:val="202020"/>
          <w:spacing w:val="-7"/>
          <w:sz w:val="24"/>
        </w:rPr>
        <w:t xml:space="preserve"> </w:t>
      </w:r>
      <w:r>
        <w:rPr>
          <w:color w:val="202020"/>
          <w:sz w:val="24"/>
        </w:rPr>
        <w:t>review and meta-analysus.</w:t>
      </w:r>
      <w:r>
        <w:rPr>
          <w:color w:val="202020"/>
          <w:spacing w:val="-4"/>
          <w:sz w:val="24"/>
        </w:rPr>
        <w:t xml:space="preserve"> </w:t>
      </w:r>
      <w:r>
        <w:rPr>
          <w:color w:val="202020"/>
          <w:sz w:val="24"/>
        </w:rPr>
        <w:t>Journal</w:t>
      </w:r>
      <w:r>
        <w:rPr>
          <w:color w:val="202020"/>
          <w:spacing w:val="-11"/>
          <w:sz w:val="24"/>
        </w:rPr>
        <w:t xml:space="preserve"> </w:t>
      </w:r>
      <w:r>
        <w:rPr>
          <w:color w:val="202020"/>
          <w:sz w:val="24"/>
        </w:rPr>
        <w:t>of Dental Research, 2014, 93(7Suppl), 20S-28S.</w:t>
      </w:r>
    </w:p>
    <w:p w14:paraId="2A43ED6C" w14:textId="77777777" w:rsidR="00CD6054" w:rsidRDefault="00A44E92">
      <w:pPr>
        <w:pStyle w:val="ListParagraph"/>
        <w:numPr>
          <w:ilvl w:val="0"/>
          <w:numId w:val="2"/>
        </w:numPr>
        <w:tabs>
          <w:tab w:val="left" w:pos="1648"/>
        </w:tabs>
        <w:spacing w:line="364" w:lineRule="auto"/>
        <w:ind w:left="236" w:right="252" w:firstLine="706"/>
        <w:rPr>
          <w:sz w:val="24"/>
        </w:rPr>
      </w:pPr>
      <w:r>
        <w:rPr>
          <w:color w:val="202020"/>
          <w:sz w:val="24"/>
        </w:rPr>
        <w:t>Kho HS, Lee SW, Chung SC, Kim YK. Oral manifestations and salivar flow rate, pH and buffer</w:t>
      </w:r>
      <w:r>
        <w:rPr>
          <w:color w:val="202020"/>
          <w:spacing w:val="-8"/>
          <w:sz w:val="24"/>
        </w:rPr>
        <w:t xml:space="preserve"> </w:t>
      </w:r>
      <w:r>
        <w:rPr>
          <w:color w:val="202020"/>
          <w:sz w:val="24"/>
        </w:rPr>
        <w:t>capacity</w:t>
      </w:r>
      <w:r>
        <w:rPr>
          <w:color w:val="202020"/>
          <w:spacing w:val="-2"/>
          <w:sz w:val="24"/>
        </w:rPr>
        <w:t xml:space="preserve"> </w:t>
      </w:r>
      <w:r>
        <w:rPr>
          <w:color w:val="202020"/>
          <w:sz w:val="24"/>
        </w:rPr>
        <w:t>in</w:t>
      </w:r>
      <w:r>
        <w:rPr>
          <w:color w:val="202020"/>
          <w:spacing w:val="-2"/>
          <w:sz w:val="24"/>
        </w:rPr>
        <w:t xml:space="preserve"> </w:t>
      </w:r>
      <w:r>
        <w:rPr>
          <w:color w:val="202020"/>
          <w:sz w:val="24"/>
        </w:rPr>
        <w:t>patients</w:t>
      </w:r>
      <w:r>
        <w:rPr>
          <w:color w:val="202020"/>
          <w:spacing w:val="-6"/>
          <w:sz w:val="24"/>
        </w:rPr>
        <w:t xml:space="preserve"> </w:t>
      </w:r>
      <w:r>
        <w:rPr>
          <w:color w:val="202020"/>
          <w:sz w:val="24"/>
        </w:rPr>
        <w:t>with</w:t>
      </w:r>
      <w:r>
        <w:rPr>
          <w:color w:val="202020"/>
          <w:spacing w:val="-2"/>
          <w:sz w:val="24"/>
        </w:rPr>
        <w:t xml:space="preserve"> </w:t>
      </w:r>
      <w:r>
        <w:rPr>
          <w:color w:val="202020"/>
          <w:sz w:val="24"/>
        </w:rPr>
        <w:t>end-stage</w:t>
      </w:r>
      <w:r>
        <w:rPr>
          <w:color w:val="202020"/>
          <w:spacing w:val="-4"/>
          <w:sz w:val="24"/>
        </w:rPr>
        <w:t xml:space="preserve"> </w:t>
      </w:r>
      <w:r>
        <w:rPr>
          <w:color w:val="202020"/>
          <w:sz w:val="24"/>
        </w:rPr>
        <w:t>renal</w:t>
      </w:r>
      <w:r>
        <w:rPr>
          <w:color w:val="202020"/>
          <w:spacing w:val="-9"/>
          <w:sz w:val="24"/>
        </w:rPr>
        <w:t xml:space="preserve"> </w:t>
      </w:r>
      <w:r>
        <w:rPr>
          <w:color w:val="202020"/>
          <w:sz w:val="24"/>
        </w:rPr>
        <w:t>disease</w:t>
      </w:r>
      <w:r>
        <w:rPr>
          <w:color w:val="202020"/>
          <w:spacing w:val="-4"/>
          <w:sz w:val="24"/>
        </w:rPr>
        <w:t xml:space="preserve"> </w:t>
      </w:r>
      <w:r>
        <w:rPr>
          <w:color w:val="202020"/>
          <w:sz w:val="24"/>
        </w:rPr>
        <w:t>undergoind hemodialysis. Oral Surg Oral Med Pathol Oral Radiol Endod. 1999; 83(3): 316-9.</w:t>
      </w:r>
    </w:p>
    <w:p w14:paraId="0AF80CC3" w14:textId="77777777" w:rsidR="00CD6054" w:rsidRDefault="00A44E92">
      <w:pPr>
        <w:pStyle w:val="ListParagraph"/>
        <w:numPr>
          <w:ilvl w:val="0"/>
          <w:numId w:val="2"/>
        </w:numPr>
        <w:tabs>
          <w:tab w:val="left" w:pos="1648"/>
        </w:tabs>
        <w:spacing w:line="364" w:lineRule="auto"/>
        <w:ind w:left="236" w:right="241" w:firstLine="706"/>
        <w:rPr>
          <w:sz w:val="24"/>
        </w:rPr>
      </w:pPr>
      <w:r>
        <w:rPr>
          <w:color w:val="202020"/>
          <w:sz w:val="24"/>
        </w:rPr>
        <w:t>Kinane DF, Shiba H, Hart TC. The genetic basis of periodontits. Periodontol 2000. 2005;39:91-117. doi 10.1111/j.1600-0757.2005.00118.x PMID:16135066.</w:t>
      </w:r>
    </w:p>
    <w:p w14:paraId="690E395D" w14:textId="77777777" w:rsidR="00CD6054" w:rsidRDefault="00A44E92">
      <w:pPr>
        <w:pStyle w:val="ListParagraph"/>
        <w:numPr>
          <w:ilvl w:val="0"/>
          <w:numId w:val="2"/>
        </w:numPr>
        <w:tabs>
          <w:tab w:val="left" w:pos="1648"/>
        </w:tabs>
        <w:spacing w:line="364" w:lineRule="auto"/>
        <w:ind w:left="236" w:right="246" w:firstLine="706"/>
        <w:rPr>
          <w:sz w:val="24"/>
        </w:rPr>
      </w:pPr>
      <w:r>
        <w:rPr>
          <w:color w:val="202020"/>
          <w:sz w:val="24"/>
        </w:rPr>
        <w:t>Ksiazek K, Blaszczak J, Buraczynska M. IL4 gene VNTR polymorphism in chronic periodontitis in end-stage renal disease patients. Oral Dis. 2019 Jan;25(1):258-264. doi: 10.1111/odi.12974. Epub 2018 Oct 11. PMID:30194905.</w:t>
      </w:r>
    </w:p>
    <w:p w14:paraId="61BBA6E5" w14:textId="77777777" w:rsidR="00CD6054" w:rsidRDefault="00A44E92">
      <w:pPr>
        <w:pStyle w:val="ListParagraph"/>
        <w:numPr>
          <w:ilvl w:val="0"/>
          <w:numId w:val="2"/>
        </w:numPr>
        <w:tabs>
          <w:tab w:val="left" w:pos="1648"/>
        </w:tabs>
        <w:spacing w:line="360" w:lineRule="auto"/>
        <w:ind w:left="236" w:right="239" w:firstLine="706"/>
        <w:rPr>
          <w:sz w:val="24"/>
        </w:rPr>
      </w:pPr>
      <w:r>
        <w:rPr>
          <w:color w:val="202020"/>
          <w:sz w:val="24"/>
        </w:rPr>
        <w:t>Ksiazek K, Buraczynska M. Association between Monocyte Chemoattractant Protein-1 -2518 (A/G) Single Nucleotide Polymorphism and Chronic Periodontitis in End</w:t>
      </w:r>
      <w:r>
        <w:rPr>
          <w:color w:val="202020"/>
          <w:spacing w:val="-15"/>
          <w:sz w:val="24"/>
        </w:rPr>
        <w:t xml:space="preserve"> </w:t>
      </w:r>
      <w:r>
        <w:rPr>
          <w:color w:val="202020"/>
          <w:sz w:val="24"/>
        </w:rPr>
        <w:t>- stage Renal Disease Patients - A Case-control Study. Immunol Invest. 2020 Nov;49(8):897- 906. doi: 10.1080/08820139.2019.1702052. Epub 2019 Dec 17. PMID: 31847640</w:t>
      </w:r>
    </w:p>
    <w:p w14:paraId="76FE9C52" w14:textId="77777777" w:rsidR="00CD6054" w:rsidRDefault="00A44E92">
      <w:pPr>
        <w:pStyle w:val="ListParagraph"/>
        <w:numPr>
          <w:ilvl w:val="0"/>
          <w:numId w:val="2"/>
        </w:numPr>
        <w:tabs>
          <w:tab w:val="left" w:pos="1648"/>
        </w:tabs>
        <w:spacing w:line="352" w:lineRule="auto"/>
        <w:ind w:left="236" w:right="248" w:firstLine="706"/>
        <w:rPr>
          <w:sz w:val="24"/>
        </w:rPr>
      </w:pPr>
      <w:r>
        <w:rPr>
          <w:color w:val="202020"/>
          <w:sz w:val="24"/>
        </w:rPr>
        <w:t>Kshirsagar AV,</w:t>
      </w:r>
      <w:r>
        <w:rPr>
          <w:color w:val="202020"/>
          <w:spacing w:val="-2"/>
          <w:sz w:val="24"/>
        </w:rPr>
        <w:t xml:space="preserve"> </w:t>
      </w:r>
      <w:r>
        <w:rPr>
          <w:color w:val="202020"/>
          <w:sz w:val="24"/>
        </w:rPr>
        <w:t>Craig</w:t>
      </w:r>
      <w:r>
        <w:rPr>
          <w:color w:val="202020"/>
          <w:spacing w:val="-2"/>
          <w:sz w:val="24"/>
        </w:rPr>
        <w:t xml:space="preserve"> </w:t>
      </w:r>
      <w:r>
        <w:rPr>
          <w:color w:val="202020"/>
          <w:sz w:val="24"/>
        </w:rPr>
        <w:t>RG,</w:t>
      </w:r>
      <w:r>
        <w:rPr>
          <w:color w:val="202020"/>
          <w:spacing w:val="-2"/>
          <w:sz w:val="24"/>
        </w:rPr>
        <w:t xml:space="preserve"> </w:t>
      </w:r>
      <w:r>
        <w:rPr>
          <w:color w:val="202020"/>
          <w:sz w:val="24"/>
        </w:rPr>
        <w:t>Moss</w:t>
      </w:r>
      <w:r>
        <w:rPr>
          <w:color w:val="202020"/>
          <w:spacing w:val="-6"/>
          <w:sz w:val="24"/>
        </w:rPr>
        <w:t xml:space="preserve"> </w:t>
      </w:r>
      <w:r>
        <w:rPr>
          <w:color w:val="202020"/>
          <w:sz w:val="24"/>
        </w:rPr>
        <w:t xml:space="preserve">KL </w:t>
      </w:r>
      <w:r>
        <w:rPr>
          <w:i/>
          <w:color w:val="202020"/>
          <w:sz w:val="24"/>
        </w:rPr>
        <w:t>et</w:t>
      </w:r>
      <w:r>
        <w:rPr>
          <w:i/>
          <w:color w:val="202020"/>
          <w:spacing w:val="-9"/>
          <w:sz w:val="24"/>
        </w:rPr>
        <w:t xml:space="preserve"> </w:t>
      </w:r>
      <w:r>
        <w:rPr>
          <w:i/>
          <w:color w:val="202020"/>
          <w:sz w:val="24"/>
        </w:rPr>
        <w:t>al.</w:t>
      </w:r>
      <w:r>
        <w:rPr>
          <w:i/>
          <w:color w:val="202020"/>
          <w:spacing w:val="-2"/>
          <w:sz w:val="24"/>
        </w:rPr>
        <w:t xml:space="preserve"> </w:t>
      </w:r>
      <w:r>
        <w:rPr>
          <w:color w:val="202020"/>
          <w:sz w:val="24"/>
        </w:rPr>
        <w:t>Periodontal</w:t>
      </w:r>
      <w:r>
        <w:rPr>
          <w:color w:val="202020"/>
          <w:spacing w:val="-9"/>
          <w:sz w:val="24"/>
        </w:rPr>
        <w:t xml:space="preserve"> </w:t>
      </w:r>
      <w:r>
        <w:rPr>
          <w:color w:val="202020"/>
          <w:sz w:val="24"/>
        </w:rPr>
        <w:t>disease</w:t>
      </w:r>
      <w:r>
        <w:rPr>
          <w:color w:val="202020"/>
          <w:spacing w:val="-4"/>
          <w:sz w:val="24"/>
        </w:rPr>
        <w:t xml:space="preserve"> </w:t>
      </w:r>
      <w:r>
        <w:rPr>
          <w:color w:val="202020"/>
          <w:sz w:val="24"/>
        </w:rPr>
        <w:t>adversely</w:t>
      </w:r>
      <w:r>
        <w:rPr>
          <w:color w:val="202020"/>
          <w:spacing w:val="-2"/>
          <w:sz w:val="24"/>
        </w:rPr>
        <w:t xml:space="preserve"> </w:t>
      </w:r>
      <w:r>
        <w:rPr>
          <w:color w:val="202020"/>
          <w:sz w:val="24"/>
        </w:rPr>
        <w:t>affects the survival of patients with end-stage renal disease. Kidney Int 2009. 75: 746-751.</w:t>
      </w:r>
    </w:p>
    <w:p w14:paraId="20BFDCAB" w14:textId="77777777" w:rsidR="00CD6054" w:rsidRDefault="00A44E92">
      <w:pPr>
        <w:pStyle w:val="ListParagraph"/>
        <w:numPr>
          <w:ilvl w:val="0"/>
          <w:numId w:val="2"/>
        </w:numPr>
        <w:tabs>
          <w:tab w:val="left" w:pos="1648"/>
        </w:tabs>
        <w:spacing w:line="360" w:lineRule="auto"/>
        <w:ind w:left="236" w:right="246" w:firstLine="706"/>
        <w:rPr>
          <w:sz w:val="24"/>
        </w:rPr>
      </w:pPr>
      <w:r>
        <w:rPr>
          <w:color w:val="202020"/>
          <w:sz w:val="24"/>
        </w:rPr>
        <w:t xml:space="preserve">Kumar V, Sinha J, Verma N, Nayan K, Saimbi CS, Tripathi AK. Scope of photodynamic therapy in periodontics. </w:t>
      </w:r>
      <w:r>
        <w:rPr>
          <w:i/>
          <w:color w:val="202020"/>
          <w:sz w:val="24"/>
        </w:rPr>
        <w:t>Indian J Dent Res</w:t>
      </w:r>
      <w:r>
        <w:rPr>
          <w:color w:val="202020"/>
          <w:sz w:val="24"/>
        </w:rPr>
        <w:t xml:space="preserve">. 2015;26(4):439-442. </w:t>
      </w:r>
      <w:r>
        <w:rPr>
          <w:color w:val="202020"/>
          <w:spacing w:val="-2"/>
          <w:sz w:val="24"/>
        </w:rPr>
        <w:t>doi:10.4103/0970-9290.167636</w:t>
      </w:r>
    </w:p>
    <w:p w14:paraId="7B814EBB" w14:textId="77777777" w:rsidR="00CD6054" w:rsidRDefault="00A44E92">
      <w:pPr>
        <w:pStyle w:val="ListParagraph"/>
        <w:numPr>
          <w:ilvl w:val="0"/>
          <w:numId w:val="2"/>
        </w:numPr>
        <w:tabs>
          <w:tab w:val="left" w:pos="1648"/>
        </w:tabs>
        <w:spacing w:line="352" w:lineRule="auto"/>
        <w:ind w:left="236" w:right="242" w:firstLine="706"/>
        <w:rPr>
          <w:sz w:val="24"/>
        </w:rPr>
      </w:pPr>
      <w:r>
        <w:rPr>
          <w:color w:val="202020"/>
          <w:sz w:val="24"/>
        </w:rPr>
        <w:t>L.J. The global call for oral health and general health. International Dental Journal. 2013, 63, 281-282.</w:t>
      </w:r>
    </w:p>
    <w:p w14:paraId="2AB64822" w14:textId="77777777" w:rsidR="00CD6054" w:rsidRDefault="00A44E92">
      <w:pPr>
        <w:pStyle w:val="ListParagraph"/>
        <w:numPr>
          <w:ilvl w:val="0"/>
          <w:numId w:val="2"/>
        </w:numPr>
        <w:tabs>
          <w:tab w:val="left" w:pos="1648"/>
        </w:tabs>
        <w:spacing w:line="352" w:lineRule="auto"/>
        <w:ind w:left="236" w:right="260" w:firstLine="706"/>
        <w:rPr>
          <w:sz w:val="24"/>
        </w:rPr>
      </w:pPr>
      <w:r>
        <w:rPr>
          <w:color w:val="202020"/>
          <w:sz w:val="24"/>
        </w:rPr>
        <w:t>Lamster IB, Lalla E. Periodontal diseases and diabetes mellitus: discussion, conclusions,</w:t>
      </w:r>
      <w:r>
        <w:rPr>
          <w:color w:val="202020"/>
          <w:spacing w:val="40"/>
          <w:sz w:val="24"/>
        </w:rPr>
        <w:t xml:space="preserve"> </w:t>
      </w:r>
      <w:r>
        <w:rPr>
          <w:color w:val="202020"/>
          <w:sz w:val="24"/>
        </w:rPr>
        <w:t>and recommendations. Ann Periodontol. 2001. 6: 146-149.</w:t>
      </w:r>
    </w:p>
    <w:p w14:paraId="2DF9FEEB" w14:textId="77777777" w:rsidR="00CD6054" w:rsidRDefault="00A44E92">
      <w:pPr>
        <w:pStyle w:val="ListParagraph"/>
        <w:numPr>
          <w:ilvl w:val="0"/>
          <w:numId w:val="2"/>
        </w:numPr>
        <w:tabs>
          <w:tab w:val="left" w:pos="1649"/>
        </w:tabs>
        <w:spacing w:before="10"/>
        <w:ind w:left="1649"/>
        <w:rPr>
          <w:sz w:val="24"/>
        </w:rPr>
      </w:pPr>
      <w:r>
        <w:rPr>
          <w:sz w:val="24"/>
        </w:rPr>
        <w:t>Lindhe</w:t>
      </w:r>
      <w:r>
        <w:rPr>
          <w:spacing w:val="-2"/>
          <w:sz w:val="24"/>
        </w:rPr>
        <w:t xml:space="preserve"> </w:t>
      </w:r>
      <w:r>
        <w:rPr>
          <w:sz w:val="24"/>
        </w:rPr>
        <w:t>et.</w:t>
      </w:r>
      <w:r>
        <w:rPr>
          <w:spacing w:val="2"/>
          <w:sz w:val="24"/>
        </w:rPr>
        <w:t xml:space="preserve"> </w:t>
      </w:r>
      <w:r>
        <w:rPr>
          <w:sz w:val="24"/>
        </w:rPr>
        <w:t>Al</w:t>
      </w:r>
      <w:r>
        <w:rPr>
          <w:spacing w:val="-4"/>
          <w:sz w:val="24"/>
        </w:rPr>
        <w:t xml:space="preserve"> </w:t>
      </w:r>
      <w:r>
        <w:rPr>
          <w:sz w:val="24"/>
        </w:rPr>
        <w:t>(Tratado</w:t>
      </w:r>
      <w:r>
        <w:rPr>
          <w:spacing w:val="2"/>
          <w:sz w:val="24"/>
        </w:rPr>
        <w:t xml:space="preserve"> </w:t>
      </w:r>
      <w:r>
        <w:rPr>
          <w:sz w:val="24"/>
        </w:rPr>
        <w:t>de Periodontia</w:t>
      </w:r>
      <w:r>
        <w:rPr>
          <w:spacing w:val="1"/>
          <w:sz w:val="24"/>
        </w:rPr>
        <w:t xml:space="preserve"> </w:t>
      </w:r>
      <w:r>
        <w:rPr>
          <w:sz w:val="24"/>
        </w:rPr>
        <w:t>Clínica e</w:t>
      </w:r>
      <w:r>
        <w:rPr>
          <w:spacing w:val="1"/>
          <w:sz w:val="24"/>
        </w:rPr>
        <w:t xml:space="preserve"> </w:t>
      </w:r>
      <w:r>
        <w:rPr>
          <w:sz w:val="24"/>
        </w:rPr>
        <w:t>Implantodontia Oral</w:t>
      </w:r>
      <w:r>
        <w:rPr>
          <w:spacing w:val="-5"/>
          <w:sz w:val="24"/>
        </w:rPr>
        <w:t xml:space="preserve"> </w:t>
      </w:r>
      <w:r>
        <w:rPr>
          <w:sz w:val="24"/>
        </w:rPr>
        <w:t>6ª</w:t>
      </w:r>
      <w:r>
        <w:rPr>
          <w:spacing w:val="-4"/>
          <w:sz w:val="24"/>
        </w:rPr>
        <w:t xml:space="preserve"> </w:t>
      </w:r>
      <w:r>
        <w:rPr>
          <w:spacing w:val="-2"/>
          <w:sz w:val="24"/>
        </w:rPr>
        <w:t>edição).</w:t>
      </w:r>
    </w:p>
    <w:p w14:paraId="6AB54A8C" w14:textId="77777777" w:rsidR="00CD6054" w:rsidRDefault="00A44E92">
      <w:pPr>
        <w:pStyle w:val="ListParagraph"/>
        <w:numPr>
          <w:ilvl w:val="0"/>
          <w:numId w:val="2"/>
        </w:numPr>
        <w:tabs>
          <w:tab w:val="left" w:pos="1648"/>
        </w:tabs>
        <w:spacing w:before="144" w:line="352" w:lineRule="auto"/>
        <w:ind w:left="236" w:right="253" w:firstLine="706"/>
        <w:rPr>
          <w:sz w:val="24"/>
        </w:rPr>
      </w:pPr>
      <w:r>
        <w:rPr>
          <w:sz w:val="24"/>
        </w:rPr>
        <w:t>Linden GJ, Lyons A &amp; Scannapieco FA. Periodontal systemic associations: review of the evidence. Journal of Clinical Periodontology. 2013. 40(s14), S8-S19.</w:t>
      </w:r>
    </w:p>
    <w:p w14:paraId="47F9BA25" w14:textId="77777777" w:rsidR="00CD6054" w:rsidRDefault="00A44E92">
      <w:pPr>
        <w:pStyle w:val="ListParagraph"/>
        <w:numPr>
          <w:ilvl w:val="0"/>
          <w:numId w:val="2"/>
        </w:numPr>
        <w:tabs>
          <w:tab w:val="left" w:pos="1648"/>
        </w:tabs>
        <w:spacing w:before="14" w:line="352" w:lineRule="auto"/>
        <w:ind w:left="236" w:right="252" w:firstLine="706"/>
        <w:rPr>
          <w:sz w:val="24"/>
        </w:rPr>
      </w:pPr>
      <w:r>
        <w:rPr>
          <w:sz w:val="24"/>
        </w:rPr>
        <w:t xml:space="preserve">Lins L, Aguiar I, Carvalho FM </w:t>
      </w:r>
      <w:r>
        <w:rPr>
          <w:i/>
          <w:sz w:val="24"/>
        </w:rPr>
        <w:t>et al</w:t>
      </w:r>
      <w:r>
        <w:rPr>
          <w:sz w:val="24"/>
        </w:rPr>
        <w:t>. Oral heatlh and quality of life in candidates for liver transplantation. Transplant</w:t>
      </w:r>
      <w:r>
        <w:rPr>
          <w:spacing w:val="40"/>
          <w:sz w:val="24"/>
        </w:rPr>
        <w:t xml:space="preserve"> </w:t>
      </w:r>
      <w:r>
        <w:rPr>
          <w:sz w:val="24"/>
        </w:rPr>
        <w:t>Proc. 2017; 49: 836-840.</w:t>
      </w:r>
    </w:p>
    <w:p w14:paraId="5266FCC0" w14:textId="77777777" w:rsidR="00CD6054" w:rsidRDefault="00A44E92">
      <w:pPr>
        <w:pStyle w:val="ListParagraph"/>
        <w:numPr>
          <w:ilvl w:val="0"/>
          <w:numId w:val="2"/>
        </w:numPr>
        <w:tabs>
          <w:tab w:val="left" w:pos="1648"/>
        </w:tabs>
        <w:spacing w:before="15" w:line="360" w:lineRule="auto"/>
        <w:ind w:left="236" w:right="256" w:firstLine="706"/>
        <w:rPr>
          <w:sz w:val="24"/>
        </w:rPr>
      </w:pPr>
      <w:r>
        <w:rPr>
          <w:sz w:val="24"/>
        </w:rPr>
        <w:t>Martins C, Siqueira WL, de Oliveira E, Primo LS, Nicolau J. Salivary analysis of patients with chronic renal failure undergoing hemodualysus. Spec. care. Dentist. 2006; 26(5): 205-8.</w:t>
      </w:r>
    </w:p>
    <w:p w14:paraId="53FB2D63" w14:textId="77777777" w:rsidR="00CD6054" w:rsidRDefault="00CD6054">
      <w:pPr>
        <w:spacing w:line="360" w:lineRule="auto"/>
        <w:jc w:val="both"/>
        <w:rPr>
          <w:sz w:val="24"/>
        </w:rPr>
        <w:sectPr w:rsidR="00CD6054">
          <w:pgSz w:w="11910" w:h="16850"/>
          <w:pgMar w:top="1640" w:right="880" w:bottom="280" w:left="1460" w:header="720" w:footer="720" w:gutter="0"/>
          <w:cols w:space="720"/>
        </w:sectPr>
      </w:pPr>
    </w:p>
    <w:p w14:paraId="66090E6C" w14:textId="77777777" w:rsidR="00CD6054" w:rsidRDefault="00A44E92">
      <w:pPr>
        <w:pStyle w:val="ListParagraph"/>
        <w:numPr>
          <w:ilvl w:val="0"/>
          <w:numId w:val="2"/>
        </w:numPr>
        <w:tabs>
          <w:tab w:val="left" w:pos="1648"/>
        </w:tabs>
        <w:spacing w:before="68" w:line="360" w:lineRule="auto"/>
        <w:ind w:left="236" w:right="240" w:firstLine="706"/>
        <w:rPr>
          <w:sz w:val="24"/>
        </w:rPr>
      </w:pPr>
      <w:r>
        <w:rPr>
          <w:sz w:val="24"/>
        </w:rPr>
        <w:lastRenderedPageBreak/>
        <w:t xml:space="preserve">Matarazzo F, Figueiredo LC, Cruz SE, Faveri M, Feres M. Clinical and microbiological benefits of systemic metronidazole and amoxicillin in the treatment of smokers with chronic periodontitis: a randomized placebo-controlled study. </w:t>
      </w:r>
      <w:r>
        <w:rPr>
          <w:i/>
          <w:sz w:val="24"/>
        </w:rPr>
        <w:t>Journal of</w:t>
      </w:r>
      <w:r>
        <w:rPr>
          <w:i/>
          <w:spacing w:val="40"/>
          <w:sz w:val="24"/>
        </w:rPr>
        <w:t xml:space="preserve"> </w:t>
      </w:r>
      <w:r>
        <w:rPr>
          <w:i/>
          <w:sz w:val="24"/>
        </w:rPr>
        <w:t xml:space="preserve">clinical periodontology </w:t>
      </w:r>
      <w:r>
        <w:rPr>
          <w:sz w:val="24"/>
        </w:rPr>
        <w:t>2008;35:885-896.</w:t>
      </w:r>
    </w:p>
    <w:p w14:paraId="047B2ED0" w14:textId="77777777" w:rsidR="00CD6054" w:rsidRDefault="00A44E92">
      <w:pPr>
        <w:pStyle w:val="ListParagraph"/>
        <w:numPr>
          <w:ilvl w:val="0"/>
          <w:numId w:val="2"/>
        </w:numPr>
        <w:tabs>
          <w:tab w:val="left" w:pos="1648"/>
        </w:tabs>
        <w:spacing w:before="10" w:line="352" w:lineRule="auto"/>
        <w:ind w:left="236" w:right="248" w:firstLine="706"/>
        <w:rPr>
          <w:sz w:val="24"/>
        </w:rPr>
      </w:pPr>
      <w:r>
        <w:rPr>
          <w:sz w:val="24"/>
        </w:rPr>
        <w:t>McPhee Stephen J.; Papadakis, Maxine A. Current Diagnosis &amp; Treatment: Medical. 53ed Lange Current Series/McGraw-Hill,</w:t>
      </w:r>
      <w:r>
        <w:rPr>
          <w:spacing w:val="40"/>
          <w:sz w:val="24"/>
        </w:rPr>
        <w:t xml:space="preserve"> </w:t>
      </w:r>
      <w:r>
        <w:rPr>
          <w:sz w:val="24"/>
        </w:rPr>
        <w:t>2014.</w:t>
      </w:r>
    </w:p>
    <w:p w14:paraId="713DC859" w14:textId="77777777" w:rsidR="00402437" w:rsidRDefault="00A44E92" w:rsidP="00402437">
      <w:pPr>
        <w:pStyle w:val="ListParagraph"/>
        <w:numPr>
          <w:ilvl w:val="0"/>
          <w:numId w:val="2"/>
        </w:numPr>
        <w:tabs>
          <w:tab w:val="left" w:pos="1648"/>
        </w:tabs>
        <w:spacing w:before="14" w:line="360" w:lineRule="auto"/>
        <w:ind w:left="236" w:right="259" w:firstLine="706"/>
        <w:rPr>
          <w:sz w:val="24"/>
        </w:rPr>
      </w:pPr>
      <w:r>
        <w:rPr>
          <w:sz w:val="24"/>
        </w:rPr>
        <w:t>Mercanoglu F, Oflaz H, Öz O, Gökbuget AY, Genchellac H, Sezer M, et al. Endothelial Dysfunction in patients with chronic periodontitis and its improvement after</w:t>
      </w:r>
      <w:r>
        <w:rPr>
          <w:spacing w:val="40"/>
          <w:sz w:val="24"/>
        </w:rPr>
        <w:t xml:space="preserve"> </w:t>
      </w:r>
      <w:r>
        <w:rPr>
          <w:sz w:val="24"/>
        </w:rPr>
        <w:t>initial periodontal therapy. J Periodontol 2004 Dec; 75(12):1694-700.</w:t>
      </w:r>
    </w:p>
    <w:p w14:paraId="4B693A41" w14:textId="4E44DB40" w:rsidR="00402437" w:rsidRPr="00402437" w:rsidRDefault="00402437" w:rsidP="00402437">
      <w:pPr>
        <w:pStyle w:val="ListParagraph"/>
        <w:numPr>
          <w:ilvl w:val="0"/>
          <w:numId w:val="2"/>
        </w:numPr>
        <w:tabs>
          <w:tab w:val="left" w:pos="1648"/>
        </w:tabs>
        <w:spacing w:before="14" w:line="360" w:lineRule="auto"/>
        <w:ind w:left="236" w:right="259" w:firstLine="706"/>
        <w:rPr>
          <w:color w:val="7030A0"/>
          <w:sz w:val="24"/>
        </w:rPr>
      </w:pPr>
      <w:r w:rsidRPr="00402437">
        <w:rPr>
          <w:color w:val="7030A0"/>
          <w:sz w:val="24"/>
        </w:rPr>
        <w:t xml:space="preserve">Michiels, S.; Cardon, E.; Gilles, A.; Goedhart, H. </w:t>
      </w:r>
      <w:r w:rsidRPr="00402437">
        <w:rPr>
          <w:i/>
          <w:iCs/>
          <w:color w:val="7030A0"/>
          <w:sz w:val="24"/>
        </w:rPr>
        <w:t>et al.</w:t>
      </w:r>
      <w:r w:rsidRPr="00402437">
        <w:rPr>
          <w:color w:val="7030A0"/>
          <w:sz w:val="24"/>
        </w:rPr>
        <w:t xml:space="preserve"> </w:t>
      </w:r>
      <w:r w:rsidRPr="00402437">
        <w:rPr>
          <w:color w:val="7030A0"/>
        </w:rPr>
        <w:t>The Rapid Screening for Somatosensory Tinnitus Tool: a Data-Driven Decision Tree Based on Specific Diagnostic Criteria. Ear Hear, 43, n. 5, p. 1466-1471, 2022 Sep-Oct 01 2022.</w:t>
      </w:r>
    </w:p>
    <w:p w14:paraId="4460D6D5" w14:textId="77777777" w:rsidR="00CD6054" w:rsidRDefault="00A44E92">
      <w:pPr>
        <w:pStyle w:val="ListParagraph"/>
        <w:numPr>
          <w:ilvl w:val="0"/>
          <w:numId w:val="2"/>
        </w:numPr>
        <w:tabs>
          <w:tab w:val="left" w:pos="1648"/>
        </w:tabs>
        <w:spacing w:before="5" w:line="360" w:lineRule="auto"/>
        <w:ind w:left="236" w:right="254" w:firstLine="706"/>
        <w:rPr>
          <w:sz w:val="24"/>
        </w:rPr>
      </w:pPr>
      <w:r>
        <w:rPr>
          <w:sz w:val="24"/>
        </w:rPr>
        <w:t>Moss RB, Moll T, El-Kalary M, Kohne C, Soo Hoo W, Encinas J. et al. Th1/Th2 cells in inflammatory diseases states: therapeutic implications. Expert Opin Biol. Ther. 2004, 4:1887-96.</w:t>
      </w:r>
    </w:p>
    <w:p w14:paraId="521E798D" w14:textId="77777777" w:rsidR="00CD6054" w:rsidRDefault="00A44E92">
      <w:pPr>
        <w:pStyle w:val="ListParagraph"/>
        <w:numPr>
          <w:ilvl w:val="0"/>
          <w:numId w:val="2"/>
        </w:numPr>
        <w:tabs>
          <w:tab w:val="left" w:pos="1649"/>
        </w:tabs>
        <w:spacing w:before="4"/>
        <w:ind w:left="1649"/>
        <w:rPr>
          <w:sz w:val="24"/>
        </w:rPr>
      </w:pPr>
      <w:r>
        <w:rPr>
          <w:sz w:val="24"/>
        </w:rPr>
        <w:t>Mout</w:t>
      </w:r>
      <w:r>
        <w:rPr>
          <w:spacing w:val="14"/>
          <w:sz w:val="24"/>
        </w:rPr>
        <w:t xml:space="preserve"> </w:t>
      </w:r>
      <w:r>
        <w:rPr>
          <w:sz w:val="24"/>
        </w:rPr>
        <w:t>R,</w:t>
      </w:r>
      <w:r>
        <w:rPr>
          <w:spacing w:val="9"/>
          <w:sz w:val="24"/>
        </w:rPr>
        <w:t xml:space="preserve"> </w:t>
      </w:r>
      <w:r>
        <w:rPr>
          <w:sz w:val="24"/>
        </w:rPr>
        <w:t>Willemze</w:t>
      </w:r>
      <w:r>
        <w:rPr>
          <w:spacing w:val="7"/>
          <w:sz w:val="24"/>
        </w:rPr>
        <w:t xml:space="preserve"> </w:t>
      </w:r>
      <w:r>
        <w:rPr>
          <w:sz w:val="24"/>
        </w:rPr>
        <w:t>R,</w:t>
      </w:r>
      <w:r>
        <w:rPr>
          <w:spacing w:val="9"/>
          <w:sz w:val="24"/>
        </w:rPr>
        <w:t xml:space="preserve"> </w:t>
      </w:r>
      <w:r>
        <w:rPr>
          <w:sz w:val="24"/>
        </w:rPr>
        <w:t>Landegent</w:t>
      </w:r>
      <w:r>
        <w:rPr>
          <w:spacing w:val="17"/>
          <w:sz w:val="24"/>
        </w:rPr>
        <w:t xml:space="preserve"> </w:t>
      </w:r>
      <w:r>
        <w:rPr>
          <w:sz w:val="24"/>
        </w:rPr>
        <w:t>JE.</w:t>
      </w:r>
      <w:r>
        <w:rPr>
          <w:spacing w:val="8"/>
          <w:sz w:val="24"/>
        </w:rPr>
        <w:t xml:space="preserve"> </w:t>
      </w:r>
      <w:r>
        <w:rPr>
          <w:sz w:val="24"/>
        </w:rPr>
        <w:t>Repeat</w:t>
      </w:r>
      <w:r>
        <w:rPr>
          <w:spacing w:val="17"/>
          <w:sz w:val="24"/>
        </w:rPr>
        <w:t xml:space="preserve"> </w:t>
      </w:r>
      <w:r>
        <w:rPr>
          <w:sz w:val="24"/>
        </w:rPr>
        <w:t>polymorphisms</w:t>
      </w:r>
      <w:r>
        <w:rPr>
          <w:spacing w:val="6"/>
          <w:sz w:val="24"/>
        </w:rPr>
        <w:t xml:space="preserve"> </w:t>
      </w:r>
      <w:r>
        <w:rPr>
          <w:sz w:val="24"/>
        </w:rPr>
        <w:t>in</w:t>
      </w:r>
      <w:r>
        <w:rPr>
          <w:spacing w:val="8"/>
          <w:sz w:val="24"/>
        </w:rPr>
        <w:t xml:space="preserve"> </w:t>
      </w:r>
      <w:r>
        <w:rPr>
          <w:sz w:val="24"/>
        </w:rPr>
        <w:t>the</w:t>
      </w:r>
      <w:r>
        <w:rPr>
          <w:spacing w:val="8"/>
          <w:sz w:val="24"/>
        </w:rPr>
        <w:t xml:space="preserve"> </w:t>
      </w:r>
      <w:r>
        <w:rPr>
          <w:spacing w:val="-2"/>
          <w:sz w:val="24"/>
        </w:rPr>
        <w:t>interleukin-</w:t>
      </w:r>
    </w:p>
    <w:p w14:paraId="7629FDB2" w14:textId="77777777" w:rsidR="00CD6054" w:rsidRDefault="00A44E92">
      <w:pPr>
        <w:pStyle w:val="BodyText"/>
        <w:spacing w:before="129" w:line="364" w:lineRule="auto"/>
        <w:ind w:left="236" w:right="260"/>
        <w:jc w:val="both"/>
      </w:pPr>
      <w:r>
        <w:t>4 gene (IL4). Nucleic Acids Res. 1991 Jul 11;19(13):3763. doi: 10.1093/nar/19.13.3763 PMID:1804125; PMC:328438.</w:t>
      </w:r>
    </w:p>
    <w:p w14:paraId="43F68FF2" w14:textId="77777777" w:rsidR="00CD6054" w:rsidRDefault="00A44E92">
      <w:pPr>
        <w:pStyle w:val="ListParagraph"/>
        <w:numPr>
          <w:ilvl w:val="0"/>
          <w:numId w:val="2"/>
        </w:numPr>
        <w:tabs>
          <w:tab w:val="left" w:pos="1648"/>
        </w:tabs>
        <w:spacing w:line="364" w:lineRule="auto"/>
        <w:ind w:left="236" w:right="259" w:firstLine="706"/>
        <w:rPr>
          <w:sz w:val="24"/>
        </w:rPr>
      </w:pPr>
      <w:r>
        <w:rPr>
          <w:sz w:val="24"/>
        </w:rPr>
        <w:t>Nagler RM. Saliva analysis for monitoring dialysis and renal function. Clin chem. 2008, 54(9), 1415-1417.</w:t>
      </w:r>
    </w:p>
    <w:p w14:paraId="64FD2189" w14:textId="77777777" w:rsidR="00CD6054" w:rsidRDefault="00A44E92">
      <w:pPr>
        <w:pStyle w:val="ListParagraph"/>
        <w:numPr>
          <w:ilvl w:val="0"/>
          <w:numId w:val="2"/>
        </w:numPr>
        <w:tabs>
          <w:tab w:val="left" w:pos="1648"/>
        </w:tabs>
        <w:spacing w:line="360" w:lineRule="auto"/>
        <w:ind w:left="236" w:right="245" w:firstLine="706"/>
        <w:rPr>
          <w:sz w:val="24"/>
        </w:rPr>
      </w:pPr>
      <w:r>
        <w:rPr>
          <w:sz w:val="24"/>
        </w:rPr>
        <w:t xml:space="preserve">National Kidney Foudation. </w:t>
      </w:r>
      <w:r>
        <w:rPr>
          <w:i/>
          <w:sz w:val="24"/>
        </w:rPr>
        <w:t>K/DOQI Clinical Practice Guidelines for Chronic Kidney Disease: Evaluation, Classification and Stratification</w:t>
      </w:r>
      <w:r>
        <w:rPr>
          <w:sz w:val="24"/>
        </w:rPr>
        <w:t xml:space="preserve">. </w:t>
      </w:r>
      <w:r>
        <w:rPr>
          <w:i/>
          <w:sz w:val="24"/>
        </w:rPr>
        <w:t xml:space="preserve">Am J Kidney Dis </w:t>
      </w:r>
      <w:r>
        <w:rPr>
          <w:sz w:val="24"/>
        </w:rPr>
        <w:t xml:space="preserve">39:S1-S266, </w:t>
      </w:r>
      <w:r>
        <w:rPr>
          <w:spacing w:val="-2"/>
          <w:sz w:val="24"/>
        </w:rPr>
        <w:t>2002.</w:t>
      </w:r>
    </w:p>
    <w:p w14:paraId="5DFC70D1" w14:textId="77777777" w:rsidR="00CD6054" w:rsidRDefault="00A44E92">
      <w:pPr>
        <w:pStyle w:val="ListParagraph"/>
        <w:numPr>
          <w:ilvl w:val="0"/>
          <w:numId w:val="2"/>
        </w:numPr>
        <w:tabs>
          <w:tab w:val="left" w:pos="1648"/>
        </w:tabs>
        <w:spacing w:line="254" w:lineRule="exact"/>
        <w:ind w:left="1648" w:hanging="705"/>
        <w:rPr>
          <w:sz w:val="24"/>
        </w:rPr>
      </w:pPr>
      <w:r>
        <w:rPr>
          <w:sz w:val="24"/>
        </w:rPr>
        <w:t>Nerbass</w:t>
      </w:r>
      <w:r>
        <w:rPr>
          <w:spacing w:val="68"/>
          <w:sz w:val="24"/>
        </w:rPr>
        <w:t xml:space="preserve"> </w:t>
      </w:r>
      <w:r>
        <w:rPr>
          <w:sz w:val="24"/>
        </w:rPr>
        <w:t>FB,</w:t>
      </w:r>
      <w:r>
        <w:rPr>
          <w:spacing w:val="71"/>
          <w:sz w:val="24"/>
        </w:rPr>
        <w:t xml:space="preserve"> </w:t>
      </w:r>
      <w:r>
        <w:rPr>
          <w:sz w:val="24"/>
        </w:rPr>
        <w:t>Lima</w:t>
      </w:r>
      <w:r>
        <w:rPr>
          <w:spacing w:val="71"/>
          <w:sz w:val="24"/>
        </w:rPr>
        <w:t xml:space="preserve"> </w:t>
      </w:r>
      <w:r>
        <w:rPr>
          <w:sz w:val="24"/>
        </w:rPr>
        <w:t>HN,</w:t>
      </w:r>
      <w:r>
        <w:rPr>
          <w:spacing w:val="71"/>
          <w:sz w:val="24"/>
        </w:rPr>
        <w:t xml:space="preserve"> </w:t>
      </w:r>
      <w:r>
        <w:rPr>
          <w:sz w:val="24"/>
        </w:rPr>
        <w:t>Thomé</w:t>
      </w:r>
      <w:r>
        <w:rPr>
          <w:spacing w:val="70"/>
          <w:sz w:val="24"/>
        </w:rPr>
        <w:t xml:space="preserve"> </w:t>
      </w:r>
      <w:r>
        <w:rPr>
          <w:sz w:val="24"/>
        </w:rPr>
        <w:t>FS,</w:t>
      </w:r>
      <w:r>
        <w:rPr>
          <w:spacing w:val="72"/>
          <w:sz w:val="24"/>
        </w:rPr>
        <w:t xml:space="preserve"> </w:t>
      </w:r>
      <w:r>
        <w:rPr>
          <w:sz w:val="24"/>
        </w:rPr>
        <w:t>Vieira</w:t>
      </w:r>
      <w:r>
        <w:rPr>
          <w:spacing w:val="55"/>
          <w:sz w:val="24"/>
        </w:rPr>
        <w:t xml:space="preserve"> </w:t>
      </w:r>
      <w:r>
        <w:rPr>
          <w:sz w:val="24"/>
        </w:rPr>
        <w:t>Net</w:t>
      </w:r>
      <w:r>
        <w:rPr>
          <w:spacing w:val="65"/>
          <w:sz w:val="24"/>
        </w:rPr>
        <w:t xml:space="preserve"> </w:t>
      </w:r>
      <w:r>
        <w:rPr>
          <w:sz w:val="24"/>
        </w:rPr>
        <w:t>OM,</w:t>
      </w:r>
      <w:r>
        <w:rPr>
          <w:spacing w:val="57"/>
          <w:sz w:val="24"/>
        </w:rPr>
        <w:t xml:space="preserve"> </w:t>
      </w:r>
      <w:r>
        <w:rPr>
          <w:sz w:val="24"/>
        </w:rPr>
        <w:t>Sesso</w:t>
      </w:r>
      <w:r>
        <w:rPr>
          <w:spacing w:val="56"/>
          <w:sz w:val="24"/>
        </w:rPr>
        <w:t xml:space="preserve"> </w:t>
      </w:r>
      <w:r>
        <w:rPr>
          <w:sz w:val="24"/>
        </w:rPr>
        <w:t>R,</w:t>
      </w:r>
      <w:r>
        <w:rPr>
          <w:spacing w:val="57"/>
          <w:sz w:val="24"/>
        </w:rPr>
        <w:t xml:space="preserve"> </w:t>
      </w:r>
      <w:r>
        <w:rPr>
          <w:sz w:val="24"/>
        </w:rPr>
        <w:t>Lugon</w:t>
      </w:r>
      <w:r>
        <w:rPr>
          <w:spacing w:val="57"/>
          <w:sz w:val="24"/>
        </w:rPr>
        <w:t xml:space="preserve"> </w:t>
      </w:r>
      <w:r>
        <w:rPr>
          <w:spacing w:val="-5"/>
          <w:sz w:val="24"/>
        </w:rPr>
        <w:t>JR.</w:t>
      </w:r>
    </w:p>
    <w:p w14:paraId="3880D8EB" w14:textId="77777777" w:rsidR="00CD6054" w:rsidRDefault="00A44E92">
      <w:pPr>
        <w:pStyle w:val="BodyText"/>
        <w:spacing w:before="144" w:line="364" w:lineRule="auto"/>
        <w:ind w:left="236" w:right="239"/>
        <w:jc w:val="both"/>
      </w:pPr>
      <w:r>
        <w:t>Brazilian Dialysis</w:t>
      </w:r>
      <w:r>
        <w:rPr>
          <w:spacing w:val="-1"/>
        </w:rPr>
        <w:t xml:space="preserve"> </w:t>
      </w:r>
      <w:r>
        <w:t>Survey 2021. Braz. J. Nephrol. 2022;45(2):192-8. doi:</w:t>
      </w:r>
      <w:r>
        <w:rPr>
          <w:spacing w:val="-4"/>
        </w:rPr>
        <w:t xml:space="preserve"> </w:t>
      </w:r>
      <w:r>
        <w:t xml:space="preserve">10.1590/2175-8239- </w:t>
      </w:r>
      <w:r>
        <w:rPr>
          <w:spacing w:val="-2"/>
        </w:rPr>
        <w:t>JBN-2002-0083pt</w:t>
      </w:r>
    </w:p>
    <w:p w14:paraId="420E84CA" w14:textId="77777777" w:rsidR="00CD6054" w:rsidRDefault="00A44E92">
      <w:pPr>
        <w:pStyle w:val="ListParagraph"/>
        <w:numPr>
          <w:ilvl w:val="0"/>
          <w:numId w:val="2"/>
        </w:numPr>
        <w:tabs>
          <w:tab w:val="left" w:pos="1648"/>
        </w:tabs>
        <w:spacing w:line="362" w:lineRule="auto"/>
        <w:ind w:left="236" w:right="243" w:firstLine="706"/>
        <w:rPr>
          <w:sz w:val="24"/>
        </w:rPr>
      </w:pPr>
      <w:r>
        <w:rPr>
          <w:sz w:val="24"/>
        </w:rPr>
        <w:t xml:space="preserve">Newman, M. G. </w:t>
      </w:r>
      <w:r>
        <w:rPr>
          <w:i/>
          <w:sz w:val="24"/>
        </w:rPr>
        <w:t>et al</w:t>
      </w:r>
      <w:r>
        <w:rPr>
          <w:sz w:val="24"/>
        </w:rPr>
        <w:t>. Carranza Periodontia Clínica. 11. ed. Rio de Janeiro: Guanabara Koogan, 2012.</w:t>
      </w:r>
      <w:r>
        <w:rPr>
          <w:color w:val="202020"/>
          <w:sz w:val="24"/>
        </w:rPr>
        <w:t>Davidovich E, Davidovits M, Eidelman E, Schwarz</w:t>
      </w:r>
      <w:r>
        <w:rPr>
          <w:color w:val="202020"/>
          <w:spacing w:val="-2"/>
          <w:sz w:val="24"/>
        </w:rPr>
        <w:t xml:space="preserve"> </w:t>
      </w:r>
      <w:r>
        <w:rPr>
          <w:color w:val="202020"/>
          <w:sz w:val="24"/>
        </w:rPr>
        <w:t>Z, Bimstein E. Pathophysiology, therapy, and</w:t>
      </w:r>
      <w:r>
        <w:rPr>
          <w:color w:val="202020"/>
          <w:spacing w:val="34"/>
          <w:sz w:val="24"/>
        </w:rPr>
        <w:t xml:space="preserve"> </w:t>
      </w:r>
      <w:r>
        <w:rPr>
          <w:color w:val="202020"/>
          <w:sz w:val="24"/>
        </w:rPr>
        <w:t>oral implications of renal failure in children and adolescents: an update. Pediatr Dent. 2005 Mar-Apr;27(2):98-106. PMID: 15926286.</w:t>
      </w:r>
    </w:p>
    <w:p w14:paraId="420915EB" w14:textId="77777777" w:rsidR="00CD6054" w:rsidRDefault="00A44E92">
      <w:pPr>
        <w:pStyle w:val="ListParagraph"/>
        <w:numPr>
          <w:ilvl w:val="0"/>
          <w:numId w:val="2"/>
        </w:numPr>
        <w:tabs>
          <w:tab w:val="left" w:pos="1648"/>
        </w:tabs>
        <w:spacing w:line="360" w:lineRule="auto"/>
        <w:ind w:left="236" w:right="263" w:firstLine="706"/>
        <w:rPr>
          <w:sz w:val="24"/>
        </w:rPr>
      </w:pPr>
      <w:r>
        <w:rPr>
          <w:sz w:val="24"/>
        </w:rPr>
        <w:t>Oberg BP, McMenamin E, Lucas FL, McMonagle E, Morrow J, Ikizler TA, et al. Increased</w:t>
      </w:r>
      <w:r>
        <w:rPr>
          <w:spacing w:val="40"/>
          <w:sz w:val="24"/>
        </w:rPr>
        <w:t xml:space="preserve"> </w:t>
      </w:r>
      <w:r>
        <w:rPr>
          <w:sz w:val="24"/>
        </w:rPr>
        <w:t>prevalence of oxidant stress and inflammation in patients with moderate to severe chronic kidney disease. Kidney Int. 2004; 65:1009-16.</w:t>
      </w:r>
    </w:p>
    <w:p w14:paraId="719ABEB8" w14:textId="77777777" w:rsidR="00CD6054" w:rsidRDefault="00A44E92">
      <w:pPr>
        <w:pStyle w:val="ListParagraph"/>
        <w:numPr>
          <w:ilvl w:val="0"/>
          <w:numId w:val="2"/>
        </w:numPr>
        <w:tabs>
          <w:tab w:val="left" w:pos="1648"/>
        </w:tabs>
        <w:spacing w:line="364" w:lineRule="auto"/>
        <w:ind w:left="236" w:right="246" w:firstLine="706"/>
        <w:rPr>
          <w:sz w:val="24"/>
        </w:rPr>
      </w:pPr>
      <w:r>
        <w:rPr>
          <w:sz w:val="24"/>
        </w:rPr>
        <w:t>Oettinger-Barak O, Segal E, Machtei EE, Barak S, Baruch Y, Ish-Shalom S. Alveolar bone loss in liver transplantation patients: relationship with prolonged steroid treatment and parathyroid hormone levels. J Clin Periodontol. 2007; 34:1039-1045.</w:t>
      </w:r>
    </w:p>
    <w:p w14:paraId="58939DB1" w14:textId="77777777" w:rsidR="00CD6054" w:rsidRDefault="00CD6054">
      <w:pPr>
        <w:spacing w:line="364" w:lineRule="auto"/>
        <w:jc w:val="both"/>
        <w:rPr>
          <w:sz w:val="24"/>
        </w:rPr>
        <w:sectPr w:rsidR="00CD6054">
          <w:pgSz w:w="11910" w:h="16850"/>
          <w:pgMar w:top="1640" w:right="880" w:bottom="280" w:left="1460" w:header="720" w:footer="720" w:gutter="0"/>
          <w:cols w:space="720"/>
        </w:sectPr>
      </w:pPr>
    </w:p>
    <w:p w14:paraId="32156B17" w14:textId="77777777" w:rsidR="00CD6054" w:rsidRDefault="00A44E92">
      <w:pPr>
        <w:pStyle w:val="ListParagraph"/>
        <w:numPr>
          <w:ilvl w:val="0"/>
          <w:numId w:val="2"/>
        </w:numPr>
        <w:tabs>
          <w:tab w:val="left" w:pos="1648"/>
        </w:tabs>
        <w:spacing w:before="68" w:line="364" w:lineRule="auto"/>
        <w:ind w:left="236" w:right="256" w:firstLine="706"/>
        <w:rPr>
          <w:sz w:val="24"/>
        </w:rPr>
      </w:pPr>
      <w:r>
        <w:rPr>
          <w:sz w:val="24"/>
        </w:rPr>
        <w:lastRenderedPageBreak/>
        <w:t>Pallos D, Leão MC, Togeiro FC, Alegre</w:t>
      </w:r>
      <w:r>
        <w:rPr>
          <w:spacing w:val="-6"/>
          <w:sz w:val="24"/>
        </w:rPr>
        <w:t xml:space="preserve"> </w:t>
      </w:r>
      <w:r>
        <w:rPr>
          <w:sz w:val="24"/>
        </w:rPr>
        <w:t>L,</w:t>
      </w:r>
      <w:r>
        <w:rPr>
          <w:spacing w:val="-4"/>
          <w:sz w:val="24"/>
        </w:rPr>
        <w:t xml:space="preserve"> </w:t>
      </w:r>
      <w:r>
        <w:rPr>
          <w:sz w:val="24"/>
        </w:rPr>
        <w:t>Ricardo</w:t>
      </w:r>
      <w:r>
        <w:rPr>
          <w:spacing w:val="-4"/>
          <w:sz w:val="24"/>
        </w:rPr>
        <w:t xml:space="preserve"> </w:t>
      </w:r>
      <w:r>
        <w:rPr>
          <w:sz w:val="24"/>
        </w:rPr>
        <w:t>LH,</w:t>
      </w:r>
      <w:r>
        <w:rPr>
          <w:spacing w:val="-4"/>
          <w:sz w:val="24"/>
        </w:rPr>
        <w:t xml:space="preserve"> </w:t>
      </w:r>
      <w:r>
        <w:rPr>
          <w:sz w:val="24"/>
        </w:rPr>
        <w:t>Perozini</w:t>
      </w:r>
      <w:r>
        <w:rPr>
          <w:spacing w:val="-10"/>
          <w:sz w:val="24"/>
        </w:rPr>
        <w:t xml:space="preserve"> </w:t>
      </w:r>
      <w:r>
        <w:rPr>
          <w:sz w:val="24"/>
        </w:rPr>
        <w:t>C,</w:t>
      </w:r>
      <w:r>
        <w:rPr>
          <w:spacing w:val="-4"/>
          <w:sz w:val="24"/>
        </w:rPr>
        <w:t xml:space="preserve"> </w:t>
      </w:r>
      <w:r>
        <w:rPr>
          <w:sz w:val="24"/>
        </w:rPr>
        <w:t>Ruivo</w:t>
      </w:r>
      <w:r>
        <w:rPr>
          <w:spacing w:val="-4"/>
          <w:sz w:val="24"/>
        </w:rPr>
        <w:t xml:space="preserve"> </w:t>
      </w:r>
      <w:r>
        <w:rPr>
          <w:sz w:val="24"/>
        </w:rPr>
        <w:t xml:space="preserve">GF. Salivary markers in patients with chronic renal failure. Arch Oral Biol. 2015 Dec; 60(12): </w:t>
      </w:r>
      <w:r>
        <w:rPr>
          <w:spacing w:val="-2"/>
          <w:sz w:val="24"/>
        </w:rPr>
        <w:t>1784-8.</w:t>
      </w:r>
    </w:p>
    <w:p w14:paraId="7ABA1862" w14:textId="77777777" w:rsidR="00CD6054" w:rsidRDefault="00A44E92">
      <w:pPr>
        <w:pStyle w:val="ListParagraph"/>
        <w:numPr>
          <w:ilvl w:val="0"/>
          <w:numId w:val="2"/>
        </w:numPr>
        <w:tabs>
          <w:tab w:val="left" w:pos="1648"/>
        </w:tabs>
        <w:spacing w:line="360" w:lineRule="auto"/>
        <w:ind w:left="236" w:right="239" w:firstLine="706"/>
        <w:rPr>
          <w:sz w:val="24"/>
        </w:rPr>
      </w:pPr>
      <w:r>
        <w:rPr>
          <w:color w:val="202020"/>
          <w:sz w:val="24"/>
        </w:rPr>
        <w:t>Petelin M, Perkič K, Seme K, Gašpirc B. Effect of repeated adjunctive antimicrobial photodynamic therapy on subgingival periodontal pathogens in the</w:t>
      </w:r>
      <w:r>
        <w:rPr>
          <w:color w:val="202020"/>
          <w:spacing w:val="-5"/>
          <w:sz w:val="24"/>
        </w:rPr>
        <w:t xml:space="preserve"> </w:t>
      </w:r>
      <w:r>
        <w:rPr>
          <w:color w:val="202020"/>
          <w:sz w:val="24"/>
        </w:rPr>
        <w:t>treatment of chronic periodontitis.</w:t>
      </w:r>
      <w:r>
        <w:rPr>
          <w:color w:val="202020"/>
          <w:spacing w:val="-9"/>
          <w:sz w:val="24"/>
        </w:rPr>
        <w:t xml:space="preserve"> </w:t>
      </w:r>
      <w:r>
        <w:rPr>
          <w:i/>
          <w:color w:val="202020"/>
          <w:sz w:val="24"/>
        </w:rPr>
        <w:t>Lasers Med Sci</w:t>
      </w:r>
      <w:r>
        <w:rPr>
          <w:color w:val="202020"/>
          <w:sz w:val="24"/>
        </w:rPr>
        <w:t xml:space="preserve">. 2015;30(6):1647-1656. doi:10.1007/s10103-014-1632- </w:t>
      </w:r>
      <w:r>
        <w:rPr>
          <w:color w:val="202020"/>
          <w:spacing w:val="-10"/>
          <w:sz w:val="24"/>
        </w:rPr>
        <w:t>2</w:t>
      </w:r>
    </w:p>
    <w:p w14:paraId="50466F4C" w14:textId="77777777" w:rsidR="00CD6054" w:rsidRDefault="00A44E92">
      <w:pPr>
        <w:pStyle w:val="ListParagraph"/>
        <w:numPr>
          <w:ilvl w:val="0"/>
          <w:numId w:val="2"/>
        </w:numPr>
        <w:tabs>
          <w:tab w:val="left" w:pos="1648"/>
        </w:tabs>
        <w:spacing w:line="352" w:lineRule="auto"/>
        <w:ind w:left="236" w:right="246" w:firstLine="706"/>
        <w:rPr>
          <w:sz w:val="24"/>
        </w:rPr>
      </w:pPr>
      <w:r>
        <w:rPr>
          <w:sz w:val="24"/>
        </w:rPr>
        <w:t>Peyyala R &amp; Ebersole JL. Multispecies biofilms and host responses: discriminating the trees from the forest. Cytokine. 2013. 61(1), 15-25.</w:t>
      </w:r>
    </w:p>
    <w:p w14:paraId="39288EA7" w14:textId="77777777" w:rsidR="00CD6054" w:rsidRDefault="00A44E92">
      <w:pPr>
        <w:pStyle w:val="ListParagraph"/>
        <w:numPr>
          <w:ilvl w:val="0"/>
          <w:numId w:val="2"/>
        </w:numPr>
        <w:tabs>
          <w:tab w:val="left" w:pos="1648"/>
        </w:tabs>
        <w:spacing w:before="12" w:line="360" w:lineRule="auto"/>
        <w:ind w:left="236" w:right="245" w:firstLine="706"/>
        <w:rPr>
          <w:sz w:val="24"/>
        </w:rPr>
      </w:pPr>
      <w:r>
        <w:rPr>
          <w:sz w:val="24"/>
        </w:rPr>
        <w:t xml:space="preserve">Ribeiro Edel P, Bittencourt S, Zanin IC, et al. Full-mouth ultrasonic debridement associated with amoxicillin and metronidazole in the treatment of severe chroni periodontitis. </w:t>
      </w:r>
      <w:r>
        <w:rPr>
          <w:i/>
          <w:sz w:val="24"/>
        </w:rPr>
        <w:t>Journal of periodontology</w:t>
      </w:r>
      <w:r>
        <w:rPr>
          <w:i/>
          <w:spacing w:val="40"/>
          <w:sz w:val="24"/>
        </w:rPr>
        <w:t xml:space="preserve"> </w:t>
      </w:r>
      <w:r>
        <w:rPr>
          <w:sz w:val="24"/>
        </w:rPr>
        <w:t>2009;80:1254-1264.</w:t>
      </w:r>
    </w:p>
    <w:p w14:paraId="63F5608D" w14:textId="77777777" w:rsidR="00CD6054" w:rsidRDefault="00A44E92">
      <w:pPr>
        <w:pStyle w:val="ListParagraph"/>
        <w:numPr>
          <w:ilvl w:val="0"/>
          <w:numId w:val="2"/>
        </w:numPr>
        <w:tabs>
          <w:tab w:val="left" w:pos="1648"/>
        </w:tabs>
        <w:spacing w:before="4" w:line="352" w:lineRule="auto"/>
        <w:ind w:left="236" w:right="257" w:firstLine="706"/>
        <w:rPr>
          <w:sz w:val="24"/>
        </w:rPr>
      </w:pPr>
      <w:r>
        <w:rPr>
          <w:sz w:val="24"/>
        </w:rPr>
        <w:t>Riela MC. Princípios de nefrologia e distúrbios hidroeletrolíticos. Rio de Janeiro:</w:t>
      </w:r>
      <w:r>
        <w:rPr>
          <w:spacing w:val="40"/>
          <w:sz w:val="24"/>
        </w:rPr>
        <w:t xml:space="preserve"> </w:t>
      </w:r>
      <w:r>
        <w:rPr>
          <w:sz w:val="24"/>
        </w:rPr>
        <w:t>Guanabara Koogan; 2010.</w:t>
      </w:r>
    </w:p>
    <w:p w14:paraId="5785F0CA" w14:textId="77777777" w:rsidR="00CD6054" w:rsidRDefault="00A44E92">
      <w:pPr>
        <w:pStyle w:val="ListParagraph"/>
        <w:numPr>
          <w:ilvl w:val="0"/>
          <w:numId w:val="2"/>
        </w:numPr>
        <w:tabs>
          <w:tab w:val="left" w:pos="1648"/>
        </w:tabs>
        <w:spacing w:before="15" w:line="352" w:lineRule="auto"/>
        <w:ind w:left="236" w:right="260" w:firstLine="706"/>
        <w:rPr>
          <w:sz w:val="24"/>
        </w:rPr>
      </w:pPr>
      <w:r>
        <w:rPr>
          <w:sz w:val="24"/>
        </w:rPr>
        <w:t>Romão Jr JE. Diretrizes Clínicas da Doença Renal Crônica: Definição, Epidemiologia e Classificação.</w:t>
      </w:r>
      <w:r>
        <w:rPr>
          <w:spacing w:val="40"/>
          <w:sz w:val="24"/>
        </w:rPr>
        <w:t xml:space="preserve"> </w:t>
      </w:r>
      <w:r>
        <w:rPr>
          <w:sz w:val="24"/>
        </w:rPr>
        <w:t>J. Bras. Nefrol. 2004; 26(3 suppl. 1):1-3.</w:t>
      </w:r>
    </w:p>
    <w:p w14:paraId="487360FB" w14:textId="77777777" w:rsidR="00CD6054" w:rsidRDefault="00A44E92">
      <w:pPr>
        <w:pStyle w:val="ListParagraph"/>
        <w:numPr>
          <w:ilvl w:val="0"/>
          <w:numId w:val="2"/>
        </w:numPr>
        <w:tabs>
          <w:tab w:val="left" w:pos="1648"/>
        </w:tabs>
        <w:spacing w:before="14" w:line="364" w:lineRule="auto"/>
        <w:ind w:left="236" w:right="258" w:firstLine="706"/>
        <w:rPr>
          <w:sz w:val="24"/>
        </w:rPr>
      </w:pPr>
      <w:r>
        <w:rPr>
          <w:sz w:val="24"/>
        </w:rPr>
        <w:t>Ruiz-Ortega M, Lorenzo O, Suzuki Y, Rupérez M, Egido J. Proinflammatory actions of angiotensins. Curr Opin Nephrol Hypertens. 2001; 10:321-9</w:t>
      </w:r>
    </w:p>
    <w:p w14:paraId="7DE03D97" w14:textId="6C7D92AE" w:rsidR="00402437" w:rsidRPr="00402437" w:rsidRDefault="00402437">
      <w:pPr>
        <w:pStyle w:val="ListParagraph"/>
        <w:numPr>
          <w:ilvl w:val="0"/>
          <w:numId w:val="2"/>
        </w:numPr>
        <w:tabs>
          <w:tab w:val="left" w:pos="1648"/>
        </w:tabs>
        <w:spacing w:before="14" w:line="364" w:lineRule="auto"/>
        <w:ind w:left="236" w:right="258" w:firstLine="706"/>
        <w:rPr>
          <w:color w:val="7030A0"/>
          <w:sz w:val="24"/>
        </w:rPr>
      </w:pPr>
      <w:r w:rsidRPr="00402437">
        <w:rPr>
          <w:color w:val="7030A0"/>
          <w:sz w:val="24"/>
        </w:rPr>
        <w:t>Schiffman, E.; Ohrbach, R.; Truelove, E.; LOOK, J. et al. Diagnostic Criteria for Temporomandibular Disorders (DC/TMD) for Clinical and Research Applications: recommendations of the International RDC/TMD Consortium Network* and Orofacial Pain Special Interest Group</w:t>
      </w:r>
      <w:r w:rsidRPr="00402437">
        <w:rPr>
          <w:color w:val="7030A0"/>
        </w:rPr>
        <w:t>†. J Oral Facial Pain Headache, 28, n. 1, p. 6-27, 2014.</w:t>
      </w:r>
    </w:p>
    <w:p w14:paraId="0D5C50BB" w14:textId="77777777" w:rsidR="00CD6054" w:rsidRDefault="00A44E92">
      <w:pPr>
        <w:pStyle w:val="ListParagraph"/>
        <w:numPr>
          <w:ilvl w:val="0"/>
          <w:numId w:val="2"/>
        </w:numPr>
        <w:tabs>
          <w:tab w:val="left" w:pos="1648"/>
        </w:tabs>
        <w:spacing w:line="364" w:lineRule="auto"/>
        <w:ind w:left="236" w:right="260" w:firstLine="706"/>
        <w:rPr>
          <w:sz w:val="24"/>
        </w:rPr>
      </w:pPr>
      <w:r>
        <w:rPr>
          <w:sz w:val="24"/>
        </w:rPr>
        <w:t>Sociedade Brasileira de Nefrologia [Internet] 2017. [Acesso em 27/01/2021]. Disponível em:</w:t>
      </w:r>
      <w:r>
        <w:rPr>
          <w:spacing w:val="40"/>
          <w:sz w:val="24"/>
        </w:rPr>
        <w:t xml:space="preserve"> </w:t>
      </w:r>
      <w:r>
        <w:rPr>
          <w:sz w:val="24"/>
        </w:rPr>
        <w:t>https://</w:t>
      </w:r>
      <w:hyperlink r:id="rId10">
        <w:r>
          <w:rPr>
            <w:sz w:val="24"/>
          </w:rPr>
          <w:t>www.sbn.org.br/geral/</w:t>
        </w:r>
      </w:hyperlink>
    </w:p>
    <w:p w14:paraId="2991DDB7" w14:textId="77777777" w:rsidR="00CD6054" w:rsidRDefault="00A44E92">
      <w:pPr>
        <w:pStyle w:val="ListParagraph"/>
        <w:numPr>
          <w:ilvl w:val="0"/>
          <w:numId w:val="2"/>
        </w:numPr>
        <w:tabs>
          <w:tab w:val="left" w:pos="1648"/>
        </w:tabs>
        <w:spacing w:line="364" w:lineRule="auto"/>
        <w:ind w:left="236" w:right="244" w:firstLine="706"/>
        <w:rPr>
          <w:sz w:val="24"/>
        </w:rPr>
      </w:pPr>
      <w:r>
        <w:rPr>
          <w:sz w:val="24"/>
        </w:rPr>
        <w:t>Stenvinkel P, Ketteler M, Johnson RJ, Lindholm B,</w:t>
      </w:r>
      <w:r>
        <w:rPr>
          <w:spacing w:val="-4"/>
          <w:sz w:val="24"/>
        </w:rPr>
        <w:t xml:space="preserve"> </w:t>
      </w:r>
      <w:r>
        <w:rPr>
          <w:sz w:val="24"/>
        </w:rPr>
        <w:t>Pecoits-Filho</w:t>
      </w:r>
      <w:r>
        <w:rPr>
          <w:spacing w:val="-4"/>
          <w:sz w:val="24"/>
        </w:rPr>
        <w:t xml:space="preserve"> </w:t>
      </w:r>
      <w:r>
        <w:rPr>
          <w:sz w:val="24"/>
        </w:rPr>
        <w:t>Rm</w:t>
      </w:r>
      <w:r>
        <w:rPr>
          <w:spacing w:val="-10"/>
          <w:sz w:val="24"/>
        </w:rPr>
        <w:t xml:space="preserve"> </w:t>
      </w:r>
      <w:r>
        <w:rPr>
          <w:sz w:val="24"/>
        </w:rPr>
        <w:t>Riella</w:t>
      </w:r>
      <w:r>
        <w:rPr>
          <w:spacing w:val="-6"/>
          <w:sz w:val="24"/>
        </w:rPr>
        <w:t xml:space="preserve"> </w:t>
      </w:r>
      <w:r>
        <w:rPr>
          <w:sz w:val="24"/>
        </w:rPr>
        <w:t>M et</w:t>
      </w:r>
      <w:r>
        <w:rPr>
          <w:spacing w:val="32"/>
          <w:sz w:val="24"/>
        </w:rPr>
        <w:t xml:space="preserve"> </w:t>
      </w:r>
      <w:r>
        <w:rPr>
          <w:sz w:val="24"/>
        </w:rPr>
        <w:t>al.</w:t>
      </w:r>
      <w:r>
        <w:rPr>
          <w:spacing w:val="25"/>
          <w:sz w:val="24"/>
        </w:rPr>
        <w:t xml:space="preserve"> </w:t>
      </w:r>
      <w:r>
        <w:rPr>
          <w:sz w:val="24"/>
        </w:rPr>
        <w:t>Il-10,</w:t>
      </w:r>
      <w:r>
        <w:rPr>
          <w:spacing w:val="25"/>
          <w:sz w:val="24"/>
        </w:rPr>
        <w:t xml:space="preserve"> </w:t>
      </w:r>
      <w:r>
        <w:rPr>
          <w:sz w:val="24"/>
        </w:rPr>
        <w:t>IL-6</w:t>
      </w:r>
      <w:r>
        <w:rPr>
          <w:spacing w:val="25"/>
          <w:sz w:val="24"/>
        </w:rPr>
        <w:t xml:space="preserve"> </w:t>
      </w:r>
      <w:r>
        <w:rPr>
          <w:sz w:val="24"/>
        </w:rPr>
        <w:t>and</w:t>
      </w:r>
      <w:r>
        <w:rPr>
          <w:spacing w:val="39"/>
          <w:sz w:val="24"/>
        </w:rPr>
        <w:t xml:space="preserve"> </w:t>
      </w:r>
      <w:r>
        <w:rPr>
          <w:sz w:val="24"/>
        </w:rPr>
        <w:t>TNF</w:t>
      </w:r>
      <w:r>
        <w:rPr>
          <w:spacing w:val="27"/>
          <w:sz w:val="24"/>
        </w:rPr>
        <w:t xml:space="preserve"> </w:t>
      </w:r>
      <w:r>
        <w:rPr>
          <w:sz w:val="24"/>
        </w:rPr>
        <w:t>alpha: central factors in the altered</w:t>
      </w:r>
      <w:r>
        <w:rPr>
          <w:spacing w:val="25"/>
          <w:sz w:val="24"/>
        </w:rPr>
        <w:t xml:space="preserve"> </w:t>
      </w:r>
      <w:r>
        <w:rPr>
          <w:sz w:val="24"/>
        </w:rPr>
        <w:t>cytokine network of uremia</w:t>
      </w:r>
      <w:r>
        <w:rPr>
          <w:spacing w:val="26"/>
          <w:sz w:val="24"/>
        </w:rPr>
        <w:t xml:space="preserve"> </w:t>
      </w:r>
      <w:r>
        <w:rPr>
          <w:sz w:val="24"/>
        </w:rPr>
        <w:t>– the good, the bad and the ugly. Kidney Int 2005; 65:1216-33.</w:t>
      </w:r>
    </w:p>
    <w:p w14:paraId="5BF38FC5" w14:textId="77777777" w:rsidR="00CD6054" w:rsidRDefault="00A44E92">
      <w:pPr>
        <w:pStyle w:val="ListParagraph"/>
        <w:numPr>
          <w:ilvl w:val="0"/>
          <w:numId w:val="2"/>
        </w:numPr>
        <w:tabs>
          <w:tab w:val="left" w:pos="1649"/>
        </w:tabs>
        <w:spacing w:line="264" w:lineRule="exact"/>
        <w:ind w:left="1649"/>
        <w:rPr>
          <w:sz w:val="24"/>
        </w:rPr>
      </w:pPr>
      <w:r>
        <w:rPr>
          <w:sz w:val="24"/>
        </w:rPr>
        <w:t>Streckfus</w:t>
      </w:r>
      <w:r>
        <w:rPr>
          <w:spacing w:val="-4"/>
          <w:sz w:val="24"/>
        </w:rPr>
        <w:t xml:space="preserve"> </w:t>
      </w:r>
      <w:r>
        <w:rPr>
          <w:sz w:val="24"/>
        </w:rPr>
        <w:t>CF</w:t>
      </w:r>
      <w:r>
        <w:rPr>
          <w:spacing w:val="1"/>
          <w:sz w:val="24"/>
        </w:rPr>
        <w:t xml:space="preserve"> </w:t>
      </w:r>
      <w:r>
        <w:rPr>
          <w:sz w:val="24"/>
        </w:rPr>
        <w:t>&amp;</w:t>
      </w:r>
      <w:r>
        <w:rPr>
          <w:spacing w:val="-7"/>
          <w:sz w:val="24"/>
        </w:rPr>
        <w:t xml:space="preserve"> </w:t>
      </w:r>
      <w:r>
        <w:rPr>
          <w:sz w:val="24"/>
        </w:rPr>
        <w:t>Bigler</w:t>
      </w:r>
      <w:r>
        <w:rPr>
          <w:spacing w:val="9"/>
          <w:sz w:val="24"/>
        </w:rPr>
        <w:t xml:space="preserve"> </w:t>
      </w:r>
      <w:r>
        <w:rPr>
          <w:sz w:val="24"/>
        </w:rPr>
        <w:t>LR. Saliva</w:t>
      </w:r>
      <w:r>
        <w:rPr>
          <w:spacing w:val="-1"/>
          <w:sz w:val="24"/>
        </w:rPr>
        <w:t xml:space="preserve"> </w:t>
      </w:r>
      <w:r>
        <w:rPr>
          <w:sz w:val="24"/>
        </w:rPr>
        <w:t>as</w:t>
      </w:r>
      <w:r>
        <w:rPr>
          <w:spacing w:val="-4"/>
          <w:sz w:val="24"/>
        </w:rPr>
        <w:t xml:space="preserve"> </w:t>
      </w:r>
      <w:r>
        <w:rPr>
          <w:sz w:val="24"/>
        </w:rPr>
        <w:t>diagnostic</w:t>
      </w:r>
      <w:r>
        <w:rPr>
          <w:spacing w:val="-2"/>
          <w:sz w:val="24"/>
        </w:rPr>
        <w:t xml:space="preserve"> </w:t>
      </w:r>
      <w:r>
        <w:rPr>
          <w:sz w:val="24"/>
        </w:rPr>
        <w:t>fluid. Oral</w:t>
      </w:r>
      <w:r>
        <w:rPr>
          <w:spacing w:val="-7"/>
          <w:sz w:val="24"/>
        </w:rPr>
        <w:t xml:space="preserve"> </w:t>
      </w:r>
      <w:r>
        <w:rPr>
          <w:sz w:val="24"/>
        </w:rPr>
        <w:t>Dis. 2002.</w:t>
      </w:r>
      <w:r>
        <w:rPr>
          <w:spacing w:val="1"/>
          <w:sz w:val="24"/>
        </w:rPr>
        <w:t xml:space="preserve"> </w:t>
      </w:r>
      <w:r>
        <w:rPr>
          <w:sz w:val="24"/>
        </w:rPr>
        <w:t>8,69-</w:t>
      </w:r>
      <w:r>
        <w:rPr>
          <w:spacing w:val="-5"/>
          <w:sz w:val="24"/>
        </w:rPr>
        <w:t>76.</w:t>
      </w:r>
    </w:p>
    <w:p w14:paraId="29DF4DB0" w14:textId="77777777" w:rsidR="00CD6054" w:rsidRDefault="00A44E92">
      <w:pPr>
        <w:pStyle w:val="ListParagraph"/>
        <w:numPr>
          <w:ilvl w:val="0"/>
          <w:numId w:val="2"/>
        </w:numPr>
        <w:tabs>
          <w:tab w:val="left" w:pos="1648"/>
        </w:tabs>
        <w:spacing w:before="118" w:line="360" w:lineRule="auto"/>
        <w:ind w:left="236" w:right="240" w:firstLine="706"/>
        <w:rPr>
          <w:sz w:val="24"/>
        </w:rPr>
      </w:pPr>
      <w:r>
        <w:rPr>
          <w:sz w:val="24"/>
        </w:rPr>
        <w:t xml:space="preserve">Streetz KL, Wustefeld T, Klein C, Manns MP, Trautwein C. Mediators of inflammation and acute phase response in the liver. Cell Mol Biol (Noisy-legrand) 2001; </w:t>
      </w:r>
      <w:r>
        <w:rPr>
          <w:spacing w:val="-2"/>
          <w:sz w:val="24"/>
        </w:rPr>
        <w:t>47:661-73.</w:t>
      </w:r>
    </w:p>
    <w:p w14:paraId="76B41999" w14:textId="77777777" w:rsidR="00CD6054" w:rsidRDefault="00A44E92">
      <w:pPr>
        <w:pStyle w:val="ListParagraph"/>
        <w:numPr>
          <w:ilvl w:val="0"/>
          <w:numId w:val="2"/>
        </w:numPr>
        <w:tabs>
          <w:tab w:val="left" w:pos="1648"/>
        </w:tabs>
        <w:spacing w:before="4" w:line="352" w:lineRule="auto"/>
        <w:ind w:left="236" w:right="258" w:firstLine="706"/>
        <w:rPr>
          <w:sz w:val="24"/>
        </w:rPr>
      </w:pPr>
      <w:r>
        <w:rPr>
          <w:sz w:val="24"/>
        </w:rPr>
        <w:t>Suliman ME, Stenvinkel</w:t>
      </w:r>
      <w:r>
        <w:rPr>
          <w:spacing w:val="-1"/>
          <w:sz w:val="24"/>
        </w:rPr>
        <w:t xml:space="preserve"> </w:t>
      </w:r>
      <w:r>
        <w:rPr>
          <w:sz w:val="24"/>
        </w:rPr>
        <w:t>P. Contribution of inflammation</w:t>
      </w:r>
      <w:r>
        <w:rPr>
          <w:spacing w:val="-8"/>
          <w:sz w:val="24"/>
        </w:rPr>
        <w:t xml:space="preserve"> </w:t>
      </w:r>
      <w:r>
        <w:rPr>
          <w:sz w:val="24"/>
        </w:rPr>
        <w:t>to</w:t>
      </w:r>
      <w:r>
        <w:rPr>
          <w:spacing w:val="-8"/>
          <w:sz w:val="24"/>
        </w:rPr>
        <w:t xml:space="preserve"> </w:t>
      </w:r>
      <w:r>
        <w:rPr>
          <w:sz w:val="24"/>
        </w:rPr>
        <w:t>vascular</w:t>
      </w:r>
      <w:r>
        <w:rPr>
          <w:spacing w:val="-13"/>
          <w:sz w:val="24"/>
        </w:rPr>
        <w:t xml:space="preserve"> </w:t>
      </w:r>
      <w:r>
        <w:rPr>
          <w:sz w:val="24"/>
        </w:rPr>
        <w:lastRenderedPageBreak/>
        <w:t>disease</w:t>
      </w:r>
      <w:r>
        <w:rPr>
          <w:spacing w:val="-9"/>
          <w:sz w:val="24"/>
        </w:rPr>
        <w:t xml:space="preserve"> </w:t>
      </w:r>
      <w:r>
        <w:rPr>
          <w:sz w:val="24"/>
        </w:rPr>
        <w:t>in chronic kidney disease patients. Saudi J Kidney Dis Transpl 2008; 19:329-45.</w:t>
      </w:r>
    </w:p>
    <w:p w14:paraId="72051771" w14:textId="08F66AB4" w:rsidR="005309FF" w:rsidRPr="005309FF" w:rsidRDefault="00A44E92" w:rsidP="005309FF">
      <w:pPr>
        <w:pStyle w:val="ListParagraph"/>
        <w:numPr>
          <w:ilvl w:val="0"/>
          <w:numId w:val="2"/>
        </w:numPr>
        <w:tabs>
          <w:tab w:val="left" w:pos="1648"/>
        </w:tabs>
        <w:spacing w:before="14" w:line="362" w:lineRule="auto"/>
        <w:ind w:left="236" w:right="252" w:firstLine="706"/>
        <w:rPr>
          <w:sz w:val="24"/>
        </w:rPr>
      </w:pPr>
      <w:r>
        <w:rPr>
          <w:sz w:val="24"/>
        </w:rPr>
        <w:t xml:space="preserve">Theodoro LH, Lopes AB, Nuernberg MAA, et al. Comparison of repeated applications of aPDT with amoxicillin and metronidazole in the treatment of chronic periodontitis: A short-term study. </w:t>
      </w:r>
      <w:r>
        <w:rPr>
          <w:i/>
          <w:sz w:val="24"/>
        </w:rPr>
        <w:t xml:space="preserve">Journal of photochemistry and photobiology B, Biology </w:t>
      </w:r>
      <w:r>
        <w:rPr>
          <w:spacing w:val="-2"/>
          <w:sz w:val="24"/>
        </w:rPr>
        <w:t>2017;174:364-369.</w:t>
      </w:r>
    </w:p>
    <w:p w14:paraId="493F2D2C" w14:textId="77777777" w:rsidR="00CD6054" w:rsidRDefault="00A44E92">
      <w:pPr>
        <w:pStyle w:val="ListParagraph"/>
        <w:numPr>
          <w:ilvl w:val="0"/>
          <w:numId w:val="2"/>
        </w:numPr>
        <w:tabs>
          <w:tab w:val="left" w:pos="1648"/>
        </w:tabs>
        <w:spacing w:before="68" w:line="364" w:lineRule="auto"/>
        <w:ind w:left="236" w:right="255" w:firstLine="706"/>
        <w:rPr>
          <w:sz w:val="24"/>
        </w:rPr>
      </w:pPr>
      <w:r>
        <w:rPr>
          <w:sz w:val="24"/>
        </w:rPr>
        <w:t>Tomás I, Marinho JS, Limeres J, Santos MJ, Araújo L &amp; Diz P. Changes in salivar composition in</w:t>
      </w:r>
      <w:r>
        <w:rPr>
          <w:spacing w:val="-6"/>
          <w:sz w:val="24"/>
        </w:rPr>
        <w:t xml:space="preserve"> </w:t>
      </w:r>
      <w:r>
        <w:rPr>
          <w:sz w:val="24"/>
        </w:rPr>
        <w:t>patients</w:t>
      </w:r>
      <w:r>
        <w:rPr>
          <w:spacing w:val="-10"/>
          <w:sz w:val="24"/>
        </w:rPr>
        <w:t xml:space="preserve"> </w:t>
      </w:r>
      <w:r>
        <w:rPr>
          <w:sz w:val="24"/>
        </w:rPr>
        <w:t>with</w:t>
      </w:r>
      <w:r>
        <w:rPr>
          <w:spacing w:val="-6"/>
          <w:sz w:val="24"/>
        </w:rPr>
        <w:t xml:space="preserve"> </w:t>
      </w:r>
      <w:r>
        <w:rPr>
          <w:sz w:val="24"/>
        </w:rPr>
        <w:t>renal failure.</w:t>
      </w:r>
      <w:r>
        <w:rPr>
          <w:spacing w:val="-6"/>
          <w:sz w:val="24"/>
        </w:rPr>
        <w:t xml:space="preserve"> </w:t>
      </w:r>
      <w:r>
        <w:rPr>
          <w:sz w:val="24"/>
        </w:rPr>
        <w:t>Arch</w:t>
      </w:r>
      <w:r>
        <w:rPr>
          <w:spacing w:val="-6"/>
          <w:sz w:val="24"/>
        </w:rPr>
        <w:t xml:space="preserve"> </w:t>
      </w:r>
      <w:r>
        <w:rPr>
          <w:sz w:val="24"/>
        </w:rPr>
        <w:t>Oral Biol.</w:t>
      </w:r>
      <w:r>
        <w:rPr>
          <w:spacing w:val="-6"/>
          <w:sz w:val="24"/>
        </w:rPr>
        <w:t xml:space="preserve"> </w:t>
      </w:r>
      <w:r>
        <w:rPr>
          <w:sz w:val="24"/>
        </w:rPr>
        <w:t>2008,</w:t>
      </w:r>
      <w:r>
        <w:rPr>
          <w:spacing w:val="-6"/>
          <w:sz w:val="24"/>
        </w:rPr>
        <w:t xml:space="preserve"> </w:t>
      </w:r>
      <w:r>
        <w:rPr>
          <w:sz w:val="24"/>
        </w:rPr>
        <w:t>53(June)(6),</w:t>
      </w:r>
      <w:r>
        <w:rPr>
          <w:spacing w:val="21"/>
          <w:sz w:val="24"/>
        </w:rPr>
        <w:t xml:space="preserve"> </w:t>
      </w:r>
      <w:r>
        <w:rPr>
          <w:sz w:val="24"/>
        </w:rPr>
        <w:t>528-532.</w:t>
      </w:r>
    </w:p>
    <w:p w14:paraId="17B4DBD6" w14:textId="77777777" w:rsidR="00CD6054" w:rsidRDefault="00A44E92">
      <w:pPr>
        <w:pStyle w:val="ListParagraph"/>
        <w:numPr>
          <w:ilvl w:val="0"/>
          <w:numId w:val="2"/>
        </w:numPr>
        <w:tabs>
          <w:tab w:val="left" w:pos="1649"/>
        </w:tabs>
        <w:spacing w:before="1"/>
        <w:ind w:left="1649"/>
        <w:rPr>
          <w:sz w:val="24"/>
        </w:rPr>
      </w:pPr>
      <w:r>
        <w:rPr>
          <w:sz w:val="24"/>
        </w:rPr>
        <w:t>Tracey</w:t>
      </w:r>
      <w:r>
        <w:rPr>
          <w:spacing w:val="-1"/>
          <w:sz w:val="24"/>
        </w:rPr>
        <w:t xml:space="preserve"> </w:t>
      </w:r>
      <w:r>
        <w:rPr>
          <w:sz w:val="24"/>
        </w:rPr>
        <w:t>KJ.</w:t>
      </w:r>
      <w:r>
        <w:rPr>
          <w:spacing w:val="-9"/>
          <w:sz w:val="24"/>
        </w:rPr>
        <w:t xml:space="preserve"> </w:t>
      </w:r>
      <w:r>
        <w:rPr>
          <w:sz w:val="24"/>
        </w:rPr>
        <w:t>The</w:t>
      </w:r>
      <w:r>
        <w:rPr>
          <w:spacing w:val="2"/>
          <w:sz w:val="24"/>
        </w:rPr>
        <w:t xml:space="preserve"> </w:t>
      </w:r>
      <w:r>
        <w:rPr>
          <w:sz w:val="24"/>
        </w:rPr>
        <w:t>imflammatory</w:t>
      </w:r>
      <w:r>
        <w:rPr>
          <w:spacing w:val="15"/>
          <w:sz w:val="24"/>
        </w:rPr>
        <w:t xml:space="preserve"> </w:t>
      </w:r>
      <w:r>
        <w:rPr>
          <w:sz w:val="24"/>
        </w:rPr>
        <w:t>reflex.</w:t>
      </w:r>
      <w:r>
        <w:rPr>
          <w:spacing w:val="-4"/>
          <w:sz w:val="24"/>
        </w:rPr>
        <w:t xml:space="preserve"> </w:t>
      </w:r>
      <w:r>
        <w:rPr>
          <w:sz w:val="24"/>
        </w:rPr>
        <w:t>Nature.</w:t>
      </w:r>
      <w:r>
        <w:rPr>
          <w:spacing w:val="-9"/>
          <w:sz w:val="24"/>
        </w:rPr>
        <w:t xml:space="preserve"> </w:t>
      </w:r>
      <w:r>
        <w:rPr>
          <w:sz w:val="24"/>
        </w:rPr>
        <w:t>2002;</w:t>
      </w:r>
      <w:r>
        <w:rPr>
          <w:spacing w:val="-15"/>
          <w:sz w:val="24"/>
        </w:rPr>
        <w:t xml:space="preserve"> </w:t>
      </w:r>
      <w:r>
        <w:rPr>
          <w:sz w:val="24"/>
        </w:rPr>
        <w:t>420:853-</w:t>
      </w:r>
      <w:r>
        <w:rPr>
          <w:spacing w:val="-5"/>
          <w:sz w:val="24"/>
        </w:rPr>
        <w:t>9.</w:t>
      </w:r>
    </w:p>
    <w:p w14:paraId="106254F8" w14:textId="77777777" w:rsidR="00CD6054" w:rsidRDefault="00A44E92">
      <w:pPr>
        <w:pStyle w:val="ListParagraph"/>
        <w:numPr>
          <w:ilvl w:val="0"/>
          <w:numId w:val="2"/>
        </w:numPr>
        <w:tabs>
          <w:tab w:val="left" w:pos="1648"/>
        </w:tabs>
        <w:spacing w:before="130" w:line="364" w:lineRule="auto"/>
        <w:ind w:left="236" w:right="260" w:firstLine="706"/>
        <w:rPr>
          <w:sz w:val="24"/>
        </w:rPr>
      </w:pPr>
      <w:r>
        <w:rPr>
          <w:sz w:val="24"/>
        </w:rPr>
        <w:t>Van Dyke TE. Shifting the paradigma from inhibitors of inflammation to resolvers</w:t>
      </w:r>
      <w:r>
        <w:rPr>
          <w:spacing w:val="40"/>
          <w:sz w:val="24"/>
        </w:rPr>
        <w:t xml:space="preserve"> </w:t>
      </w:r>
      <w:r>
        <w:rPr>
          <w:sz w:val="24"/>
        </w:rPr>
        <w:t>of inflammation in periodontitits. J. Periodontol 2020. Oct; 91 Suppl 1:S19-S25.</w:t>
      </w:r>
    </w:p>
    <w:p w14:paraId="276278B9" w14:textId="77777777" w:rsidR="00CD6054" w:rsidRDefault="00A44E92">
      <w:pPr>
        <w:pStyle w:val="ListParagraph"/>
        <w:numPr>
          <w:ilvl w:val="0"/>
          <w:numId w:val="2"/>
        </w:numPr>
        <w:tabs>
          <w:tab w:val="left" w:pos="1648"/>
        </w:tabs>
        <w:spacing w:line="364" w:lineRule="auto"/>
        <w:ind w:left="236" w:right="253" w:firstLine="706"/>
        <w:rPr>
          <w:sz w:val="24"/>
        </w:rPr>
      </w:pPr>
      <w:r>
        <w:rPr>
          <w:sz w:val="24"/>
        </w:rPr>
        <w:t>Van Dyke TE, Bartolf PM and Reynolds EC. The</w:t>
      </w:r>
      <w:r>
        <w:rPr>
          <w:spacing w:val="-2"/>
          <w:sz w:val="24"/>
        </w:rPr>
        <w:t xml:space="preserve"> </w:t>
      </w:r>
      <w:r>
        <w:rPr>
          <w:sz w:val="24"/>
        </w:rPr>
        <w:t>Nexus</w:t>
      </w:r>
      <w:r>
        <w:rPr>
          <w:spacing w:val="-4"/>
          <w:sz w:val="24"/>
        </w:rPr>
        <w:t xml:space="preserve"> </w:t>
      </w:r>
      <w:r>
        <w:rPr>
          <w:sz w:val="24"/>
        </w:rPr>
        <w:t>Between Periodontal Inflammation and Dysbiosis. Front Immunol. 2020. 11:511.</w:t>
      </w:r>
    </w:p>
    <w:p w14:paraId="07BE27C1" w14:textId="77777777" w:rsidR="00CD6054" w:rsidRDefault="00A44E92">
      <w:pPr>
        <w:pStyle w:val="ListParagraph"/>
        <w:numPr>
          <w:ilvl w:val="0"/>
          <w:numId w:val="2"/>
        </w:numPr>
        <w:tabs>
          <w:tab w:val="left" w:pos="1648"/>
        </w:tabs>
        <w:spacing w:line="352" w:lineRule="auto"/>
        <w:ind w:left="236" w:right="259" w:firstLine="706"/>
        <w:rPr>
          <w:sz w:val="24"/>
        </w:rPr>
      </w:pPr>
      <w:r>
        <w:rPr>
          <w:sz w:val="24"/>
        </w:rPr>
        <w:t>Vijayalashmi R, et al. Genetic polymorphisms in periodontal diseases: An overview. Indian Journal of Dental Research, v. 21, n. 4, p. 568, 2010.</w:t>
      </w:r>
    </w:p>
    <w:p w14:paraId="2507C2B9" w14:textId="77777777" w:rsidR="00CD6054" w:rsidRDefault="00A44E92">
      <w:pPr>
        <w:pStyle w:val="ListParagraph"/>
        <w:numPr>
          <w:ilvl w:val="0"/>
          <w:numId w:val="2"/>
        </w:numPr>
        <w:tabs>
          <w:tab w:val="left" w:pos="1648"/>
        </w:tabs>
        <w:spacing w:before="2" w:line="360" w:lineRule="auto"/>
        <w:ind w:left="236" w:right="243" w:firstLine="706"/>
        <w:rPr>
          <w:sz w:val="24"/>
        </w:rPr>
      </w:pPr>
      <w:r>
        <w:rPr>
          <w:sz w:val="24"/>
        </w:rPr>
        <w:t xml:space="preserve">Wang Y, Zhao Y, Bollas A, Wang Y, Au KF. Nonopore sequencing technology, bioinformatics and applications. Nat Biotechnol. 2021 Nov;39(11): 1348-1365. doi: 10.1038/s41587-021-01108-x. Epub 2021 Nov 8. PMID: 34750572; PMCID: </w:t>
      </w:r>
      <w:r>
        <w:rPr>
          <w:spacing w:val="-2"/>
          <w:sz w:val="24"/>
        </w:rPr>
        <w:t>PMC8988251.</w:t>
      </w:r>
    </w:p>
    <w:p w14:paraId="35C6021C" w14:textId="77777777" w:rsidR="00CD6054" w:rsidRDefault="00A44E92">
      <w:pPr>
        <w:pStyle w:val="ListParagraph"/>
        <w:numPr>
          <w:ilvl w:val="0"/>
          <w:numId w:val="2"/>
        </w:numPr>
        <w:tabs>
          <w:tab w:val="left" w:pos="1648"/>
        </w:tabs>
        <w:spacing w:line="360" w:lineRule="auto"/>
        <w:ind w:left="372" w:right="245" w:firstLine="570"/>
        <w:rPr>
          <w:sz w:val="24"/>
        </w:rPr>
      </w:pPr>
      <w:r>
        <w:rPr>
          <w:color w:val="202020"/>
          <w:sz w:val="24"/>
        </w:rPr>
        <w:t>Webster AC, Nagler EV, Morton RL, Masson P. Chronic Kidney Disease. Lancet. 2017 Mar 25;389(10075):1238-1252. doi: 10.1016/S0140-6736(16)32064-5. Epub 2016 Nov 23. PMID: 27887750.</w:t>
      </w:r>
    </w:p>
    <w:p w14:paraId="084BA9EB" w14:textId="77777777" w:rsidR="00CD6054" w:rsidRDefault="00A44E92">
      <w:pPr>
        <w:pStyle w:val="ListParagraph"/>
        <w:numPr>
          <w:ilvl w:val="0"/>
          <w:numId w:val="2"/>
        </w:numPr>
        <w:tabs>
          <w:tab w:val="left" w:pos="1648"/>
        </w:tabs>
        <w:spacing w:line="360" w:lineRule="auto"/>
        <w:ind w:left="372" w:right="257" w:firstLine="570"/>
        <w:rPr>
          <w:sz w:val="24"/>
        </w:rPr>
      </w:pPr>
      <w:r>
        <w:rPr>
          <w:color w:val="202020"/>
          <w:sz w:val="24"/>
        </w:rPr>
        <w:t>Zieblz D, Schmalz G, Kauffels A, et al. Periodontal pathogenic bacteria and MMP-8 findings depending on periodontal conditions of patients before and after liver transplatation. Clin Oral Investing. 2017; 21:457-752.</w:t>
      </w:r>
    </w:p>
    <w:p w14:paraId="59C24342" w14:textId="77777777" w:rsidR="00CD6054" w:rsidRDefault="00CD6054">
      <w:pPr>
        <w:pStyle w:val="BodyText"/>
        <w:spacing w:before="179"/>
      </w:pPr>
    </w:p>
    <w:p w14:paraId="0C9B1F3C" w14:textId="77777777" w:rsidR="00CD6054" w:rsidRPr="00CB1FD6" w:rsidRDefault="00A44E92">
      <w:pPr>
        <w:pStyle w:val="Heading1"/>
        <w:numPr>
          <w:ilvl w:val="0"/>
          <w:numId w:val="7"/>
        </w:numPr>
        <w:tabs>
          <w:tab w:val="left" w:pos="957"/>
        </w:tabs>
        <w:ind w:left="957" w:hanging="360"/>
      </w:pPr>
      <w:r>
        <w:rPr>
          <w:spacing w:val="-2"/>
        </w:rPr>
        <w:t>Anexos</w:t>
      </w:r>
    </w:p>
    <w:p w14:paraId="7A178431" w14:textId="77777777" w:rsidR="00CB1FD6" w:rsidRDefault="00CB1FD6" w:rsidP="00CB1FD6">
      <w:pPr>
        <w:pStyle w:val="Heading1"/>
        <w:tabs>
          <w:tab w:val="left" w:pos="957"/>
        </w:tabs>
        <w:rPr>
          <w:spacing w:val="-2"/>
        </w:rPr>
      </w:pPr>
    </w:p>
    <w:p w14:paraId="7337428F" w14:textId="77777777" w:rsidR="00CB1FD6" w:rsidRDefault="00CB1FD6" w:rsidP="00CB1FD6">
      <w:pPr>
        <w:pStyle w:val="Heading1"/>
        <w:tabs>
          <w:tab w:val="left" w:pos="957"/>
        </w:tabs>
        <w:rPr>
          <w:spacing w:val="-2"/>
        </w:rPr>
      </w:pPr>
    </w:p>
    <w:p w14:paraId="2A016468" w14:textId="77777777" w:rsidR="00CB1FD6" w:rsidRDefault="00CB1FD6" w:rsidP="00CB1FD6">
      <w:pPr>
        <w:pStyle w:val="Heading1"/>
        <w:tabs>
          <w:tab w:val="left" w:pos="957"/>
        </w:tabs>
        <w:rPr>
          <w:spacing w:val="-2"/>
        </w:rPr>
      </w:pPr>
    </w:p>
    <w:p w14:paraId="1275B862" w14:textId="77777777" w:rsidR="00CB1FD6" w:rsidRDefault="00CB1FD6" w:rsidP="00CB1FD6">
      <w:pPr>
        <w:pStyle w:val="Heading1"/>
        <w:tabs>
          <w:tab w:val="left" w:pos="957"/>
        </w:tabs>
        <w:rPr>
          <w:spacing w:val="-2"/>
        </w:rPr>
      </w:pPr>
    </w:p>
    <w:p w14:paraId="492F4FD5" w14:textId="77777777" w:rsidR="00CB1FD6" w:rsidRDefault="00CB1FD6" w:rsidP="00CB1FD6">
      <w:pPr>
        <w:pStyle w:val="Heading1"/>
        <w:tabs>
          <w:tab w:val="left" w:pos="957"/>
        </w:tabs>
        <w:rPr>
          <w:spacing w:val="-2"/>
        </w:rPr>
      </w:pPr>
    </w:p>
    <w:p w14:paraId="37167C1D" w14:textId="77777777" w:rsidR="00CB1FD6" w:rsidRDefault="00CB1FD6" w:rsidP="00CB1FD6">
      <w:pPr>
        <w:pStyle w:val="Heading1"/>
        <w:tabs>
          <w:tab w:val="left" w:pos="957"/>
        </w:tabs>
        <w:rPr>
          <w:spacing w:val="-2"/>
        </w:rPr>
      </w:pPr>
    </w:p>
    <w:p w14:paraId="74A4474A" w14:textId="77777777" w:rsidR="00CB1FD6" w:rsidRDefault="00CB1FD6" w:rsidP="00CB1FD6">
      <w:pPr>
        <w:pStyle w:val="Heading1"/>
        <w:tabs>
          <w:tab w:val="left" w:pos="957"/>
        </w:tabs>
        <w:rPr>
          <w:spacing w:val="-2"/>
        </w:rPr>
      </w:pPr>
    </w:p>
    <w:p w14:paraId="5D4FCB28" w14:textId="77777777" w:rsidR="00CB1FD6" w:rsidRDefault="00CB1FD6" w:rsidP="00CB1FD6">
      <w:pPr>
        <w:pStyle w:val="Heading1"/>
        <w:tabs>
          <w:tab w:val="left" w:pos="957"/>
        </w:tabs>
      </w:pPr>
    </w:p>
    <w:p w14:paraId="3609F59F" w14:textId="77777777" w:rsidR="00CD6054" w:rsidRPr="00CB1FD6" w:rsidRDefault="00A44E92">
      <w:pPr>
        <w:pStyle w:val="ListParagraph"/>
        <w:numPr>
          <w:ilvl w:val="1"/>
          <w:numId w:val="7"/>
        </w:numPr>
        <w:tabs>
          <w:tab w:val="left" w:pos="1318"/>
        </w:tabs>
        <w:spacing w:before="24"/>
        <w:ind w:hanging="721"/>
        <w:rPr>
          <w:b/>
          <w:sz w:val="24"/>
        </w:rPr>
      </w:pPr>
      <w:r>
        <w:rPr>
          <w:b/>
          <w:sz w:val="24"/>
        </w:rPr>
        <w:lastRenderedPageBreak/>
        <w:t>Questionário</w:t>
      </w:r>
      <w:r>
        <w:rPr>
          <w:b/>
          <w:spacing w:val="16"/>
          <w:sz w:val="24"/>
        </w:rPr>
        <w:t xml:space="preserve"> </w:t>
      </w:r>
      <w:r>
        <w:rPr>
          <w:b/>
          <w:sz w:val="24"/>
        </w:rPr>
        <w:t>dados</w:t>
      </w:r>
      <w:r>
        <w:rPr>
          <w:b/>
          <w:spacing w:val="-12"/>
          <w:sz w:val="24"/>
        </w:rPr>
        <w:t xml:space="preserve"> </w:t>
      </w:r>
      <w:r>
        <w:rPr>
          <w:b/>
          <w:sz w:val="24"/>
        </w:rPr>
        <w:t>sociodemográficos</w:t>
      </w:r>
      <w:r>
        <w:rPr>
          <w:b/>
          <w:spacing w:val="2"/>
          <w:sz w:val="24"/>
        </w:rPr>
        <w:t xml:space="preserve"> </w:t>
      </w:r>
      <w:r>
        <w:rPr>
          <w:b/>
          <w:sz w:val="24"/>
        </w:rPr>
        <w:t>e</w:t>
      </w:r>
      <w:r>
        <w:rPr>
          <w:b/>
          <w:spacing w:val="-11"/>
          <w:sz w:val="24"/>
        </w:rPr>
        <w:t xml:space="preserve"> </w:t>
      </w:r>
      <w:r>
        <w:rPr>
          <w:b/>
          <w:sz w:val="24"/>
        </w:rPr>
        <w:t>hábitos</w:t>
      </w:r>
      <w:r>
        <w:rPr>
          <w:b/>
          <w:spacing w:val="2"/>
          <w:sz w:val="24"/>
        </w:rPr>
        <w:t xml:space="preserve"> </w:t>
      </w:r>
      <w:r>
        <w:rPr>
          <w:b/>
          <w:sz w:val="24"/>
        </w:rPr>
        <w:t>de</w:t>
      </w:r>
      <w:r>
        <w:rPr>
          <w:b/>
          <w:spacing w:val="-10"/>
          <w:sz w:val="24"/>
        </w:rPr>
        <w:t xml:space="preserve"> </w:t>
      </w:r>
      <w:r>
        <w:rPr>
          <w:b/>
          <w:sz w:val="24"/>
        </w:rPr>
        <w:t>saúde</w:t>
      </w:r>
      <w:r>
        <w:rPr>
          <w:b/>
          <w:spacing w:val="-10"/>
          <w:sz w:val="24"/>
        </w:rPr>
        <w:t xml:space="preserve"> </w:t>
      </w:r>
      <w:r>
        <w:rPr>
          <w:b/>
          <w:spacing w:val="-2"/>
          <w:sz w:val="24"/>
        </w:rPr>
        <w:t>bucal</w:t>
      </w:r>
    </w:p>
    <w:p w14:paraId="0339C803" w14:textId="77777777" w:rsidR="00CB1FD6" w:rsidRDefault="00CB1FD6" w:rsidP="00CB1FD6">
      <w:pPr>
        <w:tabs>
          <w:tab w:val="left" w:pos="1318"/>
        </w:tabs>
        <w:spacing w:before="24"/>
        <w:rPr>
          <w:b/>
          <w:sz w:val="24"/>
        </w:rPr>
      </w:pPr>
    </w:p>
    <w:p w14:paraId="283DBE97" w14:textId="77777777" w:rsidR="00CB1FD6" w:rsidRDefault="00CB1FD6" w:rsidP="00CB1FD6">
      <w:pPr>
        <w:tabs>
          <w:tab w:val="left" w:pos="1318"/>
        </w:tabs>
        <w:spacing w:before="24"/>
        <w:rPr>
          <w:b/>
          <w:sz w:val="24"/>
        </w:rPr>
      </w:pPr>
    </w:p>
    <w:p w14:paraId="23414C5E" w14:textId="77777777" w:rsidR="00CB1FD6" w:rsidRDefault="00CB1FD6" w:rsidP="00CB1FD6">
      <w:pPr>
        <w:pStyle w:val="ListParagraph"/>
        <w:rPr>
          <w:b/>
          <w:bCs/>
          <w:sz w:val="24"/>
          <w:szCs w:val="24"/>
        </w:rPr>
      </w:pPr>
      <w:r>
        <w:rPr>
          <w:noProof/>
          <w:lang w:val="en-US"/>
        </w:rPr>
        <w:drawing>
          <wp:anchor distT="0" distB="0" distL="114300" distR="114300" simplePos="0" relativeHeight="487601664" behindDoc="0" locked="0" layoutInCell="1" allowOverlap="0" wp14:anchorId="675E72E4" wp14:editId="2D6A715E">
            <wp:simplePos x="0" y="0"/>
            <wp:positionH relativeFrom="column">
              <wp:posOffset>-3810</wp:posOffset>
            </wp:positionH>
            <wp:positionV relativeFrom="paragraph">
              <wp:posOffset>256540</wp:posOffset>
            </wp:positionV>
            <wp:extent cx="942975" cy="574040"/>
            <wp:effectExtent l="0" t="0" r="9525" b="0"/>
            <wp:wrapSquare wrapText="bothSides"/>
            <wp:docPr id="7"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2975" cy="574040"/>
                    </a:xfrm>
                    <a:prstGeom prst="rect">
                      <a:avLst/>
                    </a:prstGeom>
                    <a:noFill/>
                  </pic:spPr>
                </pic:pic>
              </a:graphicData>
            </a:graphic>
            <wp14:sizeRelH relativeFrom="page">
              <wp14:pctWidth>0</wp14:pctWidth>
            </wp14:sizeRelH>
            <wp14:sizeRelV relativeFrom="page">
              <wp14:pctHeight>0</wp14:pctHeight>
            </wp14:sizeRelV>
          </wp:anchor>
        </w:drawing>
      </w:r>
    </w:p>
    <w:p w14:paraId="1B1B6F5E" w14:textId="77777777" w:rsidR="00CB1FD6" w:rsidRDefault="00CB1FD6" w:rsidP="00CB1FD6">
      <w:pPr>
        <w:ind w:left="1152" w:right="1275" w:hanging="10"/>
        <w:jc w:val="center"/>
        <w:rPr>
          <w:rFonts w:ascii="Arial" w:eastAsia="Arial" w:hAnsi="Arial" w:cs="Arial"/>
          <w:b/>
          <w:sz w:val="20"/>
        </w:rPr>
      </w:pPr>
      <w:r>
        <w:rPr>
          <w:rFonts w:ascii="Arial" w:eastAsia="Arial" w:hAnsi="Arial" w:cs="Arial"/>
          <w:sz w:val="20"/>
        </w:rPr>
        <w:t>U</w:t>
      </w:r>
      <w:r>
        <w:rPr>
          <w:rFonts w:ascii="Arial" w:eastAsia="Arial" w:hAnsi="Arial" w:cs="Arial"/>
          <w:b/>
          <w:sz w:val="20"/>
        </w:rPr>
        <w:t>NIVERSIDADE FEDERAL DO PARANÁ</w:t>
      </w:r>
    </w:p>
    <w:p w14:paraId="068C2BFD" w14:textId="77777777" w:rsidR="00CB1FD6" w:rsidRDefault="00CB1FD6" w:rsidP="00CB1FD6">
      <w:pPr>
        <w:ind w:left="1152" w:right="1275" w:hanging="10"/>
        <w:jc w:val="center"/>
        <w:rPr>
          <w:rFonts w:ascii="Calibri" w:eastAsia="Calibri" w:hAnsi="Calibri" w:cs="Calibri"/>
          <w:b/>
        </w:rPr>
      </w:pPr>
      <w:r>
        <w:rPr>
          <w:rFonts w:ascii="Arial" w:eastAsia="Arial" w:hAnsi="Arial" w:cs="Arial"/>
          <w:b/>
          <w:sz w:val="20"/>
        </w:rPr>
        <w:t>SETOR DE CIÊNCIAS DA SAÚDE</w:t>
      </w:r>
    </w:p>
    <w:p w14:paraId="4A803D49" w14:textId="77777777" w:rsidR="00CB1FD6" w:rsidRDefault="00CB1FD6" w:rsidP="00CB1FD6">
      <w:pPr>
        <w:ind w:left="1152" w:right="1275" w:hanging="10"/>
        <w:jc w:val="center"/>
        <w:rPr>
          <w:b/>
        </w:rPr>
      </w:pPr>
      <w:r>
        <w:rPr>
          <w:rFonts w:ascii="Arial" w:eastAsia="Arial" w:hAnsi="Arial" w:cs="Arial"/>
          <w:b/>
          <w:sz w:val="20"/>
        </w:rPr>
        <w:t>CURSO DE ODONTOLOGIA</w:t>
      </w:r>
    </w:p>
    <w:p w14:paraId="34BBF216" w14:textId="77777777" w:rsidR="00CB1FD6" w:rsidRPr="00003F5C" w:rsidRDefault="00CB1FD6" w:rsidP="00CB1FD6">
      <w:pPr>
        <w:rPr>
          <w:rFonts w:eastAsia="Tahoma"/>
          <w:sz w:val="24"/>
          <w:szCs w:val="24"/>
        </w:rPr>
      </w:pPr>
    </w:p>
    <w:p w14:paraId="2943044B" w14:textId="77777777" w:rsidR="00CB1FD6" w:rsidRPr="00712768" w:rsidRDefault="00CB1FD6" w:rsidP="00CB1FD6">
      <w:pPr>
        <w:ind w:left="-5" w:hanging="10"/>
        <w:rPr>
          <w:rFonts w:eastAsia="Calibri"/>
          <w:sz w:val="24"/>
          <w:szCs w:val="24"/>
        </w:rPr>
      </w:pPr>
      <w:r w:rsidRPr="00003F5C">
        <w:rPr>
          <w:rFonts w:eastAsia="Tahoma"/>
          <w:sz w:val="24"/>
          <w:szCs w:val="24"/>
        </w:rPr>
        <w:t>Pesquisador: ___________________________________________   Data: ______________</w:t>
      </w:r>
    </w:p>
    <w:p w14:paraId="0B0883F8" w14:textId="77777777" w:rsidR="00CB1FD6" w:rsidRPr="00712768" w:rsidRDefault="00CB1FD6" w:rsidP="00CB1FD6">
      <w:pPr>
        <w:pStyle w:val="Heading1"/>
        <w:spacing w:after="35"/>
        <w:ind w:left="-5"/>
        <w:rPr>
          <w:b w:val="0"/>
          <w:bCs w:val="0"/>
          <w:color w:val="000000" w:themeColor="text1"/>
        </w:rPr>
      </w:pPr>
      <w:r w:rsidRPr="00712768">
        <w:rPr>
          <w:color w:val="000000" w:themeColor="text1"/>
        </w:rPr>
        <w:t xml:space="preserve">I – DADOS PESSOAIS </w:t>
      </w:r>
    </w:p>
    <w:p w14:paraId="60BB88F3" w14:textId="77777777" w:rsidR="00CB1FD6" w:rsidRPr="00003F5C" w:rsidRDefault="00CB1FD6" w:rsidP="00CB1FD6">
      <w:pPr>
        <w:spacing w:line="364" w:lineRule="auto"/>
        <w:ind w:left="-5" w:hanging="10"/>
        <w:rPr>
          <w:sz w:val="24"/>
          <w:szCs w:val="24"/>
        </w:rPr>
      </w:pPr>
      <w:r w:rsidRPr="00003F5C">
        <w:rPr>
          <w:rFonts w:eastAsia="Tahoma"/>
          <w:sz w:val="24"/>
          <w:szCs w:val="24"/>
        </w:rPr>
        <w:t>Nome: __________________________________________________</w:t>
      </w:r>
      <w:r>
        <w:rPr>
          <w:rFonts w:eastAsia="Tahoma"/>
          <w:sz w:val="24"/>
          <w:szCs w:val="24"/>
        </w:rPr>
        <w:t xml:space="preserve"> ID:</w:t>
      </w:r>
      <w:r w:rsidRPr="00003F5C">
        <w:rPr>
          <w:rFonts w:eastAsia="Tahoma"/>
          <w:sz w:val="24"/>
          <w:szCs w:val="24"/>
        </w:rPr>
        <w:t xml:space="preserve"> _____________ Data de Nascimento ____/____/______ </w:t>
      </w:r>
      <w:r>
        <w:rPr>
          <w:rFonts w:eastAsia="Tahoma"/>
          <w:sz w:val="24"/>
          <w:szCs w:val="24"/>
        </w:rPr>
        <w:tab/>
      </w:r>
      <w:r>
        <w:rPr>
          <w:rFonts w:eastAsia="Tahoma"/>
          <w:sz w:val="24"/>
          <w:szCs w:val="24"/>
        </w:rPr>
        <w:tab/>
      </w:r>
      <w:r>
        <w:rPr>
          <w:rFonts w:eastAsia="Tahoma"/>
          <w:sz w:val="24"/>
          <w:szCs w:val="24"/>
        </w:rPr>
        <w:tab/>
      </w:r>
      <w:r w:rsidRPr="00003F5C">
        <w:rPr>
          <w:rFonts w:eastAsia="Tahoma"/>
          <w:sz w:val="24"/>
          <w:szCs w:val="24"/>
        </w:rPr>
        <w:t xml:space="preserve">Sexo: </w:t>
      </w:r>
      <w:r w:rsidRPr="00003F5C">
        <w:rPr>
          <w:rFonts w:eastAsia="Wingdings 2"/>
          <w:sz w:val="24"/>
          <w:szCs w:val="24"/>
        </w:rPr>
        <w:t></w:t>
      </w:r>
      <w:r w:rsidRPr="00003F5C">
        <w:rPr>
          <w:rFonts w:eastAsia="Tahoma"/>
          <w:sz w:val="24"/>
          <w:szCs w:val="24"/>
        </w:rPr>
        <w:t xml:space="preserve">Masc.   </w:t>
      </w:r>
      <w:r w:rsidRPr="00003F5C">
        <w:rPr>
          <w:rFonts w:eastAsia="Wingdings 2"/>
          <w:sz w:val="24"/>
          <w:szCs w:val="24"/>
        </w:rPr>
        <w:t></w:t>
      </w:r>
      <w:r w:rsidRPr="00003F5C">
        <w:rPr>
          <w:rFonts w:eastAsia="Tahoma"/>
          <w:sz w:val="24"/>
          <w:szCs w:val="24"/>
        </w:rPr>
        <w:t xml:space="preserve">Fem. </w:t>
      </w:r>
    </w:p>
    <w:p w14:paraId="1581B38A" w14:textId="77777777" w:rsidR="00CB1FD6" w:rsidRPr="00003F5C" w:rsidRDefault="00CB1FD6" w:rsidP="00CB1FD6">
      <w:pPr>
        <w:spacing w:after="115"/>
        <w:ind w:left="-5" w:hanging="10"/>
        <w:rPr>
          <w:rFonts w:eastAsia="Tahoma"/>
          <w:sz w:val="24"/>
          <w:szCs w:val="24"/>
        </w:rPr>
      </w:pPr>
      <w:r w:rsidRPr="00003F5C">
        <w:rPr>
          <w:rFonts w:eastAsia="Tahoma"/>
          <w:sz w:val="24"/>
          <w:szCs w:val="24"/>
        </w:rPr>
        <w:t>Naturalidade: ______________________ Estado: _________ Estado Civil: _____________</w:t>
      </w:r>
    </w:p>
    <w:p w14:paraId="2BD15FC5" w14:textId="77777777" w:rsidR="00CB1FD6" w:rsidRPr="00003F5C" w:rsidRDefault="00CB1FD6" w:rsidP="00CB1FD6">
      <w:pPr>
        <w:spacing w:after="115"/>
        <w:ind w:left="-5" w:hanging="10"/>
        <w:rPr>
          <w:sz w:val="24"/>
          <w:szCs w:val="24"/>
        </w:rPr>
      </w:pPr>
      <w:r w:rsidRPr="00003F5C">
        <w:rPr>
          <w:rFonts w:eastAsia="Tahoma"/>
          <w:sz w:val="24"/>
          <w:szCs w:val="24"/>
        </w:rPr>
        <w:t>Profissão: ____________________</w:t>
      </w:r>
      <w:r>
        <w:rPr>
          <w:rFonts w:eastAsia="Tahoma"/>
          <w:sz w:val="24"/>
          <w:szCs w:val="24"/>
        </w:rPr>
        <w:t>_____</w:t>
      </w:r>
      <w:r w:rsidRPr="00003F5C">
        <w:rPr>
          <w:rFonts w:eastAsia="Tahoma"/>
          <w:sz w:val="24"/>
          <w:szCs w:val="24"/>
        </w:rPr>
        <w:t xml:space="preserve"> </w:t>
      </w:r>
      <w:r>
        <w:rPr>
          <w:rFonts w:eastAsia="Tahoma"/>
          <w:sz w:val="24"/>
          <w:szCs w:val="24"/>
        </w:rPr>
        <w:t xml:space="preserve"> </w:t>
      </w:r>
      <w:r w:rsidRPr="00003F5C">
        <w:rPr>
          <w:rFonts w:eastAsia="Tahoma"/>
          <w:sz w:val="24"/>
          <w:szCs w:val="24"/>
        </w:rPr>
        <w:t>Telefone:  ______________________</w:t>
      </w:r>
      <w:r>
        <w:rPr>
          <w:rFonts w:eastAsia="Tahoma"/>
          <w:sz w:val="24"/>
          <w:szCs w:val="24"/>
        </w:rPr>
        <w:t>_________</w:t>
      </w:r>
    </w:p>
    <w:p w14:paraId="1A53C99B" w14:textId="77777777" w:rsidR="00CB1FD6" w:rsidRPr="00003F5C" w:rsidRDefault="00CB1FD6" w:rsidP="00CB1FD6">
      <w:pPr>
        <w:spacing w:after="115"/>
        <w:ind w:left="-5" w:hanging="10"/>
        <w:rPr>
          <w:sz w:val="24"/>
          <w:szCs w:val="24"/>
        </w:rPr>
      </w:pPr>
      <w:r w:rsidRPr="00003F5C">
        <w:rPr>
          <w:rFonts w:eastAsia="Tahoma"/>
          <w:sz w:val="24"/>
          <w:szCs w:val="24"/>
        </w:rPr>
        <w:t>Endereço:  ________________________________________________________________</w:t>
      </w:r>
      <w:r>
        <w:rPr>
          <w:rFonts w:eastAsia="Tahoma"/>
          <w:sz w:val="24"/>
          <w:szCs w:val="24"/>
        </w:rPr>
        <w:t>_</w:t>
      </w:r>
    </w:p>
    <w:p w14:paraId="1B6A0C43" w14:textId="77777777" w:rsidR="00CB1FD6" w:rsidRPr="00003F5C" w:rsidRDefault="00CB1FD6" w:rsidP="00CB1FD6">
      <w:pPr>
        <w:spacing w:after="115"/>
        <w:ind w:left="-5" w:hanging="10"/>
        <w:rPr>
          <w:rFonts w:eastAsia="Tahoma"/>
          <w:sz w:val="24"/>
          <w:szCs w:val="24"/>
        </w:rPr>
      </w:pPr>
      <w:r w:rsidRPr="00003F5C">
        <w:rPr>
          <w:rFonts w:eastAsia="Tahoma"/>
          <w:sz w:val="24"/>
          <w:szCs w:val="24"/>
        </w:rPr>
        <w:t>Bairro: ___________________ Cidade: ________________ Estado: __________________</w:t>
      </w:r>
      <w:r>
        <w:rPr>
          <w:rFonts w:eastAsia="Tahoma"/>
          <w:sz w:val="24"/>
          <w:szCs w:val="24"/>
        </w:rPr>
        <w:t>_</w:t>
      </w:r>
    </w:p>
    <w:p w14:paraId="4E652EB8" w14:textId="77777777" w:rsidR="00CB1FD6" w:rsidRPr="00712768" w:rsidRDefault="00CB1FD6" w:rsidP="00CB1FD6">
      <w:pPr>
        <w:pStyle w:val="Heading1"/>
        <w:spacing w:after="97"/>
        <w:ind w:left="-5"/>
        <w:rPr>
          <w:b w:val="0"/>
          <w:bCs w:val="0"/>
          <w:color w:val="000000" w:themeColor="text1"/>
        </w:rPr>
      </w:pPr>
      <w:r w:rsidRPr="00712768">
        <w:rPr>
          <w:color w:val="000000" w:themeColor="text1"/>
        </w:rPr>
        <w:t xml:space="preserve">II – ANAMNESE </w:t>
      </w:r>
    </w:p>
    <w:p w14:paraId="1ABE3485" w14:textId="77777777" w:rsidR="00CB1FD6" w:rsidRPr="00003F5C" w:rsidRDefault="00CB1FD6" w:rsidP="00CB1FD6">
      <w:pPr>
        <w:rPr>
          <w:b/>
          <w:bCs/>
          <w:sz w:val="24"/>
          <w:szCs w:val="24"/>
          <w:lang w:eastAsia="pt-BR"/>
        </w:rPr>
      </w:pPr>
      <w:r w:rsidRPr="00003F5C">
        <w:rPr>
          <w:b/>
          <w:bCs/>
          <w:sz w:val="24"/>
          <w:szCs w:val="24"/>
          <w:lang w:eastAsia="pt-BR"/>
        </w:rPr>
        <w:t>História Médica:</w:t>
      </w:r>
    </w:p>
    <w:p w14:paraId="0DF18678" w14:textId="77777777" w:rsidR="00CB1FD6" w:rsidRDefault="00CB1FD6" w:rsidP="00CB1FD6">
      <w:pPr>
        <w:spacing w:after="12" w:line="247" w:lineRule="auto"/>
      </w:pPr>
      <w:r>
        <w:rPr>
          <w:sz w:val="24"/>
        </w:rPr>
        <w:t xml:space="preserve">___________________________________________________________________________ </w:t>
      </w:r>
    </w:p>
    <w:p w14:paraId="05C06D42" w14:textId="77777777" w:rsidR="00CB1FD6" w:rsidRDefault="00CB1FD6" w:rsidP="00CB1FD6">
      <w:pPr>
        <w:spacing w:after="12" w:line="247" w:lineRule="auto"/>
        <w:ind w:left="-5" w:hanging="10"/>
        <w:rPr>
          <w:sz w:val="24"/>
        </w:rPr>
      </w:pPr>
      <w:r>
        <w:rPr>
          <w:sz w:val="24"/>
        </w:rPr>
        <w:t>______________________________________________________________________________________________________________________________________________________</w:t>
      </w:r>
    </w:p>
    <w:p w14:paraId="422C3147" w14:textId="77777777" w:rsidR="00CB1FD6" w:rsidRDefault="00CB1FD6" w:rsidP="00CB1FD6">
      <w:pPr>
        <w:spacing w:after="12" w:line="247" w:lineRule="auto"/>
        <w:ind w:left="-5" w:hanging="10"/>
        <w:rPr>
          <w:sz w:val="24"/>
        </w:rPr>
      </w:pPr>
    </w:p>
    <w:p w14:paraId="346B4264" w14:textId="77777777" w:rsidR="00CB1FD6" w:rsidRDefault="00CB1FD6" w:rsidP="00CB1FD6">
      <w:pPr>
        <w:spacing w:after="12" w:line="247" w:lineRule="auto"/>
        <w:ind w:left="-5" w:hanging="10"/>
        <w:rPr>
          <w:b/>
          <w:sz w:val="24"/>
        </w:rPr>
      </w:pPr>
      <w:r w:rsidRPr="00E81B3A">
        <w:rPr>
          <w:b/>
          <w:sz w:val="24"/>
        </w:rPr>
        <w:t>Medicação em uso:</w:t>
      </w:r>
    </w:p>
    <w:p w14:paraId="11DEC8C1" w14:textId="77777777" w:rsidR="00CB1FD6" w:rsidRDefault="00CB1FD6" w:rsidP="00CB1FD6">
      <w:pPr>
        <w:spacing w:after="12" w:line="247" w:lineRule="auto"/>
        <w:ind w:left="-5" w:hanging="10"/>
        <w:rPr>
          <w:b/>
          <w:sz w:val="24"/>
        </w:rPr>
      </w:pPr>
      <w:r>
        <w:rPr>
          <w:b/>
          <w:sz w:val="24"/>
        </w:rPr>
        <w:t>_________________________________________________________________________________________________________________________________________________________________________________________________________________________________</w:t>
      </w:r>
    </w:p>
    <w:p w14:paraId="2AC84019" w14:textId="77777777" w:rsidR="00CB1FD6" w:rsidRDefault="00CB1FD6" w:rsidP="00CB1FD6">
      <w:pPr>
        <w:spacing w:after="12" w:line="247" w:lineRule="auto"/>
        <w:ind w:left="-5" w:hanging="10"/>
        <w:rPr>
          <w:rFonts w:ascii="Calibri" w:eastAsia="Calibri" w:hAnsi="Calibri" w:cs="Calibri"/>
          <w:b/>
        </w:rPr>
      </w:pPr>
    </w:p>
    <w:p w14:paraId="5F4FCA75" w14:textId="77777777" w:rsidR="00CB1FD6" w:rsidRDefault="00CB1FD6" w:rsidP="00CB1FD6">
      <w:pPr>
        <w:spacing w:after="12" w:line="247" w:lineRule="auto"/>
        <w:ind w:left="-5" w:hanging="10"/>
        <w:rPr>
          <w:rFonts w:eastAsia="Calibri"/>
          <w:b/>
          <w:sz w:val="24"/>
          <w:szCs w:val="24"/>
        </w:rPr>
      </w:pPr>
      <w:r w:rsidRPr="00003F5C">
        <w:rPr>
          <w:rFonts w:eastAsia="Calibri"/>
          <w:b/>
          <w:sz w:val="24"/>
          <w:szCs w:val="24"/>
        </w:rPr>
        <w:t>Histórico Odontológico:</w:t>
      </w:r>
    </w:p>
    <w:p w14:paraId="1316E05F" w14:textId="77777777" w:rsidR="00CB1FD6" w:rsidRDefault="00CB1FD6" w:rsidP="00CB1FD6">
      <w:pPr>
        <w:spacing w:after="12" w:line="247" w:lineRule="auto"/>
        <w:ind w:left="-5" w:hanging="10"/>
        <w:rPr>
          <w:rFonts w:eastAsia="Calibri"/>
          <w:b/>
          <w:sz w:val="24"/>
          <w:szCs w:val="24"/>
        </w:rPr>
      </w:pPr>
      <w:r>
        <w:rPr>
          <w:rFonts w:eastAsia="Calibri"/>
          <w:b/>
          <w:sz w:val="24"/>
          <w:szCs w:val="24"/>
        </w:rPr>
        <w:t>______________________________________________________________________________________________________________________________________________________</w:t>
      </w:r>
    </w:p>
    <w:p w14:paraId="6FAA4545" w14:textId="77777777" w:rsidR="00CB1FD6" w:rsidRPr="00003F5C" w:rsidRDefault="00CB1FD6" w:rsidP="00CB1FD6">
      <w:pPr>
        <w:spacing w:after="12" w:line="247" w:lineRule="auto"/>
        <w:ind w:left="-5" w:hanging="10"/>
        <w:rPr>
          <w:rFonts w:eastAsia="Calibri"/>
          <w:b/>
          <w:sz w:val="24"/>
          <w:szCs w:val="24"/>
        </w:rPr>
      </w:pPr>
      <w:r>
        <w:rPr>
          <w:rFonts w:eastAsia="Calibri"/>
          <w:b/>
          <w:sz w:val="24"/>
          <w:szCs w:val="24"/>
        </w:rPr>
        <w:t>___________________________________________________________________________</w:t>
      </w:r>
    </w:p>
    <w:p w14:paraId="72306113" w14:textId="77777777" w:rsidR="00CB1FD6" w:rsidRPr="00003F5C" w:rsidRDefault="00CB1FD6" w:rsidP="00CB1FD6">
      <w:pPr>
        <w:rPr>
          <w:sz w:val="24"/>
          <w:szCs w:val="24"/>
        </w:rPr>
      </w:pPr>
      <w:r w:rsidRPr="00003F5C">
        <w:rPr>
          <w:sz w:val="24"/>
          <w:szCs w:val="24"/>
        </w:rPr>
        <w:t xml:space="preserve"> </w:t>
      </w:r>
    </w:p>
    <w:p w14:paraId="4508FD3A" w14:textId="77777777" w:rsidR="00CB1FD6" w:rsidRPr="0004735A" w:rsidRDefault="00CB1FD6" w:rsidP="00CB1FD6">
      <w:pPr>
        <w:rPr>
          <w:b/>
          <w:bCs/>
          <w:sz w:val="24"/>
          <w:szCs w:val="24"/>
        </w:rPr>
      </w:pPr>
      <w:r w:rsidRPr="0004735A">
        <w:rPr>
          <w:b/>
          <w:bCs/>
          <w:sz w:val="24"/>
          <w:szCs w:val="24"/>
        </w:rPr>
        <w:t>Hábitos de higiene bucal:</w:t>
      </w:r>
    </w:p>
    <w:p w14:paraId="04E7867F" w14:textId="77777777" w:rsidR="00CB1FD6" w:rsidRPr="0004735A" w:rsidRDefault="00CB1FD6" w:rsidP="00CB1FD6">
      <w:pPr>
        <w:rPr>
          <w:sz w:val="24"/>
          <w:szCs w:val="24"/>
        </w:rPr>
      </w:pPr>
    </w:p>
    <w:p w14:paraId="411F633E" w14:textId="77777777" w:rsidR="00CB1FD6" w:rsidRPr="0004735A" w:rsidRDefault="00CB1FD6" w:rsidP="00CB1FD6">
      <w:pPr>
        <w:rPr>
          <w:sz w:val="24"/>
          <w:szCs w:val="24"/>
        </w:rPr>
      </w:pPr>
      <w:r w:rsidRPr="0004735A">
        <w:rPr>
          <w:sz w:val="24"/>
          <w:szCs w:val="24"/>
        </w:rPr>
        <w:t>Quantas vezes ao dia você escova os dentes?___________________</w:t>
      </w:r>
      <w:r>
        <w:rPr>
          <w:sz w:val="24"/>
          <w:szCs w:val="24"/>
        </w:rPr>
        <w:t>_</w:t>
      </w:r>
      <w:r w:rsidRPr="0004735A">
        <w:rPr>
          <w:sz w:val="24"/>
          <w:szCs w:val="24"/>
        </w:rPr>
        <w:t>___________________</w:t>
      </w:r>
    </w:p>
    <w:p w14:paraId="6C2F28B3" w14:textId="77777777" w:rsidR="00CB1FD6" w:rsidRPr="0004735A" w:rsidRDefault="00CB1FD6" w:rsidP="00CB1FD6">
      <w:pPr>
        <w:rPr>
          <w:sz w:val="24"/>
          <w:szCs w:val="24"/>
        </w:rPr>
      </w:pPr>
    </w:p>
    <w:p w14:paraId="6839396F" w14:textId="77777777" w:rsidR="00CB1FD6" w:rsidRDefault="00CB1FD6" w:rsidP="00CB1FD6">
      <w:pPr>
        <w:rPr>
          <w:sz w:val="24"/>
          <w:szCs w:val="24"/>
        </w:rPr>
      </w:pPr>
      <w:r w:rsidRPr="0004735A">
        <w:rPr>
          <w:sz w:val="24"/>
          <w:szCs w:val="24"/>
        </w:rPr>
        <w:t>Utiliza fio dental? Se sim, com qual frequência?____________________________________</w:t>
      </w:r>
    </w:p>
    <w:p w14:paraId="765D526E" w14:textId="77777777" w:rsidR="00CB1FD6" w:rsidRDefault="00CB1FD6" w:rsidP="00CB1FD6"/>
    <w:p w14:paraId="75303082" w14:textId="77777777" w:rsidR="00CB1FD6" w:rsidRPr="00E81B3A" w:rsidRDefault="00CB1FD6" w:rsidP="00CB1FD6">
      <w:pPr>
        <w:spacing w:after="4" w:line="249" w:lineRule="auto"/>
        <w:ind w:left="-5" w:hanging="10"/>
        <w:rPr>
          <w:b/>
          <w:sz w:val="24"/>
          <w:szCs w:val="24"/>
        </w:rPr>
      </w:pPr>
      <w:r w:rsidRPr="00E81B3A">
        <w:rPr>
          <w:rFonts w:eastAsia="Tahoma"/>
          <w:b/>
          <w:sz w:val="24"/>
          <w:szCs w:val="24"/>
        </w:rPr>
        <w:t xml:space="preserve">Anotações Complementares: </w:t>
      </w:r>
    </w:p>
    <w:p w14:paraId="54C1D074" w14:textId="77777777" w:rsidR="00CB1FD6" w:rsidRDefault="00CB1FD6" w:rsidP="00CB1FD6">
      <w:pPr>
        <w:spacing w:after="4" w:line="249" w:lineRule="auto"/>
        <w:ind w:left="-5" w:hanging="10"/>
        <w:rPr>
          <w:rFonts w:ascii="Tahoma" w:eastAsia="Tahoma" w:hAnsi="Tahoma" w:cs="Tahoma"/>
          <w:sz w:val="20"/>
        </w:rPr>
      </w:pPr>
      <w:r>
        <w:rPr>
          <w:rFonts w:ascii="Tahoma" w:eastAsia="Tahoma" w:hAnsi="Tahoma" w:cs="Tahoma"/>
          <w:sz w:val="20"/>
        </w:rPr>
        <w:t>___________________________________________________________________________________ ______________________________________________________________________________________________________________________________________________________________________</w:t>
      </w:r>
    </w:p>
    <w:p w14:paraId="2A66DB44" w14:textId="77777777" w:rsidR="00CB1FD6" w:rsidRDefault="00CB1FD6" w:rsidP="00CB1FD6">
      <w:pPr>
        <w:spacing w:after="4" w:line="249" w:lineRule="auto"/>
        <w:ind w:left="-5" w:hanging="10"/>
        <w:rPr>
          <w:rFonts w:ascii="Tahoma" w:eastAsia="Tahoma" w:hAnsi="Tahoma" w:cs="Tahoma"/>
          <w:sz w:val="20"/>
        </w:rPr>
      </w:pPr>
    </w:p>
    <w:p w14:paraId="46F69379" w14:textId="77777777" w:rsidR="00CB1FD6" w:rsidRDefault="00CB1FD6" w:rsidP="00CB1FD6">
      <w:pPr>
        <w:spacing w:after="4" w:line="249" w:lineRule="auto"/>
        <w:ind w:left="-5" w:hanging="10"/>
        <w:rPr>
          <w:rFonts w:ascii="Tahoma" w:eastAsia="Tahoma" w:hAnsi="Tahoma" w:cs="Tahoma"/>
          <w:sz w:val="20"/>
        </w:rPr>
      </w:pPr>
    </w:p>
    <w:p w14:paraId="7C8465A4" w14:textId="77777777" w:rsidR="00CB1FD6" w:rsidRDefault="00CB1FD6" w:rsidP="00CB1FD6">
      <w:pPr>
        <w:spacing w:after="4" w:line="249" w:lineRule="auto"/>
        <w:ind w:left="-5" w:hanging="10"/>
        <w:rPr>
          <w:rFonts w:ascii="Tahoma" w:eastAsia="Tahoma" w:hAnsi="Tahoma" w:cs="Tahoma"/>
          <w:sz w:val="20"/>
        </w:rPr>
      </w:pPr>
    </w:p>
    <w:p w14:paraId="7E3C38DD" w14:textId="77777777" w:rsidR="00CB1FD6" w:rsidRPr="00367EED" w:rsidRDefault="00CB1FD6" w:rsidP="00CB1FD6">
      <w:pPr>
        <w:spacing w:after="4" w:line="249" w:lineRule="auto"/>
        <w:ind w:left="-5" w:hanging="10"/>
        <w:sectPr w:rsidR="00CB1FD6" w:rsidRPr="00367EED" w:rsidSect="00D53E07">
          <w:pgSz w:w="11906" w:h="16838"/>
          <w:pgMar w:top="1701" w:right="1134" w:bottom="1134" w:left="1701" w:header="708" w:footer="708" w:gutter="0"/>
          <w:cols w:space="708"/>
          <w:docGrid w:linePitch="360"/>
        </w:sectPr>
      </w:pPr>
      <w:r w:rsidRPr="003D75DC">
        <w:rPr>
          <w:noProof/>
          <w:lang w:val="en-US"/>
        </w:rPr>
        <w:lastRenderedPageBreak/>
        <w:drawing>
          <wp:inline distT="0" distB="0" distL="0" distR="0" wp14:anchorId="678BE323" wp14:editId="7C959432">
            <wp:extent cx="5944091" cy="7717293"/>
            <wp:effectExtent l="0" t="0" r="0" b="4445"/>
            <wp:docPr id="1862947371" name="Imagem 1"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947371" name="Imagem 1" descr="Tabela&#10;&#10;Descrição gerada automaticamente"/>
                    <pic:cNvPicPr/>
                  </pic:nvPicPr>
                  <pic:blipFill>
                    <a:blip r:embed="rId12"/>
                    <a:stretch>
                      <a:fillRect/>
                    </a:stretch>
                  </pic:blipFill>
                  <pic:spPr>
                    <a:xfrm>
                      <a:off x="0" y="0"/>
                      <a:ext cx="5947171" cy="7721292"/>
                    </a:xfrm>
                    <a:prstGeom prst="rect">
                      <a:avLst/>
                    </a:prstGeom>
                  </pic:spPr>
                </pic:pic>
              </a:graphicData>
            </a:graphic>
          </wp:inline>
        </w:drawing>
      </w:r>
    </w:p>
    <w:p w14:paraId="7E5FDB06" w14:textId="62086246" w:rsidR="00CB1FD6" w:rsidRDefault="00F82430" w:rsidP="00CB1FD6">
      <w:pPr>
        <w:tabs>
          <w:tab w:val="left" w:pos="1318"/>
        </w:tabs>
        <w:spacing w:before="24"/>
        <w:rPr>
          <w:b/>
          <w:sz w:val="24"/>
        </w:rPr>
      </w:pPr>
      <w:r>
        <w:rPr>
          <w:b/>
          <w:sz w:val="24"/>
        </w:rPr>
        <w:lastRenderedPageBreak/>
        <w:t>IV- ESCALA VISUAL ANALÓGICA</w:t>
      </w:r>
    </w:p>
    <w:p w14:paraId="3E6265DF" w14:textId="77777777" w:rsidR="00CB1FD6" w:rsidRDefault="00CB1FD6" w:rsidP="00CB1FD6">
      <w:pPr>
        <w:tabs>
          <w:tab w:val="left" w:pos="1318"/>
        </w:tabs>
        <w:spacing w:before="24"/>
        <w:rPr>
          <w:b/>
          <w:sz w:val="24"/>
        </w:rPr>
      </w:pPr>
    </w:p>
    <w:p w14:paraId="5FEAFD0B" w14:textId="7350A33C" w:rsidR="00CB1FD6" w:rsidRDefault="00F82430" w:rsidP="00CB1FD6">
      <w:pPr>
        <w:tabs>
          <w:tab w:val="left" w:pos="1318"/>
        </w:tabs>
        <w:spacing w:before="24"/>
        <w:rPr>
          <w:b/>
          <w:sz w:val="24"/>
        </w:rPr>
      </w:pPr>
      <w:r>
        <w:rPr>
          <w:b/>
          <w:noProof/>
          <w:sz w:val="24"/>
          <w:lang w:val="en-US"/>
        </w:rPr>
        <w:drawing>
          <wp:inline distT="0" distB="0" distL="0" distR="0" wp14:anchorId="77932436" wp14:editId="62E12FB7">
            <wp:extent cx="4912743" cy="1342417"/>
            <wp:effectExtent l="0" t="0" r="0" b="3810"/>
            <wp:docPr id="89896839" name="Imagem 21" descr="Interface gráfica do usuári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96839" name="Imagem 21" descr="Interface gráfica do usuário&#10;&#10;Descrição gerada automaticamente"/>
                    <pic:cNvPicPr/>
                  </pic:nvPicPr>
                  <pic:blipFill rotWithShape="1">
                    <a:blip r:embed="rId13" cstate="print">
                      <a:extLst>
                        <a:ext uri="{28A0092B-C50C-407E-A947-70E740481C1C}">
                          <a14:useLocalDpi xmlns:a14="http://schemas.microsoft.com/office/drawing/2010/main" val="0"/>
                        </a:ext>
                      </a:extLst>
                    </a:blip>
                    <a:srcRect l="218" t="39700" r="-10" b="41017"/>
                    <a:stretch/>
                  </pic:blipFill>
                  <pic:spPr bwMode="auto">
                    <a:xfrm>
                      <a:off x="0" y="0"/>
                      <a:ext cx="4932505" cy="1347817"/>
                    </a:xfrm>
                    <a:prstGeom prst="rect">
                      <a:avLst/>
                    </a:prstGeom>
                    <a:ln>
                      <a:noFill/>
                    </a:ln>
                    <a:extLst>
                      <a:ext uri="{53640926-AAD7-44d8-BBD7-CCE9431645EC}">
                        <a14:shadowObscured xmlns:a14="http://schemas.microsoft.com/office/drawing/2010/main"/>
                      </a:ext>
                    </a:extLst>
                  </pic:spPr>
                </pic:pic>
              </a:graphicData>
            </a:graphic>
          </wp:inline>
        </w:drawing>
      </w:r>
    </w:p>
    <w:p w14:paraId="54FA7173" w14:textId="77777777" w:rsidR="00CB1FD6" w:rsidRPr="00CB1FD6" w:rsidRDefault="00CB1FD6" w:rsidP="00CB1FD6">
      <w:pPr>
        <w:tabs>
          <w:tab w:val="left" w:pos="1318"/>
        </w:tabs>
        <w:spacing w:before="24"/>
        <w:rPr>
          <w:b/>
          <w:sz w:val="24"/>
        </w:rPr>
      </w:pPr>
    </w:p>
    <w:p w14:paraId="542AEF7D" w14:textId="67174833" w:rsidR="00FA4F18" w:rsidRDefault="00FA4F18" w:rsidP="00FA4F18">
      <w:pPr>
        <w:pStyle w:val="ListParagraph"/>
        <w:tabs>
          <w:tab w:val="left" w:pos="1318"/>
        </w:tabs>
        <w:spacing w:before="24"/>
        <w:ind w:left="238" w:firstLine="0"/>
        <w:jc w:val="center"/>
        <w:rPr>
          <w:b/>
          <w:sz w:val="24"/>
        </w:rPr>
      </w:pPr>
    </w:p>
    <w:p w14:paraId="48B2304F" w14:textId="4659D658" w:rsidR="00FA4F18" w:rsidRDefault="00FA4F18" w:rsidP="00FA4F18">
      <w:pPr>
        <w:pStyle w:val="ListParagraph"/>
        <w:tabs>
          <w:tab w:val="left" w:pos="1318"/>
        </w:tabs>
        <w:spacing w:before="24"/>
        <w:ind w:left="238" w:firstLine="0"/>
        <w:jc w:val="left"/>
        <w:rPr>
          <w:b/>
          <w:sz w:val="24"/>
        </w:rPr>
      </w:pPr>
    </w:p>
    <w:p w14:paraId="5778A999" w14:textId="012B6748" w:rsidR="00FA4F18" w:rsidRDefault="00FA4F18" w:rsidP="00FA4F18">
      <w:pPr>
        <w:pStyle w:val="ListParagraph"/>
        <w:tabs>
          <w:tab w:val="left" w:pos="1318"/>
        </w:tabs>
        <w:spacing w:before="24"/>
        <w:ind w:left="238" w:firstLine="0"/>
        <w:jc w:val="left"/>
        <w:rPr>
          <w:b/>
          <w:sz w:val="24"/>
        </w:rPr>
      </w:pPr>
    </w:p>
    <w:p w14:paraId="3720B0C6" w14:textId="77777777" w:rsidR="00CD6054" w:rsidRDefault="00CD6054">
      <w:pPr>
        <w:pStyle w:val="BodyText"/>
        <w:spacing w:before="199"/>
        <w:rPr>
          <w:b/>
        </w:rPr>
      </w:pPr>
    </w:p>
    <w:p w14:paraId="5405B2F9" w14:textId="77777777" w:rsidR="00CD6054" w:rsidRPr="00FA4F18" w:rsidRDefault="00A44E92">
      <w:pPr>
        <w:pStyle w:val="Heading1"/>
        <w:numPr>
          <w:ilvl w:val="1"/>
          <w:numId w:val="7"/>
        </w:numPr>
        <w:tabs>
          <w:tab w:val="left" w:pos="1318"/>
        </w:tabs>
        <w:spacing w:before="62"/>
        <w:ind w:hanging="721"/>
      </w:pPr>
      <w:r>
        <w:rPr>
          <w:spacing w:val="-2"/>
        </w:rPr>
        <w:t>Periograma</w:t>
      </w:r>
    </w:p>
    <w:p w14:paraId="41EF1C8B" w14:textId="0D26CA61" w:rsidR="00FA4F18" w:rsidRPr="00FA4F18" w:rsidRDefault="00FA4F18" w:rsidP="00FA4F18">
      <w:pPr>
        <w:pStyle w:val="Heading1"/>
        <w:tabs>
          <w:tab w:val="left" w:pos="1318"/>
        </w:tabs>
        <w:spacing w:before="62"/>
        <w:ind w:left="1318" w:firstLine="0"/>
      </w:pPr>
      <w:r>
        <w:rPr>
          <w:noProof/>
          <w:lang w:val="en-US"/>
        </w:rPr>
        <w:drawing>
          <wp:anchor distT="0" distB="0" distL="0" distR="0" simplePos="0" relativeHeight="487599616" behindDoc="1" locked="0" layoutInCell="1" allowOverlap="1" wp14:anchorId="242EA276" wp14:editId="63B096DD">
            <wp:simplePos x="0" y="0"/>
            <wp:positionH relativeFrom="page">
              <wp:posOffset>1276350</wp:posOffset>
            </wp:positionH>
            <wp:positionV relativeFrom="paragraph">
              <wp:posOffset>216535</wp:posOffset>
            </wp:positionV>
            <wp:extent cx="4933950" cy="3190875"/>
            <wp:effectExtent l="0" t="0" r="0" b="9525"/>
            <wp:wrapTopAndBottom/>
            <wp:docPr id="23" name="Image 23" descr="Uma imagem contendo Gráfico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Uma imagem contendo Gráfico  Descrição gerada automaticamente"/>
                    <pic:cNvPicPr/>
                  </pic:nvPicPr>
                  <pic:blipFill>
                    <a:blip r:embed="rId14" cstate="print"/>
                    <a:stretch>
                      <a:fillRect/>
                    </a:stretch>
                  </pic:blipFill>
                  <pic:spPr>
                    <a:xfrm>
                      <a:off x="0" y="0"/>
                      <a:ext cx="4933950" cy="3190875"/>
                    </a:xfrm>
                    <a:prstGeom prst="rect">
                      <a:avLst/>
                    </a:prstGeom>
                  </pic:spPr>
                </pic:pic>
              </a:graphicData>
            </a:graphic>
            <wp14:sizeRelH relativeFrom="margin">
              <wp14:pctWidth>0</wp14:pctWidth>
            </wp14:sizeRelH>
            <wp14:sizeRelV relativeFrom="margin">
              <wp14:pctHeight>0</wp14:pctHeight>
            </wp14:sizeRelV>
          </wp:anchor>
        </w:drawing>
      </w:r>
    </w:p>
    <w:p w14:paraId="741E04BD" w14:textId="77777777" w:rsidR="00FA4F18" w:rsidRDefault="00FA4F18" w:rsidP="00FA4F18">
      <w:pPr>
        <w:pStyle w:val="Heading1"/>
        <w:tabs>
          <w:tab w:val="left" w:pos="1318"/>
        </w:tabs>
        <w:spacing w:before="62"/>
        <w:ind w:left="596" w:firstLine="0"/>
        <w:rPr>
          <w:spacing w:val="-2"/>
        </w:rPr>
      </w:pPr>
    </w:p>
    <w:p w14:paraId="72CE829B" w14:textId="77777777" w:rsidR="00CB1FD6" w:rsidRDefault="00CB1FD6" w:rsidP="00FA4F18">
      <w:pPr>
        <w:pStyle w:val="Heading1"/>
        <w:tabs>
          <w:tab w:val="left" w:pos="1318"/>
        </w:tabs>
        <w:spacing w:before="62"/>
        <w:ind w:left="596" w:firstLine="0"/>
        <w:rPr>
          <w:spacing w:val="-2"/>
        </w:rPr>
      </w:pPr>
    </w:p>
    <w:p w14:paraId="7775787B" w14:textId="77777777" w:rsidR="00CB1FD6" w:rsidRDefault="00CB1FD6" w:rsidP="00FA4F18">
      <w:pPr>
        <w:pStyle w:val="Heading1"/>
        <w:tabs>
          <w:tab w:val="left" w:pos="1318"/>
        </w:tabs>
        <w:spacing w:before="62"/>
        <w:ind w:left="596" w:firstLine="0"/>
        <w:rPr>
          <w:spacing w:val="-2"/>
        </w:rPr>
      </w:pPr>
    </w:p>
    <w:p w14:paraId="709BF068" w14:textId="77777777" w:rsidR="00CB1FD6" w:rsidRDefault="00CB1FD6" w:rsidP="00FA4F18">
      <w:pPr>
        <w:pStyle w:val="Heading1"/>
        <w:tabs>
          <w:tab w:val="left" w:pos="1318"/>
        </w:tabs>
        <w:spacing w:before="62"/>
        <w:ind w:left="596" w:firstLine="0"/>
        <w:rPr>
          <w:spacing w:val="-2"/>
        </w:rPr>
      </w:pPr>
    </w:p>
    <w:p w14:paraId="2962AB03" w14:textId="77777777" w:rsidR="00CB1FD6" w:rsidRDefault="00CB1FD6" w:rsidP="00FA4F18">
      <w:pPr>
        <w:pStyle w:val="Heading1"/>
        <w:tabs>
          <w:tab w:val="left" w:pos="1318"/>
        </w:tabs>
        <w:spacing w:before="62"/>
        <w:ind w:left="596" w:firstLine="0"/>
        <w:rPr>
          <w:spacing w:val="-2"/>
        </w:rPr>
      </w:pPr>
    </w:p>
    <w:p w14:paraId="494754DA" w14:textId="77777777" w:rsidR="00CB1FD6" w:rsidRDefault="00CB1FD6" w:rsidP="00FA4F18">
      <w:pPr>
        <w:pStyle w:val="Heading1"/>
        <w:tabs>
          <w:tab w:val="left" w:pos="1318"/>
        </w:tabs>
        <w:spacing w:before="62"/>
        <w:ind w:left="596" w:firstLine="0"/>
        <w:rPr>
          <w:spacing w:val="-2"/>
        </w:rPr>
      </w:pPr>
    </w:p>
    <w:p w14:paraId="508F02F7" w14:textId="77777777" w:rsidR="00CB1FD6" w:rsidRDefault="00CB1FD6" w:rsidP="00FA4F18">
      <w:pPr>
        <w:pStyle w:val="Heading1"/>
        <w:tabs>
          <w:tab w:val="left" w:pos="1318"/>
        </w:tabs>
        <w:spacing w:before="62"/>
        <w:ind w:left="596" w:firstLine="0"/>
        <w:rPr>
          <w:spacing w:val="-2"/>
        </w:rPr>
      </w:pPr>
    </w:p>
    <w:p w14:paraId="19719A6B" w14:textId="77777777" w:rsidR="00CB1FD6" w:rsidRDefault="00CB1FD6" w:rsidP="00FA4F18">
      <w:pPr>
        <w:pStyle w:val="Heading1"/>
        <w:tabs>
          <w:tab w:val="left" w:pos="1318"/>
        </w:tabs>
        <w:spacing w:before="62"/>
        <w:ind w:left="596" w:firstLine="0"/>
        <w:rPr>
          <w:spacing w:val="-2"/>
        </w:rPr>
      </w:pPr>
    </w:p>
    <w:p w14:paraId="363DC8CC" w14:textId="77777777" w:rsidR="00CB1FD6" w:rsidRDefault="00CB1FD6" w:rsidP="00FA4F18">
      <w:pPr>
        <w:pStyle w:val="Heading1"/>
        <w:tabs>
          <w:tab w:val="left" w:pos="1318"/>
        </w:tabs>
        <w:spacing w:before="62"/>
        <w:ind w:left="596" w:firstLine="0"/>
        <w:rPr>
          <w:spacing w:val="-2"/>
        </w:rPr>
      </w:pPr>
    </w:p>
    <w:p w14:paraId="7B4D1059" w14:textId="77777777" w:rsidR="00CB1FD6" w:rsidRDefault="00CB1FD6" w:rsidP="00FA4F18">
      <w:pPr>
        <w:pStyle w:val="Heading1"/>
        <w:tabs>
          <w:tab w:val="left" w:pos="1318"/>
        </w:tabs>
        <w:spacing w:before="62"/>
        <w:ind w:left="596" w:firstLine="0"/>
        <w:rPr>
          <w:spacing w:val="-2"/>
        </w:rPr>
      </w:pPr>
    </w:p>
    <w:p w14:paraId="76AF00B3" w14:textId="77777777" w:rsidR="00F82430" w:rsidRDefault="00F82430" w:rsidP="00FA4F18">
      <w:pPr>
        <w:pStyle w:val="Heading1"/>
        <w:tabs>
          <w:tab w:val="left" w:pos="1318"/>
        </w:tabs>
        <w:spacing w:before="62"/>
        <w:ind w:left="596" w:firstLine="0"/>
        <w:rPr>
          <w:spacing w:val="-2"/>
        </w:rPr>
      </w:pPr>
    </w:p>
    <w:p w14:paraId="32BADB19" w14:textId="77777777" w:rsidR="00F82430" w:rsidRDefault="00F82430" w:rsidP="00FA4F18">
      <w:pPr>
        <w:pStyle w:val="Heading1"/>
        <w:tabs>
          <w:tab w:val="left" w:pos="1318"/>
        </w:tabs>
        <w:spacing w:before="62"/>
        <w:ind w:left="596" w:firstLine="0"/>
        <w:rPr>
          <w:spacing w:val="-2"/>
        </w:rPr>
      </w:pPr>
    </w:p>
    <w:p w14:paraId="45742287" w14:textId="77777777" w:rsidR="00F82430" w:rsidRDefault="00F82430" w:rsidP="00FA4F18">
      <w:pPr>
        <w:pStyle w:val="Heading1"/>
        <w:tabs>
          <w:tab w:val="left" w:pos="1318"/>
        </w:tabs>
        <w:spacing w:before="62"/>
        <w:ind w:left="596" w:firstLine="0"/>
        <w:rPr>
          <w:spacing w:val="-2"/>
        </w:rPr>
      </w:pPr>
    </w:p>
    <w:p w14:paraId="135D63B9" w14:textId="77777777" w:rsidR="00F82430" w:rsidRDefault="00F82430" w:rsidP="00FA4F18">
      <w:pPr>
        <w:pStyle w:val="Heading1"/>
        <w:tabs>
          <w:tab w:val="left" w:pos="1318"/>
        </w:tabs>
        <w:spacing w:before="62"/>
        <w:ind w:left="596" w:firstLine="0"/>
        <w:rPr>
          <w:spacing w:val="-2"/>
        </w:rPr>
      </w:pPr>
    </w:p>
    <w:p w14:paraId="00C7590C" w14:textId="77777777" w:rsidR="00F82430" w:rsidRDefault="00F82430" w:rsidP="00FA4F18">
      <w:pPr>
        <w:pStyle w:val="Heading1"/>
        <w:tabs>
          <w:tab w:val="left" w:pos="1318"/>
        </w:tabs>
        <w:spacing w:before="62"/>
        <w:ind w:left="596" w:firstLine="0"/>
        <w:rPr>
          <w:spacing w:val="-2"/>
        </w:rPr>
      </w:pPr>
    </w:p>
    <w:p w14:paraId="7A7E51A6" w14:textId="1642FD61" w:rsidR="00FA4F18" w:rsidRPr="00FA4F18" w:rsidRDefault="00FA4F18" w:rsidP="00FA4F18">
      <w:pPr>
        <w:pStyle w:val="Heading1"/>
        <w:numPr>
          <w:ilvl w:val="1"/>
          <w:numId w:val="7"/>
        </w:numPr>
        <w:tabs>
          <w:tab w:val="left" w:pos="1318"/>
        </w:tabs>
        <w:spacing w:before="62"/>
      </w:pPr>
      <w:r>
        <w:rPr>
          <w:spacing w:val="-2"/>
        </w:rPr>
        <w:lastRenderedPageBreak/>
        <w:t>Questionário DC/TMD</w:t>
      </w:r>
    </w:p>
    <w:p w14:paraId="140DD607" w14:textId="69BD8A8B" w:rsidR="00FA4F18" w:rsidRDefault="00402437" w:rsidP="00ED3E17">
      <w:pPr>
        <w:pStyle w:val="Heading1"/>
        <w:tabs>
          <w:tab w:val="left" w:pos="1318"/>
        </w:tabs>
        <w:spacing w:before="14"/>
        <w:ind w:left="238" w:firstLine="0"/>
      </w:pPr>
      <w:r>
        <w:rPr>
          <w:noProof/>
          <w:lang w:val="en-US"/>
        </w:rPr>
        <w:drawing>
          <wp:inline distT="0" distB="0" distL="0" distR="0" wp14:anchorId="2778E338" wp14:editId="21D870FA">
            <wp:extent cx="6076950" cy="7867015"/>
            <wp:effectExtent l="0" t="0" r="0" b="635"/>
            <wp:docPr id="600655934" name="Imagem 3" descr="Uma imagem contend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55934" name="Imagem 3" descr="Uma imagem contendo Texto&#10;&#10;Descrição gerada automaticamente"/>
                    <pic:cNvPicPr/>
                  </pic:nvPicPr>
                  <pic:blipFill>
                    <a:blip r:embed="rId15">
                      <a:extLst>
                        <a:ext uri="{28A0092B-C50C-407E-A947-70E740481C1C}">
                          <a14:useLocalDpi xmlns:a14="http://schemas.microsoft.com/office/drawing/2010/main" val="0"/>
                        </a:ext>
                      </a:extLst>
                    </a:blip>
                    <a:stretch>
                      <a:fillRect/>
                    </a:stretch>
                  </pic:blipFill>
                  <pic:spPr>
                    <a:xfrm>
                      <a:off x="0" y="0"/>
                      <a:ext cx="6076950" cy="7867015"/>
                    </a:xfrm>
                    <a:prstGeom prst="rect">
                      <a:avLst/>
                    </a:prstGeom>
                  </pic:spPr>
                </pic:pic>
              </a:graphicData>
            </a:graphic>
          </wp:inline>
        </w:drawing>
      </w:r>
    </w:p>
    <w:p w14:paraId="5CFF3DD7" w14:textId="49CEE4F1" w:rsidR="00402437" w:rsidRDefault="00402437" w:rsidP="00ED3E17">
      <w:pPr>
        <w:pStyle w:val="Heading1"/>
        <w:tabs>
          <w:tab w:val="left" w:pos="1318"/>
        </w:tabs>
        <w:spacing w:before="14"/>
        <w:ind w:left="238" w:firstLine="0"/>
      </w:pPr>
      <w:r>
        <w:rPr>
          <w:noProof/>
          <w:lang w:val="en-US"/>
        </w:rPr>
        <w:lastRenderedPageBreak/>
        <w:drawing>
          <wp:inline distT="0" distB="0" distL="0" distR="0" wp14:anchorId="2131D92E" wp14:editId="1A0E0276">
            <wp:extent cx="6076950" cy="7867015"/>
            <wp:effectExtent l="0" t="0" r="0" b="635"/>
            <wp:docPr id="127831597" name="Imagem 4"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31597" name="Imagem 4" descr="Tabela&#10;&#10;Descrição gerada automaticamente"/>
                    <pic:cNvPicPr/>
                  </pic:nvPicPr>
                  <pic:blipFill>
                    <a:blip r:embed="rId16">
                      <a:extLst>
                        <a:ext uri="{28A0092B-C50C-407E-A947-70E740481C1C}">
                          <a14:useLocalDpi xmlns:a14="http://schemas.microsoft.com/office/drawing/2010/main" val="0"/>
                        </a:ext>
                      </a:extLst>
                    </a:blip>
                    <a:stretch>
                      <a:fillRect/>
                    </a:stretch>
                  </pic:blipFill>
                  <pic:spPr>
                    <a:xfrm>
                      <a:off x="0" y="0"/>
                      <a:ext cx="6076950" cy="7867015"/>
                    </a:xfrm>
                    <a:prstGeom prst="rect">
                      <a:avLst/>
                    </a:prstGeom>
                  </pic:spPr>
                </pic:pic>
              </a:graphicData>
            </a:graphic>
          </wp:inline>
        </w:drawing>
      </w:r>
    </w:p>
    <w:p w14:paraId="4678FBFB" w14:textId="63D7D72E" w:rsidR="00402437" w:rsidRDefault="00402437" w:rsidP="00ED3E17">
      <w:pPr>
        <w:pStyle w:val="Heading1"/>
        <w:tabs>
          <w:tab w:val="left" w:pos="1318"/>
        </w:tabs>
        <w:spacing w:before="14"/>
        <w:ind w:left="238" w:firstLine="0"/>
      </w:pPr>
      <w:r>
        <w:rPr>
          <w:noProof/>
          <w:lang w:val="en-US"/>
        </w:rPr>
        <w:lastRenderedPageBreak/>
        <w:drawing>
          <wp:inline distT="0" distB="0" distL="0" distR="0" wp14:anchorId="6A66E83C" wp14:editId="2502EDFA">
            <wp:extent cx="6076950" cy="7867015"/>
            <wp:effectExtent l="0" t="0" r="0" b="635"/>
            <wp:docPr id="500123086" name="Imagem 5"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123086" name="Imagem 5" descr="Tabela&#10;&#10;Descrição gerada automaticamente"/>
                    <pic:cNvPicPr/>
                  </pic:nvPicPr>
                  <pic:blipFill>
                    <a:blip r:embed="rId17">
                      <a:extLst>
                        <a:ext uri="{28A0092B-C50C-407E-A947-70E740481C1C}">
                          <a14:useLocalDpi xmlns:a14="http://schemas.microsoft.com/office/drawing/2010/main" val="0"/>
                        </a:ext>
                      </a:extLst>
                    </a:blip>
                    <a:stretch>
                      <a:fillRect/>
                    </a:stretch>
                  </pic:blipFill>
                  <pic:spPr>
                    <a:xfrm>
                      <a:off x="0" y="0"/>
                      <a:ext cx="6076950" cy="7867015"/>
                    </a:xfrm>
                    <a:prstGeom prst="rect">
                      <a:avLst/>
                    </a:prstGeom>
                  </pic:spPr>
                </pic:pic>
              </a:graphicData>
            </a:graphic>
          </wp:inline>
        </w:drawing>
      </w:r>
    </w:p>
    <w:p w14:paraId="241C2FBE" w14:textId="292791C5" w:rsidR="00FA4F18" w:rsidRDefault="00FA4F18" w:rsidP="00FA4F18">
      <w:pPr>
        <w:pStyle w:val="Heading1"/>
        <w:tabs>
          <w:tab w:val="left" w:pos="1318"/>
        </w:tabs>
        <w:spacing w:before="62"/>
        <w:ind w:left="238" w:firstLine="0"/>
      </w:pPr>
    </w:p>
    <w:p w14:paraId="7A88C738" w14:textId="318A7E99" w:rsidR="00FA4F18" w:rsidRDefault="00FA4F18" w:rsidP="00FA4F18">
      <w:pPr>
        <w:pStyle w:val="Heading1"/>
        <w:tabs>
          <w:tab w:val="left" w:pos="1318"/>
        </w:tabs>
        <w:spacing w:before="62"/>
        <w:ind w:left="238" w:firstLine="0"/>
      </w:pPr>
    </w:p>
    <w:p w14:paraId="4C388550" w14:textId="72EBFF2C" w:rsidR="00FA4F18" w:rsidRDefault="00FA4F18" w:rsidP="00FA4F18">
      <w:pPr>
        <w:pStyle w:val="Heading1"/>
        <w:tabs>
          <w:tab w:val="left" w:pos="1318"/>
        </w:tabs>
        <w:spacing w:before="62"/>
        <w:ind w:left="238" w:firstLine="0"/>
      </w:pPr>
      <w:r>
        <w:rPr>
          <w:noProof/>
          <w:lang w:val="en-US"/>
        </w:rPr>
        <w:lastRenderedPageBreak/>
        <w:drawing>
          <wp:inline distT="0" distB="0" distL="0" distR="0" wp14:anchorId="62A91D10" wp14:editId="0F8D0D6A">
            <wp:extent cx="6076950" cy="7867015"/>
            <wp:effectExtent l="0" t="0" r="0" b="635"/>
            <wp:docPr id="1977099660" name="Imagem 18"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099660" name="Imagem 18" descr="Tabela&#10;&#10;Descrição gerada automaticamente"/>
                    <pic:cNvPicPr/>
                  </pic:nvPicPr>
                  <pic:blipFill>
                    <a:blip r:embed="rId18">
                      <a:extLst>
                        <a:ext uri="{28A0092B-C50C-407E-A947-70E740481C1C}">
                          <a14:useLocalDpi xmlns:a14="http://schemas.microsoft.com/office/drawing/2010/main" val="0"/>
                        </a:ext>
                      </a:extLst>
                    </a:blip>
                    <a:stretch>
                      <a:fillRect/>
                    </a:stretch>
                  </pic:blipFill>
                  <pic:spPr>
                    <a:xfrm>
                      <a:off x="0" y="0"/>
                      <a:ext cx="6076950" cy="7867015"/>
                    </a:xfrm>
                    <a:prstGeom prst="rect">
                      <a:avLst/>
                    </a:prstGeom>
                  </pic:spPr>
                </pic:pic>
              </a:graphicData>
            </a:graphic>
          </wp:inline>
        </w:drawing>
      </w:r>
    </w:p>
    <w:p w14:paraId="69399BBC" w14:textId="6FA58E19" w:rsidR="00CD6054" w:rsidRPr="00FA4F18" w:rsidRDefault="00FA4F18" w:rsidP="00FA4F18">
      <w:pPr>
        <w:pStyle w:val="Heading1"/>
        <w:tabs>
          <w:tab w:val="left" w:pos="1318"/>
        </w:tabs>
        <w:spacing w:before="62"/>
        <w:ind w:left="238" w:firstLine="0"/>
      </w:pPr>
      <w:r>
        <w:rPr>
          <w:noProof/>
          <w:lang w:val="en-US"/>
        </w:rPr>
        <w:lastRenderedPageBreak/>
        <w:drawing>
          <wp:inline distT="0" distB="0" distL="0" distR="0" wp14:anchorId="3A8D6F7E" wp14:editId="580507B6">
            <wp:extent cx="6076950" cy="7867015"/>
            <wp:effectExtent l="0" t="0" r="0" b="635"/>
            <wp:docPr id="1799106986" name="Imagem 19" descr="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06986" name="Imagem 19" descr="Tabela&#10;&#10;Descrição gerada automaticamente"/>
                    <pic:cNvPicPr/>
                  </pic:nvPicPr>
                  <pic:blipFill>
                    <a:blip r:embed="rId19">
                      <a:extLst>
                        <a:ext uri="{28A0092B-C50C-407E-A947-70E740481C1C}">
                          <a14:useLocalDpi xmlns:a14="http://schemas.microsoft.com/office/drawing/2010/main" val="0"/>
                        </a:ext>
                      </a:extLst>
                    </a:blip>
                    <a:stretch>
                      <a:fillRect/>
                    </a:stretch>
                  </pic:blipFill>
                  <pic:spPr>
                    <a:xfrm>
                      <a:off x="0" y="0"/>
                      <a:ext cx="6076950" cy="7867015"/>
                    </a:xfrm>
                    <a:prstGeom prst="rect">
                      <a:avLst/>
                    </a:prstGeom>
                  </pic:spPr>
                </pic:pic>
              </a:graphicData>
            </a:graphic>
          </wp:inline>
        </w:drawing>
      </w:r>
    </w:p>
    <w:p w14:paraId="62187CB2" w14:textId="77777777" w:rsidR="00CD6054" w:rsidRDefault="00CD6054">
      <w:pPr>
        <w:pStyle w:val="BodyText"/>
        <w:rPr>
          <w:b/>
        </w:rPr>
      </w:pPr>
    </w:p>
    <w:p w14:paraId="56792928" w14:textId="77777777" w:rsidR="00CB1FD6" w:rsidRDefault="00CB1FD6">
      <w:pPr>
        <w:pStyle w:val="BodyText"/>
        <w:rPr>
          <w:b/>
        </w:rPr>
      </w:pPr>
    </w:p>
    <w:p w14:paraId="012CC312" w14:textId="77777777" w:rsidR="00CB1FD6" w:rsidRDefault="00CB1FD6">
      <w:pPr>
        <w:pStyle w:val="BodyText"/>
        <w:rPr>
          <w:b/>
        </w:rPr>
      </w:pPr>
    </w:p>
    <w:p w14:paraId="2D442D5B" w14:textId="77777777" w:rsidR="00CB1FD6" w:rsidRDefault="00CB1FD6">
      <w:pPr>
        <w:pStyle w:val="BodyText"/>
        <w:rPr>
          <w:b/>
        </w:rPr>
      </w:pPr>
    </w:p>
    <w:p w14:paraId="2B8CCF28" w14:textId="77777777" w:rsidR="00CB1FD6" w:rsidRDefault="00CB1FD6">
      <w:pPr>
        <w:pStyle w:val="BodyText"/>
        <w:rPr>
          <w:b/>
        </w:rPr>
      </w:pPr>
    </w:p>
    <w:p w14:paraId="53F4015E" w14:textId="77777777" w:rsidR="00CB1FD6" w:rsidRDefault="00CB1FD6">
      <w:pPr>
        <w:pStyle w:val="BodyText"/>
        <w:rPr>
          <w:b/>
        </w:rPr>
      </w:pPr>
    </w:p>
    <w:p w14:paraId="52E54E73" w14:textId="77777777" w:rsidR="00CB1FD6" w:rsidRDefault="00CB1FD6">
      <w:pPr>
        <w:pStyle w:val="BodyText"/>
        <w:rPr>
          <w:b/>
        </w:rPr>
      </w:pPr>
    </w:p>
    <w:p w14:paraId="41FF6519" w14:textId="77777777" w:rsidR="00CB1FD6" w:rsidRDefault="00CB1FD6">
      <w:pPr>
        <w:pStyle w:val="BodyText"/>
        <w:rPr>
          <w:b/>
        </w:rPr>
      </w:pPr>
    </w:p>
    <w:p w14:paraId="7DD64951" w14:textId="77777777" w:rsidR="00CB1FD6" w:rsidRDefault="00CB1FD6">
      <w:pPr>
        <w:pStyle w:val="BodyText"/>
        <w:rPr>
          <w:b/>
        </w:rPr>
      </w:pPr>
    </w:p>
    <w:p w14:paraId="6074AD1A" w14:textId="77777777" w:rsidR="00CD6054" w:rsidRDefault="00CD6054">
      <w:pPr>
        <w:pStyle w:val="BodyText"/>
        <w:spacing w:before="111"/>
        <w:rPr>
          <w:b/>
        </w:rPr>
      </w:pPr>
    </w:p>
    <w:p w14:paraId="7721A29F" w14:textId="77777777" w:rsidR="00CD6054" w:rsidRDefault="00A44E92">
      <w:pPr>
        <w:pStyle w:val="ListParagraph"/>
        <w:numPr>
          <w:ilvl w:val="0"/>
          <w:numId w:val="7"/>
        </w:numPr>
        <w:tabs>
          <w:tab w:val="left" w:pos="957"/>
        </w:tabs>
        <w:ind w:left="957" w:hanging="360"/>
        <w:rPr>
          <w:b/>
          <w:sz w:val="24"/>
        </w:rPr>
      </w:pPr>
      <w:r>
        <w:rPr>
          <w:b/>
          <w:sz w:val="24"/>
        </w:rPr>
        <w:t>Qualificação</w:t>
      </w:r>
      <w:r>
        <w:rPr>
          <w:b/>
          <w:spacing w:val="2"/>
          <w:sz w:val="24"/>
        </w:rPr>
        <w:t xml:space="preserve"> </w:t>
      </w:r>
      <w:r>
        <w:rPr>
          <w:b/>
          <w:sz w:val="24"/>
        </w:rPr>
        <w:t>dos</w:t>
      </w:r>
      <w:r>
        <w:rPr>
          <w:b/>
          <w:spacing w:val="-13"/>
          <w:sz w:val="24"/>
        </w:rPr>
        <w:t xml:space="preserve"> </w:t>
      </w:r>
      <w:r>
        <w:rPr>
          <w:b/>
          <w:spacing w:val="-2"/>
          <w:sz w:val="24"/>
        </w:rPr>
        <w:t>Pesquisadores</w:t>
      </w:r>
    </w:p>
    <w:p w14:paraId="6068A858" w14:textId="77777777" w:rsidR="00CD6054" w:rsidRDefault="00CD6054">
      <w:pPr>
        <w:pStyle w:val="BodyText"/>
        <w:spacing w:before="49"/>
        <w:rPr>
          <w:b/>
        </w:rPr>
      </w:pPr>
    </w:p>
    <w:p w14:paraId="207F1CAB" w14:textId="77777777" w:rsidR="00E5183E" w:rsidRDefault="00A44E92" w:rsidP="00E5183E">
      <w:pPr>
        <w:spacing w:before="14" w:line="360" w:lineRule="auto"/>
        <w:ind w:left="238" w:right="261"/>
        <w:rPr>
          <w:sz w:val="15"/>
        </w:rPr>
      </w:pPr>
      <w:r w:rsidRPr="00E5183E">
        <w:rPr>
          <w:sz w:val="24"/>
        </w:rPr>
        <w:t>Prof.</w:t>
      </w:r>
      <w:r w:rsidRPr="00E5183E">
        <w:rPr>
          <w:spacing w:val="-13"/>
          <w:sz w:val="24"/>
        </w:rPr>
        <w:t xml:space="preserve"> </w:t>
      </w:r>
      <w:r w:rsidRPr="00E5183E">
        <w:rPr>
          <w:sz w:val="24"/>
        </w:rPr>
        <w:t>Dra.</w:t>
      </w:r>
      <w:r w:rsidRPr="00E5183E">
        <w:rPr>
          <w:spacing w:val="-11"/>
          <w:sz w:val="24"/>
        </w:rPr>
        <w:t xml:space="preserve"> </w:t>
      </w:r>
      <w:r w:rsidRPr="00E5183E">
        <w:rPr>
          <w:sz w:val="24"/>
        </w:rPr>
        <w:t>Maria</w:t>
      </w:r>
      <w:r w:rsidRPr="00E5183E">
        <w:rPr>
          <w:spacing w:val="-1"/>
          <w:sz w:val="24"/>
        </w:rPr>
        <w:t xml:space="preserve"> </w:t>
      </w:r>
      <w:r w:rsidRPr="00E5183E">
        <w:rPr>
          <w:sz w:val="24"/>
        </w:rPr>
        <w:t>Ângela</w:t>
      </w:r>
      <w:r w:rsidRPr="00E5183E">
        <w:rPr>
          <w:spacing w:val="-13"/>
          <w:sz w:val="24"/>
        </w:rPr>
        <w:t xml:space="preserve"> </w:t>
      </w:r>
      <w:r w:rsidRPr="00E5183E">
        <w:rPr>
          <w:sz w:val="24"/>
        </w:rPr>
        <w:t>Naval</w:t>
      </w:r>
      <w:r w:rsidRPr="00E5183E">
        <w:rPr>
          <w:spacing w:val="-15"/>
          <w:sz w:val="24"/>
        </w:rPr>
        <w:t xml:space="preserve"> </w:t>
      </w:r>
      <w:r w:rsidRPr="00E5183E">
        <w:rPr>
          <w:sz w:val="24"/>
        </w:rPr>
        <w:t>Machado</w:t>
      </w:r>
      <w:r w:rsidRPr="00E5183E">
        <w:rPr>
          <w:spacing w:val="-6"/>
          <w:sz w:val="24"/>
        </w:rPr>
        <w:t xml:space="preserve"> </w:t>
      </w:r>
      <w:r w:rsidRPr="00E5183E">
        <w:rPr>
          <w:sz w:val="24"/>
        </w:rPr>
        <w:t>–</w:t>
      </w:r>
      <w:r w:rsidRPr="00E5183E">
        <w:rPr>
          <w:spacing w:val="-11"/>
          <w:sz w:val="24"/>
        </w:rPr>
        <w:t xml:space="preserve"> </w:t>
      </w:r>
      <w:r w:rsidRPr="00E5183E">
        <w:rPr>
          <w:sz w:val="24"/>
        </w:rPr>
        <w:t>Lattes:</w:t>
      </w:r>
      <w:r w:rsidRPr="00E5183E">
        <w:rPr>
          <w:spacing w:val="-15"/>
          <w:sz w:val="24"/>
        </w:rPr>
        <w:t xml:space="preserve"> </w:t>
      </w:r>
      <w:r w:rsidRPr="00E5183E">
        <w:rPr>
          <w:sz w:val="15"/>
        </w:rPr>
        <w:t xml:space="preserve">http://lattes.cnpq.br/8431327491484440 </w:t>
      </w:r>
    </w:p>
    <w:p w14:paraId="1CBF354C" w14:textId="6A75C43F" w:rsidR="00E5183E" w:rsidRPr="00E5183E" w:rsidRDefault="00A44E92" w:rsidP="00E5183E">
      <w:pPr>
        <w:spacing w:before="14" w:line="360" w:lineRule="auto"/>
        <w:ind w:left="238" w:right="261"/>
        <w:rPr>
          <w:sz w:val="15"/>
        </w:rPr>
      </w:pPr>
      <w:r w:rsidRPr="00E5183E">
        <w:rPr>
          <w:sz w:val="24"/>
        </w:rPr>
        <w:t>Prof. Dra. Reila Tainá</w:t>
      </w:r>
      <w:r w:rsidRPr="00E5183E">
        <w:rPr>
          <w:spacing w:val="40"/>
          <w:sz w:val="24"/>
        </w:rPr>
        <w:t xml:space="preserve"> </w:t>
      </w:r>
      <w:r w:rsidRPr="00E5183E">
        <w:rPr>
          <w:sz w:val="24"/>
        </w:rPr>
        <w:t xml:space="preserve">Mendes - Lattes: </w:t>
      </w:r>
      <w:r w:rsidRPr="00E5183E">
        <w:rPr>
          <w:sz w:val="15"/>
        </w:rPr>
        <w:t xml:space="preserve">http://lattes.cnpq.br/3325310459390377 </w:t>
      </w:r>
    </w:p>
    <w:p w14:paraId="376F8B2F" w14:textId="0B89F0A2" w:rsidR="00E5183E" w:rsidRPr="00E5183E" w:rsidRDefault="00E5183E" w:rsidP="00E5183E">
      <w:pPr>
        <w:pStyle w:val="TableParagraph"/>
        <w:tabs>
          <w:tab w:val="left" w:pos="1266"/>
          <w:tab w:val="left" w:pos="2166"/>
          <w:tab w:val="left" w:pos="3055"/>
          <w:tab w:val="left" w:pos="3970"/>
        </w:tabs>
        <w:spacing w:before="14" w:line="360" w:lineRule="auto"/>
        <w:ind w:left="238" w:right="261"/>
        <w:rPr>
          <w:szCs w:val="20"/>
        </w:rPr>
      </w:pPr>
      <w:r w:rsidRPr="00E5183E">
        <w:rPr>
          <w:szCs w:val="20"/>
        </w:rPr>
        <w:t xml:space="preserve">Prof. Dra. Priscila Brenner Hilgenberg Sydney - Lattes: </w:t>
      </w:r>
      <w:r w:rsidRPr="00E5183E">
        <w:rPr>
          <w:sz w:val="13"/>
          <w:szCs w:val="13"/>
        </w:rPr>
        <w:t>http://lattes.cnpq.br/2274117401162682</w:t>
      </w:r>
    </w:p>
    <w:p w14:paraId="4D007B39" w14:textId="6C1013F1" w:rsidR="00E5183E" w:rsidRPr="00E5183E" w:rsidRDefault="00A44E92" w:rsidP="00E5183E">
      <w:pPr>
        <w:spacing w:before="14" w:line="360" w:lineRule="auto"/>
        <w:ind w:left="238" w:right="261"/>
        <w:rPr>
          <w:sz w:val="15"/>
        </w:rPr>
      </w:pPr>
      <w:r w:rsidRPr="00E5183E">
        <w:rPr>
          <w:sz w:val="24"/>
        </w:rPr>
        <w:t xml:space="preserve">Doutoranda Gabriela Keiko Izumi - Lattes: </w:t>
      </w:r>
      <w:r w:rsidRPr="00E5183E">
        <w:rPr>
          <w:sz w:val="15"/>
        </w:rPr>
        <w:t xml:space="preserve">http://lattes.cnpq.br/5438770889751228 </w:t>
      </w:r>
    </w:p>
    <w:p w14:paraId="39D963CB" w14:textId="27269231" w:rsidR="00E5183E" w:rsidRPr="00E5183E" w:rsidRDefault="00A44E92" w:rsidP="00E5183E">
      <w:pPr>
        <w:spacing w:before="14" w:line="360" w:lineRule="auto"/>
        <w:ind w:left="238" w:right="261"/>
        <w:rPr>
          <w:sz w:val="15"/>
        </w:rPr>
      </w:pPr>
      <w:r w:rsidRPr="00E5183E">
        <w:rPr>
          <w:sz w:val="24"/>
        </w:rPr>
        <w:t xml:space="preserve">Mestre Rafael Fiorese Costa – Lattes: </w:t>
      </w:r>
      <w:r w:rsidRPr="00E5183E">
        <w:rPr>
          <w:sz w:val="15"/>
        </w:rPr>
        <w:t>http://lattes.cnpq.br/9632894524004165</w:t>
      </w:r>
    </w:p>
    <w:p w14:paraId="63D632D8" w14:textId="15F93292" w:rsidR="00E5183E" w:rsidRPr="00E5183E" w:rsidRDefault="00E5183E" w:rsidP="00E5183E">
      <w:pPr>
        <w:spacing w:before="14" w:line="360" w:lineRule="auto"/>
        <w:ind w:left="238" w:right="261"/>
        <w:jc w:val="both"/>
        <w:rPr>
          <w:spacing w:val="-2"/>
        </w:rPr>
      </w:pPr>
      <w:r w:rsidRPr="00E5183E">
        <w:rPr>
          <w:spacing w:val="-2"/>
        </w:rPr>
        <w:t>Mestranda Daniela Bellafronte Betoni – Lattes:</w:t>
      </w:r>
      <w:r w:rsidRPr="00E5183E">
        <w:rPr>
          <w:color w:val="326C99"/>
          <w:sz w:val="13"/>
          <w:szCs w:val="13"/>
          <w:shd w:val="clear" w:color="auto" w:fill="FFFFFF"/>
        </w:rPr>
        <w:t xml:space="preserve"> </w:t>
      </w:r>
      <w:r w:rsidRPr="00E5183E">
        <w:rPr>
          <w:spacing w:val="-2"/>
          <w:sz w:val="13"/>
          <w:szCs w:val="13"/>
        </w:rPr>
        <w:t>http://lattes.cnpq.br/1342330078468489</w:t>
      </w:r>
    </w:p>
    <w:p w14:paraId="2B6968FA" w14:textId="24A19871" w:rsidR="00E5183E" w:rsidRPr="00E5183E" w:rsidRDefault="00E5183E" w:rsidP="00E5183E">
      <w:pPr>
        <w:spacing w:before="14" w:line="360" w:lineRule="auto"/>
        <w:ind w:left="238" w:right="261"/>
        <w:jc w:val="both"/>
        <w:rPr>
          <w:szCs w:val="20"/>
        </w:rPr>
      </w:pPr>
      <w:r w:rsidRPr="00E5183E">
        <w:rPr>
          <w:szCs w:val="20"/>
        </w:rPr>
        <w:t xml:space="preserve">Mestranda Gabrielle Gonçalves Dos Santos – Lattes: </w:t>
      </w:r>
      <w:r w:rsidRPr="00E5183E">
        <w:rPr>
          <w:sz w:val="13"/>
          <w:szCs w:val="13"/>
        </w:rPr>
        <w:t>http://lattes.cnpq.br/1701953404986144</w:t>
      </w:r>
    </w:p>
    <w:p w14:paraId="7F5B1A37" w14:textId="5590019E" w:rsidR="00CD6054" w:rsidRPr="00E5183E" w:rsidRDefault="00A44E92" w:rsidP="00E5183E">
      <w:pPr>
        <w:spacing w:before="14" w:line="360" w:lineRule="auto"/>
        <w:ind w:left="238" w:right="261"/>
        <w:rPr>
          <w:sz w:val="15"/>
        </w:rPr>
      </w:pPr>
      <w:r w:rsidRPr="00E5183E">
        <w:rPr>
          <w:sz w:val="24"/>
        </w:rPr>
        <w:t>Laura</w:t>
      </w:r>
      <w:r w:rsidRPr="00E5183E">
        <w:rPr>
          <w:spacing w:val="-7"/>
          <w:sz w:val="24"/>
        </w:rPr>
        <w:t xml:space="preserve"> </w:t>
      </w:r>
      <w:r w:rsidRPr="00E5183E">
        <w:rPr>
          <w:sz w:val="24"/>
        </w:rPr>
        <w:t>Gabriela</w:t>
      </w:r>
      <w:r w:rsidRPr="00E5183E">
        <w:rPr>
          <w:spacing w:val="6"/>
          <w:sz w:val="24"/>
        </w:rPr>
        <w:t xml:space="preserve"> </w:t>
      </w:r>
      <w:r w:rsidRPr="00E5183E">
        <w:rPr>
          <w:sz w:val="24"/>
        </w:rPr>
        <w:t>First</w:t>
      </w:r>
      <w:r w:rsidRPr="00E5183E">
        <w:rPr>
          <w:spacing w:val="20"/>
          <w:sz w:val="24"/>
        </w:rPr>
        <w:t xml:space="preserve"> </w:t>
      </w:r>
      <w:r w:rsidRPr="00E5183E">
        <w:rPr>
          <w:sz w:val="24"/>
        </w:rPr>
        <w:t>–</w:t>
      </w:r>
      <w:r w:rsidRPr="00E5183E">
        <w:rPr>
          <w:spacing w:val="-5"/>
          <w:sz w:val="24"/>
        </w:rPr>
        <w:t xml:space="preserve"> </w:t>
      </w:r>
      <w:r w:rsidRPr="00E5183E">
        <w:rPr>
          <w:sz w:val="24"/>
        </w:rPr>
        <w:t>Lattes:</w:t>
      </w:r>
      <w:r w:rsidRPr="00E5183E">
        <w:rPr>
          <w:spacing w:val="-9"/>
          <w:sz w:val="24"/>
        </w:rPr>
        <w:t xml:space="preserve"> </w:t>
      </w:r>
      <w:r w:rsidRPr="00E5183E">
        <w:rPr>
          <w:color w:val="316C99"/>
          <w:spacing w:val="-2"/>
          <w:sz w:val="15"/>
        </w:rPr>
        <w:t>http://lattes.cnpq.br/8872320221669882</w:t>
      </w:r>
    </w:p>
    <w:p w14:paraId="65099DAC" w14:textId="202775DD" w:rsidR="00CD6054" w:rsidRPr="00E5183E" w:rsidRDefault="00A44E92" w:rsidP="00E5183E">
      <w:pPr>
        <w:spacing w:before="14"/>
        <w:ind w:left="238" w:right="261"/>
        <w:rPr>
          <w:sz w:val="16"/>
        </w:rPr>
      </w:pPr>
      <w:r w:rsidRPr="00E5183E">
        <w:rPr>
          <w:sz w:val="24"/>
        </w:rPr>
        <w:t>Matheus</w:t>
      </w:r>
      <w:r w:rsidRPr="00E5183E">
        <w:rPr>
          <w:spacing w:val="3"/>
          <w:sz w:val="24"/>
        </w:rPr>
        <w:t xml:space="preserve"> </w:t>
      </w:r>
      <w:r w:rsidRPr="00E5183E">
        <w:rPr>
          <w:sz w:val="24"/>
        </w:rPr>
        <w:t>Fernandes</w:t>
      </w:r>
      <w:r w:rsidRPr="00E5183E">
        <w:rPr>
          <w:spacing w:val="4"/>
          <w:sz w:val="24"/>
        </w:rPr>
        <w:t xml:space="preserve"> </w:t>
      </w:r>
      <w:r w:rsidRPr="00E5183E">
        <w:rPr>
          <w:sz w:val="24"/>
        </w:rPr>
        <w:t>da</w:t>
      </w:r>
      <w:r w:rsidRPr="00E5183E">
        <w:rPr>
          <w:spacing w:val="6"/>
          <w:sz w:val="24"/>
        </w:rPr>
        <w:t xml:space="preserve"> </w:t>
      </w:r>
      <w:r w:rsidRPr="00E5183E">
        <w:rPr>
          <w:sz w:val="24"/>
        </w:rPr>
        <w:t>Silva</w:t>
      </w:r>
      <w:r w:rsidRPr="00E5183E">
        <w:rPr>
          <w:spacing w:val="10"/>
          <w:sz w:val="24"/>
        </w:rPr>
        <w:t xml:space="preserve"> </w:t>
      </w:r>
      <w:r w:rsidRPr="00E5183E">
        <w:rPr>
          <w:sz w:val="24"/>
        </w:rPr>
        <w:t>–</w:t>
      </w:r>
      <w:r w:rsidRPr="00E5183E">
        <w:rPr>
          <w:spacing w:val="8"/>
          <w:sz w:val="24"/>
        </w:rPr>
        <w:t xml:space="preserve"> </w:t>
      </w:r>
      <w:r w:rsidRPr="00E5183E">
        <w:rPr>
          <w:sz w:val="24"/>
        </w:rPr>
        <w:t>Lattes:</w:t>
      </w:r>
      <w:r w:rsidRPr="00E5183E">
        <w:rPr>
          <w:spacing w:val="2"/>
          <w:sz w:val="24"/>
        </w:rPr>
        <w:t xml:space="preserve"> </w:t>
      </w:r>
      <w:r w:rsidRPr="00E5183E">
        <w:rPr>
          <w:color w:val="316C99"/>
          <w:spacing w:val="-2"/>
          <w:sz w:val="16"/>
        </w:rPr>
        <w:t>http://lattes.cnpq.br/0018535350347400</w:t>
      </w:r>
    </w:p>
    <w:sectPr w:rsidR="00CD6054" w:rsidRPr="00E5183E">
      <w:pgSz w:w="11910" w:h="16850"/>
      <w:pgMar w:top="1360" w:right="880" w:bottom="280" w:left="1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Tahoma">
    <w:panose1 w:val="020B0604030504040204"/>
    <w:charset w:val="00"/>
    <w:family w:val="auto"/>
    <w:pitch w:val="variable"/>
    <w:sig w:usb0="E1002AFF" w:usb1="C000605B" w:usb2="00000029" w:usb3="00000000" w:csb0="000101FF" w:csb1="00000000"/>
  </w:font>
  <w:font w:name="Wingdings 2">
    <w:panose1 w:val="05020102010507070707"/>
    <w:charset w:val="02"/>
    <w:family w:val="auto"/>
    <w:pitch w:val="variable"/>
    <w:sig w:usb0="00000000" w:usb1="10000000" w:usb2="00000000" w:usb3="00000000" w:csb0="80000000"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923"/>
    <w:multiLevelType w:val="hybridMultilevel"/>
    <w:tmpl w:val="1B52A186"/>
    <w:lvl w:ilvl="0" w:tplc="1B7830DA">
      <w:numFmt w:val="bullet"/>
      <w:lvlText w:val="-"/>
      <w:lvlJc w:val="left"/>
      <w:pPr>
        <w:ind w:left="237" w:hanging="181"/>
      </w:pPr>
      <w:rPr>
        <w:rFonts w:ascii="Times New Roman" w:eastAsia="Times New Roman" w:hAnsi="Times New Roman" w:cs="Times New Roman" w:hint="default"/>
        <w:b w:val="0"/>
        <w:bCs w:val="0"/>
        <w:i w:val="0"/>
        <w:iCs w:val="0"/>
        <w:spacing w:val="0"/>
        <w:w w:val="100"/>
        <w:sz w:val="24"/>
        <w:szCs w:val="24"/>
        <w:lang w:val="pt-PT" w:eastAsia="en-US" w:bidi="ar-SA"/>
      </w:rPr>
    </w:lvl>
    <w:lvl w:ilvl="1" w:tplc="A148DF52">
      <w:numFmt w:val="bullet"/>
      <w:lvlText w:val="•"/>
      <w:lvlJc w:val="left"/>
      <w:pPr>
        <w:ind w:left="1173" w:hanging="181"/>
      </w:pPr>
      <w:rPr>
        <w:rFonts w:hint="default"/>
        <w:lang w:val="pt-PT" w:eastAsia="en-US" w:bidi="ar-SA"/>
      </w:rPr>
    </w:lvl>
    <w:lvl w:ilvl="2" w:tplc="0C5A14BC">
      <w:numFmt w:val="bullet"/>
      <w:lvlText w:val="•"/>
      <w:lvlJc w:val="left"/>
      <w:pPr>
        <w:ind w:left="2106" w:hanging="181"/>
      </w:pPr>
      <w:rPr>
        <w:rFonts w:hint="default"/>
        <w:lang w:val="pt-PT" w:eastAsia="en-US" w:bidi="ar-SA"/>
      </w:rPr>
    </w:lvl>
    <w:lvl w:ilvl="3" w:tplc="CA3266E6">
      <w:numFmt w:val="bullet"/>
      <w:lvlText w:val="•"/>
      <w:lvlJc w:val="left"/>
      <w:pPr>
        <w:ind w:left="3039" w:hanging="181"/>
      </w:pPr>
      <w:rPr>
        <w:rFonts w:hint="default"/>
        <w:lang w:val="pt-PT" w:eastAsia="en-US" w:bidi="ar-SA"/>
      </w:rPr>
    </w:lvl>
    <w:lvl w:ilvl="4" w:tplc="01BAAF30">
      <w:numFmt w:val="bullet"/>
      <w:lvlText w:val="•"/>
      <w:lvlJc w:val="left"/>
      <w:pPr>
        <w:ind w:left="3972" w:hanging="181"/>
      </w:pPr>
      <w:rPr>
        <w:rFonts w:hint="default"/>
        <w:lang w:val="pt-PT" w:eastAsia="en-US" w:bidi="ar-SA"/>
      </w:rPr>
    </w:lvl>
    <w:lvl w:ilvl="5" w:tplc="54A4760C">
      <w:numFmt w:val="bullet"/>
      <w:lvlText w:val="•"/>
      <w:lvlJc w:val="left"/>
      <w:pPr>
        <w:ind w:left="4905" w:hanging="181"/>
      </w:pPr>
      <w:rPr>
        <w:rFonts w:hint="default"/>
        <w:lang w:val="pt-PT" w:eastAsia="en-US" w:bidi="ar-SA"/>
      </w:rPr>
    </w:lvl>
    <w:lvl w:ilvl="6" w:tplc="2AEAC9F0">
      <w:numFmt w:val="bullet"/>
      <w:lvlText w:val="•"/>
      <w:lvlJc w:val="left"/>
      <w:pPr>
        <w:ind w:left="5838" w:hanging="181"/>
      </w:pPr>
      <w:rPr>
        <w:rFonts w:hint="default"/>
        <w:lang w:val="pt-PT" w:eastAsia="en-US" w:bidi="ar-SA"/>
      </w:rPr>
    </w:lvl>
    <w:lvl w:ilvl="7" w:tplc="B254DA38">
      <w:numFmt w:val="bullet"/>
      <w:lvlText w:val="•"/>
      <w:lvlJc w:val="left"/>
      <w:pPr>
        <w:ind w:left="6771" w:hanging="181"/>
      </w:pPr>
      <w:rPr>
        <w:rFonts w:hint="default"/>
        <w:lang w:val="pt-PT" w:eastAsia="en-US" w:bidi="ar-SA"/>
      </w:rPr>
    </w:lvl>
    <w:lvl w:ilvl="8" w:tplc="1BD89C24">
      <w:numFmt w:val="bullet"/>
      <w:lvlText w:val="•"/>
      <w:lvlJc w:val="left"/>
      <w:pPr>
        <w:ind w:left="7704" w:hanging="181"/>
      </w:pPr>
      <w:rPr>
        <w:rFonts w:hint="default"/>
        <w:lang w:val="pt-PT" w:eastAsia="en-US" w:bidi="ar-SA"/>
      </w:rPr>
    </w:lvl>
  </w:abstractNum>
  <w:abstractNum w:abstractNumId="1">
    <w:nsid w:val="04E15D19"/>
    <w:multiLevelType w:val="multilevel"/>
    <w:tmpl w:val="C8A4C24C"/>
    <w:lvl w:ilvl="0">
      <w:start w:val="1"/>
      <w:numFmt w:val="decimal"/>
      <w:lvlText w:val="%1."/>
      <w:lvlJc w:val="left"/>
      <w:pPr>
        <w:ind w:left="720" w:hanging="360"/>
      </w:pPr>
      <w:rPr>
        <w:rFonts w:hint="default"/>
        <w:color w:val="auto"/>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
    <w:nsid w:val="266C42BB"/>
    <w:multiLevelType w:val="multilevel"/>
    <w:tmpl w:val="9EBAE28C"/>
    <w:lvl w:ilvl="0">
      <w:start w:val="9"/>
      <w:numFmt w:val="decimal"/>
      <w:lvlText w:val="%1"/>
      <w:lvlJc w:val="left"/>
      <w:pPr>
        <w:ind w:left="958" w:hanging="361"/>
      </w:pPr>
      <w:rPr>
        <w:rFonts w:hint="default"/>
        <w:lang w:val="pt-PT" w:eastAsia="en-US" w:bidi="ar-SA"/>
      </w:rPr>
    </w:lvl>
    <w:lvl w:ilvl="1">
      <w:start w:val="1"/>
      <w:numFmt w:val="decimal"/>
      <w:lvlText w:val="%1.%2"/>
      <w:lvlJc w:val="left"/>
      <w:pPr>
        <w:ind w:left="958" w:hanging="361"/>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2682" w:hanging="361"/>
      </w:pPr>
      <w:rPr>
        <w:rFonts w:hint="default"/>
        <w:lang w:val="pt-PT" w:eastAsia="en-US" w:bidi="ar-SA"/>
      </w:rPr>
    </w:lvl>
    <w:lvl w:ilvl="3">
      <w:numFmt w:val="bullet"/>
      <w:lvlText w:val="•"/>
      <w:lvlJc w:val="left"/>
      <w:pPr>
        <w:ind w:left="3543" w:hanging="361"/>
      </w:pPr>
      <w:rPr>
        <w:rFonts w:hint="default"/>
        <w:lang w:val="pt-PT" w:eastAsia="en-US" w:bidi="ar-SA"/>
      </w:rPr>
    </w:lvl>
    <w:lvl w:ilvl="4">
      <w:numFmt w:val="bullet"/>
      <w:lvlText w:val="•"/>
      <w:lvlJc w:val="left"/>
      <w:pPr>
        <w:ind w:left="4404" w:hanging="361"/>
      </w:pPr>
      <w:rPr>
        <w:rFonts w:hint="default"/>
        <w:lang w:val="pt-PT" w:eastAsia="en-US" w:bidi="ar-SA"/>
      </w:rPr>
    </w:lvl>
    <w:lvl w:ilvl="5">
      <w:numFmt w:val="bullet"/>
      <w:lvlText w:val="•"/>
      <w:lvlJc w:val="left"/>
      <w:pPr>
        <w:ind w:left="5265" w:hanging="361"/>
      </w:pPr>
      <w:rPr>
        <w:rFonts w:hint="default"/>
        <w:lang w:val="pt-PT" w:eastAsia="en-US" w:bidi="ar-SA"/>
      </w:rPr>
    </w:lvl>
    <w:lvl w:ilvl="6">
      <w:numFmt w:val="bullet"/>
      <w:lvlText w:val="•"/>
      <w:lvlJc w:val="left"/>
      <w:pPr>
        <w:ind w:left="6126" w:hanging="361"/>
      </w:pPr>
      <w:rPr>
        <w:rFonts w:hint="default"/>
        <w:lang w:val="pt-PT" w:eastAsia="en-US" w:bidi="ar-SA"/>
      </w:rPr>
    </w:lvl>
    <w:lvl w:ilvl="7">
      <w:numFmt w:val="bullet"/>
      <w:lvlText w:val="•"/>
      <w:lvlJc w:val="left"/>
      <w:pPr>
        <w:ind w:left="6987" w:hanging="361"/>
      </w:pPr>
      <w:rPr>
        <w:rFonts w:hint="default"/>
        <w:lang w:val="pt-PT" w:eastAsia="en-US" w:bidi="ar-SA"/>
      </w:rPr>
    </w:lvl>
    <w:lvl w:ilvl="8">
      <w:numFmt w:val="bullet"/>
      <w:lvlText w:val="•"/>
      <w:lvlJc w:val="left"/>
      <w:pPr>
        <w:ind w:left="7848" w:hanging="361"/>
      </w:pPr>
      <w:rPr>
        <w:rFonts w:hint="default"/>
        <w:lang w:val="pt-PT" w:eastAsia="en-US" w:bidi="ar-SA"/>
      </w:rPr>
    </w:lvl>
  </w:abstractNum>
  <w:abstractNum w:abstractNumId="3">
    <w:nsid w:val="2B3541EF"/>
    <w:multiLevelType w:val="hybridMultilevel"/>
    <w:tmpl w:val="7436CE50"/>
    <w:lvl w:ilvl="0" w:tplc="50F65D18">
      <w:start w:val="1"/>
      <w:numFmt w:val="upperRoman"/>
      <w:lvlText w:val="%1"/>
      <w:lvlJc w:val="left"/>
      <w:pPr>
        <w:ind w:left="387" w:hanging="151"/>
      </w:pPr>
      <w:rPr>
        <w:rFonts w:ascii="Times New Roman" w:eastAsia="Times New Roman" w:hAnsi="Times New Roman" w:cs="Times New Roman" w:hint="default"/>
        <w:b/>
        <w:bCs/>
        <w:i w:val="0"/>
        <w:iCs w:val="0"/>
        <w:spacing w:val="0"/>
        <w:w w:val="100"/>
        <w:sz w:val="24"/>
        <w:szCs w:val="24"/>
        <w:lang w:val="pt-PT" w:eastAsia="en-US" w:bidi="ar-SA"/>
      </w:rPr>
    </w:lvl>
    <w:lvl w:ilvl="1" w:tplc="FB209F00">
      <w:numFmt w:val="bullet"/>
      <w:lvlText w:val="•"/>
      <w:lvlJc w:val="left"/>
      <w:pPr>
        <w:ind w:left="1299" w:hanging="151"/>
      </w:pPr>
      <w:rPr>
        <w:rFonts w:hint="default"/>
        <w:lang w:val="pt-PT" w:eastAsia="en-US" w:bidi="ar-SA"/>
      </w:rPr>
    </w:lvl>
    <w:lvl w:ilvl="2" w:tplc="297CF16A">
      <w:numFmt w:val="bullet"/>
      <w:lvlText w:val="•"/>
      <w:lvlJc w:val="left"/>
      <w:pPr>
        <w:ind w:left="2218" w:hanging="151"/>
      </w:pPr>
      <w:rPr>
        <w:rFonts w:hint="default"/>
        <w:lang w:val="pt-PT" w:eastAsia="en-US" w:bidi="ar-SA"/>
      </w:rPr>
    </w:lvl>
    <w:lvl w:ilvl="3" w:tplc="09C63BB8">
      <w:numFmt w:val="bullet"/>
      <w:lvlText w:val="•"/>
      <w:lvlJc w:val="left"/>
      <w:pPr>
        <w:ind w:left="3137" w:hanging="151"/>
      </w:pPr>
      <w:rPr>
        <w:rFonts w:hint="default"/>
        <w:lang w:val="pt-PT" w:eastAsia="en-US" w:bidi="ar-SA"/>
      </w:rPr>
    </w:lvl>
    <w:lvl w:ilvl="4" w:tplc="9112C936">
      <w:numFmt w:val="bullet"/>
      <w:lvlText w:val="•"/>
      <w:lvlJc w:val="left"/>
      <w:pPr>
        <w:ind w:left="4056" w:hanging="151"/>
      </w:pPr>
      <w:rPr>
        <w:rFonts w:hint="default"/>
        <w:lang w:val="pt-PT" w:eastAsia="en-US" w:bidi="ar-SA"/>
      </w:rPr>
    </w:lvl>
    <w:lvl w:ilvl="5" w:tplc="BFE4193A">
      <w:numFmt w:val="bullet"/>
      <w:lvlText w:val="•"/>
      <w:lvlJc w:val="left"/>
      <w:pPr>
        <w:ind w:left="4975" w:hanging="151"/>
      </w:pPr>
      <w:rPr>
        <w:rFonts w:hint="default"/>
        <w:lang w:val="pt-PT" w:eastAsia="en-US" w:bidi="ar-SA"/>
      </w:rPr>
    </w:lvl>
    <w:lvl w:ilvl="6" w:tplc="2356E880">
      <w:numFmt w:val="bullet"/>
      <w:lvlText w:val="•"/>
      <w:lvlJc w:val="left"/>
      <w:pPr>
        <w:ind w:left="5894" w:hanging="151"/>
      </w:pPr>
      <w:rPr>
        <w:rFonts w:hint="default"/>
        <w:lang w:val="pt-PT" w:eastAsia="en-US" w:bidi="ar-SA"/>
      </w:rPr>
    </w:lvl>
    <w:lvl w:ilvl="7" w:tplc="0ECAAE5E">
      <w:numFmt w:val="bullet"/>
      <w:lvlText w:val="•"/>
      <w:lvlJc w:val="left"/>
      <w:pPr>
        <w:ind w:left="6813" w:hanging="151"/>
      </w:pPr>
      <w:rPr>
        <w:rFonts w:hint="default"/>
        <w:lang w:val="pt-PT" w:eastAsia="en-US" w:bidi="ar-SA"/>
      </w:rPr>
    </w:lvl>
    <w:lvl w:ilvl="8" w:tplc="D12E6E0A">
      <w:numFmt w:val="bullet"/>
      <w:lvlText w:val="•"/>
      <w:lvlJc w:val="left"/>
      <w:pPr>
        <w:ind w:left="7732" w:hanging="151"/>
      </w:pPr>
      <w:rPr>
        <w:rFonts w:hint="default"/>
        <w:lang w:val="pt-PT" w:eastAsia="en-US" w:bidi="ar-SA"/>
      </w:rPr>
    </w:lvl>
  </w:abstractNum>
  <w:abstractNum w:abstractNumId="4">
    <w:nsid w:val="47CE7705"/>
    <w:multiLevelType w:val="hybridMultilevel"/>
    <w:tmpl w:val="88B28BCC"/>
    <w:lvl w:ilvl="0" w:tplc="8CC28D2A">
      <w:numFmt w:val="bullet"/>
      <w:lvlText w:val=""/>
      <w:lvlJc w:val="left"/>
      <w:pPr>
        <w:ind w:left="1664" w:hanging="361"/>
      </w:pPr>
      <w:rPr>
        <w:rFonts w:ascii="Symbol" w:eastAsia="Symbol" w:hAnsi="Symbol" w:cs="Symbol" w:hint="default"/>
        <w:b w:val="0"/>
        <w:bCs w:val="0"/>
        <w:i w:val="0"/>
        <w:iCs w:val="0"/>
        <w:spacing w:val="0"/>
        <w:w w:val="100"/>
        <w:sz w:val="24"/>
        <w:szCs w:val="24"/>
        <w:lang w:val="pt-PT" w:eastAsia="en-US" w:bidi="ar-SA"/>
      </w:rPr>
    </w:lvl>
    <w:lvl w:ilvl="1" w:tplc="E67470C6">
      <w:numFmt w:val="bullet"/>
      <w:lvlText w:val="•"/>
      <w:lvlJc w:val="left"/>
      <w:pPr>
        <w:ind w:left="2451" w:hanging="361"/>
      </w:pPr>
      <w:rPr>
        <w:rFonts w:hint="default"/>
        <w:lang w:val="pt-PT" w:eastAsia="en-US" w:bidi="ar-SA"/>
      </w:rPr>
    </w:lvl>
    <w:lvl w:ilvl="2" w:tplc="F544D216">
      <w:numFmt w:val="bullet"/>
      <w:lvlText w:val="•"/>
      <w:lvlJc w:val="left"/>
      <w:pPr>
        <w:ind w:left="3242" w:hanging="361"/>
      </w:pPr>
      <w:rPr>
        <w:rFonts w:hint="default"/>
        <w:lang w:val="pt-PT" w:eastAsia="en-US" w:bidi="ar-SA"/>
      </w:rPr>
    </w:lvl>
    <w:lvl w:ilvl="3" w:tplc="22BE23E4">
      <w:numFmt w:val="bullet"/>
      <w:lvlText w:val="•"/>
      <w:lvlJc w:val="left"/>
      <w:pPr>
        <w:ind w:left="4033" w:hanging="361"/>
      </w:pPr>
      <w:rPr>
        <w:rFonts w:hint="default"/>
        <w:lang w:val="pt-PT" w:eastAsia="en-US" w:bidi="ar-SA"/>
      </w:rPr>
    </w:lvl>
    <w:lvl w:ilvl="4" w:tplc="64629A34">
      <w:numFmt w:val="bullet"/>
      <w:lvlText w:val="•"/>
      <w:lvlJc w:val="left"/>
      <w:pPr>
        <w:ind w:left="4824" w:hanging="361"/>
      </w:pPr>
      <w:rPr>
        <w:rFonts w:hint="default"/>
        <w:lang w:val="pt-PT" w:eastAsia="en-US" w:bidi="ar-SA"/>
      </w:rPr>
    </w:lvl>
    <w:lvl w:ilvl="5" w:tplc="6DE0986E">
      <w:numFmt w:val="bullet"/>
      <w:lvlText w:val="•"/>
      <w:lvlJc w:val="left"/>
      <w:pPr>
        <w:ind w:left="5615" w:hanging="361"/>
      </w:pPr>
      <w:rPr>
        <w:rFonts w:hint="default"/>
        <w:lang w:val="pt-PT" w:eastAsia="en-US" w:bidi="ar-SA"/>
      </w:rPr>
    </w:lvl>
    <w:lvl w:ilvl="6" w:tplc="1DC0D14E">
      <w:numFmt w:val="bullet"/>
      <w:lvlText w:val="•"/>
      <w:lvlJc w:val="left"/>
      <w:pPr>
        <w:ind w:left="6406" w:hanging="361"/>
      </w:pPr>
      <w:rPr>
        <w:rFonts w:hint="default"/>
        <w:lang w:val="pt-PT" w:eastAsia="en-US" w:bidi="ar-SA"/>
      </w:rPr>
    </w:lvl>
    <w:lvl w:ilvl="7" w:tplc="1CEE1F50">
      <w:numFmt w:val="bullet"/>
      <w:lvlText w:val="•"/>
      <w:lvlJc w:val="left"/>
      <w:pPr>
        <w:ind w:left="7197" w:hanging="361"/>
      </w:pPr>
      <w:rPr>
        <w:rFonts w:hint="default"/>
        <w:lang w:val="pt-PT" w:eastAsia="en-US" w:bidi="ar-SA"/>
      </w:rPr>
    </w:lvl>
    <w:lvl w:ilvl="8" w:tplc="AFEEEA6E">
      <w:numFmt w:val="bullet"/>
      <w:lvlText w:val="•"/>
      <w:lvlJc w:val="left"/>
      <w:pPr>
        <w:ind w:left="7988" w:hanging="361"/>
      </w:pPr>
      <w:rPr>
        <w:rFonts w:hint="default"/>
        <w:lang w:val="pt-PT" w:eastAsia="en-US" w:bidi="ar-SA"/>
      </w:rPr>
    </w:lvl>
  </w:abstractNum>
  <w:abstractNum w:abstractNumId="5">
    <w:nsid w:val="581E4DBF"/>
    <w:multiLevelType w:val="multilevel"/>
    <w:tmpl w:val="CAC45D4A"/>
    <w:lvl w:ilvl="0">
      <w:start w:val="1"/>
      <w:numFmt w:val="decimal"/>
      <w:lvlText w:val="%1."/>
      <w:lvlJc w:val="left"/>
      <w:pPr>
        <w:ind w:left="958" w:hanging="361"/>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318" w:hanging="722"/>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597" w:hanging="241"/>
      </w:pPr>
      <w:rPr>
        <w:rFonts w:ascii="Times New Roman" w:eastAsia="Times New Roman" w:hAnsi="Times New Roman" w:cs="Times New Roman" w:hint="default"/>
        <w:b w:val="0"/>
        <w:bCs w:val="0"/>
        <w:i w:val="0"/>
        <w:iCs w:val="0"/>
        <w:spacing w:val="0"/>
        <w:w w:val="100"/>
        <w:sz w:val="24"/>
        <w:szCs w:val="24"/>
        <w:lang w:val="pt-PT" w:eastAsia="en-US" w:bidi="ar-SA"/>
      </w:rPr>
    </w:lvl>
    <w:lvl w:ilvl="3">
      <w:numFmt w:val="bullet"/>
      <w:lvlText w:val="•"/>
      <w:lvlJc w:val="left"/>
      <w:pPr>
        <w:ind w:left="2351" w:hanging="241"/>
      </w:pPr>
      <w:rPr>
        <w:rFonts w:hint="default"/>
        <w:lang w:val="pt-PT" w:eastAsia="en-US" w:bidi="ar-SA"/>
      </w:rPr>
    </w:lvl>
    <w:lvl w:ilvl="4">
      <w:numFmt w:val="bullet"/>
      <w:lvlText w:val="•"/>
      <w:lvlJc w:val="left"/>
      <w:pPr>
        <w:ind w:left="3382" w:hanging="241"/>
      </w:pPr>
      <w:rPr>
        <w:rFonts w:hint="default"/>
        <w:lang w:val="pt-PT" w:eastAsia="en-US" w:bidi="ar-SA"/>
      </w:rPr>
    </w:lvl>
    <w:lvl w:ilvl="5">
      <w:numFmt w:val="bullet"/>
      <w:lvlText w:val="•"/>
      <w:lvlJc w:val="left"/>
      <w:pPr>
        <w:ind w:left="4413" w:hanging="241"/>
      </w:pPr>
      <w:rPr>
        <w:rFonts w:hint="default"/>
        <w:lang w:val="pt-PT" w:eastAsia="en-US" w:bidi="ar-SA"/>
      </w:rPr>
    </w:lvl>
    <w:lvl w:ilvl="6">
      <w:numFmt w:val="bullet"/>
      <w:lvlText w:val="•"/>
      <w:lvlJc w:val="left"/>
      <w:pPr>
        <w:ind w:left="5445" w:hanging="241"/>
      </w:pPr>
      <w:rPr>
        <w:rFonts w:hint="default"/>
        <w:lang w:val="pt-PT" w:eastAsia="en-US" w:bidi="ar-SA"/>
      </w:rPr>
    </w:lvl>
    <w:lvl w:ilvl="7">
      <w:numFmt w:val="bullet"/>
      <w:lvlText w:val="•"/>
      <w:lvlJc w:val="left"/>
      <w:pPr>
        <w:ind w:left="6476" w:hanging="241"/>
      </w:pPr>
      <w:rPr>
        <w:rFonts w:hint="default"/>
        <w:lang w:val="pt-PT" w:eastAsia="en-US" w:bidi="ar-SA"/>
      </w:rPr>
    </w:lvl>
    <w:lvl w:ilvl="8">
      <w:numFmt w:val="bullet"/>
      <w:lvlText w:val="•"/>
      <w:lvlJc w:val="left"/>
      <w:pPr>
        <w:ind w:left="7507" w:hanging="241"/>
      </w:pPr>
      <w:rPr>
        <w:rFonts w:hint="default"/>
        <w:lang w:val="pt-PT" w:eastAsia="en-US" w:bidi="ar-SA"/>
      </w:rPr>
    </w:lvl>
  </w:abstractNum>
  <w:abstractNum w:abstractNumId="6">
    <w:nsid w:val="67950A80"/>
    <w:multiLevelType w:val="hybridMultilevel"/>
    <w:tmpl w:val="1A34C2DE"/>
    <w:lvl w:ilvl="0" w:tplc="5DA28D16">
      <w:numFmt w:val="bullet"/>
      <w:lvlText w:val=""/>
      <w:lvlJc w:val="left"/>
      <w:pPr>
        <w:ind w:left="1318" w:hanging="361"/>
      </w:pPr>
      <w:rPr>
        <w:rFonts w:ascii="Symbol" w:eastAsia="Symbol" w:hAnsi="Symbol" w:cs="Symbol" w:hint="default"/>
        <w:b w:val="0"/>
        <w:bCs w:val="0"/>
        <w:i w:val="0"/>
        <w:iCs w:val="0"/>
        <w:spacing w:val="0"/>
        <w:w w:val="100"/>
        <w:sz w:val="24"/>
        <w:szCs w:val="24"/>
        <w:lang w:val="pt-PT" w:eastAsia="en-US" w:bidi="ar-SA"/>
      </w:rPr>
    </w:lvl>
    <w:lvl w:ilvl="1" w:tplc="2688B2E0">
      <w:numFmt w:val="bullet"/>
      <w:lvlText w:val="•"/>
      <w:lvlJc w:val="left"/>
      <w:pPr>
        <w:ind w:left="2145" w:hanging="361"/>
      </w:pPr>
      <w:rPr>
        <w:rFonts w:hint="default"/>
        <w:lang w:val="pt-PT" w:eastAsia="en-US" w:bidi="ar-SA"/>
      </w:rPr>
    </w:lvl>
    <w:lvl w:ilvl="2" w:tplc="ECF86CFC">
      <w:numFmt w:val="bullet"/>
      <w:lvlText w:val="•"/>
      <w:lvlJc w:val="left"/>
      <w:pPr>
        <w:ind w:left="2970" w:hanging="361"/>
      </w:pPr>
      <w:rPr>
        <w:rFonts w:hint="default"/>
        <w:lang w:val="pt-PT" w:eastAsia="en-US" w:bidi="ar-SA"/>
      </w:rPr>
    </w:lvl>
    <w:lvl w:ilvl="3" w:tplc="9E2A46D2">
      <w:numFmt w:val="bullet"/>
      <w:lvlText w:val="•"/>
      <w:lvlJc w:val="left"/>
      <w:pPr>
        <w:ind w:left="3795" w:hanging="361"/>
      </w:pPr>
      <w:rPr>
        <w:rFonts w:hint="default"/>
        <w:lang w:val="pt-PT" w:eastAsia="en-US" w:bidi="ar-SA"/>
      </w:rPr>
    </w:lvl>
    <w:lvl w:ilvl="4" w:tplc="70C6FDA4">
      <w:numFmt w:val="bullet"/>
      <w:lvlText w:val="•"/>
      <w:lvlJc w:val="left"/>
      <w:pPr>
        <w:ind w:left="4620" w:hanging="361"/>
      </w:pPr>
      <w:rPr>
        <w:rFonts w:hint="default"/>
        <w:lang w:val="pt-PT" w:eastAsia="en-US" w:bidi="ar-SA"/>
      </w:rPr>
    </w:lvl>
    <w:lvl w:ilvl="5" w:tplc="23329914">
      <w:numFmt w:val="bullet"/>
      <w:lvlText w:val="•"/>
      <w:lvlJc w:val="left"/>
      <w:pPr>
        <w:ind w:left="5445" w:hanging="361"/>
      </w:pPr>
      <w:rPr>
        <w:rFonts w:hint="default"/>
        <w:lang w:val="pt-PT" w:eastAsia="en-US" w:bidi="ar-SA"/>
      </w:rPr>
    </w:lvl>
    <w:lvl w:ilvl="6" w:tplc="2DF0DD76">
      <w:numFmt w:val="bullet"/>
      <w:lvlText w:val="•"/>
      <w:lvlJc w:val="left"/>
      <w:pPr>
        <w:ind w:left="6270" w:hanging="361"/>
      </w:pPr>
      <w:rPr>
        <w:rFonts w:hint="default"/>
        <w:lang w:val="pt-PT" w:eastAsia="en-US" w:bidi="ar-SA"/>
      </w:rPr>
    </w:lvl>
    <w:lvl w:ilvl="7" w:tplc="9E78F1EE">
      <w:numFmt w:val="bullet"/>
      <w:lvlText w:val="•"/>
      <w:lvlJc w:val="left"/>
      <w:pPr>
        <w:ind w:left="7095" w:hanging="361"/>
      </w:pPr>
      <w:rPr>
        <w:rFonts w:hint="default"/>
        <w:lang w:val="pt-PT" w:eastAsia="en-US" w:bidi="ar-SA"/>
      </w:rPr>
    </w:lvl>
    <w:lvl w:ilvl="8" w:tplc="EA4020D2">
      <w:numFmt w:val="bullet"/>
      <w:lvlText w:val="•"/>
      <w:lvlJc w:val="left"/>
      <w:pPr>
        <w:ind w:left="7920" w:hanging="361"/>
      </w:pPr>
      <w:rPr>
        <w:rFonts w:hint="default"/>
        <w:lang w:val="pt-PT" w:eastAsia="en-US" w:bidi="ar-SA"/>
      </w:rPr>
    </w:lvl>
  </w:abstractNum>
  <w:abstractNum w:abstractNumId="7">
    <w:nsid w:val="6B8B07B6"/>
    <w:multiLevelType w:val="hybridMultilevel"/>
    <w:tmpl w:val="EE72534A"/>
    <w:lvl w:ilvl="0" w:tplc="D52A3EDA">
      <w:start w:val="1"/>
      <w:numFmt w:val="decimal"/>
      <w:lvlText w:val="%1."/>
      <w:lvlJc w:val="left"/>
      <w:pPr>
        <w:ind w:left="237" w:hanging="706"/>
      </w:pPr>
      <w:rPr>
        <w:rFonts w:ascii="Times New Roman" w:eastAsia="Times New Roman" w:hAnsi="Times New Roman" w:cs="Times New Roman" w:hint="default"/>
        <w:b w:val="0"/>
        <w:bCs w:val="0"/>
        <w:i w:val="0"/>
        <w:iCs w:val="0"/>
        <w:spacing w:val="0"/>
        <w:w w:val="100"/>
        <w:sz w:val="24"/>
        <w:szCs w:val="24"/>
        <w:lang w:val="pt-PT" w:eastAsia="en-US" w:bidi="ar-SA"/>
      </w:rPr>
    </w:lvl>
    <w:lvl w:ilvl="1" w:tplc="AA888CA8">
      <w:numFmt w:val="bullet"/>
      <w:lvlText w:val="•"/>
      <w:lvlJc w:val="left"/>
      <w:pPr>
        <w:ind w:left="1173" w:hanging="706"/>
      </w:pPr>
      <w:rPr>
        <w:rFonts w:hint="default"/>
        <w:lang w:val="pt-PT" w:eastAsia="en-US" w:bidi="ar-SA"/>
      </w:rPr>
    </w:lvl>
    <w:lvl w:ilvl="2" w:tplc="A29809E2">
      <w:numFmt w:val="bullet"/>
      <w:lvlText w:val="•"/>
      <w:lvlJc w:val="left"/>
      <w:pPr>
        <w:ind w:left="2106" w:hanging="706"/>
      </w:pPr>
      <w:rPr>
        <w:rFonts w:hint="default"/>
        <w:lang w:val="pt-PT" w:eastAsia="en-US" w:bidi="ar-SA"/>
      </w:rPr>
    </w:lvl>
    <w:lvl w:ilvl="3" w:tplc="7272DE0A">
      <w:numFmt w:val="bullet"/>
      <w:lvlText w:val="•"/>
      <w:lvlJc w:val="left"/>
      <w:pPr>
        <w:ind w:left="3039" w:hanging="706"/>
      </w:pPr>
      <w:rPr>
        <w:rFonts w:hint="default"/>
        <w:lang w:val="pt-PT" w:eastAsia="en-US" w:bidi="ar-SA"/>
      </w:rPr>
    </w:lvl>
    <w:lvl w:ilvl="4" w:tplc="BC6ADD72">
      <w:numFmt w:val="bullet"/>
      <w:lvlText w:val="•"/>
      <w:lvlJc w:val="left"/>
      <w:pPr>
        <w:ind w:left="3972" w:hanging="706"/>
      </w:pPr>
      <w:rPr>
        <w:rFonts w:hint="default"/>
        <w:lang w:val="pt-PT" w:eastAsia="en-US" w:bidi="ar-SA"/>
      </w:rPr>
    </w:lvl>
    <w:lvl w:ilvl="5" w:tplc="1726529A">
      <w:numFmt w:val="bullet"/>
      <w:lvlText w:val="•"/>
      <w:lvlJc w:val="left"/>
      <w:pPr>
        <w:ind w:left="4905" w:hanging="706"/>
      </w:pPr>
      <w:rPr>
        <w:rFonts w:hint="default"/>
        <w:lang w:val="pt-PT" w:eastAsia="en-US" w:bidi="ar-SA"/>
      </w:rPr>
    </w:lvl>
    <w:lvl w:ilvl="6" w:tplc="621C6878">
      <w:numFmt w:val="bullet"/>
      <w:lvlText w:val="•"/>
      <w:lvlJc w:val="left"/>
      <w:pPr>
        <w:ind w:left="5838" w:hanging="706"/>
      </w:pPr>
      <w:rPr>
        <w:rFonts w:hint="default"/>
        <w:lang w:val="pt-PT" w:eastAsia="en-US" w:bidi="ar-SA"/>
      </w:rPr>
    </w:lvl>
    <w:lvl w:ilvl="7" w:tplc="369661A4">
      <w:numFmt w:val="bullet"/>
      <w:lvlText w:val="•"/>
      <w:lvlJc w:val="left"/>
      <w:pPr>
        <w:ind w:left="6771" w:hanging="706"/>
      </w:pPr>
      <w:rPr>
        <w:rFonts w:hint="default"/>
        <w:lang w:val="pt-PT" w:eastAsia="en-US" w:bidi="ar-SA"/>
      </w:rPr>
    </w:lvl>
    <w:lvl w:ilvl="8" w:tplc="5F0A90D8">
      <w:numFmt w:val="bullet"/>
      <w:lvlText w:val="•"/>
      <w:lvlJc w:val="left"/>
      <w:pPr>
        <w:ind w:left="7704" w:hanging="706"/>
      </w:pPr>
      <w:rPr>
        <w:rFonts w:hint="default"/>
        <w:lang w:val="pt-PT" w:eastAsia="en-US" w:bidi="ar-SA"/>
      </w:rPr>
    </w:lvl>
  </w:abstractNum>
  <w:num w:numId="1">
    <w:abstractNumId w:val="3"/>
  </w:num>
  <w:num w:numId="2">
    <w:abstractNumId w:val="7"/>
  </w:num>
  <w:num w:numId="3">
    <w:abstractNumId w:val="2"/>
  </w:num>
  <w:num w:numId="4">
    <w:abstractNumId w:val="4"/>
  </w:num>
  <w:num w:numId="5">
    <w:abstractNumId w:val="6"/>
  </w:num>
  <w:num w:numId="6">
    <w:abstractNumId w:val="0"/>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054"/>
    <w:rsid w:val="001379A8"/>
    <w:rsid w:val="001C620E"/>
    <w:rsid w:val="00267443"/>
    <w:rsid w:val="002A0F4C"/>
    <w:rsid w:val="0037292A"/>
    <w:rsid w:val="00402437"/>
    <w:rsid w:val="00425DCB"/>
    <w:rsid w:val="00455D49"/>
    <w:rsid w:val="005309FF"/>
    <w:rsid w:val="00572BAD"/>
    <w:rsid w:val="00754FB5"/>
    <w:rsid w:val="00981AE9"/>
    <w:rsid w:val="00A44E92"/>
    <w:rsid w:val="00A913BD"/>
    <w:rsid w:val="00AB4D46"/>
    <w:rsid w:val="00B0127B"/>
    <w:rsid w:val="00CB1FD6"/>
    <w:rsid w:val="00CD6054"/>
    <w:rsid w:val="00D53E07"/>
    <w:rsid w:val="00E5183E"/>
    <w:rsid w:val="00ED3E17"/>
    <w:rsid w:val="00F82430"/>
    <w:rsid w:val="00FA4F1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F9CD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pt-PT"/>
    </w:rPr>
  </w:style>
  <w:style w:type="paragraph" w:styleId="Heading1">
    <w:name w:val="heading 1"/>
    <w:basedOn w:val="Normal"/>
    <w:uiPriority w:val="9"/>
    <w:qFormat/>
    <w:pPr>
      <w:ind w:left="957"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236" w:firstLine="706"/>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5183E"/>
    <w:rPr>
      <w:color w:val="0000FF" w:themeColor="hyperlink"/>
      <w:u w:val="single"/>
    </w:rPr>
  </w:style>
  <w:style w:type="paragraph" w:styleId="BalloonText">
    <w:name w:val="Balloon Text"/>
    <w:basedOn w:val="Normal"/>
    <w:link w:val="BalloonTextChar"/>
    <w:uiPriority w:val="99"/>
    <w:semiHidden/>
    <w:unhideWhenUsed/>
    <w:rsid w:val="00A44E92"/>
    <w:rPr>
      <w:rFonts w:ascii="Lucida Grande" w:hAnsi="Lucida Grande"/>
      <w:sz w:val="18"/>
      <w:szCs w:val="18"/>
    </w:rPr>
  </w:style>
  <w:style w:type="character" w:customStyle="1" w:styleId="BalloonTextChar">
    <w:name w:val="Balloon Text Char"/>
    <w:basedOn w:val="DefaultParagraphFont"/>
    <w:link w:val="BalloonText"/>
    <w:uiPriority w:val="99"/>
    <w:semiHidden/>
    <w:rsid w:val="00A44E92"/>
    <w:rPr>
      <w:rFonts w:ascii="Lucida Grande" w:eastAsia="Times New Roman" w:hAnsi="Lucida Grande" w:cs="Times New Roman"/>
      <w:sz w:val="18"/>
      <w:szCs w:val="18"/>
      <w:lang w:val="pt-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pt-PT"/>
    </w:rPr>
  </w:style>
  <w:style w:type="paragraph" w:styleId="Heading1">
    <w:name w:val="heading 1"/>
    <w:basedOn w:val="Normal"/>
    <w:uiPriority w:val="9"/>
    <w:qFormat/>
    <w:pPr>
      <w:ind w:left="957"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236" w:firstLine="706"/>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5183E"/>
    <w:rPr>
      <w:color w:val="0000FF" w:themeColor="hyperlink"/>
      <w:u w:val="single"/>
    </w:rPr>
  </w:style>
  <w:style w:type="paragraph" w:styleId="BalloonText">
    <w:name w:val="Balloon Text"/>
    <w:basedOn w:val="Normal"/>
    <w:link w:val="BalloonTextChar"/>
    <w:uiPriority w:val="99"/>
    <w:semiHidden/>
    <w:unhideWhenUsed/>
    <w:rsid w:val="00A44E92"/>
    <w:rPr>
      <w:rFonts w:ascii="Lucida Grande" w:hAnsi="Lucida Grande"/>
      <w:sz w:val="18"/>
      <w:szCs w:val="18"/>
    </w:rPr>
  </w:style>
  <w:style w:type="character" w:customStyle="1" w:styleId="BalloonTextChar">
    <w:name w:val="Balloon Text Char"/>
    <w:basedOn w:val="DefaultParagraphFont"/>
    <w:link w:val="BalloonText"/>
    <w:uiPriority w:val="99"/>
    <w:semiHidden/>
    <w:rsid w:val="00A44E92"/>
    <w:rPr>
      <w:rFonts w:ascii="Lucida Grande" w:eastAsia="Times New Roman" w:hAnsi="Lucida Grande" w:cs="Times New Roman"/>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random.org/"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sbn.org.br/geral/" TargetMode="External"/><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jpeg"/><Relationship Id="rId14" Type="http://schemas.openxmlformats.org/officeDocument/2006/relationships/image" Target="media/image6.png"/><Relationship Id="rId15" Type="http://schemas.openxmlformats.org/officeDocument/2006/relationships/image" Target="media/image7.jpg"/><Relationship Id="rId16" Type="http://schemas.openxmlformats.org/officeDocument/2006/relationships/image" Target="media/image8.jpg"/><Relationship Id="rId17" Type="http://schemas.openxmlformats.org/officeDocument/2006/relationships/image" Target="media/image9.jpg"/><Relationship Id="rId18" Type="http://schemas.openxmlformats.org/officeDocument/2006/relationships/image" Target="media/image10.jpg"/><Relationship Id="rId19" Type="http://schemas.openxmlformats.org/officeDocument/2006/relationships/image" Target="media/image11.jp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jpeg"/><Relationship Id="rId8" Type="http://schemas.openxmlformats.org/officeDocument/2006/relationships/hyperlink" Target="http://www.rando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42</Pages>
  <Words>9900</Words>
  <Characters>56435</Characters>
  <Application>Microsoft Macintosh Word</Application>
  <DocSecurity>0</DocSecurity>
  <Lines>470</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Camila Izumi</dc:creator>
  <cp:lastModifiedBy>Reila Mendes</cp:lastModifiedBy>
  <cp:revision>9</cp:revision>
  <dcterms:created xsi:type="dcterms:W3CDTF">2024-09-03T03:20:00Z</dcterms:created>
  <dcterms:modified xsi:type="dcterms:W3CDTF">2024-09-03T20:18:00Z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MicrosoftÂ® Word para Microsoft 365</vt:lpwstr>
  </property>
  <property fmtid="{D5CDD505-2E9C-101B-9397-08002B2CF9AE}" pid="4" name="LastSaved">
    <vt:filetime>2024-08-28T00:00:00Z</vt:filetime>
  </property>
  <property fmtid="{D5CDD505-2E9C-101B-9397-08002B2CF9AE}" pid="5" name="Producer">
    <vt:lpwstr>MicrosoftÂ® Word para Microsoft 365</vt:lpwstr>
  </property>
</Properties>
</file>