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562610" cy="981710"/>
            <wp:effectExtent b="0" l="0" r="0" t="0"/>
            <wp:docPr descr="Universidade Federal de Alagoas" id="5" name="image1.png"/>
            <a:graphic>
              <a:graphicData uri="http://schemas.openxmlformats.org/drawingml/2006/picture">
                <pic:pic>
                  <pic:nvPicPr>
                    <pic:cNvPr descr="Universidade Federal de Alagoas" id="0" name="image1.png"/>
                    <pic:cNvPicPr preferRelativeResize="0"/>
                  </pic:nvPicPr>
                  <pic:blipFill>
                    <a:blip r:embed="rId7"/>
                    <a:srcRect b="0" l="0" r="0" t="0"/>
                    <a:stretch>
                      <a:fillRect/>
                    </a:stretch>
                  </pic:blipFill>
                  <pic:spPr>
                    <a:xfrm>
                      <a:off x="0" y="0"/>
                      <a:ext cx="562610" cy="9817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ff0000"/>
          <w:sz w:val="28"/>
          <w:szCs w:val="28"/>
          <w:vertAlign w:val="superscript"/>
        </w:rPr>
      </w:pPr>
      <w:r w:rsidDel="00000000" w:rsidR="00000000" w:rsidRPr="00000000">
        <w:rPr>
          <w:rFonts w:ascii="Times New Roman" w:cs="Times New Roman" w:eastAsia="Times New Roman" w:hAnsi="Times New Roman"/>
          <w:b w:val="1"/>
          <w:sz w:val="28"/>
          <w:szCs w:val="28"/>
          <w:rtl w:val="0"/>
        </w:rPr>
        <w:t xml:space="preserve">UNIVERSIDADE FEDERAL DE ALAGOAS</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Ações interativas de educação em saúde no manejo da ingestão proteica em pacientes com doença renal diabética: projeto PROREN</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MACEIÓ-AL</w:t>
      </w:r>
    </w:p>
    <w:p w:rsidR="00000000" w:rsidDel="00000000" w:rsidP="00000000" w:rsidRDefault="00000000" w:rsidRPr="00000000" w14:paraId="0000002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w:t>
      </w:r>
    </w:p>
    <w:p w:rsidR="00000000" w:rsidDel="00000000" w:rsidP="00000000" w:rsidRDefault="00000000" w:rsidRPr="00000000" w14:paraId="0000002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SUMÁRIO</w:t>
      </w:r>
    </w:p>
    <w:p w:rsidR="00000000" w:rsidDel="00000000" w:rsidP="00000000" w:rsidRDefault="00000000" w:rsidRPr="00000000" w14:paraId="0000002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soxlx9jdczq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INTRODUÇÃO</w:t>
              <w:tab/>
            </w:r>
          </w:hyperlink>
          <w:r w:rsidDel="00000000" w:rsidR="00000000" w:rsidRPr="00000000">
            <w:rPr>
              <w:b w:val="1"/>
              <w:rtl w:val="0"/>
            </w:rPr>
            <w:t xml:space="preserve">4</w:t>
          </w:r>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dxhypckv5qm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Problematização</w:t>
              <w:tab/>
            </w:r>
          </w:hyperlink>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z0nb6zfpxeg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Problema</w:t>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c9dmf0596qs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Hipótese</w:t>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82ttoslon1o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Justificativa</w:t>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n5l60eqecz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Objetivos</w:t>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t57qxv5owru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1.5.1. Objetivo geral:</w:t>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7anxko5lids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1.5.1. Objetivos específicos:</w:t>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12oiqwt4ul3d">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REVISÃO DE LITERATURA</w:t>
              <w:tab/>
            </w:r>
          </w:hyperlink>
          <w:r w:rsidDel="00000000" w:rsidR="00000000" w:rsidRPr="00000000">
            <w:rPr>
              <w:b w:val="1"/>
              <w:rtl w:val="0"/>
            </w:rPr>
            <w:t xml:space="preserve">7</w:t>
          </w:r>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a2w549i333j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A epidemiologia da doença renal diabética</w:t>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7estu9ai1gbv">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O consumo de proteína na disfunção renal</w:t>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p7tjij1beh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O uso de mídias sociais na promoção da saúde</w:t>
              <w:tab/>
              <w:t xml:space="preserve">7</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bv1q6th8u7a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METODOLOGIA</w:t>
              <w:tab/>
            </w:r>
          </w:hyperlink>
          <w:r w:rsidDel="00000000" w:rsidR="00000000" w:rsidRPr="00000000">
            <w:rPr>
              <w:b w:val="1"/>
              <w:rtl w:val="0"/>
            </w:rPr>
            <w:t xml:space="preserve">9</w:t>
          </w:r>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sduav65xjf8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Tipo do estudo</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qyl91also6y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Público alvo</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zufexwuk29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Local do estudo</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p2bu17at44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Plano amostral e coleta de dados</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h6k0smpo8aa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3.4.1. Tamanho da amostra</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k941u3tfpl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 Critérios de inclusão</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r7dfzja6an6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3.4.3. Critérios de exclusão</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ez6bixwh1v7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3.5.Variáveis</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7r3lpqh6kya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3.5.1. Variáveis qualitativas</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5wqpedcpb1g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3.5.1. Variáveis quantitativas</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qx0314rh8la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Delineamento do estudo</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pxu6s7r8mh2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3.5.1. Identificação dos participantes</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rzql4jtr97u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3.5.2. Apresentação da pesquisa e TCLE</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9ibhp8z1x13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3.5.3. Período de coleta de dados</w:t>
              <w:tab/>
            </w:r>
          </w:hyperlink>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sxivwo73lcx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3.5.4. Triagem e coleta de dados</w:t>
              <w:tab/>
            </w:r>
          </w:hyperlink>
          <w:r w:rsidDel="00000000" w:rsidR="00000000" w:rsidRPr="00000000">
            <w:rPr>
              <w:rtl w:val="0"/>
            </w:rPr>
            <w:t xml:space="preserve">11</w:t>
          </w:r>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tveba8tehzy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3.5.4. Intervenção</w:t>
              <w:tab/>
            </w:r>
          </w:hyperlink>
          <w:r w:rsidDel="00000000" w:rsidR="00000000" w:rsidRPr="00000000">
            <w:rPr>
              <w:rtl w:val="0"/>
            </w:rPr>
            <w:t xml:space="preserve">12</w:t>
          </w:r>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rPr>
              <w:vertAlign w:val="baseline"/>
            </w:rPr>
          </w:pPr>
          <w:hyperlink w:anchor="_heading=h.svltcrqpbu8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3.6. Aspectos éticos</w:t>
            </w:r>
          </w:hyperlink>
          <w:r w:rsidDel="00000000" w:rsidR="00000000" w:rsidRPr="00000000">
            <w:rPr>
              <w:rtl w:val="0"/>
            </w:rPr>
            <w:t xml:space="preserve">                                                                                                             14</w:t>
          </w:r>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rPr/>
          </w:pPr>
          <w:r w:rsidDel="00000000" w:rsidR="00000000" w:rsidRPr="00000000">
            <w:rPr>
              <w:vertAlign w:val="baseline"/>
              <w:rtl w:val="0"/>
            </w:rPr>
            <w:t xml:space="preserve">3.7 </w:t>
          </w:r>
          <w:r w:rsidDel="00000000" w:rsidR="00000000" w:rsidRPr="00000000">
            <w:rPr>
              <w:rtl w:val="0"/>
            </w:rPr>
            <w:t xml:space="preserve">Análise</w:t>
          </w:r>
          <w:r w:rsidDel="00000000" w:rsidR="00000000" w:rsidRPr="00000000">
            <w:rPr>
              <w:vertAlign w:val="baseline"/>
              <w:rtl w:val="0"/>
            </w:rPr>
            <w:t xml:space="preserve"> estatístic</w:t>
          </w:r>
          <w:r w:rsidDel="00000000" w:rsidR="00000000" w:rsidRPr="00000000">
            <w:rPr>
              <w:rtl w:val="0"/>
            </w:rPr>
            <w:t xml:space="preserve">a</w:t>
          </w:r>
          <w:hyperlink w:anchor="_heading=h.svltcrqpbu85">
            <w:r w:rsidDel="00000000" w:rsidR="00000000" w:rsidRPr="00000000">
              <w:rPr>
                <w:rtl w:val="0"/>
              </w:rPr>
              <w:t xml:space="preserve">                                                                                                       </w:t>
            </w:r>
          </w:hyperlink>
          <w:hyperlink w:anchor="_heading=h.svltcrqpbu8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hyperlink>
          <w:r w:rsidDel="00000000" w:rsidR="00000000" w:rsidRPr="00000000">
            <w:rPr>
              <w:rtl w:val="0"/>
            </w:rPr>
            <w:t xml:space="preserve">4</w:t>
          </w:r>
        </w:p>
        <w:p w:rsidR="00000000" w:rsidDel="00000000" w:rsidP="00000000" w:rsidRDefault="00000000" w:rsidRPr="00000000" w14:paraId="00000050">
          <w:pPr>
            <w:widowControl w:val="0"/>
            <w:tabs>
              <w:tab w:val="right" w:leader="none" w:pos="12000"/>
            </w:tabs>
            <w:spacing w:before="60" w:line="240" w:lineRule="auto"/>
            <w:ind w:left="360" w:firstLine="0"/>
            <w:rPr/>
          </w:pPr>
          <w:r w:rsidDel="00000000" w:rsidR="00000000" w:rsidRPr="00000000">
            <w:rPr>
              <w:rtl w:val="0"/>
            </w:rPr>
            <w:t xml:space="preserve">3.7. Riscos                                                                                                                        15</w:t>
          </w:r>
        </w:p>
        <w:p w:rsidR="00000000" w:rsidDel="00000000" w:rsidP="00000000" w:rsidRDefault="00000000" w:rsidRPr="00000000" w14:paraId="00000051">
          <w:pPr>
            <w:widowControl w:val="0"/>
            <w:tabs>
              <w:tab w:val="right" w:leader="none" w:pos="12000"/>
            </w:tabs>
            <w:spacing w:before="60" w:line="240" w:lineRule="auto"/>
            <w:ind w:left="360" w:firstLine="0"/>
            <w:rPr/>
          </w:pPr>
          <w:r w:rsidDel="00000000" w:rsidR="00000000" w:rsidRPr="00000000">
            <w:rPr>
              <w:rtl w:val="0"/>
            </w:rPr>
            <w:t xml:space="preserve">3.8. Benefícios                                                                                                                  15</w:t>
          </w:r>
        </w:p>
        <w:p w:rsidR="00000000" w:rsidDel="00000000" w:rsidP="00000000" w:rsidRDefault="00000000" w:rsidRPr="00000000" w14:paraId="0000005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8k4aa8ypottf">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CRONOGRAMA</w:t>
              <w:tab/>
              <w:t xml:space="preserve">1</w:t>
            </w:r>
          </w:hyperlink>
          <w:r w:rsidDel="00000000" w:rsidR="00000000" w:rsidRPr="00000000">
            <w:rPr>
              <w:b w:val="1"/>
              <w:rtl w:val="0"/>
            </w:rPr>
            <w:t xml:space="preserve">7</w:t>
          </w:r>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ugwedr4qzctf">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ORÇAMENTO</w:t>
              <w:tab/>
              <w:t xml:space="preserve">1</w:t>
            </w:r>
          </w:hyperlink>
          <w:r w:rsidDel="00000000" w:rsidR="00000000" w:rsidRPr="00000000">
            <w:rPr>
              <w:b w:val="1"/>
              <w:rtl w:val="0"/>
            </w:rPr>
            <w:t xml:space="preserve">7</w:t>
          </w:r>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lp5h3lbf3xo6">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REFERÊNCIAS BIBLIOGRÁFICAS</w:t>
              <w:tab/>
              <w:t xml:space="preserve">1</w:t>
            </w:r>
          </w:hyperlink>
          <w:r w:rsidDel="00000000" w:rsidR="00000000" w:rsidRPr="00000000">
            <w:rPr>
              <w:b w:val="1"/>
              <w:rtl w:val="0"/>
            </w:rPr>
            <w:t xml:space="preserve">9</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jc w:val="center"/>
        <w:rPr>
          <w:rFonts w:ascii="Times New Roman" w:cs="Times New Roman" w:eastAsia="Times New Roman" w:hAnsi="Times New Roman"/>
          <w:b w:val="1"/>
          <w:sz w:val="24"/>
          <w:szCs w:val="24"/>
        </w:rPr>
        <w:sectPr>
          <w:headerReference r:id="rId8" w:type="default"/>
          <w:headerReference r:id="rId9" w:type="first"/>
          <w:pgSz w:h="16834" w:w="11909" w:orient="portrait"/>
          <w:pgMar w:bottom="1133.8582677165355" w:top="1700.7874015748032" w:left="1700.7874015748032" w:right="1133.8582677165355" w:header="720" w:footer="720"/>
          <w:pgNumType w:start="0"/>
          <w:titlePg w:val="1"/>
        </w:sectPr>
      </w:pPr>
      <w:r w:rsidDel="00000000" w:rsidR="00000000" w:rsidRPr="00000000">
        <w:rPr>
          <w:rtl w:val="0"/>
        </w:rPr>
      </w:r>
    </w:p>
    <w:p w:rsidR="00000000" w:rsidDel="00000000" w:rsidP="00000000" w:rsidRDefault="00000000" w:rsidRPr="00000000" w14:paraId="00000059">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pStyle w:val="Heading1"/>
        <w:numPr>
          <w:ilvl w:val="0"/>
          <w:numId w:val="2"/>
        </w:numPr>
        <w:spacing w:line="360" w:lineRule="auto"/>
        <w:ind w:left="720" w:hanging="360"/>
        <w:jc w:val="both"/>
        <w:rPr/>
      </w:pPr>
      <w:bookmarkStart w:colFirst="0" w:colLast="0" w:name="_heading=h.soxlx9jdczqh" w:id="0"/>
      <w:bookmarkEnd w:id="0"/>
      <w:r w:rsidDel="00000000" w:rsidR="00000000" w:rsidRPr="00000000">
        <w:rPr>
          <w:rtl w:val="0"/>
        </w:rPr>
        <w:t xml:space="preserve">INTRODUÇÃO</w:t>
      </w:r>
    </w:p>
    <w:p w:rsidR="00000000" w:rsidDel="00000000" w:rsidP="00000000" w:rsidRDefault="00000000" w:rsidRPr="00000000" w14:paraId="0000005B">
      <w:pPr>
        <w:pStyle w:val="Heading2"/>
        <w:spacing w:line="360" w:lineRule="auto"/>
        <w:ind w:firstLine="708.6614173228347"/>
        <w:jc w:val="both"/>
        <w:rPr/>
      </w:pPr>
      <w:bookmarkStart w:colFirst="0" w:colLast="0" w:name="_heading=h.dxhypckv5qmd" w:id="1"/>
      <w:bookmarkEnd w:id="1"/>
      <w:r w:rsidDel="00000000" w:rsidR="00000000" w:rsidRPr="00000000">
        <w:rPr>
          <w:rtl w:val="0"/>
        </w:rPr>
        <w:t xml:space="preserve">1.1. Problematização</w:t>
      </w:r>
    </w:p>
    <w:p w:rsidR="00000000" w:rsidDel="00000000" w:rsidP="00000000" w:rsidRDefault="00000000" w:rsidRPr="00000000" w14:paraId="0000005C">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Doença Renal Crônica (DRC) é definida como a perda progressiva e irreversível das funções renais, decorrente da destruição de néfrons. Essa condição induz quadros de hiperplasia compensatória e hipertrofia das estruturas renais remanescentes, como forma de adaptação funcional (Vergnaud et al., 2023). Atualmente, estima-se que a DRC afete aproximadamente 9,1% da população mundial, cerca de 700 milhões de pessoas, refletindo suas significativas repercussões metabólicas e fisiopatológicas (GBD., 2020).</w:t>
      </w:r>
    </w:p>
    <w:p w:rsidR="00000000" w:rsidDel="00000000" w:rsidP="00000000" w:rsidRDefault="00000000" w:rsidRPr="00000000" w14:paraId="0000005D">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principais fatores de risco para a DRC incluem diabetes (DM), hipertensão arterial sistêmica (HAS), fatores relacionados ao estilo de vida, predisposição genética e o envelhecimento (Dabek et al., 2023). Uma vez que o declínio da função renal seja causada pelo diabetes, ele está associado à produção de espécies reativas de oxigênio (EROs), induzidas pela hiperglicemia persistente, além da ativação de vias inflamatórias e fibróticas, como o fator de crescimento beta (TGF-β). Esses processos resultam  em lesões renais e na diminuição da taxa de filtração glomerular (TFG) (Hadi &amp; Shaker, 2022; Sinha &amp; Nicholas, 2023).</w:t>
      </w:r>
    </w:p>
    <w:p w:rsidR="00000000" w:rsidDel="00000000" w:rsidP="00000000" w:rsidRDefault="00000000" w:rsidRPr="00000000" w14:paraId="0000005E">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Doença Renal Diabética (DRD) é marcada pela superprodução de matriz celular e fibrose renal devido à disfunção das metaloproteinases (MMP), MMP-2 e MMP9, que integram o sistema proteolítico (Russa et al., 2024; Juin et al., 2022). Essa cascata de reações, potencializada pela resistência à insulina, é responsável pelo aumento na degradação da massa muscular por meio do sistema ubiquitina-proteassoma (UPS), promovendo assim, atrofia muscular e alterações hormonais (Peng et al., 2016; Watanabe et al., 2019).</w:t>
      </w:r>
    </w:p>
    <w:p w:rsidR="00000000" w:rsidDel="00000000" w:rsidP="00000000" w:rsidRDefault="00000000" w:rsidRPr="00000000" w14:paraId="0000005F">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depleção muscular é considerada fator contribuinte para a progressão da DRC e está associada ao aumento da mortalidade e desfechos desfavoráveis de saúde no paciente com disfunções renais (Lee et al., 2021). Outro fator preocupante na perspectiva da DRD é a maior propensão desses pacientes ao desenvolvimento de sarcopenia — síndrome caracterizada pela perda de massa muscular, força e função — já que a prevalência nesta população varia de 3,9% a 65,5% (Gasanov, 2021).</w:t>
      </w:r>
    </w:p>
    <w:p w:rsidR="00000000" w:rsidDel="00000000" w:rsidP="00000000" w:rsidRDefault="00000000" w:rsidRPr="00000000" w14:paraId="00000060">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vez implementada de forma adequada, considerando as necessidades individuais de cada paciente, a terapia nutricional é considerada como o fator chave para a melhora do quadro geral do paciente com DRD (Peride et al., 2014). Todavia, a ingestão correta de proteínas é considerada neste contexto, ainda, uma crítica área de pesquisa, em pacientes com DRC, uma dieta hipoproteica (0,6-0,8 g/kg/dia) está associada com o retardo no declínio da função renal e redução da proteinúria (BRASPEN, 2021).</w:t>
      </w:r>
    </w:p>
    <w:p w:rsidR="00000000" w:rsidDel="00000000" w:rsidP="00000000" w:rsidRDefault="00000000" w:rsidRPr="00000000" w14:paraId="00000061">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Devido às peculiaridades fisiopatológicas dos pacientes com Doença Renal Dialítica (DRD), uma dieta com maior teor de proteínas tem demonstrado eficácia no controle glicêmico, promovendo níveis mais baixos de glicose pós-prandial e melhorando a sensibilidade à insulina, devido à secreção de hormônios incretínicos. Além disso, essa estratégia contribui para o controle de peso e a preservação da massa magra (Ekberg et al., 2024; Campbell &amp; Rains, 2014).</w:t>
      </w:r>
    </w:p>
    <w:p w:rsidR="00000000" w:rsidDel="00000000" w:rsidP="00000000" w:rsidRDefault="00000000" w:rsidRPr="00000000" w14:paraId="00000062">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highlight w:val="white"/>
          <w:rtl w:val="0"/>
        </w:rPr>
        <w:t xml:space="preserve">   Diante de pesquisas e análises sobre o impacto positivo da dieta hipoproteíca em pacientes com doença renal crônica, a Kidney Disease Outcomes Quality Initiative (KDOQI), tem como objetivo comunicar as melhores práticas clínicas para a identificação e o gerenciamento de todos os estágios da doença renal crônica (AJKD, 2024). Segundo a KDOQI, para o adulto com DRC em estágios de 3 a 5 e que tem diabetes, é recomendada uma ingestão protéica de 0,6 - 0,8 g /kg de seu peso corporal diariamente, visando manter um estado nutricional adequado e reduzir os prejuízos apresentados diante de um maior consumo de proteínas. A recomendação e supervisão devem ser realizadas sob supervisão e análise clínica (KDOQI, 2024).</w:t>
      </w:r>
    </w:p>
    <w:p w:rsidR="00000000" w:rsidDel="00000000" w:rsidP="00000000" w:rsidRDefault="00000000" w:rsidRPr="00000000" w14:paraId="00000063">
      <w:pPr>
        <w:widowControl w:val="0"/>
        <w:pBdr>
          <w:top w:color="d9d9e3" w:space="0" w:sz="0" w:val="none"/>
          <w:left w:color="d9d9e3" w:space="0" w:sz="0" w:val="none"/>
          <w:bottom w:color="d9d9e3" w:space="0" w:sz="0" w:val="none"/>
          <w:right w:color="d9d9e3" w:space="0" w:sz="0" w:val="none"/>
          <w:between w:color="d9d9e3" w:space="0" w:sz="0" w:val="none"/>
        </w:pBd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Um grande desafio no controle da ingestão proteica em pacientes com DRD é a dificuldade no adequado fracionamento das refeições. Essa limitação frequentemente culmina em ingestões proteicas excessivas ou insuficientes, o que contribui para a progressão da doença e agravamento de de seus desfechos secundários (Chan &amp; Chan, 2021).</w:t>
      </w:r>
    </w:p>
    <w:p w:rsidR="00000000" w:rsidDel="00000000" w:rsidP="00000000" w:rsidRDefault="00000000" w:rsidRPr="00000000" w14:paraId="00000064">
      <w:pPr>
        <w:widowControl w:val="0"/>
        <w:pBdr>
          <w:top w:color="d9d9e3" w:space="0" w:sz="0" w:val="none"/>
          <w:left w:color="d9d9e3" w:space="0" w:sz="0" w:val="none"/>
          <w:bottom w:color="d9d9e3" w:space="0" w:sz="0" w:val="none"/>
          <w:right w:color="d9d9e3" w:space="0" w:sz="0" w:val="none"/>
          <w:between w:color="d9d9e3" w:space="0" w:sz="0" w:val="none"/>
        </w:pBd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democratização no acesso de aparelhos tecnológicos como tablets e smartphones, acompanhado do acesso à rede de internet, estabeleceu as mídias sociais como plataformas acessíveis e economicamente viáveis para a prática de educação em saúde (David et al., 2018). Há evidências não só dos benefícios, como também da efetividade da aplicação de terapias digitais como intervenção no cuidado de diabetes, mostrando que o uso das mídias sociais como ferramenta deve ser considerado a fim de enriquecer a intervenção (Hallberg et al., 2018).</w:t>
      </w:r>
    </w:p>
    <w:p w:rsidR="00000000" w:rsidDel="00000000" w:rsidP="00000000" w:rsidRDefault="00000000" w:rsidRPr="00000000" w14:paraId="00000065">
      <w:pPr>
        <w:widowControl w:val="0"/>
        <w:pBdr>
          <w:top w:color="d9d9e3" w:space="0" w:sz="0" w:val="none"/>
          <w:left w:color="d9d9e3" w:space="0" w:sz="0" w:val="none"/>
          <w:bottom w:color="d9d9e3" w:space="0" w:sz="0" w:val="none"/>
          <w:right w:color="d9d9e3" w:space="0" w:sz="0" w:val="none"/>
          <w:between w:color="d9d9e3" w:space="0" w:sz="0" w:val="none"/>
        </w:pBd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Nesta perspectiva, o presente estudo tem como objetivo avaliar o efeito de um programa de educação alimentar interativa por meio de uma plataforma de mensagens instantâneas, com ênfase na ingestão de proteínas sobre parâmetros clínicos e nutricionais de pacientes com DRD em estado conservador.</w:t>
      </w:r>
    </w:p>
    <w:p w:rsidR="00000000" w:rsidDel="00000000" w:rsidP="00000000" w:rsidRDefault="00000000" w:rsidRPr="00000000" w14:paraId="00000066">
      <w:pPr>
        <w:widowControl w:val="0"/>
        <w:pBdr>
          <w:top w:color="d9d9e3" w:space="0" w:sz="0" w:val="none"/>
          <w:left w:color="d9d9e3" w:space="0" w:sz="0" w:val="none"/>
          <w:bottom w:color="d9d9e3" w:space="0" w:sz="0" w:val="none"/>
          <w:right w:color="d9d9e3" w:space="0" w:sz="0" w:val="none"/>
          <w:between w:color="d9d9e3" w:space="0" w:sz="0" w:val="none"/>
        </w:pBdr>
        <w:spacing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7">
      <w:pPr>
        <w:pStyle w:val="Heading2"/>
        <w:spacing w:line="360" w:lineRule="auto"/>
        <w:rPr/>
      </w:pPr>
      <w:bookmarkStart w:colFirst="0" w:colLast="0" w:name="_heading=h.z0nb6zfpxegn" w:id="2"/>
      <w:bookmarkEnd w:id="2"/>
      <w:r w:rsidDel="00000000" w:rsidR="00000000" w:rsidRPr="00000000">
        <w:rPr>
          <w:rtl w:val="0"/>
        </w:rPr>
        <w:t xml:space="preserve">1.2. Problema</w:t>
      </w:r>
    </w:p>
    <w:p w:rsidR="00000000" w:rsidDel="00000000" w:rsidP="00000000" w:rsidRDefault="00000000" w:rsidRPr="00000000" w14:paraId="00000068">
      <w:pPr>
        <w:spacing w:line="360" w:lineRule="auto"/>
        <w:ind w:firstLine="720"/>
        <w:jc w:val="both"/>
        <w:rPr/>
      </w:pPr>
      <w:r w:rsidDel="00000000" w:rsidR="00000000" w:rsidRPr="00000000">
        <w:rPr>
          <w:rFonts w:ascii="Times New Roman" w:cs="Times New Roman" w:eastAsia="Times New Roman" w:hAnsi="Times New Roman"/>
          <w:sz w:val="24"/>
          <w:szCs w:val="24"/>
          <w:rtl w:val="0"/>
        </w:rPr>
        <w:t xml:space="preserve">A educação alimentar e nutricional interativa melhora o controle da ingestão de proteínas em pacientes diabéticos renais crônicos?</w:t>
      </w:r>
      <w:r w:rsidDel="00000000" w:rsidR="00000000" w:rsidRPr="00000000">
        <w:rPr>
          <w:rtl w:val="0"/>
        </w:rPr>
      </w:r>
    </w:p>
    <w:p w:rsidR="00000000" w:rsidDel="00000000" w:rsidP="00000000" w:rsidRDefault="00000000" w:rsidRPr="00000000" w14:paraId="00000069">
      <w:pPr>
        <w:spacing w:line="360" w:lineRule="auto"/>
        <w:ind w:firstLine="720"/>
        <w:jc w:val="both"/>
        <w:rPr/>
      </w:pPr>
      <w:r w:rsidDel="00000000" w:rsidR="00000000" w:rsidRPr="00000000">
        <w:rPr>
          <w:rtl w:val="0"/>
        </w:rPr>
      </w:r>
    </w:p>
    <w:p w:rsidR="00000000" w:rsidDel="00000000" w:rsidP="00000000" w:rsidRDefault="00000000" w:rsidRPr="00000000" w14:paraId="0000006A">
      <w:pPr>
        <w:pStyle w:val="Heading2"/>
        <w:spacing w:line="360" w:lineRule="auto"/>
        <w:rPr/>
      </w:pPr>
      <w:bookmarkStart w:colFirst="0" w:colLast="0" w:name="_heading=h.c9dmf0596qsa" w:id="3"/>
      <w:bookmarkEnd w:id="3"/>
      <w:r w:rsidDel="00000000" w:rsidR="00000000" w:rsidRPr="00000000">
        <w:rPr>
          <w:rtl w:val="0"/>
        </w:rPr>
        <w:t xml:space="preserve">1.3. Hipótese</w:t>
      </w:r>
    </w:p>
    <w:p w:rsidR="00000000" w:rsidDel="00000000" w:rsidP="00000000" w:rsidRDefault="00000000" w:rsidRPr="00000000" w14:paraId="0000006B">
      <w:pPr>
        <w:widowControl w:val="0"/>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 processo de educação nutricional é amplamente reconhecido na literatura como uma estratégia eficaz para melhorar a adesão à dieta. Nesse contexto, a nutrição interativa surge como um recurso valioso que facilita a continuidade do cuidado, especialmente em condições crônicas. </w:t>
      </w:r>
    </w:p>
    <w:p w:rsidR="00000000" w:rsidDel="00000000" w:rsidP="00000000" w:rsidRDefault="00000000" w:rsidRPr="00000000" w14:paraId="0000006C">
      <w:pPr>
        <w:widowControl w:val="0"/>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realização de atividades de educação alimentar e nutricional de forma interativa auxilia no controle da ingestão de proteínas nos pacientes com doença renal diabética. Dessa forma, espera-se contribuir para a desaceleração do avanço da doença.</w:t>
      </w:r>
    </w:p>
    <w:p w:rsidR="00000000" w:rsidDel="00000000" w:rsidP="00000000" w:rsidRDefault="00000000" w:rsidRPr="00000000" w14:paraId="0000006D">
      <w:pPr>
        <w:widowControl w:val="0"/>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E">
      <w:pPr>
        <w:pStyle w:val="Heading2"/>
        <w:spacing w:line="360" w:lineRule="auto"/>
        <w:rPr/>
      </w:pPr>
      <w:bookmarkStart w:colFirst="0" w:colLast="0" w:name="_heading=h.82ttoslon1ol" w:id="4"/>
      <w:bookmarkEnd w:id="4"/>
      <w:r w:rsidDel="00000000" w:rsidR="00000000" w:rsidRPr="00000000">
        <w:rPr>
          <w:rtl w:val="0"/>
        </w:rPr>
        <w:t xml:space="preserve">1.4. Justificativa</w:t>
      </w:r>
    </w:p>
    <w:p w:rsidR="00000000" w:rsidDel="00000000" w:rsidP="00000000" w:rsidRDefault="00000000" w:rsidRPr="00000000" w14:paraId="0000006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alimentação adequada, fortalecida pelas ações de educação alimentar e nutricional, desempenha um papel importante na prevenção e manejo das doenças crônicas não transmissíveis (DCNT), em especial, na diabetes e insuficiência renal. Estudos demonstram que pacientes bem orientados são mais propensos em seguir recomendações alimentares e por consequência, obtendo melhores desfechos clínicos.</w:t>
      </w:r>
    </w:p>
    <w:p w:rsidR="00000000" w:rsidDel="00000000" w:rsidP="00000000" w:rsidRDefault="00000000" w:rsidRPr="00000000" w14:paraId="0000007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avanço das mídias sociais tem impulsionado novas estratégias para promover ações de educação alimentar e nutricional. Nesse cenário, a nutrição interativa se destaca como uma abordagem inovadora para enriquecer o aprendizado e envolver os pacientes. Ferramentas digitais, como bots — programas projetados para realizar tarefas automatizadas —, oferecem maior acessibilidade e praticidade na disseminação de informações.</w:t>
      </w:r>
    </w:p>
    <w:p w:rsidR="00000000" w:rsidDel="00000000" w:rsidP="00000000" w:rsidRDefault="00000000" w:rsidRPr="00000000" w14:paraId="0000007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incorporar essas ferramentas ao processo de educação alimentar e nutricional, o presente estudo busca facilitar a compreensão dos pacientes sobre a ingestão proteica adequada e promover o uso de novas tecnologias no âmbito do Sistema Único de Saúde (SUS). Dessa forma, pretende-se contribuir de maneira significativa para a melhoria da qualidade de vida desses pacientes.</w:t>
      </w:r>
    </w:p>
    <w:p w:rsidR="00000000" w:rsidDel="00000000" w:rsidP="00000000" w:rsidRDefault="00000000" w:rsidRPr="00000000" w14:paraId="00000072">
      <w:pPr>
        <w:spacing w:line="360" w:lineRule="auto"/>
        <w:rPr/>
      </w:pPr>
      <w:r w:rsidDel="00000000" w:rsidR="00000000" w:rsidRPr="00000000">
        <w:rPr>
          <w:rtl w:val="0"/>
        </w:rPr>
      </w:r>
    </w:p>
    <w:p w:rsidR="00000000" w:rsidDel="00000000" w:rsidP="00000000" w:rsidRDefault="00000000" w:rsidRPr="00000000" w14:paraId="00000073">
      <w:pPr>
        <w:pStyle w:val="Heading2"/>
        <w:spacing w:line="360" w:lineRule="auto"/>
        <w:rPr/>
      </w:pPr>
      <w:bookmarkStart w:colFirst="0" w:colLast="0" w:name="_heading=h.3n5l60eqeczd" w:id="5"/>
      <w:bookmarkEnd w:id="5"/>
      <w:r w:rsidDel="00000000" w:rsidR="00000000" w:rsidRPr="00000000">
        <w:rPr>
          <w:rtl w:val="0"/>
        </w:rPr>
        <w:t xml:space="preserve">1.5. Objetivos</w:t>
      </w:r>
    </w:p>
    <w:p w:rsidR="00000000" w:rsidDel="00000000" w:rsidP="00000000" w:rsidRDefault="00000000" w:rsidRPr="00000000" w14:paraId="00000074">
      <w:pPr>
        <w:pStyle w:val="Heading3"/>
        <w:spacing w:line="360" w:lineRule="auto"/>
        <w:ind w:left="720" w:firstLine="720"/>
        <w:rPr/>
      </w:pPr>
      <w:bookmarkStart w:colFirst="0" w:colLast="0" w:name="_heading=h.t57qxv5owruu" w:id="6"/>
      <w:bookmarkEnd w:id="6"/>
      <w:r w:rsidDel="00000000" w:rsidR="00000000" w:rsidRPr="00000000">
        <w:rPr>
          <w:rtl w:val="0"/>
        </w:rPr>
        <w:t xml:space="preserve">1.5.1. Objetivo geral:</w:t>
      </w:r>
    </w:p>
    <w:p w:rsidR="00000000" w:rsidDel="00000000" w:rsidP="00000000" w:rsidRDefault="00000000" w:rsidRPr="00000000" w14:paraId="00000075">
      <w:pPr>
        <w:widowControl w:val="0"/>
        <w:spacing w:line="360" w:lineRule="auto"/>
        <w:ind w:left="566" w:firstLine="154"/>
        <w:jc w:val="both"/>
        <w:rPr>
          <w:rFonts w:ascii="Times New Roman" w:cs="Times New Roman" w:eastAsia="Times New Roman" w:hAnsi="Times New Roman"/>
          <w:color w:val="0d0d0d"/>
          <w:sz w:val="24"/>
          <w:szCs w:val="24"/>
          <w:highlight w:val="white"/>
        </w:rPr>
      </w:pPr>
      <w:r w:rsidDel="00000000" w:rsidR="00000000" w:rsidRPr="00000000">
        <w:rPr>
          <w:rFonts w:ascii="Times New Roman" w:cs="Times New Roman" w:eastAsia="Times New Roman" w:hAnsi="Times New Roman"/>
          <w:color w:val="0d0d0d"/>
          <w:sz w:val="24"/>
          <w:szCs w:val="24"/>
          <w:highlight w:val="white"/>
          <w:rtl w:val="0"/>
        </w:rPr>
        <w:t xml:space="preserve">Avaliar o efeito de um programa de educação alimentar interativa com ênfase na ingestão de proteínas sobre parâmetros clínicos e nutricionais de pacientes com doença renal diabética em tratamento conservador.</w:t>
      </w:r>
    </w:p>
    <w:p w:rsidR="00000000" w:rsidDel="00000000" w:rsidP="00000000" w:rsidRDefault="00000000" w:rsidRPr="00000000" w14:paraId="00000076">
      <w:pPr>
        <w:widowControl w:val="0"/>
        <w:spacing w:line="360" w:lineRule="auto"/>
        <w:ind w:left="566" w:firstLine="154"/>
        <w:jc w:val="both"/>
        <w:rPr>
          <w:rFonts w:ascii="Times New Roman" w:cs="Times New Roman" w:eastAsia="Times New Roman" w:hAnsi="Times New Roman"/>
          <w:color w:val="0d0d0d"/>
          <w:sz w:val="24"/>
          <w:szCs w:val="24"/>
          <w:highlight w:val="white"/>
        </w:rPr>
      </w:pPr>
      <w:r w:rsidDel="00000000" w:rsidR="00000000" w:rsidRPr="00000000">
        <w:rPr>
          <w:rtl w:val="0"/>
        </w:rPr>
      </w:r>
    </w:p>
    <w:p w:rsidR="00000000" w:rsidDel="00000000" w:rsidP="00000000" w:rsidRDefault="00000000" w:rsidRPr="00000000" w14:paraId="00000077">
      <w:pPr>
        <w:pStyle w:val="Heading3"/>
        <w:spacing w:line="360" w:lineRule="auto"/>
        <w:ind w:left="720" w:firstLine="720"/>
        <w:rPr/>
      </w:pPr>
      <w:bookmarkStart w:colFirst="0" w:colLast="0" w:name="_heading=h.7anxko5lidsk" w:id="7"/>
      <w:bookmarkEnd w:id="7"/>
      <w:r w:rsidDel="00000000" w:rsidR="00000000" w:rsidRPr="00000000">
        <w:rPr>
          <w:rtl w:val="0"/>
        </w:rPr>
        <w:t xml:space="preserve">1.5.1. Objetivos específicos:</w:t>
      </w:r>
    </w:p>
    <w:p w:rsidR="00000000" w:rsidDel="00000000" w:rsidP="00000000" w:rsidRDefault="00000000" w:rsidRPr="00000000" w14:paraId="00000078">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Caracterizar o perfil clínico e sociodemográfico da população estudada;</w:t>
      </w:r>
    </w:p>
    <w:p w:rsidR="00000000" w:rsidDel="00000000" w:rsidP="00000000" w:rsidRDefault="00000000" w:rsidRPr="00000000" w14:paraId="00000079">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Avaliar a ingestão de proteína por quilograma de peso corporal antes e após a intervenção entre os grupos estudados;</w:t>
      </w:r>
    </w:p>
    <w:p w:rsidR="00000000" w:rsidDel="00000000" w:rsidP="00000000" w:rsidRDefault="00000000" w:rsidRPr="00000000" w14:paraId="0000007A">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Avaliação a taxa de filtração glomerular estimada entre os grupos estudados;</w:t>
      </w:r>
    </w:p>
    <w:p w:rsidR="00000000" w:rsidDel="00000000" w:rsidP="00000000" w:rsidRDefault="00000000" w:rsidRPr="00000000" w14:paraId="0000007B">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Avaliar os valores séricos de creatinina e uréia, glicemia de jejum e hemoglobina glicada, insulinemia, albuminúria e razão albumina creatinina antes e após a intervenção entre os grupos estudados;</w:t>
      </w:r>
    </w:p>
    <w:p w:rsidR="00000000" w:rsidDel="00000000" w:rsidP="00000000" w:rsidRDefault="00000000" w:rsidRPr="00000000" w14:paraId="0000007C">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Desenvolver uma escala de compreensão das ações de educação alimentar e nutricional;</w:t>
      </w:r>
      <w:r w:rsidDel="00000000" w:rsidR="00000000" w:rsidRPr="00000000">
        <w:rPr>
          <w:rtl w:val="0"/>
        </w:rPr>
      </w:r>
    </w:p>
    <w:p w:rsidR="00000000" w:rsidDel="00000000" w:rsidP="00000000" w:rsidRDefault="00000000" w:rsidRPr="00000000" w14:paraId="0000007D">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Avaliar a compreensão dos participantes do grupo intervenção quanto à ingestão de proteínas;</w:t>
      </w:r>
    </w:p>
    <w:p w:rsidR="00000000" w:rsidDel="00000000" w:rsidP="00000000" w:rsidRDefault="00000000" w:rsidRPr="00000000" w14:paraId="0000007E">
      <w:pPr>
        <w:widowControl w:val="0"/>
        <w:numPr>
          <w:ilvl w:val="0"/>
          <w:numId w:val="1"/>
        </w:numPr>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Avaliar a antropometria, composição corporal e funcionalidade muscular antes e após a intervenção entre os grupos estudados.</w:t>
      </w:r>
    </w:p>
    <w:p w:rsidR="00000000" w:rsidDel="00000000" w:rsidP="00000000" w:rsidRDefault="00000000" w:rsidRPr="00000000" w14:paraId="0000007F">
      <w:pPr>
        <w:widowControl w:val="0"/>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1821"/>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pStyle w:val="Heading1"/>
        <w:numPr>
          <w:ilvl w:val="0"/>
          <w:numId w:val="2"/>
        </w:numPr>
        <w:spacing w:line="360" w:lineRule="auto"/>
        <w:ind w:left="720" w:hanging="360"/>
        <w:rPr>
          <w:rFonts w:ascii="Times New Roman" w:cs="Times New Roman" w:eastAsia="Times New Roman" w:hAnsi="Times New Roman"/>
          <w:b w:val="1"/>
          <w:sz w:val="24"/>
          <w:szCs w:val="24"/>
        </w:rPr>
      </w:pPr>
      <w:bookmarkStart w:colFirst="0" w:colLast="0" w:name="_heading=h.12oiqwt4ul3d" w:id="8"/>
      <w:bookmarkEnd w:id="8"/>
      <w:r w:rsidDel="00000000" w:rsidR="00000000" w:rsidRPr="00000000">
        <w:rPr>
          <w:rtl w:val="0"/>
        </w:rPr>
        <w:t xml:space="preserve">REVISÃO DE LITERATURA</w:t>
      </w:r>
      <w:r w:rsidDel="00000000" w:rsidR="00000000" w:rsidRPr="00000000">
        <w:rPr>
          <w:rtl w:val="0"/>
        </w:rPr>
      </w:r>
    </w:p>
    <w:p w:rsidR="00000000" w:rsidDel="00000000" w:rsidP="00000000" w:rsidRDefault="00000000" w:rsidRPr="00000000" w14:paraId="00000081">
      <w:pPr>
        <w:pStyle w:val="Heading2"/>
        <w:spacing w:line="360" w:lineRule="auto"/>
        <w:ind w:left="720" w:firstLine="0"/>
        <w:rPr/>
      </w:pPr>
      <w:bookmarkStart w:colFirst="0" w:colLast="0" w:name="_heading=h.a2w549i333j8" w:id="9"/>
      <w:bookmarkEnd w:id="9"/>
      <w:r w:rsidDel="00000000" w:rsidR="00000000" w:rsidRPr="00000000">
        <w:rPr>
          <w:rtl w:val="0"/>
        </w:rPr>
        <w:t xml:space="preserve">2.1. A epidemiologia da doença renal diabética</w:t>
      </w:r>
    </w:p>
    <w:p w:rsidR="00000000" w:rsidDel="00000000" w:rsidP="00000000" w:rsidRDefault="00000000" w:rsidRPr="00000000" w14:paraId="00000082">
      <w:pPr>
        <w:spacing w:line="360" w:lineRule="auto"/>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A Doença Renal Diabética (DRD) é vista como um problema de saúde global e significativo, em especial, nas populações com altas taxas de diabetes (Claudel et al., 2023). Atualmente, aproximadamente 20 a 50% dos pacientes com DM2 desenvolvem alterações na função renal, sendo a principal causa da DRC em todo o mundo (Hoogeveen, 2022).</w:t>
      </w:r>
    </w:p>
    <w:p w:rsidR="00000000" w:rsidDel="00000000" w:rsidP="00000000" w:rsidRDefault="00000000" w:rsidRPr="00000000" w14:paraId="00000083">
      <w:pPr>
        <w:spacing w:line="360" w:lineRule="auto"/>
        <w:ind w:firstLine="720"/>
        <w:jc w:val="both"/>
        <w:rPr/>
      </w:pPr>
      <w:r w:rsidDel="00000000" w:rsidR="00000000" w:rsidRPr="00000000">
        <w:rPr>
          <w:rFonts w:ascii="Times New Roman" w:cs="Times New Roman" w:eastAsia="Times New Roman" w:hAnsi="Times New Roman"/>
          <w:sz w:val="24"/>
          <w:szCs w:val="24"/>
          <w:rtl w:val="0"/>
        </w:rPr>
        <w:t xml:space="preserve">A carga de DRC proveniente do diagnóstico de DM2 encontra-se em crescente ascensão em regiões com índices sociodemográficos baixos, em especial, entre homens que encontram-se em senescência (Ding et al., 2024). Estima-se que mais de 50% dos pacientes com DRD progridem para TFG &lt; 15 ml/min/1,73m nos primeiros cinco anos após o diagnóstico (Kim et al., 2024).</w:t>
      </w:r>
      <w:r w:rsidDel="00000000" w:rsidR="00000000" w:rsidRPr="00000000">
        <w:rPr>
          <w:rtl w:val="0"/>
        </w:rPr>
      </w:r>
    </w:p>
    <w:p w:rsidR="00000000" w:rsidDel="00000000" w:rsidP="00000000" w:rsidRDefault="00000000" w:rsidRPr="00000000" w14:paraId="00000084">
      <w:pPr>
        <w:spacing w:line="360" w:lineRule="auto"/>
        <w:rPr/>
      </w:pPr>
      <w:r w:rsidDel="00000000" w:rsidR="00000000" w:rsidRPr="00000000">
        <w:rPr>
          <w:rtl w:val="0"/>
        </w:rPr>
      </w:r>
    </w:p>
    <w:p w:rsidR="00000000" w:rsidDel="00000000" w:rsidP="00000000" w:rsidRDefault="00000000" w:rsidRPr="00000000" w14:paraId="00000085">
      <w:pPr>
        <w:pStyle w:val="Heading2"/>
        <w:spacing w:line="360" w:lineRule="auto"/>
        <w:rPr/>
      </w:pPr>
      <w:bookmarkStart w:colFirst="0" w:colLast="0" w:name="_heading=h.7estu9ai1gbv" w:id="10"/>
      <w:bookmarkEnd w:id="10"/>
      <w:r w:rsidDel="00000000" w:rsidR="00000000" w:rsidRPr="00000000">
        <w:rPr>
          <w:rtl w:val="0"/>
        </w:rPr>
        <w:t xml:space="preserve">2.2. O consumo de proteína na disfunção renal</w:t>
      </w:r>
    </w:p>
    <w:p w:rsidR="00000000" w:rsidDel="00000000" w:rsidP="00000000" w:rsidRDefault="00000000" w:rsidRPr="00000000" w14:paraId="00000086">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as alterações metabólicas da Doença Renal Diabética (DRD), uma dieta com maior teor de proteínas tem se mostrado eficaz no controle glicêmico, contribuindo para a redução dos níveis de glicose pós-prandial e a melhora da sensibilidade à insulina, resultado da secreção de hormônios incretínicos. Essa estratégia também desempenha um papel importante no controle do peso e na manutenção da massa magra (Ekberg et al., 2024; Campbell &amp; Rains, 2014).</w:t>
      </w:r>
    </w:p>
    <w:p w:rsidR="00000000" w:rsidDel="00000000" w:rsidP="00000000" w:rsidRDefault="00000000" w:rsidRPr="00000000" w14:paraId="00000087">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no contexto da dieta hipoproteica para pacientes com Doença Renal Crônica (DRC), a Kidney Disease Outcomes Quality Initiative (KDOQI) orienta sobre as melhores práticas para o manejo e diagnóstico de todos os estágios da doença (AJKD, 2024). Para adultos com DRC em estágios 3 a 5 que também apresentam diabetes, a KDOQI recomenda uma ingestão proteica diária entre 0,6 e 0,8 g/kg de peso corporal, visando preservar o estado nutricional e mitigar os efeitos adversos relacionados ao consumo elevado de proteínas. Essas recomendações devem ser seguidas sob avaliação e acompanhamento clínico adequado (KDOQI, 2024).</w:t>
      </w:r>
    </w:p>
    <w:p w:rsidR="00000000" w:rsidDel="00000000" w:rsidP="00000000" w:rsidRDefault="00000000" w:rsidRPr="00000000" w14:paraId="00000088">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ingestão de proteínas em pacientes com DRD ainda representa uma lacuna na literatura científica (Koppe et al., 2013). Por um lado, destacam-se os efeitos positivos do consumo proteico na secreção de insulina, na saciedade alimentar e na prevenção da perda muscular (Beaudry &amp; Devries, 2019). Por outro lado, aponta-se o risco de dano renal associado ao consumo excessivo de proteínas (SBD, 2022). Além disso, há uma dificuldade na orientação durante o cuidado nutricional, seja pelo receio de consumir alimentos proteicos e piorar a função renal, seja pelo consumo excessivo devido à falta de entendimento das orientações dietéticas, observando-se uma tendência à piora dos desfechos clínicos  (Pérez &amp; Kendrick, 2022).</w:t>
      </w:r>
    </w:p>
    <w:p w:rsidR="00000000" w:rsidDel="00000000" w:rsidP="00000000" w:rsidRDefault="00000000" w:rsidRPr="00000000" w14:paraId="00000089">
      <w:pPr>
        <w:pStyle w:val="Heading2"/>
        <w:spacing w:line="360" w:lineRule="auto"/>
        <w:ind w:left="720" w:firstLine="0"/>
        <w:rPr/>
      </w:pPr>
      <w:bookmarkStart w:colFirst="0" w:colLast="0" w:name="_heading=h.p7tjij1behk" w:id="11"/>
      <w:bookmarkEnd w:id="11"/>
      <w:r w:rsidDel="00000000" w:rsidR="00000000" w:rsidRPr="00000000">
        <w:rPr>
          <w:rtl w:val="0"/>
        </w:rPr>
        <w:t xml:space="preserve">2.2. O uso de mídias sociais na promoção da saúde</w:t>
      </w:r>
    </w:p>
    <w:p w:rsidR="00000000" w:rsidDel="00000000" w:rsidP="00000000" w:rsidRDefault="00000000" w:rsidRPr="00000000" w14:paraId="0000008A">
      <w:pPr>
        <w:widowControl w:val="0"/>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699.2125984251969"/>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redes sociais online podem ser entendidas como espaços digitais que permitem reunir perfis de indivíduos com base em afinidades, ideias, objetivos comuns e outras semelhanças (Kress, 2003). Castells (1999) destacou a influência positiva da internet na comunicação humana, enxergando-a como uma ferramenta para fortalecer vínculos sociais, estimular o pensamento crítico e promover uma constante troca de informações.</w:t>
      </w:r>
    </w:p>
    <w:p w:rsidR="00000000" w:rsidDel="00000000" w:rsidP="00000000" w:rsidRDefault="00000000" w:rsidRPr="00000000" w14:paraId="0000008B">
      <w:pPr>
        <w:widowControl w:val="0"/>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699.2125984251969"/>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benefícios das redes sociais como ferramenta para comunicação em saúde e educação continuada se mostram promissores, tanto para os usuários dos serviços quanto para os profissionais da área (Moorhead et al., 2013). A formação de comunidades online voltadas à educação alimentar e nutricional tem potencial para melhorar os desfechos clínicos relacionados a diversas patologias. No entanto, ainda é necessário um maior incentivo a esse tipo de iniciativa no âmbito da saúde (Morse &amp; Brown, 2022).</w:t>
      </w:r>
    </w:p>
    <w:p w:rsidR="00000000" w:rsidDel="00000000" w:rsidP="00000000" w:rsidRDefault="00000000" w:rsidRPr="00000000" w14:paraId="0000008C">
      <w:pPr>
        <w:widowControl w:val="0"/>
        <w:pBdr>
          <w:top w:color="d9d9e3" w:space="0" w:sz="0" w:val="none"/>
          <w:left w:color="d9d9e3" w:space="0" w:sz="0" w:val="none"/>
          <w:bottom w:color="d9d9e3" w:space="0" w:sz="0" w:val="none"/>
          <w:right w:color="d9d9e3" w:space="0" w:sz="0" w:val="none"/>
          <w:between w:color="d9d9e3" w:space="0" w:sz="0" w:val="none"/>
        </w:pBdr>
        <w:tabs>
          <w:tab w:val="left" w:leader="none" w:pos="1820"/>
          <w:tab w:val="left" w:leader="none" w:pos="699.2125984251969"/>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pStyle w:val="Heading1"/>
        <w:numPr>
          <w:ilvl w:val="0"/>
          <w:numId w:val="2"/>
        </w:numPr>
        <w:spacing w:line="360" w:lineRule="auto"/>
        <w:ind w:left="720" w:hanging="360"/>
        <w:rPr>
          <w:rFonts w:ascii="Times New Roman" w:cs="Times New Roman" w:eastAsia="Times New Roman" w:hAnsi="Times New Roman"/>
          <w:b w:val="1"/>
          <w:sz w:val="24"/>
          <w:szCs w:val="24"/>
        </w:rPr>
      </w:pPr>
      <w:bookmarkStart w:colFirst="0" w:colLast="0" w:name="_heading=h.bv1q6th8u7ah" w:id="12"/>
      <w:bookmarkEnd w:id="12"/>
      <w:r w:rsidDel="00000000" w:rsidR="00000000" w:rsidRPr="00000000">
        <w:rPr>
          <w:rtl w:val="0"/>
        </w:rPr>
        <w:t xml:space="preserve">METODOLOGIA</w:t>
      </w:r>
      <w:r w:rsidDel="00000000" w:rsidR="00000000" w:rsidRPr="00000000">
        <w:rPr>
          <w:rtl w:val="0"/>
        </w:rPr>
      </w:r>
    </w:p>
    <w:p w:rsidR="00000000" w:rsidDel="00000000" w:rsidP="00000000" w:rsidRDefault="00000000" w:rsidRPr="00000000" w14:paraId="0000008E">
      <w:pPr>
        <w:pStyle w:val="Heading2"/>
        <w:spacing w:line="360" w:lineRule="auto"/>
        <w:rPr/>
      </w:pPr>
      <w:bookmarkStart w:colFirst="0" w:colLast="0" w:name="_heading=h.sduav65xjf8q" w:id="13"/>
      <w:bookmarkEnd w:id="13"/>
      <w:r w:rsidDel="00000000" w:rsidR="00000000" w:rsidRPr="00000000">
        <w:rPr>
          <w:rtl w:val="0"/>
        </w:rPr>
        <w:t xml:space="preserve">3.1. Tipo do estudo</w:t>
      </w:r>
    </w:p>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Trata-se de um ensaio clínico randomizado, do tipo simples cego, com acompanhamento simultâneo dos grupos controle e intervenção.</w:t>
      </w:r>
    </w:p>
    <w:p w:rsidR="00000000" w:rsidDel="00000000" w:rsidP="00000000" w:rsidRDefault="00000000" w:rsidRPr="00000000" w14:paraId="00000090">
      <w:pPr>
        <w:pStyle w:val="Heading2"/>
        <w:spacing w:line="360" w:lineRule="auto"/>
        <w:jc w:val="both"/>
        <w:rPr/>
      </w:pPr>
      <w:bookmarkStart w:colFirst="0" w:colLast="0" w:name="_heading=h.qyl91also6y7" w:id="14"/>
      <w:bookmarkEnd w:id="14"/>
      <w:r w:rsidDel="00000000" w:rsidR="00000000" w:rsidRPr="00000000">
        <w:rPr>
          <w:rtl w:val="0"/>
        </w:rPr>
        <w:t xml:space="preserve">3.2. Público alvo</w:t>
      </w:r>
    </w:p>
    <w:p w:rsidR="00000000" w:rsidDel="00000000" w:rsidP="00000000" w:rsidRDefault="00000000" w:rsidRPr="00000000" w14:paraId="00000091">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Adultos de ambos os sexos, com idade igual ou maior que 18 anos, com diagnóstico de Doença Renal Diabética (DRD) acompanhados pelo Centro Integrado de Nefrologia (CIN) do Hospital Universitário Professor Alberto Antunes (HUPAA).</w:t>
      </w:r>
    </w:p>
    <w:p w:rsidR="00000000" w:rsidDel="00000000" w:rsidP="00000000" w:rsidRDefault="00000000" w:rsidRPr="00000000" w14:paraId="00000092">
      <w:pPr>
        <w:pStyle w:val="Heading2"/>
        <w:spacing w:line="360" w:lineRule="auto"/>
        <w:rPr>
          <w:rFonts w:ascii="Times New Roman" w:cs="Times New Roman" w:eastAsia="Times New Roman" w:hAnsi="Times New Roman"/>
          <w:sz w:val="24"/>
          <w:szCs w:val="24"/>
        </w:rPr>
      </w:pPr>
      <w:bookmarkStart w:colFirst="0" w:colLast="0" w:name="_heading=h.1zufexwuk29q" w:id="15"/>
      <w:bookmarkEnd w:id="15"/>
      <w:r w:rsidDel="00000000" w:rsidR="00000000" w:rsidRPr="00000000">
        <w:rPr>
          <w:rtl w:val="0"/>
        </w:rPr>
        <w:t xml:space="preserve">3.3. Local do estudo</w:t>
      </w:r>
      <w:r w:rsidDel="00000000" w:rsidR="00000000" w:rsidRPr="00000000">
        <w:rPr>
          <w:rtl w:val="0"/>
        </w:rPr>
      </w:r>
    </w:p>
    <w:p w:rsidR="00000000" w:rsidDel="00000000" w:rsidP="00000000" w:rsidRDefault="00000000" w:rsidRPr="00000000" w14:paraId="0000009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estudo será realizado na cidade de Maceió - AL, no período de junho de 2025 e fevereiro de 2026, após aprovação do Comitê de Ética. As atividades serão executadas no Centro Integrado de Nefrologia CIN), localizado no Hospital Universitário Professor Dr Alberto Antunes (Hupaa).</w:t>
      </w:r>
    </w:p>
    <w:p w:rsidR="00000000" w:rsidDel="00000000" w:rsidP="00000000" w:rsidRDefault="00000000" w:rsidRPr="00000000" w14:paraId="00000094">
      <w:pPr>
        <w:pStyle w:val="Heading2"/>
        <w:spacing w:line="360" w:lineRule="auto"/>
        <w:ind w:firstLine="720"/>
        <w:jc w:val="both"/>
        <w:rPr/>
      </w:pPr>
      <w:bookmarkStart w:colFirst="0" w:colLast="0" w:name="_heading=h.p2bu17at44te" w:id="16"/>
      <w:bookmarkEnd w:id="16"/>
      <w:r w:rsidDel="00000000" w:rsidR="00000000" w:rsidRPr="00000000">
        <w:rPr>
          <w:rtl w:val="0"/>
        </w:rPr>
        <w:t xml:space="preserve">3.4. Plano amostral e coleta de dados</w:t>
      </w:r>
    </w:p>
    <w:p w:rsidR="00000000" w:rsidDel="00000000" w:rsidP="00000000" w:rsidRDefault="00000000" w:rsidRPr="00000000" w14:paraId="00000095">
      <w:pPr>
        <w:pStyle w:val="Heading3"/>
        <w:spacing w:line="360" w:lineRule="auto"/>
        <w:rPr/>
      </w:pPr>
      <w:bookmarkStart w:colFirst="0" w:colLast="0" w:name="_heading=h.h6k0smpo8aai" w:id="17"/>
      <w:bookmarkEnd w:id="17"/>
      <w:r w:rsidDel="00000000" w:rsidR="00000000" w:rsidRPr="00000000">
        <w:rPr>
          <w:rtl w:val="0"/>
        </w:rPr>
        <w:tab/>
        <w:tab/>
        <w:t xml:space="preserve">3.4.1. Tamanho da amostra</w:t>
      </w:r>
    </w:p>
    <w:p w:rsidR="00000000" w:rsidDel="00000000" w:rsidP="00000000" w:rsidRDefault="00000000" w:rsidRPr="00000000" w14:paraId="00000096">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cálculo amostral foi realizado utilizando uma calculadora disponível online (Cálculo Amostral - Estatística), adequada para análise da diferença entre duas médias em grupos independentes. Foram considerados um desvio padrão de 0,5, um nível de significância (alfa) de 5% e um poder estatístico (beta) de 20%. O tamanho amostral resultante foi de 17 participantes por grupo. Para acomodar possíveis perdas, foi adicionada uma margem de 20%, totalizando 20 pacientes no grupo de intervenção e 20 pacientes no grupo de controle.</w:t>
      </w:r>
    </w:p>
    <w:p w:rsidR="00000000" w:rsidDel="00000000" w:rsidP="00000000" w:rsidRDefault="00000000" w:rsidRPr="00000000" w14:paraId="00000097">
      <w:pPr>
        <w:pStyle w:val="Heading3"/>
        <w:spacing w:after="240" w:before="240" w:line="360" w:lineRule="auto"/>
        <w:ind w:left="720" w:firstLine="720"/>
        <w:rPr/>
      </w:pPr>
      <w:bookmarkStart w:colFirst="0" w:colLast="0" w:name="_heading=h.k941u3tfplvu" w:id="18"/>
      <w:bookmarkEnd w:id="18"/>
      <w:r w:rsidDel="00000000" w:rsidR="00000000" w:rsidRPr="00000000">
        <w:rPr>
          <w:rtl w:val="0"/>
        </w:rPr>
        <w:t xml:space="preserve">3.4.2. Critérios de inclusão</w:t>
      </w:r>
    </w:p>
    <w:p w:rsidR="00000000" w:rsidDel="00000000" w:rsidP="00000000" w:rsidRDefault="00000000" w:rsidRPr="00000000" w14:paraId="00000098">
      <w:pPr>
        <w:widowControl w:val="0"/>
        <w:tabs>
          <w:tab w:val="left" w:leader="none" w:pos="1528"/>
        </w:tabs>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Ambos os sexos; (2) Idade igual ou maior que 18 anos; (3) Em acompanhamento pelo ambulatório de nutrição em nefrologia do HUPAA; (4) Diagnóstico de DRD em tratamento conservador (TFG&lt;60</w:t>
      </w:r>
      <w:r w:rsidDel="00000000" w:rsidR="00000000" w:rsidRPr="00000000">
        <w:rPr>
          <w:rFonts w:ascii="Times New Roman" w:cs="Times New Roman" w:eastAsia="Times New Roman" w:hAnsi="Times New Roman"/>
          <w:color w:val="212529"/>
          <w:sz w:val="24"/>
          <w:szCs w:val="24"/>
          <w:highlight w:val="white"/>
          <w:rtl w:val="0"/>
        </w:rPr>
        <w:t xml:space="preserve">mL/min/1.73m²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9">
      <w:pPr>
        <w:pStyle w:val="Heading3"/>
        <w:spacing w:after="240" w:before="240" w:line="360" w:lineRule="auto"/>
        <w:ind w:left="720" w:firstLine="720"/>
        <w:rPr/>
      </w:pPr>
      <w:bookmarkStart w:colFirst="0" w:colLast="0" w:name="_heading=h.r7dfzja6an6s" w:id="19"/>
      <w:bookmarkEnd w:id="19"/>
      <w:r w:rsidDel="00000000" w:rsidR="00000000" w:rsidRPr="00000000">
        <w:rPr>
          <w:rtl w:val="0"/>
        </w:rPr>
        <w:t xml:space="preserve">3.4.3. Critérios de exclusão</w:t>
      </w:r>
    </w:p>
    <w:p w:rsidR="00000000" w:rsidDel="00000000" w:rsidP="00000000" w:rsidRDefault="00000000" w:rsidRPr="00000000" w14:paraId="0000009A">
      <w:pPr>
        <w:widowControl w:val="0"/>
        <w:tabs>
          <w:tab w:val="left" w:leader="none" w:pos="1528"/>
        </w:tabs>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Em hemodiálise; (2) Diagnóstico de DRD em tratamento conservador (TFG&lt;15</w:t>
      </w:r>
      <w:r w:rsidDel="00000000" w:rsidR="00000000" w:rsidRPr="00000000">
        <w:rPr>
          <w:rFonts w:ascii="Times New Roman" w:cs="Times New Roman" w:eastAsia="Times New Roman" w:hAnsi="Times New Roman"/>
          <w:color w:val="212529"/>
          <w:sz w:val="24"/>
          <w:szCs w:val="24"/>
          <w:rtl w:val="0"/>
        </w:rPr>
        <w:t xml:space="preserve">mL/min/1.73m²</w:t>
      </w:r>
      <w:r w:rsidDel="00000000" w:rsidR="00000000" w:rsidRPr="00000000">
        <w:rPr>
          <w:rFonts w:ascii="Times New Roman" w:cs="Times New Roman" w:eastAsia="Times New Roman" w:hAnsi="Times New Roman"/>
          <w:sz w:val="24"/>
          <w:szCs w:val="24"/>
          <w:rtl w:val="0"/>
        </w:rPr>
        <w:t xml:space="preserve">); (3) Com diagnóstico de câncer; (4) Mulheres grávidas; (5) Prescrição dietética de proteína não definida no momento da triagem; (6) Pacientes portadores do vírus HIV.</w:t>
      </w:r>
    </w:p>
    <w:p w:rsidR="00000000" w:rsidDel="00000000" w:rsidP="00000000" w:rsidRDefault="00000000" w:rsidRPr="00000000" w14:paraId="0000009B">
      <w:pPr>
        <w:pStyle w:val="Heading2"/>
        <w:spacing w:line="360" w:lineRule="auto"/>
        <w:rPr/>
      </w:pPr>
      <w:bookmarkStart w:colFirst="0" w:colLast="0" w:name="_heading=h.ez6bixwh1v7a" w:id="20"/>
      <w:bookmarkEnd w:id="20"/>
      <w:r w:rsidDel="00000000" w:rsidR="00000000" w:rsidRPr="00000000">
        <w:rPr>
          <w:rtl w:val="0"/>
        </w:rPr>
        <w:t xml:space="preserve">3.5.Variáveis</w:t>
      </w:r>
    </w:p>
    <w:p w:rsidR="00000000" w:rsidDel="00000000" w:rsidP="00000000" w:rsidRDefault="00000000" w:rsidRPr="00000000" w14:paraId="0000009C">
      <w:pPr>
        <w:pStyle w:val="Heading3"/>
        <w:spacing w:line="360" w:lineRule="auto"/>
        <w:ind w:left="720" w:firstLine="720"/>
        <w:rPr/>
      </w:pPr>
      <w:bookmarkStart w:colFirst="0" w:colLast="0" w:name="_heading=h.7r3lpqh6kya4" w:id="21"/>
      <w:bookmarkEnd w:id="21"/>
      <w:r w:rsidDel="00000000" w:rsidR="00000000" w:rsidRPr="00000000">
        <w:rPr>
          <w:rtl w:val="0"/>
        </w:rPr>
        <w:t xml:space="preserve">3.5.1. Variáveis qualitativas</w:t>
      </w:r>
    </w:p>
    <w:p w:rsidR="00000000" w:rsidDel="00000000" w:rsidP="00000000" w:rsidRDefault="00000000" w:rsidRPr="00000000" w14:paraId="0000009D">
      <w:pPr>
        <w:spacing w:line="360" w:lineRule="auto"/>
        <w:ind w:left="0"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0d0d0d"/>
          <w:sz w:val="24"/>
          <w:szCs w:val="24"/>
          <w:rtl w:val="0"/>
        </w:rPr>
        <w:t xml:space="preserve">Nome do paciente; (2) sexo; (3) procedência do participante; (3) etnia; (4) escolaridade; (5) estado civil; (6) etilismo; (7) tabagismo; (8) medicamentos utilizados diariamente; (9) comorbidades prévias.</w:t>
      </w:r>
    </w:p>
    <w:p w:rsidR="00000000" w:rsidDel="00000000" w:rsidP="00000000" w:rsidRDefault="00000000" w:rsidRPr="00000000" w14:paraId="0000009E">
      <w:pPr>
        <w:pStyle w:val="Heading3"/>
        <w:spacing w:line="360" w:lineRule="auto"/>
        <w:ind w:left="720" w:firstLine="720"/>
        <w:rPr/>
      </w:pPr>
      <w:bookmarkStart w:colFirst="0" w:colLast="0" w:name="_heading=h.5wqpedcpb1ge" w:id="22"/>
      <w:bookmarkEnd w:id="22"/>
      <w:r w:rsidDel="00000000" w:rsidR="00000000" w:rsidRPr="00000000">
        <w:rPr>
          <w:rtl w:val="0"/>
        </w:rPr>
        <w:t xml:space="preserve">3.5.1. Variáveis quantitativas</w:t>
      </w:r>
    </w:p>
    <w:p w:rsidR="00000000" w:rsidDel="00000000" w:rsidP="00000000" w:rsidRDefault="00000000" w:rsidRPr="00000000" w14:paraId="0000009F">
      <w:pPr>
        <w:pBdr>
          <w:top w:color="e3e3e3" w:space="0" w:sz="0" w:val="none"/>
          <w:left w:color="e3e3e3" w:space="0" w:sz="0" w:val="none"/>
          <w:bottom w:color="e3e3e3" w:space="0" w:sz="0" w:val="none"/>
          <w:right w:color="e3e3e3" w:space="0" w:sz="0" w:val="none"/>
          <w:between w:color="e3e3e3" w:space="0" w:sz="0" w:val="none"/>
        </w:pBdr>
        <w:shd w:fill="ffffff" w:val="clear"/>
        <w:spacing w:line="360" w:lineRule="auto"/>
        <w:ind w:left="0"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 Idade; (2) Renda familiar; (3) Quantos dias de acompanhamento nutricional antes do estudo; (4) Peso (kg); (5) Altura (m); (6) Altura do joelho (se idoso ou amputado) (cm); (7) Índice de Massa Corporal - IMC (kg/m²); (8) Circunferência da cintura (cm); (9) Circunferência da panturrilha (cm); (10) Índice circunferência da cintura/altura (cm/cm); (11) Massa Livre de Gordura (MLG) em Kg e %; (12) Gordura Corporal Total (GC) em Kg e %; (13) Ingestão proteica (g); (14) Proteína por Kg de peso (g/kg); (15) Caloria total (cal); (16) Caloria por Kg de peso (cal/kg); (17) Ureia sérica (mg/dL); (18) Creatinina sérica (mg/dL); (19) Razão albumina/creatinina (mg/g); (20) Glicemia de jejum (mg/dL); (21) Hemoglobina glicada (%); (22) Insulinemia (mU/L); (23) Cálcio sérico (mmol/L); (24) Fósforo sérico (mmol/L); (25) Potássio sérico (mmol/L); (26) Sódio sérico (mmol/L); (27) Força de preensão palmar (kgf); (28) Teste de sentar e levantar (s); (29) Escala de compreensão.</w:t>
      </w:r>
    </w:p>
    <w:p w:rsidR="00000000" w:rsidDel="00000000" w:rsidP="00000000" w:rsidRDefault="00000000" w:rsidRPr="00000000" w14:paraId="000000A0">
      <w:pPr>
        <w:pStyle w:val="Heading2"/>
        <w:spacing w:line="360" w:lineRule="auto"/>
        <w:rPr/>
      </w:pPr>
      <w:bookmarkStart w:colFirst="0" w:colLast="0" w:name="_heading=h.qx0314rh8la8" w:id="23"/>
      <w:bookmarkEnd w:id="23"/>
      <w:r w:rsidDel="00000000" w:rsidR="00000000" w:rsidRPr="00000000">
        <w:rPr>
          <w:rtl w:val="0"/>
        </w:rPr>
        <w:t xml:space="preserve">3.5. Delineamento do estudo</w:t>
      </w:r>
    </w:p>
    <w:p w:rsidR="00000000" w:rsidDel="00000000" w:rsidP="00000000" w:rsidRDefault="00000000" w:rsidRPr="00000000" w14:paraId="000000A1">
      <w:pPr>
        <w:pStyle w:val="Heading3"/>
        <w:spacing w:line="360" w:lineRule="auto"/>
        <w:ind w:left="720" w:firstLine="720"/>
        <w:rPr/>
      </w:pPr>
      <w:bookmarkStart w:colFirst="0" w:colLast="0" w:name="_heading=h.pxu6s7r8mh20" w:id="24"/>
      <w:bookmarkEnd w:id="24"/>
      <w:r w:rsidDel="00000000" w:rsidR="00000000" w:rsidRPr="00000000">
        <w:rPr>
          <w:rtl w:val="0"/>
        </w:rPr>
        <w:t xml:space="preserve">3.5.1. Identificação dos participantes</w:t>
      </w:r>
    </w:p>
    <w:p w:rsidR="00000000" w:rsidDel="00000000" w:rsidP="00000000" w:rsidRDefault="00000000" w:rsidRPr="00000000" w14:paraId="000000A2">
      <w:pP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Nos atendimentos realizados no ambulatório de nutrição, será feita uma busca prévia nos prontuários para identificar a patologia de base dos pacientes agendados. A partir dessa busca, serão contabilizados os pacientes que atenderem aos critérios de inclusão, enquanto aqueles que não os atenderem serão excluídos. Esse processo resultará na amostra que será utilizada no estudo.</w:t>
      </w:r>
    </w:p>
    <w:p w:rsidR="00000000" w:rsidDel="00000000" w:rsidP="00000000" w:rsidRDefault="00000000" w:rsidRPr="00000000" w14:paraId="000000A3">
      <w:pPr>
        <w:pStyle w:val="Heading3"/>
        <w:spacing w:line="360" w:lineRule="auto"/>
        <w:ind w:left="720" w:firstLine="720"/>
        <w:rPr/>
      </w:pPr>
      <w:bookmarkStart w:colFirst="0" w:colLast="0" w:name="_heading=h.rzql4jtr97u4" w:id="25"/>
      <w:bookmarkEnd w:id="25"/>
      <w:r w:rsidDel="00000000" w:rsidR="00000000" w:rsidRPr="00000000">
        <w:rPr>
          <w:rtl w:val="0"/>
        </w:rPr>
        <w:t xml:space="preserve">3.5.2. Apresentação da pesquisa e TCLE</w:t>
      </w:r>
    </w:p>
    <w:p w:rsidR="00000000" w:rsidDel="00000000" w:rsidP="00000000" w:rsidRDefault="00000000" w:rsidRPr="00000000" w14:paraId="000000A4">
      <w:pPr>
        <w:spacing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Nesta etapa, os possíveis participantes serão contatados pelos pesquisadores para apresentação da pesquisa, seu delineamento e esclarecimento de dúvidas. Além disso, os recrutados serão informados sobre os protocolos bioéticos que garantem sua proteção e a confidencialidade dos dados. Isso culminará na adesão por meio da assinatura do Termo de Consentimento Livre e Esclarecido (TCLE). No caso de pacientes impossibilitados, a autorização será obtida junto ao responsável.</w:t>
      </w:r>
    </w:p>
    <w:p w:rsidR="00000000" w:rsidDel="00000000" w:rsidP="00000000" w:rsidRDefault="00000000" w:rsidRPr="00000000" w14:paraId="000000A5">
      <w:pPr>
        <w:pStyle w:val="Heading3"/>
        <w:spacing w:line="360" w:lineRule="auto"/>
        <w:ind w:left="720" w:firstLine="720"/>
        <w:rPr/>
      </w:pPr>
      <w:bookmarkStart w:colFirst="0" w:colLast="0" w:name="_heading=h.9ibhp8z1x13p" w:id="26"/>
      <w:bookmarkEnd w:id="26"/>
      <w:r w:rsidDel="00000000" w:rsidR="00000000" w:rsidRPr="00000000">
        <w:rPr>
          <w:rtl w:val="0"/>
        </w:rPr>
        <w:t xml:space="preserve">3.5.3. Período de coleta de dados</w:t>
      </w:r>
    </w:p>
    <w:p w:rsidR="00000000" w:rsidDel="00000000" w:rsidP="00000000" w:rsidRDefault="00000000" w:rsidRPr="00000000" w14:paraId="000000A6">
      <w:pPr>
        <w:spacing w:line="360" w:lineRule="auto"/>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A coleta de dados está prevista para ocorrer entre junho de 2025 e fevereiro de 2026, após aprovação do Comitê de Ética. O estudo será realizado em duas etapas, com a admissão de 20 participantes em cada uma, totalizando os 40 indivíduos previstos no cálculo amostral previamente apresentado. Em cada etapa, os participantes serão alocados de forma equilibrada entre os grupos: 10 no grupo intervenção (GI) e 10 no grupo controle (GC). A opção pela divisão da amostra em dois momentos (20 participantes por vez) se deve à capacidade operacional do ambulatório, que não comporta o atendimento simultâneo de um número maior de pacientes com as características específicas exigidas para inclusão no estudo. Além disso, o ambulatório não é exclusivo para pacientes com diabetes, o que limita o recrutamento contínuo de grandes grupos. A realização em etapas garante o seguimento adequado dos participantes e viabiliza o desenvolvimento do protocolo de forma organizada, sem prejuízo à qualidade do atendimento nem à integridade metodológica da pesquisa.</w:t>
      </w:r>
    </w:p>
    <w:p w:rsidR="00000000" w:rsidDel="00000000" w:rsidP="00000000" w:rsidRDefault="00000000" w:rsidRPr="00000000" w14:paraId="000000A7">
      <w:pPr>
        <w:pStyle w:val="Heading3"/>
        <w:spacing w:line="360" w:lineRule="auto"/>
        <w:ind w:left="720" w:firstLine="720"/>
        <w:rPr/>
      </w:pPr>
      <w:bookmarkStart w:colFirst="0" w:colLast="0" w:name="_heading=h.sxivwo73lcxh" w:id="27"/>
      <w:bookmarkEnd w:id="27"/>
      <w:r w:rsidDel="00000000" w:rsidR="00000000" w:rsidRPr="00000000">
        <w:rPr>
          <w:rtl w:val="0"/>
        </w:rPr>
        <w:t xml:space="preserve">3.5.4. Triagem e coleta de dados</w:t>
      </w:r>
    </w:p>
    <w:p w:rsidR="00000000" w:rsidDel="00000000" w:rsidP="00000000" w:rsidRDefault="00000000" w:rsidRPr="00000000" w14:paraId="000000A8">
      <w:pPr>
        <w:spacing w:line="360" w:lineRule="auto"/>
        <w:jc w:val="both"/>
        <w:rPr>
          <w:rFonts w:ascii="Times New Roman" w:cs="Times New Roman" w:eastAsia="Times New Roman" w:hAnsi="Times New Roman"/>
          <w:sz w:val="24"/>
          <w:szCs w:val="24"/>
          <w:highlight w:val="white"/>
        </w:rPr>
      </w:pPr>
      <w:r w:rsidDel="00000000" w:rsidR="00000000" w:rsidRPr="00000000">
        <w:rPr>
          <w:rtl w:val="0"/>
        </w:rPr>
        <w:tab/>
      </w:r>
      <w:r w:rsidDel="00000000" w:rsidR="00000000" w:rsidRPr="00000000">
        <w:rPr>
          <w:rFonts w:ascii="Times New Roman" w:cs="Times New Roman" w:eastAsia="Times New Roman" w:hAnsi="Times New Roman"/>
          <w:sz w:val="24"/>
          <w:szCs w:val="24"/>
          <w:highlight w:val="white"/>
          <w:rtl w:val="0"/>
        </w:rPr>
        <w:t xml:space="preserve">Os participantes elegíveis para o estudo serão avaliados por profissionais capacitados, e serão aplicadas medidas técnicas adequadas para garantir a anonimização dos dados, de modo que não seja possível associá-los direta ou indiretamente a indivíduos específicos.</w:t>
      </w:r>
    </w:p>
    <w:p w:rsidR="00000000" w:rsidDel="00000000" w:rsidP="00000000" w:rsidRDefault="00000000" w:rsidRPr="00000000" w14:paraId="000000A9">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Após a assinatura do Termo de Consentimento Livre e Esclarecido (TCLE), serão coletadas informações sociodemográficas e clínicas diretamente dos prontuários dos pacientes. Em seguida, os participantes serão alocados no Grupo Controle (GC) ou no Grupo Intervenção (GI), com base em uma listagem prévia de números aleatórios gerada no </w:t>
      </w:r>
      <w:r w:rsidDel="00000000" w:rsidR="00000000" w:rsidRPr="00000000">
        <w:rPr>
          <w:rFonts w:ascii="Times New Roman" w:cs="Times New Roman" w:eastAsia="Times New Roman" w:hAnsi="Times New Roman"/>
          <w:i w:val="1"/>
          <w:sz w:val="24"/>
          <w:szCs w:val="24"/>
          <w:highlight w:val="white"/>
          <w:rtl w:val="0"/>
        </w:rPr>
        <w:t xml:space="preserve">Microsoft Excel®</w:t>
      </w:r>
      <w:r w:rsidDel="00000000" w:rsidR="00000000" w:rsidRPr="00000000">
        <w:rPr>
          <w:rFonts w:ascii="Times New Roman" w:cs="Times New Roman" w:eastAsia="Times New Roman" w:hAnsi="Times New Roman"/>
          <w:sz w:val="24"/>
          <w:szCs w:val="24"/>
          <w:highlight w:val="white"/>
          <w:rtl w:val="0"/>
        </w:rPr>
        <w:t xml:space="preserve">, utilizando a função "aleatório entre 0 e 1". Nessa divisão, "0" corresponde ao grupo controle, enquanto "1" representa o grupo intervenção. Vale destacar que os participantes não serão informados sobre a existência dos dois grupos na pesquisa.</w:t>
      </w:r>
    </w:p>
    <w:p w:rsidR="00000000" w:rsidDel="00000000" w:rsidP="00000000" w:rsidRDefault="00000000" w:rsidRPr="00000000" w14:paraId="000000AA">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Durante os dois momentos do estudo, serão coletados dados sobre composição corporal, como: peso (kg), altura (m), circunferência da cintura (cm), índice de massa corporal (kg/m²), circunferência da panturrilha (cm) referenciados pela Organização Mundial da Saúde </w:t>
      </w:r>
      <w:r w:rsidDel="00000000" w:rsidR="00000000" w:rsidRPr="00000000">
        <w:rPr>
          <w:rFonts w:ascii="Times New Roman" w:cs="Times New Roman" w:eastAsia="Times New Roman" w:hAnsi="Times New Roman"/>
          <w:sz w:val="24"/>
          <w:szCs w:val="24"/>
          <w:rtl w:val="0"/>
        </w:rPr>
        <w:t xml:space="preserve">(WHO, 1995)</w:t>
      </w:r>
      <w:r w:rsidDel="00000000" w:rsidR="00000000" w:rsidRPr="00000000">
        <w:rPr>
          <w:rFonts w:ascii="Times New Roman" w:cs="Times New Roman" w:eastAsia="Times New Roman" w:hAnsi="Times New Roman"/>
          <w:sz w:val="24"/>
          <w:szCs w:val="24"/>
          <w:highlight w:val="white"/>
          <w:rtl w:val="0"/>
        </w:rPr>
        <w:t xml:space="preserve">. A prescrição nutricional (proteica e calórica), bioquímica sérica e força muscular (por meio do dinamômetro) dos participantes também serão coletadas (SPEXOTO et al., 2022). Os pacientes já em acompanhamento no ambulatório – que já recebem prescrição dietética proteica e calórica de acordo com suas condições clínicas – terão seus dados iniciais coletados no tempo 1, juntamente com a prescrição dietética atual. Caso seja necessária uma atualização no plano alimentar, uma nova proposta será formulada com base nas recomendações das diretrizes KDOQI Clinical Practice Guideline for Nutrition in CKD: 2020 Update (IKIZLER et al., 2020), e essa nova prescrição será entregue ao participante após 15 dias da avaliação inicial.</w:t>
      </w:r>
    </w:p>
    <w:p w:rsidR="00000000" w:rsidDel="00000000" w:rsidP="00000000" w:rsidRDefault="00000000" w:rsidRPr="00000000" w14:paraId="000000AB">
      <w:pPr>
        <w:pStyle w:val="Heading3"/>
        <w:spacing w:line="360" w:lineRule="auto"/>
        <w:ind w:left="720" w:firstLine="720"/>
        <w:rPr/>
      </w:pPr>
      <w:bookmarkStart w:colFirst="0" w:colLast="0" w:name="_heading=h.tveba8tehzy1" w:id="28"/>
      <w:bookmarkEnd w:id="28"/>
      <w:r w:rsidDel="00000000" w:rsidR="00000000" w:rsidRPr="00000000">
        <w:rPr>
          <w:rtl w:val="0"/>
        </w:rPr>
        <w:t xml:space="preserve">3.5.4. Intervenção</w:t>
      </w:r>
    </w:p>
    <w:p w:rsidR="00000000" w:rsidDel="00000000" w:rsidP="00000000" w:rsidRDefault="00000000" w:rsidRPr="00000000" w14:paraId="000000AC">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 participantes do GI receberão orientações sobre o programa digital de educação nutricional focado no consumo adequado de alimentos ricos em proteínas, por meio de um bot na plataforma WhatsApp. O bot será programado para abordar, de forma semanal, assuntos relacionados ao consumo de proteínas e porcionamento correto das refeições (Tabela 1). As avaliações ocorrerão nos tempos 1 e 2. Nestes momentos, será aplicado um teste para avaliar a compreensão dos materiais de educação nutricional recebidos (Figura 1). As informações sobre bioquímica sérica serão coletadas dos prontuários em cada um dos dois momentos do estudo. No caso do grupo controle, todo o acompanhamento será idêntico ao do grupo intervenção, exceto pela ausência do componente de educação nutricional.</w:t>
      </w:r>
    </w:p>
    <w:p w:rsidR="00000000" w:rsidDel="00000000" w:rsidP="00000000" w:rsidRDefault="00000000" w:rsidRPr="00000000" w14:paraId="000000AD">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 participantes do grupo intervenção serão convidados, de forma semanal, a participarem das ações de educação alimentar e nutricional interativas por meio do </w:t>
      </w:r>
      <w:r w:rsidDel="00000000" w:rsidR="00000000" w:rsidRPr="00000000">
        <w:rPr>
          <w:rFonts w:ascii="Times New Roman" w:cs="Times New Roman" w:eastAsia="Times New Roman" w:hAnsi="Times New Roman"/>
          <w:i w:val="1"/>
          <w:sz w:val="24"/>
          <w:szCs w:val="24"/>
          <w:highlight w:val="white"/>
          <w:rtl w:val="0"/>
        </w:rPr>
        <w:t xml:space="preserve">WhatsApp</w:t>
      </w:r>
      <w:r w:rsidDel="00000000" w:rsidR="00000000" w:rsidRPr="00000000">
        <w:rPr>
          <w:rFonts w:ascii="Times New Roman" w:cs="Times New Roman" w:eastAsia="Times New Roman" w:hAnsi="Times New Roman"/>
          <w:sz w:val="24"/>
          <w:szCs w:val="24"/>
          <w:highlight w:val="white"/>
          <w:rtl w:val="0"/>
        </w:rPr>
        <w:t xml:space="preserve">® referente ao conteúdo programático de cada semana do estudo. Além disso, os participantes serão alertados semanalmente sobre a necessidade de participar dos momentos de intervenção. O controle da participação será realizado mediante à confirmação por formulário eletrônico e mantido em uma planilha armazenada na nuvem na plataforma </w:t>
      </w:r>
      <w:r w:rsidDel="00000000" w:rsidR="00000000" w:rsidRPr="00000000">
        <w:rPr>
          <w:rFonts w:ascii="Times New Roman" w:cs="Times New Roman" w:eastAsia="Times New Roman" w:hAnsi="Times New Roman"/>
          <w:i w:val="1"/>
          <w:sz w:val="24"/>
          <w:szCs w:val="24"/>
          <w:highlight w:val="white"/>
          <w:rtl w:val="0"/>
        </w:rPr>
        <w:t xml:space="preserve">Google Sheets®</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AE">
      <w:pPr>
        <w:spacing w:after="240" w:before="240" w:line="360" w:lineRule="auto"/>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F">
      <w:pPr>
        <w:spacing w:after="240" w:before="240" w:line="36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Figura 1. </w:t>
      </w:r>
      <w:r w:rsidDel="00000000" w:rsidR="00000000" w:rsidRPr="00000000">
        <w:rPr>
          <w:rFonts w:ascii="Times New Roman" w:cs="Times New Roman" w:eastAsia="Times New Roman" w:hAnsi="Times New Roman"/>
          <w:sz w:val="24"/>
          <w:szCs w:val="24"/>
          <w:highlight w:val="white"/>
          <w:rtl w:val="0"/>
        </w:rPr>
        <w:t xml:space="preserve">Fluxograma das etapas de um ensaio clínico randomizado realizado em uma capital do nordeste brasileiro. Maceió-AL, 2024.</w:t>
      </w:r>
    </w:p>
    <w:p w:rsidR="00000000" w:rsidDel="00000000" w:rsidP="00000000" w:rsidRDefault="00000000" w:rsidRPr="00000000" w14:paraId="000000B0">
      <w:pPr>
        <w:spacing w:after="240" w:before="240" w:line="36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4283887" cy="4354695"/>
            <wp:effectExtent b="0" l="0" r="0" t="0"/>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283887" cy="4354695"/>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after="240" w:before="24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Fonte:</w:t>
      </w:r>
      <w:r w:rsidDel="00000000" w:rsidR="00000000" w:rsidRPr="00000000">
        <w:rPr>
          <w:rFonts w:ascii="Times New Roman" w:cs="Times New Roman" w:eastAsia="Times New Roman" w:hAnsi="Times New Roman"/>
          <w:sz w:val="24"/>
          <w:szCs w:val="24"/>
          <w:highlight w:val="white"/>
          <w:rtl w:val="0"/>
        </w:rPr>
        <w:t xml:space="preserve"> Autor, 2024.</w:t>
      </w:r>
    </w:p>
    <w:p w:rsidR="00000000" w:rsidDel="00000000" w:rsidP="00000000" w:rsidRDefault="00000000" w:rsidRPr="00000000" w14:paraId="000000B2">
      <w:pPr>
        <w:spacing w:after="240" w:before="240" w:line="360" w:lineRule="auto"/>
        <w:ind w:left="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Tabela 1. </w:t>
      </w:r>
      <w:r w:rsidDel="00000000" w:rsidR="00000000" w:rsidRPr="00000000">
        <w:rPr>
          <w:rFonts w:ascii="Times New Roman" w:cs="Times New Roman" w:eastAsia="Times New Roman" w:hAnsi="Times New Roman"/>
          <w:sz w:val="24"/>
          <w:szCs w:val="24"/>
          <w:highlight w:val="white"/>
          <w:rtl w:val="0"/>
        </w:rPr>
        <w:t xml:space="preserve">Distribuição do conteúdo programático de um ensaio clínico randomizado realizado em uma capital do nordeste brasileiro. Maceió-AL, 2024.</w:t>
      </w:r>
    </w:p>
    <w:tbl>
      <w:tblPr>
        <w:tblStyle w:val="Table1"/>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04"/>
        <w:gridCol w:w="6846"/>
        <w:tblGridChange w:id="0">
          <w:tblGrid>
            <w:gridCol w:w="2004"/>
            <w:gridCol w:w="6846"/>
          </w:tblGrid>
        </w:tblGridChange>
      </w:tblGrid>
      <w:tr>
        <w:trPr>
          <w:cantSplit w:val="0"/>
          <w:trHeight w:val="629.9296874999891" w:hRule="atLeast"/>
          <w:tblHeader w:val="0"/>
        </w:trPr>
        <w:tc>
          <w:tcPr>
            <w:tcBorders>
              <w:top w:color="000000" w:space="0" w:sz="5" w:val="single"/>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spacing w:after="0" w:before="0" w:line="240" w:lineRule="auto"/>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Semana de acompanhamento</w:t>
            </w:r>
          </w:p>
        </w:tc>
        <w:tc>
          <w:tcPr>
            <w:tcBorders>
              <w:top w:color="000000" w:space="0" w:sz="5" w:val="single"/>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spacing w:after="0" w:before="0" w:line="240" w:lineRule="auto"/>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Tema</w:t>
            </w:r>
          </w:p>
        </w:tc>
      </w:tr>
      <w:tr>
        <w:trPr>
          <w:cantSplit w:val="0"/>
          <w:trHeight w:val="495"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Conceito e Importância das Proteínas para o Corpo e a Saúde Renal</w:t>
            </w:r>
          </w:p>
        </w:tc>
      </w:tr>
      <w:tr>
        <w:trPr>
          <w:cantSplit w:val="0"/>
          <w:trHeight w:val="480"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2°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Quantidades Adequadas de Proteínas para Pacientes com DRD</w:t>
            </w:r>
          </w:p>
        </w:tc>
      </w:tr>
      <w:tr>
        <w:trPr>
          <w:cantSplit w:val="0"/>
          <w:trHeight w:val="450"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3°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Fontes de Proteínas: Diferença entre Proteínas de Alta e Baixa Qualidade</w:t>
            </w:r>
          </w:p>
        </w:tc>
      </w:tr>
      <w:tr>
        <w:trPr>
          <w:cantSplit w:val="0"/>
          <w:trHeight w:val="390"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4°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Identificação de Proteínas nos Alimentos do Dia a Dia</w:t>
            </w:r>
          </w:p>
        </w:tc>
      </w:tr>
      <w:tr>
        <w:trPr>
          <w:cantSplit w:val="0"/>
          <w:trHeight w:val="660"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5°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E">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Planejamento das Refeições e Distribuição do Consumo de Proteínas ao Longo do Dia</w:t>
            </w:r>
          </w:p>
        </w:tc>
      </w:tr>
      <w:tr>
        <w:trPr>
          <w:cantSplit w:val="0"/>
          <w:trHeight w:val="465"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F">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6°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0">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Prática de Leitura de Rótulos para Identificar Proteínas e Outros Nutrientes</w:t>
            </w:r>
          </w:p>
        </w:tc>
      </w:tr>
      <w:tr>
        <w:trPr>
          <w:cantSplit w:val="0"/>
          <w:trHeight w:val="465"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1">
            <w:pPr>
              <w:spacing w:after="0" w:before="0"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7°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2">
            <w:pPr>
              <w:spacing w:after="0" w:before="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Como Controlar as Porções de Proteínas em Refeições Fora de Casa</w:t>
            </w:r>
          </w:p>
        </w:tc>
      </w:tr>
      <w:tr>
        <w:trPr>
          <w:cantSplit w:val="0"/>
          <w:trHeight w:val="419.970703125" w:hRule="atLeast"/>
          <w:tblHeader w:val="0"/>
        </w:trPr>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3">
            <w:pPr>
              <w:spacing w:after="0" w:before="0" w:line="36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8° semana</w:t>
            </w:r>
          </w:p>
        </w:tc>
        <w:tc>
          <w:tcPr>
            <w:tcBorders>
              <w:top w:color="000000" w:space="0" w:sz="0" w:val="nil"/>
              <w:left w:color="000000" w:space="0" w:sz="0" w:val="nil"/>
              <w:bottom w:color="00000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4">
            <w:pPr>
              <w:spacing w:after="0" w:before="0" w:line="36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Revisão Geral e Aplicação Prática do Consumo Adequado de Proteínas</w:t>
            </w:r>
          </w:p>
        </w:tc>
      </w:tr>
    </w:tbl>
    <w:p w:rsidR="00000000" w:rsidDel="00000000" w:rsidP="00000000" w:rsidRDefault="00000000" w:rsidRPr="00000000" w14:paraId="000000C5">
      <w:pPr>
        <w:spacing w:after="240" w:before="240"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Fonte:</w:t>
      </w:r>
      <w:r w:rsidDel="00000000" w:rsidR="00000000" w:rsidRPr="00000000">
        <w:rPr>
          <w:rFonts w:ascii="Times New Roman" w:cs="Times New Roman" w:eastAsia="Times New Roman" w:hAnsi="Times New Roman"/>
          <w:sz w:val="24"/>
          <w:szCs w:val="24"/>
          <w:highlight w:val="white"/>
          <w:rtl w:val="0"/>
        </w:rPr>
        <w:t xml:space="preserve"> Autor, 2024.</w:t>
      </w:r>
    </w:p>
    <w:p w:rsidR="00000000" w:rsidDel="00000000" w:rsidP="00000000" w:rsidRDefault="00000000" w:rsidRPr="00000000" w14:paraId="000000C6">
      <w:pPr>
        <w:pStyle w:val="Heading2"/>
        <w:rPr/>
      </w:pPr>
      <w:bookmarkStart w:colFirst="0" w:colLast="0" w:name="_heading=h.svltcrqpbu85" w:id="29"/>
      <w:bookmarkEnd w:id="29"/>
      <w:r w:rsidDel="00000000" w:rsidR="00000000" w:rsidRPr="00000000">
        <w:rPr>
          <w:rtl w:val="0"/>
        </w:rPr>
        <w:t xml:space="preserve">3.6. Aspectos éticos</w:t>
      </w:r>
    </w:p>
    <w:p w:rsidR="00000000" w:rsidDel="00000000" w:rsidP="00000000" w:rsidRDefault="00000000" w:rsidRPr="00000000" w14:paraId="000000C7">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trabalho será submetido ao Comitê de Ética em Pesquisa do Hospital Universitário Professor Alberto Antunes por meio da Plataforma Brasil, respeitando o que está exposto na </w:t>
      </w:r>
      <w:r w:rsidDel="00000000" w:rsidR="00000000" w:rsidRPr="00000000">
        <w:rPr>
          <w:rFonts w:ascii="Times New Roman" w:cs="Times New Roman" w:eastAsia="Times New Roman" w:hAnsi="Times New Roman"/>
          <w:sz w:val="24"/>
          <w:szCs w:val="24"/>
          <w:highlight w:val="white"/>
          <w:rtl w:val="0"/>
        </w:rPr>
        <w:t xml:space="preserve">Resolução do CONEP Nº 674, de 6 de maio de 2022</w:t>
      </w:r>
      <w:r w:rsidDel="00000000" w:rsidR="00000000" w:rsidRPr="00000000">
        <w:rPr>
          <w:rFonts w:ascii="Times New Roman" w:cs="Times New Roman" w:eastAsia="Times New Roman" w:hAnsi="Times New Roman"/>
          <w:sz w:val="24"/>
          <w:szCs w:val="24"/>
          <w:rtl w:val="0"/>
        </w:rPr>
        <w:t xml:space="preserve"> (</w:t>
      </w:r>
      <w:hyperlink r:id="rId11">
        <w:r w:rsidDel="00000000" w:rsidR="00000000" w:rsidRPr="00000000">
          <w:rPr>
            <w:rFonts w:ascii="Times New Roman" w:cs="Times New Roman" w:eastAsia="Times New Roman" w:hAnsi="Times New Roman"/>
            <w:sz w:val="24"/>
            <w:szCs w:val="24"/>
            <w:u w:val="single"/>
            <w:rtl w:val="0"/>
          </w:rPr>
          <w:t xml:space="preserve">http://plataformabrasil.saude.gov.br</w:t>
        </w:r>
      </w:hyperlink>
      <w:r w:rsidDel="00000000" w:rsidR="00000000" w:rsidRPr="00000000">
        <w:rPr>
          <w:rFonts w:ascii="Times New Roman" w:cs="Times New Roman" w:eastAsia="Times New Roman" w:hAnsi="Times New Roman"/>
          <w:sz w:val="24"/>
          <w:szCs w:val="24"/>
          <w:rtl w:val="0"/>
        </w:rPr>
        <w:t xml:space="preserve">). Todos os participantes serão devidamente informados sobre os objetivos, riscos e benefícios, posteriormente convidados a participar do estudo e assinar o Termo de Consentimento Livre e Esclarecido (TCLE) antes de serem incluídos na pesquisa. </w:t>
      </w:r>
    </w:p>
    <w:p w:rsidR="00000000" w:rsidDel="00000000" w:rsidP="00000000" w:rsidRDefault="00000000" w:rsidRPr="00000000" w14:paraId="000000C8">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pesquisa poderá ser suspensa ou encerrada a qualquer momento nas seguintes situações: (1) ocorrência de danos ou riscos inesperados à saúde ou ao bem-estar dos participantes, física ou psicologicamente, decorrentes da participação no estudo; (2) manifestação de desistência, por livre vontade, por parte de um ou mais participantes, sem necessidade de justificativa e sem prejuízo ao seu atendimento; (3) inviabilidade de recrutamento de novos participantes com o perfil necessário, comprometendo o cumprimento do cálculo amostral e a validade da análise proposta; (4) situações que inviabilizem o seguimento adequado dos participantes, como mudanças na estrutura do ambulatório ou suspensão das atividades de atendimento. Nesses casos, o Comitê de Ética em Pesquisa será imediatamente comunicado, com apresentação de relatório justificando a decisão e, quando aplicável, descrevendo os procedimentos adotados para proteção dos dados e garantia dos direitos dos participantes envolvidos até o momento do encerramento.  </w:t>
      </w:r>
    </w:p>
    <w:p w:rsidR="00000000" w:rsidDel="00000000" w:rsidP="00000000" w:rsidRDefault="00000000" w:rsidRPr="00000000" w14:paraId="000000C9">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Análise estatística</w:t>
      </w:r>
    </w:p>
    <w:p w:rsidR="00000000" w:rsidDel="00000000" w:rsidP="00000000" w:rsidRDefault="00000000" w:rsidRPr="00000000" w14:paraId="000000C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Após a coleta de dados, estes serão organizados em planilhas do Software Excel® 2010 e processados utilizando o Software SPSS (Statistical Package for the Social Sciences) versão 20.0. </w:t>
      </w:r>
    </w:p>
    <w:p w:rsidR="00000000" w:rsidDel="00000000" w:rsidP="00000000" w:rsidRDefault="00000000" w:rsidRPr="00000000" w14:paraId="000000CB">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sz w:val="24"/>
          <w:szCs w:val="24"/>
          <w:rtl w:val="0"/>
        </w:rPr>
        <w:t xml:space="preserve">Na fase de análise, os dados serão submetidos à estatística descritiva, sendo calculado medidas de média, desvio padrão, coeficiente de variação, valor mínimo e máximo e amplitude de todos os domínios. </w:t>
      </w:r>
      <w:r w:rsidDel="00000000" w:rsidR="00000000" w:rsidRPr="00000000">
        <w:rPr>
          <w:rFonts w:ascii="Times New Roman" w:cs="Times New Roman" w:eastAsia="Times New Roman" w:hAnsi="Times New Roman"/>
          <w:color w:val="0d0d0d"/>
          <w:sz w:val="24"/>
          <w:szCs w:val="24"/>
          <w:rtl w:val="0"/>
        </w:rPr>
        <w:t xml:space="preserve">Com a finalidade de avaliar a distribuição das variáveis, será aplicado o Teste Kolmogorov-Smirnov para verificar se os dados seguem uma distribuição normal. Após a verificação da normalidade, serão utilizadas análises paramétricas e não paramétricas, dependendo da distribuição dos dados e do tipo de análise necessária.</w:t>
      </w:r>
    </w:p>
    <w:p w:rsidR="00000000" w:rsidDel="00000000" w:rsidP="00000000" w:rsidRDefault="00000000" w:rsidRPr="00000000" w14:paraId="000000CC">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Em relação a análises paramétricas serão empregados o qui-quadrado para investigar a associação entre variáveis categóricas; teste t de Student com intuito de comparar médias entre dois grupos; correlação de Pearson a fim de avaliar a relação linear entre duas variáveis contínuas; ANOVA para análise de variância e comparar médias entre mais de dois grupos; e o teste de Tukey para identificar diferenças significativas entre grupos em análises de ANOVA. Para análises não paramétricas serão utilizados testes estatísticos equivalentes, como o teste de Mann-Whitney, correlação de Spearman e testes de comparação de médias, como o teste de Kruskal-Wallis. </w:t>
      </w:r>
    </w:p>
    <w:p w:rsidR="00000000" w:rsidDel="00000000" w:rsidP="00000000" w:rsidRDefault="00000000" w:rsidRPr="00000000" w14:paraId="000000CD">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O resultado será considerado significativo quando p&lt;0,05, indicando uma probabilidade baixa de que os resultados observados sejam devidos ao acaso.</w:t>
      </w:r>
    </w:p>
    <w:p w:rsidR="00000000" w:rsidDel="00000000" w:rsidP="00000000" w:rsidRDefault="00000000" w:rsidRPr="00000000" w14:paraId="000000CE">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CF">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3.8 Riscos</w:t>
      </w:r>
    </w:p>
    <w:p w:rsidR="00000000" w:rsidDel="00000000" w:rsidP="00000000" w:rsidRDefault="00000000" w:rsidRPr="00000000" w14:paraId="000000D0">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A pesquisa apresenta riscos mínimos aos participantes, sendo majoritariamente relacionados à intervenção nutricional e ao uso de tecnologia para a educação alimentar. Um dos possíveis riscos é a dificuldade de adesão às orientações propostas, o que pode gerar frustração ou ansiedade em alguns participantes diante da necessidade de ajustes na alimentação. </w:t>
      </w:r>
    </w:p>
    <w:p w:rsidR="00000000" w:rsidDel="00000000" w:rsidP="00000000" w:rsidRDefault="00000000" w:rsidRPr="00000000" w14:paraId="000000D1">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Outro fator a ser considerado é a possibilidade de variações individuais na resposta à intervenção nutricional, podendo haver casos em que os parâmetros clínicos e bioquímicos não apresentem melhora significativa ou, em raras situações, oscilem temporariamente. Há também riscos relacionados à utilização da plataforma digital, como dificuldades de acesso para participantes com menor familiaridade com tecnologia, além da necessidade de garantir a proteção dos dados pessoais e a privacidade das informações compartilhadas no ambiente virtual.</w:t>
      </w:r>
    </w:p>
    <w:p w:rsidR="00000000" w:rsidDel="00000000" w:rsidP="00000000" w:rsidRDefault="00000000" w:rsidRPr="00000000" w14:paraId="000000D2">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Para diminuir esses riscos, a pesquisa contará com acompanhamento contínuo por profissionais capacitados, que fornecerão suporte para dúvidas e dificuldades, além de monitoramento clínico e nutricional para assegurar que as orientações estejam alinhadas às necessidades individuais dos participantes. Além disso, serão adotadas medidas de segurança digital para proteção das informações, garantindo a confidencialidade e o sigilo dos dados. Dessa forma, os riscos do estudo serão minimizados e amplamente superados pelos benefícios esperados para os participantes e para a comunidade científica.</w:t>
      </w:r>
    </w:p>
    <w:p w:rsidR="00000000" w:rsidDel="00000000" w:rsidP="00000000" w:rsidRDefault="00000000" w:rsidRPr="00000000" w14:paraId="000000D3">
      <w:pPr>
        <w:spacing w:line="360" w:lineRule="auto"/>
        <w:ind w:left="0" w:firstLine="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D4">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3.9 Benefícios</w:t>
      </w:r>
    </w:p>
    <w:p w:rsidR="00000000" w:rsidDel="00000000" w:rsidP="00000000" w:rsidRDefault="00000000" w:rsidRPr="00000000" w14:paraId="000000D5">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O presente projeto traz benefícios significativos tanto para os participantes quanto para a comunidade científica, promovendo avanços no manejo nutricional da Doença Renal Diabética (DRD). Para os pacientes, a intervenção nutricional interativa contribuirá para a melhoria do controle da ingestão proteica, promovendo maior aderência às recomendações alimentares e auxiliando na desaceleração da progressão da doença. Além disso, espera-se um aprimoramento no conhecimento dos participantes sobre a relação entre a ingestão de proteínas e a função renal, permitindo que façam escolhas alimentares mais conscientes e adequadas à sua condição de saúde.</w:t>
      </w:r>
    </w:p>
    <w:p w:rsidR="00000000" w:rsidDel="00000000" w:rsidP="00000000" w:rsidRDefault="00000000" w:rsidRPr="00000000" w14:paraId="000000D6">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D7">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A adoção de um plano alimentar mais equilibrado pode trazer impactos positivos na saúde renal e metabólica, com possíveis reduções nos níveis de creatinina, ureia e glicemia, bem como na melhora da taxa de filtração glomerular estimada (TFG). A preservação da massa muscular e a melhoria da funcionalidade também são esperadas, reduzindo o risco de sarcopenia, condição comum em pacientes com DRD. Além disso, o uso de plataformas digitais facilitará o acesso à educação nutricional e ao acompanhamento contínuo, tornando a adesão ao tratamento mais acessível e dinâmica.</w:t>
      </w:r>
    </w:p>
    <w:p w:rsidR="00000000" w:rsidDel="00000000" w:rsidP="00000000" w:rsidRDefault="00000000" w:rsidRPr="00000000" w14:paraId="000000D8">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D9">
      <w:pPr>
        <w:spacing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Para a comunidade científica, o estudo fornecerá evidências sobre a eficácia da nutrição interativa no controle da ingestão proteica em pacientes com DRD, contribuindo para a revisão de diretrizes nutricionais e protocolos clínicos. A aplicação de tecnologias digitais na educação alimentar poderá ser expandida para outras doenças crônicas, fortalecendo o papel da inovação na promoção da saúde. Além disso, os resultados obtidos poderão subsidiar políticas públicas, possibilitando a incorporação dessa estratégia em programas do Sistema Único de Saúde (SUS) e ampliando seu impacto para um número maior de pacientes. Dessa forma, o projeto se apresenta como uma abordagem inovadora e de grande relevância tanto para a prática clínica quanto para a pesquisa científica na área da nutrição e nefrologia.</w:t>
      </w:r>
    </w:p>
    <w:p w:rsidR="00000000" w:rsidDel="00000000" w:rsidP="00000000" w:rsidRDefault="00000000" w:rsidRPr="00000000" w14:paraId="000000DA">
      <w:pPr>
        <w:spacing w:line="360" w:lineRule="auto"/>
        <w:ind w:left="0" w:firstLine="0"/>
        <w:jc w:val="both"/>
        <w:rPr>
          <w:rFonts w:ascii="Times New Roman" w:cs="Times New Roman" w:eastAsia="Times New Roman" w:hAnsi="Times New Roman"/>
          <w:color w:val="0d0d0d"/>
          <w:sz w:val="24"/>
          <w:szCs w:val="24"/>
        </w:rPr>
        <w:sectPr>
          <w:headerReference r:id="rId12" w:type="default"/>
          <w:type w:val="nextPage"/>
          <w:pgSz w:h="16834" w:w="11909"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0DB">
      <w:pPr>
        <w:pStyle w:val="Heading1"/>
        <w:widowControl w:val="0"/>
        <w:numPr>
          <w:ilvl w:val="0"/>
          <w:numId w:val="2"/>
        </w:numPr>
        <w:spacing w:line="360" w:lineRule="auto"/>
        <w:ind w:left="720" w:hanging="360"/>
        <w:jc w:val="both"/>
        <w:rPr/>
      </w:pPr>
      <w:bookmarkStart w:colFirst="0" w:colLast="0" w:name="_heading=h.8k4aa8ypottf" w:id="30"/>
      <w:bookmarkEnd w:id="30"/>
      <w:r w:rsidDel="00000000" w:rsidR="00000000" w:rsidRPr="00000000">
        <w:rPr>
          <w:rtl w:val="0"/>
        </w:rPr>
        <w:t xml:space="preserve">CRONOGRAMA</w:t>
      </w:r>
    </w:p>
    <w:tbl>
      <w:tblPr>
        <w:tblStyle w:val="Table2"/>
        <w:tblW w:w="15720.0" w:type="dxa"/>
        <w:jc w:val="left"/>
        <w:tblInd w:w="-127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5"/>
        <w:gridCol w:w="1005"/>
        <w:gridCol w:w="1095"/>
        <w:gridCol w:w="855"/>
        <w:gridCol w:w="945"/>
        <w:gridCol w:w="1050"/>
        <w:gridCol w:w="945"/>
        <w:gridCol w:w="1050"/>
        <w:gridCol w:w="915"/>
        <w:gridCol w:w="990"/>
        <w:gridCol w:w="960"/>
        <w:gridCol w:w="975"/>
        <w:gridCol w:w="1065"/>
        <w:gridCol w:w="1185"/>
        <w:tblGridChange w:id="0">
          <w:tblGrid>
            <w:gridCol w:w="2685"/>
            <w:gridCol w:w="1005"/>
            <w:gridCol w:w="1095"/>
            <w:gridCol w:w="855"/>
            <w:gridCol w:w="945"/>
            <w:gridCol w:w="1050"/>
            <w:gridCol w:w="945"/>
            <w:gridCol w:w="1050"/>
            <w:gridCol w:w="915"/>
            <w:gridCol w:w="990"/>
            <w:gridCol w:w="960"/>
            <w:gridCol w:w="975"/>
            <w:gridCol w:w="1065"/>
            <w:gridCol w:w="1185"/>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C">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Atividades </w:t>
            </w:r>
          </w:p>
        </w:tc>
        <w:tc>
          <w:tcPr>
            <w:gridSpan w:val="6"/>
          </w:tcPr>
          <w:p w:rsidR="00000000" w:rsidDel="00000000" w:rsidP="00000000" w:rsidRDefault="00000000" w:rsidRPr="00000000" w14:paraId="000000DD">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2025</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E3">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2027</w:t>
            </w:r>
          </w:p>
        </w:tc>
      </w:tr>
      <w:tr>
        <w:trPr>
          <w:cantSplit w:val="0"/>
          <w:trHeight w:val="3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6BIM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1BIM</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Levantamento de dados bibliográficos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Elaboração do protocolo de pesquisa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Submissão e análise no Comitê de Ética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Treinamento da equipe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Início da coleta de dados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Análise preliminar dos dados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Intervenção com educação nutricional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Análise exploratória dos dados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Produção de artigos científicos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Reuniões científicas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keepLines w:val="1"/>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Devolutiva aos participantes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Lines w:val="1"/>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92">
      <w:pPr>
        <w:spacing w:line="240" w:lineRule="auto"/>
        <w:ind w:left="720" w:right="-568" w:firstLine="0"/>
        <w:jc w:val="both"/>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pStyle w:val="Heading1"/>
        <w:widowControl w:val="0"/>
        <w:numPr>
          <w:ilvl w:val="0"/>
          <w:numId w:val="2"/>
        </w:numPr>
        <w:ind w:left="720" w:hanging="360"/>
        <w:rPr>
          <w:rFonts w:ascii="Times New Roman" w:cs="Times New Roman" w:eastAsia="Times New Roman" w:hAnsi="Times New Roman"/>
          <w:b w:val="1"/>
          <w:sz w:val="24"/>
          <w:szCs w:val="24"/>
        </w:rPr>
      </w:pPr>
      <w:bookmarkStart w:colFirst="0" w:colLast="0" w:name="_heading=h.ugwedr4qzctf" w:id="31"/>
      <w:bookmarkEnd w:id="31"/>
      <w:r w:rsidDel="00000000" w:rsidR="00000000" w:rsidRPr="00000000">
        <w:rPr>
          <w:rtl w:val="0"/>
        </w:rPr>
        <w:t xml:space="preserve">ORÇAMENTO</w:t>
      </w:r>
      <w:r w:rsidDel="00000000" w:rsidR="00000000" w:rsidRPr="00000000">
        <w:rPr>
          <w:rtl w:val="0"/>
        </w:rPr>
      </w:r>
    </w:p>
    <w:p w:rsidR="00000000" w:rsidDel="00000000" w:rsidP="00000000" w:rsidRDefault="00000000" w:rsidRPr="00000000" w14:paraId="00000196">
      <w:pPr>
        <w:ind w:left="720" w:firstLine="0"/>
        <w:rPr/>
      </w:pPr>
      <w:r w:rsidDel="00000000" w:rsidR="00000000" w:rsidRPr="00000000">
        <w:rPr>
          <w:rtl w:val="0"/>
        </w:rPr>
        <w:t xml:space="preserve">Os valores serão custeados com recursos do pesquisador responsável.</w:t>
      </w:r>
    </w:p>
    <w:tbl>
      <w:tblPr>
        <w:tblStyle w:val="Table3"/>
        <w:tblW w:w="143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985"/>
        <w:gridCol w:w="1020"/>
        <w:gridCol w:w="2430"/>
        <w:gridCol w:w="4125"/>
        <w:tblGridChange w:id="0">
          <w:tblGrid>
            <w:gridCol w:w="795"/>
            <w:gridCol w:w="5985"/>
            <w:gridCol w:w="1020"/>
            <w:gridCol w:w="2430"/>
            <w:gridCol w:w="41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7">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Item</w:t>
            </w:r>
          </w:p>
        </w:tc>
        <w:tc>
          <w:tcPr>
            <w:shd w:fill="auto" w:val="clear"/>
            <w:tcMar>
              <w:top w:w="100.0" w:type="dxa"/>
              <w:left w:w="100.0" w:type="dxa"/>
              <w:bottom w:w="100.0" w:type="dxa"/>
              <w:right w:w="100.0" w:type="dxa"/>
            </w:tcMar>
          </w:tcPr>
          <w:p w:rsidR="00000000" w:rsidDel="00000000" w:rsidP="00000000" w:rsidRDefault="00000000" w:rsidRPr="00000000" w14:paraId="0000019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Discriminação</w:t>
            </w:r>
          </w:p>
        </w:tc>
        <w:tc>
          <w:tcPr>
            <w:shd w:fill="auto" w:val="clear"/>
            <w:tcMar>
              <w:top w:w="100.0" w:type="dxa"/>
              <w:left w:w="100.0" w:type="dxa"/>
              <w:bottom w:w="100.0" w:type="dxa"/>
              <w:right w:w="100.0" w:type="dxa"/>
            </w:tcMar>
          </w:tcPr>
          <w:p w:rsidR="00000000" w:rsidDel="00000000" w:rsidP="00000000" w:rsidRDefault="00000000" w:rsidRPr="00000000" w14:paraId="0000019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w:t>
            </w:r>
          </w:p>
        </w:tc>
        <w:tc>
          <w:tcPr>
            <w:shd w:fill="auto" w:val="clear"/>
            <w:tcMar>
              <w:top w:w="100.0" w:type="dxa"/>
              <w:left w:w="100.0" w:type="dxa"/>
              <w:bottom w:w="100.0" w:type="dxa"/>
              <w:right w:w="100.0" w:type="dxa"/>
            </w:tcMar>
          </w:tcPr>
          <w:p w:rsidR="00000000" w:rsidDel="00000000" w:rsidP="00000000" w:rsidRDefault="00000000" w:rsidRPr="00000000" w14:paraId="0000019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Valor unitário (R$)</w:t>
            </w:r>
          </w:p>
        </w:tc>
        <w:tc>
          <w:tcPr>
            <w:shd w:fill="auto" w:val="clear"/>
            <w:tcMar>
              <w:top w:w="100.0" w:type="dxa"/>
              <w:left w:w="100.0" w:type="dxa"/>
              <w:bottom w:w="100.0" w:type="dxa"/>
              <w:right w:w="100.0" w:type="dxa"/>
            </w:tcMar>
          </w:tcPr>
          <w:p w:rsidR="00000000" w:rsidDel="00000000" w:rsidP="00000000" w:rsidRDefault="00000000" w:rsidRPr="00000000" w14:paraId="0000019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9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Resma de papel a4</w:t>
            </w:r>
          </w:p>
        </w:tc>
        <w:tc>
          <w:tcPr>
            <w:shd w:fill="auto" w:val="clear"/>
            <w:tcMar>
              <w:top w:w="100.0" w:type="dxa"/>
              <w:left w:w="100.0" w:type="dxa"/>
              <w:bottom w:w="100.0" w:type="dxa"/>
              <w:right w:w="100.0" w:type="dxa"/>
            </w:tcMar>
          </w:tcPr>
          <w:p w:rsidR="00000000" w:rsidDel="00000000" w:rsidP="00000000" w:rsidRDefault="00000000" w:rsidRPr="00000000" w14:paraId="0000019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33,59</w:t>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134,36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A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Caixa de caneta </w:t>
            </w:r>
          </w:p>
        </w:tc>
        <w:tc>
          <w:tcPr>
            <w:shd w:fill="auto" w:val="clear"/>
            <w:tcMar>
              <w:top w:w="100.0" w:type="dxa"/>
              <w:left w:w="100.0" w:type="dxa"/>
              <w:bottom w:w="100.0" w:type="dxa"/>
              <w:right w:w="100.0" w:type="dxa"/>
            </w:tcMar>
          </w:tcPr>
          <w:p w:rsidR="00000000" w:rsidDel="00000000" w:rsidP="00000000" w:rsidRDefault="00000000" w:rsidRPr="00000000" w14:paraId="000001A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A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62,25</w:t>
            </w:r>
          </w:p>
        </w:tc>
        <w:tc>
          <w:tcPr>
            <w:shd w:fill="auto" w:val="clear"/>
            <w:tcMar>
              <w:top w:w="100.0" w:type="dxa"/>
              <w:left w:w="100.0" w:type="dxa"/>
              <w:bottom w:w="100.0" w:type="dxa"/>
              <w:right w:w="100.0" w:type="dxa"/>
            </w:tcMar>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62,25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A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Caixa de grampos </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A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9,93</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9,93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A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Pasta de arquivo sanfon</w:t>
            </w:r>
          </w:p>
          <w:p w:rsidR="00000000" w:rsidDel="00000000" w:rsidP="00000000" w:rsidRDefault="00000000" w:rsidRPr="00000000" w14:paraId="000001A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ada</w:t>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70,00</w:t>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B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Eletrodos para bioimpedância</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117,60</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352,80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B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Luva descartável - caixa</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30,00</w:t>
            </w:r>
          </w:p>
        </w:tc>
        <w:tc>
          <w:tcPr>
            <w:shd w:fill="auto" w:val="clear"/>
            <w:tcMar>
              <w:top w:w="100.0" w:type="dxa"/>
              <w:left w:w="100.0" w:type="dxa"/>
              <w:bottom w:w="100.0" w:type="dxa"/>
              <w:right w:w="100.0" w:type="dxa"/>
            </w:tcMar>
          </w:tcPr>
          <w:p w:rsidR="00000000" w:rsidDel="00000000" w:rsidP="00000000" w:rsidRDefault="00000000" w:rsidRPr="00000000" w14:paraId="000001B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000001" w:space="0" w:sz="8" w:val="single"/>
              <w:left w:color="00000a" w:space="0" w:sz="8" w:val="single"/>
              <w:bottom w:color="000001" w:space="0" w:sz="8" w:val="single"/>
              <w:right w:color="000001" w:space="0" w:sz="8" w:val="single"/>
            </w:tcBorders>
            <w:tcMar>
              <w:top w:w="100.0" w:type="dxa"/>
              <w:left w:w="100.0" w:type="dxa"/>
              <w:bottom w:w="100.0" w:type="dxa"/>
              <w:right w:w="100.0" w:type="dxa"/>
            </w:tcMar>
            <w:vAlign w:val="center"/>
          </w:tcPr>
          <w:p w:rsidR="00000000" w:rsidDel="00000000" w:rsidP="00000000" w:rsidRDefault="00000000" w:rsidRPr="00000000" w14:paraId="000001B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Máscara descartável- caixa</w:t>
            </w:r>
          </w:p>
        </w:tc>
        <w:tc>
          <w:tcPr>
            <w:shd w:fill="auto" w:val="clear"/>
            <w:tcMar>
              <w:top w:w="100.0" w:type="dxa"/>
              <w:left w:w="100.0" w:type="dxa"/>
              <w:bottom w:w="100.0" w:type="dxa"/>
              <w:right w:w="100.0" w:type="dxa"/>
            </w:tcMar>
          </w:tcPr>
          <w:p w:rsidR="00000000" w:rsidDel="00000000" w:rsidP="00000000" w:rsidRDefault="00000000" w:rsidRPr="00000000" w14:paraId="000001B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20,00</w:t>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80,00</w:t>
            </w:r>
          </w:p>
        </w:tc>
      </w:tr>
      <w:tr>
        <w:trPr>
          <w:cantSplit w:val="0"/>
          <w:trHeight w:val="440" w:hRule="atLeast"/>
          <w:tblHeader w:val="0"/>
        </w:trPr>
        <w:tc>
          <w:tcPr>
            <w:gridSpan w:val="4"/>
            <w:shd w:fill="cccccc" w:val="clear"/>
            <w:tcMar>
              <w:top w:w="100.0" w:type="dxa"/>
              <w:left w:w="100.0" w:type="dxa"/>
              <w:bottom w:w="100.0" w:type="dxa"/>
              <w:right w:w="100.0" w:type="dxa"/>
            </w:tcMar>
          </w:tcPr>
          <w:p w:rsidR="00000000" w:rsidDel="00000000" w:rsidP="00000000" w:rsidRDefault="00000000" w:rsidRPr="00000000" w14:paraId="000001C0">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w:t>
            </w:r>
          </w:p>
        </w:tc>
        <w:tc>
          <w:tcPr>
            <w:shd w:fill="cccccc" w:val="clear"/>
            <w:tcMar>
              <w:top w:w="100.0" w:type="dxa"/>
              <w:left w:w="100.0" w:type="dxa"/>
              <w:bottom w:w="100.0" w:type="dxa"/>
              <w:right w:w="100.0" w:type="dxa"/>
            </w:tcMar>
          </w:tcPr>
          <w:p w:rsidR="00000000" w:rsidDel="00000000" w:rsidP="00000000" w:rsidRDefault="00000000" w:rsidRPr="00000000" w14:paraId="000001C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899,34</w:t>
            </w:r>
          </w:p>
        </w:tc>
      </w:tr>
    </w:tbl>
    <w:p w:rsidR="00000000" w:rsidDel="00000000" w:rsidP="00000000" w:rsidRDefault="00000000" w:rsidRPr="00000000" w14:paraId="000001C5">
      <w:pPr>
        <w:spacing w:line="360" w:lineRule="auto"/>
        <w:rPr/>
        <w:sectPr>
          <w:type w:val="nextPage"/>
          <w:pgSz w:h="11909" w:w="16834" w:orient="landscape"/>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1C6">
      <w:pPr>
        <w:pStyle w:val="Heading1"/>
        <w:spacing w:line="360" w:lineRule="auto"/>
        <w:ind w:left="0" w:firstLine="0"/>
        <w:rPr/>
      </w:pPr>
      <w:bookmarkStart w:colFirst="0" w:colLast="0" w:name="_heading=h.lp5h3lbf3xo6" w:id="32"/>
      <w:bookmarkEnd w:id="32"/>
      <w:r w:rsidDel="00000000" w:rsidR="00000000" w:rsidRPr="00000000">
        <w:rPr>
          <w:rtl w:val="0"/>
        </w:rPr>
        <w:t xml:space="preserve">REFERÊNCIAS BIBLIOGRÁFICAS</w:t>
      </w:r>
    </w:p>
    <w:p w:rsidR="00000000" w:rsidDel="00000000" w:rsidP="00000000" w:rsidRDefault="00000000" w:rsidRPr="00000000" w14:paraId="000001C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BEAUDRY, Kayleigh M.; DEVRIES, Michaela C. Nutritional strategies to combat type 2 diabetes in aging adults: the importance of protein. </w:t>
      </w:r>
      <w:r w:rsidDel="00000000" w:rsidR="00000000" w:rsidRPr="00000000">
        <w:rPr>
          <w:rFonts w:ascii="Times New Roman" w:cs="Times New Roman" w:eastAsia="Times New Roman" w:hAnsi="Times New Roman"/>
          <w:i w:val="1"/>
          <w:sz w:val="24"/>
          <w:szCs w:val="24"/>
          <w:rtl w:val="0"/>
        </w:rPr>
        <w:t xml:space="preserve">Frontiers in Nutrition</w:t>
      </w:r>
      <w:r w:rsidDel="00000000" w:rsidR="00000000" w:rsidRPr="00000000">
        <w:rPr>
          <w:rFonts w:ascii="Times New Roman" w:cs="Times New Roman" w:eastAsia="Times New Roman" w:hAnsi="Times New Roman"/>
          <w:sz w:val="24"/>
          <w:szCs w:val="24"/>
          <w:rtl w:val="0"/>
        </w:rPr>
        <w:t xml:space="preserve">, 2019. Disponível em: https://doi.org/10.3389/FNUT.2019.00138. Acesso em: 27 nov. 2024.</w:t>
      </w:r>
    </w:p>
    <w:p w:rsidR="00000000" w:rsidDel="00000000" w:rsidP="00000000" w:rsidRDefault="00000000" w:rsidRPr="00000000" w14:paraId="000001C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BIKBOV, Boris et al. Global, regional, and national burden of chronic kidney disease, 1990–2017: a systematic analysis for the Global Burden of Disease Study 2017.</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The Lancet</w:t>
      </w:r>
      <w:r w:rsidDel="00000000" w:rsidR="00000000" w:rsidRPr="00000000">
        <w:rPr>
          <w:rFonts w:ascii="Times New Roman" w:cs="Times New Roman" w:eastAsia="Times New Roman" w:hAnsi="Times New Roman"/>
          <w:sz w:val="24"/>
          <w:szCs w:val="24"/>
          <w:rtl w:val="0"/>
        </w:rPr>
        <w:t xml:space="preserve">, v. 395, n. 10225, p. 709-73, 2020.</w:t>
      </w:r>
    </w:p>
    <w:p w:rsidR="00000000" w:rsidDel="00000000" w:rsidP="00000000" w:rsidRDefault="00000000" w:rsidRPr="00000000" w14:paraId="000001C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CASTELLS, Manuel. A sociedade em rede. A era da informação: economia, sociedade e cultura. São Paulo: </w:t>
      </w:r>
      <w:r w:rsidDel="00000000" w:rsidR="00000000" w:rsidRPr="00000000">
        <w:rPr>
          <w:rFonts w:ascii="Times New Roman" w:cs="Times New Roman" w:eastAsia="Times New Roman" w:hAnsi="Times New Roman"/>
          <w:b w:val="1"/>
          <w:sz w:val="24"/>
          <w:szCs w:val="24"/>
          <w:rtl w:val="0"/>
        </w:rPr>
        <w:t xml:space="preserve">Paz e Terra</w:t>
      </w:r>
      <w:r w:rsidDel="00000000" w:rsidR="00000000" w:rsidRPr="00000000">
        <w:rPr>
          <w:rFonts w:ascii="Times New Roman" w:cs="Times New Roman" w:eastAsia="Times New Roman" w:hAnsi="Times New Roman"/>
          <w:sz w:val="24"/>
          <w:szCs w:val="24"/>
          <w:rtl w:val="0"/>
        </w:rPr>
        <w:t xml:space="preserve">, 1999. Disponível em:</w:t>
      </w:r>
      <w:hyperlink r:id="rId13">
        <w:r w:rsidDel="00000000" w:rsidR="00000000" w:rsidRPr="00000000">
          <w:rPr>
            <w:rFonts w:ascii="Times New Roman" w:cs="Times New Roman" w:eastAsia="Times New Roman" w:hAnsi="Times New Roman"/>
            <w:sz w:val="24"/>
            <w:szCs w:val="24"/>
            <w:rtl w:val="0"/>
          </w:rPr>
          <w:t xml:space="preserve"> </w:t>
        </w:r>
      </w:hyperlink>
      <w:hyperlink r:id="rId14">
        <w:r w:rsidDel="00000000" w:rsidR="00000000" w:rsidRPr="00000000">
          <w:rPr>
            <w:rFonts w:ascii="Times New Roman" w:cs="Times New Roman" w:eastAsia="Times New Roman" w:hAnsi="Times New Roman"/>
            <w:color w:val="1155cc"/>
            <w:sz w:val="24"/>
            <w:szCs w:val="24"/>
            <w:u w:val="single"/>
            <w:rtl w:val="0"/>
          </w:rPr>
          <w:t xml:space="preserve">http://www.fafich.ufmg.br/ppgs/wp-content/uploads/2020/09/1-CASTELLS-Manuel.-Pr%C3%B3logo_-a-rede-e-o-ser...-pp-39-a-66_compressed.pdf</w:t>
        </w:r>
      </w:hyperlink>
      <w:r w:rsidDel="00000000" w:rsidR="00000000" w:rsidRPr="00000000">
        <w:rPr>
          <w:rFonts w:ascii="Times New Roman" w:cs="Times New Roman" w:eastAsia="Times New Roman" w:hAnsi="Times New Roman"/>
          <w:sz w:val="24"/>
          <w:szCs w:val="24"/>
          <w:rtl w:val="0"/>
        </w:rPr>
        <w:t xml:space="preserve">. Acesso em: 1 fev. 2024.</w:t>
      </w:r>
    </w:p>
    <w:p w:rsidR="00000000" w:rsidDel="00000000" w:rsidP="00000000" w:rsidRDefault="00000000" w:rsidRPr="00000000" w14:paraId="000001C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DĄBEK, Bartłomiej et al. Novel therapeutic approaches in the management of chronic kidney disease.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Biomedicines</w:t>
      </w:r>
      <w:r w:rsidDel="00000000" w:rsidR="00000000" w:rsidRPr="00000000">
        <w:rPr>
          <w:rFonts w:ascii="Times New Roman" w:cs="Times New Roman" w:eastAsia="Times New Roman" w:hAnsi="Times New Roman"/>
          <w:sz w:val="24"/>
          <w:szCs w:val="24"/>
          <w:rtl w:val="0"/>
        </w:rPr>
        <w:t xml:space="preserve">, 2023. DOI: 10.3390/biomedicines11102746.</w:t>
      </w:r>
    </w:p>
    <w:p w:rsidR="00000000" w:rsidDel="00000000" w:rsidP="00000000" w:rsidRDefault="00000000" w:rsidRPr="00000000" w14:paraId="000001C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Diretriz Oficial da Sociedade Brasileira de Diabetes, SBD- 2022. Terapia Nutricional no Pré-Diabetes e no Diabetes Mellitus Tipo 2. </w:t>
      </w:r>
    </w:p>
    <w:p w:rsidR="00000000" w:rsidDel="00000000" w:rsidP="00000000" w:rsidRDefault="00000000" w:rsidRPr="00000000" w14:paraId="000001C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GASANOV, M. Z. Саркопения у пациентов с хронической болезнью почек: распространенность, особенности патогенеза и клиническое значение. </w:t>
      </w:r>
      <w:r w:rsidDel="00000000" w:rsidR="00000000" w:rsidRPr="00000000">
        <w:rPr>
          <w:rFonts w:ascii="Times New Roman" w:cs="Times New Roman" w:eastAsia="Times New Roman" w:hAnsi="Times New Roman"/>
          <w:b w:val="1"/>
          <w:i w:val="1"/>
          <w:sz w:val="24"/>
          <w:szCs w:val="24"/>
          <w:rtl w:val="0"/>
        </w:rPr>
        <w:t xml:space="preserve">Nephrology News</w:t>
      </w:r>
      <w:r w:rsidDel="00000000" w:rsidR="00000000" w:rsidRPr="00000000">
        <w:rPr>
          <w:rFonts w:ascii="Times New Roman" w:cs="Times New Roman" w:eastAsia="Times New Roman" w:hAnsi="Times New Roman"/>
          <w:sz w:val="24"/>
          <w:szCs w:val="24"/>
          <w:rtl w:val="0"/>
        </w:rPr>
        <w:t xml:space="preserve">, v. 25, n. 1, p. 47-58, 2021. DOI: 10.36485/1561-6274-2021-25-1-47-58.</w:t>
      </w:r>
    </w:p>
    <w:p w:rsidR="00000000" w:rsidDel="00000000" w:rsidP="00000000" w:rsidRDefault="00000000" w:rsidRPr="00000000" w14:paraId="000001C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IKIZLER, T. A. et al. </w:t>
      </w:r>
      <w:r w:rsidDel="00000000" w:rsidR="00000000" w:rsidRPr="00000000">
        <w:rPr>
          <w:rFonts w:ascii="Times New Roman" w:cs="Times New Roman" w:eastAsia="Times New Roman" w:hAnsi="Times New Roman"/>
          <w:b w:val="1"/>
          <w:sz w:val="24"/>
          <w:szCs w:val="24"/>
          <w:rtl w:val="0"/>
        </w:rPr>
        <w:t xml:space="preserve">KDOQI Clinical Practice Guideline for Nutrition in CKD: 2020 Update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American Journal of Kidney Diseases</w:t>
      </w:r>
      <w:r w:rsidDel="00000000" w:rsidR="00000000" w:rsidRPr="00000000">
        <w:rPr>
          <w:rFonts w:ascii="Times New Roman" w:cs="Times New Roman" w:eastAsia="Times New Roman" w:hAnsi="Times New Roman"/>
          <w:sz w:val="24"/>
          <w:szCs w:val="24"/>
          <w:rtl w:val="0"/>
        </w:rPr>
        <w:t xml:space="preserve">, v. 76, n. 3 Suppl 1, p. S1-S107, 2020. DOI: 10.1053/j.ajkd.2020.05.006.</w:t>
      </w:r>
    </w:p>
    <w:p w:rsidR="00000000" w:rsidDel="00000000" w:rsidP="00000000" w:rsidRDefault="00000000" w:rsidRPr="00000000" w14:paraId="000001C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KRESS, Gunther. </w:t>
      </w:r>
      <w:r w:rsidDel="00000000" w:rsidR="00000000" w:rsidRPr="00000000">
        <w:rPr>
          <w:rFonts w:ascii="Times New Roman" w:cs="Times New Roman" w:eastAsia="Times New Roman" w:hAnsi="Times New Roman"/>
          <w:b w:val="1"/>
          <w:i w:val="1"/>
          <w:sz w:val="24"/>
          <w:szCs w:val="24"/>
          <w:rtl w:val="0"/>
        </w:rPr>
        <w:t xml:space="preserve">Literacy in the new media age</w:t>
      </w:r>
      <w:r w:rsidDel="00000000" w:rsidR="00000000" w:rsidRPr="00000000">
        <w:rPr>
          <w:rFonts w:ascii="Times New Roman" w:cs="Times New Roman" w:eastAsia="Times New Roman" w:hAnsi="Times New Roman"/>
          <w:sz w:val="24"/>
          <w:szCs w:val="24"/>
          <w:rtl w:val="0"/>
        </w:rPr>
        <w:t xml:space="preserve">. London: Routledge, 2003.</w:t>
      </w:r>
    </w:p>
    <w:p w:rsidR="00000000" w:rsidDel="00000000" w:rsidP="00000000" w:rsidRDefault="00000000" w:rsidRPr="00000000" w14:paraId="000001C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KOPPE, Laetitia; ARKOUCHE, Walid; FOUQUE, Denis. Which optimal protein intake in maintenance dialysis patients? </w:t>
      </w:r>
      <w:r w:rsidDel="00000000" w:rsidR="00000000" w:rsidRPr="00000000">
        <w:rPr>
          <w:rFonts w:ascii="Times New Roman" w:cs="Times New Roman" w:eastAsia="Times New Roman" w:hAnsi="Times New Roman"/>
          <w:i w:val="1"/>
          <w:sz w:val="24"/>
          <w:szCs w:val="24"/>
          <w:rtl w:val="0"/>
        </w:rPr>
        <w:t xml:space="preserve">Journal of Human Nutrition and Dietetics</w:t>
      </w:r>
      <w:r w:rsidDel="00000000" w:rsidR="00000000" w:rsidRPr="00000000">
        <w:rPr>
          <w:rFonts w:ascii="Times New Roman" w:cs="Times New Roman" w:eastAsia="Times New Roman" w:hAnsi="Times New Roman"/>
          <w:sz w:val="24"/>
          <w:szCs w:val="24"/>
          <w:rtl w:val="0"/>
        </w:rPr>
        <w:t xml:space="preserve">, 2013. Disponível em: https://doi.org/10.1111/JHN.12128. Acesso em: 27 nov. 2024.</w:t>
      </w:r>
    </w:p>
    <w:p w:rsidR="00000000" w:rsidDel="00000000" w:rsidP="00000000" w:rsidRDefault="00000000" w:rsidRPr="00000000" w14:paraId="000001D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KUMAR, Subir; PUSHPPAKUMAR, Juin Sathnur; TYAGI, Suresh C.; SEN, Utpal. Glucosidase inhibitor, Nimbidiol ameliorates renal fibrosis and dysfunction in type-1 diabetes. </w:t>
      </w:r>
      <w:r w:rsidDel="00000000" w:rsidR="00000000" w:rsidRPr="00000000">
        <w:rPr>
          <w:rFonts w:ascii="Times New Roman" w:cs="Times New Roman" w:eastAsia="Times New Roman" w:hAnsi="Times New Roman"/>
          <w:b w:val="1"/>
          <w:i w:val="1"/>
          <w:sz w:val="24"/>
          <w:szCs w:val="24"/>
          <w:rtl w:val="0"/>
        </w:rPr>
        <w:t xml:space="preserve">Dental Science Reports</w:t>
      </w:r>
      <w:r w:rsidDel="00000000" w:rsidR="00000000" w:rsidRPr="00000000">
        <w:rPr>
          <w:rFonts w:ascii="Times New Roman" w:cs="Times New Roman" w:eastAsia="Times New Roman" w:hAnsi="Times New Roman"/>
          <w:sz w:val="24"/>
          <w:szCs w:val="24"/>
          <w:rtl w:val="0"/>
        </w:rPr>
        <w:t xml:space="preserve">, 2022. DOI: 10.1038/s41598-022-25848-1.</w:t>
      </w:r>
    </w:p>
    <w:p w:rsidR="00000000" w:rsidDel="00000000" w:rsidP="00000000" w:rsidRDefault="00000000" w:rsidRPr="00000000" w14:paraId="000001D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RUSSA, Antonella et al. Kidney fibrosis and matrix metalloproteinases (MMPs). </w:t>
      </w:r>
      <w:r w:rsidDel="00000000" w:rsidR="00000000" w:rsidRPr="00000000">
        <w:rPr>
          <w:rFonts w:ascii="Times New Roman" w:cs="Times New Roman" w:eastAsia="Times New Roman" w:hAnsi="Times New Roman"/>
          <w:b w:val="1"/>
          <w:i w:val="1"/>
          <w:sz w:val="24"/>
          <w:szCs w:val="24"/>
          <w:rtl w:val="0"/>
        </w:rPr>
        <w:t xml:space="preserve">Frontiers in Bioscience</w:t>
      </w:r>
      <w:r w:rsidDel="00000000" w:rsidR="00000000" w:rsidRPr="00000000">
        <w:rPr>
          <w:rFonts w:ascii="Times New Roman" w:cs="Times New Roman" w:eastAsia="Times New Roman" w:hAnsi="Times New Roman"/>
          <w:sz w:val="24"/>
          <w:szCs w:val="24"/>
          <w:rtl w:val="0"/>
        </w:rPr>
        <w:t xml:space="preserve">, 2024. DOI: 10.31083/j.fbl2905192.</w:t>
      </w:r>
    </w:p>
    <w:p w:rsidR="00000000" w:rsidDel="00000000" w:rsidP="00000000" w:rsidRDefault="00000000" w:rsidRPr="00000000" w14:paraId="000001D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Chang-Hyun et al. Synergic association of diabetes mellitus and chronic kidney disease with muscle loss and cachexia: results of a 16-year longitudinal follow-up of a community-based prospective cohort study. </w:t>
      </w:r>
      <w:r w:rsidDel="00000000" w:rsidR="00000000" w:rsidRPr="00000000">
        <w:rPr>
          <w:rFonts w:ascii="Times New Roman" w:cs="Times New Roman" w:eastAsia="Times New Roman" w:hAnsi="Times New Roman"/>
          <w:b w:val="1"/>
          <w:i w:val="1"/>
          <w:sz w:val="24"/>
          <w:szCs w:val="24"/>
          <w:rtl w:val="0"/>
        </w:rPr>
        <w:t xml:space="preserve">Aging</w:t>
      </w:r>
      <w:r w:rsidDel="00000000" w:rsidR="00000000" w:rsidRPr="00000000">
        <w:rPr>
          <w:rFonts w:ascii="Times New Roman" w:cs="Times New Roman" w:eastAsia="Times New Roman" w:hAnsi="Times New Roman"/>
          <w:sz w:val="24"/>
          <w:szCs w:val="24"/>
          <w:rtl w:val="0"/>
        </w:rPr>
        <w:t xml:space="preserve">, 2021. DOI: 10.18632/AGING.203539.</w:t>
      </w:r>
    </w:p>
    <w:p w:rsidR="00000000" w:rsidDel="00000000" w:rsidP="00000000" w:rsidRDefault="00000000" w:rsidRPr="00000000" w14:paraId="000001D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LUENGO-PÉREZ, Luis Miguel; KENDRICK, Jessica. Practice what you preach: the kidney diet challenge. </w:t>
      </w:r>
      <w:r w:rsidDel="00000000" w:rsidR="00000000" w:rsidRPr="00000000">
        <w:rPr>
          <w:rFonts w:ascii="Times New Roman" w:cs="Times New Roman" w:eastAsia="Times New Roman" w:hAnsi="Times New Roman"/>
          <w:i w:val="1"/>
          <w:sz w:val="24"/>
          <w:szCs w:val="24"/>
          <w:rtl w:val="0"/>
        </w:rPr>
        <w:t xml:space="preserve">Kidney360</w:t>
      </w:r>
      <w:r w:rsidDel="00000000" w:rsidR="00000000" w:rsidRPr="00000000">
        <w:rPr>
          <w:rFonts w:ascii="Times New Roman" w:cs="Times New Roman" w:eastAsia="Times New Roman" w:hAnsi="Times New Roman"/>
          <w:sz w:val="24"/>
          <w:szCs w:val="24"/>
          <w:rtl w:val="0"/>
        </w:rPr>
        <w:t xml:space="preserve">, 2022. Disponível em: https://doi.org/10.34067/kid.0006892021. Acesso em: 27 nov. 2024.</w:t>
      </w:r>
    </w:p>
    <w:p w:rsidR="00000000" w:rsidDel="00000000" w:rsidP="00000000" w:rsidRDefault="00000000" w:rsidRPr="00000000" w14:paraId="000001D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MORSE, H.; BROWN, A. The benefits, challenges and impacts of accessing social media group support for breastfeeding: A systematic review. </w:t>
      </w:r>
      <w:r w:rsidDel="00000000" w:rsidR="00000000" w:rsidRPr="00000000">
        <w:rPr>
          <w:rFonts w:ascii="Times New Roman" w:cs="Times New Roman" w:eastAsia="Times New Roman" w:hAnsi="Times New Roman"/>
          <w:b w:val="1"/>
          <w:i w:val="1"/>
          <w:sz w:val="24"/>
          <w:szCs w:val="24"/>
          <w:rtl w:val="0"/>
        </w:rPr>
        <w:t xml:space="preserve">Maternal &amp; Child Nutrition</w:t>
      </w:r>
      <w:r w:rsidDel="00000000" w:rsidR="00000000" w:rsidRPr="00000000">
        <w:rPr>
          <w:rFonts w:ascii="Times New Roman" w:cs="Times New Roman" w:eastAsia="Times New Roman" w:hAnsi="Times New Roman"/>
          <w:sz w:val="24"/>
          <w:szCs w:val="24"/>
          <w:rtl w:val="0"/>
        </w:rPr>
        <w:t xml:space="preserve">, v. 18, n. 4, 2022. DOI: 10.1111/mcn.13399. Acesso em: 9 jan. 2024.</w:t>
      </w:r>
    </w:p>
    <w:p w:rsidR="00000000" w:rsidDel="00000000" w:rsidP="00000000" w:rsidRDefault="00000000" w:rsidRPr="00000000" w14:paraId="000001D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 Hui et al. CKD stimulates muscle protein loss via Rho-associated protein kinase 1 activation. </w:t>
      </w:r>
      <w:r w:rsidDel="00000000" w:rsidR="00000000" w:rsidRPr="00000000">
        <w:rPr>
          <w:rFonts w:ascii="Times New Roman" w:cs="Times New Roman" w:eastAsia="Times New Roman" w:hAnsi="Times New Roman"/>
          <w:b w:val="1"/>
          <w:i w:val="1"/>
          <w:sz w:val="24"/>
          <w:szCs w:val="24"/>
          <w:rtl w:val="0"/>
        </w:rPr>
        <w:t xml:space="preserve">Journal of The American Society of Nephrology</w:t>
      </w:r>
      <w:r w:rsidDel="00000000" w:rsidR="00000000" w:rsidRPr="00000000">
        <w:rPr>
          <w:rFonts w:ascii="Times New Roman" w:cs="Times New Roman" w:eastAsia="Times New Roman" w:hAnsi="Times New Roman"/>
          <w:sz w:val="24"/>
          <w:szCs w:val="24"/>
          <w:rtl w:val="0"/>
        </w:rPr>
        <w:t xml:space="preserve">, 2016. DOI: 10.1681/ASN.2014121208.</w:t>
      </w:r>
    </w:p>
    <w:p w:rsidR="00000000" w:rsidDel="00000000" w:rsidP="00000000" w:rsidRDefault="00000000" w:rsidRPr="00000000" w14:paraId="000001D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RASOOL, Najah R.; SHAKER, Saad Hadi. Pathophysiology of diabetic nephropathy. </w:t>
      </w:r>
      <w:r w:rsidDel="00000000" w:rsidR="00000000" w:rsidRPr="00000000">
        <w:rPr>
          <w:rFonts w:ascii="Times New Roman" w:cs="Times New Roman" w:eastAsia="Times New Roman" w:hAnsi="Times New Roman"/>
          <w:b w:val="1"/>
          <w:i w:val="1"/>
          <w:sz w:val="24"/>
          <w:szCs w:val="24"/>
          <w:rtl w:val="0"/>
        </w:rPr>
        <w:t xml:space="preserve">Diabetic Nephropathy</w:t>
      </w:r>
      <w:r w:rsidDel="00000000" w:rsidR="00000000" w:rsidRPr="00000000">
        <w:rPr>
          <w:rFonts w:ascii="Times New Roman" w:cs="Times New Roman" w:eastAsia="Times New Roman" w:hAnsi="Times New Roman"/>
          <w:sz w:val="24"/>
          <w:szCs w:val="24"/>
          <w:rtl w:val="0"/>
        </w:rPr>
        <w:t xml:space="preserve">, 2022. DOI: 10.9734/bpi/mono/978-93-5547-365-3/ch1.</w:t>
      </w:r>
    </w:p>
    <w:p w:rsidR="00000000" w:rsidDel="00000000" w:rsidP="00000000" w:rsidRDefault="00000000" w:rsidRPr="00000000" w14:paraId="000001D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SINHA, Satyesh K.; NICHOLAS, Susanne B. Pathomechanisms of diabetic kidney disease. </w:t>
      </w:r>
      <w:r w:rsidDel="00000000" w:rsidR="00000000" w:rsidRPr="00000000">
        <w:rPr>
          <w:rFonts w:ascii="Times New Roman" w:cs="Times New Roman" w:eastAsia="Times New Roman" w:hAnsi="Times New Roman"/>
          <w:b w:val="1"/>
          <w:i w:val="1"/>
          <w:sz w:val="24"/>
          <w:szCs w:val="24"/>
          <w:rtl w:val="0"/>
        </w:rPr>
        <w:t xml:space="preserve">Journal of Clinical Medicine</w:t>
      </w:r>
      <w:r w:rsidDel="00000000" w:rsidR="00000000" w:rsidRPr="00000000">
        <w:rPr>
          <w:rFonts w:ascii="Times New Roman" w:cs="Times New Roman" w:eastAsia="Times New Roman" w:hAnsi="Times New Roman"/>
          <w:sz w:val="24"/>
          <w:szCs w:val="24"/>
          <w:rtl w:val="0"/>
        </w:rPr>
        <w:t xml:space="preserve">, v. 12, n. 23, p. 7349, 2023. DOI: 10.3390/jcm12237349.</w:t>
      </w:r>
    </w:p>
    <w:p w:rsidR="00000000" w:rsidDel="00000000" w:rsidP="00000000" w:rsidRDefault="00000000" w:rsidRPr="00000000" w14:paraId="000001D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SPEXOTO, Maria Claudia Bernardes; RAMÍREZ, Paula Camila; MÁXIMO, Roberta de Oliveira; STEPTOE, Andrew; DE OLIVEIRA, Cesar; ALEXANDRE, Tiago da Silva. European Working Group on Sarcopenia in Older People 2010 (EWGSOP1) and 2019 (EWGSOP2) criteria or slowness: which is the best predictor of mortality risk in older adults? </w:t>
      </w:r>
      <w:r w:rsidDel="00000000" w:rsidR="00000000" w:rsidRPr="00000000">
        <w:rPr>
          <w:rFonts w:ascii="Times New Roman" w:cs="Times New Roman" w:eastAsia="Times New Roman" w:hAnsi="Times New Roman"/>
          <w:i w:val="1"/>
          <w:sz w:val="24"/>
          <w:szCs w:val="24"/>
          <w:rtl w:val="0"/>
        </w:rPr>
        <w:t xml:space="preserve">Age and Ageing</w:t>
      </w:r>
      <w:r w:rsidDel="00000000" w:rsidR="00000000" w:rsidRPr="00000000">
        <w:rPr>
          <w:rFonts w:ascii="Times New Roman" w:cs="Times New Roman" w:eastAsia="Times New Roman" w:hAnsi="Times New Roman"/>
          <w:sz w:val="24"/>
          <w:szCs w:val="24"/>
          <w:rtl w:val="0"/>
        </w:rPr>
        <w:t xml:space="preserve">, v. 51, n. 7, jul. 2022. Disponível em:</w:t>
      </w:r>
      <w:hyperlink r:id="rId15">
        <w:r w:rsidDel="00000000" w:rsidR="00000000" w:rsidRPr="00000000">
          <w:rPr>
            <w:rFonts w:ascii="Times New Roman" w:cs="Times New Roman" w:eastAsia="Times New Roman" w:hAnsi="Times New Roman"/>
            <w:sz w:val="24"/>
            <w:szCs w:val="24"/>
            <w:rtl w:val="0"/>
          </w:rPr>
          <w:t xml:space="preserve"> </w:t>
        </w:r>
      </w:hyperlink>
      <w:hyperlink r:id="rId16">
        <w:r w:rsidDel="00000000" w:rsidR="00000000" w:rsidRPr="00000000">
          <w:rPr>
            <w:rFonts w:ascii="Times New Roman" w:cs="Times New Roman" w:eastAsia="Times New Roman" w:hAnsi="Times New Roman"/>
            <w:color w:val="1155cc"/>
            <w:sz w:val="24"/>
            <w:szCs w:val="24"/>
            <w:u w:val="single"/>
            <w:rtl w:val="0"/>
          </w:rPr>
          <w:t xml:space="preserve">https://doi.org/10.1093/ageing/afac164</w:t>
        </w:r>
      </w:hyperlink>
      <w:r w:rsidDel="00000000" w:rsidR="00000000" w:rsidRPr="00000000">
        <w:rPr>
          <w:rFonts w:ascii="Times New Roman" w:cs="Times New Roman" w:eastAsia="Times New Roman" w:hAnsi="Times New Roman"/>
          <w:sz w:val="24"/>
          <w:szCs w:val="24"/>
          <w:rtl w:val="0"/>
        </w:rPr>
        <w:t xml:space="preserve">. Acesso em: 27 nov. 2024.</w:t>
      </w:r>
    </w:p>
    <w:p w:rsidR="00000000" w:rsidDel="00000000" w:rsidP="00000000" w:rsidRDefault="00000000" w:rsidRPr="00000000" w14:paraId="000001D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VERGNAUD, Paul; COHEN, Camille; ISNARD, Pierre. Towards understanding chronic kidney disease.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M S-médecine Sciences</w:t>
      </w:r>
      <w:r w:rsidDel="00000000" w:rsidR="00000000" w:rsidRPr="00000000">
        <w:rPr>
          <w:rFonts w:ascii="Times New Roman" w:cs="Times New Roman" w:eastAsia="Times New Roman" w:hAnsi="Times New Roman"/>
          <w:sz w:val="24"/>
          <w:szCs w:val="24"/>
          <w:rtl w:val="0"/>
        </w:rPr>
        <w:t xml:space="preserve">, 2023. DOI: 10.1051/medsci/2023033.</w:t>
      </w:r>
    </w:p>
    <w:p w:rsidR="00000000" w:rsidDel="00000000" w:rsidP="00000000" w:rsidRDefault="00000000" w:rsidRPr="00000000" w14:paraId="000001D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WATANABE, Hiroshi; ENOKI, Yuki; MARUYAMA, Toru. Molecular mechanism of muscle wasting in CKD. </w:t>
      </w:r>
      <w:r w:rsidDel="00000000" w:rsidR="00000000" w:rsidRPr="00000000">
        <w:rPr>
          <w:rFonts w:ascii="Times New Roman" w:cs="Times New Roman" w:eastAsia="Times New Roman" w:hAnsi="Times New Roman"/>
          <w:b w:val="1"/>
          <w:i w:val="1"/>
          <w:sz w:val="24"/>
          <w:szCs w:val="24"/>
          <w:rtl w:val="0"/>
        </w:rPr>
        <w:t xml:space="preserve">Advances in Experimental Medicine and Biology</w:t>
      </w:r>
      <w:r w:rsidDel="00000000" w:rsidR="00000000" w:rsidRPr="00000000">
        <w:rPr>
          <w:rFonts w:ascii="Times New Roman" w:cs="Times New Roman" w:eastAsia="Times New Roman" w:hAnsi="Times New Roman"/>
          <w:sz w:val="24"/>
          <w:szCs w:val="24"/>
          <w:rtl w:val="0"/>
        </w:rPr>
        <w:t xml:space="preserve">, v. 1206, p. 91-102, 2019. DOI: 10.1007/978-981-15-2365-6_2.</w:t>
      </w:r>
    </w:p>
    <w:p w:rsidR="00000000" w:rsidDel="00000000" w:rsidP="00000000" w:rsidRDefault="00000000" w:rsidRPr="00000000" w14:paraId="000001D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ZAMBELLI, Clarissa Martins Saraiva Figueira et al. Diretriz BRASPEN de terapia nutricional no paciente com doença renal. </w:t>
      </w:r>
      <w:r w:rsidDel="00000000" w:rsidR="00000000" w:rsidRPr="00000000">
        <w:rPr>
          <w:rFonts w:ascii="Times New Roman" w:cs="Times New Roman" w:eastAsia="Times New Roman" w:hAnsi="Times New Roman"/>
          <w:b w:val="1"/>
          <w:i w:val="1"/>
          <w:sz w:val="24"/>
          <w:szCs w:val="24"/>
          <w:rtl w:val="0"/>
        </w:rPr>
        <w:t xml:space="preserve">BRASPEN Journal</w:t>
      </w:r>
      <w:r w:rsidDel="00000000" w:rsidR="00000000" w:rsidRPr="00000000">
        <w:rPr>
          <w:rFonts w:ascii="Times New Roman" w:cs="Times New Roman" w:eastAsia="Times New Roman" w:hAnsi="Times New Roman"/>
          <w:sz w:val="24"/>
          <w:szCs w:val="24"/>
          <w:rtl w:val="0"/>
        </w:rPr>
        <w:t xml:space="preserve">, v. 36, supl. 2, p. 2-22, 2021. Disponível em:</w:t>
      </w:r>
      <w:hyperlink r:id="rId17">
        <w:r w:rsidDel="00000000" w:rsidR="00000000" w:rsidRPr="00000000">
          <w:rPr>
            <w:rFonts w:ascii="Times New Roman" w:cs="Times New Roman" w:eastAsia="Times New Roman" w:hAnsi="Times New Roman"/>
            <w:sz w:val="24"/>
            <w:szCs w:val="24"/>
            <w:rtl w:val="0"/>
          </w:rPr>
          <w:t xml:space="preserve"> </w:t>
        </w:r>
      </w:hyperlink>
      <w:hyperlink r:id="rId18">
        <w:r w:rsidDel="00000000" w:rsidR="00000000" w:rsidRPr="00000000">
          <w:rPr>
            <w:rFonts w:ascii="Times New Roman" w:cs="Times New Roman" w:eastAsia="Times New Roman" w:hAnsi="Times New Roman"/>
            <w:color w:val="1155cc"/>
            <w:sz w:val="24"/>
            <w:szCs w:val="24"/>
            <w:u w:val="single"/>
            <w:rtl w:val="0"/>
          </w:rPr>
          <w:t xml:space="preserve">https://www.braspenjournal.org/article/doi/10.37111/braspenj.diretrizRENAL</w:t>
        </w:r>
      </w:hyperlink>
      <w:r w:rsidDel="00000000" w:rsidR="00000000" w:rsidRPr="00000000">
        <w:rPr>
          <w:rFonts w:ascii="Times New Roman" w:cs="Times New Roman" w:eastAsia="Times New Roman" w:hAnsi="Times New Roman"/>
          <w:sz w:val="24"/>
          <w:szCs w:val="24"/>
          <w:rtl w:val="0"/>
        </w:rPr>
        <w:t xml:space="preserve">. Acesso em: 25 nov. 2024.</w:t>
      </w:r>
    </w:p>
    <w:sectPr>
      <w:type w:val="nextPage"/>
      <w:pgSz w:h="16834" w:w="11909" w:orient="portrait"/>
      <w:pgMar w:bottom="1133.8582677165355" w:top="1700.7874015748032" w:left="1700.7874015748032" w:right="1133.858267716535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360" w:lineRule="auto"/>
      <w:ind w:left="720" w:hanging="360"/>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line="360" w:lineRule="auto"/>
      <w:ind w:firstLine="708.6614173228347"/>
      <w:jc w:val="both"/>
    </w:pPr>
    <w:rPr>
      <w:rFonts w:ascii="Times New Roman" w:cs="Times New Roman" w:eastAsia="Times New Roman" w:hAnsi="Times New Roman"/>
      <w:sz w:val="24"/>
      <w:szCs w:val="24"/>
    </w:rPr>
  </w:style>
  <w:style w:type="paragraph" w:styleId="Heading3">
    <w:name w:val="heading 3"/>
    <w:basedOn w:val="Normal"/>
    <w:next w:val="Normal"/>
    <w:pPr>
      <w:keepNext w:val="1"/>
      <w:keepLines w:val="1"/>
    </w:pPr>
    <w:rPr>
      <w:rFonts w:ascii="Times New Roman" w:cs="Times New Roman" w:eastAsia="Times New Roman" w:hAnsi="Times New Roman"/>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360" w:lineRule="auto"/>
      <w:ind w:left="720" w:hanging="360"/>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line="360" w:lineRule="auto"/>
      <w:ind w:firstLine="708.6614173228347"/>
      <w:jc w:val="both"/>
    </w:pPr>
    <w:rPr>
      <w:rFonts w:ascii="Times New Roman" w:cs="Times New Roman" w:eastAsia="Times New Roman" w:hAnsi="Times New Roman"/>
      <w:sz w:val="24"/>
      <w:szCs w:val="24"/>
    </w:rPr>
  </w:style>
  <w:style w:type="paragraph" w:styleId="Heading3">
    <w:name w:val="heading 3"/>
    <w:basedOn w:val="Normal"/>
    <w:next w:val="Normal"/>
    <w:pPr>
      <w:keepNext w:val="1"/>
      <w:keepLines w:val="1"/>
    </w:pPr>
    <w:rPr>
      <w:rFonts w:ascii="Times New Roman" w:cs="Times New Roman" w:eastAsia="Times New Roman" w:hAnsi="Times New Roman"/>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360" w:lineRule="auto"/>
      <w:ind w:left="720" w:hanging="360"/>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line="360" w:lineRule="auto"/>
      <w:ind w:firstLine="708.6614173228347"/>
      <w:jc w:val="both"/>
    </w:pPr>
    <w:rPr>
      <w:rFonts w:ascii="Times New Roman" w:cs="Times New Roman" w:eastAsia="Times New Roman" w:hAnsi="Times New Roman"/>
      <w:sz w:val="24"/>
      <w:szCs w:val="24"/>
    </w:rPr>
  </w:style>
  <w:style w:type="paragraph" w:styleId="Heading3">
    <w:name w:val="heading 3"/>
    <w:basedOn w:val="Normal"/>
    <w:next w:val="Normal"/>
    <w:pPr>
      <w:keepNext w:val="1"/>
      <w:keepLines w:val="1"/>
    </w:pPr>
    <w:rPr>
      <w:rFonts w:ascii="Times New Roman" w:cs="Times New Roman" w:eastAsia="Times New Roman" w:hAnsi="Times New Roman"/>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rPr>
      <w:rFonts w:ascii="Cambria" w:cs="Cambria" w:eastAsia="Cambria" w:hAnsi="Cambria"/>
      <w:sz w:val="22"/>
      <w:szCs w:val="22"/>
    </w:r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rPr>
      <w:rFonts w:ascii="Cambria" w:cs="Cambria" w:eastAsia="Cambria" w:hAnsi="Cambria"/>
      <w:sz w:val="22"/>
      <w:szCs w:val="22"/>
    </w:r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rPr>
      <w:rFonts w:ascii="Cambria" w:cs="Cambria" w:eastAsia="Cambria" w:hAnsi="Cambria"/>
      <w:sz w:val="22"/>
      <w:szCs w:val="22"/>
    </w:r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plataformabrasil.saude.gov.br/" TargetMode="External"/><Relationship Id="rId10" Type="http://schemas.openxmlformats.org/officeDocument/2006/relationships/image" Target="media/image2.png"/><Relationship Id="rId13" Type="http://schemas.openxmlformats.org/officeDocument/2006/relationships/hyperlink" Target="http://www.fafich.ufmg.br/ppgs/wp-content/uploads/2020/09/1-CASTELLS-Manuel.-Pr%C3%B3logo_-a-rede-e-o-ser...-pp-39-a-66_compressed.pdf" TargetMode="Externa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doi.org/10.1093/ageing/afac164" TargetMode="External"/><Relationship Id="rId14" Type="http://schemas.openxmlformats.org/officeDocument/2006/relationships/hyperlink" Target="http://www.fafich.ufmg.br/ppgs/wp-content/uploads/2020/09/1-CASTELLS-Manuel.-Pr%C3%B3logo_-a-rede-e-o-ser...-pp-39-a-66_compressed.pdf" TargetMode="External"/><Relationship Id="rId17" Type="http://schemas.openxmlformats.org/officeDocument/2006/relationships/hyperlink" Target="https://www.braspenjournal.org/article/doi/10.37111/braspenj.diretrizRENAL" TargetMode="External"/><Relationship Id="rId16" Type="http://schemas.openxmlformats.org/officeDocument/2006/relationships/hyperlink" Target="https://doi.org/10.1093/ageing/afac164"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www.braspenjournal.org/article/doi/10.37111/braspenj.diretrizRENAL" TargetMode="Externa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EBqA/gAMblB8yypwRgimbYOv5w==">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