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C986A" w14:textId="77777777" w:rsidR="003F2C39" w:rsidRDefault="003F2C39">
      <w:pPr>
        <w:spacing w:after="0" w:line="360" w:lineRule="auto"/>
        <w:jc w:val="both"/>
        <w:rPr>
          <w:color w:val="000000"/>
          <w:sz w:val="24"/>
          <w:szCs w:val="24"/>
        </w:rPr>
      </w:pPr>
    </w:p>
    <w:tbl>
      <w:tblPr>
        <w:tblW w:w="10420" w:type="dxa"/>
        <w:tblInd w:w="-115" w:type="dxa"/>
        <w:tblLayout w:type="fixed"/>
        <w:tblLook w:val="0400" w:firstRow="0" w:lastRow="0" w:firstColumn="0" w:lastColumn="0" w:noHBand="0" w:noVBand="1"/>
      </w:tblPr>
      <w:tblGrid>
        <w:gridCol w:w="2404"/>
        <w:gridCol w:w="6095"/>
        <w:gridCol w:w="1921"/>
      </w:tblGrid>
      <w:tr w:rsidR="003F2C39" w14:paraId="2D80BEE5" w14:textId="77777777">
        <w:trPr>
          <w:cantSplit/>
          <w:trHeight w:val="1134"/>
          <w:tblHeader/>
        </w:trPr>
        <w:tc>
          <w:tcPr>
            <w:tcW w:w="2404" w:type="dxa"/>
          </w:tcPr>
          <w:p w14:paraId="76301FA7" w14:textId="77777777" w:rsidR="003F2C39" w:rsidRDefault="00000000">
            <w:pPr>
              <w:widowControl w:val="0"/>
              <w:spacing w:line="360" w:lineRule="auto"/>
              <w:jc w:val="both"/>
              <w:rPr>
                <w:sz w:val="24"/>
                <w:szCs w:val="24"/>
              </w:rPr>
            </w:pPr>
            <w:r>
              <w:rPr>
                <w:noProof/>
                <w:sz w:val="24"/>
                <w:szCs w:val="24"/>
              </w:rPr>
              <w:drawing>
                <wp:anchor distT="0" distB="0" distL="0" distR="0" simplePos="0" relativeHeight="2" behindDoc="0" locked="0" layoutInCell="1" allowOverlap="1" wp14:anchorId="6417D297" wp14:editId="00F6D9AE">
                  <wp:simplePos x="0" y="0"/>
                  <wp:positionH relativeFrom="column">
                    <wp:posOffset>-6350</wp:posOffset>
                  </wp:positionH>
                  <wp:positionV relativeFrom="paragraph">
                    <wp:posOffset>6350</wp:posOffset>
                  </wp:positionV>
                  <wp:extent cx="1104900" cy="685800"/>
                  <wp:effectExtent l="0" t="0" r="0" b="0"/>
                  <wp:wrapNone/>
                  <wp:docPr id="1" name="image1.png" descr="http://www.portaldaenfermagem.com.br/admportal/Galerias/Galeria_Interna/1016201353856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http://www.portaldaenfermagem.com.br/admportal/Galerias/Galeria_Interna/1016201353856PM.jpg"/>
                          <pic:cNvPicPr>
                            <a:picLocks noChangeAspect="1" noChangeArrowheads="1"/>
                          </pic:cNvPicPr>
                        </pic:nvPicPr>
                        <pic:blipFill>
                          <a:blip r:embed="rId8"/>
                          <a:stretch>
                            <a:fillRect/>
                          </a:stretch>
                        </pic:blipFill>
                        <pic:spPr bwMode="auto">
                          <a:xfrm>
                            <a:off x="0" y="0"/>
                            <a:ext cx="1104900" cy="685800"/>
                          </a:xfrm>
                          <a:prstGeom prst="rect">
                            <a:avLst/>
                          </a:prstGeom>
                        </pic:spPr>
                      </pic:pic>
                    </a:graphicData>
                  </a:graphic>
                </wp:anchor>
              </w:drawing>
            </w:r>
          </w:p>
        </w:tc>
        <w:tc>
          <w:tcPr>
            <w:tcW w:w="6095" w:type="dxa"/>
          </w:tcPr>
          <w:p w14:paraId="2F3B4154" w14:textId="77777777" w:rsidR="003F2C39" w:rsidRDefault="00000000">
            <w:pPr>
              <w:widowControl w:val="0"/>
              <w:jc w:val="both"/>
              <w:rPr>
                <w:b/>
                <w:sz w:val="24"/>
                <w:szCs w:val="24"/>
              </w:rPr>
            </w:pPr>
            <w:r>
              <w:rPr>
                <w:b/>
                <w:sz w:val="24"/>
                <w:szCs w:val="24"/>
              </w:rPr>
              <w:t>UNIVERSIDADE FEDERAL DE SÃO PAULO</w:t>
            </w:r>
          </w:p>
          <w:p w14:paraId="0F461081" w14:textId="77777777" w:rsidR="003F2C39" w:rsidRDefault="00000000">
            <w:pPr>
              <w:widowControl w:val="0"/>
              <w:jc w:val="both"/>
              <w:rPr>
                <w:b/>
                <w:sz w:val="24"/>
                <w:szCs w:val="24"/>
              </w:rPr>
            </w:pPr>
            <w:r>
              <w:rPr>
                <w:b/>
                <w:sz w:val="24"/>
                <w:szCs w:val="24"/>
              </w:rPr>
              <w:t>ESCOLA PAULISTA DE MEDICINA</w:t>
            </w:r>
          </w:p>
          <w:p w14:paraId="0DF3E84D" w14:textId="77777777" w:rsidR="003F2C39" w:rsidRDefault="00000000">
            <w:pPr>
              <w:widowControl w:val="0"/>
              <w:jc w:val="both"/>
              <w:rPr>
                <w:sz w:val="24"/>
                <w:szCs w:val="24"/>
              </w:rPr>
            </w:pPr>
            <w:r>
              <w:rPr>
                <w:color w:val="4F6228"/>
                <w:sz w:val="24"/>
                <w:szCs w:val="24"/>
              </w:rPr>
              <w:t>NÚCLEO DE ESTUDO, PESQUISA, EXTENSÃO E ASSISTÊNCIA À PESSOA TRANS PROFESSOR ROBERTO FARINA</w:t>
            </w:r>
          </w:p>
        </w:tc>
        <w:tc>
          <w:tcPr>
            <w:tcW w:w="1921" w:type="dxa"/>
          </w:tcPr>
          <w:p w14:paraId="612397BB" w14:textId="77777777" w:rsidR="003F2C39" w:rsidRDefault="00000000">
            <w:pPr>
              <w:widowControl w:val="0"/>
              <w:spacing w:line="360" w:lineRule="auto"/>
              <w:jc w:val="both"/>
              <w:rPr>
                <w:sz w:val="24"/>
                <w:szCs w:val="24"/>
              </w:rPr>
            </w:pPr>
            <w:r>
              <w:rPr>
                <w:noProof/>
                <w:sz w:val="24"/>
                <w:szCs w:val="24"/>
              </w:rPr>
              <w:drawing>
                <wp:anchor distT="0" distB="0" distL="114300" distR="114300" simplePos="0" relativeHeight="3" behindDoc="0" locked="0" layoutInCell="1" allowOverlap="1" wp14:anchorId="19098E21" wp14:editId="1E9E3805">
                  <wp:simplePos x="0" y="0"/>
                  <wp:positionH relativeFrom="column">
                    <wp:posOffset>-67945</wp:posOffset>
                  </wp:positionH>
                  <wp:positionV relativeFrom="paragraph">
                    <wp:posOffset>635</wp:posOffset>
                  </wp:positionV>
                  <wp:extent cx="737235" cy="751840"/>
                  <wp:effectExtent l="0" t="0" r="0" b="0"/>
                  <wp:wrapSquare wrapText="bothSides"/>
                  <wp:docPr id="2" name="image2.png" descr="http://jornaljoseensenews.com.br/portal/wp-content/uploads/2014/12/brasao_so_epmfg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http://jornaljoseensenews.com.br/portal/wp-content/uploads/2014/12/brasao_so_epmfghh.png"/>
                          <pic:cNvPicPr>
                            <a:picLocks noChangeAspect="1" noChangeArrowheads="1"/>
                          </pic:cNvPicPr>
                        </pic:nvPicPr>
                        <pic:blipFill>
                          <a:blip r:embed="rId9"/>
                          <a:stretch>
                            <a:fillRect/>
                          </a:stretch>
                        </pic:blipFill>
                        <pic:spPr bwMode="auto">
                          <a:xfrm>
                            <a:off x="0" y="0"/>
                            <a:ext cx="737235" cy="751840"/>
                          </a:xfrm>
                          <a:prstGeom prst="rect">
                            <a:avLst/>
                          </a:prstGeom>
                        </pic:spPr>
                      </pic:pic>
                    </a:graphicData>
                  </a:graphic>
                </wp:anchor>
              </w:drawing>
            </w:r>
          </w:p>
        </w:tc>
      </w:tr>
    </w:tbl>
    <w:p w14:paraId="3F28287D" w14:textId="77777777" w:rsidR="003F2C39" w:rsidRDefault="003F2C39">
      <w:pPr>
        <w:spacing w:after="0" w:line="360" w:lineRule="auto"/>
        <w:jc w:val="both"/>
        <w:rPr>
          <w:color w:val="000000"/>
          <w:sz w:val="24"/>
          <w:szCs w:val="24"/>
        </w:rPr>
      </w:pPr>
    </w:p>
    <w:p w14:paraId="02A62053" w14:textId="77777777" w:rsidR="003F2C39" w:rsidRDefault="003F2C39">
      <w:pPr>
        <w:spacing w:after="0" w:line="360" w:lineRule="auto"/>
        <w:jc w:val="both"/>
        <w:rPr>
          <w:color w:val="000000"/>
          <w:sz w:val="24"/>
          <w:szCs w:val="24"/>
        </w:rPr>
      </w:pPr>
    </w:p>
    <w:p w14:paraId="3A32CC9F" w14:textId="77777777" w:rsidR="003F2C39" w:rsidRDefault="003F2C39">
      <w:pPr>
        <w:spacing w:after="0" w:line="360" w:lineRule="auto"/>
        <w:jc w:val="both"/>
        <w:rPr>
          <w:color w:val="000000"/>
          <w:sz w:val="24"/>
          <w:szCs w:val="24"/>
        </w:rPr>
      </w:pPr>
    </w:p>
    <w:p w14:paraId="49E0B9A5" w14:textId="77777777" w:rsidR="003F2C39" w:rsidRDefault="003F2C39">
      <w:pPr>
        <w:spacing w:after="0" w:line="360" w:lineRule="auto"/>
        <w:jc w:val="both"/>
        <w:rPr>
          <w:color w:val="000000"/>
          <w:sz w:val="24"/>
          <w:szCs w:val="24"/>
        </w:rPr>
      </w:pPr>
    </w:p>
    <w:p w14:paraId="4D3EBD2B" w14:textId="77777777" w:rsidR="003F2C39" w:rsidRDefault="00000000">
      <w:pPr>
        <w:spacing w:after="0" w:line="360" w:lineRule="auto"/>
        <w:jc w:val="center"/>
        <w:rPr>
          <w:b/>
          <w:color w:val="000000"/>
          <w:sz w:val="24"/>
          <w:szCs w:val="24"/>
        </w:rPr>
      </w:pPr>
      <w:r>
        <w:rPr>
          <w:b/>
          <w:color w:val="000000"/>
          <w:sz w:val="24"/>
          <w:szCs w:val="24"/>
        </w:rPr>
        <w:t>PROJETO DE PESQUISA</w:t>
      </w:r>
    </w:p>
    <w:p w14:paraId="7AEBE65F" w14:textId="77777777" w:rsidR="003F2C39" w:rsidRDefault="003F2C39">
      <w:pPr>
        <w:spacing w:after="0" w:line="360" w:lineRule="auto"/>
        <w:jc w:val="both"/>
        <w:rPr>
          <w:color w:val="000000"/>
          <w:sz w:val="24"/>
          <w:szCs w:val="24"/>
        </w:rPr>
      </w:pPr>
    </w:p>
    <w:p w14:paraId="46F1BCDA" w14:textId="77777777" w:rsidR="003F2C39" w:rsidRDefault="003F2C39">
      <w:pPr>
        <w:spacing w:after="0" w:line="360" w:lineRule="auto"/>
        <w:jc w:val="both"/>
        <w:rPr>
          <w:color w:val="000000"/>
          <w:sz w:val="24"/>
          <w:szCs w:val="24"/>
        </w:rPr>
      </w:pPr>
    </w:p>
    <w:p w14:paraId="42E6D83A" w14:textId="77777777" w:rsidR="003F2C39" w:rsidRDefault="003F2C39">
      <w:pPr>
        <w:spacing w:after="0" w:line="360" w:lineRule="auto"/>
        <w:jc w:val="both"/>
        <w:rPr>
          <w:color w:val="000000"/>
          <w:sz w:val="24"/>
          <w:szCs w:val="24"/>
        </w:rPr>
      </w:pPr>
      <w:bookmarkStart w:id="0" w:name="_gjdgxs"/>
      <w:bookmarkEnd w:id="0"/>
    </w:p>
    <w:p w14:paraId="2D020B87" w14:textId="77777777" w:rsidR="003F2C39" w:rsidRDefault="00000000">
      <w:pPr>
        <w:spacing w:after="0" w:line="360" w:lineRule="auto"/>
        <w:jc w:val="center"/>
        <w:rPr>
          <w:color w:val="000000"/>
          <w:sz w:val="24"/>
          <w:szCs w:val="24"/>
        </w:rPr>
      </w:pPr>
      <w:bookmarkStart w:id="1" w:name="_30j0zll"/>
      <w:bookmarkEnd w:id="1"/>
      <w:r>
        <w:rPr>
          <w:color w:val="000000"/>
          <w:sz w:val="24"/>
          <w:szCs w:val="24"/>
        </w:rPr>
        <w:t>AVALIAÇÃO DE INDICADORES DE RISCO METABÓLICO, INFLAMATÓRIO, CARDIOVASCULAR E</w:t>
      </w:r>
    </w:p>
    <w:p w14:paraId="42810772" w14:textId="77777777" w:rsidR="003F2C39" w:rsidRDefault="00000000">
      <w:pPr>
        <w:spacing w:after="0" w:line="360" w:lineRule="auto"/>
        <w:jc w:val="center"/>
        <w:rPr>
          <w:color w:val="000000"/>
          <w:sz w:val="24"/>
          <w:szCs w:val="24"/>
        </w:rPr>
      </w:pPr>
      <w:r>
        <w:rPr>
          <w:color w:val="000000"/>
          <w:sz w:val="24"/>
          <w:szCs w:val="24"/>
        </w:rPr>
        <w:t xml:space="preserve">ENDOTELIAL EM HOMENS TRANS EM TERAPIA COM TESTOSTERONA </w:t>
      </w:r>
    </w:p>
    <w:p w14:paraId="6B076C3D" w14:textId="77777777" w:rsidR="003F2C39" w:rsidRDefault="003F2C39">
      <w:pPr>
        <w:spacing w:after="0" w:line="360" w:lineRule="auto"/>
        <w:jc w:val="both"/>
        <w:rPr>
          <w:color w:val="000000"/>
          <w:sz w:val="24"/>
          <w:szCs w:val="24"/>
        </w:rPr>
      </w:pPr>
    </w:p>
    <w:p w14:paraId="16D05979" w14:textId="77777777" w:rsidR="003F2C39" w:rsidRDefault="003F2C39">
      <w:pPr>
        <w:spacing w:after="0" w:line="360" w:lineRule="auto"/>
        <w:jc w:val="both"/>
        <w:rPr>
          <w:color w:val="000000"/>
          <w:sz w:val="24"/>
          <w:szCs w:val="24"/>
        </w:rPr>
      </w:pPr>
    </w:p>
    <w:p w14:paraId="52052D6E" w14:textId="77777777" w:rsidR="003F2C39" w:rsidRDefault="003F2C39">
      <w:pPr>
        <w:spacing w:after="0" w:line="360" w:lineRule="auto"/>
        <w:jc w:val="both"/>
        <w:rPr>
          <w:color w:val="000000"/>
          <w:sz w:val="24"/>
          <w:szCs w:val="24"/>
        </w:rPr>
      </w:pPr>
    </w:p>
    <w:p w14:paraId="2BACB0D3" w14:textId="77777777" w:rsidR="003F2C39" w:rsidRDefault="003F2C39">
      <w:pPr>
        <w:spacing w:after="0" w:line="360" w:lineRule="auto"/>
        <w:jc w:val="both"/>
        <w:rPr>
          <w:color w:val="000000"/>
          <w:sz w:val="24"/>
          <w:szCs w:val="24"/>
        </w:rPr>
      </w:pPr>
    </w:p>
    <w:p w14:paraId="1B085CA8" w14:textId="77777777" w:rsidR="003F2C39" w:rsidRDefault="003F2C39">
      <w:pPr>
        <w:spacing w:after="0" w:line="360" w:lineRule="auto"/>
        <w:jc w:val="both"/>
        <w:rPr>
          <w:color w:val="000000"/>
          <w:sz w:val="24"/>
          <w:szCs w:val="24"/>
        </w:rPr>
      </w:pPr>
    </w:p>
    <w:p w14:paraId="2AD74FE1" w14:textId="77777777" w:rsidR="003F2C39" w:rsidRDefault="003F2C39">
      <w:pPr>
        <w:spacing w:after="0" w:line="360" w:lineRule="auto"/>
        <w:jc w:val="both"/>
        <w:rPr>
          <w:color w:val="000000"/>
          <w:sz w:val="24"/>
          <w:szCs w:val="24"/>
        </w:rPr>
      </w:pPr>
    </w:p>
    <w:p w14:paraId="21204315" w14:textId="77777777" w:rsidR="003F2C39" w:rsidRDefault="003F2C39">
      <w:pPr>
        <w:spacing w:after="0" w:line="360" w:lineRule="auto"/>
        <w:jc w:val="both"/>
        <w:rPr>
          <w:color w:val="000000"/>
          <w:sz w:val="24"/>
          <w:szCs w:val="24"/>
        </w:rPr>
      </w:pPr>
    </w:p>
    <w:p w14:paraId="6DBA3606" w14:textId="77777777" w:rsidR="003F2C39" w:rsidRDefault="003F2C39">
      <w:pPr>
        <w:spacing w:after="0" w:line="360" w:lineRule="auto"/>
        <w:jc w:val="both"/>
        <w:rPr>
          <w:color w:val="000000"/>
          <w:sz w:val="24"/>
          <w:szCs w:val="24"/>
        </w:rPr>
      </w:pPr>
    </w:p>
    <w:p w14:paraId="1BB76344" w14:textId="77777777" w:rsidR="003F2C39" w:rsidRDefault="003F2C39">
      <w:pPr>
        <w:spacing w:after="0" w:line="360" w:lineRule="auto"/>
        <w:jc w:val="both"/>
        <w:rPr>
          <w:color w:val="000000"/>
          <w:sz w:val="24"/>
          <w:szCs w:val="24"/>
        </w:rPr>
      </w:pPr>
    </w:p>
    <w:p w14:paraId="6567EE82" w14:textId="77777777" w:rsidR="003F2C39" w:rsidRDefault="00000000">
      <w:pPr>
        <w:spacing w:after="0" w:line="360" w:lineRule="auto"/>
        <w:jc w:val="center"/>
        <w:rPr>
          <w:color w:val="000000"/>
          <w:sz w:val="24"/>
          <w:szCs w:val="24"/>
        </w:rPr>
      </w:pPr>
      <w:r>
        <w:rPr>
          <w:color w:val="000000"/>
          <w:sz w:val="24"/>
          <w:szCs w:val="24"/>
        </w:rPr>
        <w:t>São Paulo</w:t>
      </w:r>
    </w:p>
    <w:p w14:paraId="5F35E404" w14:textId="77777777" w:rsidR="003F2C39" w:rsidRDefault="00000000">
      <w:pPr>
        <w:spacing w:after="0" w:line="360" w:lineRule="auto"/>
        <w:jc w:val="center"/>
        <w:rPr>
          <w:color w:val="000000"/>
          <w:sz w:val="24"/>
          <w:szCs w:val="24"/>
        </w:rPr>
      </w:pPr>
      <w:r>
        <w:rPr>
          <w:color w:val="000000"/>
          <w:sz w:val="24"/>
          <w:szCs w:val="24"/>
        </w:rPr>
        <w:t>2024</w:t>
      </w:r>
    </w:p>
    <w:p w14:paraId="317951C9" w14:textId="77777777" w:rsidR="003F2C39" w:rsidRDefault="00000000">
      <w:pPr>
        <w:jc w:val="center"/>
        <w:rPr>
          <w:color w:val="000000"/>
          <w:sz w:val="24"/>
          <w:szCs w:val="24"/>
        </w:rPr>
      </w:pPr>
      <w:r>
        <w:br w:type="page"/>
      </w:r>
    </w:p>
    <w:p w14:paraId="164347D1" w14:textId="77777777" w:rsidR="003F2C39" w:rsidRDefault="00000000">
      <w:pPr>
        <w:numPr>
          <w:ilvl w:val="0"/>
          <w:numId w:val="1"/>
        </w:num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EQUIPE DE PESQUISA E INSTITUIÇÕES PARCEIRAS</w:t>
      </w:r>
    </w:p>
    <w:p w14:paraId="2E26CE74" w14:textId="77777777" w:rsidR="003F2C39" w:rsidRDefault="003F2C39">
      <w:pPr>
        <w:spacing w:after="0" w:line="360" w:lineRule="auto"/>
        <w:jc w:val="both"/>
        <w:rPr>
          <w:rFonts w:ascii="Times New Roman" w:eastAsia="Times New Roman" w:hAnsi="Times New Roman" w:cs="Times New Roman"/>
          <w:sz w:val="24"/>
          <w:szCs w:val="24"/>
        </w:rPr>
      </w:pPr>
    </w:p>
    <w:p w14:paraId="21CB1474" w14:textId="77777777" w:rsidR="003F2C39" w:rsidRDefault="00000000">
      <w:pPr>
        <w:spacing w:after="0"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Pós-graduando responsável pelo projeto</w:t>
      </w:r>
    </w:p>
    <w:p w14:paraId="06DC7797"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João Guimarães Ferreira</w:t>
      </w:r>
    </w:p>
    <w:p w14:paraId="52E4A057" w14:textId="77777777" w:rsidR="003F2C39" w:rsidRDefault="003F2C39">
      <w:pPr>
        <w:spacing w:after="0" w:line="360" w:lineRule="auto"/>
        <w:ind w:left="720"/>
        <w:jc w:val="both"/>
        <w:rPr>
          <w:rFonts w:ascii="Times New Roman" w:eastAsia="Times New Roman" w:hAnsi="Times New Roman" w:cs="Times New Roman"/>
          <w:b/>
          <w:sz w:val="24"/>
          <w:szCs w:val="24"/>
        </w:rPr>
      </w:pPr>
    </w:p>
    <w:p w14:paraId="27E80432" w14:textId="77777777" w:rsidR="003F2C39" w:rsidRDefault="00000000">
      <w:pPr>
        <w:spacing w:after="0"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Professores orientadores</w:t>
      </w:r>
    </w:p>
    <w:p w14:paraId="0AF5BCCC" w14:textId="77777777" w:rsidR="003F2C39" w:rsidRDefault="00000000">
      <w:pPr>
        <w:spacing w:after="0" w:line="360" w:lineRule="auto"/>
        <w:ind w:left="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Magnus Régios Dias da Silva</w:t>
      </w:r>
    </w:p>
    <w:p w14:paraId="10588E4B" w14:textId="77777777" w:rsidR="003F2C39" w:rsidRDefault="00000000">
      <w:pPr>
        <w:spacing w:after="0" w:line="360" w:lineRule="auto"/>
        <w:ind w:left="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Maria do Carmo Pinho Franco </w:t>
      </w:r>
    </w:p>
    <w:p w14:paraId="30577EDB" w14:textId="77777777" w:rsidR="003F2C39" w:rsidRDefault="003F2C39">
      <w:pPr>
        <w:spacing w:after="0" w:line="360" w:lineRule="auto"/>
        <w:ind w:firstLine="720"/>
        <w:jc w:val="both"/>
        <w:rPr>
          <w:rFonts w:ascii="Times New Roman" w:eastAsia="Times New Roman" w:hAnsi="Times New Roman" w:cs="Times New Roman"/>
          <w:sz w:val="24"/>
          <w:szCs w:val="24"/>
        </w:rPr>
      </w:pPr>
    </w:p>
    <w:p w14:paraId="27AA6676" w14:textId="77777777" w:rsidR="003F2C39" w:rsidRDefault="00000000">
      <w:pPr>
        <w:spacing w:after="0"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Pesquisadores colaboradores</w:t>
      </w:r>
    </w:p>
    <w:p w14:paraId="4F297A9C"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Ísis Gois (1,3) </w:t>
      </w:r>
    </w:p>
    <w:p w14:paraId="05517FED"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Ricardo Barbosa Martins (2)</w:t>
      </w:r>
    </w:p>
    <w:p w14:paraId="22A564FE"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Canuto Leite de Almeida Junior (1,3)</w:t>
      </w:r>
    </w:p>
    <w:p w14:paraId="3E201919" w14:textId="77777777" w:rsidR="003F2C39" w:rsidRDefault="00000000">
      <w:pPr>
        <w:spacing w:after="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Carué</w:t>
      </w:r>
      <w:proofErr w:type="spellEnd"/>
      <w:r>
        <w:rPr>
          <w:rFonts w:ascii="Times New Roman" w:eastAsia="Times New Roman" w:hAnsi="Times New Roman" w:cs="Times New Roman"/>
          <w:sz w:val="24"/>
          <w:szCs w:val="24"/>
        </w:rPr>
        <w:t xml:space="preserve"> Contreiras (2)</w:t>
      </w:r>
    </w:p>
    <w:p w14:paraId="706FB017"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Fernanda Angeli Padula (2)</w:t>
      </w:r>
    </w:p>
    <w:p w14:paraId="07C364A9"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Giovanna </w:t>
      </w:r>
      <w:proofErr w:type="spellStart"/>
      <w:r>
        <w:rPr>
          <w:rFonts w:ascii="Times New Roman" w:eastAsia="Times New Roman" w:hAnsi="Times New Roman" w:cs="Times New Roman"/>
          <w:sz w:val="24"/>
          <w:szCs w:val="24"/>
        </w:rPr>
        <w:t>Assoni</w:t>
      </w:r>
      <w:proofErr w:type="spellEnd"/>
      <w:r>
        <w:rPr>
          <w:rFonts w:ascii="Times New Roman" w:eastAsia="Times New Roman" w:hAnsi="Times New Roman" w:cs="Times New Roman"/>
          <w:sz w:val="24"/>
          <w:szCs w:val="24"/>
        </w:rPr>
        <w:t xml:space="preserve"> Rodrigues Soares (2)</w:t>
      </w:r>
    </w:p>
    <w:p w14:paraId="6DF95613"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Guilherme Rodrigues Fernandes de Souza (2)</w:t>
      </w:r>
    </w:p>
    <w:p w14:paraId="1167F6F7"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Isabela </w:t>
      </w:r>
      <w:proofErr w:type="spellStart"/>
      <w:r>
        <w:rPr>
          <w:rFonts w:ascii="Times New Roman" w:eastAsia="Times New Roman" w:hAnsi="Times New Roman" w:cs="Times New Roman"/>
          <w:sz w:val="24"/>
          <w:szCs w:val="24"/>
        </w:rPr>
        <w:t>Luisa</w:t>
      </w:r>
      <w:proofErr w:type="spellEnd"/>
      <w:r>
        <w:rPr>
          <w:rFonts w:ascii="Times New Roman" w:eastAsia="Times New Roman" w:hAnsi="Times New Roman" w:cs="Times New Roman"/>
          <w:sz w:val="24"/>
          <w:szCs w:val="24"/>
        </w:rPr>
        <w:t xml:space="preserve"> Goncalves Correia (1)</w:t>
      </w:r>
    </w:p>
    <w:p w14:paraId="5C7A101C"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Janete Chaves Bueno Marques (2)</w:t>
      </w:r>
    </w:p>
    <w:p w14:paraId="51C8ECB8"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Joyce Alves Carvalho Martins (1)</w:t>
      </w:r>
    </w:p>
    <w:p w14:paraId="242E33ED" w14:textId="77777777" w:rsidR="003F2C39" w:rsidRDefault="00000000">
      <w:pPr>
        <w:spacing w:after="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Janilde</w:t>
      </w:r>
      <w:proofErr w:type="spellEnd"/>
      <w:r>
        <w:rPr>
          <w:rFonts w:ascii="Times New Roman" w:eastAsia="Times New Roman" w:hAnsi="Times New Roman" w:cs="Times New Roman"/>
          <w:sz w:val="24"/>
          <w:szCs w:val="24"/>
        </w:rPr>
        <w:t xml:space="preserve"> Seabra Santos (2)</w:t>
      </w:r>
    </w:p>
    <w:p w14:paraId="1B8ABFDA"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Natalia </w:t>
      </w:r>
      <w:proofErr w:type="spellStart"/>
      <w:r>
        <w:rPr>
          <w:rFonts w:ascii="Times New Roman" w:eastAsia="Times New Roman" w:hAnsi="Times New Roman" w:cs="Times New Roman"/>
          <w:sz w:val="24"/>
          <w:szCs w:val="24"/>
        </w:rPr>
        <w:t>Tenore</w:t>
      </w:r>
      <w:proofErr w:type="spellEnd"/>
      <w:r>
        <w:rPr>
          <w:rFonts w:ascii="Times New Roman" w:eastAsia="Times New Roman" w:hAnsi="Times New Roman" w:cs="Times New Roman"/>
          <w:sz w:val="24"/>
          <w:szCs w:val="24"/>
        </w:rPr>
        <w:t xml:space="preserve"> Rocha (1)</w:t>
      </w:r>
    </w:p>
    <w:p w14:paraId="34EEBCE0"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Renata Fernanda de Oliveira Pereira (2)</w:t>
      </w:r>
    </w:p>
    <w:p w14:paraId="45D0BD6F"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Thiago Souza Reis (1,3)</w:t>
      </w:r>
    </w:p>
    <w:p w14:paraId="74001FEA"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Joaquim da Rocha Bastos Neto (1)</w:t>
      </w:r>
    </w:p>
    <w:p w14:paraId="43D556FC"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Mariana da Rosa Borges (1)</w:t>
      </w:r>
    </w:p>
    <w:p w14:paraId="6A76C880" w14:textId="77777777" w:rsidR="003F2C39" w:rsidRDefault="003F2C39">
      <w:pPr>
        <w:spacing w:after="0" w:line="360" w:lineRule="auto"/>
        <w:ind w:firstLine="720"/>
        <w:jc w:val="both"/>
        <w:rPr>
          <w:rFonts w:ascii="Times New Roman" w:eastAsia="Times New Roman" w:hAnsi="Times New Roman" w:cs="Times New Roman"/>
          <w:sz w:val="24"/>
          <w:szCs w:val="24"/>
        </w:rPr>
      </w:pPr>
    </w:p>
    <w:p w14:paraId="69F6D739" w14:textId="77777777" w:rsidR="003F2C39"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Instituições colaboradoras</w:t>
      </w:r>
    </w:p>
    <w:p w14:paraId="3DABA828" w14:textId="77777777" w:rsidR="003F2C39" w:rsidRDefault="00000000">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Núcleo de Estudos, Pesquisa, Extensão e Assistência à Pessoa Trans Professor Roberto Farina da Universidade Federal de São Paulo (Núcleo </w:t>
      </w:r>
      <w:proofErr w:type="spellStart"/>
      <w:r>
        <w:rPr>
          <w:rFonts w:ascii="Times New Roman" w:eastAsia="Times New Roman" w:hAnsi="Times New Roman" w:cs="Times New Roman"/>
          <w:sz w:val="24"/>
          <w:szCs w:val="24"/>
        </w:rPr>
        <w:t>TransUnifesp</w:t>
      </w:r>
      <w:proofErr w:type="spellEnd"/>
      <w:r>
        <w:rPr>
          <w:rFonts w:ascii="Times New Roman" w:eastAsia="Times New Roman" w:hAnsi="Times New Roman" w:cs="Times New Roman"/>
          <w:sz w:val="24"/>
          <w:szCs w:val="24"/>
        </w:rPr>
        <w:t>)</w:t>
      </w:r>
    </w:p>
    <w:p w14:paraId="7D5EE96F" w14:textId="77777777" w:rsidR="003F2C39" w:rsidRDefault="00000000">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Ambulatório de Saúde Integral para Travestis e Transexuais do Centro de Referência e Treinamento DST/Aids de São Paulo (ASITT CRT)</w:t>
      </w:r>
    </w:p>
    <w:p w14:paraId="3D2E3E89" w14:textId="77777777" w:rsidR="003F2C39" w:rsidRDefault="00000000">
      <w:pPr>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3 - Programa de Pós-Graduação de Endocrinologia e Metabologia da Escola Paulista de</w:t>
      </w:r>
    </w:p>
    <w:p w14:paraId="3221E74F" w14:textId="77777777" w:rsidR="003F2C39" w:rsidRDefault="00000000">
      <w:pPr>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Medicina da UNIFESP</w:t>
      </w:r>
    </w:p>
    <w:p w14:paraId="59B39DDC" w14:textId="77777777" w:rsidR="003F2C39" w:rsidRDefault="00000000">
      <w:pPr>
        <w:numPr>
          <w:ilvl w:val="0"/>
          <w:numId w:val="1"/>
        </w:numPr>
        <w:spacing w:after="0" w:line="360" w:lineRule="auto"/>
        <w:jc w:val="both"/>
        <w:rPr>
          <w:rFonts w:ascii="Times New Roman" w:hAnsi="Times New Roman" w:cs="Times New Roman"/>
          <w:b/>
          <w:color w:val="000000"/>
          <w:sz w:val="24"/>
          <w:szCs w:val="24"/>
        </w:rPr>
      </w:pPr>
      <w:r w:rsidRPr="00045169">
        <w:rPr>
          <w:rFonts w:ascii="Times New Roman" w:eastAsia="Times New Roman" w:hAnsi="Times New Roman" w:cs="Times New Roman"/>
          <w:b/>
          <w:sz w:val="24"/>
          <w:szCs w:val="24"/>
        </w:rPr>
        <w:lastRenderedPageBreak/>
        <w:t>RESUMO</w:t>
      </w:r>
    </w:p>
    <w:p w14:paraId="5ABBEACB" w14:textId="0AA2257E"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bCs/>
          <w:color w:val="000000"/>
          <w:sz w:val="24"/>
          <w:szCs w:val="24"/>
        </w:rPr>
        <w:t>Contexto:</w:t>
      </w:r>
      <w:r w:rsidRPr="00045169">
        <w:rPr>
          <w:rFonts w:ascii="Times New Roman" w:hAnsi="Times New Roman" w:cs="Times New Roman"/>
          <w:color w:val="000000"/>
          <w:sz w:val="24"/>
          <w:szCs w:val="24"/>
        </w:rPr>
        <w:t xml:space="preserve"> Pessoas trans, definidas como pessoas com identidade de gênero distinta daquela atribuída ao nascimento, correspondem a até dois por cento da população. Além de enfrentar dificuldades no acesso aos serviços de saúde, essa população sofre pela escassez de informações sobre a repercussão da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sobre indicadores de saúde. 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com testosterona em homens trans é um recurso fundamental para modificações corporais que acompanham a transição buscada por essas pessoas. Aspectos de saúde física são profundamente influenciados durante o processo de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Sabe-se do risco aumentado de doenças cardiovasculares em homens trans, mesmo antes da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pela maior associação com obesidade, sedentarismo, tabagismo e estresse de minoria. A testosterona parece influenciar esse risco pela elevação da pressão arterial sistólica e do hematócrito, e pela piora do perfil lipídico. Além disso, a disfunção endotelial pode ser agravada pelo uso de testosterona. </w:t>
      </w:r>
      <w:r w:rsidRPr="00045169">
        <w:rPr>
          <w:rFonts w:ascii="Times New Roman" w:hAnsi="Times New Roman" w:cs="Times New Roman"/>
          <w:b/>
          <w:bCs/>
          <w:color w:val="000000"/>
          <w:sz w:val="24"/>
          <w:szCs w:val="24"/>
        </w:rPr>
        <w:t>Objetivo:</w:t>
      </w:r>
      <w:r w:rsidRPr="00045169">
        <w:rPr>
          <w:rFonts w:ascii="Times New Roman" w:hAnsi="Times New Roman" w:cs="Times New Roman"/>
          <w:color w:val="000000"/>
          <w:sz w:val="24"/>
          <w:szCs w:val="24"/>
        </w:rPr>
        <w:t xml:space="preserve"> avaliar o perfil de resposta cardiovascular, endotelial e inflamatório de homens trans em uso de testosterona.  </w:t>
      </w:r>
      <w:r w:rsidRPr="00045169">
        <w:rPr>
          <w:rFonts w:ascii="Times New Roman" w:hAnsi="Times New Roman" w:cs="Times New Roman"/>
          <w:b/>
          <w:bCs/>
          <w:color w:val="000000"/>
          <w:sz w:val="24"/>
          <w:szCs w:val="24"/>
        </w:rPr>
        <w:t>Usuários e métodos</w:t>
      </w:r>
      <w:r w:rsidRPr="00045169">
        <w:rPr>
          <w:rFonts w:ascii="Times New Roman" w:hAnsi="Times New Roman" w:cs="Times New Roman"/>
          <w:color w:val="000000"/>
          <w:sz w:val="24"/>
          <w:szCs w:val="24"/>
        </w:rPr>
        <w:t xml:space="preserve">: Estudo de coorte prospectivo a ser realizado com usuários do ambulatório do Núcleo </w:t>
      </w:r>
      <w:proofErr w:type="spellStart"/>
      <w:r w:rsidRPr="00045169">
        <w:rPr>
          <w:rFonts w:ascii="Times New Roman" w:hAnsi="Times New Roman" w:cs="Times New Roman"/>
          <w:color w:val="000000"/>
          <w:sz w:val="24"/>
          <w:szCs w:val="24"/>
        </w:rPr>
        <w:t>TransUnifesp</w:t>
      </w:r>
      <w:proofErr w:type="spellEnd"/>
      <w:r>
        <w:rPr>
          <w:rFonts w:ascii="Times New Roman" w:hAnsi="Times New Roman" w:cs="Times New Roman"/>
          <w:color w:val="000000"/>
          <w:sz w:val="24"/>
          <w:szCs w:val="24"/>
        </w:rPr>
        <w:t xml:space="preserve"> (centro proponente) e nos usuários do </w:t>
      </w:r>
      <w:r>
        <w:rPr>
          <w:rFonts w:ascii="Times New Roman" w:eastAsia="Times New Roman" w:hAnsi="Times New Roman" w:cs="Times New Roman"/>
          <w:color w:val="000000" w:themeColor="text1"/>
          <w:sz w:val="24"/>
          <w:szCs w:val="24"/>
        </w:rPr>
        <w:t>Centro de Referência e Treinamento DST/AIDS-SP (coparticipante)</w:t>
      </w:r>
      <w:r w:rsidRPr="0004516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45169">
        <w:rPr>
          <w:rFonts w:ascii="Times New Roman" w:hAnsi="Times New Roman" w:cs="Times New Roman"/>
          <w:color w:val="000000"/>
          <w:sz w:val="24"/>
          <w:szCs w:val="24"/>
        </w:rPr>
        <w:t xml:space="preserve">Cento e cinquenta homens trans, previamente à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ou que tenham suspendido o hormônio pelo período mínimo de seis meses, serão convidados para avaliação </w:t>
      </w:r>
      <w:r w:rsidRPr="00045169">
        <w:rPr>
          <w:rFonts w:ascii="Times New Roman" w:hAnsi="Times New Roman" w:cs="Times New Roman"/>
          <w:sz w:val="24"/>
          <w:szCs w:val="24"/>
        </w:rPr>
        <w:t>laboratorial hormonal</w:t>
      </w:r>
      <w:r w:rsidRPr="00045169">
        <w:rPr>
          <w:rFonts w:ascii="Times New Roman" w:hAnsi="Times New Roman" w:cs="Times New Roman"/>
          <w:color w:val="000000"/>
          <w:sz w:val="24"/>
          <w:szCs w:val="24"/>
        </w:rPr>
        <w:t>, composição corporal</w:t>
      </w:r>
      <w:r w:rsidRPr="00045169">
        <w:rPr>
          <w:rFonts w:ascii="Times New Roman" w:hAnsi="Times New Roman" w:cs="Times New Roman"/>
          <w:sz w:val="24"/>
          <w:szCs w:val="24"/>
        </w:rPr>
        <w:t xml:space="preserve"> por densitometria óssea e composição corporal por DXA</w:t>
      </w:r>
      <w:r w:rsidRPr="00045169">
        <w:rPr>
          <w:rFonts w:ascii="Times New Roman" w:hAnsi="Times New Roman" w:cs="Times New Roman"/>
          <w:color w:val="000000"/>
          <w:sz w:val="24"/>
          <w:szCs w:val="24"/>
        </w:rPr>
        <w:t xml:space="preserve">, </w:t>
      </w:r>
      <w:r w:rsidRPr="00045169">
        <w:rPr>
          <w:rFonts w:ascii="Times New Roman" w:hAnsi="Times New Roman" w:cs="Times New Roman"/>
          <w:sz w:val="24"/>
          <w:szCs w:val="24"/>
        </w:rPr>
        <w:t xml:space="preserve">de </w:t>
      </w:r>
      <w:r w:rsidRPr="00045169">
        <w:rPr>
          <w:rFonts w:ascii="Times New Roman" w:hAnsi="Times New Roman" w:cs="Times New Roman"/>
          <w:color w:val="000000"/>
          <w:sz w:val="24"/>
          <w:szCs w:val="24"/>
        </w:rPr>
        <w:t xml:space="preserve">risco cardiovascular, utilizando-se </w:t>
      </w:r>
      <w:r w:rsidRPr="00045169">
        <w:rPr>
          <w:rFonts w:ascii="Times New Roman" w:hAnsi="Times New Roman" w:cs="Times New Roman"/>
          <w:sz w:val="24"/>
          <w:szCs w:val="24"/>
        </w:rPr>
        <w:t>marcadores metabólicos e inflamatórios, inclusive, da medida de função endotelial através de tonometria arterial periférica (</w:t>
      </w:r>
      <w:proofErr w:type="spellStart"/>
      <w:r w:rsidRPr="00045169">
        <w:rPr>
          <w:rFonts w:ascii="Times New Roman" w:hAnsi="Times New Roman" w:cs="Times New Roman"/>
          <w:sz w:val="24"/>
          <w:szCs w:val="24"/>
        </w:rPr>
        <w:t>EndoPAT</w:t>
      </w:r>
      <w:proofErr w:type="spellEnd"/>
      <w:r w:rsidRPr="00045169">
        <w:rPr>
          <w:rFonts w:ascii="Times New Roman" w:hAnsi="Times New Roman" w:cs="Times New Roman"/>
          <w:sz w:val="24"/>
          <w:szCs w:val="24"/>
        </w:rPr>
        <w:t>) e medida ambulatorial de pressão arterial (MAPA) a cada seis meses, até o término do estudo aos 18 meses. Os dados coletados serão inseridos em um banco de dados (Excel) e analisados por programa estatístico (SPSS). R</w:t>
      </w:r>
      <w:r w:rsidRPr="00045169">
        <w:rPr>
          <w:rFonts w:ascii="Times New Roman" w:hAnsi="Times New Roman" w:cs="Times New Roman"/>
          <w:b/>
          <w:bCs/>
          <w:sz w:val="24"/>
          <w:szCs w:val="24"/>
        </w:rPr>
        <w:t>esultados esperados</w:t>
      </w:r>
      <w:r w:rsidRPr="00045169">
        <w:rPr>
          <w:rFonts w:ascii="Times New Roman" w:hAnsi="Times New Roman" w:cs="Times New Roman"/>
          <w:sz w:val="24"/>
          <w:szCs w:val="24"/>
        </w:rPr>
        <w:t xml:space="preserve">: Apontar possíveis marcadores de risco cardiovascular em função da </w:t>
      </w:r>
      <w:proofErr w:type="spellStart"/>
      <w:r w:rsidRPr="00045169">
        <w:rPr>
          <w:rFonts w:ascii="Times New Roman" w:hAnsi="Times New Roman" w:cs="Times New Roman"/>
          <w:sz w:val="24"/>
          <w:szCs w:val="24"/>
        </w:rPr>
        <w:t>hormonização</w:t>
      </w:r>
      <w:proofErr w:type="spellEnd"/>
      <w:r w:rsidRPr="00045169">
        <w:rPr>
          <w:rFonts w:ascii="Times New Roman" w:hAnsi="Times New Roman" w:cs="Times New Roman"/>
          <w:sz w:val="24"/>
          <w:szCs w:val="24"/>
        </w:rPr>
        <w:t xml:space="preserve"> com testosterona e, a partir desses achados, recomendar adequações mais precoces no esquema hormonal de forma individualizada, indicando mudanças no estilo de vida e recomendando tratamento especifico para alterações diagnosticadas.</w:t>
      </w:r>
    </w:p>
    <w:p w14:paraId="762B60D5" w14:textId="77777777" w:rsidR="003F2C39" w:rsidRDefault="003F2C39">
      <w:pPr>
        <w:spacing w:after="0" w:line="360" w:lineRule="auto"/>
        <w:jc w:val="both"/>
        <w:rPr>
          <w:rFonts w:ascii="Times New Roman" w:hAnsi="Times New Roman" w:cs="Times New Roman"/>
          <w:b/>
          <w:color w:val="000000"/>
          <w:sz w:val="24"/>
          <w:szCs w:val="24"/>
        </w:rPr>
      </w:pPr>
    </w:p>
    <w:p w14:paraId="792ECB94" w14:textId="77777777"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color w:val="000000"/>
          <w:sz w:val="24"/>
          <w:szCs w:val="24"/>
        </w:rPr>
        <w:t>Termos Descritivos:</w:t>
      </w:r>
      <w:r w:rsidRPr="00045169">
        <w:rPr>
          <w:rFonts w:ascii="Times New Roman" w:hAnsi="Times New Roman" w:cs="Times New Roman"/>
          <w:color w:val="000000"/>
          <w:sz w:val="24"/>
          <w:szCs w:val="24"/>
        </w:rPr>
        <w:t xml:space="preserve"> testosterona, homens trans, fatores de risco cardiovascular, endotélio vascular, sexualidade, imagem corporal.</w:t>
      </w:r>
    </w:p>
    <w:p w14:paraId="1344E4E1" w14:textId="77777777" w:rsidR="003F2C39" w:rsidRDefault="003F2C39">
      <w:pPr>
        <w:spacing w:after="0" w:line="360" w:lineRule="auto"/>
        <w:jc w:val="both"/>
        <w:rPr>
          <w:rFonts w:ascii="Times New Roman" w:hAnsi="Times New Roman" w:cs="Times New Roman"/>
          <w:sz w:val="24"/>
          <w:szCs w:val="24"/>
        </w:rPr>
      </w:pPr>
    </w:p>
    <w:p w14:paraId="550D45CF" w14:textId="77777777"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793BE745" w14:textId="77777777" w:rsidR="003F2C39" w:rsidRDefault="003F2C39">
      <w:pPr>
        <w:spacing w:after="0" w:line="360" w:lineRule="auto"/>
        <w:jc w:val="both"/>
        <w:rPr>
          <w:rFonts w:ascii="Times New Roman" w:hAnsi="Times New Roman" w:cs="Times New Roman"/>
          <w:b/>
          <w:color w:val="000000"/>
          <w:sz w:val="24"/>
          <w:szCs w:val="24"/>
        </w:rPr>
      </w:pPr>
    </w:p>
    <w:p w14:paraId="0A243070" w14:textId="77777777" w:rsidR="003F2C39" w:rsidRDefault="00000000">
      <w:pPr>
        <w:spacing w:line="360" w:lineRule="auto"/>
        <w:rPr>
          <w:rFonts w:ascii="Times New Roman" w:eastAsia="Times New Roman" w:hAnsi="Times New Roman" w:cs="Times New Roman"/>
          <w:b/>
          <w:sz w:val="24"/>
          <w:szCs w:val="24"/>
        </w:rPr>
      </w:pPr>
      <w:bookmarkStart w:id="2" w:name="_Hlk146527842"/>
      <w:bookmarkEnd w:id="2"/>
      <w:r>
        <w:br w:type="page"/>
      </w:r>
    </w:p>
    <w:p w14:paraId="29630198" w14:textId="77777777" w:rsidR="003F2C39" w:rsidRDefault="00000000">
      <w:pPr>
        <w:numPr>
          <w:ilvl w:val="0"/>
          <w:numId w:val="1"/>
        </w:numPr>
        <w:spacing w:after="0" w:line="360" w:lineRule="auto"/>
        <w:jc w:val="both"/>
        <w:rPr>
          <w:rFonts w:ascii="Times New Roman" w:hAnsi="Times New Roman" w:cs="Times New Roman"/>
          <w:b/>
          <w:color w:val="000000"/>
          <w:sz w:val="24"/>
          <w:szCs w:val="24"/>
        </w:rPr>
      </w:pPr>
      <w:r>
        <w:rPr>
          <w:rFonts w:ascii="Times New Roman" w:eastAsia="Times New Roman" w:hAnsi="Times New Roman" w:cs="Times New Roman"/>
          <w:b/>
          <w:sz w:val="24"/>
          <w:szCs w:val="24"/>
        </w:rPr>
        <w:lastRenderedPageBreak/>
        <w:t>INTRODUÇÃO</w:t>
      </w:r>
    </w:p>
    <w:p w14:paraId="5640F3F1" w14:textId="77777777" w:rsidR="003F2C39" w:rsidRDefault="003F2C39">
      <w:pPr>
        <w:spacing w:after="0" w:line="360" w:lineRule="auto"/>
        <w:jc w:val="both"/>
        <w:rPr>
          <w:rFonts w:ascii="Times New Roman" w:hAnsi="Times New Roman" w:cs="Times New Roman"/>
          <w:color w:val="000000"/>
          <w:sz w:val="24"/>
          <w:szCs w:val="24"/>
        </w:rPr>
      </w:pPr>
    </w:p>
    <w:p w14:paraId="14DB4895" w14:textId="77777777" w:rsidR="003F2C39" w:rsidRDefault="00000000">
      <w:pPr>
        <w:spacing w:after="24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Categorizam-se pessoas trans aquelas que têm identidade de gênero diferente daquela atribuída ao sexo de nascimento. No Brasil, cerca de 1,9% da </w:t>
      </w:r>
      <w:r w:rsidRPr="00045169">
        <w:rPr>
          <w:rFonts w:ascii="Times New Roman" w:hAnsi="Times New Roman" w:cs="Times New Roman"/>
          <w:sz w:val="24"/>
          <w:szCs w:val="24"/>
        </w:rPr>
        <w:t xml:space="preserve">população adulta se define como trans ou não binária, o que corresponde a cerca de três milhões de pessoas </w:t>
      </w:r>
      <w:r w:rsidRPr="00045169">
        <w:rPr>
          <w:rFonts w:ascii="Times New Roman" w:hAnsi="Times New Roman" w:cs="Times New Roman"/>
          <w:color w:val="000000"/>
          <w:sz w:val="24"/>
          <w:szCs w:val="24"/>
        </w:rPr>
        <w:t>(</w:t>
      </w:r>
      <w:proofErr w:type="spellStart"/>
      <w:r w:rsidRPr="00045169">
        <w:rPr>
          <w:rFonts w:ascii="Times New Roman" w:hAnsi="Times New Roman" w:cs="Times New Roman"/>
          <w:color w:val="000000"/>
          <w:sz w:val="24"/>
          <w:szCs w:val="24"/>
        </w:rPr>
        <w:t>Spizzirri</w:t>
      </w:r>
      <w:proofErr w:type="spellEnd"/>
      <w:r w:rsidRPr="00045169">
        <w:rPr>
          <w:rFonts w:ascii="Times New Roman" w:hAnsi="Times New Roman" w:cs="Times New Roman"/>
          <w:color w:val="000000"/>
          <w:sz w:val="24"/>
          <w:szCs w:val="24"/>
        </w:rPr>
        <w:t xml:space="preserve"> et al., 2021)</w:t>
      </w:r>
      <w:r w:rsidRPr="00045169">
        <w:rPr>
          <w:rFonts w:ascii="Times New Roman" w:hAnsi="Times New Roman" w:cs="Times New Roman"/>
          <w:sz w:val="24"/>
          <w:szCs w:val="24"/>
        </w:rPr>
        <w:t xml:space="preserve">. Historicamente, além de ter necessidades específicas, a população trans encontra barreiras no acesso à saúde </w:t>
      </w:r>
      <w:r w:rsidRPr="00045169">
        <w:rPr>
          <w:rFonts w:ascii="Times New Roman" w:hAnsi="Times New Roman" w:cs="Times New Roman"/>
          <w:color w:val="000000"/>
          <w:sz w:val="24"/>
          <w:szCs w:val="24"/>
        </w:rPr>
        <w:t>(Coleman et al., 2022)</w:t>
      </w:r>
      <w:r w:rsidRPr="00045169">
        <w:rPr>
          <w:rFonts w:ascii="Times New Roman" w:hAnsi="Times New Roman" w:cs="Times New Roman"/>
          <w:sz w:val="24"/>
          <w:szCs w:val="24"/>
        </w:rPr>
        <w:t xml:space="preserve">. Da mesma forma, estudos que abordam o risco cardiovascular na população geral, pessoas trans se encontram </w:t>
      </w:r>
      <w:proofErr w:type="spellStart"/>
      <w:r w:rsidRPr="00045169">
        <w:rPr>
          <w:rFonts w:ascii="Times New Roman" w:hAnsi="Times New Roman" w:cs="Times New Roman"/>
          <w:sz w:val="24"/>
          <w:szCs w:val="24"/>
        </w:rPr>
        <w:t>sub-representadas</w:t>
      </w:r>
      <w:proofErr w:type="spellEnd"/>
      <w:r w:rsidRPr="00045169">
        <w:rPr>
          <w:rFonts w:ascii="Times New Roman" w:hAnsi="Times New Roman" w:cs="Times New Roman"/>
          <w:sz w:val="24"/>
          <w:szCs w:val="24"/>
        </w:rPr>
        <w:t xml:space="preserve">. Ainda, acrescenta-se o fato de que a compreensão dos efeitos adversos da hormonioterapia de pessoas trans é limitada, visto que não é possível, do ponto de vista ético, a inclusão de um grupo placebo nos estudos (Connelly &amp; </w:t>
      </w:r>
      <w:proofErr w:type="spellStart"/>
      <w:r w:rsidRPr="00045169">
        <w:rPr>
          <w:rFonts w:ascii="Times New Roman" w:hAnsi="Times New Roman" w:cs="Times New Roman"/>
          <w:sz w:val="24"/>
          <w:szCs w:val="24"/>
        </w:rPr>
        <w:t>Delles</w:t>
      </w:r>
      <w:proofErr w:type="spellEnd"/>
      <w:r w:rsidRPr="00045169">
        <w:rPr>
          <w:rFonts w:ascii="Times New Roman" w:hAnsi="Times New Roman" w:cs="Times New Roman"/>
          <w:sz w:val="24"/>
          <w:szCs w:val="24"/>
        </w:rPr>
        <w:t>, 2021).</w:t>
      </w:r>
    </w:p>
    <w:p w14:paraId="3B7C426A" w14:textId="77777777" w:rsidR="003F2C39" w:rsidRDefault="00000000">
      <w:pPr>
        <w:spacing w:after="240" w:line="360" w:lineRule="auto"/>
        <w:jc w:val="both"/>
        <w:rPr>
          <w:rFonts w:ascii="Times New Roman" w:hAnsi="Times New Roman" w:cs="Times New Roman"/>
          <w:sz w:val="24"/>
          <w:szCs w:val="24"/>
        </w:rPr>
      </w:pPr>
      <w:r w:rsidRPr="00045169">
        <w:rPr>
          <w:rFonts w:ascii="Times New Roman" w:hAnsi="Times New Roman" w:cs="Times New Roman"/>
          <w:color w:val="000000"/>
          <w:sz w:val="24"/>
          <w:szCs w:val="24"/>
        </w:rPr>
        <w:t xml:space="preserve">A hormonioterapia com esteroides sexuais para pessoas trans, também conhecida por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cruzada, representa uma intervenção primordial nas pessoas trans com vista às modificações corporais. Além das mudanças corporais, 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tem consequências nos aspectos de funcionamento psicológico e satisfação corporal, com impacto na redução da ansiedade, depressão e </w:t>
      </w:r>
      <w:proofErr w:type="spellStart"/>
      <w:r w:rsidRPr="00045169">
        <w:rPr>
          <w:rFonts w:ascii="Times New Roman" w:hAnsi="Times New Roman" w:cs="Times New Roman"/>
          <w:color w:val="000000"/>
          <w:sz w:val="24"/>
          <w:szCs w:val="24"/>
        </w:rPr>
        <w:t>suicidabilidade</w:t>
      </w:r>
      <w:proofErr w:type="spellEnd"/>
      <w:r w:rsidRPr="00045169">
        <w:rPr>
          <w:rFonts w:ascii="Times New Roman" w:hAnsi="Times New Roman" w:cs="Times New Roman"/>
          <w:color w:val="000000"/>
          <w:sz w:val="24"/>
          <w:szCs w:val="24"/>
        </w:rPr>
        <w:t xml:space="preserve"> (</w:t>
      </w:r>
      <w:proofErr w:type="spellStart"/>
      <w:r w:rsidRPr="00045169">
        <w:rPr>
          <w:rFonts w:ascii="Times New Roman" w:hAnsi="Times New Roman" w:cs="Times New Roman"/>
          <w:color w:val="000000"/>
          <w:sz w:val="24"/>
          <w:szCs w:val="24"/>
        </w:rPr>
        <w:t>Tordoff</w:t>
      </w:r>
      <w:proofErr w:type="spellEnd"/>
      <w:r w:rsidRPr="00045169">
        <w:rPr>
          <w:rFonts w:ascii="Times New Roman" w:hAnsi="Times New Roman" w:cs="Times New Roman"/>
          <w:color w:val="000000"/>
          <w:sz w:val="24"/>
          <w:szCs w:val="24"/>
        </w:rPr>
        <w:t xml:space="preserve"> et al., 2022).</w:t>
      </w:r>
    </w:p>
    <w:p w14:paraId="290C9E85" w14:textId="77777777" w:rsidR="003F2C39" w:rsidRDefault="00000000">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Sobre aspectos de morbidade e mortalidade em pessoas trans, estudos recentes têm mostrado que </w:t>
      </w:r>
      <w:r w:rsidRPr="00045169">
        <w:rPr>
          <w:rFonts w:ascii="Times New Roman" w:hAnsi="Times New Roman" w:cs="Times New Roman"/>
          <w:color w:val="000000"/>
          <w:sz w:val="24"/>
          <w:szCs w:val="24"/>
        </w:rPr>
        <w:t>essas apresentam risco de eventos cardiovasculares elevado em relação às pessoas cis. Essa disparidade tem sido associada ao estresse de minoria e outras condições específicas que determinam uma maior prevalência de obesidade, sedentarismo, tabagismo e diabetes, dentre outros conhecidos fatores de risco para doença cardiovascular (</w:t>
      </w:r>
      <w:proofErr w:type="spellStart"/>
      <w:r w:rsidRPr="00045169">
        <w:rPr>
          <w:rFonts w:ascii="Times New Roman" w:hAnsi="Times New Roman" w:cs="Times New Roman"/>
          <w:color w:val="000000"/>
          <w:sz w:val="24"/>
          <w:szCs w:val="24"/>
        </w:rPr>
        <w:t>Streed</w:t>
      </w:r>
      <w:proofErr w:type="spellEnd"/>
      <w:r w:rsidRPr="00045169">
        <w:rPr>
          <w:rFonts w:ascii="Times New Roman" w:hAnsi="Times New Roman" w:cs="Times New Roman"/>
          <w:color w:val="000000"/>
          <w:sz w:val="24"/>
          <w:szCs w:val="24"/>
        </w:rPr>
        <w:t xml:space="preserve"> et al., 2021). Antes mesmo do início dos cuidados relacionados às mudanças corporais, </w:t>
      </w:r>
      <w:proofErr w:type="spellStart"/>
      <w:r w:rsidRPr="00045169">
        <w:rPr>
          <w:rFonts w:ascii="Times New Roman" w:hAnsi="Times New Roman" w:cs="Times New Roman"/>
          <w:color w:val="000000"/>
          <w:sz w:val="24"/>
          <w:szCs w:val="24"/>
        </w:rPr>
        <w:t>Denby</w:t>
      </w:r>
      <w:proofErr w:type="spellEnd"/>
      <w:r w:rsidRPr="00045169">
        <w:rPr>
          <w:rFonts w:ascii="Times New Roman" w:hAnsi="Times New Roman" w:cs="Times New Roman"/>
          <w:color w:val="000000"/>
          <w:sz w:val="24"/>
          <w:szCs w:val="24"/>
        </w:rPr>
        <w:t xml:space="preserve"> e cols. descreveram, em uma amostra de 427 indivíduos atendidos em um serviço terciário, scores de risco cardiovascular ASCVD e QRISK3 de 8,3 e 12,2, respectivamente, entre os usuários de 40 a 65 anos. Tais scores se situam acima da população geral, da mesma faixa etária. Nesse mesmo estudo, os autores mostraram taxas elevadas de hipertensão arterial, especialmente não diagnosticada e/ou tratada, tabagismo e doença mental, acima daquelas descritas na população geral (</w:t>
      </w:r>
      <w:proofErr w:type="spellStart"/>
      <w:r w:rsidRPr="00045169">
        <w:rPr>
          <w:rFonts w:ascii="Times New Roman" w:hAnsi="Times New Roman" w:cs="Times New Roman"/>
          <w:color w:val="000000"/>
          <w:sz w:val="24"/>
          <w:szCs w:val="24"/>
        </w:rPr>
        <w:t>Denby</w:t>
      </w:r>
      <w:proofErr w:type="spellEnd"/>
      <w:r w:rsidRPr="00045169">
        <w:rPr>
          <w:rFonts w:ascii="Times New Roman" w:hAnsi="Times New Roman" w:cs="Times New Roman"/>
          <w:color w:val="000000"/>
          <w:sz w:val="24"/>
          <w:szCs w:val="24"/>
        </w:rPr>
        <w:t xml:space="preserve"> et al., 2021). Por sua vez, de </w:t>
      </w:r>
      <w:proofErr w:type="spellStart"/>
      <w:r w:rsidRPr="00045169">
        <w:rPr>
          <w:rFonts w:ascii="Times New Roman" w:hAnsi="Times New Roman" w:cs="Times New Roman"/>
          <w:color w:val="000000"/>
          <w:sz w:val="24"/>
          <w:szCs w:val="24"/>
        </w:rPr>
        <w:t>Blok</w:t>
      </w:r>
      <w:proofErr w:type="spellEnd"/>
      <w:r w:rsidRPr="00045169">
        <w:rPr>
          <w:rFonts w:ascii="Times New Roman" w:hAnsi="Times New Roman" w:cs="Times New Roman"/>
          <w:color w:val="000000"/>
          <w:sz w:val="24"/>
          <w:szCs w:val="24"/>
        </w:rPr>
        <w:t xml:space="preserve"> e cols., em um grande estudo retrospectivo, mostraram uma taxa de mortalidade por todas as causas entre pessoas trans acima da média da população cis. Neste estudo, a mortalidade específica por doença cardiovascular esteve particularmente aumentada nas mulheres trans, sendo a razão de mortalidade neste grupo (</w:t>
      </w:r>
      <w:proofErr w:type="spellStart"/>
      <w:r w:rsidRPr="00045169">
        <w:rPr>
          <w:rFonts w:ascii="Times New Roman" w:hAnsi="Times New Roman" w:cs="Times New Roman"/>
          <w:i/>
          <w:iCs/>
          <w:color w:val="000000"/>
          <w:sz w:val="24"/>
          <w:szCs w:val="24"/>
        </w:rPr>
        <w:t>standardized</w:t>
      </w:r>
      <w:proofErr w:type="spellEnd"/>
      <w:r w:rsidRPr="00045169">
        <w:rPr>
          <w:rFonts w:ascii="Times New Roman" w:hAnsi="Times New Roman" w:cs="Times New Roman"/>
          <w:i/>
          <w:iCs/>
          <w:color w:val="000000"/>
          <w:sz w:val="24"/>
          <w:szCs w:val="24"/>
        </w:rPr>
        <w:t xml:space="preserve"> </w:t>
      </w:r>
      <w:proofErr w:type="spellStart"/>
      <w:r w:rsidRPr="00045169">
        <w:rPr>
          <w:rFonts w:ascii="Times New Roman" w:hAnsi="Times New Roman" w:cs="Times New Roman"/>
          <w:i/>
          <w:iCs/>
          <w:color w:val="000000"/>
          <w:sz w:val="24"/>
          <w:szCs w:val="24"/>
        </w:rPr>
        <w:t>mortality</w:t>
      </w:r>
      <w:proofErr w:type="spellEnd"/>
      <w:r w:rsidRPr="00045169">
        <w:rPr>
          <w:rFonts w:ascii="Times New Roman" w:hAnsi="Times New Roman" w:cs="Times New Roman"/>
          <w:i/>
          <w:iCs/>
          <w:color w:val="000000"/>
          <w:sz w:val="24"/>
          <w:szCs w:val="24"/>
        </w:rPr>
        <w:t xml:space="preserve"> </w:t>
      </w:r>
      <w:proofErr w:type="spellStart"/>
      <w:r w:rsidRPr="00045169">
        <w:rPr>
          <w:rFonts w:ascii="Times New Roman" w:hAnsi="Times New Roman" w:cs="Times New Roman"/>
          <w:i/>
          <w:iCs/>
          <w:color w:val="000000"/>
          <w:sz w:val="24"/>
          <w:szCs w:val="24"/>
        </w:rPr>
        <w:t>ratio</w:t>
      </w:r>
      <w:proofErr w:type="spellEnd"/>
      <w:r w:rsidRPr="00045169">
        <w:rPr>
          <w:rFonts w:ascii="Times New Roman" w:hAnsi="Times New Roman" w:cs="Times New Roman"/>
          <w:color w:val="000000"/>
          <w:sz w:val="24"/>
          <w:szCs w:val="24"/>
        </w:rPr>
        <w:t xml:space="preserve">) de 1,4 e 2,6 em relação aos homens e às mulheres cis da população geral, respectivamente (de </w:t>
      </w:r>
      <w:proofErr w:type="spellStart"/>
      <w:r w:rsidRPr="00045169">
        <w:rPr>
          <w:rFonts w:ascii="Times New Roman" w:hAnsi="Times New Roman" w:cs="Times New Roman"/>
          <w:color w:val="000000"/>
          <w:sz w:val="24"/>
          <w:szCs w:val="24"/>
        </w:rPr>
        <w:t>Blok</w:t>
      </w:r>
      <w:proofErr w:type="spellEnd"/>
      <w:r w:rsidRPr="00045169">
        <w:rPr>
          <w:rFonts w:ascii="Times New Roman" w:hAnsi="Times New Roman" w:cs="Times New Roman"/>
          <w:color w:val="000000"/>
          <w:sz w:val="24"/>
          <w:szCs w:val="24"/>
        </w:rPr>
        <w:t xml:space="preserve"> et al., 2021). </w:t>
      </w:r>
    </w:p>
    <w:p w14:paraId="642A2F21" w14:textId="77777777" w:rsidR="003F2C39" w:rsidRDefault="00000000">
      <w:pPr>
        <w:spacing w:after="24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Ainda com relação aos desfechos, tanto </w:t>
      </w:r>
      <w:proofErr w:type="spellStart"/>
      <w:r w:rsidRPr="00045169">
        <w:rPr>
          <w:rFonts w:ascii="Times New Roman" w:hAnsi="Times New Roman" w:cs="Times New Roman"/>
          <w:color w:val="000000"/>
          <w:sz w:val="24"/>
          <w:szCs w:val="24"/>
        </w:rPr>
        <w:t>Alzahrani</w:t>
      </w:r>
      <w:proofErr w:type="spellEnd"/>
      <w:r w:rsidRPr="00045169">
        <w:rPr>
          <w:rFonts w:ascii="Times New Roman" w:hAnsi="Times New Roman" w:cs="Times New Roman"/>
          <w:color w:val="000000"/>
          <w:sz w:val="24"/>
          <w:szCs w:val="24"/>
        </w:rPr>
        <w:t xml:space="preserve"> e cols. (</w:t>
      </w:r>
      <w:proofErr w:type="spellStart"/>
      <w:r w:rsidRPr="00045169">
        <w:rPr>
          <w:rFonts w:ascii="Times New Roman" w:hAnsi="Times New Roman" w:cs="Times New Roman"/>
          <w:color w:val="000000"/>
          <w:sz w:val="24"/>
          <w:szCs w:val="24"/>
        </w:rPr>
        <w:t>Alzahrani</w:t>
      </w:r>
      <w:proofErr w:type="spellEnd"/>
      <w:r w:rsidRPr="00045169">
        <w:rPr>
          <w:rFonts w:ascii="Times New Roman" w:hAnsi="Times New Roman" w:cs="Times New Roman"/>
          <w:color w:val="000000"/>
          <w:sz w:val="24"/>
          <w:szCs w:val="24"/>
        </w:rPr>
        <w:t xml:space="preserve"> et al., 2019) quanto </w:t>
      </w:r>
      <w:proofErr w:type="spellStart"/>
      <w:r w:rsidRPr="00045169">
        <w:rPr>
          <w:rFonts w:ascii="Times New Roman" w:hAnsi="Times New Roman" w:cs="Times New Roman"/>
          <w:color w:val="000000"/>
          <w:sz w:val="24"/>
          <w:szCs w:val="24"/>
        </w:rPr>
        <w:t>Glintborg</w:t>
      </w:r>
      <w:proofErr w:type="spellEnd"/>
      <w:r w:rsidRPr="00045169">
        <w:rPr>
          <w:rFonts w:ascii="Times New Roman" w:hAnsi="Times New Roman" w:cs="Times New Roman"/>
          <w:color w:val="000000"/>
          <w:sz w:val="24"/>
          <w:szCs w:val="24"/>
        </w:rPr>
        <w:t xml:space="preserve"> e cols. (</w:t>
      </w:r>
      <w:proofErr w:type="spellStart"/>
      <w:r w:rsidRPr="00045169">
        <w:rPr>
          <w:rFonts w:ascii="Times New Roman" w:hAnsi="Times New Roman" w:cs="Times New Roman"/>
          <w:color w:val="000000"/>
          <w:sz w:val="24"/>
          <w:szCs w:val="24"/>
        </w:rPr>
        <w:t>Glintborg</w:t>
      </w:r>
      <w:proofErr w:type="spellEnd"/>
      <w:r w:rsidRPr="00045169">
        <w:rPr>
          <w:rFonts w:ascii="Times New Roman" w:hAnsi="Times New Roman" w:cs="Times New Roman"/>
          <w:color w:val="000000"/>
          <w:sz w:val="24"/>
          <w:szCs w:val="24"/>
        </w:rPr>
        <w:t xml:space="preserve"> et al., 2022) descreveram maior risco de eventos cardiovasculares nas mulheres trans, quando comparadas às mulheres cis. No caso dos homens trans, o efeito da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em si parece </w:t>
      </w:r>
      <w:r w:rsidRPr="00045169">
        <w:rPr>
          <w:rFonts w:ascii="Times New Roman" w:hAnsi="Times New Roman" w:cs="Times New Roman"/>
          <w:color w:val="000000"/>
          <w:sz w:val="24"/>
          <w:szCs w:val="24"/>
        </w:rPr>
        <w:lastRenderedPageBreak/>
        <w:t>ser um fator de incremento de risco cardiovascular (</w:t>
      </w:r>
      <w:proofErr w:type="spellStart"/>
      <w:r w:rsidRPr="00045169">
        <w:rPr>
          <w:rFonts w:ascii="Times New Roman" w:hAnsi="Times New Roman" w:cs="Times New Roman"/>
          <w:color w:val="000000"/>
          <w:sz w:val="24"/>
          <w:szCs w:val="24"/>
        </w:rPr>
        <w:t>Glintborg</w:t>
      </w:r>
      <w:proofErr w:type="spellEnd"/>
      <w:r w:rsidRPr="00045169">
        <w:rPr>
          <w:rFonts w:ascii="Times New Roman" w:hAnsi="Times New Roman" w:cs="Times New Roman"/>
          <w:color w:val="000000"/>
          <w:sz w:val="24"/>
          <w:szCs w:val="24"/>
        </w:rPr>
        <w:t xml:space="preserve"> et al., 2022). Assim como nas mulheres trans, os homens trans experimentam uma alteração desfavorável do perfil lipídico. O uso de testosterona esteve associado a níveis mais baixos de colesterol HDL e aumento dos triglicérides em uma meta-análise (</w:t>
      </w:r>
      <w:proofErr w:type="spellStart"/>
      <w:r w:rsidRPr="00045169">
        <w:rPr>
          <w:rFonts w:ascii="Times New Roman" w:hAnsi="Times New Roman" w:cs="Times New Roman"/>
          <w:color w:val="000000"/>
          <w:sz w:val="24"/>
          <w:szCs w:val="24"/>
        </w:rPr>
        <w:t>Elamin</w:t>
      </w:r>
      <w:proofErr w:type="spellEnd"/>
      <w:r w:rsidRPr="00045169">
        <w:rPr>
          <w:rFonts w:ascii="Times New Roman" w:hAnsi="Times New Roman" w:cs="Times New Roman"/>
          <w:color w:val="000000"/>
          <w:sz w:val="24"/>
          <w:szCs w:val="24"/>
        </w:rPr>
        <w:t xml:space="preserve"> et al., 2010).</w:t>
      </w:r>
    </w:p>
    <w:p w14:paraId="415EE486" w14:textId="77777777" w:rsidR="003F2C39" w:rsidRDefault="00000000">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proofErr w:type="spellStart"/>
      <w:r>
        <w:rPr>
          <w:rFonts w:ascii="Times New Roman" w:hAnsi="Times New Roman" w:cs="Times New Roman"/>
          <w:color w:val="000000"/>
          <w:sz w:val="24"/>
          <w:szCs w:val="24"/>
        </w:rPr>
        <w:t>hormonização</w:t>
      </w:r>
      <w:proofErr w:type="spellEnd"/>
      <w:r>
        <w:rPr>
          <w:rFonts w:ascii="Times New Roman" w:hAnsi="Times New Roman" w:cs="Times New Roman"/>
          <w:color w:val="000000"/>
          <w:sz w:val="24"/>
          <w:szCs w:val="24"/>
        </w:rPr>
        <w:t xml:space="preserve"> impacta significativamente a pressão arterial das pessoas trans. Enquanto nas mulheres trans ocorre uma redução da pressão arterial sistólica, o oposto tem sido descrito como consequência da testosterona nos homens trans, sendo o aumento desta da ordem de até 7 mmHg, ainda que os achados não sejam uniformes (Banks et al., 2021, </w:t>
      </w:r>
      <w:proofErr w:type="spellStart"/>
      <w:r w:rsidRPr="00045169">
        <w:rPr>
          <w:rFonts w:ascii="Times New Roman" w:hAnsi="Times New Roman" w:cs="Times New Roman"/>
          <w:color w:val="000000"/>
          <w:sz w:val="24"/>
          <w:szCs w:val="24"/>
        </w:rPr>
        <w:t>Cocchetti</w:t>
      </w:r>
      <w:proofErr w:type="spellEnd"/>
      <w:r w:rsidRPr="00045169">
        <w:rPr>
          <w:rFonts w:ascii="Times New Roman" w:hAnsi="Times New Roman" w:cs="Times New Roman"/>
          <w:color w:val="000000"/>
          <w:sz w:val="24"/>
          <w:szCs w:val="24"/>
        </w:rPr>
        <w:t xml:space="preserve"> et al., 2021, </w:t>
      </w:r>
      <w:proofErr w:type="spellStart"/>
      <w:r w:rsidRPr="00045169">
        <w:rPr>
          <w:rFonts w:ascii="Times New Roman" w:hAnsi="Times New Roman" w:cs="Times New Roman"/>
          <w:color w:val="000000"/>
          <w:sz w:val="24"/>
          <w:szCs w:val="24"/>
        </w:rPr>
        <w:t>Klaver</w:t>
      </w:r>
      <w:proofErr w:type="spellEnd"/>
      <w:r w:rsidRPr="00045169">
        <w:rPr>
          <w:rFonts w:ascii="Times New Roman" w:hAnsi="Times New Roman" w:cs="Times New Roman"/>
          <w:color w:val="000000"/>
          <w:sz w:val="24"/>
          <w:szCs w:val="24"/>
        </w:rPr>
        <w:t xml:space="preserve"> et al., 2020).</w:t>
      </w:r>
    </w:p>
    <w:p w14:paraId="7071B2DB" w14:textId="77777777" w:rsidR="003F2C39" w:rsidRDefault="00000000">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risco de obesidade e diabetes mellitus nas pessoas antes e durante a </w:t>
      </w:r>
      <w:proofErr w:type="spellStart"/>
      <w:r>
        <w:rPr>
          <w:rFonts w:ascii="Times New Roman" w:hAnsi="Times New Roman" w:cs="Times New Roman"/>
          <w:color w:val="000000"/>
          <w:sz w:val="24"/>
          <w:szCs w:val="24"/>
        </w:rPr>
        <w:t>hormonização</w:t>
      </w:r>
      <w:proofErr w:type="spellEnd"/>
      <w:r>
        <w:rPr>
          <w:rFonts w:ascii="Times New Roman" w:hAnsi="Times New Roman" w:cs="Times New Roman"/>
          <w:color w:val="000000"/>
          <w:sz w:val="24"/>
          <w:szCs w:val="24"/>
        </w:rPr>
        <w:t xml:space="preserve"> de pessoas trans também tem sido alvos de estudos. A prevalência de distúrbios alimentares nos Estados Unidos, incluindo anorexia nervosa, bulimia nervosa e </w:t>
      </w:r>
      <w:proofErr w:type="spellStart"/>
      <w:r w:rsidRPr="00045169">
        <w:rPr>
          <w:rFonts w:ascii="Times New Roman" w:hAnsi="Times New Roman" w:cs="Times New Roman"/>
          <w:i/>
          <w:color w:val="000000"/>
          <w:sz w:val="24"/>
          <w:szCs w:val="24"/>
        </w:rPr>
        <w:t>binge</w:t>
      </w:r>
      <w:proofErr w:type="spellEnd"/>
      <w:r w:rsidRPr="00045169">
        <w:rPr>
          <w:rFonts w:ascii="Times New Roman" w:hAnsi="Times New Roman" w:cs="Times New Roman"/>
          <w:i/>
          <w:color w:val="000000"/>
          <w:sz w:val="24"/>
          <w:szCs w:val="24"/>
        </w:rPr>
        <w:t xml:space="preserve"> </w:t>
      </w:r>
      <w:proofErr w:type="spellStart"/>
      <w:r w:rsidRPr="00045169">
        <w:rPr>
          <w:rFonts w:ascii="Times New Roman" w:hAnsi="Times New Roman" w:cs="Times New Roman"/>
          <w:i/>
          <w:color w:val="000000"/>
          <w:sz w:val="24"/>
          <w:szCs w:val="24"/>
        </w:rPr>
        <w:t>eating</w:t>
      </w:r>
      <w:proofErr w:type="spellEnd"/>
      <w:r w:rsidRPr="00045169">
        <w:rPr>
          <w:rFonts w:ascii="Times New Roman" w:hAnsi="Times New Roman" w:cs="Times New Roman"/>
          <w:color w:val="000000"/>
          <w:sz w:val="24"/>
          <w:szCs w:val="24"/>
        </w:rPr>
        <w:t xml:space="preserve"> é de 8,1% em mulheres trans e de 10,5% em homens trans, acima da média da população geral. Ela é influenciada por fatores como estresse de minoria e insatisfação corporal (</w:t>
      </w:r>
      <w:proofErr w:type="spellStart"/>
      <w:r w:rsidRPr="00045169">
        <w:rPr>
          <w:rFonts w:ascii="Times New Roman" w:hAnsi="Times New Roman" w:cs="Times New Roman"/>
          <w:color w:val="000000"/>
          <w:sz w:val="24"/>
          <w:szCs w:val="24"/>
        </w:rPr>
        <w:t>Nagata</w:t>
      </w:r>
      <w:proofErr w:type="spellEnd"/>
      <w:r w:rsidRPr="00045169">
        <w:rPr>
          <w:rFonts w:ascii="Times New Roman" w:hAnsi="Times New Roman" w:cs="Times New Roman"/>
          <w:color w:val="000000"/>
          <w:sz w:val="24"/>
          <w:szCs w:val="24"/>
        </w:rPr>
        <w:t xml:space="preserve"> et al., 2020). </w:t>
      </w:r>
      <w:proofErr w:type="spellStart"/>
      <w:r w:rsidRPr="00045169">
        <w:rPr>
          <w:rFonts w:ascii="Times New Roman" w:hAnsi="Times New Roman" w:cs="Times New Roman"/>
          <w:color w:val="000000"/>
          <w:sz w:val="24"/>
          <w:szCs w:val="24"/>
        </w:rPr>
        <w:t>Klaver</w:t>
      </w:r>
      <w:proofErr w:type="spellEnd"/>
      <w:r w:rsidRPr="00045169">
        <w:rPr>
          <w:rFonts w:ascii="Times New Roman" w:hAnsi="Times New Roman" w:cs="Times New Roman"/>
          <w:color w:val="000000"/>
          <w:sz w:val="24"/>
          <w:szCs w:val="24"/>
        </w:rPr>
        <w:t xml:space="preserve"> e cols., em meta-análise, mostraram que 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levou ao ganho de peso, tanto em mulheres trans quanto em homens trans. A diferença ocorreu na composição corporal medida por DXA, havendo, nas mulheres trans, aumento de gordura e diminuição de massa muscular. O oposto ocorreu nos homens trans, que experimentaram ganho de massa muscular e perda de gordura (</w:t>
      </w:r>
      <w:proofErr w:type="spellStart"/>
      <w:r w:rsidRPr="00045169">
        <w:rPr>
          <w:rFonts w:ascii="Times New Roman" w:hAnsi="Times New Roman" w:cs="Times New Roman"/>
          <w:color w:val="000000"/>
          <w:sz w:val="24"/>
          <w:szCs w:val="24"/>
        </w:rPr>
        <w:t>Klaver</w:t>
      </w:r>
      <w:proofErr w:type="spellEnd"/>
      <w:r w:rsidRPr="00045169">
        <w:rPr>
          <w:rFonts w:ascii="Times New Roman" w:hAnsi="Times New Roman" w:cs="Times New Roman"/>
          <w:color w:val="000000"/>
          <w:sz w:val="24"/>
          <w:szCs w:val="24"/>
        </w:rPr>
        <w:t xml:space="preserve"> et al., 2017). </w:t>
      </w:r>
    </w:p>
    <w:p w14:paraId="54E77504" w14:textId="77777777" w:rsidR="003F2C39" w:rsidRDefault="00000000">
      <w:pPr>
        <w:spacing w:after="24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 xml:space="preserve">Com relação à quantidade de tecido adiposo visceral, que é um importante fator de risco cardiovascular, não houve diferenças após um ano de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em mulheres e nem em homens trans (</w:t>
      </w:r>
      <w:proofErr w:type="spellStart"/>
      <w:r w:rsidRPr="00045169">
        <w:rPr>
          <w:rFonts w:ascii="Times New Roman" w:hAnsi="Times New Roman" w:cs="Times New Roman"/>
          <w:color w:val="000000"/>
          <w:sz w:val="24"/>
          <w:szCs w:val="24"/>
        </w:rPr>
        <w:t>Klaver</w:t>
      </w:r>
      <w:proofErr w:type="spellEnd"/>
      <w:r w:rsidRPr="00045169">
        <w:rPr>
          <w:rFonts w:ascii="Times New Roman" w:hAnsi="Times New Roman" w:cs="Times New Roman"/>
          <w:color w:val="000000"/>
          <w:sz w:val="24"/>
          <w:szCs w:val="24"/>
        </w:rPr>
        <w:t xml:space="preserve"> et al., 2022).</w:t>
      </w:r>
    </w:p>
    <w:p w14:paraId="4E81053A" w14:textId="77777777" w:rsidR="003F2C39" w:rsidRDefault="00000000">
      <w:pPr>
        <w:spacing w:after="240" w:line="360" w:lineRule="auto"/>
        <w:jc w:val="both"/>
        <w:rPr>
          <w:rFonts w:ascii="Times New Roman" w:hAnsi="Times New Roman" w:cs="Times New Roman"/>
          <w:sz w:val="24"/>
          <w:szCs w:val="24"/>
        </w:rPr>
      </w:pPr>
      <w:r w:rsidRPr="00045169">
        <w:rPr>
          <w:rFonts w:ascii="Times New Roman" w:hAnsi="Times New Roman" w:cs="Times New Roman"/>
          <w:color w:val="000000"/>
          <w:sz w:val="24"/>
          <w:szCs w:val="24"/>
        </w:rPr>
        <w:t xml:space="preserve">É importante salientar que 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e demais intervenções para modificação corporal representam medidas de impacto positivo na imagem corporal, incrementando a participação em atividade física, dentre outros benéficos no estilo de vida das pessoas trans (Jones et al., 2018).</w:t>
      </w:r>
    </w:p>
    <w:p w14:paraId="46B255B1" w14:textId="77777777" w:rsidR="003F2C39" w:rsidRDefault="00000000">
      <w:pPr>
        <w:spacing w:after="24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 xml:space="preserve">Com relação ao impacto da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nos índices glicêmicos dos homens trans, não houve diferença de incidência de diabetes, quando comparados com os controles (Islam et al., 2022). Ainda que alguns trabalhos tenham mostrado que a resistência insulínica, quando avaliada pelo HOMA-IR, é aumentada pela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realizada em mulheres trans e reduzida pela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em homens trans (</w:t>
      </w:r>
      <w:proofErr w:type="spellStart"/>
      <w:r w:rsidRPr="00045169">
        <w:rPr>
          <w:rFonts w:ascii="Times New Roman" w:hAnsi="Times New Roman" w:cs="Times New Roman"/>
          <w:color w:val="000000"/>
          <w:sz w:val="24"/>
          <w:szCs w:val="24"/>
        </w:rPr>
        <w:t>Shadid</w:t>
      </w:r>
      <w:proofErr w:type="spellEnd"/>
      <w:r w:rsidRPr="00045169">
        <w:rPr>
          <w:rFonts w:ascii="Times New Roman" w:hAnsi="Times New Roman" w:cs="Times New Roman"/>
          <w:color w:val="000000"/>
          <w:sz w:val="24"/>
          <w:szCs w:val="24"/>
        </w:rPr>
        <w:t xml:space="preserve"> et al., 2020), o impacto no surgimento de diabetes mellitus nesses grupos é incerto, pela falta de estudos prospectivos de longo prazo.</w:t>
      </w:r>
    </w:p>
    <w:p w14:paraId="428E360D" w14:textId="77777777" w:rsidR="003F2C39" w:rsidRDefault="003F2C39">
      <w:pPr>
        <w:spacing w:after="240" w:line="360" w:lineRule="auto"/>
        <w:jc w:val="both"/>
        <w:rPr>
          <w:rFonts w:ascii="Times New Roman" w:hAnsi="Times New Roman" w:cs="Times New Roman"/>
          <w:color w:val="000000"/>
          <w:sz w:val="24"/>
          <w:szCs w:val="24"/>
        </w:rPr>
      </w:pPr>
    </w:p>
    <w:p w14:paraId="64BC66E3" w14:textId="77777777" w:rsidR="003F2C39" w:rsidRDefault="00000000">
      <w:pPr>
        <w:spacing w:after="24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lastRenderedPageBreak/>
        <w:t xml:space="preserve">O impacto da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com testosterona em homens trans também foi avaliado através da medida da rigidez arterial (</w:t>
      </w:r>
      <w:r w:rsidRPr="00045169">
        <w:rPr>
          <w:rFonts w:ascii="Times New Roman" w:hAnsi="Times New Roman" w:cs="Times New Roman"/>
          <w:i/>
          <w:iCs/>
          <w:color w:val="000000"/>
          <w:sz w:val="24"/>
          <w:szCs w:val="24"/>
        </w:rPr>
        <w:t xml:space="preserve">arterial </w:t>
      </w:r>
      <w:proofErr w:type="spellStart"/>
      <w:r w:rsidRPr="00045169">
        <w:rPr>
          <w:rFonts w:ascii="Times New Roman" w:hAnsi="Times New Roman" w:cs="Times New Roman"/>
          <w:i/>
          <w:iCs/>
          <w:color w:val="000000"/>
          <w:sz w:val="24"/>
          <w:szCs w:val="24"/>
        </w:rPr>
        <w:t>stiffness</w:t>
      </w:r>
      <w:proofErr w:type="spellEnd"/>
      <w:r w:rsidRPr="00045169">
        <w:rPr>
          <w:rFonts w:ascii="Times New Roman" w:hAnsi="Times New Roman" w:cs="Times New Roman"/>
          <w:color w:val="000000"/>
          <w:sz w:val="24"/>
          <w:szCs w:val="24"/>
        </w:rPr>
        <w:t xml:space="preserve">), outro importante marcador de risco cardiovascular. Cunha e cols., realizaram um estudo transversal que avaliou 33 homens trans, com idade média de 43 anos, utilizando a medida da velocidade da onda de pulso carótida-femoral, em comparação com homens e mulheres cis. Os autores verificaram uma maior rigidez arterial em homens trans, em comparação com os dois outros grupos, havendo uma correlação da rigidez arterial com a idade e com a pressão arterial sistólica (Cunha et al., 2023). </w:t>
      </w:r>
    </w:p>
    <w:p w14:paraId="2AC40E53" w14:textId="77777777" w:rsidR="003F2C39" w:rsidRDefault="00000000">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Outro importante marcador de risco cardiovascular é a disfunção endotelial, que pode ser testada </w:t>
      </w:r>
      <w:r w:rsidRPr="00045169">
        <w:rPr>
          <w:rFonts w:ascii="Times New Roman" w:hAnsi="Times New Roman" w:cs="Times New Roman"/>
          <w:color w:val="000000"/>
          <w:sz w:val="24"/>
          <w:szCs w:val="24"/>
        </w:rPr>
        <w:t>por diferentes métodos. A disfunção endotelial tem sido descrita como um estágio inicial da doença aterosclerótica sendo um fator preditor independente de eventos cardiovasculares (</w:t>
      </w:r>
      <w:proofErr w:type="spellStart"/>
      <w:r w:rsidRPr="00045169">
        <w:rPr>
          <w:rFonts w:ascii="Times New Roman" w:hAnsi="Times New Roman" w:cs="Times New Roman"/>
          <w:color w:val="000000"/>
          <w:sz w:val="24"/>
          <w:szCs w:val="24"/>
        </w:rPr>
        <w:t>Gokce</w:t>
      </w:r>
      <w:proofErr w:type="spellEnd"/>
      <w:r w:rsidRPr="00045169">
        <w:rPr>
          <w:rFonts w:ascii="Times New Roman" w:hAnsi="Times New Roman" w:cs="Times New Roman"/>
          <w:color w:val="000000"/>
          <w:sz w:val="24"/>
          <w:szCs w:val="24"/>
        </w:rPr>
        <w:t xml:space="preserve"> et al., 2002). A disfunção endotelial é uma condição patológica caracterizada pelo desequilíbrio entre, por um lado, substâncias vasodilatadoras, </w:t>
      </w:r>
      <w:proofErr w:type="spellStart"/>
      <w:r w:rsidRPr="00045169">
        <w:rPr>
          <w:rFonts w:ascii="Times New Roman" w:hAnsi="Times New Roman" w:cs="Times New Roman"/>
          <w:color w:val="000000"/>
          <w:sz w:val="24"/>
          <w:szCs w:val="24"/>
        </w:rPr>
        <w:t>antimitogênicas</w:t>
      </w:r>
      <w:proofErr w:type="spellEnd"/>
      <w:r w:rsidRPr="00045169">
        <w:rPr>
          <w:rFonts w:ascii="Times New Roman" w:hAnsi="Times New Roman" w:cs="Times New Roman"/>
          <w:color w:val="000000"/>
          <w:sz w:val="24"/>
          <w:szCs w:val="24"/>
        </w:rPr>
        <w:t xml:space="preserve"> e </w:t>
      </w:r>
      <w:proofErr w:type="spellStart"/>
      <w:r w:rsidRPr="00045169">
        <w:rPr>
          <w:rFonts w:ascii="Times New Roman" w:hAnsi="Times New Roman" w:cs="Times New Roman"/>
          <w:color w:val="000000"/>
          <w:sz w:val="24"/>
          <w:szCs w:val="24"/>
        </w:rPr>
        <w:t>antitrombogênicas</w:t>
      </w:r>
      <w:proofErr w:type="spellEnd"/>
      <w:r w:rsidRPr="00045169">
        <w:rPr>
          <w:rFonts w:ascii="Times New Roman" w:hAnsi="Times New Roman" w:cs="Times New Roman"/>
          <w:color w:val="000000"/>
          <w:sz w:val="24"/>
          <w:szCs w:val="24"/>
        </w:rPr>
        <w:t xml:space="preserve"> e, por outro, substâncias com propriedades vasoconstritoras, pró-trombóticas e proliferativas. Dentre as moléculas vasodilatadoras mais importantes, está o óxido nítrico (NO).</w:t>
      </w:r>
      <w:r>
        <w:rPr>
          <w:rFonts w:ascii="Times New Roman" w:hAnsi="Times New Roman" w:cs="Times New Roman"/>
          <w:color w:val="000000"/>
          <w:sz w:val="24"/>
          <w:szCs w:val="24"/>
        </w:rPr>
        <w:t xml:space="preserve"> </w:t>
      </w:r>
    </w:p>
    <w:p w14:paraId="3E66434B" w14:textId="77777777" w:rsidR="003F2C39" w:rsidRDefault="00000000">
      <w:pPr>
        <w:spacing w:after="24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 xml:space="preserve">Os efeitos dos esteroides sexuais na função endotelial têm sido objeto de vários estudos. Um dos mecanismos de disfunção endotelial associada à inflamação ocorre através da produção de espécies reativas de oxigênio e mediadores pró-inflamatórios produzidos pelos leucócitos polimorfonucleares. O efeito da testosterona na interação dos polimorfonucleares com o endotélio (fluxo e adesão) e nos mediadores inflamatórios foi avaliado por </w:t>
      </w:r>
      <w:proofErr w:type="spellStart"/>
      <w:r w:rsidRPr="00045169">
        <w:rPr>
          <w:rFonts w:ascii="Times New Roman" w:hAnsi="Times New Roman" w:cs="Times New Roman"/>
          <w:color w:val="000000"/>
          <w:sz w:val="24"/>
          <w:szCs w:val="24"/>
        </w:rPr>
        <w:t>Iannantuoni</w:t>
      </w:r>
      <w:proofErr w:type="spellEnd"/>
      <w:r w:rsidRPr="00045169">
        <w:rPr>
          <w:rFonts w:ascii="Times New Roman" w:hAnsi="Times New Roman" w:cs="Times New Roman"/>
          <w:color w:val="000000"/>
          <w:sz w:val="24"/>
          <w:szCs w:val="24"/>
        </w:rPr>
        <w:t xml:space="preserve"> e cols. em homens trans, semanas após a primeira dose de testosterona. Os autores verificaram aumento dessa interação, além de aumento de IL-6 e TNF-alfa, após o uso de testosterona </w:t>
      </w:r>
      <w:sdt>
        <w:sdtPr>
          <w:id w:val="1202006234"/>
          <w:placeholder>
            <w:docPart w:val="4E243A12474F8348BC03AEF62C28CDC2"/>
          </w:placeholder>
        </w:sdtPr>
        <w:sdtContent>
          <w:r>
            <w:t>(</w:t>
          </w:r>
          <w:proofErr w:type="spellStart"/>
          <w:r>
            <w:t>Iannantuoni</w:t>
          </w:r>
          <w:proofErr w:type="spellEnd"/>
          <w:r>
            <w:t xml:space="preserve"> et al., 2021).</w:t>
          </w:r>
        </w:sdtContent>
      </w:sdt>
    </w:p>
    <w:p w14:paraId="74307679" w14:textId="77777777" w:rsidR="003F2C39" w:rsidRDefault="00000000">
      <w:pPr>
        <w:spacing w:after="24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Mulheres com síndrome dos ovários policísticos, a qual é caracterizada por níveis elevados de andrógenos, apresentam disfunção endotelial (</w:t>
      </w:r>
      <w:proofErr w:type="spellStart"/>
      <w:r w:rsidRPr="00045169">
        <w:rPr>
          <w:rFonts w:ascii="Times New Roman" w:hAnsi="Times New Roman" w:cs="Times New Roman"/>
          <w:color w:val="000000"/>
          <w:sz w:val="24"/>
          <w:szCs w:val="24"/>
        </w:rPr>
        <w:t>Paradisi</w:t>
      </w:r>
      <w:proofErr w:type="spellEnd"/>
      <w:r w:rsidRPr="00045169">
        <w:rPr>
          <w:rFonts w:ascii="Times New Roman" w:hAnsi="Times New Roman" w:cs="Times New Roman"/>
          <w:color w:val="000000"/>
          <w:sz w:val="24"/>
          <w:szCs w:val="24"/>
        </w:rPr>
        <w:t xml:space="preserve"> et al., 2001). No entanto, em homens </w:t>
      </w:r>
      <w:proofErr w:type="spellStart"/>
      <w:r w:rsidRPr="00045169">
        <w:rPr>
          <w:rFonts w:ascii="Times New Roman" w:hAnsi="Times New Roman" w:cs="Times New Roman"/>
          <w:color w:val="000000"/>
          <w:sz w:val="24"/>
          <w:szCs w:val="24"/>
        </w:rPr>
        <w:t>hipogonádicos</w:t>
      </w:r>
      <w:proofErr w:type="spellEnd"/>
      <w:r w:rsidRPr="00045169">
        <w:rPr>
          <w:rFonts w:ascii="Times New Roman" w:hAnsi="Times New Roman" w:cs="Times New Roman"/>
          <w:color w:val="000000"/>
          <w:sz w:val="24"/>
          <w:szCs w:val="24"/>
        </w:rPr>
        <w:t xml:space="preserve"> submetidos à reposição com testosterona, não foi significativo o impacto sobre a disfunção endotelial medida por FMD (</w:t>
      </w:r>
      <w:proofErr w:type="spellStart"/>
      <w:r w:rsidRPr="00045169">
        <w:rPr>
          <w:rFonts w:ascii="Times New Roman" w:hAnsi="Times New Roman" w:cs="Times New Roman"/>
          <w:color w:val="000000"/>
          <w:sz w:val="24"/>
          <w:szCs w:val="24"/>
        </w:rPr>
        <w:t>Sansone</w:t>
      </w:r>
      <w:proofErr w:type="spellEnd"/>
      <w:r w:rsidRPr="00045169">
        <w:rPr>
          <w:rFonts w:ascii="Times New Roman" w:hAnsi="Times New Roman" w:cs="Times New Roman"/>
          <w:color w:val="000000"/>
          <w:sz w:val="24"/>
          <w:szCs w:val="24"/>
        </w:rPr>
        <w:t xml:space="preserve"> et al., 2020). Em mulheres cis, a queda do estradiol associada à menopausa se associou à disfunção endotelial medida por FMD (Moreau et al., 2020). Também foi demonstrado o papel do estradiol na melhora da função endotelial em mulheres pós-</w:t>
      </w:r>
      <w:proofErr w:type="spellStart"/>
      <w:r w:rsidRPr="00045169">
        <w:rPr>
          <w:rFonts w:ascii="Times New Roman" w:hAnsi="Times New Roman" w:cs="Times New Roman"/>
          <w:color w:val="000000"/>
          <w:sz w:val="24"/>
          <w:szCs w:val="24"/>
        </w:rPr>
        <w:t>menopausadas</w:t>
      </w:r>
      <w:proofErr w:type="spellEnd"/>
      <w:r w:rsidRPr="00045169">
        <w:rPr>
          <w:rFonts w:ascii="Times New Roman" w:hAnsi="Times New Roman" w:cs="Times New Roman"/>
          <w:color w:val="000000"/>
          <w:sz w:val="24"/>
          <w:szCs w:val="24"/>
        </w:rPr>
        <w:t xml:space="preserve"> submetidas ao exercício de </w:t>
      </w:r>
      <w:proofErr w:type="spellStart"/>
      <w:r w:rsidRPr="00045169">
        <w:rPr>
          <w:rFonts w:ascii="Times New Roman" w:hAnsi="Times New Roman" w:cs="Times New Roman"/>
          <w:i/>
          <w:iCs/>
          <w:color w:val="000000"/>
          <w:sz w:val="24"/>
          <w:szCs w:val="24"/>
        </w:rPr>
        <w:t>endurance</w:t>
      </w:r>
      <w:proofErr w:type="spellEnd"/>
      <w:r w:rsidRPr="00045169">
        <w:rPr>
          <w:rFonts w:ascii="Times New Roman" w:hAnsi="Times New Roman" w:cs="Times New Roman"/>
          <w:color w:val="000000"/>
          <w:sz w:val="24"/>
          <w:szCs w:val="24"/>
        </w:rPr>
        <w:t xml:space="preserve"> (Moreau et al., 2013). Os estrógenos promovem a geração de óxido nítrico no endotélio e promovem relaxamento vascular, além de terem efeitos anti-inflamatórios e antioxidantes. Os efeitos dos estrógenos no endotélio são mediados principalmente pelo ERα, mas também pelo receptor acoplado à proteína G (GPR30) (</w:t>
      </w:r>
      <w:proofErr w:type="spellStart"/>
      <w:r w:rsidRPr="00045169">
        <w:rPr>
          <w:rFonts w:ascii="Times New Roman" w:hAnsi="Times New Roman" w:cs="Times New Roman"/>
          <w:color w:val="000000"/>
          <w:sz w:val="24"/>
          <w:szCs w:val="24"/>
        </w:rPr>
        <w:t>Chakrabarti</w:t>
      </w:r>
      <w:proofErr w:type="spellEnd"/>
      <w:r w:rsidRPr="00045169">
        <w:rPr>
          <w:rFonts w:ascii="Times New Roman" w:hAnsi="Times New Roman" w:cs="Times New Roman"/>
          <w:color w:val="000000"/>
          <w:sz w:val="24"/>
          <w:szCs w:val="24"/>
        </w:rPr>
        <w:t xml:space="preserve"> et al., 2014).</w:t>
      </w:r>
    </w:p>
    <w:p w14:paraId="023E052F" w14:textId="77777777" w:rsidR="003F2C39" w:rsidRDefault="00000000">
      <w:p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Tsikas</w:t>
      </w:r>
      <w:proofErr w:type="spellEnd"/>
      <w:r w:rsidRPr="00045169">
        <w:rPr>
          <w:rFonts w:ascii="Times New Roman" w:hAnsi="Times New Roman" w:cs="Times New Roman"/>
          <w:sz w:val="24"/>
          <w:szCs w:val="24"/>
        </w:rPr>
        <w:t xml:space="preserve"> e cols., por sua vez, avaliaram os níveis urinários de </w:t>
      </w:r>
      <w:proofErr w:type="spellStart"/>
      <w:r w:rsidRPr="00045169">
        <w:rPr>
          <w:rFonts w:ascii="Times New Roman" w:hAnsi="Times New Roman" w:cs="Times New Roman"/>
          <w:sz w:val="24"/>
          <w:szCs w:val="24"/>
        </w:rPr>
        <w:t>dimetilarginina</w:t>
      </w:r>
      <w:proofErr w:type="spellEnd"/>
      <w:r w:rsidRPr="00045169">
        <w:rPr>
          <w:rFonts w:ascii="Times New Roman" w:hAnsi="Times New Roman" w:cs="Times New Roman"/>
          <w:sz w:val="24"/>
          <w:szCs w:val="24"/>
        </w:rPr>
        <w:t xml:space="preserve"> assimétrica (ADMA), um marcador de função endotelial que tem ação inibitória </w:t>
      </w:r>
      <w:proofErr w:type="gramStart"/>
      <w:r w:rsidRPr="00045169">
        <w:rPr>
          <w:rFonts w:ascii="Times New Roman" w:hAnsi="Times New Roman" w:cs="Times New Roman"/>
          <w:sz w:val="24"/>
          <w:szCs w:val="24"/>
        </w:rPr>
        <w:t>na óxido nítrico</w:t>
      </w:r>
      <w:proofErr w:type="gramEnd"/>
      <w:r w:rsidRPr="00045169">
        <w:rPr>
          <w:rFonts w:ascii="Times New Roman" w:hAnsi="Times New Roman" w:cs="Times New Roman"/>
          <w:sz w:val="24"/>
          <w:szCs w:val="24"/>
        </w:rPr>
        <w:t xml:space="preserve"> sintase e apresenta níveis elevados em condições aterogênicas, tais como idade avançada, hipercolesterolemia, diabetes mellitus e hipertensão arterial, em homens cis </w:t>
      </w:r>
      <w:proofErr w:type="spellStart"/>
      <w:r w:rsidRPr="00045169">
        <w:rPr>
          <w:rFonts w:ascii="Times New Roman" w:hAnsi="Times New Roman" w:cs="Times New Roman"/>
          <w:sz w:val="24"/>
          <w:szCs w:val="24"/>
        </w:rPr>
        <w:t>hipogonádicos</w:t>
      </w:r>
      <w:proofErr w:type="spellEnd"/>
      <w:r w:rsidRPr="00045169">
        <w:rPr>
          <w:rFonts w:ascii="Times New Roman" w:hAnsi="Times New Roman" w:cs="Times New Roman"/>
          <w:sz w:val="24"/>
          <w:szCs w:val="24"/>
        </w:rPr>
        <w:t xml:space="preserve"> submetidos ao tratamento com testosterona. Nesse estudo houve redução dos níveis plasmáticos de ADMA após o tratamento com testosterona, sugerindo a interferência do hormônio na homeostase do ADMA e na síntese de óxido nítrico </w:t>
      </w:r>
      <w:sdt>
        <w:sdtPr>
          <w:id w:val="260104444"/>
          <w:placeholder>
            <w:docPart w:val="4DB3B15FC11AEF4B848CB48C50454A9B"/>
          </w:placeholder>
        </w:sdtPr>
        <w:sdtContent>
          <w:r>
            <w:t>(</w:t>
          </w:r>
          <w:proofErr w:type="spellStart"/>
          <w:r>
            <w:t>Tsikas</w:t>
          </w:r>
          <w:proofErr w:type="spellEnd"/>
          <w:r>
            <w:t xml:space="preserve"> &amp; </w:t>
          </w:r>
          <w:proofErr w:type="spellStart"/>
          <w:r>
            <w:t>Kinzel</w:t>
          </w:r>
          <w:proofErr w:type="spellEnd"/>
          <w:r>
            <w:t>, 2018)</w:t>
          </w:r>
        </w:sdtContent>
      </w:sdt>
      <w:r w:rsidRPr="00045169">
        <w:rPr>
          <w:rFonts w:ascii="Times New Roman" w:hAnsi="Times New Roman" w:cs="Times New Roman"/>
          <w:sz w:val="24"/>
          <w:szCs w:val="24"/>
        </w:rPr>
        <w:t>.</w:t>
      </w:r>
    </w:p>
    <w:p w14:paraId="20598E0E" w14:textId="77777777" w:rsidR="003F2C39" w:rsidRDefault="00000000">
      <w:pPr>
        <w:spacing w:after="24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A função endotelial pode ser avaliada pela medida de fluxo coronariano, com técnicas que envolvem a infusão de substâncias vasodilatadoras, como a acetilcolina. Tais métodos são caros, invasivos e, portanto, raramente utilizados na prática clínica (</w:t>
      </w:r>
      <w:proofErr w:type="spellStart"/>
      <w:r w:rsidRPr="00045169">
        <w:rPr>
          <w:rFonts w:ascii="Times New Roman" w:hAnsi="Times New Roman" w:cs="Times New Roman"/>
          <w:color w:val="000000"/>
          <w:sz w:val="24"/>
          <w:szCs w:val="24"/>
        </w:rPr>
        <w:t>Flammer</w:t>
      </w:r>
      <w:proofErr w:type="spellEnd"/>
      <w:r w:rsidRPr="00045169">
        <w:rPr>
          <w:rFonts w:ascii="Times New Roman" w:hAnsi="Times New Roman" w:cs="Times New Roman"/>
          <w:color w:val="000000"/>
          <w:sz w:val="24"/>
          <w:szCs w:val="24"/>
        </w:rPr>
        <w:t xml:space="preserve"> et al., 2012). Alternativamente, a função endotelial pode ser medida por técnicas periféricas, as quais apresentam elevada correlação com a circulação coronariana (Anderson et al., 1995). </w:t>
      </w:r>
    </w:p>
    <w:p w14:paraId="18D42CC6" w14:textId="72674177" w:rsidR="003F2C39" w:rsidRDefault="00000000">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Algumas técnicas validadas para a avaliação de função endotelial periférica e utilizadas como ferramentas na avaliação de risco cardiovascular já foram empregadas para avaliar pessoas trans em </w:t>
      </w:r>
      <w:proofErr w:type="spellStart"/>
      <w:r>
        <w:rPr>
          <w:rFonts w:ascii="Times New Roman" w:hAnsi="Times New Roman" w:cs="Times New Roman"/>
          <w:color w:val="000000"/>
          <w:sz w:val="24"/>
          <w:szCs w:val="24"/>
        </w:rPr>
        <w:t>hormonização</w:t>
      </w:r>
      <w:proofErr w:type="spellEnd"/>
      <w:r>
        <w:rPr>
          <w:rFonts w:ascii="Times New Roman" w:hAnsi="Times New Roman" w:cs="Times New Roman"/>
          <w:color w:val="000000"/>
          <w:sz w:val="24"/>
          <w:szCs w:val="24"/>
        </w:rPr>
        <w:t xml:space="preserve">. A medida de vasodilatação mediada por fluxo (FMD) da artéria braquial, com o uso de ultrassonografia para avaliar o calibre da artéria, foi avaliada por </w:t>
      </w:r>
      <w:proofErr w:type="spellStart"/>
      <w:r w:rsidRPr="00045169">
        <w:rPr>
          <w:rFonts w:ascii="Times New Roman" w:hAnsi="Times New Roman" w:cs="Times New Roman"/>
          <w:color w:val="000000"/>
          <w:sz w:val="24"/>
          <w:szCs w:val="24"/>
        </w:rPr>
        <w:t>Gulanski</w:t>
      </w:r>
      <w:proofErr w:type="spellEnd"/>
      <w:r w:rsidRPr="00045169">
        <w:rPr>
          <w:rFonts w:ascii="Times New Roman" w:hAnsi="Times New Roman" w:cs="Times New Roman"/>
          <w:color w:val="000000"/>
          <w:sz w:val="24"/>
          <w:szCs w:val="24"/>
        </w:rPr>
        <w:t xml:space="preserve"> e cols. em um pequeno estudo transversal com homens trans em uso de testosterona comparados com mulheres cisgênero. A FMD estava comparativamente reduzida nos homens trans, indicando disfunção endotelial nessas pessoas (</w:t>
      </w:r>
      <w:proofErr w:type="spellStart"/>
      <w:r w:rsidRPr="00045169">
        <w:rPr>
          <w:rFonts w:ascii="Times New Roman" w:hAnsi="Times New Roman" w:cs="Times New Roman"/>
          <w:color w:val="000000"/>
          <w:sz w:val="24"/>
          <w:szCs w:val="24"/>
        </w:rPr>
        <w:t>Gulanski</w:t>
      </w:r>
      <w:proofErr w:type="spellEnd"/>
      <w:r w:rsidRPr="00045169">
        <w:rPr>
          <w:rFonts w:ascii="Times New Roman" w:hAnsi="Times New Roman" w:cs="Times New Roman"/>
          <w:color w:val="000000"/>
          <w:sz w:val="24"/>
          <w:szCs w:val="24"/>
        </w:rPr>
        <w:t xml:space="preserve"> et al., 2020).</w:t>
      </w:r>
    </w:p>
    <w:p w14:paraId="1EC66599" w14:textId="7E4779FF" w:rsidR="003F2C39" w:rsidRDefault="00000000">
      <w:pPr>
        <w:spacing w:after="24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045169">
        <w:rPr>
          <w:rFonts w:ascii="Times New Roman" w:hAnsi="Times New Roman" w:cs="Times New Roman"/>
          <w:color w:val="000000"/>
          <w:sz w:val="24"/>
          <w:szCs w:val="24"/>
        </w:rPr>
        <w:t>A disfunção endotelial periférica também pode ser avaliada através da pletismografia do dedo (</w:t>
      </w:r>
      <w:proofErr w:type="spellStart"/>
      <w:r w:rsidRPr="00045169">
        <w:rPr>
          <w:rFonts w:ascii="Times New Roman" w:hAnsi="Times New Roman" w:cs="Times New Roman"/>
          <w:color w:val="000000"/>
          <w:sz w:val="24"/>
          <w:szCs w:val="24"/>
        </w:rPr>
        <w:t>EndoPAT</w:t>
      </w:r>
      <w:proofErr w:type="spellEnd"/>
      <w:r w:rsidRPr="00045169">
        <w:rPr>
          <w:rFonts w:ascii="Times New Roman" w:hAnsi="Times New Roman" w:cs="Times New Roman"/>
          <w:color w:val="000000"/>
          <w:sz w:val="24"/>
          <w:szCs w:val="24"/>
        </w:rPr>
        <w:t>®, Itamar Medical). Nessa técnica, sondas pneumáticas são usadas para avaliar o aumento da amplitude do pulso, através da tonometria, durante a hiperemia reativa após a oclusão da artéria braquial. Essa metodologia apresenta ótima correlação com a FMD, incluindo em indivíduos com risco cardiovascular elevado (</w:t>
      </w:r>
      <w:proofErr w:type="spellStart"/>
      <w:r w:rsidRPr="00045169">
        <w:rPr>
          <w:rFonts w:ascii="Times New Roman" w:hAnsi="Times New Roman" w:cs="Times New Roman"/>
          <w:color w:val="000000"/>
          <w:sz w:val="24"/>
          <w:szCs w:val="24"/>
        </w:rPr>
        <w:t>Kuvin</w:t>
      </w:r>
      <w:proofErr w:type="spellEnd"/>
      <w:r w:rsidRPr="00045169">
        <w:rPr>
          <w:rFonts w:ascii="Times New Roman" w:hAnsi="Times New Roman" w:cs="Times New Roman"/>
          <w:color w:val="000000"/>
          <w:sz w:val="24"/>
          <w:szCs w:val="24"/>
        </w:rPr>
        <w:t xml:space="preserve"> et al., 2003), portanto, mais viável para prática clínica.</w:t>
      </w:r>
    </w:p>
    <w:p w14:paraId="3C3464DE" w14:textId="77777777" w:rsidR="003F2C39" w:rsidRDefault="003F2C39">
      <w:pPr>
        <w:spacing w:after="0" w:line="360" w:lineRule="auto"/>
        <w:jc w:val="both"/>
        <w:rPr>
          <w:rFonts w:ascii="Times New Roman" w:hAnsi="Times New Roman" w:cs="Times New Roman"/>
          <w:b/>
          <w:color w:val="000000"/>
          <w:sz w:val="24"/>
          <w:szCs w:val="24"/>
        </w:rPr>
      </w:pPr>
    </w:p>
    <w:p w14:paraId="410E5AA9" w14:textId="77777777" w:rsidR="003F2C39" w:rsidRDefault="00000000">
      <w:pPr>
        <w:numPr>
          <w:ilvl w:val="0"/>
          <w:numId w:val="1"/>
        </w:numPr>
        <w:spacing w:after="0" w:line="360" w:lineRule="auto"/>
        <w:jc w:val="both"/>
        <w:rPr>
          <w:rFonts w:ascii="Times New Roman" w:hAnsi="Times New Roman" w:cs="Times New Roman"/>
          <w:b/>
          <w:color w:val="000000"/>
          <w:sz w:val="24"/>
          <w:szCs w:val="24"/>
        </w:rPr>
      </w:pPr>
      <w:r w:rsidRPr="00045169">
        <w:rPr>
          <w:rFonts w:ascii="Times New Roman" w:eastAsia="Times New Roman" w:hAnsi="Times New Roman" w:cs="Times New Roman"/>
          <w:b/>
          <w:sz w:val="24"/>
          <w:szCs w:val="24"/>
        </w:rPr>
        <w:t>JUSTIFICATIVA</w:t>
      </w:r>
    </w:p>
    <w:p w14:paraId="5EB8E035" w14:textId="77777777" w:rsidR="003F2C39" w:rsidRDefault="003F2C39">
      <w:pPr>
        <w:spacing w:after="0" w:line="360" w:lineRule="auto"/>
        <w:jc w:val="both"/>
        <w:rPr>
          <w:rFonts w:ascii="Times New Roman" w:hAnsi="Times New Roman" w:cs="Times New Roman"/>
          <w:color w:val="000000"/>
          <w:sz w:val="24"/>
          <w:szCs w:val="24"/>
        </w:rPr>
      </w:pPr>
    </w:p>
    <w:p w14:paraId="05227F91" w14:textId="172030F0" w:rsidR="003F2C39" w:rsidRDefault="00000000">
      <w:pPr>
        <w:spacing w:after="0" w:line="360" w:lineRule="auto"/>
        <w:jc w:val="both"/>
        <w:rPr>
          <w:rFonts w:ascii="Times New Roman" w:hAnsi="Times New Roman" w:cs="Times New Roman"/>
          <w:sz w:val="24"/>
          <w:szCs w:val="24"/>
        </w:rPr>
      </w:pPr>
      <w:r w:rsidRPr="00045169">
        <w:rPr>
          <w:rFonts w:ascii="Times New Roman" w:hAnsi="Times New Roman" w:cs="Times New Roman"/>
          <w:color w:val="000000"/>
          <w:sz w:val="24"/>
          <w:szCs w:val="24"/>
        </w:rPr>
        <w:t xml:space="preserve">Pessoas trans apresentam risco cardiovascular elevado em relação à população geral, conforme estudos que avaliaram mortalidade e desfechos cardiovasculares específicos nesse grupo. Parte desse risco elevado provavelmente se deve aos efeitos da testosterona em fatores de risco conhecidos como a pressão arterial, os níveis lipídicos e a disfunção endotelial. No entanto, sabe-se que parte desse risco elevado está associado a hábitos de vida prejudiciais à saúde, tais como o sedentarismo, à obesidade e </w:t>
      </w:r>
      <w:r w:rsidRPr="00045169">
        <w:rPr>
          <w:rFonts w:ascii="Times New Roman" w:hAnsi="Times New Roman" w:cs="Times New Roman"/>
          <w:color w:val="000000"/>
          <w:sz w:val="24"/>
          <w:szCs w:val="24"/>
        </w:rPr>
        <w:lastRenderedPageBreak/>
        <w:t xml:space="preserve">ao tabagismo, associados às dificuldades de acesso aos serviços básicos de saúde. Dessa forma, é necessário identificar, em mulheres e homens trans, quais modificações metabólicas se devem à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para que se possa atuar, de forma específica, em cada um dos fatores que somam para maior risco de eventos cardiovasculares nessas pessoas. </w:t>
      </w:r>
      <w:r>
        <w:rPr>
          <w:rFonts w:ascii="Times New Roman" w:hAnsi="Times New Roman" w:cs="Times New Roman"/>
          <w:color w:val="000000"/>
          <w:sz w:val="24"/>
          <w:szCs w:val="24"/>
        </w:rPr>
        <w:t xml:space="preserve">Além disso, </w:t>
      </w:r>
      <w:r w:rsidRPr="00045169">
        <w:rPr>
          <w:rFonts w:ascii="Times New Roman" w:hAnsi="Times New Roman" w:cs="Times New Roman"/>
          <w:sz w:val="24"/>
          <w:szCs w:val="24"/>
        </w:rPr>
        <w:t xml:space="preserve">o impacto da administração de testosterona na função endotelial pode ser um dos mediadores do incremento do risco de doenças cardiovasculares em homens trans. Tal associação poderia ser testada pela realização de um estudo prospectivo que buscasse avaliar, ao início da terapia com testosterona em homens trans, a correlação da elevação dos níveis plasmáticos de testosterona com a mudança dos níveis de marcadores de função endotelial, como a medida de ADMA, alterações de função endotelial medidas por tonometria, assim como pelo incremento da pressão arterial medida nas 24 horas por MAPA.      </w:t>
      </w:r>
    </w:p>
    <w:p w14:paraId="17848A90" w14:textId="77777777" w:rsidR="003F2C39" w:rsidRDefault="003F2C39">
      <w:pPr>
        <w:spacing w:after="0" w:line="360" w:lineRule="auto"/>
        <w:jc w:val="both"/>
        <w:rPr>
          <w:rFonts w:ascii="Times New Roman" w:hAnsi="Times New Roman" w:cs="Times New Roman"/>
          <w:color w:val="000000"/>
          <w:sz w:val="24"/>
          <w:szCs w:val="24"/>
        </w:rPr>
      </w:pPr>
    </w:p>
    <w:p w14:paraId="52C46238" w14:textId="77777777" w:rsidR="003F2C39" w:rsidRDefault="003F2C39">
      <w:pPr>
        <w:spacing w:after="0" w:line="360" w:lineRule="auto"/>
        <w:jc w:val="both"/>
        <w:rPr>
          <w:rFonts w:ascii="Times New Roman" w:hAnsi="Times New Roman" w:cs="Times New Roman"/>
          <w:color w:val="000000"/>
          <w:sz w:val="24"/>
          <w:szCs w:val="24"/>
        </w:rPr>
      </w:pPr>
    </w:p>
    <w:p w14:paraId="52F8E91E" w14:textId="77777777" w:rsidR="003F2C39" w:rsidRDefault="00000000">
      <w:pPr>
        <w:numPr>
          <w:ilvl w:val="0"/>
          <w:numId w:val="1"/>
        </w:numPr>
        <w:spacing w:after="0" w:line="360" w:lineRule="auto"/>
        <w:jc w:val="both"/>
        <w:rPr>
          <w:rFonts w:ascii="Times New Roman" w:hAnsi="Times New Roman" w:cs="Times New Roman"/>
          <w:b/>
          <w:color w:val="000000"/>
          <w:sz w:val="24"/>
          <w:szCs w:val="24"/>
        </w:rPr>
      </w:pPr>
      <w:r w:rsidRPr="00045169">
        <w:rPr>
          <w:rFonts w:ascii="Times New Roman" w:hAnsi="Times New Roman" w:cs="Times New Roman"/>
          <w:b/>
          <w:color w:val="000000"/>
          <w:sz w:val="24"/>
          <w:szCs w:val="24"/>
        </w:rPr>
        <w:t>HIPÓTESES DE PESQUISA</w:t>
      </w:r>
    </w:p>
    <w:p w14:paraId="3213F785" w14:textId="77777777" w:rsidR="003F2C39" w:rsidRDefault="003F2C39">
      <w:pPr>
        <w:spacing w:after="0" w:line="360" w:lineRule="auto"/>
        <w:ind w:left="720"/>
        <w:jc w:val="both"/>
        <w:rPr>
          <w:rFonts w:ascii="Times New Roman" w:hAnsi="Times New Roman" w:cs="Times New Roman"/>
          <w:b/>
          <w:color w:val="000000"/>
          <w:sz w:val="24"/>
          <w:szCs w:val="24"/>
        </w:rPr>
      </w:pPr>
    </w:p>
    <w:p w14:paraId="430B7811" w14:textId="77777777"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 xml:space="preserve">Homens trans apresentam risco cardiovascular diferente da população cis em geral, o que pode ser demonstrado mediante a pesquisa de marcadores de risco conhecidos, em virtude do impacto da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cruzada sobre marcadores de risco cardiovasculares, tais como, pressão arterial, composição corporal, lípides, marcadores inflamatórios e função endotelial. Nesse estudo, testaremos três hipóteses: </w:t>
      </w:r>
    </w:p>
    <w:p w14:paraId="2A09FA58" w14:textId="77777777"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bCs/>
          <w:color w:val="000000"/>
          <w:sz w:val="24"/>
          <w:szCs w:val="24"/>
        </w:rPr>
        <w:t>5.1. Hipótese 1</w:t>
      </w:r>
      <w:r w:rsidRPr="00045169">
        <w:rPr>
          <w:rFonts w:ascii="Times New Roman" w:hAnsi="Times New Roman" w:cs="Times New Roman"/>
          <w:color w:val="000000"/>
          <w:sz w:val="24"/>
          <w:szCs w:val="24"/>
        </w:rPr>
        <w:t xml:space="preserve"> – A terapia com testosterona em homens trans determina uma modificação da função endotelial que pode ser detectada por método indireto, utilizando a tonometria digital.</w:t>
      </w:r>
    </w:p>
    <w:p w14:paraId="5BD5D776" w14:textId="77777777"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bCs/>
          <w:color w:val="000000"/>
          <w:sz w:val="24"/>
          <w:szCs w:val="24"/>
        </w:rPr>
        <w:t>5.2. Hipótese 2</w:t>
      </w:r>
      <w:r w:rsidRPr="00045169">
        <w:rPr>
          <w:rFonts w:ascii="Times New Roman" w:hAnsi="Times New Roman" w:cs="Times New Roman"/>
          <w:color w:val="000000"/>
          <w:sz w:val="24"/>
          <w:szCs w:val="24"/>
        </w:rPr>
        <w:t xml:space="preserve"> – A testosterona produz modificação de mediadores inflamatórios associados com função endotelial, os quais podem determinar um incremento de risco de doença cardiovascular em homens trans.</w:t>
      </w:r>
    </w:p>
    <w:p w14:paraId="35B7AD5F" w14:textId="77777777"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5.3. </w:t>
      </w:r>
      <w:r w:rsidRPr="00045169">
        <w:rPr>
          <w:rFonts w:ascii="Times New Roman" w:hAnsi="Times New Roman" w:cs="Times New Roman"/>
          <w:b/>
          <w:bCs/>
          <w:color w:val="000000"/>
          <w:sz w:val="24"/>
          <w:szCs w:val="24"/>
        </w:rPr>
        <w:t>Hipótese 3</w:t>
      </w:r>
      <w:r w:rsidRPr="00045169">
        <w:rPr>
          <w:rFonts w:ascii="Times New Roman" w:hAnsi="Times New Roman" w:cs="Times New Roman"/>
          <w:color w:val="000000"/>
          <w:sz w:val="24"/>
          <w:szCs w:val="24"/>
        </w:rPr>
        <w:t xml:space="preserve"> – A pressão arterial e a composição corporal, particularmente a gordura visceral, são modificadas com a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com testosterona em homens trans e servem como marcadores de risco cardiovascular.</w:t>
      </w:r>
    </w:p>
    <w:p w14:paraId="6282F7BE" w14:textId="77777777" w:rsidR="003F2C39" w:rsidRDefault="003F2C39">
      <w:pPr>
        <w:spacing w:after="0" w:line="360" w:lineRule="auto"/>
        <w:jc w:val="both"/>
        <w:rPr>
          <w:rFonts w:ascii="Times New Roman" w:hAnsi="Times New Roman" w:cs="Times New Roman"/>
          <w:color w:val="000000"/>
          <w:sz w:val="24"/>
          <w:szCs w:val="24"/>
        </w:rPr>
      </w:pPr>
    </w:p>
    <w:p w14:paraId="556712E2" w14:textId="77777777" w:rsidR="003F2C39" w:rsidRDefault="003F2C39">
      <w:pPr>
        <w:spacing w:after="0" w:line="360" w:lineRule="auto"/>
        <w:jc w:val="both"/>
        <w:rPr>
          <w:rFonts w:ascii="Times New Roman" w:hAnsi="Times New Roman" w:cs="Times New Roman"/>
          <w:color w:val="000000"/>
          <w:sz w:val="24"/>
          <w:szCs w:val="24"/>
        </w:rPr>
      </w:pPr>
    </w:p>
    <w:p w14:paraId="6E4C404A" w14:textId="77777777" w:rsidR="003F2C39" w:rsidRDefault="00000000">
      <w:pPr>
        <w:numPr>
          <w:ilvl w:val="0"/>
          <w:numId w:val="1"/>
        </w:numPr>
        <w:spacing w:after="0" w:line="360" w:lineRule="auto"/>
        <w:jc w:val="both"/>
        <w:rPr>
          <w:rFonts w:ascii="Times New Roman" w:hAnsi="Times New Roman" w:cs="Times New Roman"/>
          <w:b/>
          <w:color w:val="000000"/>
          <w:sz w:val="24"/>
          <w:szCs w:val="24"/>
        </w:rPr>
      </w:pPr>
      <w:r w:rsidRPr="00045169">
        <w:rPr>
          <w:rFonts w:ascii="Times New Roman" w:hAnsi="Times New Roman" w:cs="Times New Roman"/>
          <w:b/>
          <w:color w:val="000000"/>
          <w:sz w:val="24"/>
          <w:szCs w:val="24"/>
        </w:rPr>
        <w:t>OBJETIVO GERAL</w:t>
      </w:r>
    </w:p>
    <w:p w14:paraId="7E4B4F10" w14:textId="77777777" w:rsidR="003F2C39" w:rsidRDefault="00000000">
      <w:pPr>
        <w:spacing w:after="0" w:line="360" w:lineRule="auto"/>
        <w:jc w:val="both"/>
        <w:rPr>
          <w:rFonts w:ascii="Times New Roman" w:hAnsi="Times New Roman" w:cs="Times New Roman"/>
          <w:bCs/>
          <w:color w:val="000000"/>
          <w:sz w:val="24"/>
          <w:szCs w:val="24"/>
        </w:rPr>
      </w:pPr>
      <w:r w:rsidRPr="00045169">
        <w:rPr>
          <w:rFonts w:ascii="Times New Roman" w:hAnsi="Times New Roman" w:cs="Times New Roman"/>
          <w:bCs/>
          <w:color w:val="000000"/>
          <w:sz w:val="24"/>
          <w:szCs w:val="24"/>
        </w:rPr>
        <w:t xml:space="preserve">Avaliar durante os primeiros 18 meses o efeito da </w:t>
      </w:r>
      <w:proofErr w:type="spellStart"/>
      <w:r w:rsidRPr="00045169">
        <w:rPr>
          <w:rFonts w:ascii="Times New Roman" w:hAnsi="Times New Roman" w:cs="Times New Roman"/>
          <w:bCs/>
          <w:color w:val="000000"/>
          <w:sz w:val="24"/>
          <w:szCs w:val="24"/>
        </w:rPr>
        <w:t>hormonização</w:t>
      </w:r>
      <w:proofErr w:type="spellEnd"/>
      <w:r w:rsidRPr="00045169">
        <w:rPr>
          <w:rFonts w:ascii="Times New Roman" w:hAnsi="Times New Roman" w:cs="Times New Roman"/>
          <w:bCs/>
          <w:color w:val="000000"/>
          <w:sz w:val="24"/>
          <w:szCs w:val="24"/>
        </w:rPr>
        <w:t xml:space="preserve"> com testosterona em relação a marcadores de risco cardiovascular. </w:t>
      </w:r>
    </w:p>
    <w:p w14:paraId="2A252681" w14:textId="77777777" w:rsidR="003F2C39" w:rsidRDefault="00000000" w:rsidP="00045169">
      <w:pPr>
        <w:numPr>
          <w:ilvl w:val="1"/>
          <w:numId w:val="1"/>
        </w:numPr>
        <w:spacing w:after="0" w:line="360" w:lineRule="auto"/>
        <w:jc w:val="both"/>
        <w:rPr>
          <w:rFonts w:ascii="Times New Roman" w:hAnsi="Times New Roman" w:cs="Times New Roman"/>
          <w:b/>
          <w:bCs/>
          <w:color w:val="000000"/>
          <w:sz w:val="24"/>
          <w:szCs w:val="24"/>
        </w:rPr>
      </w:pPr>
      <w:r w:rsidRPr="00045169">
        <w:rPr>
          <w:rFonts w:ascii="Times New Roman" w:hAnsi="Times New Roman" w:cs="Times New Roman"/>
          <w:b/>
          <w:bCs/>
          <w:color w:val="000000"/>
          <w:sz w:val="24"/>
          <w:szCs w:val="24"/>
        </w:rPr>
        <w:t>OBJETIVOS ESPECÍFICOS</w:t>
      </w:r>
    </w:p>
    <w:p w14:paraId="17EE7935" w14:textId="4902200F" w:rsidR="003F2C39" w:rsidRDefault="00000000" w:rsidP="00045169">
      <w:pPr>
        <w:numPr>
          <w:ilvl w:val="2"/>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Cs/>
          <w:color w:val="000000"/>
          <w:sz w:val="24"/>
          <w:szCs w:val="24"/>
        </w:rPr>
        <w:t>Pesquisar</w:t>
      </w:r>
      <w:r w:rsidRPr="00045169">
        <w:rPr>
          <w:rFonts w:ascii="Times New Roman" w:hAnsi="Times New Roman" w:cs="Times New Roman"/>
          <w:color w:val="000000"/>
          <w:sz w:val="24"/>
          <w:szCs w:val="24"/>
        </w:rPr>
        <w:t xml:space="preserve"> sobre o efeito da testosterona sobre a função endotelial;</w:t>
      </w:r>
    </w:p>
    <w:p w14:paraId="2497D554" w14:textId="7194B41E" w:rsidR="003F2C39" w:rsidRDefault="00000000" w:rsidP="00045169">
      <w:pPr>
        <w:numPr>
          <w:ilvl w:val="2"/>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lastRenderedPageBreak/>
        <w:t>Avaliar marcadores de risco cardiovascular, metabólicos e inflamatórios nos 6, 12 e 18 meses de uso regular de testosterona;</w:t>
      </w:r>
    </w:p>
    <w:p w14:paraId="6FDFC404" w14:textId="77777777" w:rsidR="003F2C39" w:rsidRDefault="00000000" w:rsidP="00045169">
      <w:pPr>
        <w:numPr>
          <w:ilvl w:val="2"/>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Acompanhar a variação da composição corporal e da pressão arterial por MAPA;</w:t>
      </w:r>
    </w:p>
    <w:p w14:paraId="766FB8BF" w14:textId="77777777" w:rsidR="003F2C39" w:rsidRDefault="003F2C39">
      <w:pPr>
        <w:spacing w:after="0" w:line="360" w:lineRule="auto"/>
        <w:jc w:val="both"/>
        <w:rPr>
          <w:rFonts w:ascii="Times New Roman" w:hAnsi="Times New Roman" w:cs="Times New Roman"/>
          <w:color w:val="000000"/>
          <w:sz w:val="24"/>
          <w:szCs w:val="24"/>
        </w:rPr>
      </w:pPr>
    </w:p>
    <w:p w14:paraId="370F7BC9" w14:textId="77777777" w:rsidR="003F2C39" w:rsidRDefault="003F2C39">
      <w:pPr>
        <w:spacing w:after="0" w:line="360" w:lineRule="auto"/>
        <w:jc w:val="both"/>
        <w:rPr>
          <w:rFonts w:ascii="Times New Roman" w:hAnsi="Times New Roman" w:cs="Times New Roman"/>
          <w:color w:val="000000"/>
          <w:sz w:val="24"/>
          <w:szCs w:val="24"/>
        </w:rPr>
      </w:pPr>
    </w:p>
    <w:p w14:paraId="4856F72E" w14:textId="70CEC67A" w:rsidR="003F2C39" w:rsidRDefault="00000000">
      <w:pPr>
        <w:pStyle w:val="PargrafodaLista"/>
        <w:numPr>
          <w:ilvl w:val="0"/>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color w:val="000000"/>
          <w:sz w:val="24"/>
          <w:szCs w:val="24"/>
        </w:rPr>
        <w:t>METODOLOGIA</w:t>
      </w:r>
    </w:p>
    <w:p w14:paraId="4B557ECB" w14:textId="77777777" w:rsidR="003F2C39" w:rsidRDefault="00000000" w:rsidP="00045169">
      <w:pPr>
        <w:pStyle w:val="PargrafodaLista"/>
        <w:numPr>
          <w:ilvl w:val="1"/>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color w:val="000000"/>
          <w:sz w:val="24"/>
          <w:szCs w:val="24"/>
        </w:rPr>
        <w:t>Desenho do Estudo</w:t>
      </w:r>
      <w:r w:rsidRPr="00045169">
        <w:rPr>
          <w:rFonts w:ascii="Times New Roman" w:hAnsi="Times New Roman" w:cs="Times New Roman"/>
          <w:color w:val="000000"/>
          <w:sz w:val="24"/>
          <w:szCs w:val="24"/>
        </w:rPr>
        <w:t xml:space="preserve">: </w:t>
      </w:r>
      <w:r w:rsidRPr="00045169">
        <w:rPr>
          <w:rFonts w:ascii="Times New Roman" w:hAnsi="Times New Roman" w:cs="Times New Roman"/>
          <w:b/>
          <w:bCs/>
          <w:color w:val="000000"/>
          <w:sz w:val="24"/>
          <w:szCs w:val="24"/>
        </w:rPr>
        <w:t>coorte prospectiva</w:t>
      </w:r>
    </w:p>
    <w:p w14:paraId="29EE1ED8" w14:textId="50CF4E65" w:rsidR="003F2C39" w:rsidRDefault="00000000">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protocolo de estudo será submetido à aprovação ao Comitê de Ética em Pesquisa da UNIFESP. </w:t>
      </w:r>
      <w:r w:rsidRPr="00045169">
        <w:rPr>
          <w:rFonts w:ascii="Times New Roman" w:hAnsi="Times New Roman" w:cs="Times New Roman"/>
          <w:color w:val="000000"/>
          <w:sz w:val="24"/>
          <w:szCs w:val="24"/>
        </w:rPr>
        <w:t xml:space="preserve">A priori, o projeto será apresentado e discutido sobre sua pertinência e adequação com representantes da população trans e coordenadoria científica do Núcleo </w:t>
      </w:r>
      <w:proofErr w:type="spellStart"/>
      <w:r w:rsidRPr="00045169">
        <w:rPr>
          <w:rFonts w:ascii="Times New Roman" w:hAnsi="Times New Roman" w:cs="Times New Roman"/>
          <w:color w:val="000000"/>
          <w:sz w:val="24"/>
          <w:szCs w:val="24"/>
        </w:rPr>
        <w:t>TransUnifesp</w:t>
      </w:r>
      <w:proofErr w:type="spellEnd"/>
      <w:r w:rsidRPr="00045169">
        <w:rPr>
          <w:rFonts w:ascii="Times New Roman" w:hAnsi="Times New Roman" w:cs="Times New Roman"/>
          <w:color w:val="000000"/>
          <w:sz w:val="24"/>
          <w:szCs w:val="24"/>
        </w:rPr>
        <w:t xml:space="preserve"> (NTU), a fim de se discutir e obter a aprovação antecipada do estudo. Será obtido um termo de consentimento informado das pessoas que concordarem em participar da pesquisa.</w:t>
      </w:r>
    </w:p>
    <w:p w14:paraId="2F2209EE" w14:textId="77777777" w:rsidR="003F2C39" w:rsidRDefault="00000000" w:rsidP="00045169">
      <w:pPr>
        <w:pStyle w:val="PargrafodaLista"/>
        <w:numPr>
          <w:ilvl w:val="1"/>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color w:val="000000"/>
          <w:sz w:val="24"/>
          <w:szCs w:val="24"/>
        </w:rPr>
        <w:t>Locais da pesquisa e características</w:t>
      </w:r>
    </w:p>
    <w:p w14:paraId="4CE2DF04" w14:textId="23091310" w:rsidR="00DC5203"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 xml:space="preserve">O </w:t>
      </w:r>
      <w:r w:rsidR="00DC5203">
        <w:rPr>
          <w:rFonts w:ascii="Times New Roman" w:hAnsi="Times New Roman" w:cs="Times New Roman"/>
          <w:color w:val="000000"/>
          <w:sz w:val="24"/>
          <w:szCs w:val="24"/>
        </w:rPr>
        <w:t xml:space="preserve">centro proponente, </w:t>
      </w:r>
      <w:r w:rsidRPr="00045169">
        <w:rPr>
          <w:rFonts w:ascii="Times New Roman" w:hAnsi="Times New Roman" w:cs="Times New Roman"/>
          <w:color w:val="000000"/>
          <w:sz w:val="24"/>
          <w:szCs w:val="24"/>
        </w:rPr>
        <w:t>Ambulatório do NTU</w:t>
      </w:r>
      <w:r w:rsidR="00DC5203">
        <w:rPr>
          <w:rFonts w:ascii="Times New Roman" w:hAnsi="Times New Roman" w:cs="Times New Roman"/>
          <w:color w:val="000000"/>
          <w:sz w:val="24"/>
          <w:szCs w:val="24"/>
        </w:rPr>
        <w:t>,</w:t>
      </w:r>
      <w:r w:rsidRPr="00045169">
        <w:rPr>
          <w:rFonts w:ascii="Times New Roman" w:hAnsi="Times New Roman" w:cs="Times New Roman"/>
          <w:color w:val="000000"/>
          <w:sz w:val="24"/>
          <w:szCs w:val="24"/>
        </w:rPr>
        <w:t xml:space="preserve"> funciona no prédio do Hospital Universitário 2 - HU2, situado à Rua Botucatu, 821, 6º andar, Vila Clementino, São Paulo, SP. Temos 16 salas de atendimento, incluindo salas de consulta e salas para coleta de material biológico, equipadas com mesa de atendimento e cadeiras, mesa para exame, balança e esfigmomanômetro portátil. O agendamento é realizado pelos profissionais do NTU O ambulatório dispõe de sala de espera bastante ampla com cadeiras e recepcionista. </w:t>
      </w:r>
    </w:p>
    <w:p w14:paraId="051F29A5" w14:textId="090DDCB9" w:rsidR="003F2C39" w:rsidRDefault="00DC5203">
      <w:pPr>
        <w:spacing w:after="0" w:line="360" w:lineRule="auto"/>
        <w:jc w:val="both"/>
        <w:rPr>
          <w:rFonts w:asciiTheme="majorHAnsi" w:eastAsia="Times New Roman" w:hAnsiTheme="majorHAnsi" w:cstheme="majorHAnsi"/>
          <w:color w:val="000000" w:themeColor="text1"/>
          <w:sz w:val="24"/>
          <w:szCs w:val="24"/>
        </w:rPr>
      </w:pPr>
      <w:r>
        <w:rPr>
          <w:rFonts w:ascii="Times New Roman" w:hAnsi="Times New Roman" w:cs="Times New Roman"/>
          <w:color w:val="000000"/>
          <w:sz w:val="24"/>
          <w:szCs w:val="24"/>
        </w:rPr>
        <w:t xml:space="preserve">O centro coparticipante será </w:t>
      </w:r>
      <w:bookmarkStart w:id="3" w:name="_Hlk146477793"/>
      <w:r>
        <w:rPr>
          <w:rFonts w:ascii="Times New Roman" w:hAnsi="Times New Roman" w:cs="Times New Roman"/>
          <w:color w:val="000000"/>
          <w:sz w:val="24"/>
          <w:szCs w:val="24"/>
        </w:rPr>
        <w:t xml:space="preserve">o </w:t>
      </w:r>
      <w:r w:rsidRPr="00045169">
        <w:rPr>
          <w:rFonts w:asciiTheme="majorHAnsi" w:eastAsia="Times New Roman" w:hAnsiTheme="majorHAnsi" w:cstheme="majorHAnsi"/>
          <w:color w:val="000000" w:themeColor="text1"/>
          <w:sz w:val="24"/>
          <w:szCs w:val="24"/>
        </w:rPr>
        <w:t>Centro de Referência e Treinamento DST/AIDS-SP</w:t>
      </w:r>
      <w:r>
        <w:rPr>
          <w:rFonts w:asciiTheme="majorHAnsi" w:eastAsia="Times New Roman" w:hAnsiTheme="majorHAnsi" w:cstheme="majorHAnsi"/>
          <w:color w:val="000000" w:themeColor="text1"/>
          <w:sz w:val="24"/>
          <w:szCs w:val="24"/>
        </w:rPr>
        <w:t>, que</w:t>
      </w:r>
      <w:r w:rsidRPr="00045169">
        <w:rPr>
          <w:rFonts w:asciiTheme="majorHAnsi" w:eastAsia="Times New Roman" w:hAnsiTheme="majorHAnsi" w:cstheme="majorHAnsi"/>
          <w:color w:val="000000" w:themeColor="text1"/>
          <w:sz w:val="24"/>
          <w:szCs w:val="24"/>
        </w:rPr>
        <w:t xml:space="preserve"> se situa à Rua Santa Cruz, 81 – Vila Mariana, CEP 04121-000, em São Paulo, SP. Ele dispõe de seis salas de consulta, além da recepção. A equipe é composta por seis médicos, quatro psicólogos, um assistente social e três funcionários administrativos.</w:t>
      </w:r>
      <w:bookmarkEnd w:id="3"/>
    </w:p>
    <w:p w14:paraId="178D53FE" w14:textId="77777777" w:rsidR="003F2C39" w:rsidRDefault="003F2C39">
      <w:pPr>
        <w:spacing w:after="0" w:line="360" w:lineRule="auto"/>
        <w:jc w:val="both"/>
        <w:rPr>
          <w:rFonts w:ascii="Times New Roman" w:hAnsi="Times New Roman" w:cs="Times New Roman"/>
          <w:color w:val="000000"/>
          <w:sz w:val="24"/>
          <w:szCs w:val="24"/>
        </w:rPr>
      </w:pPr>
    </w:p>
    <w:p w14:paraId="23DC01D4" w14:textId="32AC9D63" w:rsidR="003F2C39" w:rsidRDefault="00000000" w:rsidP="00045169">
      <w:pPr>
        <w:pStyle w:val="PargrafodaLista"/>
        <w:numPr>
          <w:ilvl w:val="1"/>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color w:val="000000"/>
          <w:sz w:val="24"/>
          <w:szCs w:val="24"/>
        </w:rPr>
        <w:t>Cálculo da Amostra</w:t>
      </w:r>
    </w:p>
    <w:p w14:paraId="4A3EF197" w14:textId="77777777" w:rsidR="003F2C39" w:rsidRDefault="00000000">
      <w:pPr>
        <w:spacing w:after="240" w:line="360" w:lineRule="auto"/>
        <w:jc w:val="both"/>
        <w:rPr>
          <w:rFonts w:ascii="Times New Roman" w:hAnsi="Times New Roman" w:cs="Times New Roman"/>
          <w:sz w:val="24"/>
          <w:szCs w:val="24"/>
        </w:rPr>
      </w:pPr>
      <w:r w:rsidRPr="00045169">
        <w:rPr>
          <w:rFonts w:ascii="Times New Roman" w:hAnsi="Times New Roman" w:cs="Times New Roman"/>
          <w:sz w:val="24"/>
          <w:szCs w:val="24"/>
        </w:rPr>
        <w:t xml:space="preserve">Foi calculado um tamanho de 134 </w:t>
      </w:r>
      <w:r w:rsidRPr="00045169">
        <w:rPr>
          <w:rFonts w:ascii="Times New Roman" w:hAnsi="Times New Roman" w:cs="Times New Roman"/>
          <w:color w:val="000000"/>
          <w:sz w:val="24"/>
          <w:szCs w:val="24"/>
        </w:rPr>
        <w:t>homens trans</w:t>
      </w:r>
      <w:r w:rsidRPr="00045169">
        <w:rPr>
          <w:rFonts w:ascii="Times New Roman" w:hAnsi="Times New Roman" w:cs="Times New Roman"/>
          <w:sz w:val="24"/>
          <w:szCs w:val="24"/>
        </w:rPr>
        <w:t xml:space="preserve"> para testar se existe uma diferença mínima de 0.5 </w:t>
      </w:r>
      <w:proofErr w:type="spellStart"/>
      <w:r w:rsidRPr="00045169">
        <w:rPr>
          <w:rFonts w:ascii="Times New Roman" w:hAnsi="Times New Roman" w:cs="Times New Roman"/>
          <w:sz w:val="24"/>
          <w:szCs w:val="24"/>
        </w:rPr>
        <w:t>u.m</w:t>
      </w:r>
      <w:proofErr w:type="spellEnd"/>
      <w:r w:rsidRPr="00045169">
        <w:rPr>
          <w:rFonts w:ascii="Times New Roman" w:hAnsi="Times New Roman" w:cs="Times New Roman"/>
          <w:sz w:val="24"/>
          <w:szCs w:val="24"/>
        </w:rPr>
        <w:t>. no último momento (momento 3) do estudo de medidas repetidas. Com o acréscimo de 10% para possíveis perdas e recusas, este número deverá ser de 150 homens trans a serem incluídos na pesquisa. O cálculo considerou poder de 80% e nível de significância de 5%. Os cálculos foram realizados por meio da ferramenta SPSS Health versão on-line.</w:t>
      </w:r>
    </w:p>
    <w:p w14:paraId="6BC703F2" w14:textId="77777777" w:rsidR="003F2C39" w:rsidRDefault="00000000" w:rsidP="00045169">
      <w:pPr>
        <w:pStyle w:val="PargrafodaLista"/>
        <w:numPr>
          <w:ilvl w:val="1"/>
          <w:numId w:val="1"/>
        </w:numPr>
        <w:spacing w:after="0" w:line="360" w:lineRule="auto"/>
        <w:jc w:val="both"/>
        <w:rPr>
          <w:rFonts w:ascii="Times New Roman" w:hAnsi="Times New Roman" w:cs="Times New Roman"/>
          <w:bCs/>
          <w:sz w:val="24"/>
          <w:szCs w:val="24"/>
        </w:rPr>
      </w:pPr>
      <w:r>
        <w:rPr>
          <w:rFonts w:ascii="Times New Roman" w:hAnsi="Times New Roman" w:cs="Times New Roman"/>
          <w:b/>
          <w:color w:val="000000"/>
          <w:sz w:val="24"/>
          <w:szCs w:val="24"/>
        </w:rPr>
        <w:t>Usuários</w:t>
      </w:r>
    </w:p>
    <w:p w14:paraId="4CEF4FCD" w14:textId="77777777" w:rsidR="003F2C39" w:rsidRDefault="00000000">
      <w:pPr>
        <w:spacing w:after="16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 xml:space="preserve">Cento e cinquenta homens trans, de 18 a 59 anos, sem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prévia, ou que tenham feito </w:t>
      </w:r>
      <w:proofErr w:type="spellStart"/>
      <w:r w:rsidRPr="00045169">
        <w:rPr>
          <w:rFonts w:ascii="Times New Roman" w:hAnsi="Times New Roman" w:cs="Times New Roman"/>
          <w:color w:val="000000"/>
          <w:sz w:val="24"/>
          <w:szCs w:val="24"/>
        </w:rPr>
        <w:t>hormonização</w:t>
      </w:r>
      <w:proofErr w:type="spellEnd"/>
      <w:r w:rsidRPr="00045169">
        <w:rPr>
          <w:rFonts w:ascii="Times New Roman" w:hAnsi="Times New Roman" w:cs="Times New Roman"/>
          <w:color w:val="000000"/>
          <w:sz w:val="24"/>
          <w:szCs w:val="24"/>
        </w:rPr>
        <w:t xml:space="preserve"> no passado e tenham suspendido há pelo menos 6 meses.</w:t>
      </w:r>
      <w:r w:rsidRPr="00045169">
        <w:rPr>
          <w:rFonts w:ascii="Arial" w:eastAsia="Arial" w:hAnsi="Arial" w:cs="Arial"/>
          <w:color w:val="000000"/>
          <w:sz w:val="24"/>
          <w:szCs w:val="24"/>
        </w:rPr>
        <w:t xml:space="preserve"> </w:t>
      </w:r>
      <w:r w:rsidRPr="00045169">
        <w:rPr>
          <w:rFonts w:ascii="Times New Roman" w:hAnsi="Times New Roman" w:cs="Times New Roman"/>
          <w:color w:val="000000"/>
          <w:sz w:val="24"/>
          <w:szCs w:val="24"/>
        </w:rPr>
        <w:t>Os critérios de exclusão serão:</w:t>
      </w:r>
      <w:r w:rsidRPr="00045169">
        <w:rPr>
          <w:rFonts w:ascii="Arial" w:eastAsia="Arial" w:hAnsi="Arial" w:cs="Arial"/>
          <w:color w:val="000000"/>
          <w:sz w:val="24"/>
          <w:szCs w:val="24"/>
        </w:rPr>
        <w:t xml:space="preserve"> </w:t>
      </w:r>
      <w:r w:rsidRPr="00045169">
        <w:rPr>
          <w:rFonts w:ascii="Times New Roman" w:hAnsi="Times New Roman" w:cs="Times New Roman"/>
          <w:color w:val="000000"/>
          <w:sz w:val="24"/>
          <w:szCs w:val="24"/>
        </w:rPr>
        <w:lastRenderedPageBreak/>
        <w:t>impossibilidade de entendimento do protocolo ou de comparecer à instituição para realização</w:t>
      </w:r>
      <w:r w:rsidRPr="00045169">
        <w:rPr>
          <w:rFonts w:ascii="Arial" w:eastAsia="Arial" w:hAnsi="Arial" w:cs="Arial"/>
          <w:color w:val="000000"/>
          <w:sz w:val="24"/>
          <w:szCs w:val="24"/>
        </w:rPr>
        <w:t xml:space="preserve"> </w:t>
      </w:r>
      <w:r w:rsidRPr="00045169">
        <w:rPr>
          <w:rFonts w:ascii="Times New Roman" w:hAnsi="Times New Roman" w:cs="Times New Roman"/>
          <w:color w:val="000000"/>
          <w:sz w:val="24"/>
          <w:szCs w:val="24"/>
        </w:rPr>
        <w:t>periódica dos exames.</w:t>
      </w:r>
      <w:bookmarkStart w:id="4" w:name="_1fob9te"/>
      <w:bookmarkEnd w:id="4"/>
    </w:p>
    <w:p w14:paraId="13D5531A" w14:textId="7377CA76" w:rsidR="003F2C39" w:rsidRPr="00294D40" w:rsidRDefault="00000000">
      <w:pPr>
        <w:spacing w:after="160" w:line="360" w:lineRule="auto"/>
        <w:jc w:val="both"/>
        <w:rPr>
          <w:rFonts w:ascii="Times New Roman" w:hAnsi="Times New Roman" w:cs="Times New Roman"/>
          <w:color w:val="FF0000"/>
          <w:sz w:val="24"/>
          <w:szCs w:val="24"/>
        </w:rPr>
      </w:pPr>
      <w:bookmarkStart w:id="5" w:name="_Hlk153728768"/>
      <w:r w:rsidRPr="00045169">
        <w:rPr>
          <w:rFonts w:ascii="Times New Roman" w:hAnsi="Times New Roman" w:cs="Times New Roman"/>
          <w:color w:val="000000" w:themeColor="text1"/>
          <w:sz w:val="24"/>
          <w:szCs w:val="24"/>
        </w:rPr>
        <w:t xml:space="preserve">Os participantes serão recrutados tanto no </w:t>
      </w:r>
      <w:proofErr w:type="spellStart"/>
      <w:r w:rsidRPr="00045169">
        <w:rPr>
          <w:rFonts w:ascii="Times New Roman" w:hAnsi="Times New Roman" w:cs="Times New Roman"/>
          <w:color w:val="000000" w:themeColor="text1"/>
          <w:sz w:val="24"/>
          <w:szCs w:val="24"/>
        </w:rPr>
        <w:t>Nucleo</w:t>
      </w:r>
      <w:proofErr w:type="spellEnd"/>
      <w:r w:rsidRPr="00045169">
        <w:rPr>
          <w:rFonts w:ascii="Times New Roman" w:hAnsi="Times New Roman" w:cs="Times New Roman"/>
          <w:color w:val="000000" w:themeColor="text1"/>
          <w:sz w:val="24"/>
          <w:szCs w:val="24"/>
        </w:rPr>
        <w:t xml:space="preserve"> </w:t>
      </w:r>
      <w:proofErr w:type="spellStart"/>
      <w:r w:rsidRPr="00045169">
        <w:rPr>
          <w:rFonts w:ascii="Times New Roman" w:hAnsi="Times New Roman" w:cs="Times New Roman"/>
          <w:color w:val="000000" w:themeColor="text1"/>
          <w:sz w:val="24"/>
          <w:szCs w:val="24"/>
        </w:rPr>
        <w:t>TransUnifesp</w:t>
      </w:r>
      <w:proofErr w:type="spellEnd"/>
      <w:r w:rsidRPr="00045169">
        <w:rPr>
          <w:rFonts w:ascii="Times New Roman" w:hAnsi="Times New Roman" w:cs="Times New Roman"/>
          <w:color w:val="000000" w:themeColor="text1"/>
          <w:sz w:val="24"/>
          <w:szCs w:val="24"/>
        </w:rPr>
        <w:t>, centro proponente, quanto no CRT-DST/AIDS-SP, instituição coparticipante, à medida em que forem atendidos no ambulatório, preencherem os critérios de inclusão no estudo e concordarem em participar. Sendo a amostra por conveniência, não sabemos de antemão quantos serão os participantes recrutados em cada instituição.</w:t>
      </w:r>
      <w:r w:rsidR="00294D40">
        <w:rPr>
          <w:rFonts w:ascii="Times New Roman" w:hAnsi="Times New Roman" w:cs="Times New Roman"/>
          <w:color w:val="000000" w:themeColor="text1"/>
          <w:sz w:val="24"/>
          <w:szCs w:val="24"/>
        </w:rPr>
        <w:t xml:space="preserve"> </w:t>
      </w:r>
      <w:r w:rsidR="00294D40" w:rsidRPr="00294D40">
        <w:rPr>
          <w:rFonts w:ascii="Times New Roman" w:hAnsi="Times New Roman" w:cs="Times New Roman"/>
          <w:color w:val="FF0000"/>
          <w:sz w:val="24"/>
          <w:szCs w:val="24"/>
        </w:rPr>
        <w:t>Sendo os participantes recrutados conforme a disponibilidade e aceite, não sabemos ainda qual percentual será recrutado em cada centro, visando a meta de 150 participantes.</w:t>
      </w:r>
    </w:p>
    <w:p w14:paraId="79E1C7EF" w14:textId="77777777" w:rsidR="003F2C39" w:rsidRDefault="00000000">
      <w:pPr>
        <w:spacing w:after="160" w:line="360" w:lineRule="auto"/>
        <w:jc w:val="both"/>
        <w:rPr>
          <w:rFonts w:ascii="Times New Roman" w:hAnsi="Times New Roman" w:cs="Times New Roman"/>
          <w:color w:val="000000" w:themeColor="text1"/>
          <w:sz w:val="24"/>
          <w:szCs w:val="24"/>
        </w:rPr>
      </w:pPr>
      <w:r w:rsidRPr="00045169">
        <w:rPr>
          <w:rFonts w:ascii="Times New Roman" w:hAnsi="Times New Roman" w:cs="Times New Roman"/>
          <w:color w:val="000000" w:themeColor="text1"/>
          <w:sz w:val="24"/>
          <w:szCs w:val="24"/>
        </w:rPr>
        <w:t xml:space="preserve">Com exceção das consultas regulares, com anamnese e exame físico e da aplicação dos questionários, todas as demais avaliações, a saber: coleta de sangue para exames laboratoriais, densitometria óssea, colocação de MAPA e </w:t>
      </w:r>
      <w:proofErr w:type="spellStart"/>
      <w:r w:rsidRPr="00045169">
        <w:rPr>
          <w:rFonts w:ascii="Times New Roman" w:hAnsi="Times New Roman" w:cs="Times New Roman"/>
          <w:color w:val="000000" w:themeColor="text1"/>
          <w:sz w:val="24"/>
          <w:szCs w:val="24"/>
        </w:rPr>
        <w:t>EndoPAT</w:t>
      </w:r>
      <w:proofErr w:type="spellEnd"/>
      <w:r w:rsidRPr="00045169">
        <w:rPr>
          <w:rFonts w:ascii="Times New Roman" w:hAnsi="Times New Roman" w:cs="Times New Roman"/>
          <w:color w:val="000000" w:themeColor="text1"/>
          <w:sz w:val="24"/>
          <w:szCs w:val="24"/>
        </w:rPr>
        <w:t>, serão realizados nas unidades da UNIFESP (centro proponente).</w:t>
      </w:r>
      <w:bookmarkEnd w:id="5"/>
    </w:p>
    <w:p w14:paraId="65C02491" w14:textId="77777777" w:rsidR="003F2C39" w:rsidRDefault="00000000" w:rsidP="00045169">
      <w:pPr>
        <w:pStyle w:val="PargrafodaLista"/>
        <w:numPr>
          <w:ilvl w:val="1"/>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color w:val="000000"/>
          <w:sz w:val="24"/>
          <w:szCs w:val="24"/>
        </w:rPr>
        <w:t>Intervenção e tempo de seguimento</w:t>
      </w:r>
    </w:p>
    <w:p w14:paraId="35F2C0C7" w14:textId="5B0A1D8F"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Hormonioterapia cruzada com </w:t>
      </w:r>
      <w:proofErr w:type="spellStart"/>
      <w:r w:rsidRPr="00045169">
        <w:rPr>
          <w:rFonts w:ascii="Times New Roman" w:hAnsi="Times New Roman" w:cs="Times New Roman"/>
          <w:color w:val="000000"/>
          <w:sz w:val="24"/>
          <w:szCs w:val="24"/>
        </w:rPr>
        <w:t>cipionato</w:t>
      </w:r>
      <w:proofErr w:type="spellEnd"/>
      <w:r w:rsidRPr="00045169">
        <w:rPr>
          <w:rFonts w:ascii="Times New Roman" w:hAnsi="Times New Roman" w:cs="Times New Roman"/>
          <w:color w:val="000000"/>
          <w:sz w:val="24"/>
          <w:szCs w:val="24"/>
        </w:rPr>
        <w:t xml:space="preserve"> de testosterona intramuscular (IM) a cada 2 a 3 semanas ou </w:t>
      </w:r>
      <w:proofErr w:type="spellStart"/>
      <w:r w:rsidRPr="00045169">
        <w:rPr>
          <w:rFonts w:ascii="Times New Roman" w:hAnsi="Times New Roman" w:cs="Times New Roman"/>
          <w:color w:val="000000"/>
          <w:sz w:val="24"/>
          <w:szCs w:val="24"/>
        </w:rPr>
        <w:t>undecilato</w:t>
      </w:r>
      <w:proofErr w:type="spellEnd"/>
      <w:r w:rsidRPr="00045169">
        <w:rPr>
          <w:rFonts w:ascii="Times New Roman" w:hAnsi="Times New Roman" w:cs="Times New Roman"/>
          <w:color w:val="000000"/>
          <w:sz w:val="24"/>
          <w:szCs w:val="24"/>
        </w:rPr>
        <w:t xml:space="preserve"> de testosterona, IM, a cada 10 a 16 semanas.</w:t>
      </w:r>
      <w:r w:rsidRPr="00045169">
        <w:rPr>
          <w:rFonts w:ascii="Times New Roman" w:hAnsi="Times New Roman" w:cs="Times New Roman"/>
          <w:b/>
          <w:color w:val="000000"/>
          <w:sz w:val="24"/>
          <w:szCs w:val="24"/>
        </w:rPr>
        <w:t xml:space="preserve"> </w:t>
      </w:r>
      <w:r w:rsidRPr="00045169">
        <w:rPr>
          <w:rFonts w:ascii="Times New Roman" w:hAnsi="Times New Roman" w:cs="Times New Roman"/>
          <w:bCs/>
          <w:color w:val="000000"/>
          <w:sz w:val="24"/>
          <w:szCs w:val="24"/>
        </w:rPr>
        <w:t>O estudo compreenderá um tempo de seguimento de 18 meses.</w:t>
      </w:r>
    </w:p>
    <w:p w14:paraId="3CDA60BE" w14:textId="77777777" w:rsidR="003F2C39" w:rsidRDefault="00000000" w:rsidP="00045169">
      <w:pPr>
        <w:pStyle w:val="PargrafodaLista"/>
        <w:numPr>
          <w:ilvl w:val="1"/>
          <w:numId w:val="1"/>
        </w:numPr>
        <w:spacing w:after="0" w:line="360" w:lineRule="auto"/>
        <w:jc w:val="both"/>
        <w:rPr>
          <w:rFonts w:ascii="Times New Roman" w:hAnsi="Times New Roman" w:cs="Times New Roman"/>
          <w:b/>
          <w:sz w:val="24"/>
          <w:szCs w:val="24"/>
        </w:rPr>
      </w:pPr>
      <w:r w:rsidRPr="00045169">
        <w:rPr>
          <w:rFonts w:ascii="Times New Roman" w:hAnsi="Times New Roman" w:cs="Times New Roman"/>
          <w:b/>
          <w:color w:val="000000"/>
          <w:sz w:val="24"/>
          <w:szCs w:val="24"/>
        </w:rPr>
        <w:t>Avaliação Clínica</w:t>
      </w:r>
    </w:p>
    <w:p w14:paraId="20BE39AF" w14:textId="77777777"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avaliação clínica com anamnese e exame físico incluirá estatura, peso, IMC, medida da circunferência da cintura e pressão arterial dos usuários, ocorrendo ao início, </w:t>
      </w:r>
      <w:r w:rsidRPr="00045169">
        <w:rPr>
          <w:rFonts w:ascii="Times New Roman" w:hAnsi="Times New Roman" w:cs="Times New Roman"/>
          <w:color w:val="000000"/>
          <w:sz w:val="24"/>
          <w:szCs w:val="24"/>
        </w:rPr>
        <w:t xml:space="preserve">6 meses, 12 e 18 meses, no fim do estudo, de acordo com o cronograma. No entanto, entre essas avaliações, ou seja, no intervalo de três meses, faremos uma consulta de telemedicina, utilizando a plataforma da UNIFESP ou, na impossibilidade desta, alguma plataforma que tenha garantia de sigilo e registro das informações. </w:t>
      </w:r>
    </w:p>
    <w:p w14:paraId="3CB7AE30" w14:textId="77777777" w:rsidR="003F2C39" w:rsidRDefault="00000000" w:rsidP="00045169">
      <w:pPr>
        <w:pStyle w:val="PargrafodaLista"/>
        <w:numPr>
          <w:ilvl w:val="1"/>
          <w:numId w:val="1"/>
        </w:num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Questionário</w:t>
      </w:r>
      <w:bookmarkStart w:id="6" w:name="_3znysh7"/>
      <w:bookmarkEnd w:id="6"/>
      <w:r w:rsidRPr="00045169">
        <w:rPr>
          <w:rFonts w:ascii="Times New Roman" w:hAnsi="Times New Roman" w:cs="Times New Roman"/>
          <w:b/>
          <w:color w:val="000000"/>
          <w:sz w:val="24"/>
          <w:szCs w:val="24"/>
        </w:rPr>
        <w:t xml:space="preserve"> de avaliação </w:t>
      </w:r>
    </w:p>
    <w:p w14:paraId="05E8645F" w14:textId="02CDD6F8" w:rsidR="003F2C39" w:rsidRPr="001416D6" w:rsidRDefault="00000000">
      <w:pPr>
        <w:spacing w:after="0" w:line="36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O questionário ser</w:t>
      </w:r>
      <w:r w:rsidRPr="00045169">
        <w:rPr>
          <w:rFonts w:ascii="Times New Roman" w:hAnsi="Times New Roman" w:cs="Times New Roman"/>
          <w:color w:val="000000" w:themeColor="text1"/>
          <w:sz w:val="24"/>
          <w:szCs w:val="24"/>
        </w:rPr>
        <w:t>á realizado de forma preferencialmente presencial ou, na impossibilidade desta, de forma remota, utilizando plataforma que garanta sigilo às participantes.</w:t>
      </w:r>
      <w:r w:rsidR="001416D6">
        <w:rPr>
          <w:rFonts w:ascii="Times New Roman" w:hAnsi="Times New Roman" w:cs="Times New Roman"/>
          <w:color w:val="000000" w:themeColor="text1"/>
          <w:sz w:val="24"/>
          <w:szCs w:val="24"/>
        </w:rPr>
        <w:t xml:space="preserve"> </w:t>
      </w:r>
      <w:r w:rsidR="001416D6" w:rsidRPr="001416D6">
        <w:rPr>
          <w:rFonts w:ascii="Times New Roman" w:hAnsi="Times New Roman" w:cs="Times New Roman"/>
          <w:color w:val="FF0000"/>
          <w:sz w:val="24"/>
          <w:szCs w:val="24"/>
        </w:rPr>
        <w:t>O tempo médio necessário para responder às perguntas dos questionários será de 30 minutos.</w:t>
      </w:r>
    </w:p>
    <w:p w14:paraId="3F5F4EC7" w14:textId="77777777" w:rsidR="003F2C39" w:rsidRDefault="003F2C39">
      <w:pPr>
        <w:spacing w:after="0" w:line="360" w:lineRule="auto"/>
        <w:jc w:val="both"/>
        <w:rPr>
          <w:rFonts w:ascii="Times New Roman" w:hAnsi="Times New Roman" w:cs="Times New Roman"/>
          <w:color w:val="000000" w:themeColor="text1"/>
          <w:sz w:val="24"/>
          <w:szCs w:val="24"/>
        </w:rPr>
      </w:pPr>
    </w:p>
    <w:p w14:paraId="465DFFF6"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Idade</w:t>
      </w:r>
    </w:p>
    <w:p w14:paraId="1F3147C7"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Sexo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)vagina/vulva     (   )pênis</w:t>
      </w:r>
    </w:p>
    <w:p w14:paraId="409B54BD"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Raça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)branco    (   )negro       (   )povos originários/indígena     (   )asiático      (   )outro</w:t>
      </w:r>
    </w:p>
    <w:p w14:paraId="220EC063"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Atividade física, qualquer uma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)menos de 150 min/semana (   )mais de 150 min/semana</w:t>
      </w:r>
    </w:p>
    <w:p w14:paraId="2AF754C2"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Consumo de bebida alcoólica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)nada         (   )eventualmente/menos de 7 drinks por semana, em média  (   )regularmente/mais de 7 drinks por semana </w:t>
      </w:r>
    </w:p>
    <w:p w14:paraId="6D7B5231"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Tabagismo e similares, marcar o consumo nos últimos 30 dias</w:t>
      </w:r>
    </w:p>
    <w:p w14:paraId="2F0D1917" w14:textId="77777777" w:rsidR="003F2C39" w:rsidRDefault="00000000" w:rsidP="00045169">
      <w:pPr>
        <w:pStyle w:val="PargrafodaLista"/>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nenhum dia (N), alguns dias (A), todos os dias ou quase (T)</w:t>
      </w:r>
    </w:p>
    <w:p w14:paraId="2488416D" w14:textId="77777777" w:rsidR="003F2C39" w:rsidRDefault="00000000" w:rsidP="00045169">
      <w:pPr>
        <w:pStyle w:val="PargrafodaLista"/>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)cigarros     (   )cigarro eletrônico     (   )canabis/haxixe    (   )crack</w:t>
      </w:r>
    </w:p>
    <w:p w14:paraId="1A42C3AC"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 Diabetes diagnosticado</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)sim        (   )não</w:t>
      </w:r>
    </w:p>
    <w:p w14:paraId="0E59657E"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  Hipertensão arterial diagnosticada</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)sim     (   )não</w:t>
      </w:r>
    </w:p>
    <w:p w14:paraId="16975B9B"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   Comorbidades </w:t>
      </w:r>
      <w:proofErr w:type="gramStart"/>
      <w:r w:rsidRPr="00045169">
        <w:rPr>
          <w:rFonts w:asciiTheme="majorHAnsi" w:eastAsia="Times New Roman" w:hAnsiTheme="majorHAnsi" w:cstheme="majorHAnsi"/>
          <w:color w:val="000000"/>
          <w:sz w:val="24"/>
          <w:szCs w:val="24"/>
        </w:rPr>
        <w:t>psiquiátricas  (</w:t>
      </w:r>
      <w:proofErr w:type="gramEnd"/>
      <w:r w:rsidRPr="00045169">
        <w:rPr>
          <w:rFonts w:asciiTheme="majorHAnsi" w:eastAsia="Times New Roman" w:hAnsiTheme="majorHAnsi" w:cstheme="majorHAnsi"/>
          <w:color w:val="000000"/>
          <w:sz w:val="24"/>
          <w:szCs w:val="24"/>
        </w:rPr>
        <w:t xml:space="preserve">   ) sim – quais?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 não</w:t>
      </w:r>
    </w:p>
    <w:p w14:paraId="47A21210"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Outras </w:t>
      </w:r>
      <w:proofErr w:type="spellStart"/>
      <w:r w:rsidRPr="00045169">
        <w:rPr>
          <w:rFonts w:asciiTheme="majorHAnsi" w:eastAsia="Times New Roman" w:hAnsiTheme="majorHAnsi" w:cstheme="majorHAnsi"/>
          <w:color w:val="000000"/>
          <w:sz w:val="24"/>
          <w:szCs w:val="24"/>
        </w:rPr>
        <w:t>co-morbidades</w:t>
      </w:r>
      <w:proofErr w:type="spellEnd"/>
    </w:p>
    <w:p w14:paraId="2F9BD7F7"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Uso prévio de hormônios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)sim – qual, quando, por quanto tempo?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)não</w:t>
      </w:r>
    </w:p>
    <w:p w14:paraId="08B8E4A4" w14:textId="77777777" w:rsidR="003F2C39" w:rsidRDefault="00000000" w:rsidP="00045169">
      <w:pPr>
        <w:pStyle w:val="PargrafodaLista"/>
        <w:numPr>
          <w:ilvl w:val="0"/>
          <w:numId w:val="2"/>
        </w:numPr>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Covid confirmada  </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 sim       (   ) não</w:t>
      </w:r>
    </w:p>
    <w:p w14:paraId="38282D1D" w14:textId="77777777" w:rsidR="003F2C39" w:rsidRDefault="00000000" w:rsidP="00045169">
      <w:pPr>
        <w:pStyle w:val="PargrafodaLista"/>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Algum episódio necessitou de internação</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 sim        (   ) não</w:t>
      </w:r>
    </w:p>
    <w:p w14:paraId="78577A96" w14:textId="77777777" w:rsidR="003F2C39" w:rsidRDefault="00000000" w:rsidP="00045169">
      <w:pPr>
        <w:pStyle w:val="PargrafodaLista"/>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Recebeu oxigênio na internação</w:t>
      </w:r>
      <w:proofErr w:type="gramStart"/>
      <w:r w:rsidRPr="00045169">
        <w:rPr>
          <w:rFonts w:asciiTheme="majorHAnsi" w:eastAsia="Times New Roman" w:hAnsiTheme="majorHAnsi" w:cstheme="majorHAnsi"/>
          <w:color w:val="000000"/>
          <w:sz w:val="24"/>
          <w:szCs w:val="24"/>
        </w:rPr>
        <w:t xml:space="preserve">   (</w:t>
      </w:r>
      <w:proofErr w:type="gramEnd"/>
      <w:r w:rsidRPr="00045169">
        <w:rPr>
          <w:rFonts w:asciiTheme="majorHAnsi" w:eastAsia="Times New Roman" w:hAnsiTheme="majorHAnsi" w:cstheme="majorHAnsi"/>
          <w:color w:val="000000"/>
          <w:sz w:val="24"/>
          <w:szCs w:val="24"/>
        </w:rPr>
        <w:t xml:space="preserve">   ) sim       (   ) não</w:t>
      </w:r>
    </w:p>
    <w:p w14:paraId="4F06D084" w14:textId="77777777" w:rsidR="003F2C39" w:rsidRDefault="00000000" w:rsidP="00045169">
      <w:pPr>
        <w:pStyle w:val="PargrafodaLista"/>
        <w:pBdr>
          <w:top w:val="single" w:sz="4" w:space="1" w:color="000000"/>
          <w:left w:val="single" w:sz="4" w:space="4" w:color="000000"/>
          <w:right w:val="single" w:sz="4" w:space="4" w:color="000000"/>
        </w:pBdr>
        <w:spacing w:after="160" w:line="360" w:lineRule="auto"/>
        <w:ind w:left="502"/>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Foi </w:t>
      </w:r>
      <w:proofErr w:type="gramStart"/>
      <w:r w:rsidRPr="00045169">
        <w:rPr>
          <w:rFonts w:asciiTheme="majorHAnsi" w:eastAsia="Times New Roman" w:hAnsiTheme="majorHAnsi" w:cstheme="majorHAnsi"/>
          <w:color w:val="000000"/>
          <w:sz w:val="24"/>
          <w:szCs w:val="24"/>
        </w:rPr>
        <w:t>intubado  (</w:t>
      </w:r>
      <w:proofErr w:type="gramEnd"/>
      <w:r w:rsidRPr="00045169">
        <w:rPr>
          <w:rFonts w:asciiTheme="majorHAnsi" w:eastAsia="Times New Roman" w:hAnsiTheme="majorHAnsi" w:cstheme="majorHAnsi"/>
          <w:color w:val="000000"/>
          <w:sz w:val="24"/>
          <w:szCs w:val="24"/>
        </w:rPr>
        <w:t xml:space="preserve">   ) sim     (   ) não</w:t>
      </w:r>
    </w:p>
    <w:p w14:paraId="537A33E4" w14:textId="77777777" w:rsidR="003F2C39" w:rsidRDefault="00000000" w:rsidP="00045169">
      <w:pPr>
        <w:pBdr>
          <w:top w:val="single" w:sz="4" w:space="1" w:color="000000"/>
          <w:left w:val="single" w:sz="4" w:space="4" w:color="000000"/>
          <w:bottom w:val="single" w:sz="4" w:space="1" w:color="000000"/>
          <w:right w:val="single" w:sz="4" w:space="4" w:color="000000"/>
        </w:pBdr>
        <w:spacing w:after="160" w:line="360" w:lineRule="auto"/>
        <w:rPr>
          <w:rFonts w:ascii="Times New Roman" w:eastAsia="Times New Roman" w:hAnsi="Times New Roman" w:cs="Times New Roman"/>
          <w:color w:val="000000"/>
          <w:sz w:val="24"/>
          <w:szCs w:val="24"/>
        </w:rPr>
      </w:pPr>
      <w:r w:rsidRPr="00045169">
        <w:rPr>
          <w:rFonts w:asciiTheme="majorHAnsi" w:eastAsia="Times New Roman" w:hAnsiTheme="majorHAnsi" w:cstheme="majorHAnsi"/>
          <w:color w:val="000000"/>
          <w:sz w:val="24"/>
          <w:szCs w:val="24"/>
        </w:rPr>
        <w:t xml:space="preserve">   13. Questionário SF-36 (10 itens)</w:t>
      </w:r>
    </w:p>
    <w:p w14:paraId="122586CD" w14:textId="77777777" w:rsidR="003F2C39" w:rsidRDefault="003F2C39" w:rsidP="00045169">
      <w:pPr>
        <w:pStyle w:val="PargrafodaLista"/>
        <w:spacing w:after="160" w:line="360" w:lineRule="auto"/>
        <w:ind w:left="502"/>
        <w:rPr>
          <w:rFonts w:ascii="Times New Roman" w:eastAsia="Times New Roman" w:hAnsi="Times New Roman" w:cs="Times New Roman"/>
          <w:color w:val="000000"/>
          <w:sz w:val="24"/>
          <w:szCs w:val="24"/>
        </w:rPr>
      </w:pPr>
    </w:p>
    <w:p w14:paraId="281B4B93" w14:textId="77777777" w:rsidR="003F2C39" w:rsidRDefault="00000000" w:rsidP="00045169">
      <w:pPr>
        <w:pStyle w:val="PargrafodaLista"/>
        <w:numPr>
          <w:ilvl w:val="1"/>
          <w:numId w:val="1"/>
        </w:numPr>
        <w:spacing w:after="0" w:line="360" w:lineRule="auto"/>
        <w:jc w:val="both"/>
        <w:rPr>
          <w:rFonts w:ascii="Times New Roman" w:hAnsi="Times New Roman" w:cs="Times New Roman"/>
          <w:color w:val="000000"/>
          <w:sz w:val="24"/>
          <w:szCs w:val="24"/>
        </w:rPr>
      </w:pPr>
      <w:bookmarkStart w:id="7" w:name="_Hlk136243661"/>
      <w:bookmarkEnd w:id="7"/>
      <w:r w:rsidRPr="00045169">
        <w:rPr>
          <w:rFonts w:ascii="Times New Roman" w:hAnsi="Times New Roman" w:cs="Times New Roman"/>
          <w:b/>
          <w:color w:val="000000"/>
          <w:sz w:val="24"/>
          <w:szCs w:val="24"/>
        </w:rPr>
        <w:t>Exames Laboratoriais</w:t>
      </w:r>
    </w:p>
    <w:p w14:paraId="3A2F1E72" w14:textId="77777777" w:rsidR="003F2C39" w:rsidRDefault="00000000">
      <w:pPr>
        <w:spacing w:after="0" w:line="360" w:lineRule="auto"/>
        <w:jc w:val="both"/>
        <w:rPr>
          <w:rFonts w:ascii="Times New Roman" w:hAnsi="Times New Roman" w:cs="Times New Roman"/>
          <w:color w:val="000000"/>
          <w:sz w:val="24"/>
          <w:szCs w:val="24"/>
        </w:rPr>
      </w:pPr>
      <w:bookmarkStart w:id="8" w:name="_3dy6vkm"/>
      <w:bookmarkEnd w:id="8"/>
      <w:r>
        <w:rPr>
          <w:rFonts w:ascii="Times New Roman" w:hAnsi="Times New Roman" w:cs="Times New Roman"/>
          <w:color w:val="000000"/>
          <w:sz w:val="24"/>
          <w:szCs w:val="24"/>
        </w:rPr>
        <w:t xml:space="preserve">Hemograma completo, testosterona, testosterona livre calculada, SHBG, LH, FSH, estradiol, glicemia, insulina, HOMA-IR, HbA1C, </w:t>
      </w:r>
      <w:r w:rsidRPr="00045169">
        <w:rPr>
          <w:rFonts w:ascii="Times New Roman" w:hAnsi="Times New Roman" w:cs="Times New Roman"/>
          <w:color w:val="000000"/>
          <w:sz w:val="24"/>
          <w:szCs w:val="24"/>
        </w:rPr>
        <w:t xml:space="preserve">lípides, PCR, ferritina, TNF-α, IL-6 e ADMA nos tempos basal, 6, 12 e 18 meses. </w:t>
      </w:r>
      <w:r w:rsidRPr="00045169">
        <w:rPr>
          <w:rFonts w:ascii="Times New Roman" w:hAnsi="Times New Roman" w:cs="Times New Roman"/>
          <w:sz w:val="24"/>
          <w:szCs w:val="24"/>
        </w:rPr>
        <w:t xml:space="preserve">A resistência à insulina (RI) será mensurada através do </w:t>
      </w:r>
      <w:proofErr w:type="spellStart"/>
      <w:r w:rsidRPr="00045169">
        <w:rPr>
          <w:rFonts w:ascii="Times New Roman" w:hAnsi="Times New Roman" w:cs="Times New Roman"/>
          <w:i/>
          <w:iCs/>
          <w:sz w:val="24"/>
          <w:szCs w:val="24"/>
        </w:rPr>
        <w:t>Homeostatic</w:t>
      </w:r>
      <w:proofErr w:type="spellEnd"/>
      <w:r w:rsidRPr="00045169">
        <w:rPr>
          <w:rFonts w:ascii="Times New Roman" w:hAnsi="Times New Roman" w:cs="Times New Roman"/>
          <w:i/>
          <w:iCs/>
          <w:sz w:val="24"/>
          <w:szCs w:val="24"/>
        </w:rPr>
        <w:t xml:space="preserve"> Model Assessment </w:t>
      </w:r>
      <w:proofErr w:type="spellStart"/>
      <w:r w:rsidRPr="00045169">
        <w:rPr>
          <w:rFonts w:ascii="Times New Roman" w:hAnsi="Times New Roman" w:cs="Times New Roman"/>
          <w:i/>
          <w:iCs/>
          <w:sz w:val="24"/>
          <w:szCs w:val="24"/>
        </w:rPr>
        <w:t>of</w:t>
      </w:r>
      <w:proofErr w:type="spellEnd"/>
      <w:r w:rsidRPr="00045169">
        <w:rPr>
          <w:rFonts w:ascii="Times New Roman" w:hAnsi="Times New Roman" w:cs="Times New Roman"/>
          <w:i/>
          <w:iCs/>
          <w:sz w:val="24"/>
          <w:szCs w:val="24"/>
        </w:rPr>
        <w:t xml:space="preserve"> </w:t>
      </w:r>
      <w:proofErr w:type="spellStart"/>
      <w:r w:rsidRPr="00045169">
        <w:rPr>
          <w:rFonts w:ascii="Times New Roman" w:hAnsi="Times New Roman" w:cs="Times New Roman"/>
          <w:i/>
          <w:iCs/>
          <w:sz w:val="24"/>
          <w:szCs w:val="24"/>
        </w:rPr>
        <w:t>Insulin</w:t>
      </w:r>
      <w:proofErr w:type="spellEnd"/>
      <w:r w:rsidRPr="00045169">
        <w:rPr>
          <w:rFonts w:ascii="Times New Roman" w:hAnsi="Times New Roman" w:cs="Times New Roman"/>
          <w:i/>
          <w:iCs/>
          <w:sz w:val="24"/>
          <w:szCs w:val="24"/>
        </w:rPr>
        <w:t xml:space="preserve"> </w:t>
      </w:r>
      <w:proofErr w:type="spellStart"/>
      <w:r w:rsidRPr="00045169">
        <w:rPr>
          <w:rFonts w:ascii="Times New Roman" w:hAnsi="Times New Roman" w:cs="Times New Roman"/>
          <w:i/>
          <w:iCs/>
          <w:sz w:val="24"/>
          <w:szCs w:val="24"/>
        </w:rPr>
        <w:t>Resistance</w:t>
      </w:r>
      <w:proofErr w:type="spellEnd"/>
      <w:r w:rsidRPr="00045169">
        <w:rPr>
          <w:rFonts w:ascii="Times New Roman" w:hAnsi="Times New Roman" w:cs="Times New Roman"/>
          <w:i/>
          <w:iCs/>
          <w:sz w:val="24"/>
          <w:szCs w:val="24"/>
        </w:rPr>
        <w:t xml:space="preserve"> </w:t>
      </w:r>
      <w:r w:rsidRPr="00045169">
        <w:rPr>
          <w:rFonts w:ascii="Times New Roman" w:hAnsi="Times New Roman" w:cs="Times New Roman"/>
          <w:sz w:val="24"/>
          <w:szCs w:val="24"/>
        </w:rPr>
        <w:t xml:space="preserve">(HOMA1-IR). O ponto de corte para RI e síndrome metabólica (SM) será aquele já validado para a população brasileira, sendo considerado RI quando HOMA1-IR &gt;2,17 e SM se HOMA1-IR &gt; 2,3 </w:t>
      </w:r>
      <w:r w:rsidRPr="00045169">
        <w:rPr>
          <w:rFonts w:ascii="Times New Roman" w:hAnsi="Times New Roman" w:cs="Times New Roman"/>
          <w:color w:val="000000"/>
          <w:sz w:val="24"/>
          <w:szCs w:val="24"/>
        </w:rPr>
        <w:t>(</w:t>
      </w:r>
      <w:proofErr w:type="spellStart"/>
      <w:r w:rsidRPr="00045169">
        <w:rPr>
          <w:rFonts w:ascii="Times New Roman" w:hAnsi="Times New Roman" w:cs="Times New Roman"/>
          <w:color w:val="000000"/>
          <w:sz w:val="24"/>
          <w:szCs w:val="24"/>
        </w:rPr>
        <w:t>Geloneze</w:t>
      </w:r>
      <w:proofErr w:type="spellEnd"/>
      <w:r w:rsidRPr="00045169">
        <w:rPr>
          <w:rFonts w:ascii="Times New Roman" w:hAnsi="Times New Roman" w:cs="Times New Roman"/>
          <w:color w:val="000000"/>
          <w:sz w:val="24"/>
          <w:szCs w:val="24"/>
        </w:rPr>
        <w:t xml:space="preserve"> et al., 2009).</w:t>
      </w:r>
    </w:p>
    <w:p w14:paraId="42B400CF" w14:textId="77777777" w:rsidR="00394A06" w:rsidRPr="000D3064" w:rsidRDefault="00394A06" w:rsidP="00394A06">
      <w:pPr>
        <w:pStyle w:val="Corpodetexto"/>
        <w:spacing w:line="360" w:lineRule="auto"/>
        <w:ind w:right="388"/>
      </w:pPr>
      <w:bookmarkStart w:id="9" w:name="_Hlk133837401"/>
      <w:r w:rsidRPr="000D3064">
        <w:t xml:space="preserve">As amostras de sangue (plasma e soro) periférico, total de 8 mL, serão obtidas por punção da veia antecubital de participantes </w:t>
      </w:r>
      <w:bookmarkEnd w:id="9"/>
      <w:r w:rsidRPr="000D3064">
        <w:t xml:space="preserve">do estudo por </w:t>
      </w:r>
      <w:bookmarkStart w:id="10" w:name="_Hlk133837514"/>
      <w:r w:rsidRPr="000D3064">
        <w:t>equipe de enfermagem ou biomédica no ambulatório do NTU, após 10-12 horas de jejum</w:t>
      </w:r>
      <w:bookmarkEnd w:id="10"/>
      <w:r w:rsidRPr="000D3064">
        <w:t xml:space="preserve">, para realização da avaliação bioquímica. Profissionais que farão a coleta de material biológico estarão devidamente paramentados com equipamentos de proteção individual (EPIs), de acordo com as normas de biossegurança, utilizando luvas, máscaras e jaleco. Para a coleta de sangue, serão utilizadas agulhas e seringas estéreis, e o local da punção será esterilizado com álcool 70o. </w:t>
      </w:r>
      <w:r w:rsidRPr="00294D40">
        <w:rPr>
          <w:color w:val="FF0000"/>
        </w:rPr>
        <w:t>A coleta será realizada no Centro de Diabetes UNIFESP, localizado à Rua Estado de Israel, 639, Vila Clementino, São Paulo, SP</w:t>
      </w:r>
      <w:r w:rsidRPr="000D3064">
        <w:t xml:space="preserve">. Os exames laboratoriais serão analisados em colaboração com o </w:t>
      </w:r>
      <w:bookmarkStart w:id="11" w:name="_Hlk133837846"/>
      <w:bookmarkStart w:id="12" w:name="_Hlk133838021"/>
      <w:r w:rsidRPr="000D3064">
        <w:t>Laboratório de Endocrinologia Molecular e Translacional (LEMT) da Escola Paulista de Medicina da UNIFESP</w:t>
      </w:r>
      <w:bookmarkEnd w:id="11"/>
      <w:r w:rsidRPr="000D3064">
        <w:t xml:space="preserve"> </w:t>
      </w:r>
      <w:bookmarkEnd w:id="12"/>
      <w:r w:rsidRPr="000D3064">
        <w:t xml:space="preserve">e o Laboratório Central Do Hospital São Paulo (HSP). </w:t>
      </w:r>
      <w:bookmarkStart w:id="13" w:name="_Hlk133837672"/>
      <w:r w:rsidRPr="000D3064">
        <w:t xml:space="preserve">Os tubos com as amostras serão transportados em recipiente rígido e isotérmico, com gelo e controle de temperatura (de 2o a 8°c). </w:t>
      </w:r>
      <w:bookmarkStart w:id="14" w:name="_Hlk133837783"/>
      <w:r w:rsidRPr="000D3064">
        <w:t xml:space="preserve">as amostras de soro poderão ser armazenadas </w:t>
      </w:r>
      <w:r w:rsidRPr="000D3064">
        <w:lastRenderedPageBreak/>
        <w:t>em freezer (- 20°c) até o momento da avaliação, por até 12 meses</w:t>
      </w:r>
      <w:bookmarkEnd w:id="13"/>
      <w:bookmarkEnd w:id="14"/>
      <w:r w:rsidRPr="000D3064">
        <w:t>, para que sejam otimizadas as análises nos mesmos kits e ensaios de dosagem hormonal em blocos de 24, 48 ou 96 testes, reduzindo-se, assim, a variabilidade interensaios (precisão intermediária).</w:t>
      </w:r>
    </w:p>
    <w:p w14:paraId="0E8FDDD8" w14:textId="77777777" w:rsidR="00394A06" w:rsidRPr="000D3064" w:rsidRDefault="00394A06" w:rsidP="00394A06">
      <w:pPr>
        <w:pStyle w:val="Corpodetexto"/>
        <w:spacing w:line="360" w:lineRule="auto"/>
        <w:ind w:right="388"/>
      </w:pPr>
      <w:bookmarkStart w:id="15" w:name="_Hlk133838135"/>
      <w:r w:rsidRPr="000D3064">
        <w:t xml:space="preserve">As amostras de soro não serão armazenadas para outros fins de pesquisa, além do previsto no projeto de doutorado. Concluída a análise bioquímica, realizada a defesa de tese e publicados os artigos com os resultados obtidos, sangue ou soros restantes serão descartados na forma recomendada pelas autoridades sanitárias, e o material de coleta, em coletor de materiais perfuro cortantes (lixo amarelo) tipo descarpack. </w:t>
      </w:r>
    </w:p>
    <w:bookmarkEnd w:id="15"/>
    <w:p w14:paraId="2DD0EA29" w14:textId="77777777" w:rsidR="00394A06" w:rsidRDefault="00394A06">
      <w:pPr>
        <w:spacing w:after="0" w:line="360" w:lineRule="auto"/>
        <w:jc w:val="both"/>
        <w:rPr>
          <w:rFonts w:ascii="Times New Roman" w:hAnsi="Times New Roman" w:cs="Times New Roman"/>
          <w:sz w:val="24"/>
          <w:szCs w:val="24"/>
        </w:rPr>
      </w:pPr>
    </w:p>
    <w:p w14:paraId="3CAFBF4D" w14:textId="77777777" w:rsidR="003F2C39" w:rsidRDefault="003F2C39">
      <w:pPr>
        <w:spacing w:after="0" w:line="360" w:lineRule="auto"/>
        <w:jc w:val="both"/>
        <w:rPr>
          <w:rFonts w:ascii="Times New Roman" w:hAnsi="Times New Roman" w:cs="Times New Roman"/>
          <w:sz w:val="24"/>
          <w:szCs w:val="24"/>
        </w:rPr>
      </w:pPr>
    </w:p>
    <w:p w14:paraId="3D4AB62E" w14:textId="77777777" w:rsidR="003F2C39" w:rsidRDefault="00000000" w:rsidP="00045169">
      <w:pPr>
        <w:pStyle w:val="PargrafodaLista"/>
        <w:numPr>
          <w:ilvl w:val="1"/>
          <w:numId w:val="1"/>
        </w:numPr>
        <w:spacing w:after="0" w:line="360" w:lineRule="auto"/>
        <w:jc w:val="both"/>
        <w:rPr>
          <w:rFonts w:ascii="Times New Roman" w:hAnsi="Times New Roman" w:cs="Times New Roman"/>
          <w:b/>
          <w:color w:val="000000"/>
          <w:sz w:val="24"/>
          <w:szCs w:val="24"/>
        </w:rPr>
      </w:pPr>
      <w:r w:rsidRPr="00045169">
        <w:rPr>
          <w:rFonts w:ascii="Times New Roman" w:hAnsi="Times New Roman" w:cs="Times New Roman"/>
          <w:b/>
          <w:color w:val="000000"/>
          <w:sz w:val="24"/>
          <w:szCs w:val="24"/>
        </w:rPr>
        <w:t xml:space="preserve">Avaliação da Função Endotelial – Tonometria Arterial Periférica (PAT): </w:t>
      </w:r>
    </w:p>
    <w:p w14:paraId="763BC7F1" w14:textId="77777777" w:rsidR="003F2C39" w:rsidRDefault="00000000">
      <w:pPr>
        <w:spacing w:after="160" w:line="360" w:lineRule="auto"/>
        <w:jc w:val="both"/>
        <w:rPr>
          <w:rFonts w:ascii="Times New Roman" w:hAnsi="Times New Roman" w:cs="Times New Roman"/>
          <w:color w:val="000000" w:themeColor="text1"/>
          <w:sz w:val="24"/>
          <w:szCs w:val="24"/>
        </w:rPr>
      </w:pPr>
      <w:r w:rsidRPr="00045169">
        <w:rPr>
          <w:rFonts w:ascii="Times New Roman" w:hAnsi="Times New Roman" w:cs="Times New Roman"/>
          <w:color w:val="000000"/>
          <w:sz w:val="24"/>
          <w:szCs w:val="24"/>
        </w:rPr>
        <w:t>A avaliação de função endotelial dos usuários será feita pela medida da tonometria arterial periférica (PAT), utilizando-se do equipamento</w:t>
      </w:r>
      <w:r w:rsidRPr="00045169">
        <w:rPr>
          <w:rFonts w:ascii="Times New Roman" w:hAnsi="Times New Roman" w:cs="Times New Roman"/>
          <w:b/>
          <w:color w:val="000000"/>
          <w:sz w:val="24"/>
          <w:szCs w:val="24"/>
        </w:rPr>
        <w:t xml:space="preserve"> </w:t>
      </w:r>
      <w:proofErr w:type="spellStart"/>
      <w:r w:rsidRPr="00045169">
        <w:rPr>
          <w:rFonts w:ascii="Times New Roman" w:hAnsi="Times New Roman" w:cs="Times New Roman"/>
          <w:color w:val="000000"/>
          <w:sz w:val="24"/>
          <w:szCs w:val="24"/>
        </w:rPr>
        <w:t>EndoPAT</w:t>
      </w:r>
      <w:proofErr w:type="spellEnd"/>
      <w:r w:rsidRPr="00045169">
        <w:rPr>
          <w:rFonts w:ascii="Times New Roman" w:hAnsi="Times New Roman" w:cs="Times New Roman"/>
          <w:color w:val="000000"/>
          <w:sz w:val="24"/>
          <w:szCs w:val="24"/>
        </w:rPr>
        <w:t xml:space="preserve"> – 2000 (versão 3.4.4; Itamar Medical, Israel) medindo variações na amplitude da onda de pulso digital, em resposta à hiperemia reativa. A presença de disfunção endotelial será determinada se RHI = 1,67 (Bonetti et al., 2004). O estudo será realizado </w:t>
      </w:r>
      <w:r w:rsidRPr="00045169">
        <w:rPr>
          <w:rFonts w:ascii="Times New Roman" w:hAnsi="Times New Roman" w:cs="Times New Roman"/>
          <w:color w:val="000000" w:themeColor="text1"/>
          <w:sz w:val="24"/>
          <w:szCs w:val="24"/>
        </w:rPr>
        <w:t xml:space="preserve">com os usuários vestindo roupas confortáveis, sem joias nas extremidades superiores, com unhas das mãos cortadas e sem ferimentos. </w:t>
      </w:r>
    </w:p>
    <w:p w14:paraId="6E726275" w14:textId="77777777" w:rsidR="003F2C39" w:rsidRDefault="00000000">
      <w:pPr>
        <w:spacing w:after="160" w:line="360" w:lineRule="auto"/>
        <w:jc w:val="both"/>
        <w:rPr>
          <w:rFonts w:ascii="Times New Roman" w:hAnsi="Times New Roman" w:cs="Times New Roman"/>
          <w:b/>
          <w:color w:val="000000"/>
          <w:sz w:val="24"/>
          <w:szCs w:val="24"/>
        </w:rPr>
      </w:pPr>
      <w:r>
        <w:rPr>
          <w:rFonts w:ascii="Times New Roman" w:hAnsi="Times New Roman" w:cs="Times New Roman"/>
          <w:color w:val="000000" w:themeColor="text1"/>
          <w:sz w:val="24"/>
          <w:szCs w:val="24"/>
        </w:rPr>
        <w:t>O usuário será instruído a se deitar em uma maca, o manguito de PA será colocado no braço não dominante (lado estudado</w:t>
      </w:r>
      <w:r w:rsidRPr="00045169">
        <w:rPr>
          <w:rFonts w:ascii="Times New Roman" w:hAnsi="Times New Roman" w:cs="Times New Roman"/>
          <w:color w:val="000000"/>
          <w:sz w:val="24"/>
          <w:szCs w:val="24"/>
        </w:rPr>
        <w:t xml:space="preserve">), 2 cm acima da fossa cubital, enquanto o outro braço servirá como controle (lado controle). Os biossensores serão colocados na ponta de cada dedo indicador. O dispositivo de PAT inclui um </w:t>
      </w:r>
      <w:proofErr w:type="spellStart"/>
      <w:r w:rsidRPr="00045169">
        <w:rPr>
          <w:rFonts w:ascii="Times New Roman" w:hAnsi="Times New Roman" w:cs="Times New Roman"/>
          <w:color w:val="000000"/>
          <w:sz w:val="24"/>
          <w:szCs w:val="24"/>
        </w:rPr>
        <w:t>pletismógrafo</w:t>
      </w:r>
      <w:proofErr w:type="spellEnd"/>
      <w:r w:rsidRPr="00045169">
        <w:rPr>
          <w:rFonts w:ascii="Times New Roman" w:hAnsi="Times New Roman" w:cs="Times New Roman"/>
          <w:color w:val="000000"/>
          <w:sz w:val="24"/>
          <w:szCs w:val="24"/>
        </w:rPr>
        <w:t xml:space="preserve"> pneumático que irá aplicar uma pressão uniforme sobre a superfície distal do dedo, permitindo a medida de alterações no volume arterial pulsátil. Ao longo do estudo, a pressão de enchimento do dispositivo digital será ajustada eletronicamente para 10 mmHg abaixo da PA diastólica. Após um período de 20 minutos de repouso, o usuário em posição supina com ambas as mãos no mesmo nível com apoio confortável, em uma sala quieta e climatizada (21 - 24°C). Os dados serão adquiridos continuamente, batimento a batimento. Após o período de 5 minutos de aquisição das medidas basais da amplitude da onda de pulso (BPA) de cada dedo, o fluxo arterial será interrompido por exatos 5 minutos no lado estudado ao inflar o manguito 60 mmHg acima da pressão sistólica aferida, até no máximo 300 mmHg e não menos que 200 mmHg. Em seguida, o aparelho será abruptamente desinflado para induzir à hiperemia reativa, enquanto os registros da PAT de ambas as mãos irão continuar por pelo menos 5 minutos. O dedo contralateral será utilizado como controle para alterações vasculares sistêmicas durante o teste.</w:t>
      </w:r>
    </w:p>
    <w:p w14:paraId="353810B9" w14:textId="77777777" w:rsidR="003F2C39" w:rsidRDefault="003F2C39">
      <w:pPr>
        <w:spacing w:after="0" w:line="360" w:lineRule="auto"/>
        <w:jc w:val="both"/>
        <w:rPr>
          <w:rFonts w:ascii="Times New Roman" w:hAnsi="Times New Roman" w:cs="Times New Roman"/>
          <w:color w:val="000000"/>
          <w:sz w:val="24"/>
          <w:szCs w:val="24"/>
        </w:rPr>
      </w:pPr>
    </w:p>
    <w:p w14:paraId="42E66A8A" w14:textId="77777777" w:rsidR="003F2C39" w:rsidRDefault="00000000" w:rsidP="00045169">
      <w:pPr>
        <w:pStyle w:val="PargrafodaLista"/>
        <w:numPr>
          <w:ilvl w:val="1"/>
          <w:numId w:val="1"/>
        </w:numPr>
        <w:spacing w:after="0" w:line="360" w:lineRule="auto"/>
        <w:jc w:val="both"/>
        <w:rPr>
          <w:rFonts w:ascii="Times New Roman" w:hAnsi="Times New Roman" w:cs="Times New Roman"/>
          <w:b/>
          <w:color w:val="000000"/>
          <w:sz w:val="24"/>
          <w:szCs w:val="24"/>
        </w:rPr>
      </w:pPr>
      <w:r w:rsidRPr="00045169">
        <w:rPr>
          <w:rFonts w:ascii="Times New Roman" w:hAnsi="Times New Roman" w:cs="Times New Roman"/>
          <w:b/>
          <w:color w:val="000000"/>
          <w:sz w:val="24"/>
          <w:szCs w:val="24"/>
        </w:rPr>
        <w:lastRenderedPageBreak/>
        <w:t>Avaliação de massa óssea e composição corporal por DXA</w:t>
      </w:r>
    </w:p>
    <w:p w14:paraId="1C92081A" w14:textId="77777777"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Os participantes serão submetidos a exame de densitometria óssea e composição corporal com medida de tecido adiposo visceral, por DXA (</w:t>
      </w:r>
      <w:proofErr w:type="spellStart"/>
      <w:r w:rsidRPr="00045169">
        <w:rPr>
          <w:rFonts w:ascii="Times New Roman" w:hAnsi="Times New Roman" w:cs="Times New Roman"/>
          <w:color w:val="000000"/>
          <w:sz w:val="24"/>
          <w:szCs w:val="24"/>
        </w:rPr>
        <w:t>absorciometria</w:t>
      </w:r>
      <w:proofErr w:type="spellEnd"/>
      <w:r w:rsidRPr="00045169">
        <w:rPr>
          <w:rFonts w:ascii="Times New Roman" w:hAnsi="Times New Roman" w:cs="Times New Roman"/>
          <w:color w:val="000000"/>
          <w:sz w:val="24"/>
          <w:szCs w:val="24"/>
        </w:rPr>
        <w:t xml:space="preserve"> por raio-X de dupla energia). O equipamento utilizado será um </w:t>
      </w:r>
      <w:proofErr w:type="spellStart"/>
      <w:r w:rsidRPr="00045169">
        <w:rPr>
          <w:rFonts w:ascii="Times New Roman" w:hAnsi="Times New Roman" w:cs="Times New Roman"/>
          <w:color w:val="000000"/>
          <w:sz w:val="24"/>
          <w:szCs w:val="24"/>
        </w:rPr>
        <w:t>Hologic</w:t>
      </w:r>
      <w:proofErr w:type="spellEnd"/>
      <w:r w:rsidRPr="00045169">
        <w:rPr>
          <w:rFonts w:ascii="Times New Roman" w:hAnsi="Times New Roman" w:cs="Times New Roman"/>
          <w:color w:val="000000"/>
          <w:sz w:val="24"/>
          <w:szCs w:val="24"/>
        </w:rPr>
        <w:t xml:space="preserve"> Wi 4500.</w:t>
      </w:r>
    </w:p>
    <w:p w14:paraId="294D8A5D" w14:textId="77777777" w:rsidR="003F2C39" w:rsidRDefault="003F2C39">
      <w:pPr>
        <w:spacing w:after="0" w:line="360" w:lineRule="auto"/>
        <w:jc w:val="both"/>
        <w:rPr>
          <w:rFonts w:ascii="Times New Roman" w:hAnsi="Times New Roman" w:cs="Times New Roman"/>
          <w:color w:val="000000"/>
          <w:sz w:val="24"/>
          <w:szCs w:val="24"/>
        </w:rPr>
      </w:pPr>
    </w:p>
    <w:p w14:paraId="1EC1DF1D" w14:textId="77777777" w:rsidR="003F2C39" w:rsidRDefault="00000000" w:rsidP="00045169">
      <w:pPr>
        <w:pStyle w:val="PargrafodaLista"/>
        <w:numPr>
          <w:ilvl w:val="1"/>
          <w:numId w:val="1"/>
        </w:numPr>
        <w:spacing w:after="0" w:line="360" w:lineRule="auto"/>
        <w:jc w:val="both"/>
        <w:rPr>
          <w:rFonts w:ascii="Times New Roman" w:hAnsi="Times New Roman" w:cs="Times New Roman"/>
          <w:b/>
          <w:color w:val="000000"/>
          <w:sz w:val="24"/>
          <w:szCs w:val="24"/>
        </w:rPr>
      </w:pPr>
      <w:r w:rsidRPr="00045169">
        <w:rPr>
          <w:rFonts w:ascii="Times New Roman" w:hAnsi="Times New Roman" w:cs="Times New Roman"/>
          <w:b/>
          <w:color w:val="000000"/>
          <w:sz w:val="24"/>
          <w:szCs w:val="24"/>
        </w:rPr>
        <w:t>Avaliação de pressão arterial ambulatorial (MAPA)</w:t>
      </w:r>
    </w:p>
    <w:p w14:paraId="237C99C3" w14:textId="24D88C28"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A avaliação por MAPA (</w:t>
      </w:r>
      <w:proofErr w:type="spellStart"/>
      <w:r w:rsidRPr="00045169">
        <w:rPr>
          <w:rFonts w:ascii="Times New Roman" w:hAnsi="Times New Roman" w:cs="Times New Roman"/>
          <w:color w:val="000000"/>
          <w:sz w:val="24"/>
          <w:szCs w:val="24"/>
        </w:rPr>
        <w:t>Spacelabs</w:t>
      </w:r>
      <w:proofErr w:type="spellEnd"/>
      <w:r w:rsidRPr="00045169">
        <w:rPr>
          <w:rFonts w:ascii="Times New Roman" w:hAnsi="Times New Roman" w:cs="Times New Roman"/>
          <w:color w:val="000000"/>
          <w:sz w:val="24"/>
          <w:szCs w:val="24"/>
        </w:rPr>
        <w:t xml:space="preserve"> Healthcare®</w:t>
      </w:r>
      <w:r>
        <w:rPr>
          <w:rFonts w:ascii="Times New Roman" w:hAnsi="Times New Roman" w:cs="Times New Roman"/>
          <w:color w:val="000000"/>
          <w:sz w:val="24"/>
          <w:szCs w:val="24"/>
        </w:rPr>
        <w:t xml:space="preserve"> ou similar</w:t>
      </w:r>
      <w:r w:rsidRPr="00045169">
        <w:rPr>
          <w:rFonts w:ascii="Times New Roman" w:hAnsi="Times New Roman" w:cs="Times New Roman"/>
          <w:color w:val="000000"/>
          <w:sz w:val="24"/>
          <w:szCs w:val="24"/>
        </w:rPr>
        <w:t xml:space="preserve">) ocorrerá ao início, aos 6 meses, 12 e 18 meses, no fim do estudo, de acordo com o cronograma. </w:t>
      </w:r>
    </w:p>
    <w:p w14:paraId="7E2383DC" w14:textId="77777777" w:rsidR="003F2C39" w:rsidRDefault="003F2C39">
      <w:pPr>
        <w:spacing w:after="0" w:line="360" w:lineRule="auto"/>
        <w:jc w:val="both"/>
        <w:rPr>
          <w:rFonts w:ascii="Times New Roman" w:hAnsi="Times New Roman" w:cs="Times New Roman"/>
          <w:color w:val="000000"/>
          <w:sz w:val="24"/>
          <w:szCs w:val="24"/>
        </w:rPr>
      </w:pPr>
    </w:p>
    <w:p w14:paraId="33868DB4" w14:textId="77777777" w:rsidR="003F2C39" w:rsidRDefault="00000000" w:rsidP="00045169">
      <w:pPr>
        <w:pStyle w:val="PargrafodaLista"/>
        <w:numPr>
          <w:ilvl w:val="1"/>
          <w:numId w:val="1"/>
        </w:numPr>
        <w:spacing w:after="0" w:line="360" w:lineRule="auto"/>
        <w:jc w:val="both"/>
        <w:rPr>
          <w:rFonts w:ascii="Times New Roman" w:hAnsi="Times New Roman" w:cs="Times New Roman"/>
          <w:b/>
          <w:sz w:val="24"/>
          <w:szCs w:val="24"/>
        </w:rPr>
      </w:pPr>
      <w:proofErr w:type="spellStart"/>
      <w:r w:rsidRPr="00045169">
        <w:rPr>
          <w:rFonts w:ascii="Times New Roman" w:hAnsi="Times New Roman" w:cs="Times New Roman"/>
          <w:b/>
          <w:color w:val="000000"/>
          <w:sz w:val="24"/>
          <w:szCs w:val="24"/>
        </w:rPr>
        <w:t>Biorrepositório</w:t>
      </w:r>
      <w:proofErr w:type="spellEnd"/>
    </w:p>
    <w:p w14:paraId="4BF6F2C1" w14:textId="77777777" w:rsidR="003F2C39" w:rsidRDefault="00000000">
      <w:pPr>
        <w:tabs>
          <w:tab w:val="left" w:pos="5040"/>
        </w:tabs>
        <w:spacing w:after="0" w:line="360" w:lineRule="auto"/>
        <w:jc w:val="both"/>
        <w:rPr>
          <w:rFonts w:ascii="Times New Roman" w:hAnsi="Times New Roman" w:cs="Times New Roman"/>
          <w:sz w:val="24"/>
          <w:szCs w:val="24"/>
        </w:rPr>
      </w:pPr>
      <w:r w:rsidRPr="00045169">
        <w:rPr>
          <w:rFonts w:ascii="Times New Roman" w:hAnsi="Times New Roman" w:cs="Times New Roman"/>
          <w:sz w:val="24"/>
          <w:szCs w:val="24"/>
        </w:rPr>
        <w:t xml:space="preserve">Entre o tempo de coleta dos materiais (soro/plasma sanguíneo) e a análise das amostras, haverá a guarda do material para otimização dos ensaios laboratoriais conjuntamente em baterias de 36, 48 ou 96 amostras. Até finalização dos ensaios, todo o material será guardado no Laboratório de Endocrinologia Molecular e Translacional (LEMT) situado na Rua Pedro de Toledo, 669, 11°andar – fundos. O LEMT possui 02 (dois) freezers -70C com gavetas para acomodar tubos de </w:t>
      </w:r>
      <w:proofErr w:type="spellStart"/>
      <w:r w:rsidRPr="00045169">
        <w:rPr>
          <w:rFonts w:ascii="Times New Roman" w:hAnsi="Times New Roman" w:cs="Times New Roman"/>
          <w:sz w:val="24"/>
          <w:szCs w:val="24"/>
        </w:rPr>
        <w:t>Eppendorf</w:t>
      </w:r>
      <w:proofErr w:type="spellEnd"/>
      <w:r w:rsidRPr="00045169">
        <w:rPr>
          <w:rFonts w:ascii="Times New Roman" w:hAnsi="Times New Roman" w:cs="Times New Roman"/>
          <w:sz w:val="24"/>
          <w:szCs w:val="24"/>
        </w:rPr>
        <w:t xml:space="preserve"> em sala específica. As amostras de sangue, obtidas por punção venosa </w:t>
      </w:r>
      <w:proofErr w:type="spellStart"/>
      <w:r w:rsidRPr="00045169">
        <w:rPr>
          <w:rFonts w:ascii="Times New Roman" w:hAnsi="Times New Roman" w:cs="Times New Roman"/>
          <w:sz w:val="24"/>
          <w:szCs w:val="24"/>
        </w:rPr>
        <w:t>antecubital</w:t>
      </w:r>
      <w:proofErr w:type="spellEnd"/>
      <w:r w:rsidRPr="00045169">
        <w:rPr>
          <w:rFonts w:ascii="Times New Roman" w:hAnsi="Times New Roman" w:cs="Times New Roman"/>
          <w:sz w:val="24"/>
          <w:szCs w:val="24"/>
        </w:rPr>
        <w:t xml:space="preserve"> para separação de soro/plasma, ficarão acondicionadas em </w:t>
      </w:r>
      <w:proofErr w:type="spellStart"/>
      <w:r w:rsidRPr="00045169">
        <w:rPr>
          <w:rFonts w:ascii="Times New Roman" w:hAnsi="Times New Roman" w:cs="Times New Roman"/>
          <w:sz w:val="24"/>
          <w:szCs w:val="24"/>
        </w:rPr>
        <w:t>microtubos</w:t>
      </w:r>
      <w:proofErr w:type="spellEnd"/>
      <w:r w:rsidRPr="00045169">
        <w:rPr>
          <w:rFonts w:ascii="Times New Roman" w:hAnsi="Times New Roman" w:cs="Times New Roman"/>
          <w:sz w:val="24"/>
          <w:szCs w:val="24"/>
        </w:rPr>
        <w:t xml:space="preserve"> </w:t>
      </w:r>
      <w:proofErr w:type="spellStart"/>
      <w:r w:rsidRPr="00045169">
        <w:rPr>
          <w:rFonts w:ascii="Times New Roman" w:hAnsi="Times New Roman" w:cs="Times New Roman"/>
          <w:sz w:val="24"/>
          <w:szCs w:val="24"/>
        </w:rPr>
        <w:t>Eppendorf</w:t>
      </w:r>
      <w:proofErr w:type="spellEnd"/>
      <w:r w:rsidRPr="00045169">
        <w:rPr>
          <w:rFonts w:ascii="Times New Roman" w:hAnsi="Times New Roman" w:cs="Times New Roman"/>
          <w:sz w:val="24"/>
          <w:szCs w:val="24"/>
        </w:rPr>
        <w:t xml:space="preserve"> 2mL. O pesquisador responsável pelo </w:t>
      </w:r>
      <w:proofErr w:type="spellStart"/>
      <w:r w:rsidRPr="00045169">
        <w:rPr>
          <w:rFonts w:ascii="Times New Roman" w:hAnsi="Times New Roman" w:cs="Times New Roman"/>
          <w:sz w:val="24"/>
          <w:szCs w:val="24"/>
        </w:rPr>
        <w:t>biorrepositório</w:t>
      </w:r>
      <w:proofErr w:type="spellEnd"/>
      <w:r w:rsidRPr="00045169">
        <w:rPr>
          <w:rFonts w:ascii="Times New Roman" w:hAnsi="Times New Roman" w:cs="Times New Roman"/>
          <w:sz w:val="24"/>
          <w:szCs w:val="24"/>
        </w:rPr>
        <w:t xml:space="preserve"> é o Prof. Dr. Magnus R. Dias da Silva, E-mail: </w:t>
      </w:r>
      <w:hyperlink r:id="rId10">
        <w:r w:rsidRPr="00045169">
          <w:rPr>
            <w:rFonts w:ascii="Times New Roman" w:hAnsi="Times New Roman" w:cs="Times New Roman"/>
            <w:color w:val="000000"/>
            <w:sz w:val="24"/>
            <w:szCs w:val="24"/>
            <w:u w:val="single"/>
          </w:rPr>
          <w:t>mrdsilva@unifesp.br</w:t>
        </w:r>
      </w:hyperlink>
      <w:r w:rsidRPr="00045169">
        <w:rPr>
          <w:rFonts w:ascii="Times New Roman" w:hAnsi="Times New Roman" w:cs="Times New Roman"/>
          <w:color w:val="000000"/>
          <w:sz w:val="24"/>
          <w:szCs w:val="24"/>
        </w:rPr>
        <w:t>, da</w:t>
      </w:r>
      <w:r w:rsidRPr="00045169">
        <w:rPr>
          <w:rFonts w:ascii="Times New Roman" w:hAnsi="Times New Roman" w:cs="Times New Roman"/>
          <w:color w:val="000000"/>
          <w:sz w:val="24"/>
          <w:szCs w:val="24"/>
          <w:u w:val="single"/>
        </w:rPr>
        <w:t xml:space="preserve"> </w:t>
      </w:r>
      <w:r w:rsidRPr="00045169">
        <w:rPr>
          <w:rFonts w:ascii="Times New Roman" w:hAnsi="Times New Roman" w:cs="Times New Roman"/>
          <w:sz w:val="24"/>
          <w:szCs w:val="24"/>
        </w:rPr>
        <w:t xml:space="preserve">Disciplina de Endocrinologia, Departamento de Medicina, sob a chefia do Prof. Dr. Jamil </w:t>
      </w:r>
      <w:proofErr w:type="spellStart"/>
      <w:r w:rsidRPr="00045169">
        <w:rPr>
          <w:rFonts w:ascii="Times New Roman" w:hAnsi="Times New Roman" w:cs="Times New Roman"/>
          <w:sz w:val="24"/>
          <w:szCs w:val="24"/>
        </w:rPr>
        <w:t>Natour</w:t>
      </w:r>
      <w:proofErr w:type="spellEnd"/>
      <w:r w:rsidRPr="00045169">
        <w:rPr>
          <w:rFonts w:ascii="Times New Roman" w:hAnsi="Times New Roman" w:cs="Times New Roman"/>
          <w:sz w:val="24"/>
          <w:szCs w:val="24"/>
        </w:rPr>
        <w:t xml:space="preserve">, E-mail:  </w:t>
      </w:r>
      <w:hyperlink r:id="rId11">
        <w:r w:rsidRPr="00045169">
          <w:rPr>
            <w:rFonts w:ascii="Times New Roman" w:hAnsi="Times New Roman" w:cs="Times New Roman"/>
            <w:color w:val="000000"/>
            <w:sz w:val="24"/>
            <w:szCs w:val="24"/>
            <w:u w:val="single"/>
          </w:rPr>
          <w:t>jnatour@unifesp.br</w:t>
        </w:r>
      </w:hyperlink>
      <w:r w:rsidRPr="00045169">
        <w:rPr>
          <w:rFonts w:ascii="Times New Roman" w:hAnsi="Times New Roman" w:cs="Times New Roman"/>
          <w:color w:val="000000"/>
          <w:sz w:val="24"/>
          <w:szCs w:val="24"/>
        </w:rPr>
        <w:t>. O telefone de contato com o LEMT é (11)</w:t>
      </w:r>
      <w:r w:rsidRPr="00045169">
        <w:rPr>
          <w:rFonts w:ascii="Times New Roman" w:hAnsi="Times New Roman" w:cs="Times New Roman"/>
          <w:sz w:val="24"/>
          <w:szCs w:val="24"/>
        </w:rPr>
        <w:t xml:space="preserve"> 5089-9214 ou Voip 1737.</w:t>
      </w:r>
    </w:p>
    <w:p w14:paraId="5BCBB113" w14:textId="77777777" w:rsidR="003F2C39" w:rsidRDefault="003F2C39">
      <w:pPr>
        <w:spacing w:after="0" w:line="360" w:lineRule="auto"/>
        <w:jc w:val="both"/>
        <w:rPr>
          <w:rFonts w:ascii="Times New Roman" w:hAnsi="Times New Roman" w:cs="Times New Roman"/>
          <w:color w:val="000000"/>
          <w:sz w:val="24"/>
          <w:szCs w:val="24"/>
        </w:rPr>
      </w:pPr>
    </w:p>
    <w:p w14:paraId="30551360" w14:textId="77777777" w:rsidR="003F2C39" w:rsidRDefault="00000000" w:rsidP="00045169">
      <w:pPr>
        <w:pStyle w:val="PargrafodaLista"/>
        <w:numPr>
          <w:ilvl w:val="1"/>
          <w:numId w:val="1"/>
        </w:num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
          <w:color w:val="000000"/>
          <w:sz w:val="24"/>
          <w:szCs w:val="24"/>
        </w:rPr>
        <w:t xml:space="preserve">Análise de desfechos </w:t>
      </w:r>
    </w:p>
    <w:p w14:paraId="4AD50BD0" w14:textId="77777777" w:rsidR="003F2C39" w:rsidRDefault="00000000">
      <w:pPr>
        <w:spacing w:after="0" w:line="360" w:lineRule="auto"/>
        <w:jc w:val="both"/>
        <w:rPr>
          <w:rFonts w:ascii="Times New Roman" w:hAnsi="Times New Roman" w:cs="Times New Roman"/>
          <w:bCs/>
          <w:color w:val="000000"/>
          <w:sz w:val="24"/>
          <w:szCs w:val="24"/>
        </w:rPr>
      </w:pPr>
      <w:r w:rsidRPr="00045169">
        <w:rPr>
          <w:rFonts w:ascii="Times New Roman" w:hAnsi="Times New Roman" w:cs="Times New Roman"/>
          <w:bCs/>
          <w:color w:val="000000"/>
          <w:sz w:val="24"/>
          <w:szCs w:val="24"/>
        </w:rPr>
        <w:t xml:space="preserve">Primários: modificações na pressão arterial pelo MAPA e </w:t>
      </w:r>
      <w:proofErr w:type="spellStart"/>
      <w:r w:rsidRPr="00045169">
        <w:rPr>
          <w:rFonts w:ascii="Times New Roman" w:hAnsi="Times New Roman" w:cs="Times New Roman"/>
          <w:bCs/>
          <w:color w:val="000000"/>
          <w:sz w:val="24"/>
          <w:szCs w:val="24"/>
        </w:rPr>
        <w:t>endovasculares</w:t>
      </w:r>
      <w:proofErr w:type="spellEnd"/>
      <w:r w:rsidRPr="00045169">
        <w:rPr>
          <w:rFonts w:ascii="Times New Roman" w:hAnsi="Times New Roman" w:cs="Times New Roman"/>
          <w:bCs/>
          <w:color w:val="000000"/>
          <w:sz w:val="24"/>
          <w:szCs w:val="24"/>
        </w:rPr>
        <w:t xml:space="preserve"> pelo </w:t>
      </w:r>
      <w:proofErr w:type="spellStart"/>
      <w:r w:rsidRPr="00045169">
        <w:rPr>
          <w:rFonts w:ascii="Times New Roman" w:hAnsi="Times New Roman" w:cs="Times New Roman"/>
          <w:bCs/>
          <w:color w:val="000000"/>
          <w:sz w:val="24"/>
          <w:szCs w:val="24"/>
        </w:rPr>
        <w:t>EndoPAT</w:t>
      </w:r>
      <w:proofErr w:type="spellEnd"/>
      <w:r w:rsidRPr="00045169">
        <w:rPr>
          <w:rFonts w:ascii="Times New Roman" w:hAnsi="Times New Roman" w:cs="Times New Roman"/>
          <w:bCs/>
          <w:color w:val="000000"/>
          <w:sz w:val="24"/>
          <w:szCs w:val="24"/>
        </w:rPr>
        <w:t>.</w:t>
      </w:r>
    </w:p>
    <w:p w14:paraId="6A32FE68" w14:textId="77777777" w:rsidR="003F2C39" w:rsidRDefault="00000000">
      <w:pPr>
        <w:spacing w:after="0" w:line="360" w:lineRule="auto"/>
        <w:jc w:val="both"/>
        <w:rPr>
          <w:rFonts w:ascii="Times New Roman" w:hAnsi="Times New Roman" w:cs="Times New Roman"/>
          <w:color w:val="000000"/>
          <w:sz w:val="24"/>
          <w:szCs w:val="24"/>
        </w:rPr>
      </w:pPr>
      <w:r w:rsidRPr="00045169">
        <w:rPr>
          <w:rFonts w:ascii="Times New Roman" w:hAnsi="Times New Roman" w:cs="Times New Roman"/>
          <w:bCs/>
          <w:color w:val="000000"/>
          <w:sz w:val="24"/>
          <w:szCs w:val="24"/>
        </w:rPr>
        <w:t>Secundários:</w:t>
      </w:r>
      <w:r w:rsidRPr="00045169">
        <w:rPr>
          <w:rFonts w:ascii="Times New Roman" w:hAnsi="Times New Roman" w:cs="Times New Roman"/>
          <w:color w:val="000000"/>
          <w:sz w:val="24"/>
          <w:szCs w:val="24"/>
        </w:rPr>
        <w:t xml:space="preserve"> modificações na composição corporal, nos níveis de lípides, glicemia e marcadores inflamatórios.</w:t>
      </w:r>
    </w:p>
    <w:p w14:paraId="4156BF70" w14:textId="77777777" w:rsidR="003F2C39" w:rsidRDefault="003F2C39">
      <w:pPr>
        <w:spacing w:after="0" w:line="360" w:lineRule="auto"/>
        <w:jc w:val="both"/>
        <w:rPr>
          <w:rFonts w:ascii="Times New Roman" w:hAnsi="Times New Roman" w:cs="Times New Roman"/>
          <w:b/>
          <w:color w:val="000000"/>
          <w:sz w:val="24"/>
          <w:szCs w:val="24"/>
        </w:rPr>
      </w:pPr>
    </w:p>
    <w:p w14:paraId="37FAF57E" w14:textId="77777777" w:rsidR="003F2C39" w:rsidRDefault="00000000" w:rsidP="00045169">
      <w:pPr>
        <w:pStyle w:val="PargrafodaLista"/>
        <w:numPr>
          <w:ilvl w:val="1"/>
          <w:numId w:val="1"/>
        </w:numPr>
        <w:spacing w:after="0" w:line="360" w:lineRule="auto"/>
        <w:jc w:val="both"/>
        <w:rPr>
          <w:rFonts w:ascii="Times New Roman" w:hAnsi="Times New Roman" w:cs="Times New Roman"/>
          <w:b/>
          <w:sz w:val="24"/>
          <w:szCs w:val="24"/>
        </w:rPr>
      </w:pPr>
      <w:r>
        <w:rPr>
          <w:rFonts w:ascii="Times New Roman" w:hAnsi="Times New Roman" w:cs="Times New Roman"/>
          <w:b/>
          <w:color w:val="000000"/>
          <w:sz w:val="24"/>
          <w:szCs w:val="24"/>
        </w:rPr>
        <w:t>Análise</w:t>
      </w:r>
      <w:r w:rsidRPr="00045169">
        <w:rPr>
          <w:rFonts w:ascii="Times New Roman" w:hAnsi="Times New Roman" w:cs="Times New Roman"/>
          <w:b/>
          <w:sz w:val="24"/>
          <w:szCs w:val="24"/>
        </w:rPr>
        <w:t xml:space="preserve"> estatística</w:t>
      </w:r>
    </w:p>
    <w:p w14:paraId="31A8B964" w14:textId="77777777" w:rsidR="003F2C3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 dados coletados serão inseridos em um banco de dados utilizando-se Microsoft Excel e analisados pelo programa SPSS. Análise descritiva utilizará cálculo de média de desvio-padrão. Para resultados com distribuição normal, será utilizado o teste t de </w:t>
      </w:r>
      <w:proofErr w:type="spellStart"/>
      <w:r w:rsidRPr="00045169">
        <w:rPr>
          <w:rFonts w:ascii="Times New Roman" w:hAnsi="Times New Roman" w:cs="Times New Roman"/>
          <w:sz w:val="24"/>
          <w:szCs w:val="24"/>
        </w:rPr>
        <w:t>Student</w:t>
      </w:r>
      <w:proofErr w:type="spellEnd"/>
      <w:r w:rsidRPr="00045169">
        <w:rPr>
          <w:rFonts w:ascii="Times New Roman" w:hAnsi="Times New Roman" w:cs="Times New Roman"/>
          <w:sz w:val="24"/>
          <w:szCs w:val="24"/>
        </w:rPr>
        <w:t xml:space="preserve"> para dados pareados e, para dados com distribuição não normal, aplicaremos o teste de Mann-Whitney para dados pareados.</w:t>
      </w:r>
    </w:p>
    <w:p w14:paraId="30DD0A45" w14:textId="77777777" w:rsidR="003F2C39" w:rsidRDefault="003F2C39">
      <w:pPr>
        <w:spacing w:after="0" w:line="360" w:lineRule="auto"/>
        <w:jc w:val="both"/>
        <w:rPr>
          <w:rFonts w:ascii="Times New Roman" w:hAnsi="Times New Roman" w:cs="Times New Roman"/>
          <w:sz w:val="24"/>
          <w:szCs w:val="24"/>
        </w:rPr>
      </w:pPr>
    </w:p>
    <w:p w14:paraId="2ADFC3D9" w14:textId="77777777" w:rsidR="003F2C39" w:rsidRDefault="00000000" w:rsidP="00045169">
      <w:pPr>
        <w:pStyle w:val="PargrafodaLista"/>
        <w:numPr>
          <w:ilvl w:val="1"/>
          <w:numId w:val="1"/>
        </w:numPr>
        <w:spacing w:after="0" w:line="360" w:lineRule="auto"/>
        <w:jc w:val="both"/>
        <w:rPr>
          <w:rFonts w:ascii="Times New Roman" w:hAnsi="Times New Roman" w:cs="Times New Roman"/>
          <w:b/>
          <w:sz w:val="24"/>
          <w:szCs w:val="24"/>
        </w:rPr>
      </w:pPr>
      <w:r w:rsidRPr="00045169">
        <w:rPr>
          <w:rFonts w:ascii="Times New Roman" w:hAnsi="Times New Roman" w:cs="Times New Roman"/>
          <w:b/>
          <w:sz w:val="24"/>
          <w:szCs w:val="24"/>
        </w:rPr>
        <w:t xml:space="preserve"> </w:t>
      </w:r>
      <w:r w:rsidRPr="00045169">
        <w:rPr>
          <w:rFonts w:ascii="Times New Roman" w:hAnsi="Times New Roman" w:cs="Times New Roman"/>
          <w:b/>
          <w:color w:val="000000"/>
          <w:sz w:val="24"/>
          <w:szCs w:val="24"/>
        </w:rPr>
        <w:t>Aspectos</w:t>
      </w:r>
      <w:r w:rsidRPr="00045169">
        <w:rPr>
          <w:rFonts w:ascii="Times New Roman" w:hAnsi="Times New Roman" w:cs="Times New Roman"/>
          <w:b/>
          <w:sz w:val="24"/>
          <w:szCs w:val="24"/>
        </w:rPr>
        <w:t xml:space="preserve"> de segurança dos participantes</w:t>
      </w:r>
    </w:p>
    <w:p w14:paraId="656919F2" w14:textId="77777777" w:rsidR="003F2C39" w:rsidRDefault="00000000">
      <w:pPr>
        <w:spacing w:after="0" w:line="360" w:lineRule="auto"/>
        <w:jc w:val="both"/>
        <w:rPr>
          <w:rFonts w:ascii="Times New Roman" w:hAnsi="Times New Roman" w:cs="Times New Roman"/>
          <w:sz w:val="24"/>
          <w:szCs w:val="24"/>
        </w:rPr>
      </w:pPr>
      <w:r w:rsidRPr="00045169">
        <w:rPr>
          <w:rFonts w:ascii="Times New Roman" w:hAnsi="Times New Roman" w:cs="Times New Roman"/>
          <w:sz w:val="24"/>
          <w:szCs w:val="24"/>
        </w:rPr>
        <w:lastRenderedPageBreak/>
        <w:t>Os participantes do estudo serão submetidos a consultas clínicas trimestrais, alternando entre presenciais e por telemedicina. Nessas consultas, serão realizadas perguntas sobre sintomas gerais e efeitos da medicação, incluindo possíveis efeitos adversos medicamentosos.  As consultas presenciais incluirão e exame físico dos participantes. Além disso, os participantes, mesmo fora dos tempos regulares de avaliação, uma vez tendo o contato dos pesquisadores (telefone/</w:t>
      </w:r>
      <w:proofErr w:type="spellStart"/>
      <w:r w:rsidRPr="00045169">
        <w:rPr>
          <w:rFonts w:ascii="Times New Roman" w:hAnsi="Times New Roman" w:cs="Times New Roman"/>
          <w:sz w:val="24"/>
          <w:szCs w:val="24"/>
        </w:rPr>
        <w:t>whatsapp</w:t>
      </w:r>
      <w:proofErr w:type="spellEnd"/>
      <w:r w:rsidRPr="00045169">
        <w:rPr>
          <w:rFonts w:ascii="Times New Roman" w:hAnsi="Times New Roman" w:cs="Times New Roman"/>
          <w:sz w:val="24"/>
          <w:szCs w:val="24"/>
        </w:rPr>
        <w:t>/</w:t>
      </w:r>
      <w:proofErr w:type="spellStart"/>
      <w:r w:rsidRPr="00045169">
        <w:rPr>
          <w:rFonts w:ascii="Times New Roman" w:hAnsi="Times New Roman" w:cs="Times New Roman"/>
          <w:sz w:val="24"/>
          <w:szCs w:val="24"/>
        </w:rPr>
        <w:t>email</w:t>
      </w:r>
      <w:proofErr w:type="spellEnd"/>
      <w:r w:rsidRPr="00045169">
        <w:rPr>
          <w:rFonts w:ascii="Times New Roman" w:hAnsi="Times New Roman" w:cs="Times New Roman"/>
          <w:sz w:val="24"/>
          <w:szCs w:val="24"/>
        </w:rPr>
        <w:t xml:space="preserve">), poderão se comunicar e, caso seja necessária, uma avaliação clínica por telemedicina ou presencial poderá ser realizada, de acordo com a necessidade e o julgamento clínico da equipe de pesquisadores. Exames laboratoriais para a avaliação dos efeitos da testosterona serão realizados semestralmente. Cada participante terá seu prontuário médico, para registro do efeito da </w:t>
      </w:r>
      <w:proofErr w:type="spellStart"/>
      <w:r w:rsidRPr="00045169">
        <w:rPr>
          <w:rFonts w:ascii="Times New Roman" w:hAnsi="Times New Roman" w:cs="Times New Roman"/>
          <w:sz w:val="24"/>
          <w:szCs w:val="24"/>
        </w:rPr>
        <w:t>hormonização</w:t>
      </w:r>
      <w:proofErr w:type="spellEnd"/>
      <w:r w:rsidRPr="00045169">
        <w:rPr>
          <w:rFonts w:ascii="Times New Roman" w:hAnsi="Times New Roman" w:cs="Times New Roman"/>
          <w:sz w:val="24"/>
          <w:szCs w:val="24"/>
        </w:rPr>
        <w:t xml:space="preserve"> com testosterona. O recrutamento será encerrado tão logo seja atingida a amostra necessária para o estudo (150 participantes), e os participantes serão seguidos por 18 meses. </w:t>
      </w:r>
    </w:p>
    <w:p w14:paraId="40EDCB0B" w14:textId="77777777" w:rsidR="00E62A0B" w:rsidRPr="00E62A0B" w:rsidRDefault="00E62A0B" w:rsidP="00E62A0B">
      <w:pPr>
        <w:spacing w:line="360" w:lineRule="auto"/>
        <w:rPr>
          <w:rFonts w:ascii="Times New Roman" w:hAnsi="Times New Roman" w:cs="Times New Roman"/>
          <w:color w:val="FF0000"/>
          <w:sz w:val="24"/>
          <w:szCs w:val="24"/>
        </w:rPr>
      </w:pPr>
      <w:r w:rsidRPr="00E62A0B">
        <w:rPr>
          <w:rFonts w:ascii="Times New Roman" w:hAnsi="Times New Roman" w:cs="Times New Roman"/>
          <w:color w:val="FF0000"/>
          <w:sz w:val="24"/>
          <w:szCs w:val="24"/>
        </w:rPr>
        <w:t>Todo participante da pesquisa disporá de um canal de contato (número de telefone celular/</w:t>
      </w:r>
      <w:proofErr w:type="spellStart"/>
      <w:r w:rsidRPr="00E62A0B">
        <w:rPr>
          <w:rFonts w:ascii="Times New Roman" w:hAnsi="Times New Roman" w:cs="Times New Roman"/>
          <w:color w:val="FF0000"/>
          <w:sz w:val="24"/>
          <w:szCs w:val="24"/>
        </w:rPr>
        <w:t>whatsapp</w:t>
      </w:r>
      <w:proofErr w:type="spellEnd"/>
      <w:r w:rsidRPr="00E62A0B">
        <w:rPr>
          <w:rFonts w:ascii="Times New Roman" w:hAnsi="Times New Roman" w:cs="Times New Roman"/>
          <w:color w:val="FF0000"/>
          <w:sz w:val="24"/>
          <w:szCs w:val="24"/>
        </w:rPr>
        <w:t>) com o responsável pela pesquisa, Dr. João Guimarães Ferreira. Havendo qualquer questão relacionada às suas condições de saúde, ele poderá realizar uma consulta online ou, caso necessário, após com agendamento, presencial. Caso haja necessidade de atendimento de urgência, será orientado a proceder dessa forma, buscando a unidade de pronto-atendimento (UPA) mais próxima de seu local de residência ou trabalho.</w:t>
      </w:r>
    </w:p>
    <w:p w14:paraId="48500572" w14:textId="77777777" w:rsidR="00E62A0B" w:rsidRDefault="00E62A0B">
      <w:pPr>
        <w:spacing w:after="0" w:line="360" w:lineRule="auto"/>
        <w:jc w:val="both"/>
        <w:rPr>
          <w:rFonts w:ascii="Times New Roman" w:hAnsi="Times New Roman" w:cs="Times New Roman"/>
          <w:b/>
          <w:sz w:val="24"/>
          <w:szCs w:val="24"/>
        </w:rPr>
      </w:pPr>
    </w:p>
    <w:p w14:paraId="0C154903" w14:textId="77777777" w:rsidR="003F2C39" w:rsidRDefault="003F2C39">
      <w:pPr>
        <w:spacing w:after="0" w:line="360" w:lineRule="auto"/>
        <w:jc w:val="both"/>
        <w:rPr>
          <w:rFonts w:ascii="Times New Roman" w:hAnsi="Times New Roman" w:cs="Times New Roman"/>
          <w:sz w:val="24"/>
          <w:szCs w:val="24"/>
        </w:rPr>
      </w:pPr>
    </w:p>
    <w:p w14:paraId="279EA161" w14:textId="77777777" w:rsidR="003F2C39" w:rsidRDefault="00000000">
      <w:pPr>
        <w:numPr>
          <w:ilvl w:val="0"/>
          <w:numId w:val="1"/>
        </w:numPr>
        <w:spacing w:after="0" w:line="360" w:lineRule="auto"/>
        <w:jc w:val="both"/>
        <w:rPr>
          <w:rFonts w:ascii="Times New Roman" w:hAnsi="Times New Roman" w:cs="Times New Roman"/>
          <w:b/>
          <w:sz w:val="24"/>
          <w:szCs w:val="24"/>
        </w:rPr>
      </w:pPr>
      <w:r w:rsidRPr="00045169">
        <w:rPr>
          <w:rFonts w:ascii="Times New Roman" w:hAnsi="Times New Roman" w:cs="Times New Roman"/>
          <w:b/>
          <w:color w:val="000000"/>
          <w:sz w:val="24"/>
          <w:szCs w:val="24"/>
        </w:rPr>
        <w:t>CRONOGRAMA</w:t>
      </w:r>
      <w:r w:rsidRPr="00045169">
        <w:rPr>
          <w:rFonts w:ascii="Times New Roman" w:hAnsi="Times New Roman" w:cs="Times New Roman"/>
          <w:b/>
          <w:sz w:val="24"/>
          <w:szCs w:val="24"/>
        </w:rPr>
        <w:t xml:space="preserve"> DO ESTUDO</w:t>
      </w:r>
    </w:p>
    <w:p w14:paraId="0BA1BCF1" w14:textId="77777777" w:rsidR="003F2C39" w:rsidRDefault="003F2C39">
      <w:pPr>
        <w:spacing w:after="0" w:line="360" w:lineRule="auto"/>
        <w:jc w:val="both"/>
        <w:rPr>
          <w:rFonts w:ascii="Times New Roman" w:hAnsi="Times New Roman" w:cs="Times New Roman"/>
          <w:b/>
          <w:sz w:val="24"/>
          <w:szCs w:val="24"/>
        </w:rPr>
      </w:pPr>
    </w:p>
    <w:tbl>
      <w:tblPr>
        <w:tblW w:w="9033" w:type="dxa"/>
        <w:tblInd w:w="-113" w:type="dxa"/>
        <w:tblLayout w:type="fixed"/>
        <w:tblLook w:val="0400" w:firstRow="0" w:lastRow="0" w:firstColumn="0" w:lastColumn="0" w:noHBand="0" w:noVBand="1"/>
      </w:tblPr>
      <w:tblGrid>
        <w:gridCol w:w="3771"/>
        <w:gridCol w:w="871"/>
        <w:gridCol w:w="653"/>
        <w:gridCol w:w="706"/>
        <w:gridCol w:w="707"/>
        <w:gridCol w:w="775"/>
        <w:gridCol w:w="775"/>
        <w:gridCol w:w="775"/>
      </w:tblGrid>
      <w:tr w:rsidR="003F2C39" w14:paraId="6B63039F" w14:textId="77777777">
        <w:tc>
          <w:tcPr>
            <w:tcW w:w="3770" w:type="dxa"/>
            <w:tcBorders>
              <w:top w:val="single" w:sz="4" w:space="0" w:color="000000"/>
              <w:left w:val="single" w:sz="4" w:space="0" w:color="000000"/>
              <w:bottom w:val="single" w:sz="4" w:space="0" w:color="000000"/>
              <w:right w:val="single" w:sz="4" w:space="0" w:color="000000"/>
            </w:tcBorders>
          </w:tcPr>
          <w:p w14:paraId="56DA0D97" w14:textId="77777777" w:rsidR="003F2C39" w:rsidRDefault="00000000" w:rsidP="00045169">
            <w:pPr>
              <w:widowControl w:val="0"/>
              <w:spacing w:line="360" w:lineRule="auto"/>
              <w:jc w:val="both"/>
              <w:rPr>
                <w:rFonts w:ascii="Times New Roman" w:hAnsi="Times New Roman" w:cs="Times New Roman"/>
                <w:b/>
                <w:sz w:val="24"/>
                <w:szCs w:val="24"/>
              </w:rPr>
            </w:pPr>
            <w:r w:rsidRPr="00045169">
              <w:rPr>
                <w:rFonts w:ascii="Times New Roman" w:hAnsi="Times New Roman" w:cs="Times New Roman"/>
                <w:b/>
                <w:sz w:val="24"/>
                <w:szCs w:val="24"/>
              </w:rPr>
              <w:t>Etapa / Tempo (meses)</w:t>
            </w:r>
          </w:p>
        </w:tc>
        <w:tc>
          <w:tcPr>
            <w:tcW w:w="871" w:type="dxa"/>
            <w:tcBorders>
              <w:top w:val="single" w:sz="4" w:space="0" w:color="000000"/>
              <w:left w:val="single" w:sz="4" w:space="0" w:color="000000"/>
              <w:bottom w:val="single" w:sz="4" w:space="0" w:color="000000"/>
              <w:right w:val="single" w:sz="4" w:space="0" w:color="000000"/>
            </w:tcBorders>
          </w:tcPr>
          <w:p w14:paraId="064841DC" w14:textId="77777777" w:rsidR="003F2C39" w:rsidRDefault="00000000" w:rsidP="00045169">
            <w:pPr>
              <w:widowControl w:val="0"/>
              <w:spacing w:line="360" w:lineRule="auto"/>
              <w:jc w:val="both"/>
              <w:rPr>
                <w:rFonts w:ascii="Times New Roman" w:hAnsi="Times New Roman" w:cs="Times New Roman"/>
                <w:b/>
                <w:sz w:val="24"/>
                <w:szCs w:val="24"/>
              </w:rPr>
            </w:pPr>
            <w:r>
              <w:rPr>
                <w:rFonts w:ascii="Times New Roman" w:hAnsi="Times New Roman" w:cs="Times New Roman"/>
                <w:b/>
                <w:sz w:val="24"/>
                <w:szCs w:val="24"/>
              </w:rPr>
              <w:t>início</w:t>
            </w:r>
          </w:p>
        </w:tc>
        <w:tc>
          <w:tcPr>
            <w:tcW w:w="653" w:type="dxa"/>
            <w:tcBorders>
              <w:top w:val="single" w:sz="4" w:space="0" w:color="000000"/>
              <w:left w:val="single" w:sz="4" w:space="0" w:color="000000"/>
              <w:bottom w:val="single" w:sz="4" w:space="0" w:color="000000"/>
              <w:right w:val="single" w:sz="4" w:space="0" w:color="000000"/>
            </w:tcBorders>
          </w:tcPr>
          <w:p w14:paraId="1D134CE5" w14:textId="77777777" w:rsidR="003F2C39" w:rsidRDefault="00000000" w:rsidP="00045169">
            <w:pPr>
              <w:widowControl w:val="0"/>
              <w:spacing w:line="360" w:lineRule="auto"/>
              <w:jc w:val="both"/>
              <w:rPr>
                <w:rFonts w:ascii="Times New Roman" w:hAnsi="Times New Roman" w:cs="Times New Roman"/>
                <w:b/>
                <w:sz w:val="24"/>
                <w:szCs w:val="24"/>
              </w:rPr>
            </w:pPr>
            <w:r w:rsidRPr="00045169">
              <w:rPr>
                <w:rFonts w:ascii="Times New Roman" w:hAnsi="Times New Roman" w:cs="Times New Roman"/>
                <w:b/>
                <w:sz w:val="24"/>
                <w:szCs w:val="24"/>
              </w:rPr>
              <w:t>3m</w:t>
            </w:r>
          </w:p>
        </w:tc>
        <w:tc>
          <w:tcPr>
            <w:tcW w:w="706" w:type="dxa"/>
            <w:tcBorders>
              <w:top w:val="single" w:sz="4" w:space="0" w:color="000000"/>
              <w:left w:val="single" w:sz="4" w:space="0" w:color="000000"/>
              <w:bottom w:val="single" w:sz="4" w:space="0" w:color="000000"/>
              <w:right w:val="single" w:sz="4" w:space="0" w:color="000000"/>
            </w:tcBorders>
          </w:tcPr>
          <w:p w14:paraId="0879BAF8" w14:textId="77777777" w:rsidR="003F2C39" w:rsidRDefault="00000000" w:rsidP="00045169">
            <w:pPr>
              <w:widowControl w:val="0"/>
              <w:spacing w:line="360" w:lineRule="auto"/>
              <w:jc w:val="both"/>
              <w:rPr>
                <w:rFonts w:ascii="Times New Roman" w:hAnsi="Times New Roman" w:cs="Times New Roman"/>
                <w:b/>
                <w:sz w:val="24"/>
                <w:szCs w:val="24"/>
              </w:rPr>
            </w:pPr>
            <w:r w:rsidRPr="00045169">
              <w:rPr>
                <w:rFonts w:ascii="Times New Roman" w:hAnsi="Times New Roman" w:cs="Times New Roman"/>
                <w:b/>
                <w:sz w:val="24"/>
                <w:szCs w:val="24"/>
              </w:rPr>
              <w:t>6 m</w:t>
            </w:r>
          </w:p>
        </w:tc>
        <w:tc>
          <w:tcPr>
            <w:tcW w:w="707" w:type="dxa"/>
            <w:tcBorders>
              <w:top w:val="single" w:sz="4" w:space="0" w:color="000000"/>
              <w:left w:val="single" w:sz="4" w:space="0" w:color="000000"/>
              <w:bottom w:val="single" w:sz="4" w:space="0" w:color="000000"/>
              <w:right w:val="single" w:sz="4" w:space="0" w:color="000000"/>
            </w:tcBorders>
          </w:tcPr>
          <w:p w14:paraId="41068466" w14:textId="77777777" w:rsidR="003F2C39" w:rsidRDefault="00000000" w:rsidP="00045169">
            <w:pPr>
              <w:widowControl w:val="0"/>
              <w:spacing w:line="360" w:lineRule="auto"/>
              <w:jc w:val="both"/>
              <w:rPr>
                <w:rFonts w:ascii="Times New Roman" w:hAnsi="Times New Roman" w:cs="Times New Roman"/>
                <w:b/>
                <w:sz w:val="24"/>
                <w:szCs w:val="24"/>
              </w:rPr>
            </w:pPr>
            <w:r w:rsidRPr="00045169">
              <w:rPr>
                <w:rFonts w:ascii="Times New Roman" w:hAnsi="Times New Roman" w:cs="Times New Roman"/>
                <w:b/>
                <w:sz w:val="24"/>
                <w:szCs w:val="24"/>
              </w:rPr>
              <w:t xml:space="preserve">9m </w:t>
            </w:r>
          </w:p>
        </w:tc>
        <w:tc>
          <w:tcPr>
            <w:tcW w:w="775" w:type="dxa"/>
            <w:tcBorders>
              <w:top w:val="single" w:sz="4" w:space="0" w:color="000000"/>
              <w:left w:val="single" w:sz="4" w:space="0" w:color="000000"/>
              <w:bottom w:val="single" w:sz="4" w:space="0" w:color="000000"/>
              <w:right w:val="single" w:sz="4" w:space="0" w:color="000000"/>
            </w:tcBorders>
          </w:tcPr>
          <w:p w14:paraId="321221C2" w14:textId="77777777" w:rsidR="003F2C39" w:rsidRDefault="00000000" w:rsidP="00045169">
            <w:pPr>
              <w:widowControl w:val="0"/>
              <w:spacing w:line="360" w:lineRule="auto"/>
              <w:jc w:val="both"/>
              <w:rPr>
                <w:rFonts w:ascii="Times New Roman" w:hAnsi="Times New Roman" w:cs="Times New Roman"/>
                <w:b/>
                <w:sz w:val="24"/>
                <w:szCs w:val="24"/>
              </w:rPr>
            </w:pPr>
            <w:r w:rsidRPr="00045169">
              <w:rPr>
                <w:rFonts w:ascii="Times New Roman" w:hAnsi="Times New Roman" w:cs="Times New Roman"/>
                <w:b/>
                <w:sz w:val="24"/>
                <w:szCs w:val="24"/>
              </w:rPr>
              <w:t>12m</w:t>
            </w:r>
          </w:p>
        </w:tc>
        <w:tc>
          <w:tcPr>
            <w:tcW w:w="775" w:type="dxa"/>
            <w:tcBorders>
              <w:top w:val="single" w:sz="4" w:space="0" w:color="000000"/>
              <w:left w:val="single" w:sz="4" w:space="0" w:color="000000"/>
              <w:bottom w:val="single" w:sz="4" w:space="0" w:color="000000"/>
              <w:right w:val="single" w:sz="4" w:space="0" w:color="000000"/>
            </w:tcBorders>
          </w:tcPr>
          <w:p w14:paraId="7CA5EE1C" w14:textId="77777777" w:rsidR="003F2C39" w:rsidRDefault="00000000" w:rsidP="00045169">
            <w:pPr>
              <w:widowControl w:val="0"/>
              <w:spacing w:line="360" w:lineRule="auto"/>
              <w:jc w:val="both"/>
              <w:rPr>
                <w:rFonts w:ascii="Times New Roman" w:hAnsi="Times New Roman" w:cs="Times New Roman"/>
                <w:b/>
                <w:sz w:val="24"/>
                <w:szCs w:val="24"/>
              </w:rPr>
            </w:pPr>
            <w:r>
              <w:rPr>
                <w:rFonts w:ascii="Times New Roman" w:hAnsi="Times New Roman" w:cs="Times New Roman"/>
                <w:b/>
                <w:sz w:val="24"/>
                <w:szCs w:val="24"/>
              </w:rPr>
              <w:t>15</w:t>
            </w:r>
            <w:r w:rsidRPr="00045169">
              <w:rPr>
                <w:rFonts w:ascii="Times New Roman" w:hAnsi="Times New Roman" w:cs="Times New Roman"/>
                <w:b/>
                <w:sz w:val="24"/>
                <w:szCs w:val="24"/>
              </w:rPr>
              <w:t>m</w:t>
            </w:r>
          </w:p>
        </w:tc>
        <w:tc>
          <w:tcPr>
            <w:tcW w:w="775" w:type="dxa"/>
            <w:tcBorders>
              <w:top w:val="single" w:sz="4" w:space="0" w:color="000000"/>
              <w:left w:val="single" w:sz="4" w:space="0" w:color="000000"/>
              <w:bottom w:val="single" w:sz="4" w:space="0" w:color="000000"/>
              <w:right w:val="single" w:sz="4" w:space="0" w:color="000000"/>
            </w:tcBorders>
          </w:tcPr>
          <w:p w14:paraId="04AC91D3" w14:textId="77777777" w:rsidR="003F2C39" w:rsidRDefault="00000000" w:rsidP="00045169">
            <w:pPr>
              <w:widowControl w:val="0"/>
              <w:spacing w:line="360" w:lineRule="auto"/>
              <w:jc w:val="both"/>
              <w:rPr>
                <w:rFonts w:ascii="Times New Roman" w:hAnsi="Times New Roman" w:cs="Times New Roman"/>
                <w:b/>
                <w:sz w:val="24"/>
                <w:szCs w:val="24"/>
              </w:rPr>
            </w:pPr>
            <w:r>
              <w:rPr>
                <w:rFonts w:ascii="Times New Roman" w:hAnsi="Times New Roman" w:cs="Times New Roman"/>
                <w:b/>
                <w:sz w:val="24"/>
                <w:szCs w:val="24"/>
              </w:rPr>
              <w:t>18</w:t>
            </w:r>
            <w:r w:rsidRPr="00045169">
              <w:rPr>
                <w:rFonts w:ascii="Times New Roman" w:hAnsi="Times New Roman" w:cs="Times New Roman"/>
                <w:b/>
                <w:sz w:val="24"/>
                <w:szCs w:val="24"/>
              </w:rPr>
              <w:t>m</w:t>
            </w:r>
          </w:p>
        </w:tc>
      </w:tr>
      <w:tr w:rsidR="003F2C39" w14:paraId="0ABEC62A" w14:textId="77777777">
        <w:tc>
          <w:tcPr>
            <w:tcW w:w="3770" w:type="dxa"/>
            <w:tcBorders>
              <w:top w:val="single" w:sz="4" w:space="0" w:color="000000"/>
              <w:left w:val="single" w:sz="4" w:space="0" w:color="000000"/>
              <w:bottom w:val="single" w:sz="4" w:space="0" w:color="000000"/>
              <w:right w:val="single" w:sz="4" w:space="0" w:color="000000"/>
            </w:tcBorders>
          </w:tcPr>
          <w:p w14:paraId="508EDEE6" w14:textId="77777777" w:rsidR="003F2C39" w:rsidRDefault="00000000" w:rsidP="00045169">
            <w:pPr>
              <w:widowControl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Consultas</w:t>
            </w:r>
            <w:r w:rsidRPr="00045169">
              <w:rPr>
                <w:rFonts w:ascii="Times New Roman" w:hAnsi="Times New Roman" w:cs="Times New Roman"/>
                <w:bCs/>
                <w:sz w:val="24"/>
                <w:szCs w:val="24"/>
              </w:rPr>
              <w:t xml:space="preserve"> de avaliação clínica</w:t>
            </w:r>
          </w:p>
        </w:tc>
        <w:tc>
          <w:tcPr>
            <w:tcW w:w="871" w:type="dxa"/>
            <w:tcBorders>
              <w:top w:val="single" w:sz="4" w:space="0" w:color="000000"/>
              <w:left w:val="single" w:sz="4" w:space="0" w:color="000000"/>
              <w:bottom w:val="single" w:sz="4" w:space="0" w:color="000000"/>
              <w:right w:val="single" w:sz="4" w:space="0" w:color="000000"/>
            </w:tcBorders>
          </w:tcPr>
          <w:p w14:paraId="140A0C60"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P</w:t>
            </w:r>
          </w:p>
        </w:tc>
        <w:tc>
          <w:tcPr>
            <w:tcW w:w="653" w:type="dxa"/>
            <w:tcBorders>
              <w:top w:val="single" w:sz="4" w:space="0" w:color="000000"/>
              <w:left w:val="single" w:sz="4" w:space="0" w:color="000000"/>
              <w:bottom w:val="single" w:sz="4" w:space="0" w:color="000000"/>
              <w:right w:val="single" w:sz="4" w:space="0" w:color="000000"/>
            </w:tcBorders>
          </w:tcPr>
          <w:p w14:paraId="60898B26"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T</w:t>
            </w:r>
          </w:p>
        </w:tc>
        <w:tc>
          <w:tcPr>
            <w:tcW w:w="706" w:type="dxa"/>
            <w:tcBorders>
              <w:top w:val="single" w:sz="4" w:space="0" w:color="000000"/>
              <w:left w:val="single" w:sz="4" w:space="0" w:color="000000"/>
              <w:bottom w:val="single" w:sz="4" w:space="0" w:color="000000"/>
              <w:right w:val="single" w:sz="4" w:space="0" w:color="000000"/>
            </w:tcBorders>
          </w:tcPr>
          <w:p w14:paraId="17AC2D90"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P</w:t>
            </w:r>
          </w:p>
        </w:tc>
        <w:tc>
          <w:tcPr>
            <w:tcW w:w="707" w:type="dxa"/>
            <w:tcBorders>
              <w:top w:val="single" w:sz="4" w:space="0" w:color="000000"/>
              <w:left w:val="single" w:sz="4" w:space="0" w:color="000000"/>
              <w:bottom w:val="single" w:sz="4" w:space="0" w:color="000000"/>
              <w:right w:val="single" w:sz="4" w:space="0" w:color="000000"/>
            </w:tcBorders>
          </w:tcPr>
          <w:p w14:paraId="435CB159"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T</w:t>
            </w:r>
          </w:p>
        </w:tc>
        <w:tc>
          <w:tcPr>
            <w:tcW w:w="775" w:type="dxa"/>
            <w:tcBorders>
              <w:top w:val="single" w:sz="4" w:space="0" w:color="000000"/>
              <w:left w:val="single" w:sz="4" w:space="0" w:color="000000"/>
              <w:bottom w:val="single" w:sz="4" w:space="0" w:color="000000"/>
              <w:right w:val="single" w:sz="4" w:space="0" w:color="000000"/>
            </w:tcBorders>
          </w:tcPr>
          <w:p w14:paraId="560C7A79"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P</w:t>
            </w:r>
          </w:p>
        </w:tc>
        <w:tc>
          <w:tcPr>
            <w:tcW w:w="775" w:type="dxa"/>
            <w:tcBorders>
              <w:top w:val="single" w:sz="4" w:space="0" w:color="000000"/>
              <w:left w:val="single" w:sz="4" w:space="0" w:color="000000"/>
              <w:bottom w:val="single" w:sz="4" w:space="0" w:color="000000"/>
              <w:right w:val="single" w:sz="4" w:space="0" w:color="000000"/>
            </w:tcBorders>
          </w:tcPr>
          <w:p w14:paraId="37C35750"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T</w:t>
            </w:r>
          </w:p>
        </w:tc>
        <w:tc>
          <w:tcPr>
            <w:tcW w:w="775" w:type="dxa"/>
            <w:tcBorders>
              <w:top w:val="single" w:sz="4" w:space="0" w:color="000000"/>
              <w:left w:val="single" w:sz="4" w:space="0" w:color="000000"/>
              <w:bottom w:val="single" w:sz="4" w:space="0" w:color="000000"/>
              <w:right w:val="single" w:sz="4" w:space="0" w:color="000000"/>
            </w:tcBorders>
          </w:tcPr>
          <w:p w14:paraId="5BF96C5B"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P</w:t>
            </w:r>
          </w:p>
        </w:tc>
      </w:tr>
      <w:tr w:rsidR="003F2C39" w14:paraId="409EF790" w14:textId="77777777">
        <w:tc>
          <w:tcPr>
            <w:tcW w:w="3770" w:type="dxa"/>
            <w:tcBorders>
              <w:top w:val="single" w:sz="4" w:space="0" w:color="000000"/>
              <w:left w:val="single" w:sz="4" w:space="0" w:color="000000"/>
              <w:bottom w:val="single" w:sz="4" w:space="0" w:color="000000"/>
              <w:right w:val="single" w:sz="4" w:space="0" w:color="000000"/>
            </w:tcBorders>
          </w:tcPr>
          <w:p w14:paraId="53C4EA56" w14:textId="2285A6BC" w:rsidR="003F2C39" w:rsidRDefault="00000000" w:rsidP="00045169">
            <w:pPr>
              <w:widowControl w:val="0"/>
              <w:spacing w:line="360" w:lineRule="auto"/>
              <w:jc w:val="both"/>
              <w:rPr>
                <w:rFonts w:ascii="Times New Roman" w:hAnsi="Times New Roman" w:cs="Times New Roman"/>
                <w:bCs/>
                <w:sz w:val="24"/>
                <w:szCs w:val="24"/>
              </w:rPr>
            </w:pPr>
            <w:r w:rsidRPr="00045169">
              <w:rPr>
                <w:rFonts w:ascii="Times New Roman" w:hAnsi="Times New Roman" w:cs="Times New Roman"/>
                <w:bCs/>
                <w:sz w:val="24"/>
                <w:szCs w:val="24"/>
              </w:rPr>
              <w:t>Aplicação de questionário</w:t>
            </w:r>
          </w:p>
        </w:tc>
        <w:tc>
          <w:tcPr>
            <w:tcW w:w="871" w:type="dxa"/>
            <w:tcBorders>
              <w:top w:val="single" w:sz="4" w:space="0" w:color="000000"/>
              <w:left w:val="single" w:sz="4" w:space="0" w:color="000000"/>
              <w:bottom w:val="single" w:sz="4" w:space="0" w:color="000000"/>
              <w:right w:val="single" w:sz="4" w:space="0" w:color="000000"/>
            </w:tcBorders>
          </w:tcPr>
          <w:p w14:paraId="445EBE1B"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653" w:type="dxa"/>
            <w:tcBorders>
              <w:top w:val="single" w:sz="4" w:space="0" w:color="000000"/>
              <w:left w:val="single" w:sz="4" w:space="0" w:color="000000"/>
              <w:bottom w:val="single" w:sz="4" w:space="0" w:color="000000"/>
              <w:right w:val="single" w:sz="4" w:space="0" w:color="000000"/>
            </w:tcBorders>
          </w:tcPr>
          <w:p w14:paraId="01AFFBFC" w14:textId="77777777" w:rsidR="003F2C39" w:rsidRDefault="003F2C39">
            <w:pPr>
              <w:widowControl w:val="0"/>
              <w:spacing w:line="360" w:lineRule="auto"/>
              <w:jc w:val="center"/>
              <w:rPr>
                <w:rFonts w:ascii="Times New Roman" w:hAnsi="Times New Roman" w:cs="Times New Roman"/>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5762B4C8"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707" w:type="dxa"/>
            <w:tcBorders>
              <w:top w:val="single" w:sz="4" w:space="0" w:color="000000"/>
              <w:left w:val="single" w:sz="4" w:space="0" w:color="000000"/>
              <w:bottom w:val="single" w:sz="4" w:space="0" w:color="000000"/>
              <w:right w:val="single" w:sz="4" w:space="0" w:color="000000"/>
            </w:tcBorders>
          </w:tcPr>
          <w:p w14:paraId="00BE4C62"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1F84E90D"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X</w:t>
            </w:r>
          </w:p>
        </w:tc>
        <w:tc>
          <w:tcPr>
            <w:tcW w:w="775" w:type="dxa"/>
            <w:tcBorders>
              <w:top w:val="single" w:sz="4" w:space="0" w:color="000000"/>
              <w:left w:val="single" w:sz="4" w:space="0" w:color="000000"/>
              <w:bottom w:val="single" w:sz="4" w:space="0" w:color="000000"/>
              <w:right w:val="single" w:sz="4" w:space="0" w:color="000000"/>
            </w:tcBorders>
          </w:tcPr>
          <w:p w14:paraId="48ED59F6"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54A10739"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r>
      <w:tr w:rsidR="003F2C39" w14:paraId="05D5D1AF" w14:textId="77777777">
        <w:tc>
          <w:tcPr>
            <w:tcW w:w="3770" w:type="dxa"/>
            <w:tcBorders>
              <w:top w:val="single" w:sz="4" w:space="0" w:color="000000"/>
              <w:left w:val="single" w:sz="4" w:space="0" w:color="000000"/>
              <w:bottom w:val="single" w:sz="4" w:space="0" w:color="000000"/>
              <w:right w:val="single" w:sz="4" w:space="0" w:color="000000"/>
            </w:tcBorders>
          </w:tcPr>
          <w:p w14:paraId="2D8C31B2" w14:textId="77777777" w:rsidR="003F2C39" w:rsidRDefault="00000000" w:rsidP="00045169">
            <w:pPr>
              <w:widowControl w:val="0"/>
              <w:spacing w:line="360" w:lineRule="auto"/>
              <w:jc w:val="both"/>
              <w:rPr>
                <w:rFonts w:ascii="Times New Roman" w:hAnsi="Times New Roman" w:cs="Times New Roman"/>
                <w:bCs/>
                <w:sz w:val="24"/>
                <w:szCs w:val="24"/>
              </w:rPr>
            </w:pPr>
            <w:r w:rsidRPr="00045169">
              <w:rPr>
                <w:rFonts w:ascii="Times New Roman" w:hAnsi="Times New Roman" w:cs="Times New Roman"/>
                <w:bCs/>
                <w:sz w:val="24"/>
                <w:szCs w:val="24"/>
              </w:rPr>
              <w:t>Dosagens bioquímicas e hormonais</w:t>
            </w:r>
          </w:p>
        </w:tc>
        <w:tc>
          <w:tcPr>
            <w:tcW w:w="871" w:type="dxa"/>
            <w:tcBorders>
              <w:top w:val="single" w:sz="4" w:space="0" w:color="000000"/>
              <w:left w:val="single" w:sz="4" w:space="0" w:color="000000"/>
              <w:bottom w:val="single" w:sz="4" w:space="0" w:color="000000"/>
              <w:right w:val="single" w:sz="4" w:space="0" w:color="000000"/>
            </w:tcBorders>
          </w:tcPr>
          <w:p w14:paraId="765B4018"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653" w:type="dxa"/>
            <w:tcBorders>
              <w:top w:val="single" w:sz="4" w:space="0" w:color="000000"/>
              <w:left w:val="single" w:sz="4" w:space="0" w:color="000000"/>
              <w:bottom w:val="single" w:sz="4" w:space="0" w:color="000000"/>
              <w:right w:val="single" w:sz="4" w:space="0" w:color="000000"/>
            </w:tcBorders>
          </w:tcPr>
          <w:p w14:paraId="25B6CF08" w14:textId="77777777" w:rsidR="003F2C39" w:rsidRDefault="003F2C39">
            <w:pPr>
              <w:widowControl w:val="0"/>
              <w:spacing w:line="360" w:lineRule="auto"/>
              <w:jc w:val="center"/>
              <w:rPr>
                <w:rFonts w:ascii="Times New Roman" w:hAnsi="Times New Roman" w:cs="Times New Roman"/>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7131388D"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X</w:t>
            </w:r>
          </w:p>
        </w:tc>
        <w:tc>
          <w:tcPr>
            <w:tcW w:w="707" w:type="dxa"/>
            <w:tcBorders>
              <w:top w:val="single" w:sz="4" w:space="0" w:color="000000"/>
              <w:left w:val="single" w:sz="4" w:space="0" w:color="000000"/>
              <w:bottom w:val="single" w:sz="4" w:space="0" w:color="000000"/>
              <w:right w:val="single" w:sz="4" w:space="0" w:color="000000"/>
            </w:tcBorders>
          </w:tcPr>
          <w:p w14:paraId="0853607A"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01A8E77D"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775" w:type="dxa"/>
            <w:tcBorders>
              <w:top w:val="single" w:sz="4" w:space="0" w:color="000000"/>
              <w:left w:val="single" w:sz="4" w:space="0" w:color="000000"/>
              <w:bottom w:val="single" w:sz="4" w:space="0" w:color="000000"/>
              <w:right w:val="single" w:sz="4" w:space="0" w:color="000000"/>
            </w:tcBorders>
          </w:tcPr>
          <w:p w14:paraId="47C55E9B"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79CB42FD"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r>
      <w:tr w:rsidR="003F2C39" w14:paraId="022557B0" w14:textId="77777777">
        <w:tc>
          <w:tcPr>
            <w:tcW w:w="3770" w:type="dxa"/>
            <w:tcBorders>
              <w:top w:val="single" w:sz="4" w:space="0" w:color="000000"/>
              <w:left w:val="single" w:sz="4" w:space="0" w:color="000000"/>
              <w:bottom w:val="single" w:sz="4" w:space="0" w:color="000000"/>
              <w:right w:val="single" w:sz="4" w:space="0" w:color="000000"/>
            </w:tcBorders>
          </w:tcPr>
          <w:p w14:paraId="76D9DE18" w14:textId="77777777" w:rsidR="003F2C39" w:rsidRDefault="00000000" w:rsidP="00045169">
            <w:pPr>
              <w:widowControl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Avaliação endotelial (</w:t>
            </w:r>
            <w:proofErr w:type="spellStart"/>
            <w:r w:rsidRPr="00045169">
              <w:rPr>
                <w:rFonts w:ascii="Times New Roman" w:hAnsi="Times New Roman" w:cs="Times New Roman"/>
                <w:bCs/>
                <w:sz w:val="24"/>
                <w:szCs w:val="24"/>
              </w:rPr>
              <w:t>EndoPAT</w:t>
            </w:r>
            <w:proofErr w:type="spellEnd"/>
            <w:r w:rsidRPr="00045169">
              <w:rPr>
                <w:rFonts w:ascii="Times New Roman" w:hAnsi="Times New Roman" w:cs="Times New Roman"/>
                <w:bCs/>
                <w:sz w:val="24"/>
                <w:szCs w:val="24"/>
              </w:rPr>
              <w:t>)</w:t>
            </w:r>
          </w:p>
        </w:tc>
        <w:tc>
          <w:tcPr>
            <w:tcW w:w="871" w:type="dxa"/>
            <w:tcBorders>
              <w:top w:val="single" w:sz="4" w:space="0" w:color="000000"/>
              <w:left w:val="single" w:sz="4" w:space="0" w:color="000000"/>
              <w:bottom w:val="single" w:sz="4" w:space="0" w:color="000000"/>
              <w:right w:val="single" w:sz="4" w:space="0" w:color="000000"/>
            </w:tcBorders>
          </w:tcPr>
          <w:p w14:paraId="1F2A2F6A"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653" w:type="dxa"/>
            <w:tcBorders>
              <w:top w:val="single" w:sz="4" w:space="0" w:color="000000"/>
              <w:left w:val="single" w:sz="4" w:space="0" w:color="000000"/>
              <w:bottom w:val="single" w:sz="4" w:space="0" w:color="000000"/>
              <w:right w:val="single" w:sz="4" w:space="0" w:color="000000"/>
            </w:tcBorders>
          </w:tcPr>
          <w:p w14:paraId="3069B02E" w14:textId="77777777" w:rsidR="003F2C39" w:rsidRDefault="003F2C39">
            <w:pPr>
              <w:widowControl w:val="0"/>
              <w:spacing w:line="360" w:lineRule="auto"/>
              <w:jc w:val="center"/>
              <w:rPr>
                <w:rFonts w:ascii="Times New Roman" w:hAnsi="Times New Roman" w:cs="Times New Roman"/>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619890CD"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707" w:type="dxa"/>
            <w:tcBorders>
              <w:top w:val="single" w:sz="4" w:space="0" w:color="000000"/>
              <w:left w:val="single" w:sz="4" w:space="0" w:color="000000"/>
              <w:bottom w:val="single" w:sz="4" w:space="0" w:color="000000"/>
              <w:right w:val="single" w:sz="4" w:space="0" w:color="000000"/>
            </w:tcBorders>
          </w:tcPr>
          <w:p w14:paraId="34F7FC3D"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28947BFD"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X</w:t>
            </w:r>
          </w:p>
        </w:tc>
        <w:tc>
          <w:tcPr>
            <w:tcW w:w="775" w:type="dxa"/>
            <w:tcBorders>
              <w:top w:val="single" w:sz="4" w:space="0" w:color="000000"/>
              <w:left w:val="single" w:sz="4" w:space="0" w:color="000000"/>
              <w:bottom w:val="single" w:sz="4" w:space="0" w:color="000000"/>
              <w:right w:val="single" w:sz="4" w:space="0" w:color="000000"/>
            </w:tcBorders>
          </w:tcPr>
          <w:p w14:paraId="63656BDB"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44E78D52"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r>
      <w:tr w:rsidR="003F2C39" w14:paraId="59A5223C" w14:textId="77777777">
        <w:tc>
          <w:tcPr>
            <w:tcW w:w="3770" w:type="dxa"/>
            <w:tcBorders>
              <w:top w:val="single" w:sz="4" w:space="0" w:color="000000"/>
              <w:left w:val="single" w:sz="4" w:space="0" w:color="000000"/>
              <w:bottom w:val="single" w:sz="4" w:space="0" w:color="000000"/>
              <w:right w:val="single" w:sz="4" w:space="0" w:color="000000"/>
            </w:tcBorders>
          </w:tcPr>
          <w:p w14:paraId="6DA1A6B1" w14:textId="77777777" w:rsidR="003F2C39" w:rsidRDefault="00000000" w:rsidP="00045169">
            <w:pPr>
              <w:widowControl w:val="0"/>
              <w:spacing w:line="360" w:lineRule="auto"/>
              <w:jc w:val="both"/>
              <w:rPr>
                <w:rFonts w:ascii="Times New Roman" w:hAnsi="Times New Roman" w:cs="Times New Roman"/>
                <w:bCs/>
                <w:sz w:val="24"/>
                <w:szCs w:val="24"/>
              </w:rPr>
            </w:pPr>
            <w:r w:rsidRPr="00045169">
              <w:rPr>
                <w:rFonts w:ascii="Times New Roman" w:hAnsi="Times New Roman" w:cs="Times New Roman"/>
                <w:bCs/>
                <w:sz w:val="24"/>
                <w:szCs w:val="24"/>
              </w:rPr>
              <w:t>DXA</w:t>
            </w:r>
          </w:p>
        </w:tc>
        <w:tc>
          <w:tcPr>
            <w:tcW w:w="871" w:type="dxa"/>
            <w:tcBorders>
              <w:top w:val="single" w:sz="4" w:space="0" w:color="000000"/>
              <w:left w:val="single" w:sz="4" w:space="0" w:color="000000"/>
              <w:bottom w:val="single" w:sz="4" w:space="0" w:color="000000"/>
              <w:right w:val="single" w:sz="4" w:space="0" w:color="000000"/>
            </w:tcBorders>
          </w:tcPr>
          <w:p w14:paraId="6D84D780"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X</w:t>
            </w:r>
          </w:p>
        </w:tc>
        <w:tc>
          <w:tcPr>
            <w:tcW w:w="653" w:type="dxa"/>
            <w:tcBorders>
              <w:top w:val="single" w:sz="4" w:space="0" w:color="000000"/>
              <w:left w:val="single" w:sz="4" w:space="0" w:color="000000"/>
              <w:bottom w:val="single" w:sz="4" w:space="0" w:color="000000"/>
              <w:right w:val="single" w:sz="4" w:space="0" w:color="000000"/>
            </w:tcBorders>
          </w:tcPr>
          <w:p w14:paraId="1C4C3C5E" w14:textId="77777777" w:rsidR="003F2C39" w:rsidRDefault="003F2C39">
            <w:pPr>
              <w:widowControl w:val="0"/>
              <w:spacing w:line="360" w:lineRule="auto"/>
              <w:jc w:val="center"/>
              <w:rPr>
                <w:rFonts w:ascii="Times New Roman" w:hAnsi="Times New Roman" w:cs="Times New Roman"/>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33B4A729" w14:textId="77777777" w:rsidR="003F2C39" w:rsidRDefault="003F2C39">
            <w:pPr>
              <w:widowControl w:val="0"/>
              <w:spacing w:line="360" w:lineRule="auto"/>
              <w:jc w:val="center"/>
              <w:rPr>
                <w:rFonts w:ascii="Times New Roman" w:hAnsi="Times New Roman" w:cs="Times New Roman"/>
                <w:bCs/>
                <w:sz w:val="24"/>
                <w:szCs w:val="24"/>
              </w:rPr>
            </w:pPr>
          </w:p>
        </w:tc>
        <w:tc>
          <w:tcPr>
            <w:tcW w:w="707" w:type="dxa"/>
            <w:tcBorders>
              <w:top w:val="single" w:sz="4" w:space="0" w:color="000000"/>
              <w:left w:val="single" w:sz="4" w:space="0" w:color="000000"/>
              <w:bottom w:val="single" w:sz="4" w:space="0" w:color="000000"/>
              <w:right w:val="single" w:sz="4" w:space="0" w:color="000000"/>
            </w:tcBorders>
          </w:tcPr>
          <w:p w14:paraId="347D8E89"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4FD1F1EA"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775" w:type="dxa"/>
            <w:tcBorders>
              <w:top w:val="single" w:sz="4" w:space="0" w:color="000000"/>
              <w:left w:val="single" w:sz="4" w:space="0" w:color="000000"/>
              <w:bottom w:val="single" w:sz="4" w:space="0" w:color="000000"/>
              <w:right w:val="single" w:sz="4" w:space="0" w:color="000000"/>
            </w:tcBorders>
          </w:tcPr>
          <w:p w14:paraId="443A772C"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11FAB2AC"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r>
      <w:tr w:rsidR="003F2C39" w14:paraId="126D94DD" w14:textId="77777777">
        <w:tc>
          <w:tcPr>
            <w:tcW w:w="3770" w:type="dxa"/>
            <w:tcBorders>
              <w:top w:val="single" w:sz="4" w:space="0" w:color="000000"/>
              <w:left w:val="single" w:sz="4" w:space="0" w:color="000000"/>
              <w:bottom w:val="single" w:sz="4" w:space="0" w:color="000000"/>
              <w:right w:val="single" w:sz="4" w:space="0" w:color="000000"/>
            </w:tcBorders>
          </w:tcPr>
          <w:p w14:paraId="2F1F4904" w14:textId="77777777" w:rsidR="003F2C39" w:rsidRDefault="00000000" w:rsidP="00045169">
            <w:pPr>
              <w:widowControl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MAPA</w:t>
            </w:r>
          </w:p>
        </w:tc>
        <w:tc>
          <w:tcPr>
            <w:tcW w:w="871" w:type="dxa"/>
            <w:tcBorders>
              <w:top w:val="single" w:sz="4" w:space="0" w:color="000000"/>
              <w:left w:val="single" w:sz="4" w:space="0" w:color="000000"/>
              <w:bottom w:val="single" w:sz="4" w:space="0" w:color="000000"/>
              <w:right w:val="single" w:sz="4" w:space="0" w:color="000000"/>
            </w:tcBorders>
          </w:tcPr>
          <w:p w14:paraId="5E40E389"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653" w:type="dxa"/>
            <w:tcBorders>
              <w:top w:val="single" w:sz="4" w:space="0" w:color="000000"/>
              <w:left w:val="single" w:sz="4" w:space="0" w:color="000000"/>
              <w:bottom w:val="single" w:sz="4" w:space="0" w:color="000000"/>
              <w:right w:val="single" w:sz="4" w:space="0" w:color="000000"/>
            </w:tcBorders>
          </w:tcPr>
          <w:p w14:paraId="7A65EABD" w14:textId="77777777" w:rsidR="003F2C39" w:rsidRDefault="003F2C39">
            <w:pPr>
              <w:widowControl w:val="0"/>
              <w:spacing w:line="360" w:lineRule="auto"/>
              <w:jc w:val="center"/>
              <w:rPr>
                <w:rFonts w:ascii="Times New Roman" w:hAnsi="Times New Roman" w:cs="Times New Roman"/>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32EB4B0C" w14:textId="77777777" w:rsidR="003F2C39" w:rsidRDefault="00000000" w:rsidP="00045169">
            <w:pPr>
              <w:widowControl w:val="0"/>
              <w:spacing w:line="360" w:lineRule="auto"/>
              <w:jc w:val="center"/>
              <w:rPr>
                <w:rFonts w:ascii="Times New Roman" w:hAnsi="Times New Roman" w:cs="Times New Roman"/>
                <w:bCs/>
                <w:sz w:val="24"/>
                <w:szCs w:val="24"/>
              </w:rPr>
            </w:pPr>
            <w:r w:rsidRPr="00045169">
              <w:rPr>
                <w:rFonts w:ascii="Times New Roman" w:hAnsi="Times New Roman" w:cs="Times New Roman"/>
                <w:bCs/>
                <w:sz w:val="24"/>
                <w:szCs w:val="24"/>
              </w:rPr>
              <w:t>X</w:t>
            </w:r>
          </w:p>
        </w:tc>
        <w:tc>
          <w:tcPr>
            <w:tcW w:w="707" w:type="dxa"/>
            <w:tcBorders>
              <w:top w:val="single" w:sz="4" w:space="0" w:color="000000"/>
              <w:left w:val="single" w:sz="4" w:space="0" w:color="000000"/>
              <w:bottom w:val="single" w:sz="4" w:space="0" w:color="000000"/>
              <w:right w:val="single" w:sz="4" w:space="0" w:color="000000"/>
            </w:tcBorders>
          </w:tcPr>
          <w:p w14:paraId="07AAE4E7"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421C27B7"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X</w:t>
            </w:r>
          </w:p>
        </w:tc>
        <w:tc>
          <w:tcPr>
            <w:tcW w:w="775" w:type="dxa"/>
            <w:tcBorders>
              <w:top w:val="single" w:sz="4" w:space="0" w:color="000000"/>
              <w:left w:val="single" w:sz="4" w:space="0" w:color="000000"/>
              <w:bottom w:val="single" w:sz="4" w:space="0" w:color="000000"/>
              <w:right w:val="single" w:sz="4" w:space="0" w:color="000000"/>
            </w:tcBorders>
          </w:tcPr>
          <w:p w14:paraId="4D2C815B" w14:textId="77777777" w:rsidR="003F2C39" w:rsidRDefault="003F2C39">
            <w:pPr>
              <w:widowControl w:val="0"/>
              <w:spacing w:line="360" w:lineRule="auto"/>
              <w:jc w:val="center"/>
              <w:rPr>
                <w:rFonts w:ascii="Times New Roman" w:hAnsi="Times New Roman" w:cs="Times New Roman"/>
                <w:bCs/>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3F6B4CC9" w14:textId="77777777" w:rsidR="003F2C39" w:rsidRDefault="00000000" w:rsidP="00045169">
            <w:pPr>
              <w:widowControl w:val="0"/>
              <w:spacing w:line="360" w:lineRule="auto"/>
              <w:jc w:val="center"/>
              <w:rPr>
                <w:rFonts w:ascii="Times New Roman" w:hAnsi="Times New Roman" w:cs="Times New Roman"/>
                <w:bCs/>
                <w:sz w:val="24"/>
                <w:szCs w:val="24"/>
              </w:rPr>
            </w:pPr>
            <w:r>
              <w:rPr>
                <w:rFonts w:ascii="Times New Roman" w:hAnsi="Times New Roman" w:cs="Times New Roman"/>
                <w:bCs/>
                <w:sz w:val="24"/>
                <w:szCs w:val="24"/>
              </w:rPr>
              <w:t>X</w:t>
            </w:r>
          </w:p>
        </w:tc>
      </w:tr>
    </w:tbl>
    <w:p w14:paraId="10F48D99" w14:textId="77777777"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5169">
        <w:rPr>
          <w:rFonts w:ascii="Times New Roman" w:hAnsi="Times New Roman" w:cs="Times New Roman"/>
          <w:color w:val="000000"/>
          <w:sz w:val="24"/>
          <w:szCs w:val="24"/>
        </w:rPr>
        <w:t>Consultas: P = presencial, T = telemedicina</w:t>
      </w:r>
    </w:p>
    <w:p w14:paraId="10E8D99D" w14:textId="77777777"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sidRPr="00045169">
        <w:rPr>
          <w:rFonts w:ascii="Times New Roman" w:hAnsi="Times New Roman" w:cs="Times New Roman"/>
          <w:color w:val="000000"/>
          <w:sz w:val="24"/>
          <w:szCs w:val="24"/>
        </w:rPr>
        <w:t>EndoPAT</w:t>
      </w:r>
      <w:proofErr w:type="spellEnd"/>
      <w:r w:rsidRPr="00045169">
        <w:rPr>
          <w:rFonts w:ascii="Times New Roman" w:hAnsi="Times New Roman" w:cs="Times New Roman"/>
          <w:color w:val="000000"/>
          <w:sz w:val="24"/>
          <w:szCs w:val="24"/>
        </w:rPr>
        <w:t xml:space="preserve"> = Tonometria arterial periférica para medida de função endotelial</w:t>
      </w:r>
    </w:p>
    <w:p w14:paraId="4FF103E5" w14:textId="77777777"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045169">
        <w:rPr>
          <w:rFonts w:ascii="Times New Roman" w:hAnsi="Times New Roman" w:cs="Times New Roman"/>
          <w:color w:val="000000"/>
          <w:sz w:val="24"/>
          <w:szCs w:val="24"/>
        </w:rPr>
        <w:t xml:space="preserve">DXA = </w:t>
      </w:r>
      <w:proofErr w:type="spellStart"/>
      <w:r w:rsidRPr="00045169">
        <w:rPr>
          <w:rFonts w:ascii="Times New Roman" w:hAnsi="Times New Roman" w:cs="Times New Roman"/>
          <w:color w:val="000000"/>
          <w:sz w:val="24"/>
          <w:szCs w:val="24"/>
        </w:rPr>
        <w:t>Absorciometria</w:t>
      </w:r>
      <w:proofErr w:type="spellEnd"/>
      <w:r w:rsidRPr="00045169">
        <w:rPr>
          <w:rFonts w:ascii="Times New Roman" w:hAnsi="Times New Roman" w:cs="Times New Roman"/>
          <w:color w:val="000000"/>
          <w:sz w:val="24"/>
          <w:szCs w:val="24"/>
        </w:rPr>
        <w:t xml:space="preserve"> com raio-X de dupla energia para medida de densidade corporal</w:t>
      </w:r>
    </w:p>
    <w:p w14:paraId="6C2F5A4E" w14:textId="77777777" w:rsidR="003F2C39" w:rsidRDefault="00000000">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w:t>
      </w:r>
      <w:r w:rsidRPr="00045169">
        <w:rPr>
          <w:rFonts w:ascii="Times New Roman" w:hAnsi="Times New Roman" w:cs="Times New Roman"/>
          <w:color w:val="000000"/>
          <w:sz w:val="24"/>
          <w:szCs w:val="24"/>
        </w:rPr>
        <w:t>MAPA = Monitor ambulatorial de pressão arterial</w:t>
      </w:r>
    </w:p>
    <w:p w14:paraId="6FA854AD" w14:textId="77777777" w:rsidR="003F2C39" w:rsidRDefault="003F2C39">
      <w:pPr>
        <w:spacing w:after="0" w:line="360" w:lineRule="auto"/>
        <w:ind w:left="720"/>
        <w:jc w:val="both"/>
        <w:rPr>
          <w:rFonts w:ascii="Times New Roman" w:hAnsi="Times New Roman" w:cs="Times New Roman"/>
          <w:b/>
          <w:color w:val="000000"/>
          <w:sz w:val="24"/>
          <w:szCs w:val="24"/>
        </w:rPr>
      </w:pPr>
    </w:p>
    <w:p w14:paraId="57E30745" w14:textId="7C5A49B8" w:rsidR="003F2C39" w:rsidRDefault="00000000">
      <w:pPr>
        <w:numPr>
          <w:ilvl w:val="0"/>
          <w:numId w:val="1"/>
        </w:numPr>
        <w:spacing w:after="0" w:line="360" w:lineRule="auto"/>
        <w:jc w:val="both"/>
        <w:rPr>
          <w:rFonts w:ascii="Times New Roman" w:hAnsi="Times New Roman" w:cs="Times New Roman"/>
          <w:b/>
          <w:sz w:val="24"/>
          <w:szCs w:val="24"/>
        </w:rPr>
      </w:pPr>
      <w:r w:rsidRPr="00045169">
        <w:rPr>
          <w:rFonts w:ascii="Times New Roman" w:hAnsi="Times New Roman" w:cs="Times New Roman"/>
          <w:b/>
          <w:color w:val="000000"/>
          <w:sz w:val="24"/>
          <w:szCs w:val="24"/>
        </w:rPr>
        <w:t>ASPECTOS</w:t>
      </w:r>
      <w:r w:rsidRPr="00045169">
        <w:rPr>
          <w:rFonts w:ascii="Times New Roman" w:hAnsi="Times New Roman" w:cs="Times New Roman"/>
          <w:b/>
          <w:sz w:val="24"/>
          <w:szCs w:val="24"/>
        </w:rPr>
        <w:t xml:space="preserve"> ÉTICOS</w:t>
      </w:r>
    </w:p>
    <w:p w14:paraId="27102C03" w14:textId="08188BF9" w:rsidR="003F2C39"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projeto será submetido ao Comitê de Ética em Pesquisa (CEP) da Universidade Federal de São Paulo – UNIFESP, bem como no CEP do </w:t>
      </w:r>
      <w:r>
        <w:rPr>
          <w:rFonts w:ascii="Times New Roman" w:eastAsia="Times New Roman" w:hAnsi="Times New Roman" w:cs="Times New Roman"/>
          <w:color w:val="000000" w:themeColor="text1"/>
          <w:sz w:val="24"/>
          <w:szCs w:val="24"/>
        </w:rPr>
        <w:t>Centro de Referência e Treinamento DST/AIDS-SP,</w:t>
      </w:r>
      <w:r w:rsidRPr="00045169">
        <w:rPr>
          <w:rFonts w:ascii="Times New Roman" w:hAnsi="Times New Roman" w:cs="Times New Roman"/>
          <w:color w:val="000000"/>
          <w:sz w:val="24"/>
          <w:szCs w:val="24"/>
        </w:rPr>
        <w:t xml:space="preserve"> para apreciação, de acordo com a Resolução 466/2012 do CNS/MS. Após aprovação pelo CEP</w:t>
      </w:r>
      <w:r>
        <w:rPr>
          <w:rFonts w:ascii="Times New Roman" w:hAnsi="Times New Roman" w:cs="Times New Roman"/>
          <w:color w:val="000000"/>
          <w:sz w:val="24"/>
          <w:szCs w:val="24"/>
        </w:rPr>
        <w:t>,</w:t>
      </w:r>
      <w:r w:rsidRPr="00045169">
        <w:rPr>
          <w:rFonts w:ascii="Times New Roman" w:hAnsi="Times New Roman" w:cs="Times New Roman"/>
          <w:color w:val="000000"/>
          <w:sz w:val="24"/>
          <w:szCs w:val="24"/>
        </w:rPr>
        <w:t xml:space="preserve"> será iniciado o estudo, e somente depois do aceite e assinatura do Termo de Consentimento Livre e Esclarecido (TCLE). Todo o estudo estará pautado nos preceitos da ética em pesquisa envolvendo seres humanos e a aderência das participantes apenas se dará após a assinatura de duas vias do TCLE, as quais ficarão, uma em posse da participante e outra que será arquivada pelo pesquisador responsável pela pesquisa. </w:t>
      </w:r>
    </w:p>
    <w:p w14:paraId="06F4C0CE" w14:textId="6E1FBA7F" w:rsidR="00383E72" w:rsidRPr="001771D7" w:rsidRDefault="001771D7">
      <w:pPr>
        <w:spacing w:after="0" w:line="360" w:lineRule="auto"/>
        <w:jc w:val="both"/>
        <w:rPr>
          <w:rFonts w:ascii="Times New Roman" w:hAnsi="Times New Roman" w:cs="Times New Roman"/>
          <w:b/>
          <w:color w:val="FF0000"/>
          <w:sz w:val="24"/>
          <w:szCs w:val="24"/>
        </w:rPr>
      </w:pPr>
      <w:r w:rsidRPr="001771D7">
        <w:rPr>
          <w:rFonts w:ascii="Times New Roman" w:hAnsi="Times New Roman" w:cs="Times New Roman"/>
          <w:color w:val="FF0000"/>
          <w:sz w:val="24"/>
          <w:szCs w:val="24"/>
        </w:rPr>
        <w:t xml:space="preserve">Em atenção à Resolução CNS nº 510 de 2016, Artigo 3º, Inciso IV – “empenho na ampliação e consolidação da democracia por meio da socialização da produção de conhecimento resultante da pesquisa, inclusive em formato acessível ao grupo ou população que foi pesquisada”, os pesquisadores enviarão aos participantes, pelos meios de contato fornecido pelos mesmos, preferencialmente correio eletrônico, uma versão do trabalho publicado em linguagem amigável e compreensível. Tal versão do estudo será também enviada às redes sociais (Facebook, Instagram, X) das principais associações que congregam pessoas </w:t>
      </w:r>
      <w:proofErr w:type="spellStart"/>
      <w:r w:rsidRPr="001771D7">
        <w:rPr>
          <w:rFonts w:ascii="Times New Roman" w:hAnsi="Times New Roman" w:cs="Times New Roman"/>
          <w:color w:val="FF0000"/>
          <w:sz w:val="24"/>
          <w:szCs w:val="24"/>
        </w:rPr>
        <w:t>transmasculinas</w:t>
      </w:r>
      <w:proofErr w:type="spellEnd"/>
      <w:r w:rsidRPr="001771D7">
        <w:rPr>
          <w:rFonts w:ascii="Times New Roman" w:hAnsi="Times New Roman" w:cs="Times New Roman"/>
          <w:color w:val="FF0000"/>
          <w:sz w:val="24"/>
          <w:szCs w:val="24"/>
        </w:rPr>
        <w:t xml:space="preserve"> e que atuam em benefício dessas pessoas, a saber: Instituto Brasileiro de </w:t>
      </w:r>
      <w:proofErr w:type="spellStart"/>
      <w:r w:rsidRPr="001771D7">
        <w:rPr>
          <w:rFonts w:ascii="Times New Roman" w:hAnsi="Times New Roman" w:cs="Times New Roman"/>
          <w:color w:val="FF0000"/>
          <w:sz w:val="24"/>
          <w:szCs w:val="24"/>
        </w:rPr>
        <w:t>Transmasculinidades</w:t>
      </w:r>
      <w:proofErr w:type="spellEnd"/>
      <w:r w:rsidRPr="001771D7">
        <w:rPr>
          <w:rFonts w:ascii="Times New Roman" w:hAnsi="Times New Roman" w:cs="Times New Roman"/>
          <w:color w:val="FF0000"/>
          <w:sz w:val="24"/>
          <w:szCs w:val="24"/>
        </w:rPr>
        <w:t xml:space="preserve"> (IBRAT), Observatório Trans e Centros de Cidadania LGBTI. Além disso, os autores pretendem divulgar as informações da pesquisa em canais da imprensa em geral.</w:t>
      </w:r>
    </w:p>
    <w:p w14:paraId="32754855" w14:textId="77777777" w:rsidR="003F2C39" w:rsidRDefault="00000000">
      <w:pPr>
        <w:numPr>
          <w:ilvl w:val="0"/>
          <w:numId w:val="1"/>
        </w:numPr>
        <w:spacing w:after="0" w:line="360" w:lineRule="auto"/>
        <w:jc w:val="both"/>
        <w:rPr>
          <w:rFonts w:ascii="Times New Roman" w:hAnsi="Times New Roman" w:cs="Times New Roman"/>
          <w:b/>
          <w:sz w:val="24"/>
          <w:szCs w:val="24"/>
        </w:rPr>
      </w:pPr>
      <w:r w:rsidRPr="00045169">
        <w:rPr>
          <w:rFonts w:ascii="Times New Roman" w:hAnsi="Times New Roman" w:cs="Times New Roman"/>
          <w:b/>
          <w:color w:val="000000"/>
          <w:sz w:val="24"/>
          <w:szCs w:val="24"/>
        </w:rPr>
        <w:t xml:space="preserve">DESCRIÇÃO DO </w:t>
      </w:r>
      <w:r w:rsidRPr="00045169">
        <w:rPr>
          <w:rFonts w:ascii="Times New Roman" w:hAnsi="Times New Roman" w:cs="Times New Roman"/>
          <w:b/>
          <w:sz w:val="24"/>
          <w:szCs w:val="24"/>
        </w:rPr>
        <w:t>ORÇAMENTO</w:t>
      </w:r>
    </w:p>
    <w:tbl>
      <w:tblPr>
        <w:tblW w:w="9355" w:type="dxa"/>
        <w:tblInd w:w="-5" w:type="dxa"/>
        <w:tblLayout w:type="fixed"/>
        <w:tblLook w:val="0400" w:firstRow="0" w:lastRow="0" w:firstColumn="0" w:lastColumn="0" w:noHBand="0" w:noVBand="1"/>
      </w:tblPr>
      <w:tblGrid>
        <w:gridCol w:w="992"/>
        <w:gridCol w:w="3770"/>
        <w:gridCol w:w="1676"/>
        <w:gridCol w:w="1486"/>
        <w:gridCol w:w="1431"/>
      </w:tblGrid>
      <w:tr w:rsidR="003F2C39" w14:paraId="17888641" w14:textId="77777777">
        <w:tc>
          <w:tcPr>
            <w:tcW w:w="992" w:type="dxa"/>
            <w:tcBorders>
              <w:top w:val="single" w:sz="4" w:space="0" w:color="000000"/>
              <w:left w:val="single" w:sz="4" w:space="0" w:color="000000"/>
              <w:bottom w:val="single" w:sz="4" w:space="0" w:color="000000"/>
              <w:right w:val="single" w:sz="4" w:space="0" w:color="000000"/>
            </w:tcBorders>
          </w:tcPr>
          <w:p w14:paraId="5864A52B"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Item</w:t>
            </w:r>
          </w:p>
        </w:tc>
        <w:tc>
          <w:tcPr>
            <w:tcW w:w="3770" w:type="dxa"/>
            <w:tcBorders>
              <w:top w:val="single" w:sz="4" w:space="0" w:color="000000"/>
              <w:left w:val="single" w:sz="4" w:space="0" w:color="000000"/>
              <w:bottom w:val="single" w:sz="4" w:space="0" w:color="000000"/>
              <w:right w:val="single" w:sz="4" w:space="0" w:color="000000"/>
            </w:tcBorders>
          </w:tcPr>
          <w:p w14:paraId="2821369E" w14:textId="77777777" w:rsidR="003F2C39" w:rsidRDefault="00000000" w:rsidP="00045169">
            <w:pPr>
              <w:widowControl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Descrição</w:t>
            </w:r>
          </w:p>
        </w:tc>
        <w:tc>
          <w:tcPr>
            <w:tcW w:w="1676" w:type="dxa"/>
            <w:tcBorders>
              <w:top w:val="single" w:sz="4" w:space="0" w:color="000000"/>
              <w:left w:val="single" w:sz="4" w:space="0" w:color="000000"/>
              <w:bottom w:val="single" w:sz="4" w:space="0" w:color="000000"/>
              <w:right w:val="single" w:sz="4" w:space="0" w:color="000000"/>
            </w:tcBorders>
          </w:tcPr>
          <w:p w14:paraId="1D3916A1"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Valor unitário</w:t>
            </w:r>
          </w:p>
        </w:tc>
        <w:tc>
          <w:tcPr>
            <w:tcW w:w="1486" w:type="dxa"/>
            <w:tcBorders>
              <w:top w:val="single" w:sz="4" w:space="0" w:color="000000"/>
              <w:left w:val="single" w:sz="4" w:space="0" w:color="000000"/>
              <w:bottom w:val="single" w:sz="4" w:space="0" w:color="000000"/>
              <w:right w:val="single" w:sz="4" w:space="0" w:color="000000"/>
            </w:tcBorders>
          </w:tcPr>
          <w:p w14:paraId="3225E00D"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Quantidade</w:t>
            </w:r>
          </w:p>
        </w:tc>
        <w:tc>
          <w:tcPr>
            <w:tcW w:w="1431" w:type="dxa"/>
            <w:tcBorders>
              <w:top w:val="single" w:sz="4" w:space="0" w:color="000000"/>
              <w:left w:val="single" w:sz="4" w:space="0" w:color="000000"/>
              <w:bottom w:val="single" w:sz="4" w:space="0" w:color="000000"/>
              <w:right w:val="single" w:sz="4" w:space="0" w:color="000000"/>
            </w:tcBorders>
          </w:tcPr>
          <w:p w14:paraId="72112A16" w14:textId="77777777" w:rsidR="003F2C39" w:rsidRDefault="00000000" w:rsidP="00045169">
            <w:pPr>
              <w:widowControl w:val="0"/>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Valor total</w:t>
            </w:r>
          </w:p>
        </w:tc>
      </w:tr>
      <w:tr w:rsidR="003F2C39" w14:paraId="757A3DA9" w14:textId="77777777">
        <w:tc>
          <w:tcPr>
            <w:tcW w:w="992" w:type="dxa"/>
            <w:tcBorders>
              <w:top w:val="single" w:sz="4" w:space="0" w:color="000000"/>
              <w:left w:val="single" w:sz="4" w:space="0" w:color="000000"/>
              <w:bottom w:val="single" w:sz="4" w:space="0" w:color="000000"/>
              <w:right w:val="single" w:sz="4" w:space="0" w:color="000000"/>
            </w:tcBorders>
          </w:tcPr>
          <w:p w14:paraId="6B93339E"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1</w:t>
            </w:r>
          </w:p>
        </w:tc>
        <w:tc>
          <w:tcPr>
            <w:tcW w:w="3770" w:type="dxa"/>
            <w:tcBorders>
              <w:top w:val="single" w:sz="4" w:space="0" w:color="000000"/>
              <w:left w:val="single" w:sz="4" w:space="0" w:color="000000"/>
              <w:bottom w:val="single" w:sz="4" w:space="0" w:color="000000"/>
              <w:right w:val="single" w:sz="4" w:space="0" w:color="000000"/>
            </w:tcBorders>
          </w:tcPr>
          <w:p w14:paraId="09302398"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 xml:space="preserve">Dosagens </w:t>
            </w:r>
            <w:r w:rsidRPr="00045169">
              <w:rPr>
                <w:rFonts w:ascii="Times New Roman" w:hAnsi="Times New Roman" w:cs="Times New Roman"/>
                <w:bCs/>
                <w:sz w:val="24"/>
                <w:szCs w:val="24"/>
              </w:rPr>
              <w:t>bioquímicas e hormonais</w:t>
            </w:r>
          </w:p>
        </w:tc>
        <w:tc>
          <w:tcPr>
            <w:tcW w:w="1676" w:type="dxa"/>
            <w:tcBorders>
              <w:top w:val="single" w:sz="4" w:space="0" w:color="000000"/>
              <w:left w:val="single" w:sz="4" w:space="0" w:color="000000"/>
              <w:bottom w:val="single" w:sz="4" w:space="0" w:color="000000"/>
              <w:right w:val="single" w:sz="4" w:space="0" w:color="000000"/>
            </w:tcBorders>
          </w:tcPr>
          <w:p w14:paraId="16D246FA"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230,00</w:t>
            </w:r>
          </w:p>
        </w:tc>
        <w:tc>
          <w:tcPr>
            <w:tcW w:w="1486" w:type="dxa"/>
            <w:tcBorders>
              <w:top w:val="single" w:sz="4" w:space="0" w:color="000000"/>
              <w:left w:val="single" w:sz="4" w:space="0" w:color="000000"/>
              <w:bottom w:val="single" w:sz="4" w:space="0" w:color="000000"/>
              <w:right w:val="single" w:sz="4" w:space="0" w:color="000000"/>
            </w:tcBorders>
          </w:tcPr>
          <w:p w14:paraId="1BF9A69C" w14:textId="30BE8DE0"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600</w:t>
            </w:r>
            <w:r>
              <w:rPr>
                <w:rFonts w:ascii="Times New Roman" w:hAnsi="Times New Roman" w:cs="Times New Roman"/>
                <w:color w:val="000000"/>
                <w:sz w:val="24"/>
                <w:szCs w:val="24"/>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53797494" w14:textId="77777777" w:rsidR="003F2C39" w:rsidRDefault="00000000" w:rsidP="0004516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138000,00</w:t>
            </w:r>
          </w:p>
        </w:tc>
      </w:tr>
      <w:tr w:rsidR="003F2C39" w14:paraId="7C2C472D" w14:textId="77777777">
        <w:tc>
          <w:tcPr>
            <w:tcW w:w="992" w:type="dxa"/>
            <w:tcBorders>
              <w:top w:val="single" w:sz="4" w:space="0" w:color="000000"/>
              <w:left w:val="single" w:sz="4" w:space="0" w:color="000000"/>
              <w:bottom w:val="single" w:sz="4" w:space="0" w:color="000000"/>
              <w:right w:val="single" w:sz="4" w:space="0" w:color="000000"/>
            </w:tcBorders>
          </w:tcPr>
          <w:p w14:paraId="6D9C6BCF"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2</w:t>
            </w:r>
          </w:p>
        </w:tc>
        <w:tc>
          <w:tcPr>
            <w:tcW w:w="3770" w:type="dxa"/>
            <w:tcBorders>
              <w:top w:val="single" w:sz="4" w:space="0" w:color="000000"/>
              <w:left w:val="single" w:sz="4" w:space="0" w:color="000000"/>
              <w:bottom w:val="single" w:sz="4" w:space="0" w:color="000000"/>
              <w:right w:val="single" w:sz="4" w:space="0" w:color="000000"/>
            </w:tcBorders>
          </w:tcPr>
          <w:p w14:paraId="24E0E84D"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Auxílio transporte e alimentação</w:t>
            </w:r>
          </w:p>
        </w:tc>
        <w:tc>
          <w:tcPr>
            <w:tcW w:w="1676" w:type="dxa"/>
            <w:tcBorders>
              <w:top w:val="single" w:sz="4" w:space="0" w:color="000000"/>
              <w:left w:val="single" w:sz="4" w:space="0" w:color="000000"/>
              <w:bottom w:val="single" w:sz="4" w:space="0" w:color="000000"/>
              <w:right w:val="single" w:sz="4" w:space="0" w:color="000000"/>
            </w:tcBorders>
          </w:tcPr>
          <w:p w14:paraId="633C8E70"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30,00</w:t>
            </w:r>
          </w:p>
        </w:tc>
        <w:tc>
          <w:tcPr>
            <w:tcW w:w="1486" w:type="dxa"/>
            <w:tcBorders>
              <w:top w:val="single" w:sz="4" w:space="0" w:color="000000"/>
              <w:left w:val="single" w:sz="4" w:space="0" w:color="000000"/>
              <w:bottom w:val="single" w:sz="4" w:space="0" w:color="000000"/>
              <w:right w:val="single" w:sz="4" w:space="0" w:color="000000"/>
            </w:tcBorders>
          </w:tcPr>
          <w:p w14:paraId="25314EEF" w14:textId="1955899E" w:rsidR="003F2C39" w:rsidRDefault="00000000" w:rsidP="00045169">
            <w:pPr>
              <w:widowControl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600 </w:t>
            </w:r>
          </w:p>
        </w:tc>
        <w:tc>
          <w:tcPr>
            <w:tcW w:w="1431" w:type="dxa"/>
            <w:tcBorders>
              <w:top w:val="single" w:sz="4" w:space="0" w:color="000000"/>
              <w:left w:val="single" w:sz="4" w:space="0" w:color="000000"/>
              <w:bottom w:val="single" w:sz="4" w:space="0" w:color="000000"/>
              <w:right w:val="single" w:sz="4" w:space="0" w:color="000000"/>
            </w:tcBorders>
          </w:tcPr>
          <w:p w14:paraId="6FADDE0B" w14:textId="77777777" w:rsidR="003F2C39" w:rsidRDefault="00000000" w:rsidP="00045169">
            <w:pPr>
              <w:widowControl w:val="0"/>
              <w:spacing w:line="360" w:lineRule="auto"/>
              <w:jc w:val="both"/>
              <w:rPr>
                <w:rFonts w:ascii="Times New Roman" w:hAnsi="Times New Roman" w:cs="Times New Roman"/>
                <w:color w:val="000000" w:themeColor="text1"/>
                <w:sz w:val="24"/>
                <w:szCs w:val="24"/>
              </w:rPr>
            </w:pPr>
            <w:r w:rsidRPr="00045169">
              <w:rPr>
                <w:rFonts w:ascii="Times New Roman" w:hAnsi="Times New Roman" w:cs="Times New Roman"/>
                <w:color w:val="000000" w:themeColor="text1"/>
                <w:sz w:val="24"/>
                <w:szCs w:val="24"/>
              </w:rPr>
              <w:t>18000,00</w:t>
            </w:r>
          </w:p>
        </w:tc>
      </w:tr>
      <w:tr w:rsidR="003F2C39" w14:paraId="54C1763F" w14:textId="77777777">
        <w:tc>
          <w:tcPr>
            <w:tcW w:w="992" w:type="dxa"/>
            <w:tcBorders>
              <w:top w:val="single" w:sz="4" w:space="0" w:color="000000"/>
              <w:left w:val="single" w:sz="4" w:space="0" w:color="000000"/>
              <w:bottom w:val="single" w:sz="4" w:space="0" w:color="000000"/>
              <w:right w:val="single" w:sz="4" w:space="0" w:color="000000"/>
            </w:tcBorders>
          </w:tcPr>
          <w:p w14:paraId="49B37ADD" w14:textId="77777777" w:rsidR="003F2C39" w:rsidRDefault="00000000" w:rsidP="00045169">
            <w:pPr>
              <w:widowControl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770" w:type="dxa"/>
            <w:tcBorders>
              <w:top w:val="single" w:sz="4" w:space="0" w:color="000000"/>
              <w:left w:val="single" w:sz="4" w:space="0" w:color="000000"/>
              <w:bottom w:val="single" w:sz="4" w:space="0" w:color="000000"/>
              <w:right w:val="single" w:sz="4" w:space="0" w:color="000000"/>
            </w:tcBorders>
          </w:tcPr>
          <w:p w14:paraId="057D5152" w14:textId="77777777" w:rsidR="003F2C39" w:rsidRDefault="00000000" w:rsidP="00045169">
            <w:pPr>
              <w:widowControl w:val="0"/>
              <w:spacing w:line="360" w:lineRule="auto"/>
              <w:jc w:val="both"/>
              <w:rPr>
                <w:rFonts w:ascii="Times New Roman" w:hAnsi="Times New Roman" w:cs="Times New Roman"/>
                <w:color w:val="000000"/>
                <w:sz w:val="24"/>
                <w:szCs w:val="24"/>
              </w:rPr>
            </w:pPr>
            <w:r w:rsidRPr="00045169">
              <w:rPr>
                <w:rFonts w:ascii="Times New Roman" w:hAnsi="Times New Roman" w:cs="Times New Roman"/>
                <w:color w:val="000000"/>
                <w:sz w:val="24"/>
                <w:szCs w:val="24"/>
              </w:rPr>
              <w:t>Total</w:t>
            </w:r>
          </w:p>
        </w:tc>
        <w:tc>
          <w:tcPr>
            <w:tcW w:w="1676" w:type="dxa"/>
            <w:tcBorders>
              <w:top w:val="single" w:sz="4" w:space="0" w:color="000000"/>
              <w:left w:val="single" w:sz="4" w:space="0" w:color="000000"/>
              <w:bottom w:val="single" w:sz="4" w:space="0" w:color="000000"/>
              <w:right w:val="single" w:sz="4" w:space="0" w:color="000000"/>
            </w:tcBorders>
          </w:tcPr>
          <w:p w14:paraId="33A572E2" w14:textId="77777777" w:rsidR="003F2C39" w:rsidRDefault="003F2C39">
            <w:pPr>
              <w:widowControl w:val="0"/>
              <w:spacing w:line="360" w:lineRule="auto"/>
              <w:jc w:val="both"/>
              <w:rPr>
                <w:rFonts w:ascii="Times New Roman" w:hAnsi="Times New Roman" w:cs="Times New Roman"/>
                <w:b/>
                <w:color w:val="000000"/>
                <w:sz w:val="24"/>
                <w:szCs w:val="24"/>
              </w:rPr>
            </w:pPr>
          </w:p>
        </w:tc>
        <w:tc>
          <w:tcPr>
            <w:tcW w:w="1486" w:type="dxa"/>
            <w:tcBorders>
              <w:top w:val="single" w:sz="4" w:space="0" w:color="000000"/>
              <w:left w:val="single" w:sz="4" w:space="0" w:color="000000"/>
              <w:bottom w:val="single" w:sz="4" w:space="0" w:color="000000"/>
              <w:right w:val="single" w:sz="4" w:space="0" w:color="000000"/>
            </w:tcBorders>
          </w:tcPr>
          <w:p w14:paraId="6D351580" w14:textId="77777777" w:rsidR="003F2C39" w:rsidRDefault="003F2C39">
            <w:pPr>
              <w:widowControl w:val="0"/>
              <w:spacing w:line="360" w:lineRule="auto"/>
              <w:jc w:val="both"/>
              <w:rPr>
                <w:rFonts w:ascii="Times New Roman" w:hAnsi="Times New Roman" w:cs="Times New Roman"/>
                <w:b/>
                <w:color w:val="000000"/>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2886C1B1" w14:textId="77777777" w:rsidR="003F2C39" w:rsidRDefault="00000000" w:rsidP="00045169">
            <w:pPr>
              <w:widowControl w:val="0"/>
              <w:spacing w:line="360" w:lineRule="auto"/>
              <w:jc w:val="both"/>
              <w:rPr>
                <w:rFonts w:ascii="Times New Roman" w:hAnsi="Times New Roman" w:cs="Times New Roman"/>
                <w:color w:val="000000" w:themeColor="text1"/>
                <w:sz w:val="24"/>
                <w:szCs w:val="24"/>
              </w:rPr>
            </w:pPr>
            <w:r w:rsidRPr="00045169">
              <w:rPr>
                <w:rFonts w:ascii="Times New Roman" w:hAnsi="Times New Roman" w:cs="Times New Roman"/>
                <w:color w:val="000000" w:themeColor="text1"/>
                <w:sz w:val="24"/>
                <w:szCs w:val="24"/>
              </w:rPr>
              <w:t>156.000,00</w:t>
            </w:r>
          </w:p>
        </w:tc>
      </w:tr>
    </w:tbl>
    <w:p w14:paraId="1CE22BA7" w14:textId="77777777" w:rsidR="003F2C39" w:rsidRDefault="003F2C39">
      <w:pPr>
        <w:spacing w:after="0" w:line="360" w:lineRule="auto"/>
        <w:ind w:left="720"/>
        <w:jc w:val="both"/>
        <w:rPr>
          <w:rFonts w:ascii="Times New Roman" w:hAnsi="Times New Roman" w:cs="Times New Roman"/>
          <w:b/>
          <w:color w:val="000000"/>
          <w:sz w:val="24"/>
          <w:szCs w:val="24"/>
        </w:rPr>
      </w:pPr>
    </w:p>
    <w:p w14:paraId="2BB15433" w14:textId="77777777" w:rsidR="003F2C39" w:rsidRDefault="003F2C39">
      <w:pPr>
        <w:spacing w:after="0" w:line="360" w:lineRule="auto"/>
        <w:ind w:left="720"/>
        <w:jc w:val="both"/>
        <w:rPr>
          <w:rFonts w:ascii="Times New Roman" w:hAnsi="Times New Roman" w:cs="Times New Roman"/>
          <w:b/>
          <w:color w:val="000000"/>
          <w:sz w:val="24"/>
          <w:szCs w:val="24"/>
        </w:rPr>
      </w:pPr>
    </w:p>
    <w:p w14:paraId="4CF7FAA6" w14:textId="77777777" w:rsidR="003F2C39" w:rsidRDefault="00000000" w:rsidP="00045169">
      <w:pPr>
        <w:pStyle w:val="PargrafodaLista"/>
        <w:numPr>
          <w:ilvl w:val="0"/>
          <w:numId w:val="1"/>
        </w:num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BIBLIOGRAFIA</w:t>
      </w:r>
      <w:r w:rsidRPr="00045169">
        <w:rPr>
          <w:rFonts w:ascii="Times New Roman" w:hAnsi="Times New Roman" w:cs="Times New Roman"/>
          <w:b/>
          <w:sz w:val="24"/>
          <w:szCs w:val="24"/>
        </w:rPr>
        <w:t xml:space="preserve"> </w:t>
      </w:r>
      <w:r w:rsidRPr="00045169">
        <w:rPr>
          <w:rFonts w:ascii="Times New Roman" w:hAnsi="Times New Roman" w:cs="Times New Roman"/>
          <w:color w:val="000000"/>
          <w:sz w:val="24"/>
          <w:szCs w:val="24"/>
        </w:rPr>
        <w:t xml:space="preserve"> </w:t>
      </w:r>
    </w:p>
    <w:p w14:paraId="60578F24" w14:textId="77777777" w:rsidR="003F2C39" w:rsidRDefault="003F2C39">
      <w:pPr>
        <w:spacing w:after="0" w:line="360" w:lineRule="auto"/>
        <w:jc w:val="both"/>
        <w:rPr>
          <w:rFonts w:ascii="Times New Roman" w:hAnsi="Times New Roman" w:cs="Times New Roman"/>
          <w:color w:val="000000"/>
          <w:sz w:val="24"/>
          <w:szCs w:val="24"/>
        </w:rPr>
      </w:pPr>
    </w:p>
    <w:p w14:paraId="1A1B33F1"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sidRPr="00045169">
        <w:rPr>
          <w:rFonts w:ascii="Times New Roman" w:hAnsi="Times New Roman" w:cs="Times New Roman"/>
          <w:sz w:val="24"/>
          <w:szCs w:val="24"/>
        </w:rPr>
        <w:t>Alzahrani</w:t>
      </w:r>
      <w:proofErr w:type="spellEnd"/>
      <w:r w:rsidRPr="00045169">
        <w:rPr>
          <w:rFonts w:ascii="Times New Roman" w:hAnsi="Times New Roman" w:cs="Times New Roman"/>
          <w:sz w:val="24"/>
          <w:szCs w:val="24"/>
        </w:rPr>
        <w:t xml:space="preserve">, T., Nguyen, T., Ryan, A., </w:t>
      </w:r>
      <w:proofErr w:type="spellStart"/>
      <w:r w:rsidRPr="00045169">
        <w:rPr>
          <w:rFonts w:ascii="Times New Roman" w:hAnsi="Times New Roman" w:cs="Times New Roman"/>
          <w:sz w:val="24"/>
          <w:szCs w:val="24"/>
        </w:rPr>
        <w:t>Dwairy</w:t>
      </w:r>
      <w:proofErr w:type="spellEnd"/>
      <w:r w:rsidRPr="00045169">
        <w:rPr>
          <w:rFonts w:ascii="Times New Roman" w:hAnsi="Times New Roman" w:cs="Times New Roman"/>
          <w:sz w:val="24"/>
          <w:szCs w:val="24"/>
        </w:rPr>
        <w:t xml:space="preserve">, A., McCaffrey, J., Yunus, R., </w:t>
      </w:r>
      <w:proofErr w:type="spellStart"/>
      <w:r w:rsidRPr="00045169">
        <w:rPr>
          <w:rFonts w:ascii="Times New Roman" w:hAnsi="Times New Roman" w:cs="Times New Roman"/>
          <w:sz w:val="24"/>
          <w:szCs w:val="24"/>
        </w:rPr>
        <w:t>Forgione</w:t>
      </w:r>
      <w:proofErr w:type="spellEnd"/>
      <w:r w:rsidRPr="00045169">
        <w:rPr>
          <w:rFonts w:ascii="Times New Roman" w:hAnsi="Times New Roman" w:cs="Times New Roman"/>
          <w:sz w:val="24"/>
          <w:szCs w:val="24"/>
        </w:rPr>
        <w:t xml:space="preserve">, J., </w:t>
      </w:r>
      <w:proofErr w:type="spellStart"/>
      <w:r w:rsidRPr="00045169">
        <w:rPr>
          <w:rFonts w:ascii="Times New Roman" w:hAnsi="Times New Roman" w:cs="Times New Roman"/>
          <w:sz w:val="24"/>
          <w:szCs w:val="24"/>
        </w:rPr>
        <w:t>Krepp</w:t>
      </w:r>
      <w:proofErr w:type="spellEnd"/>
      <w:r w:rsidRPr="00045169">
        <w:rPr>
          <w:rFonts w:ascii="Times New Roman" w:hAnsi="Times New Roman" w:cs="Times New Roman"/>
          <w:sz w:val="24"/>
          <w:szCs w:val="24"/>
        </w:rPr>
        <w:t xml:space="preserve">, J., Nagy, C., </w:t>
      </w:r>
      <w:proofErr w:type="spellStart"/>
      <w:r w:rsidRPr="00045169">
        <w:rPr>
          <w:rFonts w:ascii="Times New Roman" w:hAnsi="Times New Roman" w:cs="Times New Roman"/>
          <w:sz w:val="24"/>
          <w:szCs w:val="24"/>
        </w:rPr>
        <w:t>Mazhari</w:t>
      </w:r>
      <w:proofErr w:type="spellEnd"/>
      <w:r w:rsidRPr="00045169">
        <w:rPr>
          <w:rFonts w:ascii="Times New Roman" w:hAnsi="Times New Roman" w:cs="Times New Roman"/>
          <w:sz w:val="24"/>
          <w:szCs w:val="24"/>
        </w:rPr>
        <w:t xml:space="preserve">, R., &amp; Reiner, J. (2019). </w:t>
      </w:r>
      <w:r w:rsidRPr="00045169">
        <w:rPr>
          <w:rFonts w:ascii="Times New Roman" w:hAnsi="Times New Roman" w:cs="Times New Roman"/>
          <w:sz w:val="24"/>
          <w:szCs w:val="24"/>
          <w:lang w:val="en-US"/>
        </w:rPr>
        <w:t xml:space="preserve">Cardiovascular Disease Risk Factors and Myocardial Infarction </w:t>
      </w:r>
      <w:r w:rsidRPr="00045169">
        <w:rPr>
          <w:rFonts w:ascii="Times New Roman" w:hAnsi="Times New Roman" w:cs="Times New Roman"/>
          <w:sz w:val="24"/>
          <w:szCs w:val="24"/>
          <w:lang w:val="en-US"/>
        </w:rPr>
        <w:lastRenderedPageBreak/>
        <w:t xml:space="preserve">in the Transgender Population. </w:t>
      </w:r>
      <w:r w:rsidRPr="00045169">
        <w:rPr>
          <w:rFonts w:ascii="Times New Roman" w:hAnsi="Times New Roman" w:cs="Times New Roman"/>
          <w:i/>
          <w:sz w:val="24"/>
          <w:szCs w:val="24"/>
          <w:lang w:val="en-US"/>
        </w:rPr>
        <w:t>Circulation: Cardiovascular Quality and Outcomes</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12</w:t>
      </w:r>
      <w:r w:rsidRPr="00045169">
        <w:rPr>
          <w:rFonts w:ascii="Times New Roman" w:hAnsi="Times New Roman" w:cs="Times New Roman"/>
          <w:sz w:val="24"/>
          <w:szCs w:val="24"/>
          <w:lang w:val="en-US"/>
        </w:rPr>
        <w:t>(4). https://doi.org/10.1161/CIRCOUTCOMES.119.005597</w:t>
      </w:r>
    </w:p>
    <w:p w14:paraId="20A4728E"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Anderson, T. J., </w:t>
      </w:r>
      <w:proofErr w:type="spellStart"/>
      <w:r w:rsidRPr="00045169">
        <w:rPr>
          <w:rFonts w:ascii="Times New Roman" w:hAnsi="Times New Roman" w:cs="Times New Roman"/>
          <w:sz w:val="24"/>
          <w:szCs w:val="24"/>
          <w:lang w:val="en-US"/>
        </w:rPr>
        <w:t>Uehata</w:t>
      </w:r>
      <w:proofErr w:type="spellEnd"/>
      <w:r w:rsidRPr="00045169">
        <w:rPr>
          <w:rFonts w:ascii="Times New Roman" w:hAnsi="Times New Roman" w:cs="Times New Roman"/>
          <w:sz w:val="24"/>
          <w:szCs w:val="24"/>
          <w:lang w:val="en-US"/>
        </w:rPr>
        <w:t xml:space="preserve">, A., Gerhard, M. D., Meredith, I. T., Knab, S., Delagrange, D., Lieberman, E. H., Ganz, P., Creager, M. A., Yeung, A. C., &amp; Selwyn, A. P. (1995). Close relation of endothelial function in the human coronary and peripheral circulations. </w:t>
      </w:r>
      <w:r w:rsidRPr="00045169">
        <w:rPr>
          <w:rFonts w:ascii="Times New Roman" w:hAnsi="Times New Roman" w:cs="Times New Roman"/>
          <w:i/>
          <w:sz w:val="24"/>
          <w:szCs w:val="24"/>
          <w:lang w:val="en-US"/>
        </w:rPr>
        <w:t>Journal of the American College of Cardiology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26</w:t>
      </w:r>
      <w:r w:rsidRPr="00045169">
        <w:rPr>
          <w:rFonts w:ascii="Times New Roman" w:hAnsi="Times New Roman" w:cs="Times New Roman"/>
          <w:sz w:val="24"/>
          <w:szCs w:val="24"/>
          <w:lang w:val="en-US"/>
        </w:rPr>
        <w:t>(5), 1235–1241. https://doi.org/10.1016/0735-1097(95)00327-4</w:t>
      </w:r>
    </w:p>
    <w:p w14:paraId="5FCB686F"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Banks, K., </w:t>
      </w:r>
      <w:proofErr w:type="spellStart"/>
      <w:r w:rsidRPr="00045169">
        <w:rPr>
          <w:rFonts w:ascii="Times New Roman" w:hAnsi="Times New Roman" w:cs="Times New Roman"/>
          <w:sz w:val="24"/>
          <w:szCs w:val="24"/>
          <w:lang w:val="en-US"/>
        </w:rPr>
        <w:t>Kyinn</w:t>
      </w:r>
      <w:proofErr w:type="spellEnd"/>
      <w:r w:rsidRPr="00045169">
        <w:rPr>
          <w:rFonts w:ascii="Times New Roman" w:hAnsi="Times New Roman" w:cs="Times New Roman"/>
          <w:sz w:val="24"/>
          <w:szCs w:val="24"/>
          <w:lang w:val="en-US"/>
        </w:rPr>
        <w:t xml:space="preserve">, M., </w:t>
      </w:r>
      <w:proofErr w:type="spellStart"/>
      <w:r w:rsidRPr="00045169">
        <w:rPr>
          <w:rFonts w:ascii="Times New Roman" w:hAnsi="Times New Roman" w:cs="Times New Roman"/>
          <w:sz w:val="24"/>
          <w:szCs w:val="24"/>
          <w:lang w:val="en-US"/>
        </w:rPr>
        <w:t>Leemaqz</w:t>
      </w:r>
      <w:proofErr w:type="spellEnd"/>
      <w:r w:rsidRPr="00045169">
        <w:rPr>
          <w:rFonts w:ascii="Times New Roman" w:hAnsi="Times New Roman" w:cs="Times New Roman"/>
          <w:sz w:val="24"/>
          <w:szCs w:val="24"/>
          <w:lang w:val="en-US"/>
        </w:rPr>
        <w:t xml:space="preserve">, S. Y., Sarkodie, E., Goldstein, D., &amp; </w:t>
      </w:r>
      <w:proofErr w:type="spellStart"/>
      <w:r w:rsidRPr="00045169">
        <w:rPr>
          <w:rFonts w:ascii="Times New Roman" w:hAnsi="Times New Roman" w:cs="Times New Roman"/>
          <w:sz w:val="24"/>
          <w:szCs w:val="24"/>
          <w:lang w:val="en-US"/>
        </w:rPr>
        <w:t>Irwig</w:t>
      </w:r>
      <w:proofErr w:type="spellEnd"/>
      <w:r w:rsidRPr="00045169">
        <w:rPr>
          <w:rFonts w:ascii="Times New Roman" w:hAnsi="Times New Roman" w:cs="Times New Roman"/>
          <w:sz w:val="24"/>
          <w:szCs w:val="24"/>
          <w:lang w:val="en-US"/>
        </w:rPr>
        <w:t xml:space="preserve">, M. S. (2021). Blood Pressure Effects of Gender-Affirming Hormone Therapy in Transgender and Gender-Diverse Adults. </w:t>
      </w:r>
      <w:r w:rsidRPr="00045169">
        <w:rPr>
          <w:rFonts w:ascii="Times New Roman" w:hAnsi="Times New Roman" w:cs="Times New Roman"/>
          <w:i/>
          <w:sz w:val="24"/>
          <w:szCs w:val="24"/>
          <w:lang w:val="en-US"/>
        </w:rPr>
        <w:t>Hypertension</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77</w:t>
      </w:r>
      <w:r w:rsidRPr="00045169">
        <w:rPr>
          <w:rFonts w:ascii="Times New Roman" w:hAnsi="Times New Roman" w:cs="Times New Roman"/>
          <w:sz w:val="24"/>
          <w:szCs w:val="24"/>
          <w:lang w:val="en-US"/>
        </w:rPr>
        <w:t>(6), 2066–2074. https://doi.org/10.1161/HYPERTENSIONAHA.120.16839</w:t>
      </w:r>
    </w:p>
    <w:p w14:paraId="197242AB"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Bonetti, P. O., Pumper, G. M., </w:t>
      </w:r>
      <w:proofErr w:type="spellStart"/>
      <w:r w:rsidRPr="00045169">
        <w:rPr>
          <w:rFonts w:ascii="Times New Roman" w:hAnsi="Times New Roman" w:cs="Times New Roman"/>
          <w:sz w:val="24"/>
          <w:szCs w:val="24"/>
          <w:lang w:val="en-US"/>
        </w:rPr>
        <w:t>Higano</w:t>
      </w:r>
      <w:proofErr w:type="spellEnd"/>
      <w:r w:rsidRPr="00045169">
        <w:rPr>
          <w:rFonts w:ascii="Times New Roman" w:hAnsi="Times New Roman" w:cs="Times New Roman"/>
          <w:sz w:val="24"/>
          <w:szCs w:val="24"/>
          <w:lang w:val="en-US"/>
        </w:rPr>
        <w:t xml:space="preserve">, S. T., Holmes, D. R., Kuvin, J. T., &amp; Lerman, A. (2004). Noninvasive identification of patients with early coronary atherosclerosis by assessment of digital reactive hyperemia. </w:t>
      </w:r>
      <w:r w:rsidRPr="00045169">
        <w:rPr>
          <w:rFonts w:ascii="Times New Roman" w:hAnsi="Times New Roman" w:cs="Times New Roman"/>
          <w:i/>
          <w:sz w:val="24"/>
          <w:szCs w:val="24"/>
          <w:lang w:val="en-US"/>
        </w:rPr>
        <w:t>Journal of the American College of Cardiology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44</w:t>
      </w:r>
      <w:r w:rsidRPr="00045169">
        <w:rPr>
          <w:rFonts w:ascii="Times New Roman" w:hAnsi="Times New Roman" w:cs="Times New Roman"/>
          <w:sz w:val="24"/>
          <w:szCs w:val="24"/>
          <w:lang w:val="en-US"/>
        </w:rPr>
        <w:t>(11), 2137–2141. https://doi.org/10.1016/j.jacc.2004.08.062</w:t>
      </w:r>
    </w:p>
    <w:p w14:paraId="4F745384" w14:textId="77777777" w:rsidR="003F2C39" w:rsidRDefault="00000000">
      <w:pPr>
        <w:spacing w:after="0" w:line="360" w:lineRule="auto"/>
        <w:ind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Brown, A. (n.d.). </w:t>
      </w:r>
      <w:r w:rsidRPr="00045169">
        <w:rPr>
          <w:rFonts w:ascii="Times New Roman" w:hAnsi="Times New Roman" w:cs="Times New Roman"/>
          <w:i/>
          <w:sz w:val="24"/>
          <w:szCs w:val="24"/>
          <w:lang w:val="en-US"/>
        </w:rPr>
        <w:t>https://transequality.org/sites/default/files/docs/resources/NTDS_Report.pdf</w:t>
      </w:r>
      <w:r w:rsidRPr="00045169">
        <w:rPr>
          <w:rFonts w:ascii="Times New Roman" w:hAnsi="Times New Roman" w:cs="Times New Roman"/>
          <w:sz w:val="24"/>
          <w:szCs w:val="24"/>
          <w:lang w:val="en-US"/>
        </w:rPr>
        <w:t>.</w:t>
      </w:r>
    </w:p>
    <w:p w14:paraId="3CB4CE0A"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Chakrabarti, S., Morton, J. S., &amp; Davidge, S. T. (2014). Mechanisms of Estrogen Effects on the Endothelium: An Overview. </w:t>
      </w:r>
      <w:r w:rsidRPr="00045169">
        <w:rPr>
          <w:rFonts w:ascii="Times New Roman" w:hAnsi="Times New Roman" w:cs="Times New Roman"/>
          <w:i/>
          <w:sz w:val="24"/>
          <w:szCs w:val="24"/>
          <w:lang w:val="en-US"/>
        </w:rPr>
        <w:t>Canadian Journal of Cardiology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30</w:t>
      </w:r>
      <w:r w:rsidRPr="00045169">
        <w:rPr>
          <w:rFonts w:ascii="Times New Roman" w:hAnsi="Times New Roman" w:cs="Times New Roman"/>
          <w:sz w:val="24"/>
          <w:szCs w:val="24"/>
          <w:lang w:val="en-US"/>
        </w:rPr>
        <w:t>(7), 705–712. https://doi.org/10.1016/j.cjca.2013.08.006</w:t>
      </w:r>
    </w:p>
    <w:p w14:paraId="7F511C5D"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sidRPr="00045169">
        <w:rPr>
          <w:rFonts w:ascii="Times New Roman" w:hAnsi="Times New Roman" w:cs="Times New Roman"/>
          <w:sz w:val="24"/>
          <w:szCs w:val="24"/>
          <w:lang w:val="en-US"/>
        </w:rPr>
        <w:t>Cocchetti</w:t>
      </w:r>
      <w:proofErr w:type="spellEnd"/>
      <w:r w:rsidRPr="00045169">
        <w:rPr>
          <w:rFonts w:ascii="Times New Roman" w:hAnsi="Times New Roman" w:cs="Times New Roman"/>
          <w:sz w:val="24"/>
          <w:szCs w:val="24"/>
          <w:lang w:val="en-US"/>
        </w:rPr>
        <w:t xml:space="preserve">, C., Castellini, G., </w:t>
      </w:r>
      <w:proofErr w:type="spellStart"/>
      <w:r w:rsidRPr="00045169">
        <w:rPr>
          <w:rFonts w:ascii="Times New Roman" w:hAnsi="Times New Roman" w:cs="Times New Roman"/>
          <w:sz w:val="24"/>
          <w:szCs w:val="24"/>
          <w:lang w:val="en-US"/>
        </w:rPr>
        <w:t>Iacuaniello</w:t>
      </w:r>
      <w:proofErr w:type="spellEnd"/>
      <w:r w:rsidRPr="00045169">
        <w:rPr>
          <w:rFonts w:ascii="Times New Roman" w:hAnsi="Times New Roman" w:cs="Times New Roman"/>
          <w:sz w:val="24"/>
          <w:szCs w:val="24"/>
          <w:lang w:val="en-US"/>
        </w:rPr>
        <w:t xml:space="preserve">, D., Romani, A., Maggi, M., </w:t>
      </w:r>
      <w:proofErr w:type="spellStart"/>
      <w:r w:rsidRPr="00045169">
        <w:rPr>
          <w:rFonts w:ascii="Times New Roman" w:hAnsi="Times New Roman" w:cs="Times New Roman"/>
          <w:sz w:val="24"/>
          <w:szCs w:val="24"/>
          <w:lang w:val="en-US"/>
        </w:rPr>
        <w:t>Vignozzi</w:t>
      </w:r>
      <w:proofErr w:type="spellEnd"/>
      <w:r w:rsidRPr="00045169">
        <w:rPr>
          <w:rFonts w:ascii="Times New Roman" w:hAnsi="Times New Roman" w:cs="Times New Roman"/>
          <w:sz w:val="24"/>
          <w:szCs w:val="24"/>
          <w:lang w:val="en-US"/>
        </w:rPr>
        <w:t xml:space="preserve">, L., Schreiner, T., den </w:t>
      </w:r>
      <w:proofErr w:type="spellStart"/>
      <w:r w:rsidRPr="00045169">
        <w:rPr>
          <w:rFonts w:ascii="Times New Roman" w:hAnsi="Times New Roman" w:cs="Times New Roman"/>
          <w:sz w:val="24"/>
          <w:szCs w:val="24"/>
          <w:lang w:val="en-US"/>
        </w:rPr>
        <w:t>Heijer</w:t>
      </w:r>
      <w:proofErr w:type="spellEnd"/>
      <w:r w:rsidRPr="00045169">
        <w:rPr>
          <w:rFonts w:ascii="Times New Roman" w:hAnsi="Times New Roman" w:cs="Times New Roman"/>
          <w:sz w:val="24"/>
          <w:szCs w:val="24"/>
          <w:lang w:val="en-US"/>
        </w:rPr>
        <w:t xml:space="preserve">, M., </w:t>
      </w:r>
      <w:proofErr w:type="spellStart"/>
      <w:r w:rsidRPr="00045169">
        <w:rPr>
          <w:rFonts w:ascii="Times New Roman" w:hAnsi="Times New Roman" w:cs="Times New Roman"/>
          <w:sz w:val="24"/>
          <w:szCs w:val="24"/>
          <w:lang w:val="en-US"/>
        </w:rPr>
        <w:t>T’Sjoen</w:t>
      </w:r>
      <w:proofErr w:type="spellEnd"/>
      <w:r w:rsidRPr="00045169">
        <w:rPr>
          <w:rFonts w:ascii="Times New Roman" w:hAnsi="Times New Roman" w:cs="Times New Roman"/>
          <w:sz w:val="24"/>
          <w:szCs w:val="24"/>
          <w:lang w:val="en-US"/>
        </w:rPr>
        <w:t xml:space="preserve">, G., &amp; Fisher, A. D. (2021). Does Gender-Affirming Hormonal Treatment Affect 30-Year Cardiovascular Risk in Transgender Persons? A Two-Year Prospective European Study (ENIGI). </w:t>
      </w:r>
      <w:r w:rsidRPr="00045169">
        <w:rPr>
          <w:rFonts w:ascii="Times New Roman" w:hAnsi="Times New Roman" w:cs="Times New Roman"/>
          <w:i/>
          <w:sz w:val="24"/>
          <w:szCs w:val="24"/>
          <w:lang w:val="en-US"/>
        </w:rPr>
        <w:t>The Journal of Sexual Medicine</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18</w:t>
      </w:r>
      <w:r w:rsidRPr="00045169">
        <w:rPr>
          <w:rFonts w:ascii="Times New Roman" w:hAnsi="Times New Roman" w:cs="Times New Roman"/>
          <w:sz w:val="24"/>
          <w:szCs w:val="24"/>
          <w:lang w:val="en-US"/>
        </w:rPr>
        <w:t>(4), 821–829. https://doi.org/10.1016/j.jsxm.2021.01.185</w:t>
      </w:r>
    </w:p>
    <w:p w14:paraId="65BA079B"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Coleman, E., Radix, A. E., Bouman, W. P., Brown, G. R., de Vries, A. L. C., Deutsch, M. B., Ettner, R., Fraser, L., Goodman, M., Green, J., Hancock, A. B., Johnson, T. W., </w:t>
      </w:r>
      <w:proofErr w:type="spellStart"/>
      <w:r w:rsidRPr="00045169">
        <w:rPr>
          <w:rFonts w:ascii="Times New Roman" w:hAnsi="Times New Roman" w:cs="Times New Roman"/>
          <w:sz w:val="24"/>
          <w:szCs w:val="24"/>
          <w:lang w:val="en-US"/>
        </w:rPr>
        <w:t>Karasic</w:t>
      </w:r>
      <w:proofErr w:type="spellEnd"/>
      <w:r w:rsidRPr="00045169">
        <w:rPr>
          <w:rFonts w:ascii="Times New Roman" w:hAnsi="Times New Roman" w:cs="Times New Roman"/>
          <w:sz w:val="24"/>
          <w:szCs w:val="24"/>
          <w:lang w:val="en-US"/>
        </w:rPr>
        <w:t>, D. H., Knudson, G. A., Leibowitz, S. F., Meyer-</w:t>
      </w:r>
      <w:proofErr w:type="spellStart"/>
      <w:r w:rsidRPr="00045169">
        <w:rPr>
          <w:rFonts w:ascii="Times New Roman" w:hAnsi="Times New Roman" w:cs="Times New Roman"/>
          <w:sz w:val="24"/>
          <w:szCs w:val="24"/>
          <w:lang w:val="en-US"/>
        </w:rPr>
        <w:t>Bahlburg</w:t>
      </w:r>
      <w:proofErr w:type="spellEnd"/>
      <w:r w:rsidRPr="00045169">
        <w:rPr>
          <w:rFonts w:ascii="Times New Roman" w:hAnsi="Times New Roman" w:cs="Times New Roman"/>
          <w:sz w:val="24"/>
          <w:szCs w:val="24"/>
          <w:lang w:val="en-US"/>
        </w:rPr>
        <w:t xml:space="preserve">, H. F. L., </w:t>
      </w:r>
      <w:proofErr w:type="spellStart"/>
      <w:r w:rsidRPr="00045169">
        <w:rPr>
          <w:rFonts w:ascii="Times New Roman" w:hAnsi="Times New Roman" w:cs="Times New Roman"/>
          <w:sz w:val="24"/>
          <w:szCs w:val="24"/>
          <w:lang w:val="en-US"/>
        </w:rPr>
        <w:t>Monstrey</w:t>
      </w:r>
      <w:proofErr w:type="spellEnd"/>
      <w:r w:rsidRPr="00045169">
        <w:rPr>
          <w:rFonts w:ascii="Times New Roman" w:hAnsi="Times New Roman" w:cs="Times New Roman"/>
          <w:sz w:val="24"/>
          <w:szCs w:val="24"/>
          <w:lang w:val="en-US"/>
        </w:rPr>
        <w:t xml:space="preserve">, S. J., </w:t>
      </w:r>
      <w:proofErr w:type="spellStart"/>
      <w:r w:rsidRPr="00045169">
        <w:rPr>
          <w:rFonts w:ascii="Times New Roman" w:hAnsi="Times New Roman" w:cs="Times New Roman"/>
          <w:sz w:val="24"/>
          <w:szCs w:val="24"/>
          <w:lang w:val="en-US"/>
        </w:rPr>
        <w:t>Motmans</w:t>
      </w:r>
      <w:proofErr w:type="spellEnd"/>
      <w:r w:rsidRPr="00045169">
        <w:rPr>
          <w:rFonts w:ascii="Times New Roman" w:hAnsi="Times New Roman" w:cs="Times New Roman"/>
          <w:sz w:val="24"/>
          <w:szCs w:val="24"/>
          <w:lang w:val="en-US"/>
        </w:rPr>
        <w:t xml:space="preserve">, J., </w:t>
      </w:r>
      <w:proofErr w:type="spellStart"/>
      <w:r w:rsidRPr="00045169">
        <w:rPr>
          <w:rFonts w:ascii="Times New Roman" w:hAnsi="Times New Roman" w:cs="Times New Roman"/>
          <w:sz w:val="24"/>
          <w:szCs w:val="24"/>
          <w:lang w:val="en-US"/>
        </w:rPr>
        <w:t>Nahata</w:t>
      </w:r>
      <w:proofErr w:type="spellEnd"/>
      <w:r w:rsidRPr="00045169">
        <w:rPr>
          <w:rFonts w:ascii="Times New Roman" w:hAnsi="Times New Roman" w:cs="Times New Roman"/>
          <w:sz w:val="24"/>
          <w:szCs w:val="24"/>
          <w:lang w:val="en-US"/>
        </w:rPr>
        <w:t xml:space="preserve">, L., … </w:t>
      </w:r>
      <w:proofErr w:type="spellStart"/>
      <w:r w:rsidRPr="00045169">
        <w:rPr>
          <w:rFonts w:ascii="Times New Roman" w:hAnsi="Times New Roman" w:cs="Times New Roman"/>
          <w:sz w:val="24"/>
          <w:szCs w:val="24"/>
          <w:lang w:val="en-US"/>
        </w:rPr>
        <w:t>Arcelus</w:t>
      </w:r>
      <w:proofErr w:type="spellEnd"/>
      <w:r w:rsidRPr="00045169">
        <w:rPr>
          <w:rFonts w:ascii="Times New Roman" w:hAnsi="Times New Roman" w:cs="Times New Roman"/>
          <w:sz w:val="24"/>
          <w:szCs w:val="24"/>
          <w:lang w:val="en-US"/>
        </w:rPr>
        <w:t xml:space="preserve">, J. (2022). Standards of Care for the Health of Transgender and Gender Diverse People, Version 8. </w:t>
      </w:r>
      <w:r w:rsidRPr="00045169">
        <w:rPr>
          <w:rFonts w:ascii="Times New Roman" w:hAnsi="Times New Roman" w:cs="Times New Roman"/>
          <w:i/>
          <w:sz w:val="24"/>
          <w:szCs w:val="24"/>
          <w:lang w:val="en-US"/>
        </w:rPr>
        <w:t>International Journal of Transgender Health</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23</w:t>
      </w:r>
      <w:r w:rsidRPr="00045169">
        <w:rPr>
          <w:rFonts w:ascii="Times New Roman" w:hAnsi="Times New Roman" w:cs="Times New Roman"/>
          <w:sz w:val="24"/>
          <w:szCs w:val="24"/>
          <w:lang w:val="en-US"/>
        </w:rPr>
        <w:t>(sup1), S1–S259. https://doi.org/10.1080/26895269.2022.2100644</w:t>
      </w:r>
    </w:p>
    <w:p w14:paraId="2CC2ADD6" w14:textId="77777777" w:rsidR="003F2C39" w:rsidRDefault="00000000">
      <w:pPr>
        <w:spacing w:after="0" w:line="360" w:lineRule="auto"/>
        <w:ind w:hanging="480"/>
        <w:jc w:val="both"/>
        <w:rPr>
          <w:rFonts w:ascii="Times New Roman" w:hAnsi="Times New Roman" w:cs="Times New Roman"/>
          <w:sz w:val="24"/>
          <w:szCs w:val="24"/>
        </w:rPr>
      </w:pPr>
      <w:r w:rsidRPr="00045169">
        <w:rPr>
          <w:rFonts w:ascii="Times New Roman" w:hAnsi="Times New Roman" w:cs="Times New Roman"/>
          <w:sz w:val="24"/>
          <w:szCs w:val="24"/>
          <w:lang w:val="en-US"/>
        </w:rPr>
        <w:t xml:space="preserve">Connelly, P. J., &amp; Delles, C. (2021). Cardiovascular disease in transgender people: recent research and emerging evidence. </w:t>
      </w:r>
      <w:r w:rsidRPr="00045169">
        <w:rPr>
          <w:rFonts w:ascii="Times New Roman" w:hAnsi="Times New Roman" w:cs="Times New Roman"/>
          <w:i/>
          <w:sz w:val="24"/>
          <w:szCs w:val="24"/>
        </w:rPr>
        <w:t xml:space="preserve">Cardiovascular </w:t>
      </w:r>
      <w:proofErr w:type="spellStart"/>
      <w:r w:rsidRPr="00045169">
        <w:rPr>
          <w:rFonts w:ascii="Times New Roman" w:hAnsi="Times New Roman" w:cs="Times New Roman"/>
          <w:i/>
          <w:sz w:val="24"/>
          <w:szCs w:val="24"/>
        </w:rPr>
        <w:t>Research</w:t>
      </w:r>
      <w:proofErr w:type="spellEnd"/>
      <w:r w:rsidRPr="00045169">
        <w:rPr>
          <w:rFonts w:ascii="Times New Roman" w:hAnsi="Times New Roman" w:cs="Times New Roman"/>
          <w:sz w:val="24"/>
          <w:szCs w:val="24"/>
        </w:rPr>
        <w:t xml:space="preserve">, </w:t>
      </w:r>
      <w:r w:rsidRPr="00045169">
        <w:rPr>
          <w:rFonts w:ascii="Times New Roman" w:hAnsi="Times New Roman" w:cs="Times New Roman"/>
          <w:i/>
          <w:sz w:val="24"/>
          <w:szCs w:val="24"/>
        </w:rPr>
        <w:t>117</w:t>
      </w:r>
      <w:r w:rsidRPr="00045169">
        <w:rPr>
          <w:rFonts w:ascii="Times New Roman" w:hAnsi="Times New Roman" w:cs="Times New Roman"/>
          <w:sz w:val="24"/>
          <w:szCs w:val="24"/>
        </w:rPr>
        <w:t>(14), e174–e176. https://doi.org/10.1093/cvr/cvab288</w:t>
      </w:r>
    </w:p>
    <w:p w14:paraId="4393AD21"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rPr>
        <w:t xml:space="preserve">Cunha, F. S., Bachega, T. A. S. S., Costa, E. M. F., Brito, V. N., Alvares, L. A., Costa-Hong, V. A., </w:t>
      </w:r>
      <w:proofErr w:type="spellStart"/>
      <w:r w:rsidRPr="00045169">
        <w:rPr>
          <w:rFonts w:ascii="Times New Roman" w:hAnsi="Times New Roman" w:cs="Times New Roman"/>
          <w:sz w:val="24"/>
          <w:szCs w:val="24"/>
        </w:rPr>
        <w:t>Verardino</w:t>
      </w:r>
      <w:proofErr w:type="spellEnd"/>
      <w:r w:rsidRPr="00045169">
        <w:rPr>
          <w:rFonts w:ascii="Times New Roman" w:hAnsi="Times New Roman" w:cs="Times New Roman"/>
          <w:sz w:val="24"/>
          <w:szCs w:val="24"/>
        </w:rPr>
        <w:t xml:space="preserve">, R. G. S., </w:t>
      </w:r>
      <w:proofErr w:type="spellStart"/>
      <w:r w:rsidRPr="00045169">
        <w:rPr>
          <w:rFonts w:ascii="Times New Roman" w:hAnsi="Times New Roman" w:cs="Times New Roman"/>
          <w:sz w:val="24"/>
          <w:szCs w:val="24"/>
        </w:rPr>
        <w:t>Sircili</w:t>
      </w:r>
      <w:proofErr w:type="spellEnd"/>
      <w:r w:rsidRPr="00045169">
        <w:rPr>
          <w:rFonts w:ascii="Times New Roman" w:hAnsi="Times New Roman" w:cs="Times New Roman"/>
          <w:sz w:val="24"/>
          <w:szCs w:val="24"/>
        </w:rPr>
        <w:t xml:space="preserve">, M. H. P., Mendonça, B. B. </w:t>
      </w:r>
      <w:proofErr w:type="gramStart"/>
      <w:r w:rsidRPr="00045169">
        <w:rPr>
          <w:rFonts w:ascii="Times New Roman" w:hAnsi="Times New Roman" w:cs="Times New Roman"/>
          <w:sz w:val="24"/>
          <w:szCs w:val="24"/>
        </w:rPr>
        <w:t>de, Bortolotto</w:t>
      </w:r>
      <w:proofErr w:type="gramEnd"/>
      <w:r w:rsidRPr="00045169">
        <w:rPr>
          <w:rFonts w:ascii="Times New Roman" w:hAnsi="Times New Roman" w:cs="Times New Roman"/>
          <w:sz w:val="24"/>
          <w:szCs w:val="24"/>
        </w:rPr>
        <w:t xml:space="preserve">, L. A., &amp; </w:t>
      </w:r>
      <w:proofErr w:type="spellStart"/>
      <w:r w:rsidRPr="00045169">
        <w:rPr>
          <w:rFonts w:ascii="Times New Roman" w:hAnsi="Times New Roman" w:cs="Times New Roman"/>
          <w:sz w:val="24"/>
          <w:szCs w:val="24"/>
        </w:rPr>
        <w:t>Domenice</w:t>
      </w:r>
      <w:proofErr w:type="spellEnd"/>
      <w:r w:rsidRPr="00045169">
        <w:rPr>
          <w:rFonts w:ascii="Times New Roman" w:hAnsi="Times New Roman" w:cs="Times New Roman"/>
          <w:sz w:val="24"/>
          <w:szCs w:val="24"/>
        </w:rPr>
        <w:t xml:space="preserve">, S. (2023). </w:t>
      </w:r>
      <w:r w:rsidRPr="00045169">
        <w:rPr>
          <w:rFonts w:ascii="Times New Roman" w:hAnsi="Times New Roman" w:cs="Times New Roman"/>
          <w:sz w:val="24"/>
          <w:szCs w:val="24"/>
          <w:lang w:val="en-US"/>
        </w:rPr>
        <w:t xml:space="preserve">Arterial Stiffness in Transgender Men Receiving Long-term Testosterone Therapy. </w:t>
      </w:r>
      <w:r w:rsidRPr="00045169">
        <w:rPr>
          <w:rFonts w:ascii="Times New Roman" w:hAnsi="Times New Roman" w:cs="Times New Roman"/>
          <w:i/>
          <w:sz w:val="24"/>
          <w:szCs w:val="24"/>
          <w:lang w:val="en-US"/>
        </w:rPr>
        <w:t>Journal of the Endocrine Society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7</w:t>
      </w:r>
      <w:r w:rsidRPr="00045169">
        <w:rPr>
          <w:rFonts w:ascii="Times New Roman" w:hAnsi="Times New Roman" w:cs="Times New Roman"/>
          <w:sz w:val="24"/>
          <w:szCs w:val="24"/>
          <w:lang w:val="en-US"/>
        </w:rPr>
        <w:t>(5). https://doi.org/10.1210/jendso/bvad040</w:t>
      </w:r>
    </w:p>
    <w:p w14:paraId="1365A248"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lastRenderedPageBreak/>
        <w:t xml:space="preserve">de Blok, C. J., </w:t>
      </w:r>
      <w:proofErr w:type="spellStart"/>
      <w:r w:rsidRPr="00045169">
        <w:rPr>
          <w:rFonts w:ascii="Times New Roman" w:hAnsi="Times New Roman" w:cs="Times New Roman"/>
          <w:sz w:val="24"/>
          <w:szCs w:val="24"/>
          <w:lang w:val="en-US"/>
        </w:rPr>
        <w:t>Wiepjes</w:t>
      </w:r>
      <w:proofErr w:type="spellEnd"/>
      <w:r w:rsidRPr="00045169">
        <w:rPr>
          <w:rFonts w:ascii="Times New Roman" w:hAnsi="Times New Roman" w:cs="Times New Roman"/>
          <w:sz w:val="24"/>
          <w:szCs w:val="24"/>
          <w:lang w:val="en-US"/>
        </w:rPr>
        <w:t xml:space="preserve">, C. M., van </w:t>
      </w:r>
      <w:proofErr w:type="spellStart"/>
      <w:r w:rsidRPr="00045169">
        <w:rPr>
          <w:rFonts w:ascii="Times New Roman" w:hAnsi="Times New Roman" w:cs="Times New Roman"/>
          <w:sz w:val="24"/>
          <w:szCs w:val="24"/>
          <w:lang w:val="en-US"/>
        </w:rPr>
        <w:t>Velzen</w:t>
      </w:r>
      <w:proofErr w:type="spellEnd"/>
      <w:r w:rsidRPr="00045169">
        <w:rPr>
          <w:rFonts w:ascii="Times New Roman" w:hAnsi="Times New Roman" w:cs="Times New Roman"/>
          <w:sz w:val="24"/>
          <w:szCs w:val="24"/>
          <w:lang w:val="en-US"/>
        </w:rPr>
        <w:t xml:space="preserve">, D. M., </w:t>
      </w:r>
      <w:proofErr w:type="spellStart"/>
      <w:r w:rsidRPr="00045169">
        <w:rPr>
          <w:rFonts w:ascii="Times New Roman" w:hAnsi="Times New Roman" w:cs="Times New Roman"/>
          <w:sz w:val="24"/>
          <w:szCs w:val="24"/>
          <w:lang w:val="en-US"/>
        </w:rPr>
        <w:t>Staphorsius</w:t>
      </w:r>
      <w:proofErr w:type="spellEnd"/>
      <w:r w:rsidRPr="00045169">
        <w:rPr>
          <w:rFonts w:ascii="Times New Roman" w:hAnsi="Times New Roman" w:cs="Times New Roman"/>
          <w:sz w:val="24"/>
          <w:szCs w:val="24"/>
          <w:lang w:val="en-US"/>
        </w:rPr>
        <w:t xml:space="preserve">, A. S., Nota, N. M., </w:t>
      </w:r>
      <w:proofErr w:type="spellStart"/>
      <w:r w:rsidRPr="00045169">
        <w:rPr>
          <w:rFonts w:ascii="Times New Roman" w:hAnsi="Times New Roman" w:cs="Times New Roman"/>
          <w:sz w:val="24"/>
          <w:szCs w:val="24"/>
          <w:lang w:val="en-US"/>
        </w:rPr>
        <w:t>Gooren</w:t>
      </w:r>
      <w:proofErr w:type="spellEnd"/>
      <w:r w:rsidRPr="00045169">
        <w:rPr>
          <w:rFonts w:ascii="Times New Roman" w:hAnsi="Times New Roman" w:cs="Times New Roman"/>
          <w:sz w:val="24"/>
          <w:szCs w:val="24"/>
          <w:lang w:val="en-US"/>
        </w:rPr>
        <w:t xml:space="preserve">, L. J., </w:t>
      </w:r>
      <w:proofErr w:type="spellStart"/>
      <w:r w:rsidRPr="00045169">
        <w:rPr>
          <w:rFonts w:ascii="Times New Roman" w:hAnsi="Times New Roman" w:cs="Times New Roman"/>
          <w:sz w:val="24"/>
          <w:szCs w:val="24"/>
          <w:lang w:val="en-US"/>
        </w:rPr>
        <w:t>Kreukels</w:t>
      </w:r>
      <w:proofErr w:type="spellEnd"/>
      <w:r w:rsidRPr="00045169">
        <w:rPr>
          <w:rFonts w:ascii="Times New Roman" w:hAnsi="Times New Roman" w:cs="Times New Roman"/>
          <w:sz w:val="24"/>
          <w:szCs w:val="24"/>
          <w:lang w:val="en-US"/>
        </w:rPr>
        <w:t xml:space="preserve">, B. P., &amp; den </w:t>
      </w:r>
      <w:proofErr w:type="spellStart"/>
      <w:r w:rsidRPr="00045169">
        <w:rPr>
          <w:rFonts w:ascii="Times New Roman" w:hAnsi="Times New Roman" w:cs="Times New Roman"/>
          <w:sz w:val="24"/>
          <w:szCs w:val="24"/>
          <w:lang w:val="en-US"/>
        </w:rPr>
        <w:t>Heijer</w:t>
      </w:r>
      <w:proofErr w:type="spellEnd"/>
      <w:r w:rsidRPr="00045169">
        <w:rPr>
          <w:rFonts w:ascii="Times New Roman" w:hAnsi="Times New Roman" w:cs="Times New Roman"/>
          <w:sz w:val="24"/>
          <w:szCs w:val="24"/>
          <w:lang w:val="en-US"/>
        </w:rPr>
        <w:t xml:space="preserve">, M. (2021). Mortality trends over five decades in adult transgender people receiving hormone treatment: a report from the Amsterdam cohort of gender dysphoria. </w:t>
      </w:r>
      <w:r w:rsidRPr="00045169">
        <w:rPr>
          <w:rFonts w:ascii="Times New Roman" w:hAnsi="Times New Roman" w:cs="Times New Roman"/>
          <w:i/>
          <w:sz w:val="24"/>
          <w:szCs w:val="24"/>
          <w:lang w:val="en-US"/>
        </w:rPr>
        <w:t>The Lancet Diabetes &amp; Endocrinology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9</w:t>
      </w:r>
      <w:r w:rsidRPr="00045169">
        <w:rPr>
          <w:rFonts w:ascii="Times New Roman" w:hAnsi="Times New Roman" w:cs="Times New Roman"/>
          <w:sz w:val="24"/>
          <w:szCs w:val="24"/>
          <w:lang w:val="en-US"/>
        </w:rPr>
        <w:t>(10), 663–670. https://doi.org/10.1016/S2213-8587(21)00185-6</w:t>
      </w:r>
    </w:p>
    <w:p w14:paraId="3D0F6F16"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Denby, K. J., Cho, L., </w:t>
      </w:r>
      <w:proofErr w:type="spellStart"/>
      <w:r w:rsidRPr="00045169">
        <w:rPr>
          <w:rFonts w:ascii="Times New Roman" w:hAnsi="Times New Roman" w:cs="Times New Roman"/>
          <w:sz w:val="24"/>
          <w:szCs w:val="24"/>
          <w:lang w:val="en-US"/>
        </w:rPr>
        <w:t>Toljan</w:t>
      </w:r>
      <w:proofErr w:type="spellEnd"/>
      <w:r w:rsidRPr="00045169">
        <w:rPr>
          <w:rFonts w:ascii="Times New Roman" w:hAnsi="Times New Roman" w:cs="Times New Roman"/>
          <w:sz w:val="24"/>
          <w:szCs w:val="24"/>
          <w:lang w:val="en-US"/>
        </w:rPr>
        <w:t xml:space="preserve">, K., Patil, M., &amp; Ferrando, C. A. (2021). Assessment of Cardiovascular Risk in Transgender Patients Presenting for Gender-Affirming Care. </w:t>
      </w:r>
      <w:r w:rsidRPr="00045169">
        <w:rPr>
          <w:rFonts w:ascii="Times New Roman" w:hAnsi="Times New Roman" w:cs="Times New Roman"/>
          <w:i/>
          <w:sz w:val="24"/>
          <w:szCs w:val="24"/>
          <w:lang w:val="en-US"/>
        </w:rPr>
        <w:t>The American Journal of Medicine</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134</w:t>
      </w:r>
      <w:r w:rsidRPr="00045169">
        <w:rPr>
          <w:rFonts w:ascii="Times New Roman" w:hAnsi="Times New Roman" w:cs="Times New Roman"/>
          <w:sz w:val="24"/>
          <w:szCs w:val="24"/>
          <w:lang w:val="en-US"/>
        </w:rPr>
        <w:t>(8), 1002–1008. https://doi.org/10.1016/j.amjmed.2021.02.031</w:t>
      </w:r>
    </w:p>
    <w:p w14:paraId="14256B0C"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sidRPr="00045169">
        <w:rPr>
          <w:rFonts w:ascii="Times New Roman" w:hAnsi="Times New Roman" w:cs="Times New Roman"/>
          <w:sz w:val="24"/>
          <w:szCs w:val="24"/>
        </w:rPr>
        <w:t>Elamin</w:t>
      </w:r>
      <w:proofErr w:type="spellEnd"/>
      <w:r w:rsidRPr="00045169">
        <w:rPr>
          <w:rFonts w:ascii="Times New Roman" w:hAnsi="Times New Roman" w:cs="Times New Roman"/>
          <w:sz w:val="24"/>
          <w:szCs w:val="24"/>
        </w:rPr>
        <w:t xml:space="preserve">, M. B., Garcia, M. Z., Murad, M. H., Erwin, P. J., &amp; </w:t>
      </w:r>
      <w:proofErr w:type="spellStart"/>
      <w:r w:rsidRPr="00045169">
        <w:rPr>
          <w:rFonts w:ascii="Times New Roman" w:hAnsi="Times New Roman" w:cs="Times New Roman"/>
          <w:sz w:val="24"/>
          <w:szCs w:val="24"/>
        </w:rPr>
        <w:t>Montori</w:t>
      </w:r>
      <w:proofErr w:type="spellEnd"/>
      <w:r w:rsidRPr="00045169">
        <w:rPr>
          <w:rFonts w:ascii="Times New Roman" w:hAnsi="Times New Roman" w:cs="Times New Roman"/>
          <w:sz w:val="24"/>
          <w:szCs w:val="24"/>
        </w:rPr>
        <w:t xml:space="preserve">, V. M. (2010). </w:t>
      </w:r>
      <w:r w:rsidRPr="00045169">
        <w:rPr>
          <w:rFonts w:ascii="Times New Roman" w:hAnsi="Times New Roman" w:cs="Times New Roman"/>
          <w:sz w:val="24"/>
          <w:szCs w:val="24"/>
          <w:lang w:val="en-US"/>
        </w:rPr>
        <w:t xml:space="preserve">Effect of sex steroid use on cardiovascular risk in transsexual individuals: a systematic review and meta-analyses. </w:t>
      </w:r>
      <w:r w:rsidRPr="00045169">
        <w:rPr>
          <w:rFonts w:ascii="Times New Roman" w:hAnsi="Times New Roman" w:cs="Times New Roman"/>
          <w:i/>
          <w:sz w:val="24"/>
          <w:szCs w:val="24"/>
          <w:lang w:val="en-US"/>
        </w:rPr>
        <w:t>Clinical Endocrinology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72</w:t>
      </w:r>
      <w:r w:rsidRPr="00045169">
        <w:rPr>
          <w:rFonts w:ascii="Times New Roman" w:hAnsi="Times New Roman" w:cs="Times New Roman"/>
          <w:sz w:val="24"/>
          <w:szCs w:val="24"/>
          <w:lang w:val="en-US"/>
        </w:rPr>
        <w:t>(1), 1–10. https://doi.org/10.1111/j.1365-2265.2009.03632.x</w:t>
      </w:r>
    </w:p>
    <w:p w14:paraId="7A886CD8"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Flammer, A. J., Anderson, T., </w:t>
      </w:r>
      <w:proofErr w:type="spellStart"/>
      <w:r w:rsidRPr="00045169">
        <w:rPr>
          <w:rFonts w:ascii="Times New Roman" w:hAnsi="Times New Roman" w:cs="Times New Roman"/>
          <w:sz w:val="24"/>
          <w:szCs w:val="24"/>
          <w:lang w:val="en-US"/>
        </w:rPr>
        <w:t>Celermajer</w:t>
      </w:r>
      <w:proofErr w:type="spellEnd"/>
      <w:r w:rsidRPr="00045169">
        <w:rPr>
          <w:rFonts w:ascii="Times New Roman" w:hAnsi="Times New Roman" w:cs="Times New Roman"/>
          <w:sz w:val="24"/>
          <w:szCs w:val="24"/>
          <w:lang w:val="en-US"/>
        </w:rPr>
        <w:t xml:space="preserve">, D. S., Creager, M. A., </w:t>
      </w:r>
      <w:proofErr w:type="spellStart"/>
      <w:r w:rsidRPr="00045169">
        <w:rPr>
          <w:rFonts w:ascii="Times New Roman" w:hAnsi="Times New Roman" w:cs="Times New Roman"/>
          <w:sz w:val="24"/>
          <w:szCs w:val="24"/>
          <w:lang w:val="en-US"/>
        </w:rPr>
        <w:t>Deanfield</w:t>
      </w:r>
      <w:proofErr w:type="spellEnd"/>
      <w:r w:rsidRPr="00045169">
        <w:rPr>
          <w:rFonts w:ascii="Times New Roman" w:hAnsi="Times New Roman" w:cs="Times New Roman"/>
          <w:sz w:val="24"/>
          <w:szCs w:val="24"/>
          <w:lang w:val="en-US"/>
        </w:rPr>
        <w:t xml:space="preserve">, J., Ganz, P., Hamburg, N. M., </w:t>
      </w:r>
      <w:proofErr w:type="spellStart"/>
      <w:r w:rsidRPr="00045169">
        <w:rPr>
          <w:rFonts w:ascii="Times New Roman" w:hAnsi="Times New Roman" w:cs="Times New Roman"/>
          <w:sz w:val="24"/>
          <w:szCs w:val="24"/>
          <w:lang w:val="en-US"/>
        </w:rPr>
        <w:t>Lüscher</w:t>
      </w:r>
      <w:proofErr w:type="spellEnd"/>
      <w:r w:rsidRPr="00045169">
        <w:rPr>
          <w:rFonts w:ascii="Times New Roman" w:hAnsi="Times New Roman" w:cs="Times New Roman"/>
          <w:sz w:val="24"/>
          <w:szCs w:val="24"/>
          <w:lang w:val="en-US"/>
        </w:rPr>
        <w:t xml:space="preserve">, T. F., Shechter, M., Taddei, S., Vita, J. A., &amp; Lerman, A. (2012). The Assessment of Endothelial Function. </w:t>
      </w:r>
      <w:r w:rsidRPr="00045169">
        <w:rPr>
          <w:rFonts w:ascii="Times New Roman" w:hAnsi="Times New Roman" w:cs="Times New Roman"/>
          <w:i/>
          <w:sz w:val="24"/>
          <w:szCs w:val="24"/>
          <w:lang w:val="en-US"/>
        </w:rPr>
        <w:t>Circulation</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126</w:t>
      </w:r>
      <w:r w:rsidRPr="00045169">
        <w:rPr>
          <w:rFonts w:ascii="Times New Roman" w:hAnsi="Times New Roman" w:cs="Times New Roman"/>
          <w:sz w:val="24"/>
          <w:szCs w:val="24"/>
          <w:lang w:val="en-US"/>
        </w:rPr>
        <w:t>(6), 753–767. https://doi.org/10.1161/CIRCULATIONAHA.112.093245</w:t>
      </w:r>
    </w:p>
    <w:p w14:paraId="5EC4913B" w14:textId="77777777" w:rsidR="003F2C39" w:rsidRDefault="00000000">
      <w:pPr>
        <w:spacing w:after="0" w:line="360" w:lineRule="auto"/>
        <w:ind w:hanging="480"/>
        <w:jc w:val="both"/>
        <w:rPr>
          <w:rFonts w:ascii="Times New Roman" w:hAnsi="Times New Roman" w:cs="Times New Roman"/>
          <w:sz w:val="24"/>
          <w:szCs w:val="24"/>
        </w:rPr>
      </w:pPr>
      <w:proofErr w:type="spellStart"/>
      <w:r w:rsidRPr="00045169">
        <w:rPr>
          <w:rFonts w:ascii="Times New Roman" w:hAnsi="Times New Roman" w:cs="Times New Roman"/>
          <w:sz w:val="24"/>
          <w:szCs w:val="24"/>
        </w:rPr>
        <w:t>Geloneze</w:t>
      </w:r>
      <w:proofErr w:type="spellEnd"/>
      <w:r w:rsidRPr="00045169">
        <w:rPr>
          <w:rFonts w:ascii="Times New Roman" w:hAnsi="Times New Roman" w:cs="Times New Roman"/>
          <w:sz w:val="24"/>
          <w:szCs w:val="24"/>
        </w:rPr>
        <w:t xml:space="preserve">, B., Vasques, A. C. J., </w:t>
      </w:r>
      <w:proofErr w:type="spellStart"/>
      <w:r w:rsidRPr="00045169">
        <w:rPr>
          <w:rFonts w:ascii="Times New Roman" w:hAnsi="Times New Roman" w:cs="Times New Roman"/>
          <w:sz w:val="24"/>
          <w:szCs w:val="24"/>
        </w:rPr>
        <w:t>Stabe</w:t>
      </w:r>
      <w:proofErr w:type="spellEnd"/>
      <w:r w:rsidRPr="00045169">
        <w:rPr>
          <w:rFonts w:ascii="Times New Roman" w:hAnsi="Times New Roman" w:cs="Times New Roman"/>
          <w:sz w:val="24"/>
          <w:szCs w:val="24"/>
        </w:rPr>
        <w:t xml:space="preserve">, C. F. C., </w:t>
      </w:r>
      <w:proofErr w:type="spellStart"/>
      <w:r w:rsidRPr="00045169">
        <w:rPr>
          <w:rFonts w:ascii="Times New Roman" w:hAnsi="Times New Roman" w:cs="Times New Roman"/>
          <w:sz w:val="24"/>
          <w:szCs w:val="24"/>
        </w:rPr>
        <w:t>Pareja</w:t>
      </w:r>
      <w:proofErr w:type="spellEnd"/>
      <w:r w:rsidRPr="00045169">
        <w:rPr>
          <w:rFonts w:ascii="Times New Roman" w:hAnsi="Times New Roman" w:cs="Times New Roman"/>
          <w:sz w:val="24"/>
          <w:szCs w:val="24"/>
        </w:rPr>
        <w:t xml:space="preserve">, J. C., Rosado, L. E. F. P. de L., Queiroz, E. C. de, &amp; </w:t>
      </w:r>
      <w:proofErr w:type="spellStart"/>
      <w:r w:rsidRPr="00045169">
        <w:rPr>
          <w:rFonts w:ascii="Times New Roman" w:hAnsi="Times New Roman" w:cs="Times New Roman"/>
          <w:sz w:val="24"/>
          <w:szCs w:val="24"/>
        </w:rPr>
        <w:t>Tambascia</w:t>
      </w:r>
      <w:proofErr w:type="spellEnd"/>
      <w:r w:rsidRPr="00045169">
        <w:rPr>
          <w:rFonts w:ascii="Times New Roman" w:hAnsi="Times New Roman" w:cs="Times New Roman"/>
          <w:sz w:val="24"/>
          <w:szCs w:val="24"/>
        </w:rPr>
        <w:t xml:space="preserve">, M. A. (2009). </w:t>
      </w:r>
      <w:r w:rsidRPr="00045169">
        <w:rPr>
          <w:rFonts w:ascii="Times New Roman" w:hAnsi="Times New Roman" w:cs="Times New Roman"/>
          <w:sz w:val="24"/>
          <w:szCs w:val="24"/>
          <w:lang w:val="en-US"/>
        </w:rPr>
        <w:t xml:space="preserve">HOMA1-IR and HOMA2-IR indexes in identifying insulin resistance and metabolic syndrome: Brazilian Metabolic Syndrome Study (BRAMS). </w:t>
      </w:r>
      <w:r w:rsidRPr="00045169">
        <w:rPr>
          <w:rFonts w:ascii="Times New Roman" w:hAnsi="Times New Roman" w:cs="Times New Roman"/>
          <w:i/>
          <w:sz w:val="24"/>
          <w:szCs w:val="24"/>
        </w:rPr>
        <w:t>Arquivos Brasileiros de Endocrinologia &amp; Metabologia</w:t>
      </w:r>
      <w:r w:rsidRPr="00045169">
        <w:rPr>
          <w:rFonts w:ascii="Times New Roman" w:hAnsi="Times New Roman" w:cs="Times New Roman"/>
          <w:sz w:val="24"/>
          <w:szCs w:val="24"/>
        </w:rPr>
        <w:t xml:space="preserve">, </w:t>
      </w:r>
      <w:r w:rsidRPr="00045169">
        <w:rPr>
          <w:rFonts w:ascii="Times New Roman" w:hAnsi="Times New Roman" w:cs="Times New Roman"/>
          <w:i/>
          <w:sz w:val="24"/>
          <w:szCs w:val="24"/>
        </w:rPr>
        <w:t>53</w:t>
      </w:r>
      <w:r w:rsidRPr="00045169">
        <w:rPr>
          <w:rFonts w:ascii="Times New Roman" w:hAnsi="Times New Roman" w:cs="Times New Roman"/>
          <w:sz w:val="24"/>
          <w:szCs w:val="24"/>
        </w:rPr>
        <w:t>(2), 281–287. https://doi.org/10.1590/S0004-27302009000200020</w:t>
      </w:r>
    </w:p>
    <w:p w14:paraId="36045A87"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Pr>
          <w:rFonts w:ascii="Times New Roman" w:hAnsi="Times New Roman" w:cs="Times New Roman"/>
          <w:sz w:val="24"/>
          <w:szCs w:val="24"/>
        </w:rPr>
        <w:t>Glintborg</w:t>
      </w:r>
      <w:proofErr w:type="spellEnd"/>
      <w:r w:rsidRPr="00045169">
        <w:rPr>
          <w:rFonts w:ascii="Times New Roman" w:hAnsi="Times New Roman" w:cs="Times New Roman"/>
          <w:sz w:val="24"/>
          <w:szCs w:val="24"/>
        </w:rPr>
        <w:t xml:space="preserve">, D., Rubin, K. H., Petersen, T. G., </w:t>
      </w:r>
      <w:proofErr w:type="spellStart"/>
      <w:r w:rsidRPr="00045169">
        <w:rPr>
          <w:rFonts w:ascii="Times New Roman" w:hAnsi="Times New Roman" w:cs="Times New Roman"/>
          <w:sz w:val="24"/>
          <w:szCs w:val="24"/>
        </w:rPr>
        <w:t>Lidegaard</w:t>
      </w:r>
      <w:proofErr w:type="spellEnd"/>
      <w:r w:rsidRPr="00045169">
        <w:rPr>
          <w:rFonts w:ascii="Times New Roman" w:hAnsi="Times New Roman" w:cs="Times New Roman"/>
          <w:sz w:val="24"/>
          <w:szCs w:val="24"/>
        </w:rPr>
        <w:t>, Ø., T’</w:t>
      </w:r>
      <w:proofErr w:type="spellStart"/>
      <w:r w:rsidRPr="00045169">
        <w:rPr>
          <w:rFonts w:ascii="Times New Roman" w:hAnsi="Times New Roman" w:cs="Times New Roman"/>
          <w:sz w:val="24"/>
          <w:szCs w:val="24"/>
        </w:rPr>
        <w:t>Sjoen</w:t>
      </w:r>
      <w:proofErr w:type="spellEnd"/>
      <w:r w:rsidRPr="00045169">
        <w:rPr>
          <w:rFonts w:ascii="Times New Roman" w:hAnsi="Times New Roman" w:cs="Times New Roman"/>
          <w:sz w:val="24"/>
          <w:szCs w:val="24"/>
        </w:rPr>
        <w:t xml:space="preserve">, G., </w:t>
      </w:r>
      <w:proofErr w:type="spellStart"/>
      <w:r w:rsidRPr="00045169">
        <w:rPr>
          <w:rFonts w:ascii="Times New Roman" w:hAnsi="Times New Roman" w:cs="Times New Roman"/>
          <w:sz w:val="24"/>
          <w:szCs w:val="24"/>
        </w:rPr>
        <w:t>Hilden</w:t>
      </w:r>
      <w:proofErr w:type="spellEnd"/>
      <w:r w:rsidRPr="00045169">
        <w:rPr>
          <w:rFonts w:ascii="Times New Roman" w:hAnsi="Times New Roman" w:cs="Times New Roman"/>
          <w:sz w:val="24"/>
          <w:szCs w:val="24"/>
        </w:rPr>
        <w:t xml:space="preserve">, M., &amp; Andersen, M. S. (2022). </w:t>
      </w:r>
      <w:r w:rsidRPr="00045169">
        <w:rPr>
          <w:rFonts w:ascii="Times New Roman" w:hAnsi="Times New Roman" w:cs="Times New Roman"/>
          <w:sz w:val="24"/>
          <w:szCs w:val="24"/>
          <w:lang w:val="en-US"/>
        </w:rPr>
        <w:t xml:space="preserve">Cardiovascular risk in Danish transgender persons: a matched historical cohort study. </w:t>
      </w:r>
      <w:r w:rsidRPr="00045169">
        <w:rPr>
          <w:rFonts w:ascii="Times New Roman" w:hAnsi="Times New Roman" w:cs="Times New Roman"/>
          <w:i/>
          <w:sz w:val="24"/>
          <w:szCs w:val="24"/>
          <w:lang w:val="en-US"/>
        </w:rPr>
        <w:t>European Journal of Endocrinology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187</w:t>
      </w:r>
      <w:r w:rsidRPr="00045169">
        <w:rPr>
          <w:rFonts w:ascii="Times New Roman" w:hAnsi="Times New Roman" w:cs="Times New Roman"/>
          <w:sz w:val="24"/>
          <w:szCs w:val="24"/>
          <w:lang w:val="en-US"/>
        </w:rPr>
        <w:t>(3), 463–477. https://doi.org/10.1530/EJE-22-0306</w:t>
      </w:r>
    </w:p>
    <w:p w14:paraId="6011BB91"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sidRPr="00045169">
        <w:rPr>
          <w:rFonts w:ascii="Times New Roman" w:hAnsi="Times New Roman" w:cs="Times New Roman"/>
          <w:sz w:val="24"/>
          <w:szCs w:val="24"/>
          <w:lang w:val="en-US"/>
        </w:rPr>
        <w:t>Gokce</w:t>
      </w:r>
      <w:proofErr w:type="spellEnd"/>
      <w:r w:rsidRPr="00045169">
        <w:rPr>
          <w:rFonts w:ascii="Times New Roman" w:hAnsi="Times New Roman" w:cs="Times New Roman"/>
          <w:sz w:val="24"/>
          <w:szCs w:val="24"/>
          <w:lang w:val="en-US"/>
        </w:rPr>
        <w:t xml:space="preserve">, N., Keaney, J. F., Hunter, L. M., Watkins, M. T., </w:t>
      </w:r>
      <w:proofErr w:type="spellStart"/>
      <w:r w:rsidRPr="00045169">
        <w:rPr>
          <w:rFonts w:ascii="Times New Roman" w:hAnsi="Times New Roman" w:cs="Times New Roman"/>
          <w:sz w:val="24"/>
          <w:szCs w:val="24"/>
          <w:lang w:val="en-US"/>
        </w:rPr>
        <w:t>Menzoian</w:t>
      </w:r>
      <w:proofErr w:type="spellEnd"/>
      <w:r w:rsidRPr="00045169">
        <w:rPr>
          <w:rFonts w:ascii="Times New Roman" w:hAnsi="Times New Roman" w:cs="Times New Roman"/>
          <w:sz w:val="24"/>
          <w:szCs w:val="24"/>
          <w:lang w:val="en-US"/>
        </w:rPr>
        <w:t xml:space="preserve">, J. O., &amp; Vita, J. A. (2002). Risk Stratification for Postoperative Cardiovascular Events via Noninvasive Assessment of Endothelial Function. </w:t>
      </w:r>
      <w:r w:rsidRPr="00045169">
        <w:rPr>
          <w:rFonts w:ascii="Times New Roman" w:hAnsi="Times New Roman" w:cs="Times New Roman"/>
          <w:i/>
          <w:sz w:val="24"/>
          <w:szCs w:val="24"/>
          <w:lang w:val="en-US"/>
        </w:rPr>
        <w:t>Circulation</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105</w:t>
      </w:r>
      <w:r w:rsidRPr="00045169">
        <w:rPr>
          <w:rFonts w:ascii="Times New Roman" w:hAnsi="Times New Roman" w:cs="Times New Roman"/>
          <w:sz w:val="24"/>
          <w:szCs w:val="24"/>
          <w:lang w:val="en-US"/>
        </w:rPr>
        <w:t>(13), 1567–1572. https://doi.org/10.1161/01.CIR.0000012543.55874.47</w:t>
      </w:r>
    </w:p>
    <w:p w14:paraId="2355914E"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sidRPr="00045169">
        <w:rPr>
          <w:rFonts w:ascii="Times New Roman" w:hAnsi="Times New Roman" w:cs="Times New Roman"/>
          <w:sz w:val="24"/>
          <w:szCs w:val="24"/>
          <w:lang w:val="en-US"/>
        </w:rPr>
        <w:t>Gulanski</w:t>
      </w:r>
      <w:proofErr w:type="spellEnd"/>
      <w:r w:rsidRPr="00045169">
        <w:rPr>
          <w:rFonts w:ascii="Times New Roman" w:hAnsi="Times New Roman" w:cs="Times New Roman"/>
          <w:sz w:val="24"/>
          <w:szCs w:val="24"/>
          <w:lang w:val="en-US"/>
        </w:rPr>
        <w:t xml:space="preserve">, B. I., Flannery, C. A., Peter, P. R., Leone, C. A., &amp; </w:t>
      </w:r>
      <w:proofErr w:type="spellStart"/>
      <w:r w:rsidRPr="00045169">
        <w:rPr>
          <w:rFonts w:ascii="Times New Roman" w:hAnsi="Times New Roman" w:cs="Times New Roman"/>
          <w:sz w:val="24"/>
          <w:szCs w:val="24"/>
          <w:lang w:val="en-US"/>
        </w:rPr>
        <w:t>Stachenfeld</w:t>
      </w:r>
      <w:proofErr w:type="spellEnd"/>
      <w:r w:rsidRPr="00045169">
        <w:rPr>
          <w:rFonts w:ascii="Times New Roman" w:hAnsi="Times New Roman" w:cs="Times New Roman"/>
          <w:sz w:val="24"/>
          <w:szCs w:val="24"/>
          <w:lang w:val="en-US"/>
        </w:rPr>
        <w:t xml:space="preserve">, N. S. (2020). Compromised endothelial function in transgender men taking testosterone. </w:t>
      </w:r>
      <w:r w:rsidRPr="00045169">
        <w:rPr>
          <w:rFonts w:ascii="Times New Roman" w:hAnsi="Times New Roman" w:cs="Times New Roman"/>
          <w:i/>
          <w:sz w:val="24"/>
          <w:szCs w:val="24"/>
          <w:lang w:val="en-US"/>
        </w:rPr>
        <w:t>Clinical Endocrinology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92</w:t>
      </w:r>
      <w:r w:rsidRPr="00045169">
        <w:rPr>
          <w:rFonts w:ascii="Times New Roman" w:hAnsi="Times New Roman" w:cs="Times New Roman"/>
          <w:sz w:val="24"/>
          <w:szCs w:val="24"/>
          <w:lang w:val="en-US"/>
        </w:rPr>
        <w:t>(2), 138–144.</w:t>
      </w:r>
    </w:p>
    <w:p w14:paraId="24B418D5"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Pr>
          <w:rFonts w:ascii="Times New Roman" w:eastAsia="Times New Roman" w:hAnsi="Times New Roman" w:cs="Times New Roman"/>
          <w:sz w:val="24"/>
          <w:szCs w:val="24"/>
        </w:rPr>
        <w:t>Iannantuoni</w:t>
      </w:r>
      <w:proofErr w:type="spellEnd"/>
      <w:r w:rsidRPr="00045169">
        <w:rPr>
          <w:rFonts w:ascii="Times New Roman" w:eastAsia="Times New Roman" w:hAnsi="Times New Roman" w:cs="Times New Roman"/>
          <w:sz w:val="24"/>
          <w:szCs w:val="24"/>
        </w:rPr>
        <w:t xml:space="preserve">, F., Salazar, J. D., Martinez de </w:t>
      </w:r>
      <w:proofErr w:type="spellStart"/>
      <w:r w:rsidRPr="00045169">
        <w:rPr>
          <w:rFonts w:ascii="Times New Roman" w:eastAsia="Times New Roman" w:hAnsi="Times New Roman" w:cs="Times New Roman"/>
          <w:sz w:val="24"/>
          <w:szCs w:val="24"/>
        </w:rPr>
        <w:t>Marañon</w:t>
      </w:r>
      <w:proofErr w:type="spellEnd"/>
      <w:r w:rsidRPr="00045169">
        <w:rPr>
          <w:rFonts w:ascii="Times New Roman" w:eastAsia="Times New Roman" w:hAnsi="Times New Roman" w:cs="Times New Roman"/>
          <w:sz w:val="24"/>
          <w:szCs w:val="24"/>
        </w:rPr>
        <w:t xml:space="preserve">, A., </w:t>
      </w:r>
      <w:proofErr w:type="spellStart"/>
      <w:r w:rsidRPr="00045169">
        <w:rPr>
          <w:rFonts w:ascii="Times New Roman" w:eastAsia="Times New Roman" w:hAnsi="Times New Roman" w:cs="Times New Roman"/>
          <w:sz w:val="24"/>
          <w:szCs w:val="24"/>
        </w:rPr>
        <w:t>Bañuls</w:t>
      </w:r>
      <w:proofErr w:type="spellEnd"/>
      <w:r w:rsidRPr="00045169">
        <w:rPr>
          <w:rFonts w:ascii="Times New Roman" w:eastAsia="Times New Roman" w:hAnsi="Times New Roman" w:cs="Times New Roman"/>
          <w:sz w:val="24"/>
          <w:szCs w:val="24"/>
        </w:rPr>
        <w:t>, C., López-</w:t>
      </w:r>
      <w:proofErr w:type="spellStart"/>
      <w:r w:rsidRPr="00045169">
        <w:rPr>
          <w:rFonts w:ascii="Times New Roman" w:eastAsia="Times New Roman" w:hAnsi="Times New Roman" w:cs="Times New Roman"/>
          <w:sz w:val="24"/>
          <w:szCs w:val="24"/>
        </w:rPr>
        <w:t>Domènech</w:t>
      </w:r>
      <w:proofErr w:type="spellEnd"/>
      <w:r w:rsidRPr="00045169">
        <w:rPr>
          <w:rFonts w:ascii="Times New Roman" w:eastAsia="Times New Roman" w:hAnsi="Times New Roman" w:cs="Times New Roman"/>
          <w:sz w:val="24"/>
          <w:szCs w:val="24"/>
        </w:rPr>
        <w:t xml:space="preserve">, S., Rocha, M., Hurtado-Murillo, F., </w:t>
      </w:r>
      <w:proofErr w:type="spellStart"/>
      <w:r w:rsidRPr="00045169">
        <w:rPr>
          <w:rFonts w:ascii="Times New Roman" w:eastAsia="Times New Roman" w:hAnsi="Times New Roman" w:cs="Times New Roman"/>
          <w:sz w:val="24"/>
          <w:szCs w:val="24"/>
        </w:rPr>
        <w:t>Morillas</w:t>
      </w:r>
      <w:proofErr w:type="spellEnd"/>
      <w:r w:rsidRPr="00045169">
        <w:rPr>
          <w:rFonts w:ascii="Times New Roman" w:eastAsia="Times New Roman" w:hAnsi="Times New Roman" w:cs="Times New Roman"/>
          <w:sz w:val="24"/>
          <w:szCs w:val="24"/>
        </w:rPr>
        <w:t xml:space="preserve">, C., Gómez-Balaguer, M., &amp; Víctor, V. M. (2021). </w:t>
      </w:r>
      <w:r w:rsidRPr="00045169">
        <w:rPr>
          <w:rFonts w:ascii="Times New Roman" w:eastAsia="Times New Roman" w:hAnsi="Times New Roman" w:cs="Times New Roman"/>
          <w:sz w:val="24"/>
          <w:szCs w:val="24"/>
          <w:lang w:val="en-US"/>
        </w:rPr>
        <w:t xml:space="preserve">Testosterone administration increases leukocyte-endothelium interactions and inflammation in transgender men. </w:t>
      </w:r>
      <w:r w:rsidRPr="00045169">
        <w:rPr>
          <w:rFonts w:ascii="Times New Roman" w:eastAsia="Times New Roman" w:hAnsi="Times New Roman" w:cs="Times New Roman"/>
          <w:i/>
          <w:iCs/>
          <w:sz w:val="24"/>
          <w:szCs w:val="24"/>
          <w:lang w:val="en-US"/>
        </w:rPr>
        <w:t>Fertility and Sterility</w:t>
      </w:r>
      <w:r w:rsidRPr="00045169">
        <w:rPr>
          <w:rFonts w:ascii="Times New Roman" w:eastAsia="Times New Roman" w:hAnsi="Times New Roman" w:cs="Times New Roman"/>
          <w:sz w:val="24"/>
          <w:szCs w:val="24"/>
          <w:lang w:val="en-US"/>
        </w:rPr>
        <w:t xml:space="preserve">, </w:t>
      </w:r>
      <w:r w:rsidRPr="00045169">
        <w:rPr>
          <w:rFonts w:ascii="Times New Roman" w:eastAsia="Times New Roman" w:hAnsi="Times New Roman" w:cs="Times New Roman"/>
          <w:i/>
          <w:iCs/>
          <w:sz w:val="24"/>
          <w:szCs w:val="24"/>
          <w:lang w:val="en-US"/>
        </w:rPr>
        <w:t>115</w:t>
      </w:r>
      <w:r w:rsidRPr="00045169">
        <w:rPr>
          <w:rFonts w:ascii="Times New Roman" w:eastAsia="Times New Roman" w:hAnsi="Times New Roman" w:cs="Times New Roman"/>
          <w:sz w:val="24"/>
          <w:szCs w:val="24"/>
          <w:lang w:val="en-US"/>
        </w:rPr>
        <w:t>(2), 483–489. https://doi.org/10.1016/j.fertnstert.2020.08.002</w:t>
      </w:r>
    </w:p>
    <w:p w14:paraId="2C295F66"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Islam, N., Nash, R., Zhang, Q., </w:t>
      </w:r>
      <w:proofErr w:type="spellStart"/>
      <w:r w:rsidRPr="00045169">
        <w:rPr>
          <w:rFonts w:ascii="Times New Roman" w:hAnsi="Times New Roman" w:cs="Times New Roman"/>
          <w:sz w:val="24"/>
          <w:szCs w:val="24"/>
          <w:lang w:val="en-US"/>
        </w:rPr>
        <w:t>Panagiotakopoulos</w:t>
      </w:r>
      <w:proofErr w:type="spellEnd"/>
      <w:r w:rsidRPr="00045169">
        <w:rPr>
          <w:rFonts w:ascii="Times New Roman" w:hAnsi="Times New Roman" w:cs="Times New Roman"/>
          <w:sz w:val="24"/>
          <w:szCs w:val="24"/>
          <w:lang w:val="en-US"/>
        </w:rPr>
        <w:t xml:space="preserve">, L., Daley, T., Bhasin, S., Getahun, D., Sonya Haw, J., McCracken, C., Silverberg, M. J., </w:t>
      </w:r>
      <w:proofErr w:type="spellStart"/>
      <w:r w:rsidRPr="00045169">
        <w:rPr>
          <w:rFonts w:ascii="Times New Roman" w:hAnsi="Times New Roman" w:cs="Times New Roman"/>
          <w:sz w:val="24"/>
          <w:szCs w:val="24"/>
          <w:lang w:val="en-US"/>
        </w:rPr>
        <w:t>Tangpricha</w:t>
      </w:r>
      <w:proofErr w:type="spellEnd"/>
      <w:r w:rsidRPr="00045169">
        <w:rPr>
          <w:rFonts w:ascii="Times New Roman" w:hAnsi="Times New Roman" w:cs="Times New Roman"/>
          <w:sz w:val="24"/>
          <w:szCs w:val="24"/>
          <w:lang w:val="en-US"/>
        </w:rPr>
        <w:t xml:space="preserve">, V., </w:t>
      </w:r>
      <w:proofErr w:type="spellStart"/>
      <w:r w:rsidRPr="00045169">
        <w:rPr>
          <w:rFonts w:ascii="Times New Roman" w:hAnsi="Times New Roman" w:cs="Times New Roman"/>
          <w:sz w:val="24"/>
          <w:szCs w:val="24"/>
          <w:lang w:val="en-US"/>
        </w:rPr>
        <w:t>Vupputuri</w:t>
      </w:r>
      <w:proofErr w:type="spellEnd"/>
      <w:r w:rsidRPr="00045169">
        <w:rPr>
          <w:rFonts w:ascii="Times New Roman" w:hAnsi="Times New Roman" w:cs="Times New Roman"/>
          <w:sz w:val="24"/>
          <w:szCs w:val="24"/>
          <w:lang w:val="en-US"/>
        </w:rPr>
        <w:t xml:space="preserve">, S., &amp; Goodman, M. (2022). Is There a Link Between Hormone Use and Diabetes Incidence in Transgender People? Data From the STRONG </w:t>
      </w:r>
      <w:r w:rsidRPr="00045169">
        <w:rPr>
          <w:rFonts w:ascii="Times New Roman" w:hAnsi="Times New Roman" w:cs="Times New Roman"/>
          <w:sz w:val="24"/>
          <w:szCs w:val="24"/>
          <w:lang w:val="en-US"/>
        </w:rPr>
        <w:lastRenderedPageBreak/>
        <w:t xml:space="preserve">Cohort. </w:t>
      </w:r>
      <w:r w:rsidRPr="00045169">
        <w:rPr>
          <w:rFonts w:ascii="Times New Roman" w:hAnsi="Times New Roman" w:cs="Times New Roman"/>
          <w:i/>
          <w:sz w:val="24"/>
          <w:szCs w:val="24"/>
          <w:lang w:val="en-US"/>
        </w:rPr>
        <w:t>The Journal of Clinical Endocrinology &amp; Metabolism</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107</w:t>
      </w:r>
      <w:r w:rsidRPr="00045169">
        <w:rPr>
          <w:rFonts w:ascii="Times New Roman" w:hAnsi="Times New Roman" w:cs="Times New Roman"/>
          <w:sz w:val="24"/>
          <w:szCs w:val="24"/>
          <w:lang w:val="en-US"/>
        </w:rPr>
        <w:t>(4), e1549–e1557. https://doi.org/10.1210/clinem/dgab832</w:t>
      </w:r>
    </w:p>
    <w:p w14:paraId="4A3D927D" w14:textId="77777777" w:rsidR="003F2C39" w:rsidRDefault="00000000">
      <w:pPr>
        <w:spacing w:after="0" w:line="360" w:lineRule="auto"/>
        <w:ind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Jones, B. A., Haycraft, E., Bouman, W. P., &amp; </w:t>
      </w:r>
      <w:proofErr w:type="spellStart"/>
      <w:r w:rsidRPr="00045169">
        <w:rPr>
          <w:rFonts w:ascii="Times New Roman" w:hAnsi="Times New Roman" w:cs="Times New Roman"/>
          <w:sz w:val="24"/>
          <w:szCs w:val="24"/>
          <w:lang w:val="en-US"/>
        </w:rPr>
        <w:t>Arcelus</w:t>
      </w:r>
      <w:proofErr w:type="spellEnd"/>
      <w:r w:rsidRPr="00045169">
        <w:rPr>
          <w:rFonts w:ascii="Times New Roman" w:hAnsi="Times New Roman" w:cs="Times New Roman"/>
          <w:sz w:val="24"/>
          <w:szCs w:val="24"/>
          <w:lang w:val="en-US"/>
        </w:rPr>
        <w:t xml:space="preserve">, J. (2018). The Levels and Predictors of Physical Activity Engagement Within the Treatment-Seeking Transgender Population: A Matched Control Study. </w:t>
      </w:r>
      <w:r w:rsidRPr="00045169">
        <w:rPr>
          <w:rFonts w:ascii="Times New Roman" w:hAnsi="Times New Roman" w:cs="Times New Roman"/>
          <w:i/>
          <w:sz w:val="24"/>
          <w:szCs w:val="24"/>
          <w:lang w:val="en-US"/>
        </w:rPr>
        <w:t>Journal of Physical Activity and Health</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15</w:t>
      </w:r>
      <w:r w:rsidRPr="00045169">
        <w:rPr>
          <w:rFonts w:ascii="Times New Roman" w:hAnsi="Times New Roman" w:cs="Times New Roman"/>
          <w:sz w:val="24"/>
          <w:szCs w:val="24"/>
          <w:lang w:val="en-US"/>
        </w:rPr>
        <w:t>(2), 99–107. https://doi.org/10.1123/jpah.2017-0298</w:t>
      </w:r>
    </w:p>
    <w:p w14:paraId="3729955C" w14:textId="77777777" w:rsidR="003F2C39" w:rsidRDefault="00000000">
      <w:pPr>
        <w:spacing w:after="0" w:line="360" w:lineRule="auto"/>
        <w:ind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Klaver, M., de </w:t>
      </w:r>
      <w:proofErr w:type="spellStart"/>
      <w:r w:rsidRPr="00045169">
        <w:rPr>
          <w:rFonts w:ascii="Times New Roman" w:hAnsi="Times New Roman" w:cs="Times New Roman"/>
          <w:sz w:val="24"/>
          <w:szCs w:val="24"/>
          <w:lang w:val="en-US"/>
        </w:rPr>
        <w:t>Mutsert</w:t>
      </w:r>
      <w:proofErr w:type="spellEnd"/>
      <w:r w:rsidRPr="00045169">
        <w:rPr>
          <w:rFonts w:ascii="Times New Roman" w:hAnsi="Times New Roman" w:cs="Times New Roman"/>
          <w:sz w:val="24"/>
          <w:szCs w:val="24"/>
          <w:lang w:val="en-US"/>
        </w:rPr>
        <w:t xml:space="preserve">, R., van der Loos, M. A. T. C., </w:t>
      </w:r>
      <w:proofErr w:type="spellStart"/>
      <w:r w:rsidRPr="00045169">
        <w:rPr>
          <w:rFonts w:ascii="Times New Roman" w:hAnsi="Times New Roman" w:cs="Times New Roman"/>
          <w:sz w:val="24"/>
          <w:szCs w:val="24"/>
          <w:lang w:val="en-US"/>
        </w:rPr>
        <w:t>Wiepjes</w:t>
      </w:r>
      <w:proofErr w:type="spellEnd"/>
      <w:r w:rsidRPr="00045169">
        <w:rPr>
          <w:rFonts w:ascii="Times New Roman" w:hAnsi="Times New Roman" w:cs="Times New Roman"/>
          <w:sz w:val="24"/>
          <w:szCs w:val="24"/>
          <w:lang w:val="en-US"/>
        </w:rPr>
        <w:t xml:space="preserve">, C. M., </w:t>
      </w:r>
      <w:proofErr w:type="spellStart"/>
      <w:r w:rsidRPr="00045169">
        <w:rPr>
          <w:rFonts w:ascii="Times New Roman" w:hAnsi="Times New Roman" w:cs="Times New Roman"/>
          <w:sz w:val="24"/>
          <w:szCs w:val="24"/>
          <w:lang w:val="en-US"/>
        </w:rPr>
        <w:t>Twisk</w:t>
      </w:r>
      <w:proofErr w:type="spellEnd"/>
      <w:r w:rsidRPr="00045169">
        <w:rPr>
          <w:rFonts w:ascii="Times New Roman" w:hAnsi="Times New Roman" w:cs="Times New Roman"/>
          <w:sz w:val="24"/>
          <w:szCs w:val="24"/>
          <w:lang w:val="en-US"/>
        </w:rPr>
        <w:t xml:space="preserve">, J. W. R., den </w:t>
      </w:r>
      <w:proofErr w:type="spellStart"/>
      <w:r w:rsidRPr="00045169">
        <w:rPr>
          <w:rFonts w:ascii="Times New Roman" w:hAnsi="Times New Roman" w:cs="Times New Roman"/>
          <w:sz w:val="24"/>
          <w:szCs w:val="24"/>
          <w:lang w:val="en-US"/>
        </w:rPr>
        <w:t>Heijer</w:t>
      </w:r>
      <w:proofErr w:type="spellEnd"/>
      <w:r w:rsidRPr="00045169">
        <w:rPr>
          <w:rFonts w:ascii="Times New Roman" w:hAnsi="Times New Roman" w:cs="Times New Roman"/>
          <w:sz w:val="24"/>
          <w:szCs w:val="24"/>
          <w:lang w:val="en-US"/>
        </w:rPr>
        <w:t xml:space="preserve">, M., </w:t>
      </w:r>
      <w:proofErr w:type="spellStart"/>
      <w:r w:rsidRPr="00045169">
        <w:rPr>
          <w:rFonts w:ascii="Times New Roman" w:hAnsi="Times New Roman" w:cs="Times New Roman"/>
          <w:sz w:val="24"/>
          <w:szCs w:val="24"/>
          <w:lang w:val="en-US"/>
        </w:rPr>
        <w:t>Rotteveel</w:t>
      </w:r>
      <w:proofErr w:type="spellEnd"/>
      <w:r w:rsidRPr="00045169">
        <w:rPr>
          <w:rFonts w:ascii="Times New Roman" w:hAnsi="Times New Roman" w:cs="Times New Roman"/>
          <w:sz w:val="24"/>
          <w:szCs w:val="24"/>
          <w:lang w:val="en-US"/>
        </w:rPr>
        <w:t xml:space="preserve">, J., &amp; Klink, D. T. (2020). Hormonal Treatment and Cardiovascular Risk Profile in Transgender Adolescents. </w:t>
      </w:r>
      <w:r w:rsidRPr="00045169">
        <w:rPr>
          <w:rFonts w:ascii="Times New Roman" w:hAnsi="Times New Roman" w:cs="Times New Roman"/>
          <w:i/>
          <w:sz w:val="24"/>
          <w:szCs w:val="24"/>
          <w:lang w:val="en-US"/>
        </w:rPr>
        <w:t>Pediatrics</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145</w:t>
      </w:r>
      <w:r w:rsidRPr="00045169">
        <w:rPr>
          <w:rFonts w:ascii="Times New Roman" w:hAnsi="Times New Roman" w:cs="Times New Roman"/>
          <w:sz w:val="24"/>
          <w:szCs w:val="24"/>
          <w:lang w:val="en-US"/>
        </w:rPr>
        <w:t>(3). https://doi.org/10.1542/peds.2019-0741</w:t>
      </w:r>
    </w:p>
    <w:p w14:paraId="5153BCFE"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Klaver, M., Dekker, M. J. H. J., de </w:t>
      </w:r>
      <w:proofErr w:type="spellStart"/>
      <w:r w:rsidRPr="00045169">
        <w:rPr>
          <w:rFonts w:ascii="Times New Roman" w:hAnsi="Times New Roman" w:cs="Times New Roman"/>
          <w:sz w:val="24"/>
          <w:szCs w:val="24"/>
          <w:lang w:val="en-US"/>
        </w:rPr>
        <w:t>Mutsert</w:t>
      </w:r>
      <w:proofErr w:type="spellEnd"/>
      <w:r w:rsidRPr="00045169">
        <w:rPr>
          <w:rFonts w:ascii="Times New Roman" w:hAnsi="Times New Roman" w:cs="Times New Roman"/>
          <w:sz w:val="24"/>
          <w:szCs w:val="24"/>
          <w:lang w:val="en-US"/>
        </w:rPr>
        <w:t xml:space="preserve">, R., </w:t>
      </w:r>
      <w:proofErr w:type="spellStart"/>
      <w:r w:rsidRPr="00045169">
        <w:rPr>
          <w:rFonts w:ascii="Times New Roman" w:hAnsi="Times New Roman" w:cs="Times New Roman"/>
          <w:sz w:val="24"/>
          <w:szCs w:val="24"/>
          <w:lang w:val="en-US"/>
        </w:rPr>
        <w:t>Twisk</w:t>
      </w:r>
      <w:proofErr w:type="spellEnd"/>
      <w:r w:rsidRPr="00045169">
        <w:rPr>
          <w:rFonts w:ascii="Times New Roman" w:hAnsi="Times New Roman" w:cs="Times New Roman"/>
          <w:sz w:val="24"/>
          <w:szCs w:val="24"/>
          <w:lang w:val="en-US"/>
        </w:rPr>
        <w:t xml:space="preserve">, J. W. R., &amp; den </w:t>
      </w:r>
      <w:proofErr w:type="spellStart"/>
      <w:r w:rsidRPr="00045169">
        <w:rPr>
          <w:rFonts w:ascii="Times New Roman" w:hAnsi="Times New Roman" w:cs="Times New Roman"/>
          <w:sz w:val="24"/>
          <w:szCs w:val="24"/>
          <w:lang w:val="en-US"/>
        </w:rPr>
        <w:t>Heijer</w:t>
      </w:r>
      <w:proofErr w:type="spellEnd"/>
      <w:r w:rsidRPr="00045169">
        <w:rPr>
          <w:rFonts w:ascii="Times New Roman" w:hAnsi="Times New Roman" w:cs="Times New Roman"/>
          <w:sz w:val="24"/>
          <w:szCs w:val="24"/>
          <w:lang w:val="en-US"/>
        </w:rPr>
        <w:t xml:space="preserve">, M. (2017). Cross-sex hormone therapy in transgender persons affects total body weight, body fat and lean body mass: a meta-analysis. </w:t>
      </w:r>
      <w:proofErr w:type="spellStart"/>
      <w:r w:rsidRPr="00045169">
        <w:rPr>
          <w:rFonts w:ascii="Times New Roman" w:hAnsi="Times New Roman" w:cs="Times New Roman"/>
          <w:i/>
          <w:sz w:val="24"/>
          <w:szCs w:val="24"/>
          <w:lang w:val="en-US"/>
        </w:rPr>
        <w:t>Andrologia</w:t>
      </w:r>
      <w:proofErr w:type="spellEnd"/>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49</w:t>
      </w:r>
      <w:r w:rsidRPr="00045169">
        <w:rPr>
          <w:rFonts w:ascii="Times New Roman" w:hAnsi="Times New Roman" w:cs="Times New Roman"/>
          <w:sz w:val="24"/>
          <w:szCs w:val="24"/>
          <w:lang w:val="en-US"/>
        </w:rPr>
        <w:t>(5), e12660. https://doi.org/10.1111/and.12660</w:t>
      </w:r>
    </w:p>
    <w:p w14:paraId="14863C8F"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Klaver, M., van </w:t>
      </w:r>
      <w:proofErr w:type="spellStart"/>
      <w:r w:rsidRPr="00045169">
        <w:rPr>
          <w:rFonts w:ascii="Times New Roman" w:hAnsi="Times New Roman" w:cs="Times New Roman"/>
          <w:sz w:val="24"/>
          <w:szCs w:val="24"/>
          <w:lang w:val="en-US"/>
        </w:rPr>
        <w:t>Velzen</w:t>
      </w:r>
      <w:proofErr w:type="spellEnd"/>
      <w:r w:rsidRPr="00045169">
        <w:rPr>
          <w:rFonts w:ascii="Times New Roman" w:hAnsi="Times New Roman" w:cs="Times New Roman"/>
          <w:sz w:val="24"/>
          <w:szCs w:val="24"/>
          <w:lang w:val="en-US"/>
        </w:rPr>
        <w:t xml:space="preserve">, D., de Blok, C., Nota, N., </w:t>
      </w:r>
      <w:proofErr w:type="spellStart"/>
      <w:r w:rsidRPr="00045169">
        <w:rPr>
          <w:rFonts w:ascii="Times New Roman" w:hAnsi="Times New Roman" w:cs="Times New Roman"/>
          <w:sz w:val="24"/>
          <w:szCs w:val="24"/>
          <w:lang w:val="en-US"/>
        </w:rPr>
        <w:t>Wiepjes</w:t>
      </w:r>
      <w:proofErr w:type="spellEnd"/>
      <w:r w:rsidRPr="00045169">
        <w:rPr>
          <w:rFonts w:ascii="Times New Roman" w:hAnsi="Times New Roman" w:cs="Times New Roman"/>
          <w:sz w:val="24"/>
          <w:szCs w:val="24"/>
          <w:lang w:val="en-US"/>
        </w:rPr>
        <w:t xml:space="preserve">, C., </w:t>
      </w:r>
      <w:proofErr w:type="spellStart"/>
      <w:r w:rsidRPr="00045169">
        <w:rPr>
          <w:rFonts w:ascii="Times New Roman" w:hAnsi="Times New Roman" w:cs="Times New Roman"/>
          <w:sz w:val="24"/>
          <w:szCs w:val="24"/>
          <w:lang w:val="en-US"/>
        </w:rPr>
        <w:t>Defreyne</w:t>
      </w:r>
      <w:proofErr w:type="spellEnd"/>
      <w:r w:rsidRPr="00045169">
        <w:rPr>
          <w:rFonts w:ascii="Times New Roman" w:hAnsi="Times New Roman" w:cs="Times New Roman"/>
          <w:sz w:val="24"/>
          <w:szCs w:val="24"/>
          <w:lang w:val="en-US"/>
        </w:rPr>
        <w:t xml:space="preserve">, J., Schreiner, T., Fisher, A., </w:t>
      </w:r>
      <w:proofErr w:type="spellStart"/>
      <w:r w:rsidRPr="00045169">
        <w:rPr>
          <w:rFonts w:ascii="Times New Roman" w:hAnsi="Times New Roman" w:cs="Times New Roman"/>
          <w:sz w:val="24"/>
          <w:szCs w:val="24"/>
          <w:lang w:val="en-US"/>
        </w:rPr>
        <w:t>Twisk</w:t>
      </w:r>
      <w:proofErr w:type="spellEnd"/>
      <w:r w:rsidRPr="00045169">
        <w:rPr>
          <w:rFonts w:ascii="Times New Roman" w:hAnsi="Times New Roman" w:cs="Times New Roman"/>
          <w:sz w:val="24"/>
          <w:szCs w:val="24"/>
          <w:lang w:val="en-US"/>
        </w:rPr>
        <w:t xml:space="preserve">, J., Seidell, J., </w:t>
      </w:r>
      <w:proofErr w:type="spellStart"/>
      <w:r w:rsidRPr="00045169">
        <w:rPr>
          <w:rFonts w:ascii="Times New Roman" w:hAnsi="Times New Roman" w:cs="Times New Roman"/>
          <w:sz w:val="24"/>
          <w:szCs w:val="24"/>
          <w:lang w:val="en-US"/>
        </w:rPr>
        <w:t>T’Sjoen</w:t>
      </w:r>
      <w:proofErr w:type="spellEnd"/>
      <w:r w:rsidRPr="00045169">
        <w:rPr>
          <w:rFonts w:ascii="Times New Roman" w:hAnsi="Times New Roman" w:cs="Times New Roman"/>
          <w:sz w:val="24"/>
          <w:szCs w:val="24"/>
          <w:lang w:val="en-US"/>
        </w:rPr>
        <w:t xml:space="preserve">, G., den </w:t>
      </w:r>
      <w:proofErr w:type="spellStart"/>
      <w:r w:rsidRPr="00045169">
        <w:rPr>
          <w:rFonts w:ascii="Times New Roman" w:hAnsi="Times New Roman" w:cs="Times New Roman"/>
          <w:sz w:val="24"/>
          <w:szCs w:val="24"/>
          <w:lang w:val="en-US"/>
        </w:rPr>
        <w:t>Heijer</w:t>
      </w:r>
      <w:proofErr w:type="spellEnd"/>
      <w:r w:rsidRPr="00045169">
        <w:rPr>
          <w:rFonts w:ascii="Times New Roman" w:hAnsi="Times New Roman" w:cs="Times New Roman"/>
          <w:sz w:val="24"/>
          <w:szCs w:val="24"/>
          <w:lang w:val="en-US"/>
        </w:rPr>
        <w:t xml:space="preserve">, M., &amp; de </w:t>
      </w:r>
      <w:proofErr w:type="spellStart"/>
      <w:r w:rsidRPr="00045169">
        <w:rPr>
          <w:rFonts w:ascii="Times New Roman" w:hAnsi="Times New Roman" w:cs="Times New Roman"/>
          <w:sz w:val="24"/>
          <w:szCs w:val="24"/>
          <w:lang w:val="en-US"/>
        </w:rPr>
        <w:t>Mutsert</w:t>
      </w:r>
      <w:proofErr w:type="spellEnd"/>
      <w:r w:rsidRPr="00045169">
        <w:rPr>
          <w:rFonts w:ascii="Times New Roman" w:hAnsi="Times New Roman" w:cs="Times New Roman"/>
          <w:sz w:val="24"/>
          <w:szCs w:val="24"/>
          <w:lang w:val="en-US"/>
        </w:rPr>
        <w:t xml:space="preserve">, R. (2022). Change in Visceral Fat and Total Body Fat and the Effect on Cardiometabolic Risk Factors During Transgender Hormone Therapy. </w:t>
      </w:r>
      <w:r w:rsidRPr="00045169">
        <w:rPr>
          <w:rFonts w:ascii="Times New Roman" w:hAnsi="Times New Roman" w:cs="Times New Roman"/>
          <w:i/>
          <w:sz w:val="24"/>
          <w:szCs w:val="24"/>
          <w:lang w:val="en-US"/>
        </w:rPr>
        <w:t>The Journal of Clinical Endocrinology &amp; Metabolism</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107</w:t>
      </w:r>
      <w:r w:rsidRPr="00045169">
        <w:rPr>
          <w:rFonts w:ascii="Times New Roman" w:hAnsi="Times New Roman" w:cs="Times New Roman"/>
          <w:sz w:val="24"/>
          <w:szCs w:val="24"/>
          <w:lang w:val="en-US"/>
        </w:rPr>
        <w:t>(1), e153–e164. https://doi.org/10.1210/clinem/dgab616</w:t>
      </w:r>
    </w:p>
    <w:p w14:paraId="7CCDFD15"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Kuvin, J. T., Patel, A. R., Sliney, K. A., Pandian, N. G., Sheffy, J., Schnall, R. P., Karas, R. H., &amp; </w:t>
      </w:r>
      <w:proofErr w:type="spellStart"/>
      <w:r w:rsidRPr="00045169">
        <w:rPr>
          <w:rFonts w:ascii="Times New Roman" w:hAnsi="Times New Roman" w:cs="Times New Roman"/>
          <w:sz w:val="24"/>
          <w:szCs w:val="24"/>
          <w:lang w:val="en-US"/>
        </w:rPr>
        <w:t>Udelson</w:t>
      </w:r>
      <w:proofErr w:type="spellEnd"/>
      <w:r w:rsidRPr="00045169">
        <w:rPr>
          <w:rFonts w:ascii="Times New Roman" w:hAnsi="Times New Roman" w:cs="Times New Roman"/>
          <w:sz w:val="24"/>
          <w:szCs w:val="24"/>
          <w:lang w:val="en-US"/>
        </w:rPr>
        <w:t xml:space="preserve">, J. E. (2003). Assessment of peripheral vascular endothelial function with finger arterial pulse wave amplitude. </w:t>
      </w:r>
      <w:r w:rsidRPr="00045169">
        <w:rPr>
          <w:rFonts w:ascii="Times New Roman" w:hAnsi="Times New Roman" w:cs="Times New Roman"/>
          <w:i/>
          <w:sz w:val="24"/>
          <w:szCs w:val="24"/>
          <w:lang w:val="en-US"/>
        </w:rPr>
        <w:t>American Heart Journal</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146</w:t>
      </w:r>
      <w:r w:rsidRPr="00045169">
        <w:rPr>
          <w:rFonts w:ascii="Times New Roman" w:hAnsi="Times New Roman" w:cs="Times New Roman"/>
          <w:sz w:val="24"/>
          <w:szCs w:val="24"/>
          <w:lang w:val="en-US"/>
        </w:rPr>
        <w:t>(1), 168–174. https://doi.org/10.1016/S0002-8703(03)00094-2</w:t>
      </w:r>
    </w:p>
    <w:p w14:paraId="0573053F" w14:textId="77777777" w:rsidR="003F2C39" w:rsidRDefault="00000000">
      <w:pPr>
        <w:spacing w:after="0" w:line="360" w:lineRule="auto"/>
        <w:ind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Moreau, K. L., Hildreth, K. L., Klawitter, J., Blatchford, P., &amp; Kohrt, W. M. (2020). Decline in endothelial function across the menopause transition in healthy women is related to decreased estradiol and increased oxidative stress. </w:t>
      </w:r>
      <w:proofErr w:type="spellStart"/>
      <w:r w:rsidRPr="00045169">
        <w:rPr>
          <w:rFonts w:ascii="Times New Roman" w:hAnsi="Times New Roman" w:cs="Times New Roman"/>
          <w:i/>
          <w:sz w:val="24"/>
          <w:szCs w:val="24"/>
          <w:lang w:val="en-US"/>
        </w:rPr>
        <w:t>GeroScience</w:t>
      </w:r>
      <w:proofErr w:type="spellEnd"/>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42</w:t>
      </w:r>
      <w:r w:rsidRPr="00045169">
        <w:rPr>
          <w:rFonts w:ascii="Times New Roman" w:hAnsi="Times New Roman" w:cs="Times New Roman"/>
          <w:sz w:val="24"/>
          <w:szCs w:val="24"/>
          <w:lang w:val="en-US"/>
        </w:rPr>
        <w:t>(6), 1699–1714. https://doi.org/10.1007/s11357-020-00236-7</w:t>
      </w:r>
    </w:p>
    <w:p w14:paraId="289CE3AE" w14:textId="77777777" w:rsidR="003F2C39" w:rsidRDefault="00000000">
      <w:pPr>
        <w:spacing w:after="0" w:line="360" w:lineRule="auto"/>
        <w:ind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Moreau, K. L., Stauffer, B. L., Kohrt, W. M., &amp; Seals, D. R. (2013). Essential Role of Estrogen for Improvements in Vascular Endothelial Function </w:t>
      </w:r>
      <w:proofErr w:type="gramStart"/>
      <w:r w:rsidRPr="00045169">
        <w:rPr>
          <w:rFonts w:ascii="Times New Roman" w:hAnsi="Times New Roman" w:cs="Times New Roman"/>
          <w:sz w:val="24"/>
          <w:szCs w:val="24"/>
          <w:lang w:val="en-US"/>
        </w:rPr>
        <w:t>With</w:t>
      </w:r>
      <w:proofErr w:type="gramEnd"/>
      <w:r w:rsidRPr="00045169">
        <w:rPr>
          <w:rFonts w:ascii="Times New Roman" w:hAnsi="Times New Roman" w:cs="Times New Roman"/>
          <w:sz w:val="24"/>
          <w:szCs w:val="24"/>
          <w:lang w:val="en-US"/>
        </w:rPr>
        <w:t xml:space="preserve"> Endurance Exercise in Postmenopausal Women. </w:t>
      </w:r>
      <w:r w:rsidRPr="00045169">
        <w:rPr>
          <w:rFonts w:ascii="Times New Roman" w:hAnsi="Times New Roman" w:cs="Times New Roman"/>
          <w:i/>
          <w:sz w:val="24"/>
          <w:szCs w:val="24"/>
          <w:lang w:val="en-US"/>
        </w:rPr>
        <w:t>The Journal of Clinical Endocrinology &amp; Metabolism</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98</w:t>
      </w:r>
      <w:r w:rsidRPr="00045169">
        <w:rPr>
          <w:rFonts w:ascii="Times New Roman" w:hAnsi="Times New Roman" w:cs="Times New Roman"/>
          <w:sz w:val="24"/>
          <w:szCs w:val="24"/>
          <w:lang w:val="en-US"/>
        </w:rPr>
        <w:t>(11), 4507–4515. https://doi.org/10.1210/jc.2013-2183</w:t>
      </w:r>
    </w:p>
    <w:p w14:paraId="25D760FB"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sidRPr="00045169">
        <w:rPr>
          <w:rFonts w:ascii="Times New Roman" w:hAnsi="Times New Roman" w:cs="Times New Roman"/>
          <w:sz w:val="24"/>
          <w:szCs w:val="24"/>
        </w:rPr>
        <w:t>Nagata</w:t>
      </w:r>
      <w:proofErr w:type="spellEnd"/>
      <w:r w:rsidRPr="00045169">
        <w:rPr>
          <w:rFonts w:ascii="Times New Roman" w:hAnsi="Times New Roman" w:cs="Times New Roman"/>
          <w:sz w:val="24"/>
          <w:szCs w:val="24"/>
        </w:rPr>
        <w:t xml:space="preserve">, J. M., </w:t>
      </w:r>
      <w:proofErr w:type="spellStart"/>
      <w:r w:rsidRPr="00045169">
        <w:rPr>
          <w:rFonts w:ascii="Times New Roman" w:hAnsi="Times New Roman" w:cs="Times New Roman"/>
          <w:sz w:val="24"/>
          <w:szCs w:val="24"/>
        </w:rPr>
        <w:t>Ganson</w:t>
      </w:r>
      <w:proofErr w:type="spellEnd"/>
      <w:r w:rsidRPr="00045169">
        <w:rPr>
          <w:rFonts w:ascii="Times New Roman" w:hAnsi="Times New Roman" w:cs="Times New Roman"/>
          <w:sz w:val="24"/>
          <w:szCs w:val="24"/>
        </w:rPr>
        <w:t xml:space="preserve">, K. T., &amp; Austin, S. B. (2020). </w:t>
      </w:r>
      <w:r w:rsidRPr="00045169">
        <w:rPr>
          <w:rFonts w:ascii="Times New Roman" w:hAnsi="Times New Roman" w:cs="Times New Roman"/>
          <w:sz w:val="24"/>
          <w:szCs w:val="24"/>
          <w:lang w:val="en-US"/>
        </w:rPr>
        <w:t xml:space="preserve">Emerging trends in eating disorders among sexual and gender minorities. </w:t>
      </w:r>
      <w:r w:rsidRPr="00045169">
        <w:rPr>
          <w:rFonts w:ascii="Times New Roman" w:hAnsi="Times New Roman" w:cs="Times New Roman"/>
          <w:i/>
          <w:sz w:val="24"/>
          <w:szCs w:val="24"/>
          <w:lang w:val="en-US"/>
        </w:rPr>
        <w:t>Current Opinion in Psychiatry</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33</w:t>
      </w:r>
      <w:r w:rsidRPr="00045169">
        <w:rPr>
          <w:rFonts w:ascii="Times New Roman" w:hAnsi="Times New Roman" w:cs="Times New Roman"/>
          <w:sz w:val="24"/>
          <w:szCs w:val="24"/>
          <w:lang w:val="en-US"/>
        </w:rPr>
        <w:t>(6), 562–567. https://doi.org/10.1097/YCO.0000000000000645</w:t>
      </w:r>
    </w:p>
    <w:p w14:paraId="52B03DB2"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Paradisi, G., Steinberg, H. O., Hempfling, A., Cronin, J., Hook, G., Shepard, M. K., &amp; Baron, A. D. (2001). Polycystic Ovary Syndrome Is Associated </w:t>
      </w:r>
      <w:proofErr w:type="gramStart"/>
      <w:r w:rsidRPr="00045169">
        <w:rPr>
          <w:rFonts w:ascii="Times New Roman" w:hAnsi="Times New Roman" w:cs="Times New Roman"/>
          <w:sz w:val="24"/>
          <w:szCs w:val="24"/>
          <w:lang w:val="en-US"/>
        </w:rPr>
        <w:t>With</w:t>
      </w:r>
      <w:proofErr w:type="gramEnd"/>
      <w:r w:rsidRPr="00045169">
        <w:rPr>
          <w:rFonts w:ascii="Times New Roman" w:hAnsi="Times New Roman" w:cs="Times New Roman"/>
          <w:sz w:val="24"/>
          <w:szCs w:val="24"/>
          <w:lang w:val="en-US"/>
        </w:rPr>
        <w:t xml:space="preserve"> Endothelial Dysfunction. </w:t>
      </w:r>
      <w:r w:rsidRPr="00045169">
        <w:rPr>
          <w:rFonts w:ascii="Times New Roman" w:hAnsi="Times New Roman" w:cs="Times New Roman"/>
          <w:i/>
          <w:sz w:val="24"/>
          <w:szCs w:val="24"/>
          <w:lang w:val="en-US"/>
        </w:rPr>
        <w:t>Circulation</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103</w:t>
      </w:r>
      <w:r w:rsidRPr="00045169">
        <w:rPr>
          <w:rFonts w:ascii="Times New Roman" w:hAnsi="Times New Roman" w:cs="Times New Roman"/>
          <w:sz w:val="24"/>
          <w:szCs w:val="24"/>
          <w:lang w:val="en-US"/>
        </w:rPr>
        <w:t>(10), 1410–1415. https://doi.org/10.1161/01.CIR.103.10.1410</w:t>
      </w:r>
    </w:p>
    <w:p w14:paraId="4E3BBE90"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Pr>
          <w:rFonts w:ascii="Times New Roman" w:hAnsi="Times New Roman" w:cs="Times New Roman"/>
          <w:sz w:val="24"/>
          <w:szCs w:val="24"/>
        </w:rPr>
        <w:lastRenderedPageBreak/>
        <w:t>Sansone</w:t>
      </w:r>
      <w:proofErr w:type="spellEnd"/>
      <w:r w:rsidRPr="00045169">
        <w:rPr>
          <w:rFonts w:ascii="Times New Roman" w:hAnsi="Times New Roman" w:cs="Times New Roman"/>
          <w:sz w:val="24"/>
          <w:szCs w:val="24"/>
        </w:rPr>
        <w:t xml:space="preserve">, A., </w:t>
      </w:r>
      <w:proofErr w:type="spellStart"/>
      <w:r w:rsidRPr="00045169">
        <w:rPr>
          <w:rFonts w:ascii="Times New Roman" w:hAnsi="Times New Roman" w:cs="Times New Roman"/>
          <w:sz w:val="24"/>
          <w:szCs w:val="24"/>
        </w:rPr>
        <w:t>Rastrelli</w:t>
      </w:r>
      <w:proofErr w:type="spellEnd"/>
      <w:r w:rsidRPr="00045169">
        <w:rPr>
          <w:rFonts w:ascii="Times New Roman" w:hAnsi="Times New Roman" w:cs="Times New Roman"/>
          <w:sz w:val="24"/>
          <w:szCs w:val="24"/>
        </w:rPr>
        <w:t xml:space="preserve">, G., </w:t>
      </w:r>
      <w:proofErr w:type="spellStart"/>
      <w:r w:rsidRPr="00045169">
        <w:rPr>
          <w:rFonts w:ascii="Times New Roman" w:hAnsi="Times New Roman" w:cs="Times New Roman"/>
          <w:sz w:val="24"/>
          <w:szCs w:val="24"/>
        </w:rPr>
        <w:t>Cignarelli</w:t>
      </w:r>
      <w:proofErr w:type="spellEnd"/>
      <w:r w:rsidRPr="00045169">
        <w:rPr>
          <w:rFonts w:ascii="Times New Roman" w:hAnsi="Times New Roman" w:cs="Times New Roman"/>
          <w:sz w:val="24"/>
          <w:szCs w:val="24"/>
        </w:rPr>
        <w:t xml:space="preserve">, A., de Rocco Ponce, M., </w:t>
      </w:r>
      <w:proofErr w:type="spellStart"/>
      <w:r w:rsidRPr="00045169">
        <w:rPr>
          <w:rFonts w:ascii="Times New Roman" w:hAnsi="Times New Roman" w:cs="Times New Roman"/>
          <w:sz w:val="24"/>
          <w:szCs w:val="24"/>
        </w:rPr>
        <w:t>Condorelli</w:t>
      </w:r>
      <w:proofErr w:type="spellEnd"/>
      <w:r w:rsidRPr="00045169">
        <w:rPr>
          <w:rFonts w:ascii="Times New Roman" w:hAnsi="Times New Roman" w:cs="Times New Roman"/>
          <w:sz w:val="24"/>
          <w:szCs w:val="24"/>
        </w:rPr>
        <w:t xml:space="preserve">, R. A., </w:t>
      </w:r>
      <w:proofErr w:type="spellStart"/>
      <w:r w:rsidRPr="00045169">
        <w:rPr>
          <w:rFonts w:ascii="Times New Roman" w:hAnsi="Times New Roman" w:cs="Times New Roman"/>
          <w:sz w:val="24"/>
          <w:szCs w:val="24"/>
        </w:rPr>
        <w:t>Giannetta</w:t>
      </w:r>
      <w:proofErr w:type="spellEnd"/>
      <w:r w:rsidRPr="00045169">
        <w:rPr>
          <w:rFonts w:ascii="Times New Roman" w:hAnsi="Times New Roman" w:cs="Times New Roman"/>
          <w:sz w:val="24"/>
          <w:szCs w:val="24"/>
        </w:rPr>
        <w:t xml:space="preserve">, E., </w:t>
      </w:r>
      <w:proofErr w:type="spellStart"/>
      <w:r w:rsidRPr="00045169">
        <w:rPr>
          <w:rFonts w:ascii="Times New Roman" w:hAnsi="Times New Roman" w:cs="Times New Roman"/>
          <w:sz w:val="24"/>
          <w:szCs w:val="24"/>
        </w:rPr>
        <w:t>Maseroli</w:t>
      </w:r>
      <w:proofErr w:type="spellEnd"/>
      <w:r w:rsidRPr="00045169">
        <w:rPr>
          <w:rFonts w:ascii="Times New Roman" w:hAnsi="Times New Roman" w:cs="Times New Roman"/>
          <w:sz w:val="24"/>
          <w:szCs w:val="24"/>
        </w:rPr>
        <w:t xml:space="preserve">, E., Pinto, S., Salzano, C., &amp; Santi, D. (2020). </w:t>
      </w:r>
      <w:r w:rsidRPr="00045169">
        <w:rPr>
          <w:rFonts w:ascii="Times New Roman" w:hAnsi="Times New Roman" w:cs="Times New Roman"/>
          <w:sz w:val="24"/>
          <w:szCs w:val="24"/>
          <w:lang w:val="en-US"/>
        </w:rPr>
        <w:t xml:space="preserve">Effect of treatment with testosterone on endothelial function in hypogonadal men: a systematic review and meta-analysis. </w:t>
      </w:r>
      <w:r w:rsidRPr="00045169">
        <w:rPr>
          <w:rFonts w:ascii="Times New Roman" w:hAnsi="Times New Roman" w:cs="Times New Roman"/>
          <w:i/>
          <w:sz w:val="24"/>
          <w:szCs w:val="24"/>
          <w:lang w:val="en-US"/>
        </w:rPr>
        <w:t>International Journal of Impotence Research</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32</w:t>
      </w:r>
      <w:r w:rsidRPr="00045169">
        <w:rPr>
          <w:rFonts w:ascii="Times New Roman" w:hAnsi="Times New Roman" w:cs="Times New Roman"/>
          <w:sz w:val="24"/>
          <w:szCs w:val="24"/>
          <w:lang w:val="en-US"/>
        </w:rPr>
        <w:t>(4), 379–386. https://doi.org/10.1038/s41443-019-0163-6</w:t>
      </w:r>
    </w:p>
    <w:p w14:paraId="650A7F8A" w14:textId="77777777" w:rsidR="003F2C39" w:rsidRDefault="00000000">
      <w:pPr>
        <w:spacing w:after="0" w:line="360" w:lineRule="auto"/>
        <w:ind w:hanging="480"/>
        <w:jc w:val="both"/>
        <w:rPr>
          <w:rFonts w:ascii="Times New Roman" w:hAnsi="Times New Roman" w:cs="Times New Roman"/>
          <w:sz w:val="24"/>
          <w:szCs w:val="24"/>
        </w:rPr>
      </w:pPr>
      <w:r w:rsidRPr="00045169">
        <w:rPr>
          <w:rFonts w:ascii="Times New Roman" w:hAnsi="Times New Roman" w:cs="Times New Roman"/>
          <w:sz w:val="24"/>
          <w:szCs w:val="24"/>
          <w:lang w:val="en-US"/>
        </w:rPr>
        <w:t>Shadid, S., Abosi-</w:t>
      </w:r>
      <w:proofErr w:type="spellStart"/>
      <w:r w:rsidRPr="00045169">
        <w:rPr>
          <w:rFonts w:ascii="Times New Roman" w:hAnsi="Times New Roman" w:cs="Times New Roman"/>
          <w:sz w:val="24"/>
          <w:szCs w:val="24"/>
          <w:lang w:val="en-US"/>
        </w:rPr>
        <w:t>Appeadu</w:t>
      </w:r>
      <w:proofErr w:type="spellEnd"/>
      <w:r w:rsidRPr="00045169">
        <w:rPr>
          <w:rFonts w:ascii="Times New Roman" w:hAnsi="Times New Roman" w:cs="Times New Roman"/>
          <w:sz w:val="24"/>
          <w:szCs w:val="24"/>
          <w:lang w:val="en-US"/>
        </w:rPr>
        <w:t xml:space="preserve">, K., de </w:t>
      </w:r>
      <w:proofErr w:type="spellStart"/>
      <w:r w:rsidRPr="00045169">
        <w:rPr>
          <w:rFonts w:ascii="Times New Roman" w:hAnsi="Times New Roman" w:cs="Times New Roman"/>
          <w:sz w:val="24"/>
          <w:szCs w:val="24"/>
          <w:lang w:val="en-US"/>
        </w:rPr>
        <w:t>Maertelaere</w:t>
      </w:r>
      <w:proofErr w:type="spellEnd"/>
      <w:r w:rsidRPr="00045169">
        <w:rPr>
          <w:rFonts w:ascii="Times New Roman" w:hAnsi="Times New Roman" w:cs="Times New Roman"/>
          <w:sz w:val="24"/>
          <w:szCs w:val="24"/>
          <w:lang w:val="en-US"/>
        </w:rPr>
        <w:t xml:space="preserve">, A.-S., </w:t>
      </w:r>
      <w:proofErr w:type="spellStart"/>
      <w:r w:rsidRPr="00045169">
        <w:rPr>
          <w:rFonts w:ascii="Times New Roman" w:hAnsi="Times New Roman" w:cs="Times New Roman"/>
          <w:sz w:val="24"/>
          <w:szCs w:val="24"/>
          <w:lang w:val="en-US"/>
        </w:rPr>
        <w:t>Defreyne</w:t>
      </w:r>
      <w:proofErr w:type="spellEnd"/>
      <w:r w:rsidRPr="00045169">
        <w:rPr>
          <w:rFonts w:ascii="Times New Roman" w:hAnsi="Times New Roman" w:cs="Times New Roman"/>
          <w:sz w:val="24"/>
          <w:szCs w:val="24"/>
          <w:lang w:val="en-US"/>
        </w:rPr>
        <w:t xml:space="preserve">, J., </w:t>
      </w:r>
      <w:proofErr w:type="spellStart"/>
      <w:r w:rsidRPr="00045169">
        <w:rPr>
          <w:rFonts w:ascii="Times New Roman" w:hAnsi="Times New Roman" w:cs="Times New Roman"/>
          <w:sz w:val="24"/>
          <w:szCs w:val="24"/>
          <w:lang w:val="en-US"/>
        </w:rPr>
        <w:t>Veldeman</w:t>
      </w:r>
      <w:proofErr w:type="spellEnd"/>
      <w:r w:rsidRPr="00045169">
        <w:rPr>
          <w:rFonts w:ascii="Times New Roman" w:hAnsi="Times New Roman" w:cs="Times New Roman"/>
          <w:sz w:val="24"/>
          <w:szCs w:val="24"/>
          <w:lang w:val="en-US"/>
        </w:rPr>
        <w:t xml:space="preserve">, L., Holst, J. J., </w:t>
      </w:r>
      <w:proofErr w:type="spellStart"/>
      <w:r w:rsidRPr="00045169">
        <w:rPr>
          <w:rFonts w:ascii="Times New Roman" w:hAnsi="Times New Roman" w:cs="Times New Roman"/>
          <w:sz w:val="24"/>
          <w:szCs w:val="24"/>
          <w:lang w:val="en-US"/>
        </w:rPr>
        <w:t>Lapauw</w:t>
      </w:r>
      <w:proofErr w:type="spellEnd"/>
      <w:r w:rsidRPr="00045169">
        <w:rPr>
          <w:rFonts w:ascii="Times New Roman" w:hAnsi="Times New Roman" w:cs="Times New Roman"/>
          <w:sz w:val="24"/>
          <w:szCs w:val="24"/>
          <w:lang w:val="en-US"/>
        </w:rPr>
        <w:t xml:space="preserve">, B., Vilsbøll, T., &amp; </w:t>
      </w:r>
      <w:proofErr w:type="spellStart"/>
      <w:r w:rsidRPr="00045169">
        <w:rPr>
          <w:rFonts w:ascii="Times New Roman" w:hAnsi="Times New Roman" w:cs="Times New Roman"/>
          <w:sz w:val="24"/>
          <w:szCs w:val="24"/>
          <w:lang w:val="en-US"/>
        </w:rPr>
        <w:t>T’Sjoen</w:t>
      </w:r>
      <w:proofErr w:type="spellEnd"/>
      <w:r w:rsidRPr="00045169">
        <w:rPr>
          <w:rFonts w:ascii="Times New Roman" w:hAnsi="Times New Roman" w:cs="Times New Roman"/>
          <w:sz w:val="24"/>
          <w:szCs w:val="24"/>
          <w:lang w:val="en-US"/>
        </w:rPr>
        <w:t xml:space="preserve">, G. (2020). Effects of Gender-Affirming Hormone Therapy on Insulin Sensitivity and Incretin Responses in Transgender People. </w:t>
      </w:r>
      <w:r w:rsidRPr="00045169">
        <w:rPr>
          <w:rFonts w:ascii="Times New Roman" w:hAnsi="Times New Roman" w:cs="Times New Roman"/>
          <w:i/>
          <w:sz w:val="24"/>
          <w:szCs w:val="24"/>
        </w:rPr>
        <w:t xml:space="preserve">Diabetes </w:t>
      </w:r>
      <w:proofErr w:type="spellStart"/>
      <w:r w:rsidRPr="00045169">
        <w:rPr>
          <w:rFonts w:ascii="Times New Roman" w:hAnsi="Times New Roman" w:cs="Times New Roman"/>
          <w:i/>
          <w:sz w:val="24"/>
          <w:szCs w:val="24"/>
        </w:rPr>
        <w:t>Care</w:t>
      </w:r>
      <w:proofErr w:type="spellEnd"/>
      <w:r w:rsidRPr="00045169">
        <w:rPr>
          <w:rFonts w:ascii="Times New Roman" w:hAnsi="Times New Roman" w:cs="Times New Roman"/>
          <w:sz w:val="24"/>
          <w:szCs w:val="24"/>
        </w:rPr>
        <w:t xml:space="preserve">, </w:t>
      </w:r>
      <w:r w:rsidRPr="00045169">
        <w:rPr>
          <w:rFonts w:ascii="Times New Roman" w:hAnsi="Times New Roman" w:cs="Times New Roman"/>
          <w:i/>
          <w:sz w:val="24"/>
          <w:szCs w:val="24"/>
        </w:rPr>
        <w:t>43</w:t>
      </w:r>
      <w:r w:rsidRPr="00045169">
        <w:rPr>
          <w:rFonts w:ascii="Times New Roman" w:hAnsi="Times New Roman" w:cs="Times New Roman"/>
          <w:sz w:val="24"/>
          <w:szCs w:val="24"/>
        </w:rPr>
        <w:t>(2), 411–417. https://doi.org/10.2337/dc19-1061</w:t>
      </w:r>
    </w:p>
    <w:p w14:paraId="5ECBBA2E" w14:textId="77777777" w:rsidR="003F2C39" w:rsidRDefault="00000000">
      <w:pPr>
        <w:spacing w:after="0" w:line="360" w:lineRule="auto"/>
        <w:ind w:hanging="480"/>
        <w:jc w:val="both"/>
        <w:rPr>
          <w:rFonts w:ascii="Times New Roman" w:hAnsi="Times New Roman" w:cs="Times New Roman"/>
          <w:sz w:val="24"/>
          <w:szCs w:val="24"/>
          <w:lang w:val="en-US"/>
        </w:rPr>
      </w:pPr>
      <w:proofErr w:type="spellStart"/>
      <w:r w:rsidRPr="00045169">
        <w:rPr>
          <w:rFonts w:ascii="Times New Roman" w:hAnsi="Times New Roman" w:cs="Times New Roman"/>
          <w:sz w:val="24"/>
          <w:szCs w:val="24"/>
        </w:rPr>
        <w:t>Spizzirri</w:t>
      </w:r>
      <w:proofErr w:type="spellEnd"/>
      <w:r w:rsidRPr="00045169">
        <w:rPr>
          <w:rFonts w:ascii="Times New Roman" w:hAnsi="Times New Roman" w:cs="Times New Roman"/>
          <w:sz w:val="24"/>
          <w:szCs w:val="24"/>
        </w:rPr>
        <w:t xml:space="preserve">, G., Eufrásio, R., Lima, M. C. P., de Carvalho Nunes, H. R., </w:t>
      </w:r>
      <w:proofErr w:type="spellStart"/>
      <w:r w:rsidRPr="00045169">
        <w:rPr>
          <w:rFonts w:ascii="Times New Roman" w:hAnsi="Times New Roman" w:cs="Times New Roman"/>
          <w:sz w:val="24"/>
          <w:szCs w:val="24"/>
        </w:rPr>
        <w:t>Kreukels</w:t>
      </w:r>
      <w:proofErr w:type="spellEnd"/>
      <w:r w:rsidRPr="00045169">
        <w:rPr>
          <w:rFonts w:ascii="Times New Roman" w:hAnsi="Times New Roman" w:cs="Times New Roman"/>
          <w:sz w:val="24"/>
          <w:szCs w:val="24"/>
        </w:rPr>
        <w:t xml:space="preserve">, B. P. C., </w:t>
      </w:r>
      <w:proofErr w:type="spellStart"/>
      <w:r w:rsidRPr="00045169">
        <w:rPr>
          <w:rFonts w:ascii="Times New Roman" w:hAnsi="Times New Roman" w:cs="Times New Roman"/>
          <w:sz w:val="24"/>
          <w:szCs w:val="24"/>
        </w:rPr>
        <w:t>Steensma</w:t>
      </w:r>
      <w:proofErr w:type="spellEnd"/>
      <w:r w:rsidRPr="00045169">
        <w:rPr>
          <w:rFonts w:ascii="Times New Roman" w:hAnsi="Times New Roman" w:cs="Times New Roman"/>
          <w:sz w:val="24"/>
          <w:szCs w:val="24"/>
        </w:rPr>
        <w:t xml:space="preserve">, T. D., &amp; Abdo, C. H. N. (2021). </w:t>
      </w:r>
      <w:r w:rsidRPr="00045169">
        <w:rPr>
          <w:rFonts w:ascii="Times New Roman" w:hAnsi="Times New Roman" w:cs="Times New Roman"/>
          <w:sz w:val="24"/>
          <w:szCs w:val="24"/>
          <w:lang w:val="en-US"/>
        </w:rPr>
        <w:t xml:space="preserve">Proportion of people identified as transgender and non-binary gender in Brazil. </w:t>
      </w:r>
      <w:r w:rsidRPr="00045169">
        <w:rPr>
          <w:rFonts w:ascii="Times New Roman" w:hAnsi="Times New Roman" w:cs="Times New Roman"/>
          <w:i/>
          <w:sz w:val="24"/>
          <w:szCs w:val="24"/>
          <w:lang w:val="en-US"/>
        </w:rPr>
        <w:t>Scientific Reports</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11</w:t>
      </w:r>
      <w:r w:rsidRPr="00045169">
        <w:rPr>
          <w:rFonts w:ascii="Times New Roman" w:hAnsi="Times New Roman" w:cs="Times New Roman"/>
          <w:sz w:val="24"/>
          <w:szCs w:val="24"/>
          <w:lang w:val="en-US"/>
        </w:rPr>
        <w:t>(1), 2240. https://doi.org/10.1038/s41598-021-81411-4</w:t>
      </w:r>
    </w:p>
    <w:p w14:paraId="48B269E0"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Streed, C. G., Beach, L. B., Caceres, B. A., </w:t>
      </w:r>
      <w:proofErr w:type="spellStart"/>
      <w:r w:rsidRPr="00045169">
        <w:rPr>
          <w:rFonts w:ascii="Times New Roman" w:hAnsi="Times New Roman" w:cs="Times New Roman"/>
          <w:sz w:val="24"/>
          <w:szCs w:val="24"/>
          <w:lang w:val="en-US"/>
        </w:rPr>
        <w:t>Dowshen</w:t>
      </w:r>
      <w:proofErr w:type="spellEnd"/>
      <w:r w:rsidRPr="00045169">
        <w:rPr>
          <w:rFonts w:ascii="Times New Roman" w:hAnsi="Times New Roman" w:cs="Times New Roman"/>
          <w:sz w:val="24"/>
          <w:szCs w:val="24"/>
          <w:lang w:val="en-US"/>
        </w:rPr>
        <w:t xml:space="preserve">, N. L., Moreau, K. L., Mukherjee, M., Poteat, T., Radix, A., Reisner, S. L., &amp; Singh, V. (2021). Assessing and Addressing Cardiovascular Health in People Who Are Transgender and Gender Diverse: A Scientific Statement </w:t>
      </w:r>
      <w:proofErr w:type="gramStart"/>
      <w:r w:rsidRPr="00045169">
        <w:rPr>
          <w:rFonts w:ascii="Times New Roman" w:hAnsi="Times New Roman" w:cs="Times New Roman"/>
          <w:sz w:val="24"/>
          <w:szCs w:val="24"/>
          <w:lang w:val="en-US"/>
        </w:rPr>
        <w:t>From</w:t>
      </w:r>
      <w:proofErr w:type="gramEnd"/>
      <w:r w:rsidRPr="00045169">
        <w:rPr>
          <w:rFonts w:ascii="Times New Roman" w:hAnsi="Times New Roman" w:cs="Times New Roman"/>
          <w:sz w:val="24"/>
          <w:szCs w:val="24"/>
          <w:lang w:val="en-US"/>
        </w:rPr>
        <w:t xml:space="preserve"> the American Heart Association. </w:t>
      </w:r>
      <w:r w:rsidRPr="00045169">
        <w:rPr>
          <w:rFonts w:ascii="Times New Roman" w:hAnsi="Times New Roman" w:cs="Times New Roman"/>
          <w:i/>
          <w:sz w:val="24"/>
          <w:szCs w:val="24"/>
          <w:lang w:val="en-US"/>
        </w:rPr>
        <w:t>Circulation</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144</w:t>
      </w:r>
      <w:r w:rsidRPr="00045169">
        <w:rPr>
          <w:rFonts w:ascii="Times New Roman" w:hAnsi="Times New Roman" w:cs="Times New Roman"/>
          <w:sz w:val="24"/>
          <w:szCs w:val="24"/>
          <w:lang w:val="en-US"/>
        </w:rPr>
        <w:t>(6). https://doi.org/10.1161/CIR.0000000000001003</w:t>
      </w:r>
    </w:p>
    <w:p w14:paraId="7F94972E" w14:textId="77777777" w:rsidR="003F2C39" w:rsidRDefault="00000000">
      <w:pPr>
        <w:spacing w:after="0" w:line="360" w:lineRule="auto"/>
        <w:ind w:hanging="480"/>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xml:space="preserve">Tordoff, D. M., Wanta, J. W., Collin, A., Stepney, C., Inwards-Breland, D. J., &amp; Ahrens, K. (2022). Mental Health Outcomes in Transgender and Nonbinary Youths Receiving Gender-Affirming Care. </w:t>
      </w:r>
      <w:r w:rsidRPr="00045169">
        <w:rPr>
          <w:rFonts w:ascii="Times New Roman" w:hAnsi="Times New Roman" w:cs="Times New Roman"/>
          <w:i/>
          <w:sz w:val="24"/>
          <w:szCs w:val="24"/>
          <w:lang w:val="en-US"/>
        </w:rPr>
        <w:t>JAMA Network Open</w:t>
      </w:r>
      <w:r w:rsidRPr="00045169">
        <w:rPr>
          <w:rFonts w:ascii="Times New Roman" w:hAnsi="Times New Roman" w:cs="Times New Roman"/>
          <w:sz w:val="24"/>
          <w:szCs w:val="24"/>
          <w:lang w:val="en-US"/>
        </w:rPr>
        <w:t xml:space="preserve">, </w:t>
      </w:r>
      <w:r w:rsidRPr="00045169">
        <w:rPr>
          <w:rFonts w:ascii="Times New Roman" w:hAnsi="Times New Roman" w:cs="Times New Roman"/>
          <w:i/>
          <w:sz w:val="24"/>
          <w:szCs w:val="24"/>
          <w:lang w:val="en-US"/>
        </w:rPr>
        <w:t>5</w:t>
      </w:r>
      <w:r w:rsidRPr="00045169">
        <w:rPr>
          <w:rFonts w:ascii="Times New Roman" w:hAnsi="Times New Roman" w:cs="Times New Roman"/>
          <w:sz w:val="24"/>
          <w:szCs w:val="24"/>
          <w:lang w:val="en-US"/>
        </w:rPr>
        <w:t xml:space="preserve">(2), e220978. </w:t>
      </w:r>
      <w:hyperlink r:id="rId12">
        <w:r>
          <w:rPr>
            <w:rStyle w:val="LinkdaInternet"/>
            <w:rFonts w:ascii="Times New Roman" w:hAnsi="Times New Roman" w:cs="Times New Roman"/>
            <w:color w:val="auto"/>
            <w:sz w:val="24"/>
            <w:szCs w:val="24"/>
            <w:u w:val="none"/>
            <w:lang w:val="en-US"/>
          </w:rPr>
          <w:t>https://doi.org/10.1001/jamanetworkopen.2022.0978</w:t>
        </w:r>
      </w:hyperlink>
    </w:p>
    <w:p w14:paraId="0278B3A1" w14:textId="77777777" w:rsidR="003F2C39" w:rsidRDefault="00000000" w:rsidP="00045169">
      <w:pPr>
        <w:spacing w:line="360" w:lineRule="auto"/>
        <w:ind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Tsikas</w:t>
      </w:r>
      <w:proofErr w:type="spellEnd"/>
      <w:r>
        <w:rPr>
          <w:rFonts w:ascii="Times New Roman" w:eastAsia="Times New Roman" w:hAnsi="Times New Roman" w:cs="Times New Roman"/>
          <w:sz w:val="24"/>
          <w:szCs w:val="24"/>
          <w:lang w:val="en-US"/>
        </w:rPr>
        <w:t xml:space="preserve">, D., &amp; Kinzel, M. (2018). Associations between asymmetric dimethylarginine (ADMA), nitrite-dependent renal carbonic anhydrase activity, and plasma testosterone levels in hypogonadal men. </w:t>
      </w:r>
      <w:proofErr w:type="spellStart"/>
      <w:r>
        <w:rPr>
          <w:rFonts w:ascii="Times New Roman" w:eastAsia="Times New Roman" w:hAnsi="Times New Roman" w:cs="Times New Roman"/>
          <w:i/>
          <w:iCs/>
          <w:sz w:val="24"/>
          <w:szCs w:val="24"/>
        </w:rPr>
        <w:t>Hellenic</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Journal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Cardiology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59</w:t>
      </w:r>
      <w:r>
        <w:rPr>
          <w:rFonts w:ascii="Times New Roman" w:eastAsia="Times New Roman" w:hAnsi="Times New Roman" w:cs="Times New Roman"/>
          <w:sz w:val="24"/>
          <w:szCs w:val="24"/>
        </w:rPr>
        <w:t>(4), 201–206. https://doi.org/10.1016/j.hjc.2017.10.004</w:t>
      </w:r>
    </w:p>
    <w:p w14:paraId="6B8FDAF6" w14:textId="77777777" w:rsidR="003F2C39" w:rsidRDefault="003F2C39">
      <w:pPr>
        <w:spacing w:after="0" w:line="360" w:lineRule="auto"/>
        <w:ind w:hanging="480"/>
        <w:jc w:val="both"/>
        <w:rPr>
          <w:rFonts w:ascii="Times New Roman" w:hAnsi="Times New Roman" w:cs="Times New Roman"/>
          <w:sz w:val="24"/>
          <w:szCs w:val="24"/>
          <w:lang w:val="en-US"/>
        </w:rPr>
      </w:pPr>
    </w:p>
    <w:p w14:paraId="08D00769" w14:textId="77777777" w:rsidR="003F2C39" w:rsidRDefault="00000000">
      <w:pPr>
        <w:spacing w:after="0" w:line="360" w:lineRule="auto"/>
        <w:jc w:val="both"/>
        <w:rPr>
          <w:rFonts w:ascii="Times New Roman" w:hAnsi="Times New Roman" w:cs="Times New Roman"/>
          <w:sz w:val="24"/>
          <w:szCs w:val="24"/>
          <w:lang w:val="en-US"/>
        </w:rPr>
      </w:pPr>
      <w:r w:rsidRPr="00045169">
        <w:rPr>
          <w:rFonts w:ascii="Times New Roman" w:hAnsi="Times New Roman" w:cs="Times New Roman"/>
          <w:sz w:val="24"/>
          <w:szCs w:val="24"/>
          <w:lang w:val="en-US"/>
        </w:rPr>
        <w:t> </w:t>
      </w:r>
    </w:p>
    <w:p w14:paraId="2FB8EAE3" w14:textId="77777777" w:rsidR="003F2C39" w:rsidRDefault="003F2C39">
      <w:pPr>
        <w:spacing w:after="0" w:line="360" w:lineRule="auto"/>
        <w:ind w:left="360"/>
        <w:jc w:val="both"/>
        <w:rPr>
          <w:rFonts w:ascii="Times New Roman" w:hAnsi="Times New Roman" w:cs="Times New Roman"/>
          <w:b/>
          <w:sz w:val="24"/>
          <w:szCs w:val="24"/>
          <w:lang w:val="en-US"/>
        </w:rPr>
      </w:pPr>
    </w:p>
    <w:sectPr w:rsidR="003F2C39">
      <w:footerReference w:type="default" r:id="rId13"/>
      <w:pgSz w:w="11906" w:h="16850"/>
      <w:pgMar w:top="1340" w:right="1080" w:bottom="777" w:left="1000" w:header="0"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F6E0A" w14:textId="77777777" w:rsidR="00E17F84" w:rsidRDefault="00E17F84">
      <w:pPr>
        <w:spacing w:after="0" w:line="240" w:lineRule="auto"/>
      </w:pPr>
      <w:r>
        <w:separator/>
      </w:r>
    </w:p>
  </w:endnote>
  <w:endnote w:type="continuationSeparator" w:id="0">
    <w:p w14:paraId="7A71FEA0" w14:textId="77777777" w:rsidR="00E17F84" w:rsidRDefault="00E1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CEEFE" w14:textId="77777777" w:rsidR="003F2C39" w:rsidRDefault="00000000">
    <w:pPr>
      <w:tabs>
        <w:tab w:val="center" w:pos="4252"/>
        <w:tab w:val="right" w:pos="8504"/>
      </w:tabs>
      <w:spacing w:after="0" w:line="240" w:lineRule="auto"/>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20</w:t>
    </w:r>
    <w:r>
      <w:rPr>
        <w:color w:val="000000"/>
      </w:rPr>
      <w:fldChar w:fldCharType="end"/>
    </w:r>
  </w:p>
  <w:p w14:paraId="66793866" w14:textId="77777777" w:rsidR="003F2C39" w:rsidRDefault="003F2C39">
    <w:pP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17BD2" w14:textId="77777777" w:rsidR="00E17F84" w:rsidRDefault="00E17F84">
      <w:pPr>
        <w:spacing w:after="0" w:line="240" w:lineRule="auto"/>
      </w:pPr>
      <w:r>
        <w:separator/>
      </w:r>
    </w:p>
  </w:footnote>
  <w:footnote w:type="continuationSeparator" w:id="0">
    <w:p w14:paraId="4BB397DE" w14:textId="77777777" w:rsidR="00E17F84" w:rsidRDefault="00E17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01F4"/>
    <w:multiLevelType w:val="multilevel"/>
    <w:tmpl w:val="2F88E0F4"/>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400E22BB"/>
    <w:multiLevelType w:val="multilevel"/>
    <w:tmpl w:val="12E2C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1C668C"/>
    <w:multiLevelType w:val="multilevel"/>
    <w:tmpl w:val="86120268"/>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rPr>
        <w:b/>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79197759">
    <w:abstractNumId w:val="2"/>
  </w:num>
  <w:num w:numId="2" w16cid:durableId="1519074853">
    <w:abstractNumId w:val="0"/>
  </w:num>
  <w:num w:numId="3" w16cid:durableId="557277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39"/>
    <w:rsid w:val="00045169"/>
    <w:rsid w:val="001416D6"/>
    <w:rsid w:val="001771D7"/>
    <w:rsid w:val="00294D40"/>
    <w:rsid w:val="00383E72"/>
    <w:rsid w:val="00394A06"/>
    <w:rsid w:val="003F2C39"/>
    <w:rsid w:val="00623C92"/>
    <w:rsid w:val="00630293"/>
    <w:rsid w:val="0066071D"/>
    <w:rsid w:val="0083372C"/>
    <w:rsid w:val="008A1B01"/>
    <w:rsid w:val="00A562A4"/>
    <w:rsid w:val="00C84747"/>
    <w:rsid w:val="00DC5203"/>
    <w:rsid w:val="00E17F84"/>
    <w:rsid w:val="00E62A0B"/>
    <w:rsid w:val="00F27AC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B771"/>
  <w15:docId w15:val="{638BEDC3-6D13-4DA1-A169-03E2A57D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0D5"/>
    <w:pPr>
      <w:spacing w:after="200" w:line="276" w:lineRule="auto"/>
    </w:pPr>
  </w:style>
  <w:style w:type="paragraph" w:styleId="Ttulo1">
    <w:name w:val="heading 1"/>
    <w:basedOn w:val="Normal"/>
    <w:next w:val="Normal"/>
    <w:uiPriority w:val="9"/>
    <w:qFormat/>
    <w:rsid w:val="006220D5"/>
    <w:pPr>
      <w:widowControl w:val="0"/>
      <w:spacing w:before="74" w:after="0" w:line="240" w:lineRule="auto"/>
      <w:ind w:left="862"/>
      <w:outlineLvl w:val="0"/>
    </w:pPr>
    <w:rPr>
      <w:rFonts w:ascii="Times New Roman" w:eastAsia="Times New Roman" w:hAnsi="Times New Roman" w:cs="Times New Roman"/>
      <w:b/>
      <w:sz w:val="24"/>
      <w:szCs w:val="24"/>
    </w:rPr>
  </w:style>
  <w:style w:type="paragraph" w:styleId="Ttulo2">
    <w:name w:val="heading 2"/>
    <w:basedOn w:val="Normal"/>
    <w:next w:val="Normal"/>
    <w:uiPriority w:val="9"/>
    <w:semiHidden/>
    <w:unhideWhenUsed/>
    <w:qFormat/>
    <w:rsid w:val="00622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622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6220D5"/>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6220D5"/>
    <w:pPr>
      <w:keepNext/>
      <w:keepLines/>
      <w:spacing w:before="220" w:after="40"/>
      <w:outlineLvl w:val="4"/>
    </w:pPr>
    <w:rPr>
      <w:b/>
    </w:rPr>
  </w:style>
  <w:style w:type="paragraph" w:styleId="Ttulo6">
    <w:name w:val="heading 6"/>
    <w:basedOn w:val="Normal"/>
    <w:next w:val="Normal"/>
    <w:uiPriority w:val="9"/>
    <w:semiHidden/>
    <w:unhideWhenUsed/>
    <w:qFormat/>
    <w:rsid w:val="006220D5"/>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link w:val="Corpodetexto"/>
    <w:uiPriority w:val="1"/>
    <w:qFormat/>
    <w:rsid w:val="00CF2BF4"/>
    <w:rPr>
      <w:rFonts w:ascii="Times New Roman" w:eastAsia="Times New Roman" w:hAnsi="Times New Roman" w:cs="Times New Roman"/>
      <w:sz w:val="24"/>
      <w:szCs w:val="24"/>
      <w:lang w:val="pt-PT" w:eastAsia="en-US"/>
    </w:rPr>
  </w:style>
  <w:style w:type="character" w:styleId="TextodoEspaoReservado">
    <w:name w:val="Placeholder Text"/>
    <w:basedOn w:val="Fontepargpadro"/>
    <w:uiPriority w:val="99"/>
    <w:semiHidden/>
    <w:qFormat/>
    <w:rsid w:val="00D63FC2"/>
    <w:rPr>
      <w:color w:val="808080"/>
    </w:rPr>
  </w:style>
  <w:style w:type="character" w:customStyle="1" w:styleId="LinkdaInternet">
    <w:name w:val="Link da Internet"/>
    <w:basedOn w:val="Fontepargpadro"/>
    <w:uiPriority w:val="99"/>
    <w:unhideWhenUsed/>
    <w:rsid w:val="00D63FC2"/>
    <w:rPr>
      <w:color w:val="0000FF" w:themeColor="hyperlink"/>
      <w:u w:val="single"/>
    </w:rPr>
  </w:style>
  <w:style w:type="character" w:customStyle="1" w:styleId="MenoPendente1">
    <w:name w:val="Menção Pendente1"/>
    <w:basedOn w:val="Fontepargpadro"/>
    <w:uiPriority w:val="99"/>
    <w:semiHidden/>
    <w:unhideWhenUsed/>
    <w:qFormat/>
    <w:rsid w:val="00D63FC2"/>
    <w:rPr>
      <w:color w:val="605E5C"/>
      <w:shd w:val="clear" w:color="auto" w:fill="E1DFDD"/>
    </w:rPr>
  </w:style>
  <w:style w:type="character" w:styleId="Refdecomentrio">
    <w:name w:val="annotation reference"/>
    <w:basedOn w:val="Fontepargpadro"/>
    <w:uiPriority w:val="99"/>
    <w:semiHidden/>
    <w:unhideWhenUsed/>
    <w:qFormat/>
    <w:rsid w:val="00E368D6"/>
    <w:rPr>
      <w:sz w:val="16"/>
      <w:szCs w:val="16"/>
    </w:rPr>
  </w:style>
  <w:style w:type="character" w:customStyle="1" w:styleId="TextodecomentrioChar">
    <w:name w:val="Texto de comentário Char"/>
    <w:basedOn w:val="Fontepargpadro"/>
    <w:link w:val="Textodecomentrio"/>
    <w:uiPriority w:val="99"/>
    <w:semiHidden/>
    <w:qFormat/>
    <w:rsid w:val="00E368D6"/>
    <w:rPr>
      <w:sz w:val="20"/>
      <w:szCs w:val="20"/>
    </w:rPr>
  </w:style>
  <w:style w:type="character" w:customStyle="1" w:styleId="AssuntodocomentrioChar">
    <w:name w:val="Assunto do comentário Char"/>
    <w:basedOn w:val="TextodecomentrioChar"/>
    <w:link w:val="Assuntodocomentrio"/>
    <w:uiPriority w:val="99"/>
    <w:semiHidden/>
    <w:qFormat/>
    <w:rsid w:val="00E368D6"/>
    <w:rPr>
      <w:b/>
      <w:bCs/>
      <w:sz w:val="20"/>
      <w:szCs w:val="20"/>
    </w:rPr>
  </w:style>
  <w:style w:type="character" w:customStyle="1" w:styleId="TextodebaloChar">
    <w:name w:val="Texto de balão Char"/>
    <w:basedOn w:val="Fontepargpadro"/>
    <w:link w:val="Textodebalo"/>
    <w:uiPriority w:val="99"/>
    <w:semiHidden/>
    <w:qFormat/>
    <w:rsid w:val="00A01478"/>
    <w:rPr>
      <w:rFonts w:ascii="Tahoma" w:hAnsi="Tahoma" w:cs="Tahoma"/>
      <w:sz w:val="16"/>
      <w:szCs w:val="16"/>
    </w:rPr>
  </w:style>
  <w:style w:type="character" w:styleId="MenoPendente">
    <w:name w:val="Unresolved Mention"/>
    <w:basedOn w:val="Fontepargpadro"/>
    <w:uiPriority w:val="99"/>
    <w:semiHidden/>
    <w:unhideWhenUsed/>
    <w:qFormat/>
    <w:rsid w:val="00987FEF"/>
    <w:rPr>
      <w:color w:val="605E5C"/>
      <w:shd w:val="clear" w:color="auto" w:fill="E1DFDD"/>
    </w:rPr>
  </w:style>
  <w:style w:type="character" w:customStyle="1" w:styleId="Numeraodelinhas">
    <w:name w:val="Numeração de linhas"/>
  </w:style>
  <w:style w:type="paragraph" w:styleId="Ttulo">
    <w:name w:val="Title"/>
    <w:basedOn w:val="Normal"/>
    <w:next w:val="Corpodetexto"/>
    <w:uiPriority w:val="10"/>
    <w:qFormat/>
    <w:rsid w:val="006220D5"/>
    <w:pPr>
      <w:keepNext/>
      <w:keepLines/>
      <w:spacing w:before="480" w:after="120"/>
    </w:pPr>
    <w:rPr>
      <w:b/>
      <w:sz w:val="72"/>
      <w:szCs w:val="72"/>
    </w:rPr>
  </w:style>
  <w:style w:type="paragraph" w:styleId="Corpodetexto">
    <w:name w:val="Body Text"/>
    <w:basedOn w:val="Normal"/>
    <w:link w:val="CorpodetextoChar"/>
    <w:uiPriority w:val="1"/>
    <w:qFormat/>
    <w:rsid w:val="00CF2BF4"/>
    <w:pPr>
      <w:widowControl w:val="0"/>
      <w:spacing w:after="0" w:line="240" w:lineRule="auto"/>
    </w:pPr>
    <w:rPr>
      <w:rFonts w:ascii="Times New Roman" w:eastAsia="Times New Roman" w:hAnsi="Times New Roman" w:cs="Times New Roman"/>
      <w:sz w:val="24"/>
      <w:szCs w:val="24"/>
      <w:lang w:val="pt-PT" w:eastAsia="en-US"/>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uiPriority w:val="11"/>
    <w:qFormat/>
    <w:rsid w:val="006220D5"/>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040C1B"/>
    <w:pPr>
      <w:ind w:left="720"/>
      <w:contextualSpacing/>
    </w:pPr>
  </w:style>
  <w:style w:type="paragraph" w:customStyle="1" w:styleId="TableParagraph">
    <w:name w:val="Table Paragraph"/>
    <w:basedOn w:val="Normal"/>
    <w:uiPriority w:val="1"/>
    <w:qFormat/>
    <w:rsid w:val="00CF2BF4"/>
    <w:pPr>
      <w:widowControl w:val="0"/>
      <w:spacing w:after="0" w:line="240" w:lineRule="auto"/>
      <w:jc w:val="center"/>
    </w:pPr>
    <w:rPr>
      <w:rFonts w:ascii="Times New Roman" w:eastAsia="Times New Roman" w:hAnsi="Times New Roman" w:cs="Times New Roman"/>
      <w:lang w:val="pt-PT" w:eastAsia="en-US"/>
    </w:rPr>
  </w:style>
  <w:style w:type="paragraph" w:styleId="Reviso">
    <w:name w:val="Revision"/>
    <w:uiPriority w:val="99"/>
    <w:semiHidden/>
    <w:qFormat/>
    <w:rsid w:val="008B22C3"/>
  </w:style>
  <w:style w:type="paragraph" w:styleId="Textodecomentrio">
    <w:name w:val="annotation text"/>
    <w:basedOn w:val="Normal"/>
    <w:link w:val="TextodecomentrioChar"/>
    <w:uiPriority w:val="99"/>
    <w:semiHidden/>
    <w:unhideWhenUsed/>
    <w:qFormat/>
    <w:rsid w:val="00E368D6"/>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E368D6"/>
    <w:rPr>
      <w:b/>
      <w:bCs/>
    </w:rPr>
  </w:style>
  <w:style w:type="paragraph" w:styleId="Textodebalo">
    <w:name w:val="Balloon Text"/>
    <w:basedOn w:val="Normal"/>
    <w:link w:val="TextodebaloChar"/>
    <w:uiPriority w:val="99"/>
    <w:semiHidden/>
    <w:unhideWhenUsed/>
    <w:qFormat/>
    <w:rsid w:val="00A01478"/>
    <w:pPr>
      <w:spacing w:after="0" w:line="240" w:lineRule="auto"/>
    </w:pPr>
    <w:rPr>
      <w:rFonts w:ascii="Tahoma" w:hAnsi="Tahoma" w:cs="Tahoma"/>
      <w:sz w:val="16"/>
      <w:szCs w:val="16"/>
    </w:rPr>
  </w:style>
  <w:style w:type="paragraph" w:customStyle="1" w:styleId="CabealhoeRodap">
    <w:name w:val="Cabeçalho e Rodapé"/>
    <w:basedOn w:val="Normal"/>
    <w:qFormat/>
  </w:style>
  <w:style w:type="paragraph" w:styleId="Rodap">
    <w:name w:val="footer"/>
    <w:basedOn w:val="CabealhoeRodap"/>
  </w:style>
  <w:style w:type="numbering" w:customStyle="1" w:styleId="Listaatual1">
    <w:name w:val="Lista atual1"/>
    <w:uiPriority w:val="99"/>
    <w:qFormat/>
    <w:rsid w:val="001251C5"/>
  </w:style>
  <w:style w:type="table" w:customStyle="1" w:styleId="TableNormal">
    <w:name w:val="Table Normal"/>
    <w:uiPriority w:val="2"/>
    <w:qFormat/>
    <w:rsid w:val="006220D5"/>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1/jamanetworkopen.2022.097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natour@unifesp.b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mrdsilva@unifesp.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B3B15FC11AEF4B848CB48C50454A9B"/>
        <w:category>
          <w:name w:val="Geral"/>
          <w:gallery w:val="placeholder"/>
        </w:category>
        <w:types>
          <w:type w:val="bbPlcHdr"/>
        </w:types>
        <w:behaviors>
          <w:behavior w:val="content"/>
        </w:behaviors>
        <w:guid w:val="{908A972F-A3C7-2040-A991-2F5C1C4059B7}"/>
      </w:docPartPr>
      <w:docPartBody>
        <w:p w:rsidR="00743E27" w:rsidRDefault="00336B87" w:rsidP="00336B87">
          <w:pPr>
            <w:pStyle w:val="4DB3B15FC11AEF4B848CB48C50454A9B"/>
          </w:pPr>
          <w:r w:rsidRPr="00D90540">
            <w:rPr>
              <w:rStyle w:val="TextodoEspaoReservado"/>
            </w:rPr>
            <w:t>Clique ou toque aqui para inserir o texto.</w:t>
          </w:r>
        </w:p>
      </w:docPartBody>
    </w:docPart>
    <w:docPart>
      <w:docPartPr>
        <w:name w:val="4E243A12474F8348BC03AEF62C28CDC2"/>
        <w:category>
          <w:name w:val="Geral"/>
          <w:gallery w:val="placeholder"/>
        </w:category>
        <w:types>
          <w:type w:val="bbPlcHdr"/>
        </w:types>
        <w:behaviors>
          <w:behavior w:val="content"/>
        </w:behaviors>
        <w:guid w:val="{BBB75C36-24E7-A641-A4BC-BAD2CBE9EE9E}"/>
      </w:docPartPr>
      <w:docPartBody>
        <w:p w:rsidR="00743E27" w:rsidRDefault="00336B87" w:rsidP="00336B87">
          <w:pPr>
            <w:pStyle w:val="4E243A12474F8348BC03AEF62C28CDC2"/>
          </w:pPr>
          <w:r w:rsidRPr="00D90540">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14395"/>
    <w:rsid w:val="000A0290"/>
    <w:rsid w:val="000C2845"/>
    <w:rsid w:val="00103EFB"/>
    <w:rsid w:val="00162B06"/>
    <w:rsid w:val="001959AE"/>
    <w:rsid w:val="001F19D1"/>
    <w:rsid w:val="00277024"/>
    <w:rsid w:val="00336B87"/>
    <w:rsid w:val="003903C2"/>
    <w:rsid w:val="00402A89"/>
    <w:rsid w:val="004559C2"/>
    <w:rsid w:val="004C79AD"/>
    <w:rsid w:val="00587BBE"/>
    <w:rsid w:val="006C4B89"/>
    <w:rsid w:val="006D6167"/>
    <w:rsid w:val="00743E27"/>
    <w:rsid w:val="008437F7"/>
    <w:rsid w:val="009B7302"/>
    <w:rsid w:val="00A562A4"/>
    <w:rsid w:val="00E14395"/>
    <w:rsid w:val="00F27A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2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36B87"/>
    <w:rPr>
      <w:color w:val="808080"/>
    </w:rPr>
  </w:style>
  <w:style w:type="paragraph" w:customStyle="1" w:styleId="4DB3B15FC11AEF4B848CB48C50454A9B">
    <w:name w:val="4DB3B15FC11AEF4B848CB48C50454A9B"/>
    <w:rsid w:val="00336B87"/>
    <w:pPr>
      <w:spacing w:line="278" w:lineRule="auto"/>
    </w:pPr>
    <w:rPr>
      <w:sz w:val="24"/>
      <w:szCs w:val="24"/>
    </w:rPr>
  </w:style>
  <w:style w:type="paragraph" w:customStyle="1" w:styleId="4E243A12474F8348BC03AEF62C28CDC2">
    <w:name w:val="4E243A12474F8348BC03AEF62C28CDC2"/>
    <w:rsid w:val="00336B8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E7902-A5F2-4831-AEB0-83290E43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19</Pages>
  <Words>6883</Words>
  <Characters>37174</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Guimaraes</dc:creator>
  <dc:description/>
  <cp:lastModifiedBy>João Guimaraes</cp:lastModifiedBy>
  <cp:revision>10</cp:revision>
  <dcterms:created xsi:type="dcterms:W3CDTF">2024-03-04T01:14:00Z</dcterms:created>
  <dcterms:modified xsi:type="dcterms:W3CDTF">2024-08-19T18:27:00Z</dcterms:modified>
  <dc:language>pt-BR</dc:language>
</cp:coreProperties>
</file>