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  <w:r>
        <w:t>HOSPITAL DAS CLÍNICAS DA FACULDADE DE MEDICINA DA USP</w:t>
      </w:r>
    </w:p>
    <w:p w14:paraId="00000002" w14:textId="77777777" w:rsidR="00E4777B" w:rsidRDefault="0084377E">
      <w:pPr>
        <w:tabs>
          <w:tab w:val="center" w:pos="4252"/>
          <w:tab w:val="right" w:pos="8478"/>
          <w:tab w:val="left" w:pos="8496"/>
          <w:tab w:val="left" w:pos="9204"/>
        </w:tabs>
        <w:spacing w:after="160" w:line="480" w:lineRule="auto"/>
        <w:jc w:val="center"/>
      </w:pPr>
      <w:r>
        <w:tab/>
        <w:t>INSTITUTO DE ORTOPEDIA E TRAUMATOLOGIA</w:t>
      </w:r>
      <w:r>
        <w:tab/>
      </w:r>
    </w:p>
    <w:p w14:paraId="00000003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</w:pPr>
    </w:p>
    <w:p w14:paraId="00000004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</w:p>
    <w:p w14:paraId="00000005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</w:pPr>
    </w:p>
    <w:p w14:paraId="00000006" w14:textId="0616832B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34"/>
          <w:szCs w:val="34"/>
        </w:rPr>
      </w:pPr>
      <w:r>
        <w:rPr>
          <w:b/>
          <w:sz w:val="34"/>
          <w:szCs w:val="34"/>
        </w:rPr>
        <w:t xml:space="preserve">Posicionamento do Componente </w:t>
      </w:r>
      <w:proofErr w:type="spellStart"/>
      <w:r>
        <w:rPr>
          <w:b/>
          <w:sz w:val="34"/>
          <w:szCs w:val="34"/>
        </w:rPr>
        <w:t>Acetabular</w:t>
      </w:r>
      <w:proofErr w:type="spellEnd"/>
      <w:r>
        <w:rPr>
          <w:b/>
          <w:sz w:val="34"/>
          <w:szCs w:val="34"/>
        </w:rPr>
        <w:t xml:space="preserve"> na </w:t>
      </w:r>
      <w:proofErr w:type="spellStart"/>
      <w:r>
        <w:rPr>
          <w:b/>
          <w:sz w:val="34"/>
          <w:szCs w:val="34"/>
        </w:rPr>
        <w:t>Artroplastia</w:t>
      </w:r>
      <w:proofErr w:type="spellEnd"/>
      <w:r>
        <w:rPr>
          <w:b/>
          <w:sz w:val="34"/>
          <w:szCs w:val="34"/>
        </w:rPr>
        <w:t xml:space="preserve"> Total do Quadril Realizada Através do Acesso Posterior Convencional x Acesso </w:t>
      </w:r>
      <w:proofErr w:type="spellStart"/>
      <w:r w:rsidR="00217028">
        <w:rPr>
          <w:b/>
          <w:sz w:val="34"/>
          <w:szCs w:val="34"/>
        </w:rPr>
        <w:t>Supracapsular</w:t>
      </w:r>
      <w:proofErr w:type="spellEnd"/>
      <w:r w:rsidR="00217028">
        <w:rPr>
          <w:b/>
          <w:sz w:val="34"/>
          <w:szCs w:val="34"/>
        </w:rPr>
        <w:t xml:space="preserve"> Assistido </w:t>
      </w:r>
      <w:r w:rsidR="00FB39F0">
        <w:rPr>
          <w:b/>
          <w:sz w:val="34"/>
          <w:szCs w:val="34"/>
        </w:rPr>
        <w:t xml:space="preserve">por </w:t>
      </w:r>
      <w:r w:rsidR="006A79D1">
        <w:rPr>
          <w:b/>
          <w:sz w:val="34"/>
          <w:szCs w:val="34"/>
        </w:rPr>
        <w:t>Portal</w:t>
      </w:r>
      <w:r w:rsidR="00217028">
        <w:rPr>
          <w:b/>
          <w:sz w:val="34"/>
          <w:szCs w:val="34"/>
        </w:rPr>
        <w:t xml:space="preserve"> Percutâne</w:t>
      </w:r>
      <w:r w:rsidR="006A79D1">
        <w:rPr>
          <w:b/>
          <w:sz w:val="34"/>
          <w:szCs w:val="34"/>
        </w:rPr>
        <w:t>o</w:t>
      </w:r>
      <w:r>
        <w:rPr>
          <w:b/>
          <w:sz w:val="34"/>
          <w:szCs w:val="34"/>
        </w:rPr>
        <w:t xml:space="preserve"> (</w:t>
      </w:r>
      <w:proofErr w:type="spellStart"/>
      <w:r>
        <w:rPr>
          <w:b/>
          <w:sz w:val="34"/>
          <w:szCs w:val="34"/>
        </w:rPr>
        <w:t>S</w:t>
      </w:r>
      <w:r w:rsidR="00577628">
        <w:rPr>
          <w:b/>
          <w:sz w:val="34"/>
          <w:szCs w:val="34"/>
        </w:rPr>
        <w:t>uperPath</w:t>
      </w:r>
      <w:proofErr w:type="spellEnd"/>
      <w:r w:rsidR="0097736F">
        <w:rPr>
          <w:b/>
          <w:sz w:val="34"/>
          <w:szCs w:val="34"/>
        </w:rPr>
        <w:sym w:font="Symbol" w:char="F0E2"/>
      </w:r>
      <w:r>
        <w:rPr>
          <w:b/>
          <w:sz w:val="34"/>
          <w:szCs w:val="34"/>
        </w:rPr>
        <w:t>): Estudo Comparativo Prospectivo Randomizado</w:t>
      </w:r>
    </w:p>
    <w:p w14:paraId="00000007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28"/>
          <w:szCs w:val="28"/>
          <w:highlight w:val="white"/>
        </w:rPr>
      </w:pPr>
    </w:p>
    <w:p w14:paraId="00000008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b/>
          <w:sz w:val="28"/>
          <w:szCs w:val="28"/>
          <w:highlight w:val="white"/>
        </w:rPr>
      </w:pPr>
    </w:p>
    <w:p w14:paraId="00000009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  <w:jc w:val="center"/>
        <w:rPr>
          <w:highlight w:val="white"/>
        </w:rPr>
      </w:pPr>
    </w:p>
    <w:p w14:paraId="0000000A" w14:textId="42A5D5B1" w:rsidR="00E4777B" w:rsidRDefault="0084377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Pesquisador Executante</w:t>
      </w:r>
      <w:r>
        <w:rPr>
          <w:sz w:val="24"/>
          <w:szCs w:val="24"/>
        </w:rPr>
        <w:t xml:space="preserve">: </w:t>
      </w:r>
      <w:r w:rsidR="00577628">
        <w:rPr>
          <w:sz w:val="24"/>
          <w:szCs w:val="24"/>
        </w:rPr>
        <w:t>Lucas Torres Oliveira</w:t>
      </w:r>
    </w:p>
    <w:p w14:paraId="0000000B" w14:textId="77777777" w:rsidR="00E4777B" w:rsidRDefault="00E4777B">
      <w:pPr>
        <w:spacing w:line="360" w:lineRule="auto"/>
        <w:jc w:val="both"/>
        <w:rPr>
          <w:sz w:val="24"/>
          <w:szCs w:val="24"/>
        </w:rPr>
      </w:pPr>
    </w:p>
    <w:p w14:paraId="0000000C" w14:textId="77777777" w:rsidR="00E4777B" w:rsidRDefault="0084377E">
      <w:pPr>
        <w:spacing w:line="36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Pesquisador Responsável:</w:t>
      </w:r>
      <w:r>
        <w:rPr>
          <w:sz w:val="24"/>
          <w:szCs w:val="24"/>
        </w:rPr>
        <w:t xml:space="preserve"> Henrique Melo de Campos Gurgel</w:t>
      </w:r>
    </w:p>
    <w:p w14:paraId="0000000D" w14:textId="77777777" w:rsidR="00E4777B" w:rsidRDefault="00E4777B">
      <w:pPr>
        <w:spacing w:line="360" w:lineRule="auto"/>
        <w:jc w:val="both"/>
        <w:rPr>
          <w:b/>
          <w:sz w:val="24"/>
          <w:szCs w:val="24"/>
        </w:rPr>
      </w:pPr>
    </w:p>
    <w:p w14:paraId="0000000E" w14:textId="13D74929" w:rsidR="00E4777B" w:rsidRDefault="0084377E">
      <w:pPr>
        <w:spacing w:line="360" w:lineRule="auto"/>
        <w:jc w:val="both"/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Co-autores</w:t>
      </w:r>
      <w:proofErr w:type="spellEnd"/>
      <w:r>
        <w:rPr>
          <w:sz w:val="24"/>
          <w:szCs w:val="24"/>
        </w:rPr>
        <w:t xml:space="preserve">: Helder de Souza </w:t>
      </w:r>
      <w:proofErr w:type="spellStart"/>
      <w:r>
        <w:rPr>
          <w:sz w:val="24"/>
          <w:szCs w:val="24"/>
        </w:rPr>
        <w:t>Miyahara</w:t>
      </w:r>
      <w:proofErr w:type="spellEnd"/>
      <w:r w:rsidR="00441209">
        <w:rPr>
          <w:sz w:val="24"/>
          <w:szCs w:val="24"/>
        </w:rPr>
        <w:t xml:space="preserve">, </w:t>
      </w:r>
      <w:r w:rsidR="00577628">
        <w:rPr>
          <w:sz w:val="24"/>
          <w:szCs w:val="24"/>
        </w:rPr>
        <w:t xml:space="preserve">Bruno Alves </w:t>
      </w:r>
      <w:proofErr w:type="spellStart"/>
      <w:r w:rsidR="00577628">
        <w:rPr>
          <w:sz w:val="24"/>
          <w:szCs w:val="24"/>
        </w:rPr>
        <w:t>Rudelli</w:t>
      </w:r>
      <w:proofErr w:type="spellEnd"/>
      <w:r w:rsidR="00441209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Alberto </w:t>
      </w:r>
      <w:proofErr w:type="spellStart"/>
      <w:r>
        <w:rPr>
          <w:sz w:val="24"/>
          <w:szCs w:val="24"/>
        </w:rPr>
        <w:t>Tesconi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Croci</w:t>
      </w:r>
      <w:proofErr w:type="spellEnd"/>
      <w:r>
        <w:rPr>
          <w:sz w:val="24"/>
          <w:szCs w:val="24"/>
        </w:rPr>
        <w:t>, Olavo Pires de Camargo</w:t>
      </w:r>
    </w:p>
    <w:p w14:paraId="00000011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480" w:lineRule="auto"/>
      </w:pPr>
    </w:p>
    <w:p w14:paraId="0D6F2E16" w14:textId="739EF0A6" w:rsidR="00E4777B" w:rsidRDefault="0084377E" w:rsidP="00FF71B9">
      <w:pPr>
        <w:tabs>
          <w:tab w:val="center" w:pos="4252"/>
          <w:tab w:val="left" w:pos="5790"/>
          <w:tab w:val="left" w:pos="6372"/>
          <w:tab w:val="left" w:pos="7080"/>
          <w:tab w:val="left" w:pos="7788"/>
          <w:tab w:val="left" w:pos="8496"/>
          <w:tab w:val="left" w:pos="9204"/>
        </w:tabs>
        <w:spacing w:after="160" w:line="240" w:lineRule="auto"/>
        <w:jc w:val="center"/>
      </w:pPr>
      <w:r>
        <w:t>São Paulo, 202</w:t>
      </w:r>
      <w:r w:rsidR="009F5C89">
        <w:t>4</w:t>
      </w:r>
    </w:p>
    <w:p w14:paraId="28B1BF72" w14:textId="77777777" w:rsidR="00FF71B9" w:rsidRDefault="00FF71B9" w:rsidP="00FF71B9">
      <w:pPr>
        <w:spacing w:after="160" w:line="480" w:lineRule="auto"/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Resumo</w:t>
      </w:r>
    </w:p>
    <w:p w14:paraId="779D850E" w14:textId="12D2636D" w:rsidR="00FF71B9" w:rsidRPr="00FF71B9" w:rsidRDefault="00FF71B9" w:rsidP="00FF71B9">
      <w:pPr>
        <w:spacing w:after="160" w:line="480" w:lineRule="auto"/>
        <w:ind w:left="720"/>
        <w:rPr>
          <w:bCs/>
          <w:sz w:val="24"/>
          <w:szCs w:val="24"/>
        </w:rPr>
      </w:pPr>
      <w:r w:rsidRPr="00FF71B9">
        <w:rPr>
          <w:b/>
          <w:sz w:val="24"/>
          <w:szCs w:val="24"/>
        </w:rPr>
        <w:t>Introdução:</w:t>
      </w:r>
      <w:r w:rsidR="00266AEB">
        <w:rPr>
          <w:b/>
          <w:sz w:val="24"/>
          <w:szCs w:val="24"/>
        </w:rPr>
        <w:t xml:space="preserve"> </w:t>
      </w:r>
      <w:r w:rsidR="00266AEB">
        <w:rPr>
          <w:sz w:val="24"/>
          <w:szCs w:val="24"/>
        </w:rPr>
        <w:t xml:space="preserve">A </w:t>
      </w:r>
      <w:proofErr w:type="spellStart"/>
      <w:r w:rsidR="00266AEB">
        <w:rPr>
          <w:sz w:val="24"/>
          <w:szCs w:val="24"/>
        </w:rPr>
        <w:t>artroplastia</w:t>
      </w:r>
      <w:proofErr w:type="spellEnd"/>
      <w:r w:rsidR="00266AEB">
        <w:rPr>
          <w:sz w:val="24"/>
          <w:szCs w:val="24"/>
        </w:rPr>
        <w:t xml:space="preserve"> total do quadril (ATQ) é um procedimento amplamente utilizado no tratamento de afecções do quadril, tendo sido considerada a cirurgia do século pelo </w:t>
      </w:r>
      <w:r w:rsidR="00266AEB">
        <w:rPr>
          <w:i/>
          <w:sz w:val="24"/>
          <w:szCs w:val="24"/>
        </w:rPr>
        <w:t xml:space="preserve">Lancet </w:t>
      </w:r>
      <w:r w:rsidR="00266AEB">
        <w:rPr>
          <w:sz w:val="24"/>
          <w:szCs w:val="24"/>
        </w:rPr>
        <w:t>no ano de 2007 devido ao seu alto índice de sucesso</w:t>
      </w:r>
      <w:r w:rsidR="00266AEB">
        <w:rPr>
          <w:sz w:val="24"/>
          <w:szCs w:val="24"/>
        </w:rPr>
        <w:t xml:space="preserve">. </w:t>
      </w:r>
      <w:r w:rsidR="00266AEB">
        <w:rPr>
          <w:sz w:val="24"/>
          <w:szCs w:val="24"/>
        </w:rPr>
        <w:t>O tipo de via de acesso escolhido pelo é um assunto bastante discutido atualmente, uma vez que está diretamente relacionada com a reabilitação pós-operatória e risco de complicações</w:t>
      </w:r>
      <w:r w:rsidR="00266AEB">
        <w:rPr>
          <w:sz w:val="24"/>
          <w:szCs w:val="24"/>
        </w:rPr>
        <w:t xml:space="preserve">. </w:t>
      </w:r>
      <w:r w:rsidR="00266AEB">
        <w:rPr>
          <w:sz w:val="24"/>
          <w:szCs w:val="24"/>
        </w:rPr>
        <w:t>Uma das maiores críticas a vias cirúrgicas que tentam ser menos invasivas é a dificuldade de se conseguir uma boa exposição acarretando num pior posicionamento dos componentes e maior risco de complicações</w:t>
      </w:r>
    </w:p>
    <w:p w14:paraId="74365B67" w14:textId="44C328E8" w:rsidR="00FF71B9" w:rsidRPr="00FF71B9" w:rsidRDefault="00FF71B9" w:rsidP="00FF71B9">
      <w:pPr>
        <w:spacing w:after="160" w:line="480" w:lineRule="auto"/>
        <w:ind w:left="720"/>
        <w:rPr>
          <w:bCs/>
          <w:sz w:val="24"/>
          <w:szCs w:val="24"/>
        </w:rPr>
      </w:pPr>
      <w:r w:rsidRPr="00FF71B9">
        <w:rPr>
          <w:b/>
          <w:sz w:val="24"/>
          <w:szCs w:val="24"/>
        </w:rPr>
        <w:t>Materiais e métodos:</w:t>
      </w:r>
      <w:r>
        <w:rPr>
          <w:b/>
          <w:sz w:val="24"/>
          <w:szCs w:val="24"/>
        </w:rPr>
        <w:t xml:space="preserve"> </w:t>
      </w:r>
      <w:r w:rsidR="00266AEB">
        <w:rPr>
          <w:sz w:val="24"/>
          <w:szCs w:val="24"/>
        </w:rPr>
        <w:t>D</w:t>
      </w:r>
      <w:r w:rsidR="00266AEB">
        <w:rPr>
          <w:sz w:val="24"/>
          <w:szCs w:val="24"/>
        </w:rPr>
        <w:t>urante os anos de 2024 e 2026,</w:t>
      </w:r>
      <w:r w:rsidR="00266AEB">
        <w:rPr>
          <w:sz w:val="24"/>
          <w:szCs w:val="24"/>
        </w:rPr>
        <w:t xml:space="preserve"> s</w:t>
      </w:r>
      <w:r>
        <w:rPr>
          <w:sz w:val="24"/>
          <w:szCs w:val="24"/>
        </w:rPr>
        <w:t>erão selecionados 50 pacientes d</w:t>
      </w:r>
      <w:r w:rsidR="00266AEB">
        <w:rPr>
          <w:sz w:val="24"/>
          <w:szCs w:val="24"/>
        </w:rPr>
        <w:t xml:space="preserve">o Instituto de Ortopedia do Hospital das Clínicas da Faculdade de Medicina da Universidade de São Paulo (IOT-HCFMUSP), </w:t>
      </w:r>
      <w:r>
        <w:rPr>
          <w:sz w:val="24"/>
          <w:szCs w:val="24"/>
        </w:rPr>
        <w:t>para e</w:t>
      </w:r>
      <w:r>
        <w:rPr>
          <w:sz w:val="24"/>
          <w:szCs w:val="24"/>
        </w:rPr>
        <w:t>studo clínico controlado e randomizado</w:t>
      </w:r>
      <w:r w:rsidR="00266AEB">
        <w:rPr>
          <w:sz w:val="24"/>
          <w:szCs w:val="24"/>
        </w:rPr>
        <w:t xml:space="preserve">. Serão pacientes com diagnóstico de </w:t>
      </w:r>
      <w:proofErr w:type="spellStart"/>
      <w:r w:rsidR="00266AEB">
        <w:rPr>
          <w:sz w:val="24"/>
          <w:szCs w:val="24"/>
        </w:rPr>
        <w:t>coxartrose</w:t>
      </w:r>
      <w:proofErr w:type="spellEnd"/>
      <w:r w:rsidR="00266AEB">
        <w:rPr>
          <w:sz w:val="24"/>
          <w:szCs w:val="24"/>
        </w:rPr>
        <w:t xml:space="preserve"> já candidatos à </w:t>
      </w:r>
      <w:proofErr w:type="spellStart"/>
      <w:r w:rsidR="00266AEB">
        <w:rPr>
          <w:sz w:val="24"/>
          <w:szCs w:val="24"/>
        </w:rPr>
        <w:t>artroplastia</w:t>
      </w:r>
      <w:proofErr w:type="spellEnd"/>
      <w:r w:rsidR="00266AEB">
        <w:rPr>
          <w:sz w:val="24"/>
          <w:szCs w:val="24"/>
        </w:rPr>
        <w:t xml:space="preserve"> total do quadril. Os pacientes serão divididos em dois grupos:  um grupo será </w:t>
      </w:r>
      <w:r>
        <w:rPr>
          <w:sz w:val="24"/>
          <w:szCs w:val="24"/>
        </w:rPr>
        <w:t xml:space="preserve">submetido à </w:t>
      </w:r>
      <w:proofErr w:type="spellStart"/>
      <w:r>
        <w:rPr>
          <w:sz w:val="24"/>
          <w:szCs w:val="24"/>
        </w:rPr>
        <w:t>artroplastia</w:t>
      </w:r>
      <w:proofErr w:type="spellEnd"/>
      <w:r>
        <w:rPr>
          <w:sz w:val="24"/>
          <w:szCs w:val="24"/>
        </w:rPr>
        <w:t xml:space="preserve"> total de quadril através d</w:t>
      </w:r>
      <w:r w:rsidR="00266AEB">
        <w:rPr>
          <w:sz w:val="24"/>
          <w:szCs w:val="24"/>
        </w:rPr>
        <w:t xml:space="preserve">e </w:t>
      </w:r>
      <w:r>
        <w:rPr>
          <w:sz w:val="24"/>
          <w:szCs w:val="24"/>
        </w:rPr>
        <w:t>vi</w:t>
      </w:r>
      <w:r w:rsidR="00266AEB">
        <w:rPr>
          <w:sz w:val="24"/>
          <w:szCs w:val="24"/>
        </w:rPr>
        <w:t>a de acesso</w:t>
      </w:r>
      <w:r>
        <w:rPr>
          <w:sz w:val="24"/>
          <w:szCs w:val="24"/>
        </w:rPr>
        <w:t xml:space="preserve"> posterior convencional e </w:t>
      </w:r>
      <w:proofErr w:type="spellStart"/>
      <w:r w:rsidR="00266AEB">
        <w:rPr>
          <w:sz w:val="24"/>
          <w:szCs w:val="24"/>
        </w:rPr>
        <w:t xml:space="preserve">um grupo </w:t>
      </w:r>
      <w:proofErr w:type="spellEnd"/>
      <w:r w:rsidR="00266AEB">
        <w:rPr>
          <w:sz w:val="24"/>
          <w:szCs w:val="24"/>
        </w:rPr>
        <w:t xml:space="preserve">será submetido a uma via </w:t>
      </w:r>
      <w:proofErr w:type="spellStart"/>
      <w:r>
        <w:rPr>
          <w:sz w:val="24"/>
          <w:szCs w:val="24"/>
        </w:rPr>
        <w:t>supracapsular</w:t>
      </w:r>
      <w:proofErr w:type="spellEnd"/>
      <w:r>
        <w:rPr>
          <w:sz w:val="24"/>
          <w:szCs w:val="24"/>
        </w:rPr>
        <w:t xml:space="preserve"> assistido por portal percutâneo (</w:t>
      </w:r>
      <w:proofErr w:type="spellStart"/>
      <w:r>
        <w:rPr>
          <w:sz w:val="24"/>
          <w:szCs w:val="24"/>
        </w:rPr>
        <w:t>SuperPath</w:t>
      </w:r>
      <w:proofErr w:type="spellEnd"/>
      <w:r w:rsidRPr="0097736F">
        <w:rPr>
          <w:b/>
          <w:sz w:val="24"/>
          <w:szCs w:val="24"/>
        </w:rPr>
        <w:sym w:font="Symbol" w:char="F0E2"/>
      </w:r>
      <w:r>
        <w:rPr>
          <w:sz w:val="24"/>
          <w:szCs w:val="24"/>
        </w:rPr>
        <w:t>).</w:t>
      </w:r>
    </w:p>
    <w:p w14:paraId="4E038438" w14:textId="234781C0" w:rsidR="00FF71B9" w:rsidRPr="00FF71B9" w:rsidRDefault="00FF71B9" w:rsidP="00FF71B9">
      <w:pPr>
        <w:spacing w:after="160" w:line="480" w:lineRule="auto"/>
        <w:ind w:left="720"/>
        <w:rPr>
          <w:bCs/>
          <w:sz w:val="24"/>
          <w:szCs w:val="24"/>
        </w:rPr>
      </w:pPr>
      <w:r w:rsidRPr="00FF71B9">
        <w:rPr>
          <w:b/>
          <w:sz w:val="24"/>
          <w:szCs w:val="24"/>
        </w:rPr>
        <w:t>Objetivos:</w:t>
      </w:r>
      <w:r>
        <w:rPr>
          <w:b/>
          <w:sz w:val="24"/>
          <w:szCs w:val="24"/>
        </w:rPr>
        <w:t xml:space="preserve"> </w:t>
      </w:r>
      <w:r w:rsidRPr="00FF71B9">
        <w:rPr>
          <w:b/>
          <w:sz w:val="24"/>
          <w:szCs w:val="24"/>
        </w:rPr>
        <w:tab/>
      </w:r>
      <w:r w:rsidRPr="00FF71B9">
        <w:rPr>
          <w:bCs/>
          <w:sz w:val="24"/>
          <w:szCs w:val="24"/>
        </w:rPr>
        <w:t xml:space="preserve">O objetivo principal da pesquisa é comparar o posicionamento do componente </w:t>
      </w:r>
      <w:proofErr w:type="spellStart"/>
      <w:r w:rsidRPr="00FF71B9">
        <w:rPr>
          <w:bCs/>
          <w:sz w:val="24"/>
          <w:szCs w:val="24"/>
        </w:rPr>
        <w:t>acetabular</w:t>
      </w:r>
      <w:proofErr w:type="spellEnd"/>
      <w:r w:rsidRPr="00FF71B9">
        <w:rPr>
          <w:bCs/>
          <w:sz w:val="24"/>
          <w:szCs w:val="24"/>
        </w:rPr>
        <w:t xml:space="preserve"> entre o acesso posterior convencional e o acesso </w:t>
      </w:r>
      <w:proofErr w:type="spellStart"/>
      <w:r w:rsidRPr="00FF71B9">
        <w:rPr>
          <w:bCs/>
          <w:sz w:val="24"/>
          <w:szCs w:val="24"/>
        </w:rPr>
        <w:t>supracapsular</w:t>
      </w:r>
      <w:proofErr w:type="spellEnd"/>
      <w:r w:rsidRPr="00FF71B9">
        <w:rPr>
          <w:bCs/>
          <w:sz w:val="24"/>
          <w:szCs w:val="24"/>
        </w:rPr>
        <w:t xml:space="preserve"> assistido por portal percutâneo (</w:t>
      </w:r>
      <w:proofErr w:type="spellStart"/>
      <w:r w:rsidRPr="00FF71B9">
        <w:rPr>
          <w:bCs/>
          <w:sz w:val="24"/>
          <w:szCs w:val="24"/>
        </w:rPr>
        <w:t>SuperPath</w:t>
      </w:r>
      <w:proofErr w:type="spellEnd"/>
      <w:r w:rsidRPr="00FF71B9">
        <w:rPr>
          <w:bCs/>
          <w:sz w:val="24"/>
          <w:szCs w:val="24"/>
        </w:rPr>
        <w:sym w:font="Symbol" w:char="F0E2"/>
      </w:r>
      <w:r w:rsidRPr="00FF71B9">
        <w:rPr>
          <w:bCs/>
          <w:sz w:val="24"/>
          <w:szCs w:val="24"/>
        </w:rPr>
        <w:t>) através da tomografia computadorizada.</w:t>
      </w:r>
      <w:r>
        <w:rPr>
          <w:bCs/>
          <w:sz w:val="24"/>
          <w:szCs w:val="24"/>
        </w:rPr>
        <w:t xml:space="preserve"> De maneira secundária, serão </w:t>
      </w:r>
      <w:r>
        <w:rPr>
          <w:sz w:val="24"/>
          <w:szCs w:val="24"/>
        </w:rPr>
        <w:t>comparadas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lastRenderedPageBreak/>
        <w:t>taxas de complicações clínicas e ortopédicas, tempo cirúrgico, sangramento, escore de dor e escores funcionais entre as duas vias cirúrgicas</w:t>
      </w:r>
    </w:p>
    <w:p w14:paraId="60EA43B5" w14:textId="3A193782" w:rsidR="00FF71B9" w:rsidRPr="00FF71B9" w:rsidRDefault="00FF71B9" w:rsidP="00FF71B9">
      <w:pPr>
        <w:spacing w:after="160" w:line="480" w:lineRule="auto"/>
        <w:ind w:left="720"/>
        <w:rPr>
          <w:bCs/>
          <w:sz w:val="24"/>
          <w:szCs w:val="24"/>
        </w:rPr>
      </w:pPr>
      <w:proofErr w:type="gramStart"/>
      <w:r w:rsidRPr="00FF71B9">
        <w:rPr>
          <w:b/>
          <w:sz w:val="24"/>
          <w:szCs w:val="24"/>
        </w:rPr>
        <w:t>Palavras Chave</w:t>
      </w:r>
      <w:proofErr w:type="gramEnd"/>
      <w:r w:rsidRPr="00FF71B9">
        <w:rPr>
          <w:b/>
          <w:sz w:val="24"/>
          <w:szCs w:val="24"/>
        </w:rPr>
        <w:t>:</w:t>
      </w:r>
      <w:r w:rsidR="0084377E" w:rsidRPr="00FF71B9">
        <w:rPr>
          <w:b/>
          <w:sz w:val="24"/>
          <w:szCs w:val="24"/>
        </w:rPr>
        <w:t xml:space="preserve"> </w:t>
      </w:r>
      <w:r w:rsidRPr="00FF71B9">
        <w:rPr>
          <w:bCs/>
          <w:sz w:val="24"/>
          <w:szCs w:val="24"/>
        </w:rPr>
        <w:t xml:space="preserve">Artrose, </w:t>
      </w:r>
      <w:proofErr w:type="spellStart"/>
      <w:r w:rsidRPr="00FF71B9">
        <w:rPr>
          <w:bCs/>
          <w:sz w:val="24"/>
          <w:szCs w:val="24"/>
        </w:rPr>
        <w:t>artroplastia</w:t>
      </w:r>
      <w:proofErr w:type="spellEnd"/>
      <w:r w:rsidRPr="00FF71B9">
        <w:rPr>
          <w:bCs/>
          <w:sz w:val="24"/>
          <w:szCs w:val="24"/>
        </w:rPr>
        <w:t xml:space="preserve"> total do quadril, </w:t>
      </w:r>
      <w:proofErr w:type="spellStart"/>
      <w:r w:rsidRPr="00FF71B9">
        <w:rPr>
          <w:bCs/>
          <w:sz w:val="24"/>
          <w:szCs w:val="24"/>
        </w:rPr>
        <w:t>SuperPath</w:t>
      </w:r>
      <w:proofErr w:type="spellEnd"/>
      <w:r w:rsidRPr="00FF71B9">
        <w:rPr>
          <w:bCs/>
          <w:sz w:val="24"/>
          <w:szCs w:val="24"/>
        </w:rPr>
        <w:t xml:space="preserve">, </w:t>
      </w:r>
      <w:r w:rsidR="009875D0">
        <w:rPr>
          <w:bCs/>
          <w:sz w:val="24"/>
          <w:szCs w:val="24"/>
        </w:rPr>
        <w:t>c</w:t>
      </w:r>
      <w:r w:rsidRPr="00FF71B9">
        <w:rPr>
          <w:bCs/>
          <w:sz w:val="24"/>
          <w:szCs w:val="24"/>
        </w:rPr>
        <w:t>irurgia minimamente invasiva</w:t>
      </w:r>
    </w:p>
    <w:p w14:paraId="71EA7308" w14:textId="4CAB2FE5" w:rsidR="00FF71B9" w:rsidRPr="00FF71B9" w:rsidRDefault="00FF71B9" w:rsidP="00FF71B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00000014" w14:textId="36F49AFA" w:rsidR="00E4777B" w:rsidRDefault="00FF71B9">
      <w:pPr>
        <w:numPr>
          <w:ilvl w:val="0"/>
          <w:numId w:val="1"/>
        </w:numPr>
        <w:spacing w:after="160" w:line="480" w:lineRule="auto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INTRODUÇÃO</w:t>
      </w:r>
    </w:p>
    <w:p w14:paraId="00000015" w14:textId="2A476169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</w:t>
      </w:r>
      <w:proofErr w:type="spellStart"/>
      <w:r>
        <w:rPr>
          <w:sz w:val="24"/>
          <w:szCs w:val="24"/>
        </w:rPr>
        <w:t>artroplastia</w:t>
      </w:r>
      <w:proofErr w:type="spellEnd"/>
      <w:r>
        <w:rPr>
          <w:sz w:val="24"/>
          <w:szCs w:val="24"/>
        </w:rPr>
        <w:t xml:space="preserve"> total do quadril (ATQ) é um procedimento amplamente utilizado no tratamento de afecções do quadril, tendo sido considerada a cirurgia do século pelo </w:t>
      </w:r>
      <w:r>
        <w:rPr>
          <w:i/>
          <w:sz w:val="24"/>
          <w:szCs w:val="24"/>
        </w:rPr>
        <w:t xml:space="preserve">Lancet </w:t>
      </w:r>
      <w:r>
        <w:rPr>
          <w:sz w:val="24"/>
          <w:szCs w:val="24"/>
        </w:rPr>
        <w:t xml:space="preserve">no ano de 2007 devido ao seu alto índice de sucesso </w:t>
      </w:r>
      <w:hyperlink r:id="rId7">
        <w:r>
          <w:rPr>
            <w:color w:val="000000"/>
            <w:sz w:val="24"/>
            <w:szCs w:val="24"/>
          </w:rPr>
          <w:t>(1)</w:t>
        </w:r>
      </w:hyperlink>
      <w:r>
        <w:rPr>
          <w:sz w:val="24"/>
          <w:szCs w:val="24"/>
        </w:rPr>
        <w:t xml:space="preserve">. Devido ao êxito em aliviar a dor e otimizar níveis funcionais, o número de cirurgias de prótese de quadril vem aumentando nos últimos anos quando analisamos as bases de dados nacionais </w:t>
      </w:r>
      <w:hyperlink r:id="rId8">
        <w:r>
          <w:rPr>
            <w:color w:val="000000"/>
            <w:sz w:val="24"/>
            <w:szCs w:val="24"/>
          </w:rPr>
          <w:t>(2,3)</w:t>
        </w:r>
      </w:hyperlink>
      <w:r>
        <w:rPr>
          <w:sz w:val="24"/>
          <w:szCs w:val="24"/>
        </w:rPr>
        <w:t xml:space="preserve">. Paralelamente ao aumento dos números absolutos de </w:t>
      </w:r>
      <w:proofErr w:type="spellStart"/>
      <w:r>
        <w:rPr>
          <w:sz w:val="24"/>
          <w:szCs w:val="24"/>
        </w:rPr>
        <w:t>ATQs</w:t>
      </w:r>
      <w:proofErr w:type="spellEnd"/>
      <w:r>
        <w:rPr>
          <w:sz w:val="24"/>
          <w:szCs w:val="24"/>
        </w:rPr>
        <w:t xml:space="preserve"> realizadas, existe um aumento na expectativa dos pacientes e médicos </w:t>
      </w:r>
      <w:r w:rsidR="00867133">
        <w:rPr>
          <w:sz w:val="24"/>
          <w:szCs w:val="24"/>
        </w:rPr>
        <w:t>em relação ao</w:t>
      </w:r>
      <w:r>
        <w:rPr>
          <w:sz w:val="24"/>
          <w:szCs w:val="24"/>
        </w:rPr>
        <w:t xml:space="preserve"> procedimento</w:t>
      </w:r>
      <w:r w:rsidR="00867133">
        <w:rPr>
          <w:sz w:val="24"/>
          <w:szCs w:val="24"/>
        </w:rPr>
        <w:t>,</w:t>
      </w:r>
      <w:r>
        <w:rPr>
          <w:sz w:val="24"/>
          <w:szCs w:val="24"/>
        </w:rPr>
        <w:t xml:space="preserve"> fazendo com que haja uma pressão para o desenvolvimento de implantes mais duráveis e estáveis além de novas técnicas menos invasivas que permitam uma reabilitação mais precoce e melhores ganhos funcionais</w:t>
      </w:r>
      <w:r w:rsidR="00867133">
        <w:rPr>
          <w:sz w:val="24"/>
          <w:szCs w:val="24"/>
        </w:rPr>
        <w:t xml:space="preserve"> </w:t>
      </w:r>
      <w:hyperlink r:id="rId9">
        <w:r>
          <w:rPr>
            <w:color w:val="000000"/>
            <w:sz w:val="24"/>
            <w:szCs w:val="24"/>
          </w:rPr>
          <w:t>(4)</w:t>
        </w:r>
      </w:hyperlink>
      <w:r>
        <w:rPr>
          <w:sz w:val="24"/>
          <w:szCs w:val="24"/>
        </w:rPr>
        <w:t xml:space="preserve">. </w:t>
      </w:r>
    </w:p>
    <w:p w14:paraId="00000016" w14:textId="0F70CEA4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tipo de via de acesso escolhido pelo cirurgião para realização da ATQ é um assunto bastante discutido atualmente, uma vez que está diretamente relacionada com a reabilitação </w:t>
      </w:r>
      <w:r w:rsidR="0097736F">
        <w:rPr>
          <w:sz w:val="24"/>
          <w:szCs w:val="24"/>
        </w:rPr>
        <w:t>pós-operatória</w:t>
      </w:r>
      <w:r>
        <w:rPr>
          <w:sz w:val="24"/>
          <w:szCs w:val="24"/>
        </w:rPr>
        <w:t xml:space="preserve"> e risco de complicações</w:t>
      </w:r>
      <w:r w:rsidR="00867133">
        <w:rPr>
          <w:sz w:val="24"/>
          <w:szCs w:val="24"/>
        </w:rPr>
        <w:t xml:space="preserve"> </w:t>
      </w:r>
      <w:hyperlink r:id="rId10">
        <w:r>
          <w:rPr>
            <w:color w:val="000000"/>
            <w:sz w:val="24"/>
            <w:szCs w:val="24"/>
          </w:rPr>
          <w:t>(5)</w:t>
        </w:r>
      </w:hyperlink>
      <w:r>
        <w:rPr>
          <w:sz w:val="24"/>
          <w:szCs w:val="24"/>
        </w:rPr>
        <w:t xml:space="preserve">. </w:t>
      </w:r>
    </w:p>
    <w:p w14:paraId="00000017" w14:textId="3EA00ED6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Dentre as diversas vias cirúrgicas descritas, uma das mais utilizadas no mundo é o acesso posterior descrito por Moore em 1952</w:t>
      </w:r>
      <w:r w:rsidR="00867133">
        <w:rPr>
          <w:sz w:val="24"/>
          <w:szCs w:val="24"/>
        </w:rPr>
        <w:t xml:space="preserve"> </w:t>
      </w:r>
      <w:hyperlink r:id="rId11">
        <w:r>
          <w:rPr>
            <w:color w:val="000000"/>
            <w:sz w:val="24"/>
            <w:szCs w:val="24"/>
          </w:rPr>
          <w:t>(6)</w:t>
        </w:r>
      </w:hyperlink>
      <w:r>
        <w:rPr>
          <w:sz w:val="24"/>
          <w:szCs w:val="24"/>
        </w:rPr>
        <w:t xml:space="preserve">, que consiste na dissecção romba do glúteo máximo e </w:t>
      </w:r>
      <w:proofErr w:type="spellStart"/>
      <w:r>
        <w:rPr>
          <w:sz w:val="24"/>
          <w:szCs w:val="24"/>
        </w:rPr>
        <w:t>desinserção</w:t>
      </w:r>
      <w:proofErr w:type="spellEnd"/>
      <w:r>
        <w:rPr>
          <w:sz w:val="24"/>
          <w:szCs w:val="24"/>
        </w:rPr>
        <w:t xml:space="preserve"> dos rotadores externos</w:t>
      </w:r>
      <w:r w:rsidR="0097736F">
        <w:rPr>
          <w:sz w:val="24"/>
          <w:szCs w:val="24"/>
        </w:rPr>
        <w:t xml:space="preserve"> curtos</w:t>
      </w:r>
      <w:r>
        <w:rPr>
          <w:sz w:val="24"/>
          <w:szCs w:val="24"/>
        </w:rPr>
        <w:t xml:space="preserve">. As vantagens desta via são a preservação da musculatura abdutora do quadril e ampla exposição articular, tendo como desvantagem o maior risco de luxação posterior </w:t>
      </w:r>
      <w:hyperlink r:id="rId12">
        <w:r>
          <w:rPr>
            <w:color w:val="000000"/>
            <w:sz w:val="24"/>
            <w:szCs w:val="24"/>
          </w:rPr>
          <w:t>(7)</w:t>
        </w:r>
      </w:hyperlink>
      <w:r>
        <w:rPr>
          <w:sz w:val="24"/>
          <w:szCs w:val="24"/>
        </w:rPr>
        <w:t xml:space="preserve">. Outras vias frequentemente utilizadas são a via lateral descrita por </w:t>
      </w:r>
      <w:proofErr w:type="spellStart"/>
      <w:r>
        <w:rPr>
          <w:sz w:val="24"/>
          <w:szCs w:val="24"/>
        </w:rPr>
        <w:t>Hardinge</w:t>
      </w:r>
      <w:proofErr w:type="spellEnd"/>
      <w:r>
        <w:rPr>
          <w:sz w:val="24"/>
          <w:szCs w:val="24"/>
        </w:rPr>
        <w:t xml:space="preserve">, que acessa a articulação do quadril através da </w:t>
      </w:r>
      <w:proofErr w:type="spellStart"/>
      <w:r>
        <w:rPr>
          <w:sz w:val="24"/>
          <w:szCs w:val="24"/>
        </w:rPr>
        <w:t>desinserção</w:t>
      </w:r>
      <w:proofErr w:type="spellEnd"/>
      <w:r>
        <w:rPr>
          <w:sz w:val="24"/>
          <w:szCs w:val="24"/>
        </w:rPr>
        <w:t xml:space="preserve"> parcial do tendão do glúteo médio </w:t>
      </w:r>
      <w:hyperlink r:id="rId13">
        <w:r>
          <w:rPr>
            <w:color w:val="000000"/>
            <w:sz w:val="24"/>
            <w:szCs w:val="24"/>
          </w:rPr>
          <w:t>(8)</w:t>
        </w:r>
      </w:hyperlink>
      <w:r>
        <w:rPr>
          <w:sz w:val="24"/>
          <w:szCs w:val="24"/>
        </w:rPr>
        <w:t xml:space="preserve"> permitindo excelente exposição, porém com críticas a respeito da violação do mecanismo abdutor, e o acesso anterior direto descrito inicialmente por </w:t>
      </w:r>
      <w:proofErr w:type="spellStart"/>
      <w:r>
        <w:rPr>
          <w:sz w:val="24"/>
          <w:szCs w:val="24"/>
        </w:rPr>
        <w:t>Hueter</w:t>
      </w:r>
      <w:proofErr w:type="spellEnd"/>
      <w:r>
        <w:rPr>
          <w:sz w:val="24"/>
          <w:szCs w:val="24"/>
        </w:rPr>
        <w:t xml:space="preserve"> em 1883</w:t>
      </w:r>
      <w:r w:rsidR="00867133">
        <w:rPr>
          <w:sz w:val="24"/>
          <w:szCs w:val="24"/>
        </w:rPr>
        <w:t xml:space="preserve"> </w:t>
      </w:r>
      <w:hyperlink r:id="rId14">
        <w:r>
          <w:rPr>
            <w:color w:val="000000"/>
            <w:sz w:val="24"/>
            <w:szCs w:val="24"/>
          </w:rPr>
          <w:t>(9)</w:t>
        </w:r>
      </w:hyperlink>
      <w:r>
        <w:rPr>
          <w:sz w:val="24"/>
          <w:szCs w:val="24"/>
        </w:rPr>
        <w:t>, revivido por Smith-</w:t>
      </w:r>
      <w:proofErr w:type="spellStart"/>
      <w:r>
        <w:rPr>
          <w:sz w:val="24"/>
          <w:szCs w:val="24"/>
        </w:rPr>
        <w:t>Petersen</w:t>
      </w:r>
      <w:proofErr w:type="spellEnd"/>
      <w:r w:rsidR="00867133">
        <w:rPr>
          <w:sz w:val="24"/>
          <w:szCs w:val="24"/>
        </w:rPr>
        <w:t xml:space="preserve"> </w:t>
      </w:r>
      <w:hyperlink r:id="rId15">
        <w:r>
          <w:rPr>
            <w:color w:val="000000"/>
            <w:sz w:val="24"/>
            <w:szCs w:val="24"/>
          </w:rPr>
          <w:t>(10)</w:t>
        </w:r>
      </w:hyperlink>
      <w:r>
        <w:rPr>
          <w:sz w:val="24"/>
          <w:szCs w:val="24"/>
        </w:rPr>
        <w:t xml:space="preserve"> e em crescente utilização nos dias atuais pela sua preservação </w:t>
      </w:r>
      <w:proofErr w:type="spellStart"/>
      <w:r>
        <w:rPr>
          <w:sz w:val="24"/>
          <w:szCs w:val="24"/>
        </w:rPr>
        <w:t>musculotendínea</w:t>
      </w:r>
      <w:proofErr w:type="spellEnd"/>
      <w:r>
        <w:rPr>
          <w:sz w:val="24"/>
          <w:szCs w:val="24"/>
        </w:rPr>
        <w:t xml:space="preserve">. Ainda não há consenso a respeito do acesso </w:t>
      </w:r>
      <w:r>
        <w:rPr>
          <w:sz w:val="24"/>
          <w:szCs w:val="24"/>
        </w:rPr>
        <w:lastRenderedPageBreak/>
        <w:t xml:space="preserve">perfeito, sendo que cada um apresenta riscos e vantagens que devem ser levados em consideração caso a caso, assim como a experiência do cirurgião com a técnica. </w:t>
      </w:r>
    </w:p>
    <w:p w14:paraId="00000018" w14:textId="6D284C8C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="00217028">
        <w:rPr>
          <w:sz w:val="24"/>
          <w:szCs w:val="24"/>
        </w:rPr>
        <w:t xml:space="preserve">Em 2011, James </w:t>
      </w:r>
      <w:proofErr w:type="spellStart"/>
      <w:r w:rsidR="00217028">
        <w:rPr>
          <w:sz w:val="24"/>
          <w:szCs w:val="24"/>
        </w:rPr>
        <w:t>Chow</w:t>
      </w:r>
      <w:proofErr w:type="spellEnd"/>
      <w:r w:rsidR="00217028">
        <w:rPr>
          <w:sz w:val="24"/>
          <w:szCs w:val="24"/>
        </w:rPr>
        <w:t xml:space="preserve"> propôs uma abordagem </w:t>
      </w:r>
      <w:proofErr w:type="spellStart"/>
      <w:r w:rsidR="00601B5F">
        <w:rPr>
          <w:sz w:val="24"/>
          <w:szCs w:val="24"/>
        </w:rPr>
        <w:t>supracapsular</w:t>
      </w:r>
      <w:proofErr w:type="spellEnd"/>
      <w:r w:rsidR="00601B5F">
        <w:rPr>
          <w:sz w:val="24"/>
          <w:szCs w:val="24"/>
        </w:rPr>
        <w:t xml:space="preserve"> assistida por portal percutâneo</w:t>
      </w:r>
      <w:r w:rsidR="000329E4">
        <w:rPr>
          <w:sz w:val="24"/>
          <w:szCs w:val="24"/>
        </w:rPr>
        <w:t xml:space="preserve"> (</w:t>
      </w:r>
      <w:proofErr w:type="spellStart"/>
      <w:r w:rsidR="000329E4">
        <w:rPr>
          <w:sz w:val="24"/>
          <w:szCs w:val="24"/>
        </w:rPr>
        <w:t>SuperPath</w:t>
      </w:r>
      <w:proofErr w:type="spellEnd"/>
      <w:r w:rsidR="000329E4" w:rsidRPr="00217028">
        <w:rPr>
          <w:b/>
          <w:sz w:val="24"/>
          <w:szCs w:val="24"/>
        </w:rPr>
        <w:sym w:font="Symbol" w:char="F0E2"/>
      </w:r>
      <w:r w:rsidR="000329E4">
        <w:rPr>
          <w:sz w:val="24"/>
          <w:szCs w:val="24"/>
        </w:rPr>
        <w:t>)</w:t>
      </w:r>
      <w:r w:rsidR="00601B5F">
        <w:rPr>
          <w:sz w:val="24"/>
          <w:szCs w:val="24"/>
        </w:rPr>
        <w:t xml:space="preserve">. </w:t>
      </w:r>
      <w:r w:rsidR="00D43511">
        <w:rPr>
          <w:sz w:val="24"/>
          <w:szCs w:val="24"/>
        </w:rPr>
        <w:t>Na cirurgia, o acesso</w:t>
      </w:r>
      <w:r w:rsidR="00601B5F">
        <w:rPr>
          <w:sz w:val="24"/>
          <w:szCs w:val="24"/>
        </w:rPr>
        <w:t xml:space="preserve"> à articulação consist</w:t>
      </w:r>
      <w:r w:rsidR="000329E4">
        <w:rPr>
          <w:sz w:val="24"/>
          <w:szCs w:val="24"/>
        </w:rPr>
        <w:t>e</w:t>
      </w:r>
      <w:r w:rsidR="00601B5F">
        <w:rPr>
          <w:sz w:val="24"/>
          <w:szCs w:val="24"/>
        </w:rPr>
        <w:t xml:space="preserve"> em um</w:t>
      </w:r>
      <w:r w:rsidR="00D43511">
        <w:rPr>
          <w:sz w:val="24"/>
          <w:szCs w:val="24"/>
        </w:rPr>
        <w:t xml:space="preserve">a dissecção </w:t>
      </w:r>
      <w:r w:rsidR="00601B5F">
        <w:rPr>
          <w:sz w:val="24"/>
          <w:szCs w:val="24"/>
        </w:rPr>
        <w:t>superior no intervalo entre o glúteo médio e mínimo e o piriforme</w:t>
      </w:r>
      <w:r w:rsidR="00FB39F0">
        <w:rPr>
          <w:sz w:val="24"/>
          <w:szCs w:val="24"/>
        </w:rPr>
        <w:t>, preservando os rotadores externos curtos</w:t>
      </w:r>
      <w:r w:rsidR="00601B5F">
        <w:rPr>
          <w:sz w:val="24"/>
          <w:szCs w:val="24"/>
        </w:rPr>
        <w:t xml:space="preserve">. O preparo femoral é realizado </w:t>
      </w:r>
      <w:r w:rsidR="00601B5F" w:rsidRPr="00601B5F">
        <w:rPr>
          <w:i/>
          <w:iCs/>
          <w:sz w:val="24"/>
          <w:szCs w:val="24"/>
        </w:rPr>
        <w:t>in situ</w:t>
      </w:r>
      <w:r w:rsidR="00601B5F">
        <w:rPr>
          <w:sz w:val="24"/>
          <w:szCs w:val="24"/>
        </w:rPr>
        <w:t xml:space="preserve">, sem necessidade de luxação do quadril – diminuindo a agressividade cirúrgica. </w:t>
      </w:r>
      <w:r>
        <w:rPr>
          <w:sz w:val="24"/>
          <w:szCs w:val="24"/>
        </w:rPr>
        <w:t xml:space="preserve"> </w:t>
      </w:r>
      <w:r w:rsidR="00C00F77">
        <w:rPr>
          <w:sz w:val="24"/>
          <w:szCs w:val="24"/>
        </w:rPr>
        <w:t>A abordagem do acetábulo é feita através com auxílio de portal percutâneo, sem necessidade de liberação dos rotadores externos curtos. (11)</w:t>
      </w:r>
    </w:p>
    <w:p w14:paraId="00000019" w14:textId="1D6606E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Uma das maiores críticas a vias cirúrgicas que tentam ser menos invasivas no sentido de evitar </w:t>
      </w:r>
      <w:proofErr w:type="spellStart"/>
      <w:r>
        <w:rPr>
          <w:sz w:val="24"/>
          <w:szCs w:val="24"/>
        </w:rPr>
        <w:t>desinserções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tendíneas</w:t>
      </w:r>
      <w:proofErr w:type="spellEnd"/>
      <w:r>
        <w:rPr>
          <w:sz w:val="24"/>
          <w:szCs w:val="24"/>
        </w:rPr>
        <w:t xml:space="preserve"> e musculares é a dificuldade de se conseguir uma boa exposição acarretando num pior posicionamento dos componentes e maior risco de complicações</w:t>
      </w:r>
      <w:r w:rsidR="00867133">
        <w:rPr>
          <w:sz w:val="24"/>
          <w:szCs w:val="24"/>
        </w:rPr>
        <w:t xml:space="preserve"> </w:t>
      </w:r>
      <w:hyperlink r:id="rId16">
        <w:r>
          <w:rPr>
            <w:color w:val="000000"/>
            <w:sz w:val="24"/>
            <w:szCs w:val="24"/>
          </w:rPr>
          <w:t>(12)</w:t>
        </w:r>
      </w:hyperlink>
      <w:r>
        <w:rPr>
          <w:sz w:val="24"/>
          <w:szCs w:val="24"/>
        </w:rPr>
        <w:t>.</w:t>
      </w:r>
    </w:p>
    <w:p w14:paraId="0000001A" w14:textId="4E60E9E8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color w:val="FF0000"/>
          <w:sz w:val="24"/>
          <w:szCs w:val="24"/>
        </w:rPr>
        <w:tab/>
      </w:r>
      <w:r>
        <w:rPr>
          <w:sz w:val="24"/>
          <w:szCs w:val="24"/>
        </w:rPr>
        <w:t xml:space="preserve">Desde o clássico trabalho de </w:t>
      </w:r>
      <w:proofErr w:type="spellStart"/>
      <w:r>
        <w:rPr>
          <w:sz w:val="24"/>
          <w:szCs w:val="24"/>
        </w:rPr>
        <w:t>Lewinnek</w:t>
      </w:r>
      <w:proofErr w:type="spellEnd"/>
      <w:r w:rsidR="00867133">
        <w:rPr>
          <w:sz w:val="24"/>
          <w:szCs w:val="24"/>
        </w:rPr>
        <w:t xml:space="preserve"> </w:t>
      </w:r>
      <w:hyperlink r:id="rId17">
        <w:r>
          <w:rPr>
            <w:color w:val="000000"/>
            <w:sz w:val="24"/>
            <w:szCs w:val="24"/>
          </w:rPr>
          <w:t>(13)</w:t>
        </w:r>
      </w:hyperlink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 xml:space="preserve">que definiu uma zona de segurança para o posicionamento </w:t>
      </w:r>
      <w:proofErr w:type="spellStart"/>
      <w:r>
        <w:rPr>
          <w:sz w:val="24"/>
          <w:szCs w:val="24"/>
        </w:rPr>
        <w:t>acetabular</w:t>
      </w:r>
      <w:proofErr w:type="spellEnd"/>
      <w:r>
        <w:rPr>
          <w:sz w:val="24"/>
          <w:szCs w:val="24"/>
        </w:rPr>
        <w:t xml:space="preserve">, muito se discute a respeito de qual seria o melhor posicionamento da taça </w:t>
      </w:r>
      <w:proofErr w:type="spellStart"/>
      <w:r>
        <w:rPr>
          <w:sz w:val="24"/>
          <w:szCs w:val="24"/>
        </w:rPr>
        <w:t>acetabular</w:t>
      </w:r>
      <w:proofErr w:type="spellEnd"/>
      <w:r>
        <w:rPr>
          <w:sz w:val="24"/>
          <w:szCs w:val="24"/>
        </w:rPr>
        <w:t xml:space="preserve"> para evitar luxações</w:t>
      </w:r>
      <w:r w:rsidR="00867133">
        <w:rPr>
          <w:sz w:val="24"/>
          <w:szCs w:val="24"/>
        </w:rPr>
        <w:t xml:space="preserve"> </w:t>
      </w:r>
      <w:hyperlink r:id="rId18">
        <w:r>
          <w:rPr>
            <w:color w:val="000000"/>
            <w:sz w:val="24"/>
            <w:szCs w:val="24"/>
          </w:rPr>
          <w:t>(14–16)</w:t>
        </w:r>
      </w:hyperlink>
      <w:r>
        <w:rPr>
          <w:sz w:val="24"/>
          <w:szCs w:val="24"/>
        </w:rPr>
        <w:t>. Independente das controvérsias a respeito da zona ideal, sabemos que o adequado posicionamento é fundamental para evitar complicações como instabilidade, desgaste acelerado do polietileno e fraturas dos insertes de cerâmica</w:t>
      </w:r>
      <w:r w:rsidR="00867133">
        <w:rPr>
          <w:sz w:val="24"/>
          <w:szCs w:val="24"/>
        </w:rPr>
        <w:t xml:space="preserve"> </w:t>
      </w:r>
      <w:hyperlink r:id="rId19">
        <w:r>
          <w:rPr>
            <w:color w:val="000000"/>
            <w:sz w:val="24"/>
            <w:szCs w:val="24"/>
          </w:rPr>
          <w:t>(15,17)</w:t>
        </w:r>
      </w:hyperlink>
      <w:r>
        <w:rPr>
          <w:sz w:val="24"/>
          <w:szCs w:val="24"/>
        </w:rPr>
        <w:t>.</w:t>
      </w:r>
    </w:p>
    <w:p w14:paraId="0000001B" w14:textId="76FA478A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A forma mais precisa de se calcular o posicionamento </w:t>
      </w:r>
      <w:proofErr w:type="spellStart"/>
      <w:r>
        <w:rPr>
          <w:sz w:val="24"/>
          <w:szCs w:val="24"/>
        </w:rPr>
        <w:t>acetabular</w:t>
      </w:r>
      <w:proofErr w:type="spellEnd"/>
      <w:r>
        <w:rPr>
          <w:sz w:val="24"/>
          <w:szCs w:val="24"/>
        </w:rPr>
        <w:t xml:space="preserve"> (inclinação 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>) é através da tomografia computadorizada, que consegue retirar vieses de posicionamento da pelve no espaço e imprecisões de medidas nas radiografias</w:t>
      </w:r>
      <w:r w:rsidR="00867133">
        <w:rPr>
          <w:sz w:val="24"/>
          <w:szCs w:val="24"/>
        </w:rPr>
        <w:t xml:space="preserve"> </w:t>
      </w:r>
      <w:hyperlink r:id="rId20">
        <w:r>
          <w:rPr>
            <w:color w:val="000000"/>
            <w:sz w:val="24"/>
            <w:szCs w:val="24"/>
          </w:rPr>
          <w:t>(18)</w:t>
        </w:r>
      </w:hyperlink>
      <w:r>
        <w:rPr>
          <w:sz w:val="24"/>
          <w:szCs w:val="24"/>
        </w:rPr>
        <w:t>.</w:t>
      </w:r>
    </w:p>
    <w:p w14:paraId="0000001C" w14:textId="39FECD62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Pr="00217028">
        <w:rPr>
          <w:sz w:val="24"/>
          <w:szCs w:val="24"/>
        </w:rPr>
        <w:t xml:space="preserve">Desconhecemos, até o momento, qualquer trabalho que avalie o posicionamento do componente </w:t>
      </w:r>
      <w:proofErr w:type="spellStart"/>
      <w:r w:rsidRPr="00217028">
        <w:rPr>
          <w:sz w:val="24"/>
          <w:szCs w:val="24"/>
        </w:rPr>
        <w:t>acetabular</w:t>
      </w:r>
      <w:proofErr w:type="spellEnd"/>
      <w:r w:rsidRPr="00217028">
        <w:rPr>
          <w:sz w:val="24"/>
          <w:szCs w:val="24"/>
        </w:rPr>
        <w:t xml:space="preserve"> através da tomografia computadorizada </w:t>
      </w:r>
      <w:r w:rsidRPr="00217028">
        <w:rPr>
          <w:sz w:val="24"/>
          <w:szCs w:val="24"/>
        </w:rPr>
        <w:lastRenderedPageBreak/>
        <w:t xml:space="preserve">entre o acesso </w:t>
      </w:r>
      <w:proofErr w:type="spellStart"/>
      <w:r w:rsidR="00217028">
        <w:rPr>
          <w:sz w:val="24"/>
          <w:szCs w:val="24"/>
        </w:rPr>
        <w:t>supracapsular</w:t>
      </w:r>
      <w:proofErr w:type="spellEnd"/>
      <w:r w:rsidR="00217028">
        <w:rPr>
          <w:sz w:val="24"/>
          <w:szCs w:val="24"/>
        </w:rPr>
        <w:t xml:space="preserve"> assistido </w:t>
      </w:r>
      <w:r w:rsidR="006A79D1">
        <w:rPr>
          <w:sz w:val="24"/>
          <w:szCs w:val="24"/>
        </w:rPr>
        <w:t xml:space="preserve">por portal </w:t>
      </w:r>
      <w:r w:rsidR="00217028">
        <w:rPr>
          <w:sz w:val="24"/>
          <w:szCs w:val="24"/>
        </w:rPr>
        <w:t>percutâne</w:t>
      </w:r>
      <w:r w:rsidR="006A79D1">
        <w:rPr>
          <w:sz w:val="24"/>
          <w:szCs w:val="24"/>
        </w:rPr>
        <w:t>o</w:t>
      </w:r>
      <w:r w:rsidR="00217028">
        <w:rPr>
          <w:sz w:val="24"/>
          <w:szCs w:val="24"/>
        </w:rPr>
        <w:t xml:space="preserve"> (</w:t>
      </w:r>
      <w:proofErr w:type="spellStart"/>
      <w:r w:rsidR="00217028">
        <w:rPr>
          <w:sz w:val="24"/>
          <w:szCs w:val="24"/>
        </w:rPr>
        <w:t>SuperPath</w:t>
      </w:r>
      <w:proofErr w:type="spellEnd"/>
      <w:r w:rsidR="00217028" w:rsidRPr="00217028">
        <w:rPr>
          <w:b/>
          <w:sz w:val="24"/>
          <w:szCs w:val="24"/>
        </w:rPr>
        <w:sym w:font="Symbol" w:char="F0E2"/>
      </w:r>
      <w:r w:rsidR="00217028">
        <w:rPr>
          <w:sz w:val="24"/>
          <w:szCs w:val="24"/>
        </w:rPr>
        <w:t>)</w:t>
      </w:r>
      <w:r w:rsidRPr="00217028">
        <w:rPr>
          <w:sz w:val="24"/>
          <w:szCs w:val="24"/>
        </w:rPr>
        <w:t xml:space="preserve"> e o acesso posterior convencional.</w:t>
      </w:r>
      <w:r>
        <w:rPr>
          <w:sz w:val="24"/>
          <w:szCs w:val="24"/>
        </w:rPr>
        <w:t xml:space="preserve"> </w:t>
      </w:r>
    </w:p>
    <w:p w14:paraId="0000001D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0000001E" w14:textId="77777777" w:rsidR="00E4777B" w:rsidRDefault="0084377E">
      <w:pPr>
        <w:numPr>
          <w:ilvl w:val="0"/>
          <w:numId w:val="1"/>
        </w:numPr>
        <w:tabs>
          <w:tab w:val="left" w:pos="708"/>
        </w:tabs>
        <w:spacing w:line="480" w:lineRule="auto"/>
        <w:jc w:val="both"/>
        <w:rPr>
          <w:sz w:val="24"/>
          <w:szCs w:val="24"/>
        </w:rPr>
      </w:pPr>
      <w:r>
        <w:rPr>
          <w:b/>
          <w:sz w:val="24"/>
          <w:szCs w:val="24"/>
        </w:rPr>
        <w:t>OBJETIVO</w:t>
      </w:r>
    </w:p>
    <w:p w14:paraId="0000001F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left="72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2.1 OBJETIVO PRIMÁRIO</w:t>
      </w:r>
    </w:p>
    <w:p w14:paraId="00000020" w14:textId="42D17ABC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 objetivo principal da pesquisa é comparar o posicionamento do componente </w:t>
      </w:r>
      <w:proofErr w:type="spellStart"/>
      <w:r>
        <w:rPr>
          <w:sz w:val="24"/>
          <w:szCs w:val="24"/>
        </w:rPr>
        <w:t>acetabular</w:t>
      </w:r>
      <w:proofErr w:type="spellEnd"/>
      <w:r>
        <w:rPr>
          <w:sz w:val="24"/>
          <w:szCs w:val="24"/>
        </w:rPr>
        <w:t xml:space="preserve"> entre o acesso posterior convencional e o acesso </w:t>
      </w:r>
      <w:proofErr w:type="spellStart"/>
      <w:r w:rsidR="00710168">
        <w:rPr>
          <w:sz w:val="24"/>
          <w:szCs w:val="24"/>
        </w:rPr>
        <w:t>supracapsular</w:t>
      </w:r>
      <w:proofErr w:type="spellEnd"/>
      <w:r w:rsidR="00710168">
        <w:rPr>
          <w:sz w:val="24"/>
          <w:szCs w:val="24"/>
        </w:rPr>
        <w:t xml:space="preserve"> assistido </w:t>
      </w:r>
      <w:r w:rsidR="006A79D1">
        <w:rPr>
          <w:sz w:val="24"/>
          <w:szCs w:val="24"/>
        </w:rPr>
        <w:t>por portal</w:t>
      </w:r>
      <w:r w:rsidR="00710168">
        <w:rPr>
          <w:sz w:val="24"/>
          <w:szCs w:val="24"/>
        </w:rPr>
        <w:t xml:space="preserve"> percutâne</w:t>
      </w:r>
      <w:r w:rsidR="006A79D1">
        <w:rPr>
          <w:sz w:val="24"/>
          <w:szCs w:val="24"/>
        </w:rPr>
        <w:t>o</w:t>
      </w:r>
      <w:r w:rsidR="00710168">
        <w:rPr>
          <w:sz w:val="24"/>
          <w:szCs w:val="24"/>
        </w:rPr>
        <w:t xml:space="preserve"> </w:t>
      </w:r>
      <w:r w:rsidR="0097736F">
        <w:rPr>
          <w:sz w:val="24"/>
          <w:szCs w:val="24"/>
        </w:rPr>
        <w:t>(</w:t>
      </w:r>
      <w:proofErr w:type="spellStart"/>
      <w:r w:rsidR="0097736F">
        <w:rPr>
          <w:sz w:val="24"/>
          <w:szCs w:val="24"/>
        </w:rPr>
        <w:t>SuperPath</w:t>
      </w:r>
      <w:proofErr w:type="spellEnd"/>
      <w:r w:rsidR="0097736F" w:rsidRPr="0097736F">
        <w:rPr>
          <w:b/>
          <w:sz w:val="24"/>
          <w:szCs w:val="24"/>
        </w:rPr>
        <w:sym w:font="Symbol" w:char="F0E2"/>
      </w:r>
      <w:r w:rsidR="0097736F">
        <w:rPr>
          <w:sz w:val="24"/>
          <w:szCs w:val="24"/>
        </w:rPr>
        <w:t xml:space="preserve">) </w:t>
      </w:r>
      <w:r>
        <w:rPr>
          <w:sz w:val="24"/>
          <w:szCs w:val="24"/>
        </w:rPr>
        <w:t>através da tomografia computadorizada.</w:t>
      </w:r>
    </w:p>
    <w:p w14:paraId="00000021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22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2.2 OBJETIVOS SECUNDÁRIOS </w:t>
      </w:r>
    </w:p>
    <w:p w14:paraId="00000023" w14:textId="1689CA68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Comparar as taxas de complicações clínicas e ortopédicas, tempo cirúrgico, sangramento, escore de dor e escores funcionais ("time </w:t>
      </w:r>
      <w:proofErr w:type="spellStart"/>
      <w:r>
        <w:rPr>
          <w:sz w:val="24"/>
          <w:szCs w:val="24"/>
        </w:rPr>
        <w:t>up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and</w:t>
      </w:r>
      <w:proofErr w:type="spellEnd"/>
      <w:r>
        <w:rPr>
          <w:sz w:val="24"/>
          <w:szCs w:val="24"/>
        </w:rPr>
        <w:t xml:space="preserve"> go") entre as duas vias cirúrgicas.</w:t>
      </w:r>
    </w:p>
    <w:p w14:paraId="00000024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color w:val="FF0000"/>
          <w:sz w:val="24"/>
          <w:szCs w:val="24"/>
        </w:rPr>
      </w:pPr>
    </w:p>
    <w:p w14:paraId="00000025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26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MATERIAIS E MÉTODOS </w:t>
      </w:r>
    </w:p>
    <w:p w14:paraId="00000027" w14:textId="3EC30DFA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Estudo clínico controlado e randomizado de pacientes submetidos à </w:t>
      </w:r>
      <w:proofErr w:type="spellStart"/>
      <w:r>
        <w:rPr>
          <w:sz w:val="24"/>
          <w:szCs w:val="24"/>
        </w:rPr>
        <w:t>artroplastia</w:t>
      </w:r>
      <w:proofErr w:type="spellEnd"/>
      <w:r>
        <w:rPr>
          <w:sz w:val="24"/>
          <w:szCs w:val="24"/>
        </w:rPr>
        <w:t xml:space="preserve"> total de quadril através das vias posterior convencional e </w:t>
      </w:r>
      <w:proofErr w:type="spellStart"/>
      <w:r w:rsidR="00710168">
        <w:rPr>
          <w:sz w:val="24"/>
          <w:szCs w:val="24"/>
        </w:rPr>
        <w:t>supracapsular</w:t>
      </w:r>
      <w:proofErr w:type="spellEnd"/>
      <w:r w:rsidR="00710168">
        <w:rPr>
          <w:sz w:val="24"/>
          <w:szCs w:val="24"/>
        </w:rPr>
        <w:t xml:space="preserve"> assistido </w:t>
      </w:r>
      <w:r w:rsidR="006A79D1">
        <w:rPr>
          <w:sz w:val="24"/>
          <w:szCs w:val="24"/>
        </w:rPr>
        <w:t>por portal percutâneo</w:t>
      </w:r>
      <w:r w:rsidR="00710168">
        <w:rPr>
          <w:sz w:val="24"/>
          <w:szCs w:val="24"/>
        </w:rPr>
        <w:t xml:space="preserve"> </w:t>
      </w:r>
      <w:r w:rsidR="0097736F">
        <w:rPr>
          <w:sz w:val="24"/>
          <w:szCs w:val="24"/>
        </w:rPr>
        <w:t>(</w:t>
      </w:r>
      <w:proofErr w:type="spellStart"/>
      <w:r w:rsidR="0097736F">
        <w:rPr>
          <w:sz w:val="24"/>
          <w:szCs w:val="24"/>
        </w:rPr>
        <w:t>SuperPath</w:t>
      </w:r>
      <w:proofErr w:type="spellEnd"/>
      <w:r w:rsidR="0097736F" w:rsidRPr="0097736F">
        <w:rPr>
          <w:b/>
          <w:sz w:val="24"/>
          <w:szCs w:val="24"/>
        </w:rPr>
        <w:sym w:font="Symbol" w:char="F0E2"/>
      </w:r>
      <w:r w:rsidR="0097736F">
        <w:rPr>
          <w:sz w:val="24"/>
          <w:szCs w:val="24"/>
        </w:rPr>
        <w:t xml:space="preserve">). </w:t>
      </w:r>
      <w:r>
        <w:rPr>
          <w:sz w:val="24"/>
          <w:szCs w:val="24"/>
        </w:rPr>
        <w:t xml:space="preserve">Serão  selecionados 50 pacientes da fila de prótese primária do IOT-HCMUSP (o cálculo amostral realizado pelo site </w:t>
      </w:r>
      <w:hyperlink r:id="rId21">
        <w:r>
          <w:rPr>
            <w:color w:val="1155CC"/>
            <w:sz w:val="24"/>
            <w:szCs w:val="24"/>
            <w:u w:val="single"/>
          </w:rPr>
          <w:t>https://clincalc.com/stats/samplesize.aspx</w:t>
        </w:r>
      </w:hyperlink>
      <w:r>
        <w:rPr>
          <w:sz w:val="24"/>
          <w:szCs w:val="24"/>
        </w:rPr>
        <w:t xml:space="preserve"> baseado na previsão do desfecho de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 xml:space="preserve"> do componente </w:t>
      </w:r>
      <w:proofErr w:type="spellStart"/>
      <w:r>
        <w:rPr>
          <w:sz w:val="24"/>
          <w:szCs w:val="24"/>
        </w:rPr>
        <w:t>acetabular</w:t>
      </w:r>
      <w:proofErr w:type="spellEnd"/>
      <w:r>
        <w:rPr>
          <w:sz w:val="24"/>
          <w:szCs w:val="24"/>
        </w:rPr>
        <w:t xml:space="preserve"> de 15 graus com desvio padrão de 5 graus aceitando um erro alpha de 5% e poder do teste de 80% forneceu o valor de n de 32 pacientes). Optamos por aumentar esse valor para 50 casos, prevendo perdas de seguimento ao longo do estudo e alterações na previsão de desvio padrão. Os </w:t>
      </w:r>
      <w:r>
        <w:rPr>
          <w:sz w:val="24"/>
          <w:szCs w:val="24"/>
        </w:rPr>
        <w:lastRenderedPageBreak/>
        <w:t xml:space="preserve">pacientes serão </w:t>
      </w:r>
      <w:r w:rsidR="0097736F">
        <w:rPr>
          <w:sz w:val="24"/>
          <w:szCs w:val="24"/>
        </w:rPr>
        <w:t>randomizados e alocados</w:t>
      </w:r>
      <w:r>
        <w:rPr>
          <w:sz w:val="24"/>
          <w:szCs w:val="24"/>
        </w:rPr>
        <w:t xml:space="preserve"> em 2 grupos: via posterior convencional e via </w:t>
      </w:r>
      <w:proofErr w:type="spellStart"/>
      <w:r w:rsidR="006A79D1">
        <w:rPr>
          <w:sz w:val="24"/>
          <w:szCs w:val="24"/>
        </w:rPr>
        <w:t>supracapsular</w:t>
      </w:r>
      <w:proofErr w:type="spellEnd"/>
      <w:r w:rsidR="006A79D1">
        <w:rPr>
          <w:sz w:val="24"/>
          <w:szCs w:val="24"/>
        </w:rPr>
        <w:t xml:space="preserve"> assistida por portal percutâneo</w:t>
      </w:r>
      <w:r>
        <w:rPr>
          <w:sz w:val="24"/>
          <w:szCs w:val="24"/>
        </w:rPr>
        <w:t xml:space="preserve"> </w:t>
      </w:r>
      <w:r w:rsidR="0097736F">
        <w:rPr>
          <w:sz w:val="24"/>
          <w:szCs w:val="24"/>
        </w:rPr>
        <w:t>(</w:t>
      </w:r>
      <w:proofErr w:type="spellStart"/>
      <w:r w:rsidR="0097736F">
        <w:rPr>
          <w:sz w:val="24"/>
          <w:szCs w:val="24"/>
        </w:rPr>
        <w:t>SuperPath</w:t>
      </w:r>
      <w:proofErr w:type="spellEnd"/>
      <w:r w:rsidR="0097736F" w:rsidRPr="0097736F">
        <w:rPr>
          <w:b/>
          <w:sz w:val="24"/>
          <w:szCs w:val="24"/>
        </w:rPr>
        <w:sym w:font="Symbol" w:char="F0E2"/>
      </w:r>
      <w:r w:rsidR="0097736F">
        <w:rPr>
          <w:sz w:val="24"/>
          <w:szCs w:val="24"/>
        </w:rPr>
        <w:t>)</w:t>
      </w:r>
      <w:r>
        <w:rPr>
          <w:sz w:val="24"/>
          <w:szCs w:val="24"/>
        </w:rPr>
        <w:t>. As vias comparadas serão a posterior convencional conforme descrita por Moore</w:t>
      </w:r>
      <w:hyperlink r:id="rId22">
        <w:r>
          <w:rPr>
            <w:color w:val="000000"/>
            <w:sz w:val="24"/>
            <w:szCs w:val="24"/>
          </w:rPr>
          <w:t>(6)</w:t>
        </w:r>
      </w:hyperlink>
      <w:r>
        <w:rPr>
          <w:sz w:val="24"/>
          <w:szCs w:val="24"/>
        </w:rPr>
        <w:t xml:space="preserve"> e </w:t>
      </w:r>
      <w:proofErr w:type="spellStart"/>
      <w:r w:rsidR="00710168">
        <w:rPr>
          <w:sz w:val="24"/>
          <w:szCs w:val="24"/>
        </w:rPr>
        <w:t>supracapsular</w:t>
      </w:r>
      <w:proofErr w:type="spellEnd"/>
      <w:r w:rsidR="00710168">
        <w:rPr>
          <w:sz w:val="24"/>
          <w:szCs w:val="24"/>
        </w:rPr>
        <w:t xml:space="preserve"> assistido </w:t>
      </w:r>
      <w:r w:rsidR="006A79D1">
        <w:rPr>
          <w:sz w:val="24"/>
          <w:szCs w:val="24"/>
        </w:rPr>
        <w:t>por portal</w:t>
      </w:r>
      <w:r w:rsidR="00710168">
        <w:rPr>
          <w:sz w:val="24"/>
          <w:szCs w:val="24"/>
        </w:rPr>
        <w:t xml:space="preserve"> percutâne</w:t>
      </w:r>
      <w:r w:rsidR="006A79D1">
        <w:rPr>
          <w:sz w:val="24"/>
          <w:szCs w:val="24"/>
        </w:rPr>
        <w:t>o</w:t>
      </w:r>
      <w:r w:rsidR="00710168">
        <w:rPr>
          <w:sz w:val="24"/>
          <w:szCs w:val="24"/>
        </w:rPr>
        <w:t xml:space="preserve">, descrita por James </w:t>
      </w:r>
      <w:proofErr w:type="spellStart"/>
      <w:r w:rsidR="00710168">
        <w:rPr>
          <w:sz w:val="24"/>
          <w:szCs w:val="24"/>
        </w:rPr>
        <w:t>Chow</w:t>
      </w:r>
      <w:proofErr w:type="spellEnd"/>
      <w:r w:rsidR="00710168">
        <w:rPr>
          <w:sz w:val="24"/>
          <w:szCs w:val="24"/>
        </w:rPr>
        <w:t xml:space="preserve"> (11). </w:t>
      </w:r>
      <w:r w:rsidR="0097736F">
        <w:rPr>
          <w:sz w:val="24"/>
          <w:szCs w:val="24"/>
        </w:rPr>
        <w:t xml:space="preserve">Todos os procedimentos serão conduzidos pelo mesmo cirurgião e o material necessário para condução da cirurgia será fornecido pela </w:t>
      </w:r>
      <w:proofErr w:type="spellStart"/>
      <w:r w:rsidR="00710168">
        <w:rPr>
          <w:sz w:val="24"/>
          <w:szCs w:val="24"/>
        </w:rPr>
        <w:t>Microport</w:t>
      </w:r>
      <w:proofErr w:type="spellEnd"/>
      <w:r w:rsidR="006A79D1">
        <w:rPr>
          <w:sz w:val="24"/>
          <w:szCs w:val="24"/>
        </w:rPr>
        <w:t xml:space="preserve"> </w:t>
      </w:r>
      <w:proofErr w:type="spellStart"/>
      <w:r w:rsidR="006A79D1">
        <w:rPr>
          <w:sz w:val="24"/>
          <w:szCs w:val="24"/>
        </w:rPr>
        <w:t>Orthopedics</w:t>
      </w:r>
      <w:proofErr w:type="spellEnd"/>
      <w:r w:rsidR="006A79D1">
        <w:rPr>
          <w:sz w:val="24"/>
          <w:szCs w:val="24"/>
        </w:rPr>
        <w:t>, Inc</w:t>
      </w:r>
      <w:r w:rsidR="0097736F">
        <w:rPr>
          <w:sz w:val="24"/>
          <w:szCs w:val="24"/>
        </w:rPr>
        <w:t>.</w:t>
      </w:r>
    </w:p>
    <w:p w14:paraId="00000028" w14:textId="6B8D0246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color w:val="374151"/>
          <w:sz w:val="24"/>
          <w:szCs w:val="24"/>
        </w:rPr>
        <w:tab/>
      </w:r>
      <w:r>
        <w:rPr>
          <w:sz w:val="24"/>
          <w:szCs w:val="24"/>
        </w:rPr>
        <w:t xml:space="preserve">As tomografias de </w:t>
      </w:r>
      <w:proofErr w:type="gramStart"/>
      <w:r>
        <w:rPr>
          <w:sz w:val="24"/>
          <w:szCs w:val="24"/>
        </w:rPr>
        <w:t>bacia  serão</w:t>
      </w:r>
      <w:proofErr w:type="gramEnd"/>
      <w:r>
        <w:rPr>
          <w:sz w:val="24"/>
          <w:szCs w:val="24"/>
        </w:rPr>
        <w:t xml:space="preserve"> realizadas durante a internação no período de pós operatório no IOT - HCFMUSP. A captação das imagens pelo aparelho de tomografia será através da técnica "</w:t>
      </w:r>
      <w:proofErr w:type="spellStart"/>
      <w:r>
        <w:rPr>
          <w:sz w:val="24"/>
          <w:szCs w:val="24"/>
        </w:rPr>
        <w:t>multislice</w:t>
      </w:r>
      <w:proofErr w:type="spellEnd"/>
      <w:r>
        <w:rPr>
          <w:sz w:val="24"/>
          <w:szCs w:val="24"/>
        </w:rPr>
        <w:t xml:space="preserve">", em que o tubo tomográfico gira e captura múltiplas imagens simultâneas enquanto a mesa também se move. Serão obtidos cortes axiais com espessura de 0,6mm, com 50% de sobreposição entre eles, permitindo uma reconstrução </w:t>
      </w:r>
      <w:proofErr w:type="spellStart"/>
      <w:r>
        <w:rPr>
          <w:sz w:val="24"/>
          <w:szCs w:val="24"/>
        </w:rPr>
        <w:t>multiplanar</w:t>
      </w:r>
      <w:proofErr w:type="spellEnd"/>
      <w:r>
        <w:rPr>
          <w:sz w:val="24"/>
          <w:szCs w:val="24"/>
        </w:rPr>
        <w:t xml:space="preserve"> detalhada nos três eixos ortogonais - coronal, axial e sagital. As imagens serão reconstruídas considerando o plano coronal como referência o plano pélvico anterior (PPA), formado pelas duas espinhas ilíacas </w:t>
      </w:r>
      <w:proofErr w:type="spellStart"/>
      <w:r>
        <w:rPr>
          <w:sz w:val="24"/>
          <w:szCs w:val="24"/>
        </w:rPr>
        <w:t>ântero-superiores</w:t>
      </w:r>
      <w:proofErr w:type="spellEnd"/>
      <w:r>
        <w:rPr>
          <w:sz w:val="24"/>
          <w:szCs w:val="24"/>
        </w:rPr>
        <w:t xml:space="preserve"> e pelos dois tubérculos púbicos. Os planos sagital e axial serão determinados como sendo perpendiculares ao PPA.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Todas as medições tomográficas serão analisadas por três radiologistas especializados em </w:t>
      </w:r>
      <w:proofErr w:type="spellStart"/>
      <w:r>
        <w:rPr>
          <w:sz w:val="24"/>
          <w:szCs w:val="24"/>
        </w:rPr>
        <w:t>músculo-esquelético</w:t>
      </w:r>
      <w:proofErr w:type="spellEnd"/>
      <w:r>
        <w:rPr>
          <w:sz w:val="24"/>
          <w:szCs w:val="24"/>
        </w:rPr>
        <w:t xml:space="preserve">, sem conhecimento do grupo ao qual o paciente pertence. Será considerado o valor médio da análise. Os ângulos cirúrgicos de </w:t>
      </w:r>
      <w:proofErr w:type="spellStart"/>
      <w:r>
        <w:rPr>
          <w:sz w:val="24"/>
          <w:szCs w:val="24"/>
        </w:rPr>
        <w:t>anteversão</w:t>
      </w:r>
      <w:proofErr w:type="spellEnd"/>
      <w:r>
        <w:rPr>
          <w:sz w:val="24"/>
          <w:szCs w:val="24"/>
        </w:rPr>
        <w:t xml:space="preserve"> e inclinação serão medidos conforme o estudo de Murray</w:t>
      </w:r>
      <w:r w:rsidR="00A64460">
        <w:rPr>
          <w:sz w:val="24"/>
          <w:szCs w:val="24"/>
        </w:rPr>
        <w:t xml:space="preserve"> </w:t>
      </w:r>
      <w:hyperlink r:id="rId23">
        <w:r>
          <w:rPr>
            <w:color w:val="000000"/>
            <w:sz w:val="24"/>
            <w:szCs w:val="24"/>
          </w:rPr>
          <w:t>(19)</w:t>
        </w:r>
      </w:hyperlink>
      <w:r>
        <w:rPr>
          <w:color w:val="374151"/>
          <w:sz w:val="24"/>
          <w:szCs w:val="24"/>
        </w:rPr>
        <w:t xml:space="preserve"> </w:t>
      </w:r>
      <w:r>
        <w:rPr>
          <w:sz w:val="24"/>
          <w:szCs w:val="24"/>
        </w:rPr>
        <w:t xml:space="preserve">tendo como referência o plano coronal. </w:t>
      </w:r>
    </w:p>
    <w:p w14:paraId="00000029" w14:textId="33D53CC9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 xml:space="preserve">Os desfechos secundários analisados serão: tempo cirúrgico; sangramento (avaliado pela hemoglobina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e pós); presença de complicações ortopédicas (luxação, infecção, fratura </w:t>
      </w:r>
      <w:proofErr w:type="spellStart"/>
      <w:r>
        <w:rPr>
          <w:sz w:val="24"/>
          <w:szCs w:val="24"/>
        </w:rPr>
        <w:t>periprotética</w:t>
      </w:r>
      <w:proofErr w:type="spellEnd"/>
      <w:r>
        <w:rPr>
          <w:sz w:val="24"/>
          <w:szCs w:val="24"/>
        </w:rPr>
        <w:t xml:space="preserve">, lesão neurológica, soltura precoce) e clínicas (tromboembolismo venoso, acidente vascular cerebral, infarto agudo do miocárdio e </w:t>
      </w:r>
      <w:r>
        <w:rPr>
          <w:sz w:val="24"/>
          <w:szCs w:val="24"/>
        </w:rPr>
        <w:lastRenderedPageBreak/>
        <w:t>óbito); dor no período pós-operatório, avaliado pela escala analógica de dor (EVA); e a recuperação funcional através do teste "</w:t>
      </w:r>
      <w:r>
        <w:rPr>
          <w:i/>
          <w:sz w:val="24"/>
          <w:szCs w:val="24"/>
        </w:rPr>
        <w:t xml:space="preserve">time </w:t>
      </w:r>
      <w:proofErr w:type="spellStart"/>
      <w:r>
        <w:rPr>
          <w:i/>
          <w:sz w:val="24"/>
          <w:szCs w:val="24"/>
        </w:rPr>
        <w:t>up</w:t>
      </w:r>
      <w:proofErr w:type="spellEnd"/>
      <w:r>
        <w:rPr>
          <w:i/>
          <w:sz w:val="24"/>
          <w:szCs w:val="24"/>
        </w:rPr>
        <w:t xml:space="preserve"> </w:t>
      </w:r>
      <w:proofErr w:type="spellStart"/>
      <w:r>
        <w:rPr>
          <w:i/>
          <w:sz w:val="24"/>
          <w:szCs w:val="24"/>
        </w:rPr>
        <w:t>and</w:t>
      </w:r>
      <w:proofErr w:type="spellEnd"/>
      <w:r>
        <w:rPr>
          <w:i/>
          <w:sz w:val="24"/>
          <w:szCs w:val="24"/>
        </w:rPr>
        <w:t xml:space="preserve"> go"</w:t>
      </w:r>
      <w:r w:rsidR="00A64460">
        <w:rPr>
          <w:i/>
          <w:sz w:val="24"/>
          <w:szCs w:val="24"/>
        </w:rPr>
        <w:t xml:space="preserve"> </w:t>
      </w:r>
      <w:hyperlink r:id="rId24">
        <w:r w:rsidRPr="00A64460">
          <w:rPr>
            <w:color w:val="000000"/>
            <w:sz w:val="24"/>
            <w:szCs w:val="24"/>
          </w:rPr>
          <w:t>(20)</w:t>
        </w:r>
      </w:hyperlink>
      <w:r>
        <w:rPr>
          <w:i/>
          <w:sz w:val="24"/>
          <w:szCs w:val="24"/>
        </w:rPr>
        <w:t xml:space="preserve"> </w:t>
      </w:r>
      <w:r>
        <w:rPr>
          <w:sz w:val="24"/>
          <w:szCs w:val="24"/>
        </w:rPr>
        <w:t xml:space="preserve">realizado no </w:t>
      </w:r>
      <w:proofErr w:type="spellStart"/>
      <w:r>
        <w:rPr>
          <w:sz w:val="24"/>
          <w:szCs w:val="24"/>
        </w:rPr>
        <w:t>pré</w:t>
      </w:r>
      <w:proofErr w:type="spellEnd"/>
      <w:r>
        <w:rPr>
          <w:sz w:val="24"/>
          <w:szCs w:val="24"/>
        </w:rPr>
        <w:t xml:space="preserve"> operatório, pós operatório de 3 dias, 3 semanas, 3 meses e 6 meses.</w:t>
      </w:r>
    </w:p>
    <w:p w14:paraId="4BBA29E8" w14:textId="31096559" w:rsidR="009167D9" w:rsidRDefault="009167D9" w:rsidP="009167D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  <w:t>A respeito da análise estatística, a</w:t>
      </w:r>
      <w:r w:rsidRPr="009167D9">
        <w:rPr>
          <w:sz w:val="24"/>
          <w:szCs w:val="24"/>
        </w:rPr>
        <w:t xml:space="preserve"> comparação entre</w:t>
      </w:r>
      <w:r>
        <w:rPr>
          <w:sz w:val="24"/>
          <w:szCs w:val="24"/>
        </w:rPr>
        <w:t xml:space="preserve"> os</w:t>
      </w:r>
      <w:r w:rsidRPr="009167D9">
        <w:rPr>
          <w:sz w:val="24"/>
          <w:szCs w:val="24"/>
        </w:rPr>
        <w:t xml:space="preserve"> grupos em relação à porcentagem de casos que </w:t>
      </w:r>
      <w:r>
        <w:rPr>
          <w:sz w:val="24"/>
          <w:szCs w:val="24"/>
        </w:rPr>
        <w:t>se encontra</w:t>
      </w:r>
      <w:r w:rsidRPr="009167D9">
        <w:rPr>
          <w:sz w:val="24"/>
          <w:szCs w:val="24"/>
        </w:rPr>
        <w:t xml:space="preserve"> ou não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dentro da zona de segurança</w:t>
      </w:r>
      <w:r>
        <w:rPr>
          <w:sz w:val="24"/>
          <w:szCs w:val="24"/>
        </w:rPr>
        <w:t xml:space="preserve"> e </w:t>
      </w:r>
      <w:r w:rsidRPr="009167D9">
        <w:rPr>
          <w:sz w:val="24"/>
          <w:szCs w:val="24"/>
        </w:rPr>
        <w:t>à porcentagem</w:t>
      </w:r>
      <w:r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dos sexos</w:t>
      </w:r>
      <w:r>
        <w:rPr>
          <w:sz w:val="24"/>
          <w:szCs w:val="24"/>
        </w:rPr>
        <w:t>, será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realizada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através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 w:rsidRPr="009167D9">
        <w:rPr>
          <w:sz w:val="24"/>
          <w:szCs w:val="24"/>
        </w:rPr>
        <w:t xml:space="preserve">o teste </w:t>
      </w:r>
      <w:r>
        <w:rPr>
          <w:sz w:val="24"/>
          <w:szCs w:val="24"/>
        </w:rPr>
        <w:t xml:space="preserve">de </w:t>
      </w:r>
      <w:proofErr w:type="spellStart"/>
      <w:r w:rsidRPr="009167D9">
        <w:rPr>
          <w:sz w:val="24"/>
          <w:szCs w:val="24"/>
        </w:rPr>
        <w:t>quiquadrado</w:t>
      </w:r>
      <w:proofErr w:type="spellEnd"/>
      <w:r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 xml:space="preserve">de Pearson ou </w:t>
      </w:r>
      <w:r w:rsidR="00A74213">
        <w:rPr>
          <w:sz w:val="24"/>
          <w:szCs w:val="24"/>
        </w:rPr>
        <w:t>d</w:t>
      </w:r>
      <w:r w:rsidRPr="009167D9">
        <w:rPr>
          <w:sz w:val="24"/>
          <w:szCs w:val="24"/>
        </w:rPr>
        <w:t>o teste exato de Fisher</w:t>
      </w:r>
      <w:r>
        <w:rPr>
          <w:sz w:val="24"/>
          <w:szCs w:val="24"/>
        </w:rPr>
        <w:t xml:space="preserve"> (no caso do primeiro não ser adequado). 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As distribuições das variáveis “</w:t>
      </w:r>
      <w:proofErr w:type="spellStart"/>
      <w:r w:rsidRPr="009167D9">
        <w:rPr>
          <w:sz w:val="24"/>
          <w:szCs w:val="24"/>
        </w:rPr>
        <w:t>anteversão</w:t>
      </w:r>
      <w:proofErr w:type="spellEnd"/>
      <w:r w:rsidRPr="009167D9">
        <w:rPr>
          <w:sz w:val="24"/>
          <w:szCs w:val="24"/>
        </w:rPr>
        <w:t xml:space="preserve">”, “inclinação”, “desvio da </w:t>
      </w:r>
      <w:proofErr w:type="spellStart"/>
      <w:r w:rsidRPr="009167D9">
        <w:rPr>
          <w:sz w:val="24"/>
          <w:szCs w:val="24"/>
        </w:rPr>
        <w:t>anteversão</w:t>
      </w:r>
      <w:proofErr w:type="spellEnd"/>
      <w:r w:rsidRPr="009167D9">
        <w:rPr>
          <w:sz w:val="24"/>
          <w:szCs w:val="24"/>
        </w:rPr>
        <w:t xml:space="preserve"> em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>relação</w:t>
      </w:r>
      <w:r>
        <w:rPr>
          <w:sz w:val="24"/>
          <w:szCs w:val="24"/>
        </w:rPr>
        <w:t xml:space="preserve"> a</w:t>
      </w:r>
      <w:r w:rsidRPr="009167D9">
        <w:rPr>
          <w:sz w:val="24"/>
          <w:szCs w:val="24"/>
        </w:rPr>
        <w:t xml:space="preserve"> 15º” e “desvio </w:t>
      </w:r>
      <w:r w:rsidR="00A74213">
        <w:rPr>
          <w:sz w:val="24"/>
          <w:szCs w:val="24"/>
        </w:rPr>
        <w:t xml:space="preserve">da </w:t>
      </w:r>
      <w:r w:rsidRPr="009167D9">
        <w:rPr>
          <w:sz w:val="24"/>
          <w:szCs w:val="24"/>
        </w:rPr>
        <w:t>inclinação em relação à 40º”,</w:t>
      </w:r>
      <w:r w:rsidR="00A74213">
        <w:rPr>
          <w:sz w:val="24"/>
          <w:szCs w:val="24"/>
        </w:rPr>
        <w:t xml:space="preserve"> </w:t>
      </w:r>
      <w:r w:rsidRPr="009167D9">
        <w:rPr>
          <w:sz w:val="24"/>
          <w:szCs w:val="24"/>
        </w:rPr>
        <w:t xml:space="preserve">segundo os grupos de estudo, </w:t>
      </w:r>
      <w:r>
        <w:rPr>
          <w:sz w:val="24"/>
          <w:szCs w:val="24"/>
        </w:rPr>
        <w:t>serão</w:t>
      </w:r>
      <w:r w:rsidRPr="009167D9">
        <w:rPr>
          <w:sz w:val="24"/>
          <w:szCs w:val="24"/>
        </w:rPr>
        <w:t xml:space="preserve"> comparadas por meio do teste não paramétrico de Mann-Whitney. A comparação das médias destas variáveis em relação aos grupos </w:t>
      </w:r>
      <w:r>
        <w:rPr>
          <w:sz w:val="24"/>
          <w:szCs w:val="24"/>
        </w:rPr>
        <w:t>será</w:t>
      </w:r>
      <w:r w:rsidRPr="009167D9">
        <w:rPr>
          <w:sz w:val="24"/>
          <w:szCs w:val="24"/>
        </w:rPr>
        <w:t xml:space="preserve"> </w:t>
      </w:r>
      <w:r>
        <w:rPr>
          <w:sz w:val="24"/>
          <w:szCs w:val="24"/>
        </w:rPr>
        <w:t>realizada</w:t>
      </w:r>
      <w:r w:rsidRPr="009167D9">
        <w:rPr>
          <w:sz w:val="24"/>
          <w:szCs w:val="24"/>
        </w:rPr>
        <w:t xml:space="preserve"> </w:t>
      </w:r>
      <w:r w:rsidR="00A74213">
        <w:rPr>
          <w:sz w:val="24"/>
          <w:szCs w:val="24"/>
        </w:rPr>
        <w:t>pelo</w:t>
      </w:r>
      <w:r w:rsidRPr="009167D9">
        <w:rPr>
          <w:sz w:val="24"/>
          <w:szCs w:val="24"/>
        </w:rPr>
        <w:t xml:space="preserve"> teste t de </w:t>
      </w:r>
      <w:proofErr w:type="spellStart"/>
      <w:r w:rsidRPr="009167D9">
        <w:rPr>
          <w:sz w:val="24"/>
          <w:szCs w:val="24"/>
        </w:rPr>
        <w:t>Student</w:t>
      </w:r>
      <w:proofErr w:type="spellEnd"/>
      <w:r w:rsidRPr="009167D9">
        <w:rPr>
          <w:sz w:val="24"/>
          <w:szCs w:val="24"/>
        </w:rPr>
        <w:t>.</w:t>
      </w:r>
    </w:p>
    <w:p w14:paraId="0000002A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jc w:val="both"/>
        <w:rPr>
          <w:sz w:val="24"/>
          <w:szCs w:val="24"/>
        </w:rPr>
      </w:pPr>
    </w:p>
    <w:p w14:paraId="0000002B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>3.1 CRITÉRIOS DE INCLUSÃO</w:t>
      </w:r>
    </w:p>
    <w:p w14:paraId="0000002C" w14:textId="77777777" w:rsidR="00E4777B" w:rsidRDefault="0084377E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Pacientes da fila de prótese primária que tenham artrose do quadril </w:t>
      </w:r>
    </w:p>
    <w:p w14:paraId="0000002D" w14:textId="77777777" w:rsidR="00E4777B" w:rsidRDefault="0084377E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Paciente em condições de ler e compreender o termo de consentimento livre e esclarecido (TCLE).</w:t>
      </w:r>
    </w:p>
    <w:p w14:paraId="0000002E" w14:textId="77777777" w:rsidR="00E4777B" w:rsidRDefault="00E4777B">
      <w:pPr>
        <w:spacing w:after="200" w:line="360" w:lineRule="auto"/>
        <w:jc w:val="both"/>
        <w:rPr>
          <w:rFonts w:ascii="Cambria" w:eastAsia="Cambria" w:hAnsi="Cambria" w:cs="Cambria"/>
          <w:sz w:val="24"/>
          <w:szCs w:val="24"/>
        </w:rPr>
      </w:pPr>
    </w:p>
    <w:p w14:paraId="0000002F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360" w:lineRule="auto"/>
        <w:ind w:firstLine="360"/>
        <w:jc w:val="both"/>
        <w:rPr>
          <w:rFonts w:ascii="Cambria" w:eastAsia="Cambria" w:hAnsi="Cambria" w:cs="Cambria"/>
          <w:b/>
          <w:sz w:val="24"/>
          <w:szCs w:val="24"/>
        </w:rPr>
      </w:pPr>
      <w:r>
        <w:rPr>
          <w:b/>
          <w:sz w:val="24"/>
          <w:szCs w:val="24"/>
        </w:rPr>
        <w:t>3.2 CRITÉRIOS DE EXCLUSÃO</w:t>
      </w:r>
    </w:p>
    <w:p w14:paraId="00000030" w14:textId="77777777" w:rsidR="00E4777B" w:rsidRDefault="0084377E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Pacientes com idade abaixo de 18 anos.</w:t>
      </w:r>
    </w:p>
    <w:p w14:paraId="00000031" w14:textId="77777777" w:rsidR="00E4777B" w:rsidRDefault="0084377E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Doenças neurológicas ou ortopédicas que alterem o padrão de marcha e possam influenciar nos testes funcionais </w:t>
      </w:r>
    </w:p>
    <w:p w14:paraId="4AD52584" w14:textId="77777777" w:rsidR="00A64460" w:rsidRDefault="0084377E" w:rsidP="00703E80">
      <w:pPr>
        <w:numPr>
          <w:ilvl w:val="0"/>
          <w:numId w:val="2"/>
        </w:numPr>
        <w:spacing w:after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Necessidade de procedimentos adicionais além da prótese de quadril (</w:t>
      </w:r>
      <w:proofErr w:type="spellStart"/>
      <w:r>
        <w:rPr>
          <w:sz w:val="24"/>
          <w:szCs w:val="24"/>
        </w:rPr>
        <w:t>osteotomias</w:t>
      </w:r>
      <w:proofErr w:type="spellEnd"/>
      <w:r>
        <w:rPr>
          <w:sz w:val="24"/>
          <w:szCs w:val="24"/>
        </w:rPr>
        <w:t xml:space="preserve"> de encurtamento, necessidade de enxerto ósseo estruturado ou impactado e quadris anquilosados ou que necessitem de </w:t>
      </w:r>
      <w:proofErr w:type="spellStart"/>
      <w:r>
        <w:rPr>
          <w:sz w:val="24"/>
          <w:szCs w:val="24"/>
        </w:rPr>
        <w:t>osteotomia</w:t>
      </w:r>
      <w:proofErr w:type="spellEnd"/>
      <w:r>
        <w:rPr>
          <w:sz w:val="24"/>
          <w:szCs w:val="24"/>
        </w:rPr>
        <w:t xml:space="preserve"> </w:t>
      </w:r>
      <w:r w:rsidRPr="006A79D1">
        <w:rPr>
          <w:i/>
          <w:iCs/>
          <w:sz w:val="24"/>
          <w:szCs w:val="24"/>
        </w:rPr>
        <w:t>in situ</w:t>
      </w:r>
      <w:r>
        <w:rPr>
          <w:sz w:val="24"/>
          <w:szCs w:val="24"/>
        </w:rPr>
        <w:t>)</w:t>
      </w:r>
    </w:p>
    <w:p w14:paraId="0900CB9E" w14:textId="77777777" w:rsidR="00A64460" w:rsidRDefault="00A64460" w:rsidP="00A64460">
      <w:pPr>
        <w:spacing w:after="200" w:line="360" w:lineRule="auto"/>
        <w:ind w:left="480"/>
        <w:jc w:val="both"/>
        <w:rPr>
          <w:sz w:val="24"/>
          <w:szCs w:val="24"/>
        </w:rPr>
      </w:pPr>
    </w:p>
    <w:p w14:paraId="00000033" w14:textId="6E0D22E6" w:rsidR="00E4777B" w:rsidRPr="00703E80" w:rsidRDefault="0084377E" w:rsidP="00A64460">
      <w:pPr>
        <w:spacing w:after="200" w:line="360" w:lineRule="auto"/>
        <w:ind w:left="48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34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4. ANÁLISE DE RISCO</w:t>
      </w:r>
    </w:p>
    <w:p w14:paraId="00000035" w14:textId="77E4201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A via cirúrgica proposta pelo estudo </w:t>
      </w:r>
      <w:r w:rsidR="004A4EA2">
        <w:rPr>
          <w:sz w:val="24"/>
          <w:szCs w:val="24"/>
        </w:rPr>
        <w:t>(</w:t>
      </w:r>
      <w:proofErr w:type="spellStart"/>
      <w:r w:rsidR="004A4EA2">
        <w:rPr>
          <w:sz w:val="24"/>
          <w:szCs w:val="24"/>
        </w:rPr>
        <w:t>SuperPath</w:t>
      </w:r>
      <w:proofErr w:type="spellEnd"/>
      <w:r w:rsidR="004A4EA2" w:rsidRPr="0097736F">
        <w:rPr>
          <w:b/>
          <w:sz w:val="24"/>
          <w:szCs w:val="24"/>
        </w:rPr>
        <w:sym w:font="Symbol" w:char="F0E2"/>
      </w:r>
      <w:r w:rsidR="004A4EA2">
        <w:rPr>
          <w:sz w:val="24"/>
          <w:szCs w:val="24"/>
        </w:rPr>
        <w:t xml:space="preserve">) </w:t>
      </w:r>
      <w:r>
        <w:rPr>
          <w:sz w:val="24"/>
          <w:szCs w:val="24"/>
        </w:rPr>
        <w:t>é segura e está sendo utilizada em alguns centro</w:t>
      </w:r>
      <w:r w:rsidR="004A4EA2">
        <w:rPr>
          <w:sz w:val="24"/>
          <w:szCs w:val="24"/>
        </w:rPr>
        <w:t xml:space="preserve">s no mundo, incluindo o Brasil, </w:t>
      </w:r>
      <w:r>
        <w:rPr>
          <w:sz w:val="24"/>
          <w:szCs w:val="24"/>
        </w:rPr>
        <w:t>com resultados promissores na reabilitação e sem complicações descritas relacionadas. É importante relatar que a via proposta é</w:t>
      </w:r>
      <w:r w:rsidR="00710168">
        <w:rPr>
          <w:sz w:val="24"/>
          <w:szCs w:val="24"/>
        </w:rPr>
        <w:t xml:space="preserve"> </w:t>
      </w:r>
      <w:r>
        <w:rPr>
          <w:sz w:val="24"/>
          <w:szCs w:val="24"/>
        </w:rPr>
        <w:t>similar a</w:t>
      </w:r>
      <w:r w:rsidR="00710168">
        <w:rPr>
          <w:sz w:val="24"/>
          <w:szCs w:val="24"/>
        </w:rPr>
        <w:t>o acesso</w:t>
      </w:r>
      <w:r>
        <w:rPr>
          <w:sz w:val="24"/>
          <w:szCs w:val="24"/>
        </w:rPr>
        <w:t xml:space="preserve"> posterior já utilizad</w:t>
      </w:r>
      <w:r w:rsidR="00710168">
        <w:rPr>
          <w:sz w:val="24"/>
          <w:szCs w:val="24"/>
        </w:rPr>
        <w:t>o</w:t>
      </w:r>
      <w:r>
        <w:rPr>
          <w:sz w:val="24"/>
          <w:szCs w:val="24"/>
        </w:rPr>
        <w:t xml:space="preserve"> de rotina pelo grupo sendo que qualquer dificuldade que possa ser encontrada para realização da via no </w:t>
      </w:r>
      <w:proofErr w:type="spellStart"/>
      <w:r>
        <w:rPr>
          <w:sz w:val="24"/>
          <w:szCs w:val="24"/>
        </w:rPr>
        <w:t>intraoperatório</w:t>
      </w:r>
      <w:proofErr w:type="spellEnd"/>
      <w:r>
        <w:rPr>
          <w:sz w:val="24"/>
          <w:szCs w:val="24"/>
        </w:rPr>
        <w:t xml:space="preserve">, a mesma poderá ser convertida para a via posterior convencional sem nenhum dano ao paciente ou à qualidade do </w:t>
      </w:r>
      <w:proofErr w:type="gramStart"/>
      <w:r>
        <w:rPr>
          <w:sz w:val="24"/>
          <w:szCs w:val="24"/>
        </w:rPr>
        <w:t>resultado final</w:t>
      </w:r>
      <w:proofErr w:type="gramEnd"/>
      <w:r>
        <w:rPr>
          <w:sz w:val="24"/>
          <w:szCs w:val="24"/>
        </w:rPr>
        <w:t xml:space="preserve"> da cirúrgica. O risco de exposição do paciente à radiação pela tomografia computadorizada no </w:t>
      </w:r>
      <w:r w:rsidR="000329E4">
        <w:rPr>
          <w:sz w:val="24"/>
          <w:szCs w:val="24"/>
        </w:rPr>
        <w:t>pós-operatório</w:t>
      </w:r>
      <w:r>
        <w:rPr>
          <w:sz w:val="24"/>
          <w:szCs w:val="24"/>
        </w:rPr>
        <w:t xml:space="preserve"> é mínimo com as técnicas e aparelhos modernos e será discutida com o paciente no momento do preenchimento do termo de consentimento livre e esclarecido. </w:t>
      </w:r>
    </w:p>
    <w:p w14:paraId="00000036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37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 CRONOGRAMA</w:t>
      </w:r>
    </w:p>
    <w:p w14:paraId="00000039" w14:textId="19D332DD" w:rsidR="00E4777B" w:rsidRDefault="0084377E" w:rsidP="00703E80">
      <w:pPr>
        <w:ind w:firstLine="4"/>
        <w:jc w:val="both"/>
        <w:rPr>
          <w:sz w:val="24"/>
          <w:szCs w:val="24"/>
        </w:rPr>
      </w:pPr>
      <w:bookmarkStart w:id="0" w:name="kix.qp2aunx5h4e" w:colFirst="0" w:colLast="0"/>
      <w:bookmarkEnd w:id="0"/>
      <w:r>
        <w:rPr>
          <w:sz w:val="24"/>
          <w:szCs w:val="24"/>
        </w:rPr>
        <w:t>Idealizamos um protocolo inicial com número estimado de 50 pacientes</w:t>
      </w:r>
      <w:r w:rsidR="00763D06">
        <w:rPr>
          <w:sz w:val="24"/>
          <w:szCs w:val="24"/>
        </w:rPr>
        <w:t xml:space="preserve"> (considerando uma média de 4 próteses por mês, compatível com a realidade do serviço).</w:t>
      </w:r>
      <w:r>
        <w:rPr>
          <w:sz w:val="24"/>
          <w:szCs w:val="24"/>
        </w:rPr>
        <w:t xml:space="preserve"> </w:t>
      </w:r>
      <w:r w:rsidR="00763D06">
        <w:rPr>
          <w:sz w:val="24"/>
          <w:szCs w:val="24"/>
        </w:rPr>
        <w:t>S</w:t>
      </w:r>
      <w:r>
        <w:rPr>
          <w:sz w:val="24"/>
          <w:szCs w:val="24"/>
        </w:rPr>
        <w:t>endo assim:</w:t>
      </w:r>
    </w:p>
    <w:p w14:paraId="7BE49E56" w14:textId="0C9B3511" w:rsidR="00703E80" w:rsidRDefault="00703E80">
      <w:pPr>
        <w:jc w:val="both"/>
        <w:rPr>
          <w:sz w:val="24"/>
          <w:szCs w:val="24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09"/>
        <w:gridCol w:w="4510"/>
      </w:tblGrid>
      <w:tr w:rsidR="00703E80" w14:paraId="153DED5A" w14:textId="77777777" w:rsidTr="00703E80">
        <w:tc>
          <w:tcPr>
            <w:tcW w:w="4509" w:type="dxa"/>
            <w:shd w:val="clear" w:color="auto" w:fill="D9D9D9" w:themeFill="background1" w:themeFillShade="D9"/>
          </w:tcPr>
          <w:p w14:paraId="754F9E9A" w14:textId="26259180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OBJETIVO</w:t>
            </w:r>
          </w:p>
        </w:tc>
        <w:tc>
          <w:tcPr>
            <w:tcW w:w="4510" w:type="dxa"/>
            <w:shd w:val="clear" w:color="auto" w:fill="D9D9D9" w:themeFill="background1" w:themeFillShade="D9"/>
          </w:tcPr>
          <w:p w14:paraId="0A846C5D" w14:textId="6ED9AF63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TEMPO</w:t>
            </w:r>
          </w:p>
        </w:tc>
      </w:tr>
      <w:tr w:rsidR="00703E80" w14:paraId="2B12D608" w14:textId="77777777" w:rsidTr="00703E80">
        <w:tc>
          <w:tcPr>
            <w:tcW w:w="4509" w:type="dxa"/>
          </w:tcPr>
          <w:p w14:paraId="03C746B4" w14:textId="1913B5E9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Seleção dos pacientes</w:t>
            </w:r>
          </w:p>
        </w:tc>
        <w:tc>
          <w:tcPr>
            <w:tcW w:w="4510" w:type="dxa"/>
          </w:tcPr>
          <w:p w14:paraId="0EF012ED" w14:textId="64B5476E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Será realizada continuamente durante o projeto até atingir casuística</w:t>
            </w:r>
          </w:p>
        </w:tc>
      </w:tr>
      <w:tr w:rsidR="00703E80" w14:paraId="495062D4" w14:textId="77777777" w:rsidTr="00703E80">
        <w:tc>
          <w:tcPr>
            <w:tcW w:w="4509" w:type="dxa"/>
          </w:tcPr>
          <w:p w14:paraId="0CA9B2C6" w14:textId="33A1AA29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Realização de todos os procedimentos cirúrgicos</w:t>
            </w:r>
          </w:p>
        </w:tc>
        <w:tc>
          <w:tcPr>
            <w:tcW w:w="4510" w:type="dxa"/>
          </w:tcPr>
          <w:p w14:paraId="653BFC71" w14:textId="0697C896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 a 1</w:t>
            </w:r>
            <w:r w:rsidR="00763D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meses</w:t>
            </w:r>
          </w:p>
        </w:tc>
      </w:tr>
      <w:tr w:rsidR="00703E80" w14:paraId="146F49C5" w14:textId="77777777" w:rsidTr="00703E80">
        <w:tc>
          <w:tcPr>
            <w:tcW w:w="4509" w:type="dxa"/>
          </w:tcPr>
          <w:p w14:paraId="2BEC2872" w14:textId="5FF166F1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Coleta de dados</w:t>
            </w:r>
          </w:p>
        </w:tc>
        <w:tc>
          <w:tcPr>
            <w:tcW w:w="4510" w:type="dxa"/>
          </w:tcPr>
          <w:p w14:paraId="1DD8778E" w14:textId="26443CB2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763D06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 xml:space="preserve"> a 18 meses (após último procedimento serão necessários 6 meses para última medida de desfecho secundário)</w:t>
            </w:r>
          </w:p>
        </w:tc>
      </w:tr>
      <w:tr w:rsidR="00703E80" w14:paraId="512C2F3D" w14:textId="77777777" w:rsidTr="00703E80">
        <w:tc>
          <w:tcPr>
            <w:tcW w:w="4509" w:type="dxa"/>
          </w:tcPr>
          <w:p w14:paraId="0C6DD37A" w14:textId="103CCE00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Análise estatística e confecção do texto final do trabalho</w:t>
            </w:r>
          </w:p>
        </w:tc>
        <w:tc>
          <w:tcPr>
            <w:tcW w:w="4510" w:type="dxa"/>
          </w:tcPr>
          <w:p w14:paraId="6C5698AE" w14:textId="19B1F48A" w:rsidR="00703E80" w:rsidRDefault="00703E8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 a 24 meses</w:t>
            </w:r>
          </w:p>
        </w:tc>
      </w:tr>
    </w:tbl>
    <w:p w14:paraId="394F8F57" w14:textId="77777777" w:rsidR="00703E80" w:rsidRDefault="00703E80">
      <w:pPr>
        <w:jc w:val="both"/>
        <w:rPr>
          <w:sz w:val="24"/>
          <w:szCs w:val="24"/>
        </w:rPr>
      </w:pPr>
    </w:p>
    <w:p w14:paraId="0000003F" w14:textId="77777777" w:rsidR="00E4777B" w:rsidRDefault="00E4777B">
      <w:pPr>
        <w:ind w:left="705"/>
        <w:jc w:val="both"/>
        <w:rPr>
          <w:sz w:val="24"/>
          <w:szCs w:val="24"/>
        </w:rPr>
      </w:pPr>
      <w:bookmarkStart w:id="1" w:name="_1fob9te" w:colFirst="0" w:colLast="0"/>
      <w:bookmarkEnd w:id="1"/>
    </w:p>
    <w:p w14:paraId="00000040" w14:textId="77777777" w:rsidR="00E4777B" w:rsidRDefault="0084377E">
      <w:pPr>
        <w:jc w:val="both"/>
        <w:rPr>
          <w:sz w:val="24"/>
          <w:szCs w:val="24"/>
        </w:rPr>
      </w:pPr>
      <w:r>
        <w:rPr>
          <w:sz w:val="24"/>
          <w:szCs w:val="24"/>
        </w:rPr>
        <w:t>Tempo total: 24 meses.</w:t>
      </w:r>
    </w:p>
    <w:p w14:paraId="00000041" w14:textId="77777777" w:rsidR="00E4777B" w:rsidRDefault="00E4777B">
      <w:pPr>
        <w:jc w:val="both"/>
        <w:rPr>
          <w:sz w:val="24"/>
          <w:szCs w:val="24"/>
        </w:rPr>
      </w:pPr>
    </w:p>
    <w:p w14:paraId="00000042" w14:textId="77777777" w:rsidR="00E4777B" w:rsidRDefault="00E4777B">
      <w:pPr>
        <w:jc w:val="both"/>
        <w:rPr>
          <w:sz w:val="24"/>
          <w:szCs w:val="24"/>
        </w:rPr>
      </w:pPr>
    </w:p>
    <w:p w14:paraId="00000043" w14:textId="7ACECBFC" w:rsidR="00E4777B" w:rsidRDefault="00E4777B">
      <w:pPr>
        <w:jc w:val="both"/>
        <w:rPr>
          <w:sz w:val="24"/>
          <w:szCs w:val="24"/>
        </w:rPr>
      </w:pPr>
    </w:p>
    <w:p w14:paraId="49446CFF" w14:textId="77777777" w:rsidR="00CB25E2" w:rsidRDefault="00CB25E2">
      <w:pPr>
        <w:jc w:val="both"/>
        <w:rPr>
          <w:sz w:val="24"/>
          <w:szCs w:val="24"/>
        </w:rPr>
      </w:pPr>
    </w:p>
    <w:p w14:paraId="00000044" w14:textId="77777777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6. CUSTOS E ORIGEM DOS RECURSOS FINANCEIROS </w:t>
      </w:r>
    </w:p>
    <w:p w14:paraId="00000045" w14:textId="4DCD94D1" w:rsidR="00E4777B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sz w:val="24"/>
          <w:szCs w:val="24"/>
        </w:rPr>
        <w:t xml:space="preserve">As cirurgias de prótese de quadril e seu acompanhamento </w:t>
      </w:r>
      <w:r w:rsidR="000329E4">
        <w:rPr>
          <w:sz w:val="24"/>
          <w:szCs w:val="24"/>
        </w:rPr>
        <w:t>pós-operatório</w:t>
      </w:r>
      <w:r>
        <w:rPr>
          <w:sz w:val="24"/>
          <w:szCs w:val="24"/>
        </w:rPr>
        <w:t xml:space="preserve"> serão realizadas com o mesmo protocolo utilizado de rotina pelo grupo do quadril</w:t>
      </w:r>
      <w:r w:rsidR="004A4EA2">
        <w:rPr>
          <w:sz w:val="24"/>
          <w:szCs w:val="24"/>
        </w:rPr>
        <w:t xml:space="preserve">, </w:t>
      </w:r>
      <w:r>
        <w:rPr>
          <w:sz w:val="24"/>
          <w:szCs w:val="24"/>
        </w:rPr>
        <w:t>sem nenhum custo adicional.</w:t>
      </w:r>
    </w:p>
    <w:p w14:paraId="00000046" w14:textId="77777777" w:rsidR="00E4777B" w:rsidRDefault="00E4777B">
      <w:pPr>
        <w:jc w:val="both"/>
        <w:rPr>
          <w:sz w:val="24"/>
          <w:szCs w:val="24"/>
        </w:rPr>
      </w:pPr>
    </w:p>
    <w:p w14:paraId="00000047" w14:textId="77777777" w:rsidR="00E4777B" w:rsidRDefault="00E4777B">
      <w:pPr>
        <w:jc w:val="both"/>
        <w:rPr>
          <w:sz w:val="24"/>
          <w:szCs w:val="24"/>
        </w:rPr>
      </w:pPr>
    </w:p>
    <w:p w14:paraId="00000049" w14:textId="5BF7270B" w:rsidR="00E4777B" w:rsidRPr="00703E80" w:rsidRDefault="0084377E" w:rsidP="00703E8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7. APÓS A REALIZAÇÃO DA PESQUISA</w:t>
      </w:r>
    </w:p>
    <w:p w14:paraId="0000004A" w14:textId="77777777" w:rsidR="00E4777B" w:rsidRDefault="0084377E">
      <w:pPr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>Pacientes – poderão ser beneficiados por uma via de acesso cirúrgica mais efetiva na reabilitação e mais segura para complicações como luxação.</w:t>
      </w:r>
    </w:p>
    <w:p w14:paraId="0000004B" w14:textId="04A50E5D" w:rsidR="00E4777B" w:rsidRDefault="0084377E">
      <w:pPr>
        <w:ind w:firstLine="567"/>
        <w:jc w:val="both"/>
        <w:rPr>
          <w:sz w:val="24"/>
          <w:szCs w:val="24"/>
        </w:rPr>
      </w:pPr>
      <w:r w:rsidRPr="000329E4">
        <w:rPr>
          <w:sz w:val="24"/>
          <w:szCs w:val="24"/>
        </w:rPr>
        <w:t>Pesquisa – Será realizada publicação</w:t>
      </w:r>
      <w:r w:rsidR="000329E4">
        <w:rPr>
          <w:sz w:val="24"/>
          <w:szCs w:val="24"/>
        </w:rPr>
        <w:t xml:space="preserve"> dos resultados do nosso trabalho,</w:t>
      </w:r>
      <w:r w:rsidRPr="000329E4">
        <w:rPr>
          <w:sz w:val="24"/>
          <w:szCs w:val="24"/>
        </w:rPr>
        <w:t xml:space="preserve"> idealmente em periódico internacional. </w:t>
      </w:r>
    </w:p>
    <w:p w14:paraId="0000004C" w14:textId="77777777" w:rsidR="00E4777B" w:rsidRDefault="00E4777B">
      <w:pPr>
        <w:jc w:val="both"/>
        <w:rPr>
          <w:sz w:val="24"/>
          <w:szCs w:val="24"/>
        </w:rPr>
      </w:pPr>
    </w:p>
    <w:p w14:paraId="0000004D" w14:textId="77777777" w:rsidR="00E4777B" w:rsidRDefault="00E4777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sz w:val="24"/>
          <w:szCs w:val="24"/>
        </w:rPr>
      </w:pPr>
    </w:p>
    <w:p w14:paraId="0000004E" w14:textId="77777777" w:rsidR="00E4777B" w:rsidRPr="009167D9" w:rsidRDefault="0084377E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480" w:lineRule="auto"/>
        <w:ind w:firstLine="360"/>
        <w:jc w:val="both"/>
        <w:rPr>
          <w:color w:val="374151"/>
          <w:sz w:val="24"/>
          <w:szCs w:val="24"/>
          <w:lang w:val="en-US"/>
        </w:rPr>
      </w:pPr>
      <w:r w:rsidRPr="009167D9">
        <w:rPr>
          <w:b/>
          <w:sz w:val="24"/>
          <w:szCs w:val="24"/>
          <w:lang w:val="en-US"/>
        </w:rPr>
        <w:t xml:space="preserve">8. BIBLIOGRAFIA </w:t>
      </w:r>
    </w:p>
    <w:p w14:paraId="0000004F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40"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1.</w:t>
      </w:r>
      <w:r w:rsidRPr="009167D9">
        <w:rPr>
          <w:color w:val="000000"/>
          <w:sz w:val="24"/>
          <w:szCs w:val="24"/>
          <w:lang w:val="en-US"/>
        </w:rPr>
        <w:tab/>
      </w:r>
      <w:hyperlink r:id="rId25">
        <w:r w:rsidRPr="009167D9">
          <w:rPr>
            <w:color w:val="000000"/>
            <w:sz w:val="24"/>
            <w:szCs w:val="24"/>
            <w:lang w:val="en-US"/>
          </w:rPr>
          <w:t xml:space="preserve">Learmonth ID, Young C, Rorabeck C. The operation of the century: total hip replacement. Lancet [Internet]. 2007 Oct 27 [cited 2018 Dec 12];370(9597):1508–19. Available from: </w:t>
        </w:r>
      </w:hyperlink>
      <w:hyperlink r:id="rId26">
        <w:r w:rsidRPr="009167D9">
          <w:rPr>
            <w:color w:val="000000"/>
            <w:sz w:val="24"/>
            <w:szCs w:val="24"/>
            <w:lang w:val="en-US"/>
          </w:rPr>
          <w:t>http://www.thelancet.com/article/S0140673607604577/abstract</w:t>
        </w:r>
      </w:hyperlink>
    </w:p>
    <w:p w14:paraId="00000050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2.</w:t>
      </w:r>
      <w:r w:rsidRPr="009167D9">
        <w:rPr>
          <w:color w:val="000000"/>
          <w:sz w:val="24"/>
          <w:szCs w:val="24"/>
          <w:lang w:val="en-US"/>
        </w:rPr>
        <w:tab/>
      </w:r>
      <w:hyperlink r:id="rId27">
        <w:r w:rsidRPr="009167D9">
          <w:rPr>
            <w:color w:val="000000"/>
            <w:sz w:val="24"/>
            <w:szCs w:val="24"/>
            <w:lang w:val="en-US"/>
          </w:rPr>
          <w:t xml:space="preserve">Ferguson BMBCh RJ, Palmer AJR, Frcs AT, Porter FRCS ML, Malchau H, Glyn-Jones S. Hip replacement. Lancet [Internet]. 2018;392(10158):1662–71. Available from: </w:t>
        </w:r>
      </w:hyperlink>
      <w:hyperlink r:id="rId28">
        <w:r w:rsidRPr="009167D9">
          <w:rPr>
            <w:color w:val="000000"/>
            <w:sz w:val="24"/>
            <w:szCs w:val="24"/>
            <w:lang w:val="en-US"/>
          </w:rPr>
          <w:t>http://dx.doi.org/10.1016/S0140-6736(18)31777-X</w:t>
        </w:r>
      </w:hyperlink>
    </w:p>
    <w:p w14:paraId="00000051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3.</w:t>
      </w:r>
      <w:r w:rsidRPr="009167D9">
        <w:rPr>
          <w:color w:val="000000"/>
          <w:sz w:val="24"/>
          <w:szCs w:val="24"/>
          <w:lang w:val="en-US"/>
        </w:rPr>
        <w:tab/>
      </w:r>
      <w:hyperlink r:id="rId29">
        <w:r w:rsidRPr="009167D9">
          <w:rPr>
            <w:color w:val="000000"/>
            <w:sz w:val="24"/>
            <w:szCs w:val="24"/>
            <w:lang w:val="en-US"/>
          </w:rPr>
          <w:t xml:space="preserve">Kurtz S, Ong K, Lau E, Mowat F, Halpern M. Projections of primary and revision hip and knee arthroplasty in the United States from 2005 to 2030. J Bone Joint Surg Am [Internet]. 2007 Apr;89(4):780–5. Available from: </w:t>
        </w:r>
      </w:hyperlink>
      <w:hyperlink r:id="rId30">
        <w:r w:rsidRPr="009167D9">
          <w:rPr>
            <w:color w:val="000000"/>
            <w:sz w:val="24"/>
            <w:szCs w:val="24"/>
            <w:lang w:val="en-US"/>
          </w:rPr>
          <w:t>http://dx.doi.org/10.2106/JBJS.F.00222</w:t>
        </w:r>
      </w:hyperlink>
    </w:p>
    <w:p w14:paraId="00000052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4.</w:t>
      </w:r>
      <w:r w:rsidRPr="009167D9">
        <w:rPr>
          <w:color w:val="000000"/>
          <w:sz w:val="24"/>
          <w:szCs w:val="24"/>
          <w:lang w:val="en-US"/>
        </w:rPr>
        <w:tab/>
      </w:r>
      <w:hyperlink r:id="rId31">
        <w:r w:rsidRPr="009167D9">
          <w:rPr>
            <w:color w:val="000000"/>
            <w:sz w:val="24"/>
            <w:szCs w:val="24"/>
            <w:lang w:val="en-US"/>
          </w:rPr>
          <w:t xml:space="preserve">Scott CEH, Clement ND, Davis ET, Haddad FS. Modern total hip arthroplasty: peak of perfection or room for improvement? Bone Joint J [Internet]. 2022;104(B(2)):89–192. Available from: </w:t>
        </w:r>
      </w:hyperlink>
      <w:hyperlink r:id="rId32">
        <w:r w:rsidRPr="009167D9">
          <w:rPr>
            <w:color w:val="000000"/>
            <w:sz w:val="24"/>
            <w:szCs w:val="24"/>
            <w:lang w:val="en-US"/>
          </w:rPr>
          <w:t>http://dx.doi.org/10.1302/0301-620X.104B2</w:t>
        </w:r>
      </w:hyperlink>
    </w:p>
    <w:p w14:paraId="00000053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5.</w:t>
      </w:r>
      <w:r w:rsidRPr="009167D9">
        <w:rPr>
          <w:color w:val="000000"/>
          <w:sz w:val="24"/>
          <w:szCs w:val="24"/>
          <w:lang w:val="en-US"/>
        </w:rPr>
        <w:tab/>
      </w:r>
      <w:hyperlink r:id="rId33">
        <w:r w:rsidRPr="009167D9">
          <w:rPr>
            <w:color w:val="000000"/>
            <w:sz w:val="24"/>
            <w:szCs w:val="24"/>
            <w:lang w:val="en-US"/>
          </w:rPr>
          <w:t xml:space="preserve">Miller LE, Gondusky JS, Bhattacharyya S, Kamath AF, Boettner F, Wright J. Does Surgical Approach Affect Outcomes in Total Hip Arthroplasty Through 90 Days of Follow-Up? A Systematic Review With Meta-Analysis. J Arthroplasty [Internet]. 2018 Apr;33(4):1296–302. Available from: </w:t>
        </w:r>
      </w:hyperlink>
      <w:hyperlink r:id="rId34">
        <w:r w:rsidRPr="009167D9">
          <w:rPr>
            <w:color w:val="000000"/>
            <w:sz w:val="24"/>
            <w:szCs w:val="24"/>
            <w:lang w:val="en-US"/>
          </w:rPr>
          <w:t>http://dx.doi.org/10.1016/j.arth.2017.11.011</w:t>
        </w:r>
      </w:hyperlink>
    </w:p>
    <w:p w14:paraId="00000054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6.</w:t>
      </w:r>
      <w:r w:rsidRPr="009167D9">
        <w:rPr>
          <w:color w:val="000000"/>
          <w:sz w:val="24"/>
          <w:szCs w:val="24"/>
          <w:lang w:val="en-US"/>
        </w:rPr>
        <w:tab/>
      </w:r>
      <w:hyperlink r:id="rId35">
        <w:r w:rsidRPr="009167D9">
          <w:rPr>
            <w:color w:val="000000"/>
            <w:sz w:val="24"/>
            <w:szCs w:val="24"/>
            <w:lang w:val="en-US"/>
          </w:rPr>
          <w:t xml:space="preserve">Moore AT. Metal hip joint; a new self-locking vitallium prosthesis. South Med J [Internet]. 1952 Nov;45](11):1015–9. Available from: </w:t>
        </w:r>
      </w:hyperlink>
      <w:hyperlink r:id="rId36">
        <w:r w:rsidRPr="009167D9">
          <w:rPr>
            <w:color w:val="000000"/>
            <w:sz w:val="24"/>
            <w:szCs w:val="24"/>
            <w:lang w:val="en-US"/>
          </w:rPr>
          <w:t>http://dx.doi.org/10.1097/00007611-195211000-00001</w:t>
        </w:r>
      </w:hyperlink>
    </w:p>
    <w:p w14:paraId="00000055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lastRenderedPageBreak/>
        <w:t>7.</w:t>
      </w:r>
      <w:r w:rsidRPr="009167D9">
        <w:rPr>
          <w:color w:val="000000"/>
          <w:sz w:val="24"/>
          <w:szCs w:val="24"/>
          <w:lang w:val="en-US"/>
        </w:rPr>
        <w:tab/>
      </w:r>
      <w:hyperlink r:id="rId37">
        <w:r w:rsidRPr="009167D9">
          <w:rPr>
            <w:color w:val="000000"/>
            <w:sz w:val="24"/>
            <w:szCs w:val="24"/>
            <w:lang w:val="en-US"/>
          </w:rPr>
          <w:t xml:space="preserve">Somford MP, Hoornenborg D, Wiegerinck JI, Bolder SBT, Schreurs BW. Eponymous hip joint approaches. Arch Orthop Trauma Surg [Internet]. 2016 Jul;136(7):1007–14. Available from: </w:t>
        </w:r>
      </w:hyperlink>
      <w:hyperlink r:id="rId38">
        <w:r w:rsidRPr="009167D9">
          <w:rPr>
            <w:color w:val="000000"/>
            <w:sz w:val="24"/>
            <w:szCs w:val="24"/>
            <w:lang w:val="en-US"/>
          </w:rPr>
          <w:t>http://dx.doi.org/10.1007/s00402-016-2456-2</w:t>
        </w:r>
      </w:hyperlink>
    </w:p>
    <w:p w14:paraId="00000056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8.</w:t>
      </w:r>
      <w:r w:rsidRPr="009167D9">
        <w:rPr>
          <w:color w:val="000000"/>
          <w:sz w:val="24"/>
          <w:szCs w:val="24"/>
          <w:lang w:val="en-US"/>
        </w:rPr>
        <w:tab/>
      </w:r>
      <w:hyperlink r:id="rId39">
        <w:r w:rsidRPr="009167D9">
          <w:rPr>
            <w:color w:val="000000"/>
            <w:sz w:val="24"/>
            <w:szCs w:val="24"/>
            <w:lang w:val="en-US"/>
          </w:rPr>
          <w:t xml:space="preserve">Hardinge K. The direct lateral approach to the hip. J Bone Joint Surg Br [Internet]. 1982;64(1):17–9. Available from: </w:t>
        </w:r>
      </w:hyperlink>
      <w:hyperlink r:id="rId40">
        <w:r w:rsidRPr="009167D9">
          <w:rPr>
            <w:color w:val="000000"/>
            <w:sz w:val="24"/>
            <w:szCs w:val="24"/>
            <w:lang w:val="en-US"/>
          </w:rPr>
          <w:t>http://dx.doi.org/10.1302/0301-620X.64B1.7068713</w:t>
        </w:r>
      </w:hyperlink>
    </w:p>
    <w:p w14:paraId="00000057" w14:textId="77777777" w:rsidR="00E4777B" w:rsidRPr="00763D06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>
        <w:rPr>
          <w:color w:val="000000"/>
          <w:sz w:val="24"/>
          <w:szCs w:val="24"/>
        </w:rPr>
        <w:t>9.</w:t>
      </w:r>
      <w:r>
        <w:rPr>
          <w:color w:val="000000"/>
          <w:sz w:val="24"/>
          <w:szCs w:val="24"/>
        </w:rPr>
        <w:tab/>
      </w:r>
      <w:hyperlink r:id="rId41">
        <w:proofErr w:type="spellStart"/>
        <w:r>
          <w:rPr>
            <w:color w:val="000000"/>
            <w:sz w:val="24"/>
            <w:szCs w:val="24"/>
          </w:rPr>
          <w:t>Hueter</w:t>
        </w:r>
        <w:proofErr w:type="spellEnd"/>
        <w:r>
          <w:rPr>
            <w:color w:val="000000"/>
            <w:sz w:val="24"/>
            <w:szCs w:val="24"/>
          </w:rPr>
          <w:t xml:space="preserve"> C. </w:t>
        </w:r>
        <w:proofErr w:type="spellStart"/>
        <w:r>
          <w:rPr>
            <w:color w:val="000000"/>
            <w:sz w:val="24"/>
            <w:szCs w:val="24"/>
          </w:rPr>
          <w:t>Grundriss</w:t>
        </w:r>
        <w:proofErr w:type="spellEnd"/>
        <w:r>
          <w:rPr>
            <w:color w:val="000000"/>
            <w:sz w:val="24"/>
            <w:szCs w:val="24"/>
          </w:rPr>
          <w:t xml:space="preserve"> der </w:t>
        </w:r>
        <w:proofErr w:type="spellStart"/>
        <w:r>
          <w:rPr>
            <w:color w:val="000000"/>
            <w:sz w:val="24"/>
            <w:szCs w:val="24"/>
          </w:rPr>
          <w:t>Chirurgie</w:t>
        </w:r>
        <w:proofErr w:type="spellEnd"/>
        <w:r>
          <w:rPr>
            <w:color w:val="000000"/>
            <w:sz w:val="24"/>
            <w:szCs w:val="24"/>
          </w:rPr>
          <w:t xml:space="preserve"> 2. </w:t>
        </w:r>
        <w:r w:rsidRPr="00763D06">
          <w:rPr>
            <w:color w:val="000000"/>
            <w:sz w:val="24"/>
            <w:szCs w:val="24"/>
            <w:lang w:val="en-US"/>
          </w:rPr>
          <w:t>FCW Vogel. 1883;129–200.</w:t>
        </w:r>
      </w:hyperlink>
    </w:p>
    <w:p w14:paraId="00000058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763D06">
        <w:rPr>
          <w:color w:val="000000"/>
          <w:sz w:val="24"/>
          <w:szCs w:val="24"/>
          <w:lang w:val="en-US"/>
        </w:rPr>
        <w:t>10.</w:t>
      </w:r>
      <w:r w:rsidRPr="00763D06">
        <w:rPr>
          <w:color w:val="000000"/>
          <w:sz w:val="24"/>
          <w:szCs w:val="24"/>
          <w:lang w:val="en-US"/>
        </w:rPr>
        <w:tab/>
      </w:r>
      <w:hyperlink r:id="rId42">
        <w:r w:rsidRPr="009167D9">
          <w:rPr>
            <w:color w:val="000000"/>
            <w:sz w:val="24"/>
            <w:szCs w:val="24"/>
            <w:lang w:val="en-US"/>
          </w:rPr>
          <w:t xml:space="preserve">Smith-Petersen MN. Evolution of mould arthroplasty of the hip joint. J Bone Joint Surg Br [Internet]. 1948 Feb;30B(1):59–75. Available from: </w:t>
        </w:r>
      </w:hyperlink>
      <w:hyperlink r:id="rId43">
        <w:r w:rsidRPr="009167D9">
          <w:rPr>
            <w:color w:val="000000"/>
            <w:sz w:val="24"/>
            <w:szCs w:val="24"/>
            <w:lang w:val="en-US"/>
          </w:rPr>
          <w:t>https://www.ncbi.nlm.nih.gov/pubmed/18864947</w:t>
        </w:r>
      </w:hyperlink>
    </w:p>
    <w:p w14:paraId="00000059" w14:textId="1DD35470" w:rsidR="00E4777B" w:rsidRPr="009167D9" w:rsidRDefault="0084377E" w:rsidP="000329E4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11.</w:t>
      </w:r>
      <w:r w:rsidRPr="009167D9">
        <w:rPr>
          <w:color w:val="000000"/>
          <w:sz w:val="24"/>
          <w:szCs w:val="24"/>
          <w:lang w:val="en-US"/>
        </w:rPr>
        <w:tab/>
      </w:r>
      <w:r w:rsidR="00117775" w:rsidRPr="00117775">
        <w:rPr>
          <w:color w:val="000000"/>
          <w:sz w:val="24"/>
          <w:szCs w:val="24"/>
          <w:lang w:val="en-US"/>
        </w:rPr>
        <w:t xml:space="preserve">Chow J, </w:t>
      </w:r>
      <w:proofErr w:type="spellStart"/>
      <w:r w:rsidR="00117775" w:rsidRPr="00117775">
        <w:rPr>
          <w:color w:val="000000"/>
          <w:sz w:val="24"/>
          <w:szCs w:val="24"/>
          <w:lang w:val="en-US"/>
        </w:rPr>
        <w:t>Penenberg</w:t>
      </w:r>
      <w:proofErr w:type="spellEnd"/>
      <w:r w:rsidR="00117775" w:rsidRPr="00117775">
        <w:rPr>
          <w:color w:val="000000"/>
          <w:sz w:val="24"/>
          <w:szCs w:val="24"/>
          <w:lang w:val="en-US"/>
        </w:rPr>
        <w:t xml:space="preserve"> B, Murphy S. Modified micro-superior </w:t>
      </w:r>
      <w:proofErr w:type="gramStart"/>
      <w:r w:rsidR="00117775" w:rsidRPr="00117775">
        <w:rPr>
          <w:color w:val="000000"/>
          <w:sz w:val="24"/>
          <w:szCs w:val="24"/>
          <w:lang w:val="en-US"/>
        </w:rPr>
        <w:t>percutaneously-assisted</w:t>
      </w:r>
      <w:proofErr w:type="gramEnd"/>
      <w:r w:rsidR="00117775" w:rsidRPr="00117775">
        <w:rPr>
          <w:color w:val="000000"/>
          <w:sz w:val="24"/>
          <w:szCs w:val="24"/>
          <w:lang w:val="en-US"/>
        </w:rPr>
        <w:t xml:space="preserve"> total hip: early experiences &amp; case reports. </w:t>
      </w:r>
      <w:proofErr w:type="spellStart"/>
      <w:r w:rsidR="00117775" w:rsidRPr="00117775">
        <w:rPr>
          <w:color w:val="000000"/>
          <w:sz w:val="24"/>
          <w:szCs w:val="24"/>
          <w:lang w:val="en-US"/>
        </w:rPr>
        <w:t>Curr</w:t>
      </w:r>
      <w:proofErr w:type="spellEnd"/>
      <w:r w:rsidR="00117775" w:rsidRPr="00117775">
        <w:rPr>
          <w:color w:val="000000"/>
          <w:sz w:val="24"/>
          <w:szCs w:val="24"/>
          <w:lang w:val="en-US"/>
        </w:rPr>
        <w:t xml:space="preserve"> Rev </w:t>
      </w:r>
      <w:proofErr w:type="spellStart"/>
      <w:r w:rsidR="00117775" w:rsidRPr="00117775">
        <w:rPr>
          <w:color w:val="000000"/>
          <w:sz w:val="24"/>
          <w:szCs w:val="24"/>
          <w:lang w:val="en-US"/>
        </w:rPr>
        <w:t>Musculoskelet</w:t>
      </w:r>
      <w:proofErr w:type="spellEnd"/>
      <w:r w:rsidR="00117775" w:rsidRPr="00117775">
        <w:rPr>
          <w:color w:val="000000"/>
          <w:sz w:val="24"/>
          <w:szCs w:val="24"/>
          <w:lang w:val="en-US"/>
        </w:rPr>
        <w:t xml:space="preserve"> Med. 2011 Sep;4(3):146-50. </w:t>
      </w:r>
      <w:proofErr w:type="spellStart"/>
      <w:r w:rsidR="00117775" w:rsidRPr="00117775">
        <w:rPr>
          <w:color w:val="000000"/>
          <w:sz w:val="24"/>
          <w:szCs w:val="24"/>
          <w:lang w:val="en-US"/>
        </w:rPr>
        <w:t>doi</w:t>
      </w:r>
      <w:proofErr w:type="spellEnd"/>
      <w:r w:rsidR="00117775" w:rsidRPr="00117775">
        <w:rPr>
          <w:color w:val="000000"/>
          <w:sz w:val="24"/>
          <w:szCs w:val="24"/>
          <w:lang w:val="en-US"/>
        </w:rPr>
        <w:t>: 10.1007/s12178-011-9090-y. PMID: 21789576; PMCID: PMC3261255.</w:t>
      </w:r>
    </w:p>
    <w:p w14:paraId="0000005A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12.</w:t>
      </w:r>
      <w:r w:rsidRPr="009167D9">
        <w:rPr>
          <w:color w:val="000000"/>
          <w:sz w:val="24"/>
          <w:szCs w:val="24"/>
          <w:lang w:val="en-US"/>
        </w:rPr>
        <w:tab/>
      </w:r>
      <w:hyperlink r:id="rId44">
        <w:r w:rsidRPr="009167D9">
          <w:rPr>
            <w:color w:val="000000"/>
            <w:sz w:val="24"/>
            <w:szCs w:val="24"/>
            <w:lang w:val="en-US"/>
          </w:rPr>
          <w:t xml:space="preserve">Kucukdurmaz F, Sukeik M, Parvizi J. A meta-analysis comparing the direct anterior with other approaches in primary total hip arthroplasty. Surgeon [Internet]. 2018 Oct 22; Available from: </w:t>
        </w:r>
      </w:hyperlink>
      <w:hyperlink r:id="rId45">
        <w:r w:rsidRPr="009167D9">
          <w:rPr>
            <w:color w:val="000000"/>
            <w:sz w:val="24"/>
            <w:szCs w:val="24"/>
            <w:lang w:val="en-US"/>
          </w:rPr>
          <w:t>http://dx.doi.org/10.1016/j.surge.2018.09.001</w:t>
        </w:r>
      </w:hyperlink>
    </w:p>
    <w:p w14:paraId="0000005B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13.</w:t>
      </w:r>
      <w:r w:rsidRPr="009167D9">
        <w:rPr>
          <w:color w:val="000000"/>
          <w:sz w:val="24"/>
          <w:szCs w:val="24"/>
          <w:lang w:val="en-US"/>
        </w:rPr>
        <w:tab/>
      </w:r>
      <w:hyperlink r:id="rId46">
        <w:r w:rsidRPr="009167D9">
          <w:rPr>
            <w:color w:val="000000"/>
            <w:sz w:val="24"/>
            <w:szCs w:val="24"/>
            <w:lang w:val="en-US"/>
          </w:rPr>
          <w:t xml:space="preserve">Lewinnek GE, Lewis JL, Tarr R, Compere CL, Zimmerman JR. Dislocations after total hip-replacement arthroplasties. J Bone Joint Surg Am [Internet]. 1978 Mar;60(2):217–20. Available from: </w:t>
        </w:r>
      </w:hyperlink>
      <w:hyperlink r:id="rId47">
        <w:r w:rsidRPr="009167D9">
          <w:rPr>
            <w:color w:val="000000"/>
            <w:sz w:val="24"/>
            <w:szCs w:val="24"/>
            <w:lang w:val="en-US"/>
          </w:rPr>
          <w:t>https://www.ncbi.nlm.nih.gov/pubmed/641088</w:t>
        </w:r>
      </w:hyperlink>
    </w:p>
    <w:p w14:paraId="0000005C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14.</w:t>
      </w:r>
      <w:r w:rsidRPr="009167D9">
        <w:rPr>
          <w:color w:val="000000"/>
          <w:sz w:val="24"/>
          <w:szCs w:val="24"/>
          <w:lang w:val="en-US"/>
        </w:rPr>
        <w:tab/>
      </w:r>
      <w:hyperlink r:id="rId48">
        <w:r w:rsidRPr="009167D9">
          <w:rPr>
            <w:color w:val="000000"/>
            <w:sz w:val="24"/>
            <w:szCs w:val="24"/>
            <w:lang w:val="en-US"/>
          </w:rPr>
          <w:t xml:space="preserve">Murphy WS, Yun HH, Hayden B, Kowal JH, Murphy SB. The Safe Zone Range for Cup Anteversion Is Narrower Than for Inclination in THA. Clin Orthop Relat Res [Internet]. 2018 Feb;476(2):325–35. Available from: </w:t>
        </w:r>
      </w:hyperlink>
      <w:hyperlink r:id="rId49">
        <w:r w:rsidRPr="009167D9">
          <w:rPr>
            <w:color w:val="000000"/>
            <w:sz w:val="24"/>
            <w:szCs w:val="24"/>
            <w:lang w:val="en-US"/>
          </w:rPr>
          <w:t>http://dx.doi.org/10.1007/s11999.0000000000000051</w:t>
        </w:r>
      </w:hyperlink>
    </w:p>
    <w:p w14:paraId="0000005D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15.</w:t>
      </w:r>
      <w:r w:rsidRPr="009167D9">
        <w:rPr>
          <w:color w:val="000000"/>
          <w:sz w:val="24"/>
          <w:szCs w:val="24"/>
          <w:lang w:val="en-US"/>
        </w:rPr>
        <w:tab/>
      </w:r>
      <w:hyperlink r:id="rId50">
        <w:r w:rsidRPr="009167D9">
          <w:rPr>
            <w:color w:val="000000"/>
            <w:sz w:val="24"/>
            <w:szCs w:val="24"/>
            <w:lang w:val="en-US"/>
          </w:rPr>
          <w:t xml:space="preserve">Seagrave KG, Troelsen A, Malchau H, Husted H, Gromov K. Acetabular cup position and risk of dislocation in primary total hip arthroplasty. Acta Orthop [Internet]. 2017 Feb;88(1):10–7. Available from: </w:t>
        </w:r>
      </w:hyperlink>
      <w:hyperlink r:id="rId51">
        <w:r w:rsidRPr="009167D9">
          <w:rPr>
            <w:color w:val="000000"/>
            <w:sz w:val="24"/>
            <w:szCs w:val="24"/>
            <w:lang w:val="en-US"/>
          </w:rPr>
          <w:t>http://dx.doi.org/10.1080/17453674.2016.1251255</w:t>
        </w:r>
      </w:hyperlink>
    </w:p>
    <w:p w14:paraId="0000005E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16.</w:t>
      </w:r>
      <w:r w:rsidRPr="009167D9">
        <w:rPr>
          <w:color w:val="000000"/>
          <w:sz w:val="24"/>
          <w:szCs w:val="24"/>
          <w:lang w:val="en-US"/>
        </w:rPr>
        <w:tab/>
      </w:r>
      <w:hyperlink r:id="rId52">
        <w:r w:rsidRPr="009167D9">
          <w:rPr>
            <w:color w:val="000000"/>
            <w:sz w:val="24"/>
            <w:szCs w:val="24"/>
            <w:lang w:val="en-US"/>
          </w:rPr>
          <w:t xml:space="preserve">Timperley AJ, Biau D, Chew D, Whitehouse SL. Dislocation after total hip replacement - there is no such thing as a safe zone for socket placement with the posterior approach. Hip Int [Internet]. 2016 Mar;26(2):121–7. Available from: </w:t>
        </w:r>
      </w:hyperlink>
      <w:hyperlink r:id="rId53">
        <w:r w:rsidRPr="009167D9">
          <w:rPr>
            <w:color w:val="000000"/>
            <w:sz w:val="24"/>
            <w:szCs w:val="24"/>
            <w:lang w:val="en-US"/>
          </w:rPr>
          <w:t>http://dx.doi.org/10.5301/hipint.5000318</w:t>
        </w:r>
      </w:hyperlink>
    </w:p>
    <w:p w14:paraId="0000005F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17.</w:t>
      </w:r>
      <w:r w:rsidRPr="009167D9">
        <w:rPr>
          <w:color w:val="000000"/>
          <w:sz w:val="24"/>
          <w:szCs w:val="24"/>
          <w:lang w:val="en-US"/>
        </w:rPr>
        <w:tab/>
      </w:r>
      <w:hyperlink r:id="rId54">
        <w:r w:rsidRPr="009167D9">
          <w:rPr>
            <w:color w:val="000000"/>
            <w:sz w:val="24"/>
            <w:szCs w:val="24"/>
            <w:lang w:val="en-US"/>
          </w:rPr>
          <w:t xml:space="preserve">Jolles BM, Zangger P, Leyvraz PF Prof. Factors predisposing to dislocation after primary total hip arthroplasty. J Arthroplasty [Internet]. 2002 Apr;17(3):282–8. Available from: </w:t>
        </w:r>
      </w:hyperlink>
      <w:hyperlink r:id="rId55">
        <w:r w:rsidRPr="009167D9">
          <w:rPr>
            <w:color w:val="000000"/>
            <w:sz w:val="24"/>
            <w:szCs w:val="24"/>
            <w:lang w:val="en-US"/>
          </w:rPr>
          <w:t>http://linkinghub.elsevier.com/retrieve/pii/S0883540302884819</w:t>
        </w:r>
      </w:hyperlink>
    </w:p>
    <w:p w14:paraId="00000060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18.</w:t>
      </w:r>
      <w:r w:rsidRPr="009167D9">
        <w:rPr>
          <w:color w:val="000000"/>
          <w:sz w:val="24"/>
          <w:szCs w:val="24"/>
          <w:lang w:val="en-US"/>
        </w:rPr>
        <w:tab/>
      </w:r>
      <w:hyperlink r:id="rId56">
        <w:r w:rsidRPr="009167D9">
          <w:rPr>
            <w:color w:val="000000"/>
            <w:sz w:val="24"/>
            <w:szCs w:val="24"/>
            <w:lang w:val="en-US"/>
          </w:rPr>
          <w:t xml:space="preserve">Kalteis T, Handel M, Herold T, Perlick L, Paetzel C, Grifka J. Position of the acetabular cup -- accuracy of radiographic calculation compared to CT-based measurement. Eur J Radiol [Internet]. 2006 May;58(2):294–300. Available from: </w:t>
        </w:r>
      </w:hyperlink>
      <w:hyperlink r:id="rId57">
        <w:r w:rsidRPr="009167D9">
          <w:rPr>
            <w:color w:val="000000"/>
            <w:sz w:val="24"/>
            <w:szCs w:val="24"/>
            <w:lang w:val="en-US"/>
          </w:rPr>
          <w:t>http://dx.doi.org/10.1016/j.ejrad.2005.10.003</w:t>
        </w:r>
      </w:hyperlink>
    </w:p>
    <w:p w14:paraId="00000061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19.</w:t>
      </w:r>
      <w:r w:rsidRPr="009167D9">
        <w:rPr>
          <w:color w:val="000000"/>
          <w:sz w:val="24"/>
          <w:szCs w:val="24"/>
          <w:lang w:val="en-US"/>
        </w:rPr>
        <w:tab/>
      </w:r>
      <w:hyperlink r:id="rId58">
        <w:r w:rsidRPr="009167D9">
          <w:rPr>
            <w:color w:val="000000"/>
            <w:sz w:val="24"/>
            <w:szCs w:val="24"/>
            <w:lang w:val="en-US"/>
          </w:rPr>
          <w:t xml:space="preserve">Murray DW. The definition and measurement of acetabular orientation. J Bone Joint Surg Br [Internet]. 1993 Mar;75(2):228–32. Available from: </w:t>
        </w:r>
      </w:hyperlink>
      <w:hyperlink r:id="rId59">
        <w:r w:rsidRPr="009167D9">
          <w:rPr>
            <w:color w:val="000000"/>
            <w:sz w:val="24"/>
            <w:szCs w:val="24"/>
            <w:lang w:val="en-US"/>
          </w:rPr>
          <w:t>http://dx.doi.org/10.1302/0301-620X.75B2.8444942</w:t>
        </w:r>
      </w:hyperlink>
    </w:p>
    <w:p w14:paraId="00000062" w14:textId="77777777" w:rsidR="00E4777B" w:rsidRPr="009167D9" w:rsidRDefault="0084377E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240" w:line="240" w:lineRule="auto"/>
        <w:ind w:left="480" w:hanging="480"/>
        <w:rPr>
          <w:color w:val="000000"/>
          <w:sz w:val="24"/>
          <w:szCs w:val="24"/>
          <w:lang w:val="en-US"/>
        </w:rPr>
      </w:pPr>
      <w:r w:rsidRPr="009167D9">
        <w:rPr>
          <w:color w:val="000000"/>
          <w:sz w:val="24"/>
          <w:szCs w:val="24"/>
          <w:lang w:val="en-US"/>
        </w:rPr>
        <w:t>20.</w:t>
      </w:r>
      <w:r w:rsidRPr="009167D9">
        <w:rPr>
          <w:color w:val="000000"/>
          <w:sz w:val="24"/>
          <w:szCs w:val="24"/>
          <w:lang w:val="en-US"/>
        </w:rPr>
        <w:tab/>
      </w:r>
      <w:hyperlink r:id="rId60">
        <w:r w:rsidRPr="009167D9">
          <w:rPr>
            <w:color w:val="000000"/>
            <w:sz w:val="24"/>
            <w:szCs w:val="24"/>
            <w:lang w:val="en-US"/>
          </w:rPr>
          <w:t xml:space="preserve">Browne W, Nair BKR. The Timed Up and Go test. Med J Aust [Internet]. 2019 Jan;210(1):13–4.e1. Available from: </w:t>
        </w:r>
      </w:hyperlink>
      <w:hyperlink r:id="rId61">
        <w:r w:rsidRPr="009167D9">
          <w:rPr>
            <w:color w:val="000000"/>
            <w:sz w:val="24"/>
            <w:szCs w:val="24"/>
            <w:lang w:val="en-US"/>
          </w:rPr>
          <w:t>http://dx.doi.org/10.5694/mja2.12045</w:t>
        </w:r>
      </w:hyperlink>
    </w:p>
    <w:p w14:paraId="00000063" w14:textId="77777777" w:rsidR="00E4777B" w:rsidRPr="009167D9" w:rsidRDefault="00E477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374151"/>
          <w:sz w:val="24"/>
          <w:szCs w:val="24"/>
          <w:lang w:val="en-US"/>
        </w:rPr>
      </w:pPr>
    </w:p>
    <w:sectPr w:rsidR="00E4777B" w:rsidRPr="009167D9">
      <w:footerReference w:type="even" r:id="rId62"/>
      <w:footerReference w:type="default" r:id="rId63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885391" w14:textId="77777777" w:rsidR="00464662" w:rsidRDefault="00464662" w:rsidP="000B3212">
      <w:pPr>
        <w:spacing w:line="240" w:lineRule="auto"/>
      </w:pPr>
      <w:r>
        <w:separator/>
      </w:r>
    </w:p>
  </w:endnote>
  <w:endnote w:type="continuationSeparator" w:id="0">
    <w:p w14:paraId="558488BD" w14:textId="77777777" w:rsidR="00464662" w:rsidRDefault="00464662" w:rsidP="000B32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-476759393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38DB94A0" w14:textId="18599564" w:rsidR="000B3212" w:rsidRDefault="000B3212" w:rsidP="00D9559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027EEF0B" w14:textId="77777777" w:rsidR="000B3212" w:rsidRDefault="000B3212" w:rsidP="000B3212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Nmerodepgina"/>
      </w:rPr>
      <w:id w:val="53057585"/>
      <w:docPartObj>
        <w:docPartGallery w:val="Page Numbers (Bottom of Page)"/>
        <w:docPartUnique/>
      </w:docPartObj>
    </w:sdtPr>
    <w:sdtEndPr>
      <w:rPr>
        <w:rStyle w:val="Nmerodepgina"/>
      </w:rPr>
    </w:sdtEndPr>
    <w:sdtContent>
      <w:p w14:paraId="1716AA39" w14:textId="13001AC4" w:rsidR="000B3212" w:rsidRDefault="000B3212" w:rsidP="00D9559A">
        <w:pPr>
          <w:pStyle w:val="Rodap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1</w:t>
        </w:r>
        <w:r>
          <w:rPr>
            <w:rStyle w:val="Nmerodepgina"/>
          </w:rPr>
          <w:fldChar w:fldCharType="end"/>
        </w:r>
      </w:p>
    </w:sdtContent>
  </w:sdt>
  <w:p w14:paraId="0BBF459F" w14:textId="77777777" w:rsidR="000B3212" w:rsidRDefault="000B3212" w:rsidP="000B3212">
    <w:pPr>
      <w:pStyle w:val="Rodap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F112AA" w14:textId="77777777" w:rsidR="00464662" w:rsidRDefault="00464662" w:rsidP="000B3212">
      <w:pPr>
        <w:spacing w:line="240" w:lineRule="auto"/>
      </w:pPr>
      <w:r>
        <w:separator/>
      </w:r>
    </w:p>
  </w:footnote>
  <w:footnote w:type="continuationSeparator" w:id="0">
    <w:p w14:paraId="1D7FB669" w14:textId="77777777" w:rsidR="00464662" w:rsidRDefault="00464662" w:rsidP="000B32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0D4A41"/>
    <w:multiLevelType w:val="multilevel"/>
    <w:tmpl w:val="DD9AFAE0"/>
    <w:lvl w:ilvl="0">
      <w:start w:val="1"/>
      <w:numFmt w:val="bullet"/>
      <w:lvlText w:val="•"/>
      <w:lvlJc w:val="left"/>
      <w:pPr>
        <w:ind w:left="480" w:hanging="480"/>
      </w:pPr>
      <w:rPr>
        <w:smallCaps w:val="0"/>
        <w:strike w:val="0"/>
        <w:shd w:val="clear" w:color="auto" w:fill="auto"/>
        <w:vertAlign w:val="baseline"/>
      </w:rPr>
    </w:lvl>
    <w:lvl w:ilvl="1">
      <w:start w:val="1"/>
      <w:numFmt w:val="bullet"/>
      <w:lvlText w:val="–"/>
      <w:lvlJc w:val="left"/>
      <w:pPr>
        <w:ind w:left="1200" w:hanging="480"/>
      </w:pPr>
      <w:rPr>
        <w:smallCaps w:val="0"/>
        <w:strike w:val="0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1920" w:hanging="480"/>
      </w:pPr>
      <w:rPr>
        <w:smallCaps w:val="0"/>
        <w:strike w:val="0"/>
        <w:shd w:val="clear" w:color="auto" w:fill="auto"/>
        <w:vertAlign w:val="baseline"/>
      </w:rPr>
    </w:lvl>
    <w:lvl w:ilvl="3">
      <w:start w:val="1"/>
      <w:numFmt w:val="bullet"/>
      <w:lvlText w:val="–"/>
      <w:lvlJc w:val="left"/>
      <w:pPr>
        <w:ind w:left="2640" w:hanging="480"/>
      </w:pPr>
      <w:rPr>
        <w:smallCaps w:val="0"/>
        <w:strike w:val="0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3360" w:hanging="480"/>
      </w:pPr>
      <w:rPr>
        <w:smallCaps w:val="0"/>
        <w:strike w:val="0"/>
        <w:shd w:val="clear" w:color="auto" w:fill="auto"/>
        <w:vertAlign w:val="baseline"/>
      </w:rPr>
    </w:lvl>
    <w:lvl w:ilvl="5">
      <w:start w:val="1"/>
      <w:numFmt w:val="bullet"/>
      <w:lvlText w:val="–"/>
      <w:lvlJc w:val="left"/>
      <w:pPr>
        <w:ind w:left="4080" w:hanging="480"/>
      </w:pPr>
      <w:rPr>
        <w:smallCaps w:val="0"/>
        <w:strike w:val="0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4800" w:hanging="480"/>
      </w:pPr>
      <w:rPr>
        <w:smallCaps w:val="0"/>
        <w:strike w:val="0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5520" w:hanging="480"/>
      </w:pPr>
      <w:rPr>
        <w:smallCaps w:val="0"/>
        <w:strike w:val="0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6240" w:hanging="480"/>
      </w:pPr>
      <w:rPr>
        <w:smallCaps w:val="0"/>
        <w:strike w:val="0"/>
        <w:shd w:val="clear" w:color="auto" w:fill="auto"/>
        <w:vertAlign w:val="baseline"/>
      </w:rPr>
    </w:lvl>
  </w:abstractNum>
  <w:abstractNum w:abstractNumId="1" w15:restartNumberingAfterBreak="0">
    <w:nsid w:val="6D9B1727"/>
    <w:multiLevelType w:val="multilevel"/>
    <w:tmpl w:val="C5366520"/>
    <w:lvl w:ilvl="0">
      <w:start w:val="1"/>
      <w:numFmt w:val="decimal"/>
      <w:lvlText w:val="%1."/>
      <w:lvlJc w:val="left"/>
      <w:pPr>
        <w:ind w:left="720" w:hanging="360"/>
      </w:pPr>
      <w:rPr>
        <w:b/>
        <w:smallCaps w:val="0"/>
        <w:strike w:val="0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b/>
        <w:smallCaps w:val="0"/>
        <w:strike w:val="0"/>
        <w:shd w:val="clear" w:color="auto" w:fill="auto"/>
        <w:vertAlign w:val="baseline"/>
      </w:rPr>
    </w:lvl>
    <w:lvl w:ilvl="2">
      <w:start w:val="1"/>
      <w:numFmt w:val="lowerRoman"/>
      <w:lvlText w:val="%3."/>
      <w:lvlJc w:val="left"/>
      <w:pPr>
        <w:ind w:left="2160" w:hanging="315"/>
      </w:pPr>
      <w:rPr>
        <w:b/>
        <w:smallCaps w:val="0"/>
        <w:strike w:val="0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b/>
        <w:smallCaps w:val="0"/>
        <w:strike w:val="0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b/>
        <w:smallCaps w:val="0"/>
        <w:strike w:val="0"/>
        <w:shd w:val="clear" w:color="auto" w:fill="auto"/>
        <w:vertAlign w:val="baseline"/>
      </w:rPr>
    </w:lvl>
    <w:lvl w:ilvl="5">
      <w:start w:val="1"/>
      <w:numFmt w:val="lowerRoman"/>
      <w:lvlText w:val="%6."/>
      <w:lvlJc w:val="left"/>
      <w:pPr>
        <w:ind w:left="4320" w:hanging="315"/>
      </w:pPr>
      <w:rPr>
        <w:b/>
        <w:smallCaps w:val="0"/>
        <w:strike w:val="0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b/>
        <w:smallCaps w:val="0"/>
        <w:strike w:val="0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b/>
        <w:smallCaps w:val="0"/>
        <w:strike w:val="0"/>
        <w:shd w:val="clear" w:color="auto" w:fill="auto"/>
        <w:vertAlign w:val="baseline"/>
      </w:rPr>
    </w:lvl>
    <w:lvl w:ilvl="8">
      <w:start w:val="1"/>
      <w:numFmt w:val="lowerRoman"/>
      <w:lvlText w:val="%9."/>
      <w:lvlJc w:val="left"/>
      <w:pPr>
        <w:ind w:left="6480" w:hanging="315"/>
      </w:pPr>
      <w:rPr>
        <w:b/>
        <w:smallCaps w:val="0"/>
        <w:strike w:val="0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77B"/>
    <w:rsid w:val="000329E4"/>
    <w:rsid w:val="00042933"/>
    <w:rsid w:val="000B3212"/>
    <w:rsid w:val="00117775"/>
    <w:rsid w:val="001601D1"/>
    <w:rsid w:val="00217028"/>
    <w:rsid w:val="00266AEB"/>
    <w:rsid w:val="003C4951"/>
    <w:rsid w:val="00441209"/>
    <w:rsid w:val="00464662"/>
    <w:rsid w:val="004A4EA2"/>
    <w:rsid w:val="00577628"/>
    <w:rsid w:val="005D0D0E"/>
    <w:rsid w:val="00601B5F"/>
    <w:rsid w:val="006A79D1"/>
    <w:rsid w:val="006E7EA2"/>
    <w:rsid w:val="00703E80"/>
    <w:rsid w:val="00710168"/>
    <w:rsid w:val="00763D06"/>
    <w:rsid w:val="0084377E"/>
    <w:rsid w:val="00867133"/>
    <w:rsid w:val="009167D9"/>
    <w:rsid w:val="0097736F"/>
    <w:rsid w:val="009875D0"/>
    <w:rsid w:val="009F5C89"/>
    <w:rsid w:val="00A64460"/>
    <w:rsid w:val="00A74213"/>
    <w:rsid w:val="00C00F77"/>
    <w:rsid w:val="00CB25E2"/>
    <w:rsid w:val="00D43511"/>
    <w:rsid w:val="00E4777B"/>
    <w:rsid w:val="00FB39F0"/>
    <w:rsid w:val="00FF7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B2F4978"/>
  <w15:docId w15:val="{1C43CBF5-D09F-E149-8520-F2F906175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pt-BR" w:eastAsia="pt-B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styleId="Tabelacomgrade">
    <w:name w:val="Table Grid"/>
    <w:basedOn w:val="Tabelanormal"/>
    <w:uiPriority w:val="39"/>
    <w:rsid w:val="00703E8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0B3212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B3212"/>
  </w:style>
  <w:style w:type="paragraph" w:styleId="Rodap">
    <w:name w:val="footer"/>
    <w:basedOn w:val="Normal"/>
    <w:link w:val="RodapChar"/>
    <w:uiPriority w:val="99"/>
    <w:unhideWhenUsed/>
    <w:rsid w:val="000B3212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B3212"/>
  </w:style>
  <w:style w:type="character" w:styleId="Nmerodepgina">
    <w:name w:val="page number"/>
    <w:basedOn w:val="Fontepargpadro"/>
    <w:uiPriority w:val="99"/>
    <w:semiHidden/>
    <w:unhideWhenUsed/>
    <w:rsid w:val="000B32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10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www.thelancet.com/article/S0140673607604577/abstract" TargetMode="External"/><Relationship Id="rId21" Type="http://schemas.openxmlformats.org/officeDocument/2006/relationships/hyperlink" Target="https://clincalc.com/stats/samplesize.aspx" TargetMode="External"/><Relationship Id="rId34" Type="http://schemas.openxmlformats.org/officeDocument/2006/relationships/hyperlink" Target="http://dx.doi.org/10.1016/j.arth.2017.11.011" TargetMode="External"/><Relationship Id="rId42" Type="http://schemas.openxmlformats.org/officeDocument/2006/relationships/hyperlink" Target="http://paperpile.com/b/oX1Wi4/OSE4" TargetMode="External"/><Relationship Id="rId47" Type="http://schemas.openxmlformats.org/officeDocument/2006/relationships/hyperlink" Target="https://www.ncbi.nlm.nih.gov/pubmed/641088" TargetMode="External"/><Relationship Id="rId50" Type="http://schemas.openxmlformats.org/officeDocument/2006/relationships/hyperlink" Target="http://paperpile.com/b/oX1Wi4/OPc4" TargetMode="External"/><Relationship Id="rId55" Type="http://schemas.openxmlformats.org/officeDocument/2006/relationships/hyperlink" Target="http://linkinghub.elsevier.com/retrieve/pii/S0883540302884819" TargetMode="External"/><Relationship Id="rId63" Type="http://schemas.openxmlformats.org/officeDocument/2006/relationships/footer" Target="footer2.xml"/><Relationship Id="rId7" Type="http://schemas.openxmlformats.org/officeDocument/2006/relationships/hyperlink" Target="https://paperpile.com/c/oX1Wi4/3xbR" TargetMode="External"/><Relationship Id="rId2" Type="http://schemas.openxmlformats.org/officeDocument/2006/relationships/styles" Target="styles.xml"/><Relationship Id="rId16" Type="http://schemas.openxmlformats.org/officeDocument/2006/relationships/hyperlink" Target="https://paperpile.com/c/oX1Wi4/AWh3" TargetMode="External"/><Relationship Id="rId29" Type="http://schemas.openxmlformats.org/officeDocument/2006/relationships/hyperlink" Target="http://paperpile.com/b/oX1Wi4/cs0L" TargetMode="External"/><Relationship Id="rId11" Type="http://schemas.openxmlformats.org/officeDocument/2006/relationships/hyperlink" Target="https://paperpile.com/c/oX1Wi4/jEux" TargetMode="External"/><Relationship Id="rId24" Type="http://schemas.openxmlformats.org/officeDocument/2006/relationships/hyperlink" Target="https://paperpile.com/c/oX1Wi4/Tdim" TargetMode="External"/><Relationship Id="rId32" Type="http://schemas.openxmlformats.org/officeDocument/2006/relationships/hyperlink" Target="http://dx.doi.org/10.1302/0301-620X.104B2" TargetMode="External"/><Relationship Id="rId37" Type="http://schemas.openxmlformats.org/officeDocument/2006/relationships/hyperlink" Target="http://paperpile.com/b/oX1Wi4/RAZK" TargetMode="External"/><Relationship Id="rId40" Type="http://schemas.openxmlformats.org/officeDocument/2006/relationships/hyperlink" Target="http://dx.doi.org/10.1302/0301-620X.64B1.7068713" TargetMode="External"/><Relationship Id="rId45" Type="http://schemas.openxmlformats.org/officeDocument/2006/relationships/hyperlink" Target="http://dx.doi.org/10.1016/j.surge.2018.09.001" TargetMode="External"/><Relationship Id="rId53" Type="http://schemas.openxmlformats.org/officeDocument/2006/relationships/hyperlink" Target="http://dx.doi.org/10.5301/hipint.5000318" TargetMode="External"/><Relationship Id="rId58" Type="http://schemas.openxmlformats.org/officeDocument/2006/relationships/hyperlink" Target="http://paperpile.com/b/oX1Wi4/xQbj" TargetMode="External"/><Relationship Id="rId5" Type="http://schemas.openxmlformats.org/officeDocument/2006/relationships/footnotes" Target="footnotes.xml"/><Relationship Id="rId61" Type="http://schemas.openxmlformats.org/officeDocument/2006/relationships/hyperlink" Target="http://dx.doi.org/10.5694/mja2.12045" TargetMode="External"/><Relationship Id="rId19" Type="http://schemas.openxmlformats.org/officeDocument/2006/relationships/hyperlink" Target="https://paperpile.com/c/oX1Wi4/v2UW+OPc4" TargetMode="External"/><Relationship Id="rId14" Type="http://schemas.openxmlformats.org/officeDocument/2006/relationships/hyperlink" Target="https://paperpile.com/c/oX1Wi4/pheY" TargetMode="External"/><Relationship Id="rId22" Type="http://schemas.openxmlformats.org/officeDocument/2006/relationships/hyperlink" Target="https://paperpile.com/c/oX1Wi4/jEux" TargetMode="External"/><Relationship Id="rId27" Type="http://schemas.openxmlformats.org/officeDocument/2006/relationships/hyperlink" Target="http://paperpile.com/b/oX1Wi4/nUa7" TargetMode="External"/><Relationship Id="rId30" Type="http://schemas.openxmlformats.org/officeDocument/2006/relationships/hyperlink" Target="http://dx.doi.org/10.2106/JBJS.F.00222" TargetMode="External"/><Relationship Id="rId35" Type="http://schemas.openxmlformats.org/officeDocument/2006/relationships/hyperlink" Target="http://paperpile.com/b/oX1Wi4/jEux" TargetMode="External"/><Relationship Id="rId43" Type="http://schemas.openxmlformats.org/officeDocument/2006/relationships/hyperlink" Target="https://www.ncbi.nlm.nih.gov/pubmed/18864947" TargetMode="External"/><Relationship Id="rId48" Type="http://schemas.openxmlformats.org/officeDocument/2006/relationships/hyperlink" Target="http://paperpile.com/b/oX1Wi4/vSZT" TargetMode="External"/><Relationship Id="rId56" Type="http://schemas.openxmlformats.org/officeDocument/2006/relationships/hyperlink" Target="http://paperpile.com/b/oX1Wi4/C4JK" TargetMode="External"/><Relationship Id="rId64" Type="http://schemas.openxmlformats.org/officeDocument/2006/relationships/fontTable" Target="fontTable.xml"/><Relationship Id="rId8" Type="http://schemas.openxmlformats.org/officeDocument/2006/relationships/hyperlink" Target="https://paperpile.com/c/oX1Wi4/nUa7+cs0L" TargetMode="External"/><Relationship Id="rId51" Type="http://schemas.openxmlformats.org/officeDocument/2006/relationships/hyperlink" Target="http://dx.doi.org/10.1080/17453674.2016.1251255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paperpile.com/c/oX1Wi4/RAZK" TargetMode="External"/><Relationship Id="rId17" Type="http://schemas.openxmlformats.org/officeDocument/2006/relationships/hyperlink" Target="https://paperpile.com/c/oX1Wi4/XCb7" TargetMode="External"/><Relationship Id="rId25" Type="http://schemas.openxmlformats.org/officeDocument/2006/relationships/hyperlink" Target="http://paperpile.com/b/oX1Wi4/3xbR" TargetMode="External"/><Relationship Id="rId33" Type="http://schemas.openxmlformats.org/officeDocument/2006/relationships/hyperlink" Target="http://paperpile.com/b/oX1Wi4/qWmQ" TargetMode="External"/><Relationship Id="rId38" Type="http://schemas.openxmlformats.org/officeDocument/2006/relationships/hyperlink" Target="http://dx.doi.org/10.1007/s00402-016-2456-2" TargetMode="External"/><Relationship Id="rId46" Type="http://schemas.openxmlformats.org/officeDocument/2006/relationships/hyperlink" Target="http://paperpile.com/b/oX1Wi4/XCb7" TargetMode="External"/><Relationship Id="rId59" Type="http://schemas.openxmlformats.org/officeDocument/2006/relationships/hyperlink" Target="http://dx.doi.org/10.1302/0301-620X.75B2.8444942" TargetMode="External"/><Relationship Id="rId20" Type="http://schemas.openxmlformats.org/officeDocument/2006/relationships/hyperlink" Target="https://paperpile.com/c/oX1Wi4/C4JK" TargetMode="External"/><Relationship Id="rId41" Type="http://schemas.openxmlformats.org/officeDocument/2006/relationships/hyperlink" Target="http://paperpile.com/b/oX1Wi4/pheY" TargetMode="External"/><Relationship Id="rId54" Type="http://schemas.openxmlformats.org/officeDocument/2006/relationships/hyperlink" Target="http://paperpile.com/b/oX1Wi4/v2UW" TargetMode="External"/><Relationship Id="rId62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paperpile.com/c/oX1Wi4/OSE4" TargetMode="External"/><Relationship Id="rId23" Type="http://schemas.openxmlformats.org/officeDocument/2006/relationships/hyperlink" Target="https://paperpile.com/c/oX1Wi4/xQbj" TargetMode="External"/><Relationship Id="rId28" Type="http://schemas.openxmlformats.org/officeDocument/2006/relationships/hyperlink" Target="http://dx.doi.org/10.1016/S0140-6736(18)31777-X" TargetMode="External"/><Relationship Id="rId36" Type="http://schemas.openxmlformats.org/officeDocument/2006/relationships/hyperlink" Target="http://dx.doi.org/10.1097/00007611-195211000-00001" TargetMode="External"/><Relationship Id="rId49" Type="http://schemas.openxmlformats.org/officeDocument/2006/relationships/hyperlink" Target="http://dx.doi.org/10.1007/s11999.0000000000000051" TargetMode="External"/><Relationship Id="rId57" Type="http://schemas.openxmlformats.org/officeDocument/2006/relationships/hyperlink" Target="http://dx.doi.org/10.1016/j.ejrad.2005.10.003" TargetMode="External"/><Relationship Id="rId10" Type="http://schemas.openxmlformats.org/officeDocument/2006/relationships/hyperlink" Target="https://paperpile.com/c/oX1Wi4/qWmQ" TargetMode="External"/><Relationship Id="rId31" Type="http://schemas.openxmlformats.org/officeDocument/2006/relationships/hyperlink" Target="http://paperpile.com/b/oX1Wi4/5z5P" TargetMode="External"/><Relationship Id="rId44" Type="http://schemas.openxmlformats.org/officeDocument/2006/relationships/hyperlink" Target="http://paperpile.com/b/oX1Wi4/AWh3" TargetMode="External"/><Relationship Id="rId52" Type="http://schemas.openxmlformats.org/officeDocument/2006/relationships/hyperlink" Target="http://paperpile.com/b/oX1Wi4/PMPu" TargetMode="External"/><Relationship Id="rId60" Type="http://schemas.openxmlformats.org/officeDocument/2006/relationships/hyperlink" Target="http://paperpile.com/b/oX1Wi4/Tdim" TargetMode="External"/><Relationship Id="rId65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paperpile.com/c/oX1Wi4/5z5P" TargetMode="External"/><Relationship Id="rId13" Type="http://schemas.openxmlformats.org/officeDocument/2006/relationships/hyperlink" Target="https://paperpile.com/c/oX1Wi4/HFYi" TargetMode="External"/><Relationship Id="rId18" Type="http://schemas.openxmlformats.org/officeDocument/2006/relationships/hyperlink" Target="https://paperpile.com/c/oX1Wi4/vSZT+OPc4+PMPu" TargetMode="External"/><Relationship Id="rId39" Type="http://schemas.openxmlformats.org/officeDocument/2006/relationships/hyperlink" Target="http://paperpile.com/b/oX1Wi4/HFY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12</Pages>
  <Words>3181</Words>
  <Characters>17180</Characters>
  <Application>Microsoft Office Word</Application>
  <DocSecurity>0</DocSecurity>
  <Lines>143</Lines>
  <Paragraphs>40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Lucas Torres</cp:lastModifiedBy>
  <cp:revision>15</cp:revision>
  <dcterms:created xsi:type="dcterms:W3CDTF">2023-09-01T11:39:00Z</dcterms:created>
  <dcterms:modified xsi:type="dcterms:W3CDTF">2024-01-31T21:35:00Z</dcterms:modified>
</cp:coreProperties>
</file>