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color w:val="000000"/>
        </w:rPr>
      </w:pPr>
      <w:bookmarkStart w:colFirst="0" w:colLast="0" w:name="_heading=h.gjdgxs" w:id="0"/>
      <w:bookmarkEnd w:id="0"/>
      <w:r w:rsidDel="00000000" w:rsidR="00000000" w:rsidRPr="00000000">
        <w:rPr>
          <w:color w:val="000000"/>
          <w:rtl w:val="0"/>
        </w:rPr>
        <w:t xml:space="preserve"> </w:t>
      </w:r>
      <w:r w:rsidDel="00000000" w:rsidR="00000000" w:rsidRPr="00000000">
        <w:rPr>
          <w:color w:val="000000"/>
        </w:rPr>
        <w:drawing>
          <wp:anchor allowOverlap="1" behindDoc="1" distB="0" distT="0" distL="0" distR="0" hidden="0" layoutInCell="1" locked="0" relativeHeight="0" simplePos="0">
            <wp:simplePos x="0" y="0"/>
            <wp:positionH relativeFrom="page">
              <wp:posOffset>-19684</wp:posOffset>
            </wp:positionH>
            <wp:positionV relativeFrom="page">
              <wp:posOffset>-13802</wp:posOffset>
            </wp:positionV>
            <wp:extent cx="8456709" cy="13512798"/>
            <wp:effectExtent b="0" l="0" r="0" t="0"/>
            <wp:wrapNone/>
            <wp:docPr descr="Padrão do plano de fundo&#10;&#10;Descrição gerada automaticamente" id="2129596948" name="image33.png"/>
            <a:graphic>
              <a:graphicData uri="http://schemas.openxmlformats.org/drawingml/2006/picture">
                <pic:pic>
                  <pic:nvPicPr>
                    <pic:cNvPr descr="Padrão do plano de fundo&#10;&#10;Descrição gerada automaticamente" id="0" name="image33.png"/>
                    <pic:cNvPicPr preferRelativeResize="0"/>
                  </pic:nvPicPr>
                  <pic:blipFill>
                    <a:blip r:embed="rId7"/>
                    <a:srcRect b="0" l="0" r="0" t="0"/>
                    <a:stretch>
                      <a:fillRect/>
                    </a:stretch>
                  </pic:blipFill>
                  <pic:spPr>
                    <a:xfrm>
                      <a:off x="0" y="0"/>
                      <a:ext cx="8456709" cy="13512798"/>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-939799</wp:posOffset>
                </wp:positionH>
                <wp:positionV relativeFrom="paragraph">
                  <wp:posOffset>-927099</wp:posOffset>
                </wp:positionV>
                <wp:extent cx="7858125" cy="200025"/>
                <wp:effectExtent b="0" l="0" r="0" t="0"/>
                <wp:wrapNone/>
                <wp:docPr id="2129596929" name=""/>
                <a:graphic>
                  <a:graphicData uri="http://schemas.microsoft.com/office/word/2010/wordprocessingShape">
                    <wps:wsp>
                      <wps:cNvSpPr/>
                      <wps:cNvPr id="2" name="Shape 2"/>
                      <wps:spPr>
                        <a:xfrm>
                          <a:off x="1421700" y="3684750"/>
                          <a:ext cx="7848600" cy="190500"/>
                        </a:xfrm>
                        <a:prstGeom prst="rect">
                          <a:avLst/>
                        </a:prstGeom>
                        <a:solidFill>
                          <a:srgbClr val="0093C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-939799</wp:posOffset>
                </wp:positionH>
                <wp:positionV relativeFrom="paragraph">
                  <wp:posOffset>-927099</wp:posOffset>
                </wp:positionV>
                <wp:extent cx="7858125" cy="200025"/>
                <wp:effectExtent b="0" l="0" r="0" t="0"/>
                <wp:wrapNone/>
                <wp:docPr id="2129596929"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7858125" cy="2000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173865</wp:posOffset>
            </wp:positionH>
            <wp:positionV relativeFrom="paragraph">
              <wp:posOffset>225380</wp:posOffset>
            </wp:positionV>
            <wp:extent cx="1073206" cy="1075386"/>
            <wp:effectExtent b="0" l="0" r="0" t="0"/>
            <wp:wrapNone/>
            <wp:docPr descr="Logotipo, nome da empresa&#10;&#10;Descrição gerada automaticamente" id="2129596945" name="image8.png"/>
            <a:graphic>
              <a:graphicData uri="http://schemas.openxmlformats.org/drawingml/2006/picture">
                <pic:pic>
                  <pic:nvPicPr>
                    <pic:cNvPr descr="Logotipo, nome da empresa&#10;&#10;Descrição gerada automaticamente" id="0" name="image8.png"/>
                    <pic:cNvPicPr preferRelativeResize="0"/>
                  </pic:nvPicPr>
                  <pic:blipFill>
                    <a:blip r:embed="rId9"/>
                    <a:srcRect b="0" l="0" r="0" t="0"/>
                    <a:stretch>
                      <a:fillRect/>
                    </a:stretch>
                  </pic:blipFill>
                  <pic:spPr>
                    <a:xfrm>
                      <a:off x="0" y="0"/>
                      <a:ext cx="1073206" cy="1075386"/>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-482599</wp:posOffset>
                </wp:positionH>
                <wp:positionV relativeFrom="paragraph">
                  <wp:posOffset>-546099</wp:posOffset>
                </wp:positionV>
                <wp:extent cx="6960354" cy="659142"/>
                <wp:effectExtent b="0" l="0" r="0" t="0"/>
                <wp:wrapNone/>
                <wp:docPr id="2129596935" name=""/>
                <a:graphic>
                  <a:graphicData uri="http://schemas.microsoft.com/office/word/2010/wordprocessingShape">
                    <wps:wsp>
                      <wps:cNvSpPr/>
                      <wps:cNvPr id="8" name="Shape 8"/>
                      <wps:spPr>
                        <a:xfrm>
                          <a:off x="1878523" y="3463129"/>
                          <a:ext cx="6934954" cy="633742"/>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-482599</wp:posOffset>
                </wp:positionH>
                <wp:positionV relativeFrom="paragraph">
                  <wp:posOffset>-546099</wp:posOffset>
                </wp:positionV>
                <wp:extent cx="6960354" cy="659142"/>
                <wp:effectExtent b="0" l="0" r="0" t="0"/>
                <wp:wrapNone/>
                <wp:docPr id="2129596935"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6960354" cy="659142"/>
                        </a:xfrm>
                        <a:prstGeom prst="rect"/>
                        <a:ln/>
                      </pic:spPr>
                    </pic:pic>
                  </a:graphicData>
                </a:graphic>
              </wp:anchor>
            </w:drawing>
          </mc:Fallback>
        </mc:AlternateContent>
      </w:r>
    </w:p>
    <w:p w:rsidR="00000000" w:rsidDel="00000000" w:rsidP="00000000" w:rsidRDefault="00000000" w:rsidRPr="00000000" w14:paraId="00000002">
      <w:pPr>
        <w:jc w:val="center"/>
        <w:rPr>
          <w:b w:val="1"/>
          <w:color w:val="000000"/>
          <w:sz w:val="36"/>
          <w:szCs w:val="36"/>
        </w:rPr>
      </w:pPr>
      <w:r w:rsidDel="00000000" w:rsidR="00000000" w:rsidRPr="00000000">
        <w:rPr>
          <w:rtl w:val="0"/>
        </w:rPr>
      </w:r>
    </w:p>
    <w:p w:rsidR="00000000" w:rsidDel="00000000" w:rsidP="00000000" w:rsidRDefault="00000000" w:rsidRPr="00000000" w14:paraId="00000003">
      <w:pPr>
        <w:rPr>
          <w:b w:val="1"/>
          <w:color w:val="000000"/>
          <w:sz w:val="36"/>
          <w:szCs w:val="36"/>
        </w:rPr>
      </w:pPr>
      <w:r w:rsidDel="00000000" w:rsidR="00000000" w:rsidRPr="00000000">
        <w:rPr>
          <w:rtl w:val="0"/>
        </w:rPr>
      </w:r>
    </w:p>
    <w:p w:rsidR="00000000" w:rsidDel="00000000" w:rsidP="00000000" w:rsidRDefault="00000000" w:rsidRPr="00000000" w14:paraId="00000004">
      <w:pPr>
        <w:jc w:val="center"/>
        <w:rPr>
          <w:b w:val="1"/>
          <w:color w:val="000000"/>
          <w:sz w:val="36"/>
          <w:szCs w:val="36"/>
        </w:rPr>
      </w:pPr>
      <w:r w:rsidDel="00000000" w:rsidR="00000000" w:rsidRPr="00000000">
        <w:rPr>
          <w:rtl w:val="0"/>
        </w:rPr>
      </w:r>
    </w:p>
    <w:p w:rsidR="00000000" w:rsidDel="00000000" w:rsidP="00000000" w:rsidRDefault="00000000" w:rsidRPr="00000000" w14:paraId="00000005">
      <w:pPr>
        <w:jc w:val="center"/>
        <w:rPr>
          <w:b w:val="1"/>
          <w:color w:val="000000"/>
          <w:sz w:val="36"/>
          <w:szCs w:val="36"/>
        </w:rPr>
      </w:pPr>
      <w:r w:rsidDel="00000000" w:rsidR="00000000" w:rsidRPr="00000000">
        <w:rPr>
          <w:rtl w:val="0"/>
        </w:rPr>
      </w:r>
    </w:p>
    <w:p w:rsidR="00000000" w:rsidDel="00000000" w:rsidP="00000000" w:rsidRDefault="00000000" w:rsidRPr="00000000" w14:paraId="00000006">
      <w:pPr>
        <w:jc w:val="center"/>
        <w:rPr>
          <w:b w:val="1"/>
          <w:color w:val="000000"/>
          <w:sz w:val="36"/>
          <w:szCs w:val="36"/>
        </w:rPr>
      </w:pPr>
      <w:r w:rsidDel="00000000" w:rsidR="00000000" w:rsidRPr="00000000">
        <w:rPr>
          <w:rtl w:val="0"/>
        </w:rPr>
      </w:r>
    </w:p>
    <w:p w:rsidR="00000000" w:rsidDel="00000000" w:rsidP="00000000" w:rsidRDefault="00000000" w:rsidRPr="00000000" w14:paraId="00000007">
      <w:pPr>
        <w:jc w:val="center"/>
        <w:rPr>
          <w:b w:val="1"/>
          <w:color w:val="000000"/>
          <w:sz w:val="36"/>
          <w:szCs w:val="36"/>
        </w:rPr>
      </w:pPr>
      <w:r w:rsidDel="00000000" w:rsidR="00000000" w:rsidRPr="00000000">
        <w:rPr>
          <w:rtl w:val="0"/>
        </w:rPr>
      </w:r>
    </w:p>
    <w:p w:rsidR="00000000" w:rsidDel="00000000" w:rsidP="00000000" w:rsidRDefault="00000000" w:rsidRPr="00000000" w14:paraId="00000008">
      <w:pPr>
        <w:jc w:val="center"/>
        <w:rPr>
          <w:b w:val="1"/>
          <w:color w:val="000000"/>
          <w:sz w:val="36"/>
          <w:szCs w:val="36"/>
        </w:rPr>
      </w:pPr>
      <w:r w:rsidDel="00000000" w:rsidR="00000000" w:rsidRPr="00000000">
        <w:rPr>
          <w:rtl w:val="0"/>
        </w:rPr>
      </w:r>
    </w:p>
    <w:p w:rsidR="00000000" w:rsidDel="00000000" w:rsidP="00000000" w:rsidRDefault="00000000" w:rsidRPr="00000000" w14:paraId="00000009">
      <w:pPr>
        <w:rPr>
          <w:b w:val="1"/>
          <w:color w:val="000000"/>
          <w:sz w:val="36"/>
          <w:szCs w:val="36"/>
        </w:rPr>
      </w:pPr>
      <w:r w:rsidDel="00000000" w:rsidR="00000000" w:rsidRPr="00000000">
        <w:rPr>
          <w:rtl w:val="0"/>
        </w:rPr>
      </w:r>
    </w:p>
    <w:p w:rsidR="00000000" w:rsidDel="00000000" w:rsidP="00000000" w:rsidRDefault="00000000" w:rsidRPr="00000000" w14:paraId="0000000A">
      <w:pPr>
        <w:jc w:val="center"/>
        <w:rPr>
          <w:b w:val="1"/>
          <w:color w:val="000000"/>
          <w:sz w:val="36"/>
          <w:szCs w:val="36"/>
        </w:rPr>
      </w:pPr>
      <w:r w:rsidDel="00000000" w:rsidR="00000000" w:rsidRPr="00000000">
        <w:rPr>
          <w:rtl w:val="0"/>
        </w:rPr>
      </w:r>
    </w:p>
    <w:p w:rsidR="00000000" w:rsidDel="00000000" w:rsidP="00000000" w:rsidRDefault="00000000" w:rsidRPr="00000000" w14:paraId="0000000B">
      <w:pPr>
        <w:jc w:val="center"/>
        <w:rPr>
          <w:b w:val="1"/>
          <w:color w:val="000000"/>
          <w:sz w:val="36"/>
          <w:szCs w:val="36"/>
        </w:rPr>
      </w:pPr>
      <w:r w:rsidDel="00000000" w:rsidR="00000000" w:rsidRPr="00000000">
        <w:rPr>
          <w:rtl w:val="0"/>
        </w:rPr>
      </w:r>
    </w:p>
    <w:p w:rsidR="00000000" w:rsidDel="00000000" w:rsidP="00000000" w:rsidRDefault="00000000" w:rsidRPr="00000000" w14:paraId="0000000C">
      <w:pPr>
        <w:jc w:val="center"/>
        <w:rPr>
          <w:b w:val="1"/>
          <w:color w:val="000000"/>
          <w:sz w:val="36"/>
          <w:szCs w:val="36"/>
        </w:rPr>
      </w:pPr>
      <w:r w:rsidDel="00000000" w:rsidR="00000000" w:rsidRPr="00000000">
        <w:rPr>
          <w:b w:val="1"/>
          <w:color w:val="000000"/>
          <w:sz w:val="36"/>
          <w:szCs w:val="36"/>
          <w:rtl w:val="0"/>
        </w:rPr>
        <w:t xml:space="preserve">Manejo remoto e controle da pressão arterial, glicemia e LDL colesterol em uma população de base comunitária: ensaio clínico, prospectivo, randomizado, aberto e descentralizado (Ensaio TAMIS)</w:t>
      </w:r>
    </w:p>
    <w:p w:rsidR="00000000" w:rsidDel="00000000" w:rsidP="00000000" w:rsidRDefault="00000000" w:rsidRPr="00000000" w14:paraId="0000000D">
      <w:pPr>
        <w:jc w:val="center"/>
        <w:rPr>
          <w:b w:val="1"/>
          <w:color w:val="000000"/>
          <w:sz w:val="36"/>
          <w:szCs w:val="36"/>
        </w:rPr>
      </w:pPr>
      <w:r w:rsidDel="00000000" w:rsidR="00000000" w:rsidRPr="00000000">
        <w:rPr>
          <w:rtl w:val="0"/>
        </w:rPr>
      </w:r>
    </w:p>
    <w:p w:rsidR="00000000" w:rsidDel="00000000" w:rsidP="00000000" w:rsidRDefault="00000000" w:rsidRPr="00000000" w14:paraId="0000000E">
      <w:pPr>
        <w:jc w:val="center"/>
        <w:rPr>
          <w:b w:val="1"/>
          <w:color w:val="000000"/>
          <w:sz w:val="36"/>
          <w:szCs w:val="36"/>
        </w:rPr>
      </w:pPr>
      <w:r w:rsidDel="00000000" w:rsidR="00000000" w:rsidRPr="00000000">
        <w:rPr>
          <w:rtl w:val="0"/>
        </w:rPr>
      </w:r>
    </w:p>
    <w:p w:rsidR="00000000" w:rsidDel="00000000" w:rsidP="00000000" w:rsidRDefault="00000000" w:rsidRPr="00000000" w14:paraId="0000000F">
      <w:pPr>
        <w:jc w:val="center"/>
        <w:rPr>
          <w:b w:val="1"/>
          <w:color w:val="000000"/>
          <w:sz w:val="22"/>
          <w:szCs w:val="22"/>
        </w:rPr>
      </w:pPr>
      <w:r w:rsidDel="00000000" w:rsidR="00000000" w:rsidRPr="00000000">
        <w:rPr>
          <w:b w:val="1"/>
          <w:color w:val="000000"/>
          <w:sz w:val="22"/>
          <w:szCs w:val="22"/>
          <w:rtl w:val="0"/>
        </w:rPr>
        <w:t xml:space="preserve">Pesquisador principal: Luiz Sérgio Fernandes de Carvalho</w:t>
      </w:r>
    </w:p>
    <w:p w:rsidR="00000000" w:rsidDel="00000000" w:rsidP="00000000" w:rsidRDefault="00000000" w:rsidRPr="00000000" w14:paraId="00000010">
      <w:pPr>
        <w:jc w:val="center"/>
        <w:rPr>
          <w:b w:val="1"/>
          <w:color w:val="000000"/>
          <w:sz w:val="22"/>
          <w:szCs w:val="22"/>
        </w:rPr>
      </w:pPr>
      <w:r w:rsidDel="00000000" w:rsidR="00000000" w:rsidRPr="00000000">
        <w:rPr>
          <w:rtl w:val="0"/>
        </w:rPr>
      </w:r>
    </w:p>
    <w:p w:rsidR="00000000" w:rsidDel="00000000" w:rsidP="00000000" w:rsidRDefault="00000000" w:rsidRPr="00000000" w14:paraId="00000011">
      <w:pPr>
        <w:jc w:val="center"/>
        <w:rPr>
          <w:b w:val="1"/>
          <w:color w:val="000000"/>
          <w:sz w:val="22"/>
          <w:szCs w:val="22"/>
        </w:rPr>
      </w:pPr>
      <w:r w:rsidDel="00000000" w:rsidR="00000000" w:rsidRPr="00000000">
        <w:rPr>
          <w:b w:val="1"/>
          <w:color w:val="000000"/>
          <w:sz w:val="22"/>
          <w:szCs w:val="22"/>
          <w:rtl w:val="0"/>
        </w:rPr>
        <w:t xml:space="preserve">Pesquisadores associados: Andrei C Sposito, Marta D Fernandez, Mariana Savedra Pfitzner, Janaína de Oliveira, Wilson Nadruz, Alessandra M. Campos-Staffico, Viviane da Silva Machado, Andrea Dias Stephanus</w:t>
      </w:r>
    </w:p>
    <w:p w:rsidR="00000000" w:rsidDel="00000000" w:rsidP="00000000" w:rsidRDefault="00000000" w:rsidRPr="00000000" w14:paraId="00000012">
      <w:pPr>
        <w:jc w:val="center"/>
        <w:rPr>
          <w:b w:val="1"/>
          <w:color w:val="000000"/>
          <w:sz w:val="22"/>
          <w:szCs w:val="22"/>
        </w:rPr>
      </w:pPr>
      <w:r w:rsidDel="00000000" w:rsidR="00000000" w:rsidRPr="00000000">
        <w:rPr>
          <w:rtl w:val="0"/>
        </w:rPr>
      </w:r>
    </w:p>
    <w:p w:rsidR="00000000" w:rsidDel="00000000" w:rsidP="00000000" w:rsidRDefault="00000000" w:rsidRPr="00000000" w14:paraId="00000013">
      <w:pPr>
        <w:jc w:val="center"/>
        <w:rPr>
          <w:b w:val="1"/>
          <w:color w:val="000000"/>
          <w:sz w:val="22"/>
          <w:szCs w:val="22"/>
        </w:rPr>
      </w:pPr>
      <w:r w:rsidDel="00000000" w:rsidR="00000000" w:rsidRPr="00000000">
        <w:rPr>
          <w:b w:val="1"/>
          <w:color w:val="000000"/>
          <w:sz w:val="22"/>
          <w:szCs w:val="22"/>
          <w:rtl w:val="0"/>
        </w:rPr>
        <w:t xml:space="preserve">Versão 3.0</w:t>
      </w:r>
    </w:p>
    <w:p w:rsidR="00000000" w:rsidDel="00000000" w:rsidP="00000000" w:rsidRDefault="00000000" w:rsidRPr="00000000" w14:paraId="00000014">
      <w:pPr>
        <w:rPr>
          <w:b w:val="1"/>
          <w:color w:val="000000"/>
          <w:sz w:val="36"/>
          <w:szCs w:val="36"/>
        </w:rPr>
      </w:pPr>
      <w:r w:rsidDel="00000000" w:rsidR="00000000" w:rsidRPr="00000000">
        <w:rPr>
          <w:rtl w:val="0"/>
        </w:rPr>
      </w:r>
    </w:p>
    <w:p w:rsidR="00000000" w:rsidDel="00000000" w:rsidP="00000000" w:rsidRDefault="00000000" w:rsidRPr="00000000" w14:paraId="00000015">
      <w:pPr>
        <w:jc w:val="center"/>
        <w:rPr>
          <w:b w:val="1"/>
          <w:color w:val="000000"/>
          <w:sz w:val="36"/>
          <w:szCs w:val="36"/>
        </w:rPr>
      </w:pPr>
      <w:r w:rsidDel="00000000" w:rsidR="00000000" w:rsidRPr="00000000">
        <w:rPr>
          <w:rtl w:val="0"/>
        </w:rPr>
      </w:r>
    </w:p>
    <w:p w:rsidR="00000000" w:rsidDel="00000000" w:rsidP="00000000" w:rsidRDefault="00000000" w:rsidRPr="00000000" w14:paraId="00000016">
      <w:pPr>
        <w:jc w:val="center"/>
        <w:rPr>
          <w:b w:val="1"/>
          <w:color w:val="000000"/>
          <w:sz w:val="36"/>
          <w:szCs w:val="36"/>
        </w:rPr>
      </w:pPr>
      <w:r w:rsidDel="00000000" w:rsidR="00000000" w:rsidRPr="00000000">
        <w:rPr>
          <w:rtl w:val="0"/>
        </w:rPr>
      </w:r>
    </w:p>
    <w:p w:rsidR="00000000" w:rsidDel="00000000" w:rsidP="00000000" w:rsidRDefault="00000000" w:rsidRPr="00000000" w14:paraId="00000017">
      <w:pPr>
        <w:jc w:val="center"/>
        <w:rPr>
          <w:b w:val="1"/>
          <w:color w:val="000000"/>
          <w:sz w:val="36"/>
          <w:szCs w:val="36"/>
        </w:rPr>
      </w:pPr>
      <w:r w:rsidDel="00000000" w:rsidR="00000000" w:rsidRPr="00000000">
        <w:rPr>
          <w:rtl w:val="0"/>
        </w:rPr>
      </w:r>
    </w:p>
    <w:p w:rsidR="00000000" w:rsidDel="00000000" w:rsidP="00000000" w:rsidRDefault="00000000" w:rsidRPr="00000000" w14:paraId="00000018">
      <w:pPr>
        <w:jc w:val="center"/>
        <w:rPr>
          <w:b w:val="1"/>
          <w:color w:val="000000"/>
          <w:sz w:val="36"/>
          <w:szCs w:val="36"/>
        </w:rPr>
      </w:pPr>
      <w:r w:rsidDel="00000000" w:rsidR="00000000" w:rsidRPr="00000000">
        <w:rPr>
          <w:rtl w:val="0"/>
        </w:rPr>
      </w:r>
    </w:p>
    <w:p w:rsidR="00000000" w:rsidDel="00000000" w:rsidP="00000000" w:rsidRDefault="00000000" w:rsidRPr="00000000" w14:paraId="00000019">
      <w:pPr>
        <w:rPr>
          <w:b w:val="1"/>
          <w:color w:val="000000"/>
          <w:sz w:val="36"/>
          <w:szCs w:val="36"/>
        </w:rPr>
      </w:pPr>
      <w:r w:rsidDel="00000000" w:rsidR="00000000" w:rsidRPr="00000000">
        <w:rPr>
          <w:rtl w:val="0"/>
        </w:rPr>
      </w:r>
    </w:p>
    <w:p w:rsidR="00000000" w:rsidDel="00000000" w:rsidP="00000000" w:rsidRDefault="00000000" w:rsidRPr="00000000" w14:paraId="0000001A">
      <w:pPr>
        <w:jc w:val="center"/>
        <w:rPr>
          <w:b w:val="1"/>
          <w:color w:val="000000"/>
          <w:sz w:val="36"/>
          <w:szCs w:val="36"/>
        </w:rPr>
      </w:pPr>
      <w:r w:rsidDel="00000000" w:rsidR="00000000" w:rsidRPr="00000000">
        <w:rPr>
          <w:rtl w:val="0"/>
        </w:rPr>
      </w:r>
    </w:p>
    <w:p w:rsidR="00000000" w:rsidDel="00000000" w:rsidP="00000000" w:rsidRDefault="00000000" w:rsidRPr="00000000" w14:paraId="0000001B">
      <w:pPr>
        <w:jc w:val="center"/>
        <w:rPr>
          <w:b w:val="1"/>
          <w:color w:val="000000"/>
          <w:sz w:val="36"/>
          <w:szCs w:val="36"/>
        </w:rPr>
      </w:pPr>
      <w:r w:rsidDel="00000000" w:rsidR="00000000" w:rsidRPr="00000000">
        <w:rPr>
          <w:b w:val="1"/>
          <w:color w:val="000000"/>
          <w:sz w:val="36"/>
          <w:szCs w:val="36"/>
          <w:rtl w:val="0"/>
        </w:rPr>
        <w:t xml:space="preserve">Brasília</w:t>
      </w:r>
    </w:p>
    <w:p w:rsidR="00000000" w:rsidDel="00000000" w:rsidP="00000000" w:rsidRDefault="00000000" w:rsidRPr="00000000" w14:paraId="0000001C">
      <w:pPr>
        <w:jc w:val="center"/>
        <w:rPr>
          <w:b w:val="1"/>
          <w:color w:val="000000"/>
          <w:sz w:val="32"/>
          <w:szCs w:val="32"/>
        </w:rPr>
      </w:pPr>
      <w:r w:rsidDel="00000000" w:rsidR="00000000" w:rsidRPr="00000000">
        <w:rPr>
          <w:b w:val="1"/>
          <w:color w:val="000000"/>
          <w:sz w:val="36"/>
          <w:szCs w:val="36"/>
          <w:rtl w:val="0"/>
        </w:rPr>
        <w:t xml:space="preserve">Março/2024</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5880100</wp:posOffset>
                </wp:positionH>
                <wp:positionV relativeFrom="paragraph">
                  <wp:posOffset>673100</wp:posOffset>
                </wp:positionV>
                <wp:extent cx="106881" cy="233630"/>
                <wp:effectExtent b="0" l="0" r="0" t="0"/>
                <wp:wrapNone/>
                <wp:docPr id="2129596937" name=""/>
                <a:graphic>
                  <a:graphicData uri="http://schemas.microsoft.com/office/word/2010/wordprocessingShape">
                    <wps:wsp>
                      <wps:cNvSpPr/>
                      <wps:cNvPr id="10" name="Shape 10"/>
                      <wps:spPr>
                        <a:xfrm>
                          <a:off x="5305260" y="3675885"/>
                          <a:ext cx="81481" cy="20823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5880100</wp:posOffset>
                </wp:positionH>
                <wp:positionV relativeFrom="paragraph">
                  <wp:posOffset>673100</wp:posOffset>
                </wp:positionV>
                <wp:extent cx="106881" cy="233630"/>
                <wp:effectExtent b="0" l="0" r="0" t="0"/>
                <wp:wrapNone/>
                <wp:docPr id="2129596937" name="image30.png"/>
                <a:graphic>
                  <a:graphicData uri="http://schemas.openxmlformats.org/drawingml/2006/picture">
                    <pic:pic>
                      <pic:nvPicPr>
                        <pic:cNvPr id="0" name="image30.png"/>
                        <pic:cNvPicPr preferRelativeResize="0"/>
                      </pic:nvPicPr>
                      <pic:blipFill>
                        <a:blip r:embed="rId11"/>
                        <a:srcRect/>
                        <a:stretch>
                          <a:fillRect/>
                        </a:stretch>
                      </pic:blipFill>
                      <pic:spPr>
                        <a:xfrm>
                          <a:off x="0" y="0"/>
                          <a:ext cx="106881" cy="2336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5715000</wp:posOffset>
                </wp:positionH>
                <wp:positionV relativeFrom="paragraph">
                  <wp:posOffset>457200</wp:posOffset>
                </wp:positionV>
                <wp:extent cx="550501" cy="360378"/>
                <wp:effectExtent b="0" l="0" r="0" t="0"/>
                <wp:wrapNone/>
                <wp:docPr id="2129596932" name=""/>
                <a:graphic>
                  <a:graphicData uri="http://schemas.microsoft.com/office/word/2010/wordprocessingShape">
                    <wps:wsp>
                      <wps:cNvSpPr/>
                      <wps:cNvPr id="5" name="Shape 5"/>
                      <wps:spPr>
                        <a:xfrm>
                          <a:off x="5083450" y="3612511"/>
                          <a:ext cx="525101" cy="334978"/>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5715000</wp:posOffset>
                </wp:positionH>
                <wp:positionV relativeFrom="paragraph">
                  <wp:posOffset>457200</wp:posOffset>
                </wp:positionV>
                <wp:extent cx="550501" cy="360378"/>
                <wp:effectExtent b="0" l="0" r="0" t="0"/>
                <wp:wrapNone/>
                <wp:docPr id="2129596932" name="image25.png"/>
                <a:graphic>
                  <a:graphicData uri="http://schemas.openxmlformats.org/drawingml/2006/picture">
                    <pic:pic>
                      <pic:nvPicPr>
                        <pic:cNvPr id="0" name="image25.png"/>
                        <pic:cNvPicPr preferRelativeResize="0"/>
                      </pic:nvPicPr>
                      <pic:blipFill>
                        <a:blip r:embed="rId12"/>
                        <a:srcRect/>
                        <a:stretch>
                          <a:fillRect/>
                        </a:stretch>
                      </pic:blipFill>
                      <pic:spPr>
                        <a:xfrm>
                          <a:off x="0" y="0"/>
                          <a:ext cx="550501" cy="360378"/>
                        </a:xfrm>
                        <a:prstGeom prst="rect"/>
                        <a:ln/>
                      </pic:spPr>
                    </pic:pic>
                  </a:graphicData>
                </a:graphic>
              </wp:anchor>
            </w:drawing>
          </mc:Fallback>
        </mc:AlternateContent>
      </w:r>
    </w:p>
    <w:p w:rsidR="00000000" w:rsidDel="00000000" w:rsidP="00000000" w:rsidRDefault="00000000" w:rsidRPr="00000000" w14:paraId="0000001D">
      <w:pPr>
        <w:spacing w:after="240" w:before="240" w:lineRule="auto"/>
        <w:jc w:val="center"/>
        <w:rPr>
          <w:b w:val="1"/>
          <w:color w:val="000000"/>
        </w:rPr>
      </w:pPr>
      <w:r w:rsidDel="00000000" w:rsidR="00000000" w:rsidRPr="00000000">
        <w:rPr>
          <w:rtl w:val="0"/>
        </w:rPr>
      </w:r>
    </w:p>
    <w:p w:rsidR="00000000" w:rsidDel="00000000" w:rsidP="00000000" w:rsidRDefault="00000000" w:rsidRPr="00000000" w14:paraId="0000001E">
      <w:pPr>
        <w:spacing w:after="240" w:before="240" w:lineRule="auto"/>
        <w:jc w:val="center"/>
        <w:rPr>
          <w:b w:val="1"/>
          <w:color w:val="000000"/>
        </w:rPr>
      </w:pPr>
      <w:r w:rsidDel="00000000" w:rsidR="00000000" w:rsidRPr="00000000">
        <w:rPr>
          <w:b w:val="1"/>
          <w:color w:val="000000"/>
          <w:rtl w:val="0"/>
        </w:rPr>
        <w:t xml:space="preserve">RESUMO</w:t>
      </w:r>
    </w:p>
    <w:p w:rsidR="00000000" w:rsidDel="00000000" w:rsidP="00000000" w:rsidRDefault="00000000" w:rsidRPr="00000000" w14:paraId="0000001F">
      <w:pPr>
        <w:spacing w:line="276" w:lineRule="auto"/>
        <w:jc w:val="both"/>
        <w:rPr>
          <w:color w:val="000000"/>
          <w:highlight w:val="white"/>
        </w:rPr>
      </w:pPr>
      <w:r w:rsidDel="00000000" w:rsidR="00000000" w:rsidRPr="00000000">
        <w:rPr>
          <w:b w:val="1"/>
          <w:color w:val="000000"/>
          <w:highlight w:val="white"/>
          <w:rtl w:val="0"/>
        </w:rPr>
        <w:t xml:space="preserve">Introdução</w:t>
      </w:r>
      <w:r w:rsidDel="00000000" w:rsidR="00000000" w:rsidRPr="00000000">
        <w:rPr>
          <w:color w:val="000000"/>
          <w:highlight w:val="white"/>
          <w:rtl w:val="0"/>
        </w:rPr>
        <w:t xml:space="preserve">: Nas próximas décadas, as doenças cardiovasculares e cerebrovasculares se tornarão mais prevalentes, especialmente em países de renda baixa e média. Enquanto nos países desenvolvidos houve uma redução consistente da incidência de doenças isquêmicas, nos países em desenvolvimento, como os da América Latina, essa tendência ainda persiste, possivelmente devido ao acesso precário às políticas de prevenção e saúde pública. A adesão aos tratamentos é um desafio global, na América Latina estima-se que a taxa de controle de doenças como diabetes e hipertensão esteja em torno de 5-8%. Isso evidencia a necessidade de melhorar os sistemas de saúde e as políticas de prevenção. Para enfrentar esses desafios, desenvolvemos e validamos em ambiente operacional um </w:t>
      </w:r>
      <w:r w:rsidDel="00000000" w:rsidR="00000000" w:rsidRPr="00000000">
        <w:rPr>
          <w:i w:val="1"/>
          <w:color w:val="000000"/>
          <w:highlight w:val="white"/>
          <w:rtl w:val="0"/>
        </w:rPr>
        <w:t xml:space="preserve">software</w:t>
      </w:r>
      <w:r w:rsidDel="00000000" w:rsidR="00000000" w:rsidRPr="00000000">
        <w:rPr>
          <w:color w:val="000000"/>
          <w:highlight w:val="white"/>
          <w:rtl w:val="0"/>
        </w:rPr>
        <w:t xml:space="preserve"> de gerenciamento remoto de doenças crônicas (sistema TAMIS), baseado em algoritmos de automação e diretrizes médicas. Esse sistema visa melhorar a eficiência do atendimento, ampliar os canais de comunicação e aprimorar a coleta e análise de dados para otimizar o controle dos fatores de risco, como pressão arterial, glicemia e colesterol LDL. Isso pode trazer benefícios imediatos à saúde coletiva e reduzir os custos com a saúde pública. </w:t>
      </w:r>
    </w:p>
    <w:p w:rsidR="00000000" w:rsidDel="00000000" w:rsidP="00000000" w:rsidRDefault="00000000" w:rsidRPr="00000000" w14:paraId="00000020">
      <w:pPr>
        <w:spacing w:line="276" w:lineRule="auto"/>
        <w:jc w:val="both"/>
        <w:rPr>
          <w:color w:val="000000"/>
          <w:highlight w:val="white"/>
        </w:rPr>
      </w:pPr>
      <w:r w:rsidDel="00000000" w:rsidR="00000000" w:rsidRPr="00000000">
        <w:rPr>
          <w:b w:val="1"/>
          <w:color w:val="000000"/>
          <w:highlight w:val="white"/>
          <w:rtl w:val="0"/>
        </w:rPr>
        <w:t xml:space="preserve">Objetivo e Método</w:t>
      </w:r>
      <w:r w:rsidDel="00000000" w:rsidR="00000000" w:rsidRPr="00000000">
        <w:rPr>
          <w:color w:val="000000"/>
          <w:highlight w:val="white"/>
          <w:rtl w:val="0"/>
        </w:rPr>
        <w:t xml:space="preserve">: Para validar o sistema TAMIS em ambiente de mundo real, será realizado um ensaio clínico, prospectivo, randomizado em clusteres, aberto e controlado, com o objetivo principal de determinar o efeito de um </w:t>
      </w:r>
      <w:r w:rsidDel="00000000" w:rsidR="00000000" w:rsidRPr="00000000">
        <w:rPr>
          <w:i w:val="1"/>
          <w:color w:val="000000"/>
          <w:highlight w:val="white"/>
          <w:rtl w:val="0"/>
        </w:rPr>
        <w:t xml:space="preserve">software</w:t>
      </w:r>
      <w:r w:rsidDel="00000000" w:rsidR="00000000" w:rsidRPr="00000000">
        <w:rPr>
          <w:color w:val="000000"/>
          <w:highlight w:val="white"/>
          <w:rtl w:val="0"/>
        </w:rPr>
        <w:t xml:space="preserve"> de monitoramento remoto do LDL colesterol, glicemia e controle de hipertensão arterial sistêmica em adultos de comunidades brasileiras. A população-alvo será composta por 838 indivíduos de ambos os sexos, atendidos em unidades de atenção primária à saúde na Região Leste de Saúde do Distrito Federal/DF, selecionados através de critérios de elegibilidade. As unidades de saúde serão randomizadas em dois grupos: (i) manejo convencional, e (ii) manejo remoto. Será avaliada a diferença em termos de eventos clínicos maiores no grupo que recebeu acesso ao </w:t>
      </w:r>
      <w:r w:rsidDel="00000000" w:rsidR="00000000" w:rsidRPr="00000000">
        <w:rPr>
          <w:i w:val="1"/>
          <w:color w:val="000000"/>
          <w:highlight w:val="white"/>
          <w:rtl w:val="0"/>
        </w:rPr>
        <w:t xml:space="preserve">software</w:t>
      </w:r>
      <w:r w:rsidDel="00000000" w:rsidR="00000000" w:rsidRPr="00000000">
        <w:rPr>
          <w:color w:val="000000"/>
          <w:highlight w:val="white"/>
          <w:rtl w:val="0"/>
        </w:rPr>
        <w:t xml:space="preserve"> de atendimento remoto. Para isso, utilizaremos como desfecho primário um </w:t>
      </w:r>
      <w:r w:rsidDel="00000000" w:rsidR="00000000" w:rsidRPr="00000000">
        <w:rPr>
          <w:i w:val="1"/>
          <w:color w:val="000000"/>
          <w:highlight w:val="white"/>
          <w:rtl w:val="0"/>
        </w:rPr>
        <w:t xml:space="preserve">win ratio</w:t>
      </w:r>
      <w:r w:rsidDel="00000000" w:rsidR="00000000" w:rsidRPr="00000000">
        <w:rPr>
          <w:color w:val="000000"/>
          <w:highlight w:val="white"/>
          <w:rtl w:val="0"/>
        </w:rPr>
        <w:t xml:space="preserve"> padrão composto por tempo até a morte por todas as causas e número de hospitalizações por todas as causas até a semana 84, usando as razões de risco (HR) de cada componente. Como desfechos secundários e terciários, avaliaremos a evolução da qualidade de vida com o questionário EQ-5D, a adesão às aferições da PA domiciliar e na adesão a terapias anti-hipertensivas, hipolipemiantes e hipoglicemiantes no período, além da construção de um modelo preditivo para morte e hospitalizações por todas as causas, usando algoritmos específicos para dados tabulares com métodos Bayesianos não-paramétricos para análise de sobrevida com riscos competitivos</w:t>
      </w:r>
      <w:r w:rsidDel="00000000" w:rsidR="00000000" w:rsidRPr="00000000">
        <w:rPr>
          <w:i w:val="1"/>
          <w:color w:val="000000"/>
          <w:highlight w:val="white"/>
          <w:rtl w:val="0"/>
        </w:rPr>
        <w:t xml:space="preserve">.</w:t>
      </w:r>
      <w:r w:rsidDel="00000000" w:rsidR="00000000" w:rsidRPr="00000000">
        <w:rPr>
          <w:rtl w:val="0"/>
        </w:rPr>
      </w:r>
    </w:p>
    <w:p w:rsidR="00000000" w:rsidDel="00000000" w:rsidP="00000000" w:rsidRDefault="00000000" w:rsidRPr="00000000" w14:paraId="00000021">
      <w:pPr>
        <w:spacing w:line="276" w:lineRule="auto"/>
        <w:jc w:val="both"/>
        <w:rPr>
          <w:color w:val="000000"/>
          <w:highlight w:val="white"/>
        </w:rPr>
      </w:pPr>
      <w:r w:rsidDel="00000000" w:rsidR="00000000" w:rsidRPr="00000000">
        <w:rPr>
          <w:rtl w:val="0"/>
        </w:rPr>
      </w:r>
    </w:p>
    <w:p w:rsidR="00000000" w:rsidDel="00000000" w:rsidP="00000000" w:rsidRDefault="00000000" w:rsidRPr="00000000" w14:paraId="00000022">
      <w:pPr>
        <w:spacing w:line="276" w:lineRule="auto"/>
        <w:jc w:val="both"/>
        <w:rPr>
          <w:color w:val="000000"/>
          <w:highlight w:val="white"/>
        </w:rPr>
      </w:pPr>
      <w:r w:rsidDel="00000000" w:rsidR="00000000" w:rsidRPr="00000000">
        <w:rPr>
          <w:b w:val="1"/>
          <w:color w:val="000000"/>
          <w:highlight w:val="white"/>
          <w:rtl w:val="0"/>
        </w:rPr>
        <w:t xml:space="preserve">Palavras-chave:</w:t>
      </w:r>
      <w:r w:rsidDel="00000000" w:rsidR="00000000" w:rsidRPr="00000000">
        <w:rPr>
          <w:color w:val="000000"/>
          <w:highlight w:val="white"/>
          <w:rtl w:val="0"/>
        </w:rPr>
        <w:t xml:space="preserve"> Doenças Cardiovasculares; Telemonitoramento; Saúde Coletiva; Modelos de Predição.</w:t>
      </w:r>
    </w:p>
    <w:p w:rsidR="00000000" w:rsidDel="00000000" w:rsidP="00000000" w:rsidRDefault="00000000" w:rsidRPr="00000000" w14:paraId="00000023">
      <w:pPr>
        <w:spacing w:line="276" w:lineRule="auto"/>
        <w:jc w:val="both"/>
        <w:rPr>
          <w:color w:val="000000"/>
          <w:highlight w:val="white"/>
        </w:rPr>
      </w:pPr>
      <w:r w:rsidDel="00000000" w:rsidR="00000000" w:rsidRPr="00000000">
        <w:rPr>
          <w:rtl w:val="0"/>
        </w:rPr>
      </w:r>
    </w:p>
    <w:p w:rsidR="00000000" w:rsidDel="00000000" w:rsidP="00000000" w:rsidRDefault="00000000" w:rsidRPr="00000000" w14:paraId="00000024">
      <w:pPr>
        <w:spacing w:line="276" w:lineRule="auto"/>
        <w:jc w:val="both"/>
        <w:rPr>
          <w:color w:val="000000"/>
          <w:highlight w:val="white"/>
        </w:rPr>
      </w:pPr>
      <w:r w:rsidDel="00000000" w:rsidR="00000000" w:rsidRPr="00000000">
        <w:rPr>
          <w:rtl w:val="0"/>
        </w:rPr>
      </w:r>
    </w:p>
    <w:p w:rsidR="00000000" w:rsidDel="00000000" w:rsidP="00000000" w:rsidRDefault="00000000" w:rsidRPr="00000000" w14:paraId="00000025">
      <w:pPr>
        <w:spacing w:line="276" w:lineRule="auto"/>
        <w:jc w:val="both"/>
        <w:rPr>
          <w:color w:val="000000"/>
          <w:highlight w:val="whit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5524500</wp:posOffset>
                </wp:positionH>
                <wp:positionV relativeFrom="paragraph">
                  <wp:posOffset>330200</wp:posOffset>
                </wp:positionV>
                <wp:extent cx="550501" cy="360378"/>
                <wp:effectExtent b="0" l="0" r="0" t="0"/>
                <wp:wrapNone/>
                <wp:docPr id="2129596938" name=""/>
                <a:graphic>
                  <a:graphicData uri="http://schemas.microsoft.com/office/word/2010/wordprocessingShape">
                    <wps:wsp>
                      <wps:cNvSpPr/>
                      <wps:cNvPr id="11" name="Shape 11"/>
                      <wps:spPr>
                        <a:xfrm>
                          <a:off x="5083450" y="3612511"/>
                          <a:ext cx="525101" cy="334978"/>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5524500</wp:posOffset>
                </wp:positionH>
                <wp:positionV relativeFrom="paragraph">
                  <wp:posOffset>330200</wp:posOffset>
                </wp:positionV>
                <wp:extent cx="550501" cy="360378"/>
                <wp:effectExtent b="0" l="0" r="0" t="0"/>
                <wp:wrapNone/>
                <wp:docPr id="2129596938" name="image31.png"/>
                <a:graphic>
                  <a:graphicData uri="http://schemas.openxmlformats.org/drawingml/2006/picture">
                    <pic:pic>
                      <pic:nvPicPr>
                        <pic:cNvPr id="0" name="image31.png"/>
                        <pic:cNvPicPr preferRelativeResize="0"/>
                      </pic:nvPicPr>
                      <pic:blipFill>
                        <a:blip r:embed="rId13"/>
                        <a:srcRect/>
                        <a:stretch>
                          <a:fillRect/>
                        </a:stretch>
                      </pic:blipFill>
                      <pic:spPr>
                        <a:xfrm>
                          <a:off x="0" y="0"/>
                          <a:ext cx="550501" cy="360378"/>
                        </a:xfrm>
                        <a:prstGeom prst="rect"/>
                        <a:ln/>
                      </pic:spPr>
                    </pic:pic>
                  </a:graphicData>
                </a:graphic>
              </wp:anchor>
            </w:drawing>
          </mc:Fallback>
        </mc:AlternateContent>
      </w:r>
    </w:p>
    <w:p w:rsidR="00000000" w:rsidDel="00000000" w:rsidP="00000000" w:rsidRDefault="00000000" w:rsidRPr="00000000" w14:paraId="00000026">
      <w:pPr>
        <w:spacing w:line="276" w:lineRule="auto"/>
        <w:jc w:val="both"/>
        <w:rPr>
          <w:color w:val="000000"/>
          <w:highlight w:val="whit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5613400</wp:posOffset>
                </wp:positionH>
                <wp:positionV relativeFrom="paragraph">
                  <wp:posOffset>342900</wp:posOffset>
                </wp:positionV>
                <wp:extent cx="666103" cy="269843"/>
                <wp:effectExtent b="0" l="0" r="0" t="0"/>
                <wp:wrapNone/>
                <wp:docPr id="2129596934" name=""/>
                <a:graphic>
                  <a:graphicData uri="http://schemas.microsoft.com/office/word/2010/wordprocessingShape">
                    <wps:wsp>
                      <wps:cNvSpPr/>
                      <wps:cNvPr id="7" name="Shape 7"/>
                      <wps:spPr>
                        <a:xfrm>
                          <a:off x="5025649" y="3657779"/>
                          <a:ext cx="640703" cy="244443"/>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5613400</wp:posOffset>
                </wp:positionH>
                <wp:positionV relativeFrom="paragraph">
                  <wp:posOffset>342900</wp:posOffset>
                </wp:positionV>
                <wp:extent cx="666103" cy="269843"/>
                <wp:effectExtent b="0" l="0" r="0" t="0"/>
                <wp:wrapNone/>
                <wp:docPr id="2129596934" name="image27.png"/>
                <a:graphic>
                  <a:graphicData uri="http://schemas.openxmlformats.org/drawingml/2006/picture">
                    <pic:pic>
                      <pic:nvPicPr>
                        <pic:cNvPr id="0" name="image27.png"/>
                        <pic:cNvPicPr preferRelativeResize="0"/>
                      </pic:nvPicPr>
                      <pic:blipFill>
                        <a:blip r:embed="rId14"/>
                        <a:srcRect/>
                        <a:stretch>
                          <a:fillRect/>
                        </a:stretch>
                      </pic:blipFill>
                      <pic:spPr>
                        <a:xfrm>
                          <a:off x="0" y="0"/>
                          <a:ext cx="666103" cy="269843"/>
                        </a:xfrm>
                        <a:prstGeom prst="rect"/>
                        <a:ln/>
                      </pic:spPr>
                    </pic:pic>
                  </a:graphicData>
                </a:graphic>
              </wp:anchor>
            </w:drawing>
          </mc:Fallback>
        </mc:AlternateContent>
      </w:r>
    </w:p>
    <w:p w:rsidR="00000000" w:rsidDel="00000000" w:rsidP="00000000" w:rsidRDefault="00000000" w:rsidRPr="00000000" w14:paraId="000000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SUMÁRIO</w:t>
      </w:r>
    </w:p>
    <w:sdt>
      <w:sdtPr>
        <w:docPartObj>
          <w:docPartGallery w:val="Table of Contents"/>
          <w:docPartUnique w:val="1"/>
        </w:docPartObj>
      </w:sdtPr>
      <w:sdtContent>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tab/>
              <w:t xml:space="preserve">CONTEXTUALIZAÇÃO</w:t>
              <w:tab/>
              <w:t xml:space="preserve">5</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CONTROLE DA PRESSÃO ARTERIAL</w:t>
              <w:tab/>
              <w:t xml:space="preserve">7</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CONTROLE GLICÊMICO</w:t>
              <w:tab/>
              <w:t xml:space="preserve">7</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CONTROLE DO COLESTEROL LDL</w:t>
              <w:tab/>
              <w:t xml:space="preserve">8</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OBJETIVOS</w:t>
              <w:tab/>
              <w:t xml:space="preserve">8</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tab/>
              <w:t xml:space="preserve">OBJETIVOS SECUNDÁRIOS</w:t>
              <w:tab/>
              <w:t xml:space="preserve">8</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tab/>
              <w:t xml:space="preserve">OBJETIVOS TERCIÁRIOS</w:t>
              <w:tab/>
              <w:t xml:space="preserve">9</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MÉTODOS</w:t>
              <w:tab/>
              <w:t xml:space="preserve">9</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tab/>
              <w:t xml:space="preserve">TIPO DE ESTUDO</w:t>
              <w:tab/>
              <w:t xml:space="preserve">9</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tab/>
              <w:t xml:space="preserve">DESCRIÇÃO DAS VISITAS E PROTOCOLO DO ESTUDO</w:t>
              <w:tab/>
              <w:t xml:space="preserve">9</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3.2.1</w:t>
            </w:r>
          </w:hyperlink>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SELEÇÃO E RANDOMIZAÇÃO (D0)</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3.2.2</w:t>
            </w:r>
          </w:hyperlink>
          <w:hyperlink w:anchor="_heading=h.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VISITAS DE ACOMPANHAMENTO (V1 – V5 E V7 – V10)</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3.2.3</w:t>
            </w:r>
          </w:hyperlink>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VISITA DE ACOMPANHAMENTO (V6 – SEMANA 56)</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5nkun2">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3.2.4</w:t>
            </w:r>
          </w:hyperlink>
          <w:hyperlink w:anchor="_heading=h.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VISITAS DE ACOMPANHAMENTO (V10 – SEMANA 84)</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tab/>
              <w:t xml:space="preserve">POPULAÇÃO DE ESTUDO</w:t>
              <w:tab/>
              <w:t xml:space="preserve">11</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3.3.1</w:t>
            </w:r>
          </w:hyperlink>
          <w:hyperlink w:anchor="_heading=h.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CRITÉRIOS DE INCLUSÃO</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3.3.2</w:t>
            </w:r>
          </w:hyperlink>
          <w:hyperlink w:anchor="_heading=h.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CRITÉRIOS DE EXCLUSÃO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tab/>
              <w:t xml:space="preserve">RECRUTAMENTO</w:t>
              <w:tab/>
              <w:t xml:space="preserve">13</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tab/>
              <w:t xml:space="preserve">INTERVENÇÃO DO ESTUDO</w:t>
              <w:tab/>
              <w:t xml:space="preserve">15</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tab/>
              <w:t xml:space="preserve">RANDOMIZAÇÃO E CEGAMENTO</w:t>
              <w:tab/>
              <w:t xml:space="preserve">15</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tab/>
              <w:t xml:space="preserve">AVALIAÇÕES DE EFICÁCIA</w:t>
              <w:tab/>
              <w:t xml:space="preserve">22</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tab/>
              <w:t xml:space="preserve">AVALIAÇÕES DE SEGURANÇA</w:t>
              <w:tab/>
              <w:t xml:space="preserve">24</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tab/>
              <w:t xml:space="preserve">DEFINIÇÃO DE EVENTOS ADVERSOS</w:t>
              <w:tab/>
              <w:t xml:space="preserve">24</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w:t>
              <w:tab/>
              <w:t xml:space="preserve">CLASSIFICAÇÃO DE EVENTO ADVERSO</w:t>
              <w:tab/>
              <w:t xml:space="preserve">25</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5.3.1</w:t>
            </w:r>
          </w:hyperlink>
          <w:hyperlink w:anchor="_heading=h.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GRAVIDADE DO EVENTO</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5.3.2</w:t>
            </w:r>
          </w:hyperlink>
          <w:hyperlink w:anchor="_heading=h.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AVALIAÇÃO DA CAUSALIDADE</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5.3.3</w:t>
            </w:r>
          </w:hyperlink>
          <w:hyperlink w:anchor="_heading=h.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EVENTOS ADVERSOS INESPERADOS</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5.3.4</w:t>
            </w:r>
          </w:hyperlink>
          <w:hyperlink w:anchor="_heading=h.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EVENTOS ADVERSOS GRAVES</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w:t>
              <w:tab/>
              <w:t xml:space="preserve">PARÂMETROS DE AVALIAÇÃO DA SEGURANÇA</w:t>
              <w:tab/>
              <w:t xml:space="preserve">27</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tab/>
              <w:t xml:space="preserve">PERÍODO E FREQUÊNCIA PARA AVALIAÇÃO E ACOMPANHAMENTO DE EVENTOS ADVERSOS</w:t>
              <w:tab/>
              <w:t xml:space="preserve">27</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tab/>
              <w:t xml:space="preserve">NOTIFICAÇÃO DE EVENTOS ADVERSOS</w:t>
              <w:tab/>
              <w:t xml:space="preserve">27</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tab/>
              <w:t xml:space="preserve">NOTIFICAÇÃO DE EVENTOS ADVERSOS GRAVES</w:t>
              <w:tab/>
              <w:t xml:space="preserve">28</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w:t>
              <w:tab/>
              <w:t xml:space="preserve">POPULAÇÕES DE ANÁLISE</w:t>
              <w:tab/>
              <w:t xml:space="preserve">29</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tab/>
              <w:t xml:space="preserve">CÁLCULO DO TAMANHO AMOSTRAL</w:t>
              <w:tab/>
              <w:t xml:space="preserve">29</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tab/>
              <w:t xml:space="preserve">MÉTODOS ESTATÍSTICOS</w:t>
              <w:tab/>
              <w:t xml:space="preserve">30</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fwokq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7.3.1</w:t>
            </w:r>
          </w:hyperlink>
          <w:hyperlink w:anchor="_heading=h.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ABORDAGEM GERAL</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7.3.2</w:t>
            </w:r>
          </w:hyperlink>
          <w:hyperlink w:anchor="_heading=h.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ESTATÍSTICA DESCRITIVA</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7.3.3</w:t>
            </w:r>
          </w:hyperlink>
          <w:hyperlink w:anchor="_heading=h.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ANÁLISE DA EFICÁCIA</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u6wntf">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7.3.4</w:t>
            </w:r>
          </w:hyperlink>
          <w:hyperlink w:anchor="_heading=h.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ANÁLISE DO DESFECHO PRIMÁRIO</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tbugp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7.3.5</w:t>
            </w:r>
          </w:hyperlink>
          <w:hyperlink w:anchor="_heading=h.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ANÁLISE DO(S) DESFECHO(S) SECUNDÁRIO(S)</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8h4qwu">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7.3.6</w:t>
            </w:r>
          </w:hyperlink>
          <w:hyperlink w:anchor="_heading=h.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ANÁLISE DO(S) DESFECHOS(S) TERCIÁRIO(S)</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 ANÁLISES DE SEGURANÇA</w:t>
              <w:tab/>
              <w:t xml:space="preserve">34</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7m2jsg">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7.4.1 ANÁLISES DE SUBGRUPOS</w:t>
              <w:tab/>
              <w:t xml:space="preserve">34</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tab/>
              <w:t xml:space="preserve">ASPECTOS ÉTICOS</w:t>
              <w:tab/>
              <w:t xml:space="preserve">35</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sqyw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tab/>
              <w:t xml:space="preserve">POLÍTICA DE PUBLICAÇÃO E COMPARTILHAMENTO DE DADOS</w:t>
              <w:tab/>
              <w:t xml:space="preserve">44</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cqmet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tab/>
              <w:t xml:space="preserve">CONCLUSÃO DO ESTUDO</w:t>
              <w:tab/>
              <w:t xml:space="preserve">45</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rvwp1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tab/>
              <w:t xml:space="preserve">ALTERAÇÕES DO PROTOCOLO</w:t>
              <w:tab/>
              <w:t xml:space="preserve">45</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bvk7p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tab/>
              <w:t xml:space="preserve">COORDENADORES DE ESTUDO</w:t>
              <w:tab/>
              <w:t xml:space="preserve">45</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tab/>
              <w:t xml:space="preserve">CRONOGRAMA</w:t>
              <w:tab/>
              <w:t xml:space="preserve">46</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5b2l0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tab/>
              <w:t xml:space="preserve">ORÇAMENTO E VIABILIDADE FINANCEIRA</w:t>
              <w:tab/>
              <w:t xml:space="preserve">47</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APÊNDICE I - TERMO DE CONSENTIMENTO LIVRE E ESCLARECIDO</w:t>
              <w:tab/>
              <w:t xml:space="preserve">53</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vir7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APÊNDICE II - PLANO DE ATIVIDADES DA COMISSÃO INDEPENDENTE DE MONITORAMENTO E SEGURANÇA - CIMS</w:t>
              <w:tab/>
              <w:t xml:space="preserve">58</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hv69v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APÊNDICE III - ESTUDO EM AMBIENTE OPERACIONAL PARA AVALIAÇÃO DE ADESÃO, EFICÁCIA E EFETIVIDADE DA PLATAFORMA TAMIS</w:t>
              <w:tab/>
              <w:t xml:space="preserve">60</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x0gk3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APÊNDICE IV - INSTRUMENTO DE COLETA DE DADOS</w:t>
              <w:tab/>
              <w:t xml:space="preserve">63</w:t>
            </w:r>
          </w:hyperlink>
          <w:r w:rsidDel="00000000" w:rsidR="00000000" w:rsidRPr="00000000">
            <w:rPr>
              <w:rtl w:val="0"/>
            </w:rPr>
          </w:r>
        </w:p>
        <w:p w:rsidR="00000000" w:rsidDel="00000000" w:rsidP="00000000" w:rsidRDefault="00000000" w:rsidRPr="00000000" w14:paraId="0000005E">
          <w:pPr>
            <w:rPr>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F">
      <w:pPr>
        <w:spacing w:line="276" w:lineRule="auto"/>
        <w:jc w:val="both"/>
        <w:rPr>
          <w:color w:val="000000"/>
          <w:highlight w:val="white"/>
        </w:rPr>
      </w:pPr>
      <w:r w:rsidDel="00000000" w:rsidR="00000000" w:rsidRPr="00000000">
        <w:rPr>
          <w:rtl w:val="0"/>
        </w:rPr>
      </w:r>
    </w:p>
    <w:p w:rsidR="00000000" w:rsidDel="00000000" w:rsidP="00000000" w:rsidRDefault="00000000" w:rsidRPr="00000000" w14:paraId="00000060">
      <w:pPr>
        <w:spacing w:line="276" w:lineRule="auto"/>
        <w:jc w:val="both"/>
        <w:rPr>
          <w:color w:val="000000"/>
          <w:highlight w:val="white"/>
        </w:rPr>
      </w:pPr>
      <w:r w:rsidDel="00000000" w:rsidR="00000000" w:rsidRPr="00000000">
        <w:rPr>
          <w:rtl w:val="0"/>
        </w:rPr>
      </w:r>
    </w:p>
    <w:p w:rsidR="00000000" w:rsidDel="00000000" w:rsidP="00000000" w:rsidRDefault="00000000" w:rsidRPr="00000000" w14:paraId="00000061">
      <w:pPr>
        <w:ind w:left="426" w:firstLine="141"/>
        <w:jc w:val="both"/>
        <w:rPr>
          <w:b w:val="1"/>
        </w:rPr>
      </w:pPr>
      <w:r w:rsidDel="00000000" w:rsidR="00000000" w:rsidRPr="00000000">
        <w:br w:type="page"/>
      </w:r>
      <w:r w:rsidDel="00000000" w:rsidR="00000000" w:rsidRPr="00000000">
        <w:rPr>
          <w:b w:val="1"/>
          <w:color w:val="000000"/>
          <w:rtl w:val="0"/>
        </w:rPr>
        <w:t xml:space="preserve">1. </w:t>
      </w:r>
      <w:r w:rsidDel="00000000" w:rsidR="00000000" w:rsidRPr="00000000">
        <w:rPr>
          <w:b w:val="1"/>
          <w:rtl w:val="0"/>
        </w:rPr>
        <w:t xml:space="preserve">PROTOCOLO DO ESTUDO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5524500</wp:posOffset>
                </wp:positionH>
                <wp:positionV relativeFrom="paragraph">
                  <wp:posOffset>1625600</wp:posOffset>
                </wp:positionV>
                <wp:extent cx="666103" cy="269843"/>
                <wp:effectExtent b="0" l="0" r="0" t="0"/>
                <wp:wrapNone/>
                <wp:docPr id="2129596930" name=""/>
                <a:graphic>
                  <a:graphicData uri="http://schemas.microsoft.com/office/word/2010/wordprocessingShape">
                    <wps:wsp>
                      <wps:cNvSpPr/>
                      <wps:cNvPr id="3" name="Shape 3"/>
                      <wps:spPr>
                        <a:xfrm>
                          <a:off x="5025649" y="3657779"/>
                          <a:ext cx="640703" cy="244443"/>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5524500</wp:posOffset>
                </wp:positionH>
                <wp:positionV relativeFrom="paragraph">
                  <wp:posOffset>1625600</wp:posOffset>
                </wp:positionV>
                <wp:extent cx="666103" cy="269843"/>
                <wp:effectExtent b="0" l="0" r="0" t="0"/>
                <wp:wrapNone/>
                <wp:docPr id="2129596930" name="image23.png"/>
                <a:graphic>
                  <a:graphicData uri="http://schemas.openxmlformats.org/drawingml/2006/picture">
                    <pic:pic>
                      <pic:nvPicPr>
                        <pic:cNvPr id="0" name="image23.png"/>
                        <pic:cNvPicPr preferRelativeResize="0"/>
                      </pic:nvPicPr>
                      <pic:blipFill>
                        <a:blip r:embed="rId15"/>
                        <a:srcRect/>
                        <a:stretch>
                          <a:fillRect/>
                        </a:stretch>
                      </pic:blipFill>
                      <pic:spPr>
                        <a:xfrm>
                          <a:off x="0" y="0"/>
                          <a:ext cx="666103" cy="2698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5842000</wp:posOffset>
                </wp:positionH>
                <wp:positionV relativeFrom="paragraph">
                  <wp:posOffset>292100</wp:posOffset>
                </wp:positionV>
                <wp:extent cx="106881" cy="233630"/>
                <wp:effectExtent b="0" l="0" r="0" t="0"/>
                <wp:wrapNone/>
                <wp:docPr id="2129596936" name=""/>
                <a:graphic>
                  <a:graphicData uri="http://schemas.microsoft.com/office/word/2010/wordprocessingShape">
                    <wps:wsp>
                      <wps:cNvSpPr/>
                      <wps:cNvPr id="9" name="Shape 9"/>
                      <wps:spPr>
                        <a:xfrm>
                          <a:off x="5305260" y="3675885"/>
                          <a:ext cx="81481" cy="20823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5842000</wp:posOffset>
                </wp:positionH>
                <wp:positionV relativeFrom="paragraph">
                  <wp:posOffset>292100</wp:posOffset>
                </wp:positionV>
                <wp:extent cx="106881" cy="233630"/>
                <wp:effectExtent b="0" l="0" r="0" t="0"/>
                <wp:wrapNone/>
                <wp:docPr id="2129596936" name="image29.png"/>
                <a:graphic>
                  <a:graphicData uri="http://schemas.openxmlformats.org/drawingml/2006/picture">
                    <pic:pic>
                      <pic:nvPicPr>
                        <pic:cNvPr id="0" name="image29.png"/>
                        <pic:cNvPicPr preferRelativeResize="0"/>
                      </pic:nvPicPr>
                      <pic:blipFill>
                        <a:blip r:embed="rId16"/>
                        <a:srcRect/>
                        <a:stretch>
                          <a:fillRect/>
                        </a:stretch>
                      </pic:blipFill>
                      <pic:spPr>
                        <a:xfrm>
                          <a:off x="0" y="0"/>
                          <a:ext cx="106881" cy="2336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5638800</wp:posOffset>
                </wp:positionH>
                <wp:positionV relativeFrom="paragraph">
                  <wp:posOffset>3962400</wp:posOffset>
                </wp:positionV>
                <wp:extent cx="550501" cy="360378"/>
                <wp:effectExtent b="0" l="0" r="0" t="0"/>
                <wp:wrapNone/>
                <wp:docPr id="2129596931" name=""/>
                <a:graphic>
                  <a:graphicData uri="http://schemas.microsoft.com/office/word/2010/wordprocessingShape">
                    <wps:wsp>
                      <wps:cNvSpPr/>
                      <wps:cNvPr id="4" name="Shape 4"/>
                      <wps:spPr>
                        <a:xfrm>
                          <a:off x="5083450" y="3612511"/>
                          <a:ext cx="525101" cy="334978"/>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5638800</wp:posOffset>
                </wp:positionH>
                <wp:positionV relativeFrom="paragraph">
                  <wp:posOffset>3962400</wp:posOffset>
                </wp:positionV>
                <wp:extent cx="550501" cy="360378"/>
                <wp:effectExtent b="0" l="0" r="0" t="0"/>
                <wp:wrapNone/>
                <wp:docPr id="2129596931" name="image24.png"/>
                <a:graphic>
                  <a:graphicData uri="http://schemas.openxmlformats.org/drawingml/2006/picture">
                    <pic:pic>
                      <pic:nvPicPr>
                        <pic:cNvPr id="0" name="image24.png"/>
                        <pic:cNvPicPr preferRelativeResize="0"/>
                      </pic:nvPicPr>
                      <pic:blipFill>
                        <a:blip r:embed="rId17"/>
                        <a:srcRect/>
                        <a:stretch>
                          <a:fillRect/>
                        </a:stretch>
                      </pic:blipFill>
                      <pic:spPr>
                        <a:xfrm>
                          <a:off x="0" y="0"/>
                          <a:ext cx="550501" cy="360378"/>
                        </a:xfrm>
                        <a:prstGeom prst="rect"/>
                        <a:ln/>
                      </pic:spPr>
                    </pic:pic>
                  </a:graphicData>
                </a:graphic>
              </wp:anchor>
            </w:drawing>
          </mc:Fallback>
        </mc:AlternateContent>
      </w:r>
    </w:p>
    <w:p w:rsidR="00000000" w:rsidDel="00000000" w:rsidP="00000000" w:rsidRDefault="00000000" w:rsidRPr="00000000" w14:paraId="00000062">
      <w:pPr>
        <w:rPr>
          <w:color w:val="000000"/>
          <w:highlight w:val="white"/>
        </w:rPr>
      </w:pPr>
      <w:r w:rsidDel="00000000" w:rsidR="00000000" w:rsidRPr="00000000">
        <w:rPr>
          <w:rtl w:val="0"/>
        </w:rPr>
      </w:r>
    </w:p>
    <w:p w:rsidR="00000000" w:rsidDel="00000000" w:rsidP="00000000" w:rsidRDefault="00000000" w:rsidRPr="00000000" w14:paraId="00000063">
      <w:pPr>
        <w:pStyle w:val="Heading1"/>
        <w:numPr>
          <w:ilvl w:val="1"/>
          <w:numId w:val="1"/>
        </w:numPr>
        <w:spacing w:after="360" w:lineRule="auto"/>
        <w:ind w:left="709" w:hanging="294"/>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 CONTEXTUALIZAÇÃO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 próximas décadas, as doenças cardiovasculares e cerebrovasculares se tornarão ainda mais prevalentes, se estabelecendo como a principal causa de morte nos países de renda baixa e média (PRBM). Até 2040, espera-se que a América Latina (AL) tenha atingido a maior taxa de mortes relacionadas a doenças cardiovasculares por habitante no mundo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superando países como China e Índia. Atualmente, as doenças cardiovasculares e cerebrovasculares isquêmicas são responsáveis por cerca de 30% de todas as causas de morte no mundo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Brasil, sua prevalência é de 69% dos óbitos em indivíduos entre 20 a 59 anos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Além disso, ao acometer uma população na fase mais produtiva da vida, as doenças cardiovasculares isquêmicas são atualmente as causas mais expressivas de morbidade e perda de produtividade na população adulta da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países desenvolvidos, as estratégias de prevenção primária e secundária nas últimas quatro décadas foram responsáveis por uma pequena redução, mas consistente, da incidência de doenças isquêmicas com altas taxas de mortalidade, como o infarto do miocárdio (IM) e acidente vascular cerebral (AVC)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Nos países em desenvolvimento, no entanto, uma tendência contrária ainda persiste e pode refletir alguns erros na saúde pública, o que inclui o acesso precário às políticas de prevenção e promoção da saúde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6,7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374151"/>
          <w:sz w:val="24"/>
          <w:szCs w:val="24"/>
          <w:u w:val="none"/>
          <w:shd w:fill="f7f7f8"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Adicionalmente, os PRBM acumulam 82% dos casos mundiais de doenças não transmissíveis (DNTs), gerando custos anuais superiores a 1,2 trilhão de dólares americanos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Embora tenham sido alcançados grandes avanços na prevenção primária e secundária por meio da implementação de estratégias de diagnóstico precoce e acompanhamento de doenças crônicas, a adesão aos objetivos terapêuticos continua sendo um desafio em todo o mundo. Em países como Canadá e Suécia, dados populacionais sugerem que a taxa de controle do diabetes mellitus tipo 2 (DM2), hipertensão arterial sistêmica (HAS) e dislipidemia é de cerca de 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AL, estima-se que a taxa de controle da hipertensão arterial esteja em torno de 5-8%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uma grande coorte de base comunitária no Brasil, as taxas de controle foram de 30,6% para HAS; 18,8% para colesterol LDL e 41% para hemoglobina glicada (HbA1c), sendo que apenas 3,2% dos participantes do estudo atingiram as três metas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Atualmente, programas de educação continuada, diretrizes de prática médica, educação do paciente e incentivos para identificação e controle de fatores de risco têm gerado uma pequena redução, porém persistente, de eventos cardiovasculares agudos em países desenvolvidos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5,12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PRBM, a população frequentemente possui acesso mais restrito aos cuidados de saúde, diagnóstico e tratamento. As dificuldades na gestão em saúde são, em sua maioria, decorrentes de falhas no processo de coleta de informações da comunidade, além do equilíbrio entre avaliação, monitoramento e implementação de mudanças nas políticas públicas de saúde. Conforme dados fornecidos pela Organização Mundial da Saúde (OMS), intervenções sistemáticas em fatores de risco e investimentos na eficiência do sistema de saúde podem trazer benefícios imediatos à saúde coletiva e, consequentemente, reduzir os gastos com a saúde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contrapartida, a implementação dessas políticas nos PRBM tem sido desigual e insuficiente. No Brasil, apesar dos avanços consideráveis nas medidas antitabaco e imunização, que demonstraram uma sólida redução de óbitos e custos evitáveis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13,14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374151"/>
          <w:sz w:val="24"/>
          <w:szCs w:val="24"/>
          <w:u w:val="none"/>
          <w:shd w:fill="f7f7f8"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última década enfrentou uma estagnação nas políticas de controle da hipertensão, diabetes e dislipidemia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cenário que envolve a implementação de políticas públicas de prevenção de doenças cardiovasculares é presumivelmente mais complexo, pois depende de vários fatores interligados, tais como o acesso à saúde, conscientização da população sobre os problemas de saúde, identificação inadequada do paciente, acesso a registros médicos e dados laboratoriais prévios, obstáculos logísticos tanto para os profissionais quanto para os pacientes, tempo limitado do provedor para a educação do paciente, familiaridade incompleta do provedor com diretrizes e dados de ensaios clínicos, preocupações e experiências do paciente em relação aos efeitos colaterais da medicação, disponibilidade de medicamentos, custo e reembolso, bem como adesão terapêutica. Para coordenar todos esses elementos, é necessário um sistema público de saúde bem estruturado e altamente capaz de monitorar e corrigir suas próprias fragilidades.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enfrentar esses desafios, elaboramos 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remoto de gerenciamento de doenças crônicas, baseado em algoritmos de automação do trabalho médicos, seguindo diretrizes padronizadas.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composto por monitores e farmacêuticos licenciados, apoiados pela equipe profissional do Instituto Aramari Apo,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Clarity Healthcare Intelligence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Universidade Católica de Brasília (UCB). Essa solução digital foi projetada para fornecer suporte aos fluxos de trabalho clínico, com o objetivo de melhorar a eficiência e promover a padronização do atendimento, ampliar os canais de comunicação, bem como aprimorar a coleta e análise de dados. Com base nessas iniciativas, temos como objetivo diminuir os obstáculos ao cuidado e ampliar o acesso dos pacientes provenientes de populações desfavorecidas.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 sistema foi desenvolvido com seguimento estrito de protocolos de segurança cibernética e segue estritamente a Lei Geral de Proteção de Dados (LGPD), a Lei do Prontuário Médico e a Resolução 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466 do Conselho Nacional de Saúde.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Algoritmos de gerenciamento de pacientes, baseados em dados de ensaios clínicos, diretrizes e experiência clínica, podem ampliar o acesso aos cuidados direcionados por especialistas, enquanto monitores treinados podem se comunicar e auxiliar na execução de planos de tratamento em casos não complicados. Este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cuidados entregue remotamente destina-se a otimizar o controle dos fatores de risco, tais como pressão arterial (PA), glicemia e níveis das lipoproteínas de baixa densidade (LDL).</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pStyle w:val="Heading1"/>
        <w:spacing w:after="360" w:lineRule="auto"/>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1.2 CONTROLE DA PRESSÃO ARTERIAL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Uma análise de 135 estudos populacionais com 1 milhão de indivíduos revelou que 31,1% da população adulta é hipertensa</w:t>
      </w:r>
      <w:r w:rsidDel="00000000" w:rsidR="00000000" w:rsidRPr="00000000">
        <w:rPr>
          <w:rFonts w:ascii="Times New Roman" w:cs="Times New Roman" w:eastAsia="Times New Roman" w:hAnsi="Times New Roman"/>
          <w:b w:val="0"/>
          <w:i w:val="0"/>
          <w:smallCaps w:val="0"/>
          <w:strike w:val="0"/>
          <w:color w:val="34354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(IC 95%: 30 a 32%). A prevalência de 28,5 e 31,5% foi respectivamente estimada em países com níveis socioeconômicos mais altos e mais baixos. O controle pressórico variou de acordo com as condições socioeconômicas, chegando a 28,4% nos países mais desenvolvidos, e apenas 7,7% nos</w:t>
      </w:r>
      <w:r w:rsidDel="00000000" w:rsidR="00000000" w:rsidRPr="00000000">
        <w:rPr>
          <w:rFonts w:ascii="Times New Roman" w:cs="Times New Roman" w:eastAsia="Times New Roman" w:hAnsi="Times New Roman"/>
          <w:b w:val="0"/>
          <w:i w:val="1"/>
          <w:smallCaps w:val="0"/>
          <w:strike w:val="0"/>
          <w:color w:val="1f497d"/>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PRBMs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Brasil, a taxa de controle pressórico varia de 10,4 a 35,2% em populações estudadas em três regiões do país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1"/>
        <w:spacing w:after="360" w:lineRule="auto"/>
        <w:rPr>
          <w:rFonts w:ascii="Times New Roman" w:cs="Times New Roman" w:eastAsia="Times New Roman" w:hAnsi="Times New Roman"/>
          <w:sz w:val="24"/>
          <w:szCs w:val="24"/>
        </w:rPr>
      </w:pPr>
      <w:bookmarkStart w:colFirst="0" w:colLast="0" w:name="_heading=h.3znysh7" w:id="3"/>
      <w:bookmarkEnd w:id="3"/>
      <w:r w:rsidDel="00000000" w:rsidR="00000000" w:rsidRPr="00000000">
        <w:rPr>
          <w:rFonts w:ascii="Times New Roman" w:cs="Times New Roman" w:eastAsia="Times New Roman" w:hAnsi="Times New Roman"/>
          <w:sz w:val="24"/>
          <w:szCs w:val="24"/>
          <w:rtl w:val="0"/>
        </w:rPr>
        <w:t xml:space="preserve">1.3 CONTROLE GLICÊMICO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controle da glicemia tem uma associação direta com doenças micro e macrovasculares em indivíduos diabéticos. O controle glicêmico intensivo reduziu a progressão de nefropatia diabética em até 39%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Paralelamente, cada redução de 1% na HbA1c está associada à uma redução no risco de insuficiência cardíaca de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à uma redução de risco de eventos macrovasculares de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19</w:t>
      </w:r>
      <w:sdt>
        <w:sdtPr>
          <w:tag w:val="goog_rdk_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Em uma grande coorte de base comunitária no Brasil, a prevalência de controle da HbA1c ≤7,0% em pacientes com DM2 foi de 41%.</w:t>
          </w:r>
        </w:sdtContent>
      </w:sdt>
      <w:r w:rsidDel="00000000" w:rsidR="00000000" w:rsidRPr="00000000">
        <w:rPr>
          <w:rFonts w:ascii="Times New Roman" w:cs="Times New Roman" w:eastAsia="Times New Roman" w:hAnsi="Times New Roman"/>
          <w:b w:val="0"/>
          <w:i w:val="0"/>
          <w:smallCaps w:val="0"/>
          <w:strike w:val="0"/>
          <w:color w:val="374151"/>
          <w:sz w:val="24"/>
          <w:szCs w:val="24"/>
          <w:u w:val="none"/>
          <w:shd w:fill="f7f7f8"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probabilidade de alcançar as metas recomendadas é menor em pacientes com diabetes de longa data e maior risco cardiovascular, conforme observado pela relação inversa entre esses fatores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1"/>
        <w:spacing w:after="360" w:lineRule="auto"/>
        <w:rPr>
          <w:rFonts w:ascii="Times New Roman" w:cs="Times New Roman" w:eastAsia="Times New Roman" w:hAnsi="Times New Roman"/>
          <w:i w:val="1"/>
          <w:color w:val="000000"/>
          <w:sz w:val="24"/>
          <w:szCs w:val="24"/>
        </w:rPr>
      </w:pPr>
      <w:bookmarkStart w:colFirst="0" w:colLast="0" w:name="_heading=h.2et92p0" w:id="4"/>
      <w:bookmarkEnd w:id="4"/>
      <w:r w:rsidDel="00000000" w:rsidR="00000000" w:rsidRPr="00000000">
        <w:rPr>
          <w:rFonts w:ascii="Times New Roman" w:cs="Times New Roman" w:eastAsia="Times New Roman" w:hAnsi="Times New Roman"/>
          <w:sz w:val="24"/>
          <w:szCs w:val="24"/>
          <w:rtl w:val="0"/>
        </w:rPr>
        <w:t xml:space="preserve">1.4 CONTROLE DO COLESTEROL LDL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374151"/>
          <w:sz w:val="24"/>
          <w:szCs w:val="24"/>
          <w:u w:val="none"/>
          <w:shd w:fill="f7f7f8" w:val="clear"/>
          <w:vertAlign w:val="baseline"/>
        </w:rPr>
      </w:pPr>
      <w:sdt>
        <w:sdtPr>
          <w:tag w:val="goog_rdk_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As intervenções que visam diminuir os níveis plasmáticos do colesterol LDL têm demonstrado reduzir de maneira significativa, segura e econômica, os eventos de doença cardiovascular aterosclerótica (DCA). Portanto, a terapia com estatinas é um elemento essencial das diretrizes de tratamento para a prevenção primária e secundária de DCA. Com base em dados robustos de ensaios clínicos, as diretrizes para redução do colesterol estabelecem 4 grupos de pacientes que requerem tratamento com estatinas e controle adequado do colesterol LDL: (1) DCA estabelecido; (2) colesterol LDL ≥190 mg/dL; (3) DM2 com colesterol LDL ≥70 mg/dL; (4) Risco de DCA estimado em 10 anos ≥7,5%</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374151"/>
          <w:sz w:val="24"/>
          <w:szCs w:val="24"/>
          <w:u w:val="none"/>
          <w:shd w:fill="f7f7f8" w:val="clear"/>
          <w:vertAlign w:val="baseline"/>
          <w:rtl w:val="0"/>
        </w:rPr>
        <w:t xml:space="preserve">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Embora essa abordagem baseada em grupos clínicos específicos tenha sido criada para aumentar o uso adequado de estatinas,  a implementação da terapia direcionada pela redução do colesterol LDL ainda é subótima, mesmo entre pacientes com alto risco de DCA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21–23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Apesar de haver associação significativa entre a continuidade do tratamento com estatinas e a redução dos eventos cardiovasculares subsequentes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muitos pacientes que sofreram um infarto agudo do miocárdio (IAM) ainda estão recebendo um tratamento inadequado para redução do colesterol LDL após um 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uma grande coorte de base comunitária no Brasil, a taxa de controle do colesterol LDL em pacientes com DM2 foi de 18,8%. As taxas de prescrição de estatinas e terapia hipolipemiante de alta intensidade foram de apenas 45 e 8,2%, respectivamente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5">
      <w:pPr>
        <w:spacing w:after="240" w:lineRule="auto"/>
        <w:rPr>
          <w:b w:val="1"/>
          <w:color w:val="000000"/>
        </w:rPr>
      </w:pPr>
      <w:r w:rsidDel="00000000" w:rsidR="00000000" w:rsidRPr="00000000">
        <w:rPr>
          <w:rtl w:val="0"/>
        </w:rPr>
      </w:r>
    </w:p>
    <w:p w:rsidR="00000000" w:rsidDel="00000000" w:rsidP="00000000" w:rsidRDefault="00000000" w:rsidRPr="00000000" w14:paraId="00000076">
      <w:pPr>
        <w:pStyle w:val="Heading1"/>
        <w:numPr>
          <w:ilvl w:val="0"/>
          <w:numId w:val="1"/>
        </w:numPr>
        <w:spacing w:after="240" w:line="360" w:lineRule="auto"/>
        <w:ind w:left="142" w:hanging="284"/>
        <w:rPr>
          <w:rFonts w:ascii="Times New Roman" w:cs="Times New Roman" w:eastAsia="Times New Roman" w:hAnsi="Times New Roman"/>
          <w:sz w:val="24"/>
          <w:szCs w:val="24"/>
        </w:rPr>
      </w:pPr>
      <w:bookmarkStart w:colFirst="0" w:colLast="0" w:name="_heading=h.tyjcwt" w:id="5"/>
      <w:bookmarkEnd w:id="5"/>
      <w:r w:rsidDel="00000000" w:rsidR="00000000" w:rsidRPr="00000000">
        <w:rPr>
          <w:rFonts w:ascii="Times New Roman" w:cs="Times New Roman" w:eastAsia="Times New Roman" w:hAnsi="Times New Roman"/>
          <w:sz w:val="24"/>
          <w:szCs w:val="24"/>
          <w:rtl w:val="0"/>
        </w:rPr>
        <w:t xml:space="preserve">OBJETIVOS</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O objetivo geral é avaliar a segurança e a eficácia de um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de gerenciamento do atendimento ao paciente, com automação de tarefas, algoritmos para suporte à tomada de decisão clínica e comunicação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omnichannel.</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O objetivo principal é avaliar o impacto de um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de cuidados prestados remotamente na incidência de desfechos clínicos importantes.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pStyle w:val="Heading1"/>
        <w:numPr>
          <w:ilvl w:val="1"/>
          <w:numId w:val="1"/>
        </w:numPr>
        <w:spacing w:after="120" w:line="360" w:lineRule="auto"/>
        <w:ind w:left="720" w:hanging="360"/>
        <w:rPr>
          <w:rFonts w:ascii="Times New Roman" w:cs="Times New Roman" w:eastAsia="Times New Roman" w:hAnsi="Times New Roman"/>
          <w:sz w:val="24"/>
          <w:szCs w:val="24"/>
        </w:rPr>
      </w:pPr>
      <w:bookmarkStart w:colFirst="0" w:colLast="0" w:name="_heading=h.3dy6vkm" w:id="6"/>
      <w:bookmarkEnd w:id="6"/>
      <w:r w:rsidDel="00000000" w:rsidR="00000000" w:rsidRPr="00000000">
        <w:rPr>
          <w:rFonts w:ascii="Times New Roman" w:cs="Times New Roman" w:eastAsia="Times New Roman" w:hAnsi="Times New Roman"/>
          <w:sz w:val="24"/>
          <w:szCs w:val="24"/>
          <w:rtl w:val="0"/>
        </w:rPr>
        <w:t xml:space="preserve">OBJETIVOS SECUNDÁRIOS</w:t>
      </w:r>
    </w:p>
    <w:p w:rsidR="00000000" w:rsidDel="00000000" w:rsidP="00000000" w:rsidRDefault="00000000" w:rsidRPr="00000000" w14:paraId="0000007B">
      <w:pPr>
        <w:shd w:fill="ffffff" w:val="clear"/>
        <w:spacing w:line="360" w:lineRule="auto"/>
        <w:ind w:firstLine="720"/>
        <w:rPr>
          <w:color w:val="000000"/>
        </w:rPr>
      </w:pPr>
      <w:r w:rsidDel="00000000" w:rsidR="00000000" w:rsidRPr="00000000">
        <w:rPr>
          <w:color w:val="000000"/>
          <w:rtl w:val="0"/>
        </w:rPr>
        <w:t xml:space="preserve">Avaliar o efeito do </w:t>
      </w:r>
      <w:r w:rsidDel="00000000" w:rsidR="00000000" w:rsidRPr="00000000">
        <w:rPr>
          <w:i w:val="1"/>
          <w:color w:val="000000"/>
          <w:rtl w:val="0"/>
        </w:rPr>
        <w:t xml:space="preserve">software </w:t>
      </w:r>
      <w:r w:rsidDel="00000000" w:rsidR="00000000" w:rsidRPr="00000000">
        <w:rPr>
          <w:color w:val="000000"/>
          <w:rtl w:val="0"/>
        </w:rPr>
        <w:t xml:space="preserve">sobre: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1134" w:right="0" w:hanging="70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reportados pelo participante (escala de qualidade de vida e funcionalidade).</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1134" w:right="0" w:hanging="70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Prevalência de aferição regular da PA domiciliar após 12, 56 e 84 semanas.</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1134" w:right="0" w:hanging="70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Prevalência do uso de um, dois, três ou quatro medicamentos anti-hipertensivos após 12, 56 e 84 semanas.</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1134" w:right="0" w:hanging="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Prevalência do uso de estatinas após 12, 56 e 84 semanas.</w:t>
      </w:r>
    </w:p>
    <w:p w:rsidR="00000000" w:rsidDel="00000000" w:rsidP="00000000" w:rsidRDefault="00000000" w:rsidRPr="00000000" w14:paraId="000000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1134" w:right="0" w:hanging="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Prevalência do uso de hipolipemiantes em doses elevadas após 12, 56 e 84 semanas.</w:t>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1134" w:right="0" w:hanging="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Prevalência do uso das classes terapêuticas de inibidores do cotransportador de sódio-glicose-2 (iSGLT2) ou agonistas do receptor de GLP-1 (GLP1-RA) em indivíduos de alto risco após 84 semanas.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1"/>
        <w:numPr>
          <w:ilvl w:val="1"/>
          <w:numId w:val="1"/>
        </w:numPr>
        <w:spacing w:after="360" w:line="360" w:lineRule="auto"/>
        <w:ind w:left="720" w:hanging="360"/>
        <w:rPr>
          <w:rFonts w:ascii="Times New Roman" w:cs="Times New Roman" w:eastAsia="Times New Roman" w:hAnsi="Times New Roman"/>
          <w:sz w:val="24"/>
          <w:szCs w:val="24"/>
        </w:rPr>
      </w:pPr>
      <w:bookmarkStart w:colFirst="0" w:colLast="0" w:name="_heading=h.1t3h5sf" w:id="7"/>
      <w:bookmarkEnd w:id="7"/>
      <w:r w:rsidDel="00000000" w:rsidR="00000000" w:rsidRPr="00000000">
        <w:rPr>
          <w:rFonts w:ascii="Times New Roman" w:cs="Times New Roman" w:eastAsia="Times New Roman" w:hAnsi="Times New Roman"/>
          <w:sz w:val="24"/>
          <w:szCs w:val="24"/>
          <w:rtl w:val="0"/>
        </w:rPr>
        <w:t xml:space="preserve">OBJETIVOS TERCIÁRIOS</w:t>
      </w:r>
    </w:p>
    <w:p w:rsidR="00000000" w:rsidDel="00000000" w:rsidP="00000000" w:rsidRDefault="00000000" w:rsidRPr="00000000" w14:paraId="0000008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Avaliar o impacto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sobre a evolução das médias de PA, glicemia e colesterol LDL entre a randomização e a semana 84.</w:t>
      </w:r>
    </w:p>
    <w:p w:rsidR="00000000" w:rsidDel="00000000" w:rsidP="00000000" w:rsidRDefault="00000000" w:rsidRPr="00000000" w14:paraId="0000008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Construir um modelo preditivo para morte por todas as causas e hospitalizações por todas as causas, usando algoritmos específicos para dados tabulares com métodos Bayesianos não-paramétricos para análise de sobrevida com riscos competitivos como 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deep multi-task Gaussian processes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(DMGPs) 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DeepHit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7">
      <w:pPr>
        <w:shd w:fill="ffffff" w:val="clear"/>
        <w:spacing w:line="360" w:lineRule="auto"/>
        <w:rPr>
          <w:color w:val="000000"/>
        </w:rPr>
      </w:pPr>
      <w:r w:rsidDel="00000000" w:rsidR="00000000" w:rsidRPr="00000000">
        <w:rPr>
          <w:rtl w:val="0"/>
        </w:rPr>
      </w:r>
    </w:p>
    <w:p w:rsidR="00000000" w:rsidDel="00000000" w:rsidP="00000000" w:rsidRDefault="00000000" w:rsidRPr="00000000" w14:paraId="00000088">
      <w:pPr>
        <w:pStyle w:val="Heading1"/>
        <w:numPr>
          <w:ilvl w:val="0"/>
          <w:numId w:val="1"/>
        </w:numPr>
        <w:spacing w:after="240" w:lineRule="auto"/>
        <w:ind w:left="720" w:hanging="360"/>
        <w:rPr>
          <w:rFonts w:ascii="Times New Roman" w:cs="Times New Roman" w:eastAsia="Times New Roman" w:hAnsi="Times New Roman"/>
          <w:sz w:val="24"/>
          <w:szCs w:val="24"/>
        </w:rPr>
      </w:pPr>
      <w:bookmarkStart w:colFirst="0" w:colLast="0" w:name="_heading=h.4d34og8" w:id="8"/>
      <w:bookmarkEnd w:id="8"/>
      <w:r w:rsidDel="00000000" w:rsidR="00000000" w:rsidRPr="00000000">
        <w:rPr>
          <w:rFonts w:ascii="Times New Roman" w:cs="Times New Roman" w:eastAsia="Times New Roman" w:hAnsi="Times New Roman"/>
          <w:sz w:val="24"/>
          <w:szCs w:val="24"/>
          <w:rtl w:val="0"/>
        </w:rPr>
        <w:t xml:space="preserve">MÉTODOS</w:t>
      </w:r>
    </w:p>
    <w:p w:rsidR="00000000" w:rsidDel="00000000" w:rsidP="00000000" w:rsidRDefault="00000000" w:rsidRPr="00000000" w14:paraId="00000089">
      <w:pPr>
        <w:pStyle w:val="Heading1"/>
        <w:numPr>
          <w:ilvl w:val="1"/>
          <w:numId w:val="1"/>
        </w:numPr>
        <w:spacing w:after="240" w:lineRule="auto"/>
        <w:ind w:left="720" w:hanging="360"/>
        <w:rPr>
          <w:rFonts w:ascii="Times New Roman" w:cs="Times New Roman" w:eastAsia="Times New Roman" w:hAnsi="Times New Roman"/>
          <w:sz w:val="24"/>
          <w:szCs w:val="24"/>
        </w:rPr>
      </w:pPr>
      <w:bookmarkStart w:colFirst="0" w:colLast="0" w:name="_heading=h.2s8eyo1" w:id="9"/>
      <w:bookmarkEnd w:id="9"/>
      <w:r w:rsidDel="00000000" w:rsidR="00000000" w:rsidRPr="00000000">
        <w:rPr>
          <w:rFonts w:ascii="Times New Roman" w:cs="Times New Roman" w:eastAsia="Times New Roman" w:hAnsi="Times New Roman"/>
          <w:sz w:val="24"/>
          <w:szCs w:val="24"/>
          <w:rtl w:val="0"/>
        </w:rPr>
        <w:t xml:space="preserve">TIPO DE ESTUDO</w:t>
      </w:r>
    </w:p>
    <w:p w:rsidR="00000000" w:rsidDel="00000000" w:rsidP="00000000" w:rsidRDefault="00000000" w:rsidRPr="00000000" w14:paraId="0000008A">
      <w:pPr>
        <w:spacing w:line="360" w:lineRule="auto"/>
        <w:ind w:firstLine="720"/>
        <w:jc w:val="both"/>
        <w:rPr/>
      </w:pPr>
      <w:r w:rsidDel="00000000" w:rsidR="00000000" w:rsidRPr="00000000">
        <w:rPr>
          <w:rtl w:val="0"/>
        </w:rPr>
        <w:t xml:space="preserve">Trata-se de um ensaio clínico prospectivo, randomizado por </w:t>
      </w:r>
      <w:r w:rsidDel="00000000" w:rsidR="00000000" w:rsidRPr="00000000">
        <w:rPr>
          <w:i w:val="1"/>
          <w:rtl w:val="0"/>
        </w:rPr>
        <w:t xml:space="preserve">clusters</w:t>
      </w:r>
      <w:r w:rsidDel="00000000" w:rsidR="00000000" w:rsidRPr="00000000">
        <w:rPr>
          <w:rtl w:val="0"/>
        </w:rPr>
        <w:t xml:space="preserve">, aberto e controlado para avaliar os efeitos de um </w:t>
      </w:r>
      <w:r w:rsidDel="00000000" w:rsidR="00000000" w:rsidRPr="00000000">
        <w:rPr>
          <w:i w:val="1"/>
          <w:rtl w:val="0"/>
        </w:rPr>
        <w:t xml:space="preserve">software</w:t>
      </w:r>
      <w:r w:rsidDel="00000000" w:rsidR="00000000" w:rsidRPr="00000000">
        <w:rPr>
          <w:rtl w:val="0"/>
        </w:rPr>
        <w:t xml:space="preserve"> remoto de controle de lipídeos, glicose e hipertensão em pacientes adultos em comunidades brasileiras. </w:t>
      </w:r>
    </w:p>
    <w:p w:rsidR="00000000" w:rsidDel="00000000" w:rsidP="00000000" w:rsidRDefault="00000000" w:rsidRPr="00000000" w14:paraId="0000008B">
      <w:pPr>
        <w:spacing w:line="360" w:lineRule="auto"/>
        <w:ind w:firstLine="720"/>
        <w:jc w:val="both"/>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DESCRIÇÃO DAS VISITAS E PROTOCOLO DO ESTUDO</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ind w:firstLine="720"/>
        <w:jc w:val="both"/>
        <w:rPr/>
      </w:pPr>
      <w:r w:rsidDel="00000000" w:rsidR="00000000" w:rsidRPr="00000000">
        <w:rPr>
          <w:rtl w:val="0"/>
        </w:rPr>
        <w:t xml:space="preserve">Os procedimentos e medições estão detalhados na Tabela 1 do Cronograma de Atividades.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3"/>
        <w:numPr>
          <w:ilvl w:val="2"/>
          <w:numId w:val="1"/>
        </w:numPr>
        <w:ind w:left="1080" w:hanging="720"/>
        <w:rPr>
          <w:rFonts w:ascii="Times New Roman" w:cs="Times New Roman" w:eastAsia="Times New Roman" w:hAnsi="Times New Roman"/>
          <w:b w:val="1"/>
        </w:rPr>
      </w:pPr>
      <w:bookmarkStart w:colFirst="0" w:colLast="0" w:name="_heading=h.3rdcrjn" w:id="11"/>
      <w:bookmarkEnd w:id="11"/>
      <w:r w:rsidDel="00000000" w:rsidR="00000000" w:rsidRPr="00000000">
        <w:rPr>
          <w:rFonts w:ascii="Times New Roman" w:cs="Times New Roman" w:eastAsia="Times New Roman" w:hAnsi="Times New Roman"/>
          <w:b w:val="1"/>
          <w:rtl w:val="0"/>
        </w:rPr>
        <w:t xml:space="preserve">SELEÇÃO E RANDOMIZAÇÃO (D0)</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numPr>
          <w:ilvl w:val="0"/>
          <w:numId w:val="21"/>
        </w:numPr>
        <w:spacing w:line="360" w:lineRule="auto"/>
        <w:ind w:left="720" w:hanging="360"/>
        <w:jc w:val="both"/>
        <w:rPr/>
      </w:pPr>
      <w:r w:rsidDel="00000000" w:rsidR="00000000" w:rsidRPr="00000000">
        <w:rPr>
          <w:rtl w:val="0"/>
        </w:rPr>
        <w:t xml:space="preserve">Identificar pacientes que tenham interesse próprio ou de seu representante em participar do estudo;</w:t>
      </w:r>
    </w:p>
    <w:p w:rsidR="00000000" w:rsidDel="00000000" w:rsidP="00000000" w:rsidRDefault="00000000" w:rsidRPr="00000000" w14:paraId="00000093">
      <w:pPr>
        <w:numPr>
          <w:ilvl w:val="0"/>
          <w:numId w:val="21"/>
        </w:numPr>
        <w:spacing w:line="360" w:lineRule="auto"/>
        <w:ind w:left="720" w:hanging="360"/>
        <w:jc w:val="both"/>
        <w:rPr/>
      </w:pPr>
      <w:r w:rsidDel="00000000" w:rsidR="00000000" w:rsidRPr="00000000">
        <w:rPr>
          <w:rtl w:val="0"/>
        </w:rPr>
        <w:t xml:space="preserve">Informar imediatamente aos potenciais participantes sobre os objetivos, intervenção proposta, procedimentos, riscos e benefícios, de acordo com os termos da Resolução do Conselho Nacional de Saúde (CNS) n</w:t>
      </w:r>
      <w:r w:rsidDel="00000000" w:rsidR="00000000" w:rsidRPr="00000000">
        <w:rPr>
          <w:vertAlign w:val="superscript"/>
          <w:rtl w:val="0"/>
        </w:rPr>
        <w:t xml:space="preserve">o</w:t>
      </w:r>
      <w:r w:rsidDel="00000000" w:rsidR="00000000" w:rsidRPr="00000000">
        <w:rPr>
          <w:rtl w:val="0"/>
        </w:rPr>
        <w:t xml:space="preserve"> 466, de 12 de dezembro de 2012;</w:t>
      </w:r>
    </w:p>
    <w:p w:rsidR="00000000" w:rsidDel="00000000" w:rsidP="00000000" w:rsidRDefault="00000000" w:rsidRPr="00000000" w14:paraId="00000094">
      <w:pPr>
        <w:numPr>
          <w:ilvl w:val="0"/>
          <w:numId w:val="21"/>
        </w:numPr>
        <w:spacing w:line="360" w:lineRule="auto"/>
        <w:ind w:left="720" w:hanging="360"/>
        <w:jc w:val="both"/>
        <w:rPr/>
      </w:pPr>
      <w:r w:rsidDel="00000000" w:rsidR="00000000" w:rsidRPr="00000000">
        <w:rPr>
          <w:rtl w:val="0"/>
        </w:rPr>
        <w:t xml:space="preserve"> Confirmar a elegibilidade do potencial participante por meio dos critérios de inclusão e exclusão;</w:t>
      </w:r>
    </w:p>
    <w:p w:rsidR="00000000" w:rsidDel="00000000" w:rsidP="00000000" w:rsidRDefault="00000000" w:rsidRPr="00000000" w14:paraId="00000095">
      <w:pPr>
        <w:numPr>
          <w:ilvl w:val="0"/>
          <w:numId w:val="21"/>
        </w:numPr>
        <w:spacing w:line="360" w:lineRule="auto"/>
        <w:ind w:left="720" w:hanging="360"/>
        <w:jc w:val="both"/>
        <w:rPr/>
      </w:pPr>
      <w:r w:rsidDel="00000000" w:rsidR="00000000" w:rsidRPr="00000000">
        <w:rPr>
          <w:rtl w:val="0"/>
        </w:rPr>
        <w:t xml:space="preserve"> Iniciar a coleta de dados demográficos basais, histórico médico prévio, exame físico, resultados laboratoriais e estado geral de saúde;</w:t>
      </w:r>
    </w:p>
    <w:p w:rsidR="00000000" w:rsidDel="00000000" w:rsidP="00000000" w:rsidRDefault="00000000" w:rsidRPr="00000000" w14:paraId="00000096">
      <w:pPr>
        <w:numPr>
          <w:ilvl w:val="0"/>
          <w:numId w:val="21"/>
        </w:numPr>
        <w:spacing w:line="360" w:lineRule="auto"/>
        <w:ind w:left="720" w:hanging="360"/>
        <w:jc w:val="both"/>
        <w:rPr/>
      </w:pPr>
      <w:r w:rsidDel="00000000" w:rsidR="00000000" w:rsidRPr="00000000">
        <w:rPr>
          <w:rtl w:val="0"/>
        </w:rPr>
        <w:t xml:space="preserve">Registrar os dados coletados em um formato de documentação seguro e inseri-los nas bases de dados apropriadas;</w:t>
      </w:r>
    </w:p>
    <w:p w:rsidR="00000000" w:rsidDel="00000000" w:rsidP="00000000" w:rsidRDefault="00000000" w:rsidRPr="00000000" w14:paraId="00000097">
      <w:pPr>
        <w:numPr>
          <w:ilvl w:val="0"/>
          <w:numId w:val="21"/>
        </w:numPr>
        <w:spacing w:line="360" w:lineRule="auto"/>
        <w:ind w:left="720" w:hanging="360"/>
        <w:jc w:val="both"/>
        <w:rPr/>
      </w:pPr>
      <w:r w:rsidDel="00000000" w:rsidR="00000000" w:rsidRPr="00000000">
        <w:rPr>
          <w:rtl w:val="0"/>
        </w:rPr>
        <w:t xml:space="preserve"> Realizar avaliação da qualidade de vida por meio do questionário EQ-5D.</w:t>
      </w:r>
    </w:p>
    <w:p w:rsidR="00000000" w:rsidDel="00000000" w:rsidP="00000000" w:rsidRDefault="00000000" w:rsidRPr="00000000" w14:paraId="00000098">
      <w:pPr>
        <w:spacing w:line="360" w:lineRule="auto"/>
        <w:jc w:val="both"/>
        <w:rPr/>
      </w:pPr>
      <w:r w:rsidDel="00000000" w:rsidR="00000000" w:rsidRPr="00000000">
        <w:rPr>
          <w:rtl w:val="0"/>
        </w:rPr>
      </w:r>
    </w:p>
    <w:p w:rsidR="00000000" w:rsidDel="00000000" w:rsidP="00000000" w:rsidRDefault="00000000" w:rsidRPr="00000000" w14:paraId="00000099">
      <w:pPr>
        <w:pStyle w:val="Heading3"/>
        <w:numPr>
          <w:ilvl w:val="2"/>
          <w:numId w:val="1"/>
        </w:numPr>
        <w:ind w:left="1080" w:hanging="720"/>
        <w:rPr>
          <w:rFonts w:ascii="Times New Roman" w:cs="Times New Roman" w:eastAsia="Times New Roman" w:hAnsi="Times New Roman"/>
          <w:b w:val="1"/>
        </w:rPr>
      </w:pPr>
      <w:bookmarkStart w:colFirst="0" w:colLast="0" w:name="_heading=h.26in1rg" w:id="12"/>
      <w:bookmarkEnd w:id="12"/>
      <w:r w:rsidDel="00000000" w:rsidR="00000000" w:rsidRPr="00000000">
        <w:rPr>
          <w:rFonts w:ascii="Times New Roman" w:cs="Times New Roman" w:eastAsia="Times New Roman" w:hAnsi="Times New Roman"/>
          <w:b w:val="1"/>
          <w:rtl w:val="0"/>
        </w:rPr>
        <w:t xml:space="preserve">VISITAS DE ACOMPANHAMENTO (V1 – V5 E V7 – V10)</w:t>
      </w:r>
    </w:p>
    <w:p w:rsidR="00000000" w:rsidDel="00000000" w:rsidP="00000000" w:rsidRDefault="00000000" w:rsidRPr="00000000" w14:paraId="0000009A">
      <w:pPr>
        <w:spacing w:line="360" w:lineRule="auto"/>
        <w:rPr/>
      </w:pPr>
      <w:r w:rsidDel="00000000" w:rsidR="00000000" w:rsidRPr="00000000">
        <w:rPr>
          <w:rtl w:val="0"/>
        </w:rPr>
      </w:r>
    </w:p>
    <w:p w:rsidR="00000000" w:rsidDel="00000000" w:rsidP="00000000" w:rsidRDefault="00000000" w:rsidRPr="00000000" w14:paraId="0000009B">
      <w:pPr>
        <w:numPr>
          <w:ilvl w:val="0"/>
          <w:numId w:val="27"/>
        </w:numPr>
        <w:spacing w:line="360" w:lineRule="auto"/>
        <w:ind w:left="720" w:hanging="360"/>
        <w:jc w:val="both"/>
        <w:rPr/>
      </w:pPr>
      <w:r w:rsidDel="00000000" w:rsidR="00000000" w:rsidRPr="00000000">
        <w:rPr>
          <w:rtl w:val="0"/>
        </w:rPr>
        <w:t xml:space="preserve">Registro das medidas globais de PA, colesterol LDL, glicemia e eventos objetivos e subjetivos;</w:t>
      </w:r>
    </w:p>
    <w:p w:rsidR="00000000" w:rsidDel="00000000" w:rsidP="00000000" w:rsidRDefault="00000000" w:rsidRPr="00000000" w14:paraId="0000009C">
      <w:pPr>
        <w:numPr>
          <w:ilvl w:val="0"/>
          <w:numId w:val="27"/>
        </w:numPr>
        <w:spacing w:line="360" w:lineRule="auto"/>
        <w:ind w:left="720" w:hanging="360"/>
        <w:jc w:val="both"/>
        <w:rPr/>
      </w:pPr>
      <w:r w:rsidDel="00000000" w:rsidR="00000000" w:rsidRPr="00000000">
        <w:rPr>
          <w:rtl w:val="0"/>
        </w:rPr>
        <w:t xml:space="preserve">Avaliação de eventos recorrentes e totais;</w:t>
      </w:r>
    </w:p>
    <w:p w:rsidR="00000000" w:rsidDel="00000000" w:rsidP="00000000" w:rsidRDefault="00000000" w:rsidRPr="00000000" w14:paraId="0000009D">
      <w:pPr>
        <w:numPr>
          <w:ilvl w:val="0"/>
          <w:numId w:val="27"/>
        </w:numPr>
        <w:spacing w:line="360" w:lineRule="auto"/>
        <w:ind w:left="720" w:hanging="360"/>
        <w:jc w:val="both"/>
        <w:rPr/>
      </w:pPr>
      <w:r w:rsidDel="00000000" w:rsidR="00000000" w:rsidRPr="00000000">
        <w:rPr>
          <w:rtl w:val="0"/>
        </w:rPr>
        <w:t xml:space="preserve"> Aplicar o protocolo experimental de acordo com a randomização;</w:t>
      </w:r>
    </w:p>
    <w:p w:rsidR="00000000" w:rsidDel="00000000" w:rsidP="00000000" w:rsidRDefault="00000000" w:rsidRPr="00000000" w14:paraId="0000009E">
      <w:pPr>
        <w:numPr>
          <w:ilvl w:val="0"/>
          <w:numId w:val="27"/>
        </w:numPr>
        <w:spacing w:line="360" w:lineRule="auto"/>
        <w:ind w:left="720" w:hanging="360"/>
        <w:jc w:val="both"/>
        <w:rPr/>
      </w:pPr>
      <w:r w:rsidDel="00000000" w:rsidR="00000000" w:rsidRPr="00000000">
        <w:rPr>
          <w:rtl w:val="0"/>
        </w:rPr>
        <w:t xml:space="preserve">Monitorar sinais e sintomas;</w:t>
      </w:r>
    </w:p>
    <w:p w:rsidR="00000000" w:rsidDel="00000000" w:rsidP="00000000" w:rsidRDefault="00000000" w:rsidRPr="00000000" w14:paraId="0000009F">
      <w:pPr>
        <w:numPr>
          <w:ilvl w:val="0"/>
          <w:numId w:val="27"/>
        </w:numPr>
        <w:spacing w:line="360" w:lineRule="auto"/>
        <w:ind w:left="720" w:hanging="360"/>
        <w:jc w:val="both"/>
        <w:rPr/>
      </w:pPr>
      <w:r w:rsidDel="00000000" w:rsidR="00000000" w:rsidRPr="00000000">
        <w:rPr>
          <w:rtl w:val="0"/>
        </w:rPr>
        <w:t xml:space="preserve">Vigilância para a ocorrência de eventos adversos (EA) ou eventos adversos graves (EAG);</w:t>
      </w:r>
    </w:p>
    <w:p w:rsidR="00000000" w:rsidDel="00000000" w:rsidP="00000000" w:rsidRDefault="00000000" w:rsidRPr="00000000" w14:paraId="000000A0">
      <w:pPr>
        <w:numPr>
          <w:ilvl w:val="0"/>
          <w:numId w:val="27"/>
        </w:numPr>
        <w:spacing w:line="360" w:lineRule="auto"/>
        <w:ind w:left="720" w:hanging="360"/>
        <w:jc w:val="both"/>
        <w:rPr/>
      </w:pPr>
      <w:r w:rsidDel="00000000" w:rsidR="00000000" w:rsidRPr="00000000">
        <w:rPr>
          <w:rtl w:val="0"/>
        </w:rPr>
        <w:t xml:space="preserve"> Registrar os dados coletados em um formato de documentação seguro e inseri-los nas bases de dados apropriadas.</w:t>
      </w:r>
    </w:p>
    <w:p w:rsidR="00000000" w:rsidDel="00000000" w:rsidP="00000000" w:rsidRDefault="00000000" w:rsidRPr="00000000" w14:paraId="000000A1">
      <w:pPr>
        <w:pStyle w:val="Heading3"/>
        <w:rPr/>
      </w:pPr>
      <w:r w:rsidDel="00000000" w:rsidR="00000000" w:rsidRPr="00000000">
        <w:rPr>
          <w:rtl w:val="0"/>
        </w:rPr>
      </w:r>
    </w:p>
    <w:p w:rsidR="00000000" w:rsidDel="00000000" w:rsidP="00000000" w:rsidRDefault="00000000" w:rsidRPr="00000000" w14:paraId="000000A2">
      <w:pPr>
        <w:pStyle w:val="Heading3"/>
        <w:numPr>
          <w:ilvl w:val="2"/>
          <w:numId w:val="1"/>
        </w:numPr>
        <w:ind w:left="1080" w:hanging="720"/>
        <w:rPr>
          <w:rFonts w:ascii="Times New Roman" w:cs="Times New Roman" w:eastAsia="Times New Roman" w:hAnsi="Times New Roman"/>
          <w:b w:val="1"/>
        </w:rPr>
      </w:pPr>
      <w:bookmarkStart w:colFirst="0" w:colLast="0" w:name="_heading=h.lnxbz9" w:id="13"/>
      <w:bookmarkEnd w:id="13"/>
      <w:r w:rsidDel="00000000" w:rsidR="00000000" w:rsidRPr="00000000">
        <w:rPr>
          <w:rFonts w:ascii="Times New Roman" w:cs="Times New Roman" w:eastAsia="Times New Roman" w:hAnsi="Times New Roman"/>
          <w:b w:val="1"/>
          <w:rtl w:val="0"/>
        </w:rPr>
        <w:t xml:space="preserve">VISITA DE ACOMPANHAMENTO (V6 – SEMANA 56)</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Registrar os resultados laboratoriais gerais, eventos objetivos e subjetivos e exame físico;</w:t>
      </w:r>
    </w:p>
    <w:p w:rsidR="00000000" w:rsidDel="00000000" w:rsidP="00000000" w:rsidRDefault="00000000" w:rsidRPr="00000000" w14:paraId="000000A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Coletar amostras de sangue;</w:t>
      </w:r>
    </w:p>
    <w:p w:rsidR="00000000" w:rsidDel="00000000" w:rsidP="00000000" w:rsidRDefault="00000000" w:rsidRPr="00000000" w14:paraId="000000A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Monitorar sinais e sintomas;</w:t>
      </w:r>
    </w:p>
    <w:p w:rsidR="00000000" w:rsidDel="00000000" w:rsidP="00000000" w:rsidRDefault="00000000" w:rsidRPr="00000000" w14:paraId="000000A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Avaliar os desfechos do estudo;</w:t>
      </w:r>
    </w:p>
    <w:p w:rsidR="00000000" w:rsidDel="00000000" w:rsidP="00000000" w:rsidRDefault="00000000" w:rsidRPr="00000000" w14:paraId="000000A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Avaliar eventos recorrentes e totais; </w:t>
      </w:r>
    </w:p>
    <w:p w:rsidR="00000000" w:rsidDel="00000000" w:rsidP="00000000" w:rsidRDefault="00000000" w:rsidRPr="00000000" w14:paraId="000000A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Vigilância para a ocorrência de EA e EAG;</w:t>
      </w:r>
    </w:p>
    <w:p w:rsidR="00000000" w:rsidDel="00000000" w:rsidP="00000000" w:rsidRDefault="00000000" w:rsidRPr="00000000" w14:paraId="000000A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Registrar os dados coletados em um formato de documentação seguro e inseri-los nas bases de dados apropriadas;</w:t>
      </w:r>
    </w:p>
    <w:p w:rsidR="00000000" w:rsidDel="00000000" w:rsidP="00000000" w:rsidRDefault="00000000" w:rsidRPr="00000000" w14:paraId="000000A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Avaliação da qualidade de vida pelo questionário EQ-5D.</w:t>
      </w:r>
    </w:p>
    <w:p w:rsidR="00000000" w:rsidDel="00000000" w:rsidP="00000000" w:rsidRDefault="00000000" w:rsidRPr="00000000" w14:paraId="000000AC">
      <w:pPr>
        <w:spacing w:line="360" w:lineRule="auto"/>
        <w:jc w:val="both"/>
        <w:rPr/>
      </w:pPr>
      <w:r w:rsidDel="00000000" w:rsidR="00000000" w:rsidRPr="00000000">
        <w:rPr>
          <w:rtl w:val="0"/>
        </w:rPr>
      </w:r>
    </w:p>
    <w:p w:rsidR="00000000" w:rsidDel="00000000" w:rsidP="00000000" w:rsidRDefault="00000000" w:rsidRPr="00000000" w14:paraId="000000AD">
      <w:pPr>
        <w:pStyle w:val="Heading3"/>
        <w:numPr>
          <w:ilvl w:val="2"/>
          <w:numId w:val="1"/>
        </w:numPr>
        <w:ind w:left="1080" w:hanging="720"/>
        <w:rPr>
          <w:rFonts w:ascii="Times New Roman" w:cs="Times New Roman" w:eastAsia="Times New Roman" w:hAnsi="Times New Roman"/>
          <w:b w:val="1"/>
        </w:rPr>
      </w:pPr>
      <w:bookmarkStart w:colFirst="0" w:colLast="0" w:name="_heading=h.35nkun2" w:id="14"/>
      <w:bookmarkEnd w:id="14"/>
      <w:r w:rsidDel="00000000" w:rsidR="00000000" w:rsidRPr="00000000">
        <w:rPr>
          <w:rFonts w:ascii="Times New Roman" w:cs="Times New Roman" w:eastAsia="Times New Roman" w:hAnsi="Times New Roman"/>
          <w:b w:val="1"/>
          <w:rtl w:val="0"/>
        </w:rPr>
        <w:t xml:space="preserve">VISITAS DE ACOMPANHAMENTO (V10 – SEMANA 84)</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numPr>
          <w:ilvl w:val="0"/>
          <w:numId w:val="30"/>
        </w:numPr>
        <w:spacing w:line="360" w:lineRule="auto"/>
        <w:ind w:left="720" w:hanging="360"/>
        <w:jc w:val="both"/>
        <w:rPr/>
      </w:pPr>
      <w:r w:rsidDel="00000000" w:rsidR="00000000" w:rsidRPr="00000000">
        <w:rPr>
          <w:rtl w:val="0"/>
        </w:rPr>
        <w:t xml:space="preserve">Registrar os resultados laboratoriais gerais, eventos objetivos e subjetivos e exame físico;</w:t>
      </w:r>
    </w:p>
    <w:p w:rsidR="00000000" w:rsidDel="00000000" w:rsidP="00000000" w:rsidRDefault="00000000" w:rsidRPr="00000000" w14:paraId="000000B0">
      <w:pPr>
        <w:numPr>
          <w:ilvl w:val="0"/>
          <w:numId w:val="30"/>
        </w:numPr>
        <w:spacing w:line="360" w:lineRule="auto"/>
        <w:ind w:left="720" w:hanging="360"/>
        <w:jc w:val="both"/>
        <w:rPr/>
      </w:pPr>
      <w:r w:rsidDel="00000000" w:rsidR="00000000" w:rsidRPr="00000000">
        <w:rPr>
          <w:rtl w:val="0"/>
        </w:rPr>
        <w:t xml:space="preserve">Coletar amostras finais de sangue;</w:t>
      </w:r>
    </w:p>
    <w:p w:rsidR="00000000" w:rsidDel="00000000" w:rsidP="00000000" w:rsidRDefault="00000000" w:rsidRPr="00000000" w14:paraId="000000B1">
      <w:pPr>
        <w:numPr>
          <w:ilvl w:val="0"/>
          <w:numId w:val="30"/>
        </w:numPr>
        <w:spacing w:line="360" w:lineRule="auto"/>
        <w:ind w:left="720" w:hanging="360"/>
        <w:jc w:val="both"/>
        <w:rPr/>
      </w:pPr>
      <w:r w:rsidDel="00000000" w:rsidR="00000000" w:rsidRPr="00000000">
        <w:rPr>
          <w:rtl w:val="0"/>
        </w:rPr>
        <w:t xml:space="preserve"> Monitorar sinais e sintomas; </w:t>
      </w:r>
    </w:p>
    <w:p w:rsidR="00000000" w:rsidDel="00000000" w:rsidP="00000000" w:rsidRDefault="00000000" w:rsidRPr="00000000" w14:paraId="000000B2">
      <w:pPr>
        <w:numPr>
          <w:ilvl w:val="0"/>
          <w:numId w:val="30"/>
        </w:numPr>
        <w:spacing w:line="360" w:lineRule="auto"/>
        <w:ind w:left="720" w:hanging="360"/>
        <w:jc w:val="both"/>
        <w:rPr/>
      </w:pPr>
      <w:r w:rsidDel="00000000" w:rsidR="00000000" w:rsidRPr="00000000">
        <w:rPr>
          <w:rtl w:val="0"/>
        </w:rPr>
        <w:t xml:space="preserve">Avaliar os desfechos do estudo;</w:t>
      </w:r>
    </w:p>
    <w:p w:rsidR="00000000" w:rsidDel="00000000" w:rsidP="00000000" w:rsidRDefault="00000000" w:rsidRPr="00000000" w14:paraId="000000B3">
      <w:pPr>
        <w:numPr>
          <w:ilvl w:val="0"/>
          <w:numId w:val="30"/>
        </w:numPr>
        <w:spacing w:line="360" w:lineRule="auto"/>
        <w:ind w:left="720" w:hanging="360"/>
        <w:jc w:val="both"/>
        <w:rPr/>
      </w:pPr>
      <w:r w:rsidDel="00000000" w:rsidR="00000000" w:rsidRPr="00000000">
        <w:rPr>
          <w:rtl w:val="0"/>
        </w:rPr>
        <w:t xml:space="preserve">Avaliação da qualidade de vida pelo questionário EQ-5D.</w:t>
      </w:r>
    </w:p>
    <w:p w:rsidR="00000000" w:rsidDel="00000000" w:rsidP="00000000" w:rsidRDefault="00000000" w:rsidRPr="00000000" w14:paraId="000000B4">
      <w:pPr>
        <w:jc w:val="both"/>
        <w:rPr>
          <w:b w:val="1"/>
          <w:sz w:val="22"/>
          <w:szCs w:val="22"/>
        </w:rPr>
      </w:pPr>
      <w:r w:rsidDel="00000000" w:rsidR="00000000" w:rsidRPr="00000000">
        <w:rPr>
          <w:rtl w:val="0"/>
        </w:rPr>
      </w:r>
    </w:p>
    <w:p w:rsidR="00000000" w:rsidDel="00000000" w:rsidP="00000000" w:rsidRDefault="00000000" w:rsidRPr="00000000" w14:paraId="000000B5">
      <w:pPr>
        <w:jc w:val="both"/>
        <w:rPr>
          <w:sz w:val="22"/>
          <w:szCs w:val="22"/>
        </w:rPr>
      </w:pPr>
      <w:r w:rsidDel="00000000" w:rsidR="00000000" w:rsidRPr="00000000">
        <w:rPr>
          <w:b w:val="1"/>
          <w:sz w:val="22"/>
          <w:szCs w:val="22"/>
          <w:rtl w:val="0"/>
        </w:rPr>
        <w:t xml:space="preserve">Tabela 1:</w:t>
      </w:r>
      <w:r w:rsidDel="00000000" w:rsidR="00000000" w:rsidRPr="00000000">
        <w:rPr>
          <w:sz w:val="22"/>
          <w:szCs w:val="22"/>
          <w:rtl w:val="0"/>
        </w:rPr>
        <w:t xml:space="preserve"> Cronograma de Atividades. Descrição dos procedimentos e desfechos do estudo.</w:t>
      </w:r>
    </w:p>
    <w:p w:rsidR="00000000" w:rsidDel="00000000" w:rsidP="00000000" w:rsidRDefault="00000000" w:rsidRPr="00000000" w14:paraId="000000B6">
      <w:pPr>
        <w:jc w:val="both"/>
        <w:rPr>
          <w:sz w:val="22"/>
          <w:szCs w:val="22"/>
        </w:rPr>
      </w:pPr>
      <w:r w:rsidDel="00000000" w:rsidR="00000000" w:rsidRPr="00000000">
        <w:rPr>
          <w:rtl w:val="0"/>
        </w:rPr>
      </w:r>
    </w:p>
    <w:tbl>
      <w:tblPr>
        <w:tblStyle w:val="Table1"/>
        <w:tblpPr w:leftFromText="144" w:rightFromText="144" w:topFromText="0" w:bottomFromText="0" w:vertAnchor="text" w:horzAnchor="text" w:tblpX="334.99999999999943" w:tblpY="1"/>
        <w:tblW w:w="8690.000000000002" w:type="dxa"/>
        <w:jc w:val="left"/>
        <w:tblBorders>
          <w:top w:color="333e48" w:space="0" w:sz="8" w:val="single"/>
          <w:left w:color="333e48" w:space="0" w:sz="8" w:val="single"/>
          <w:bottom w:color="333e48" w:space="0" w:sz="8" w:val="single"/>
          <w:right w:color="333e48" w:space="0" w:sz="8" w:val="single"/>
          <w:insideH w:color="ffffff" w:space="0" w:sz="4" w:val="single"/>
          <w:insideV w:color="ffffff" w:space="0" w:sz="4" w:val="single"/>
        </w:tblBorders>
        <w:tblLayout w:type="fixed"/>
        <w:tblLook w:val="04A0"/>
      </w:tblPr>
      <w:tblGrid>
        <w:gridCol w:w="3967"/>
        <w:gridCol w:w="565"/>
        <w:gridCol w:w="435"/>
        <w:gridCol w:w="443"/>
        <w:gridCol w:w="471"/>
        <w:gridCol w:w="471"/>
        <w:gridCol w:w="471"/>
        <w:gridCol w:w="471"/>
        <w:gridCol w:w="471"/>
        <w:gridCol w:w="471"/>
        <w:gridCol w:w="454"/>
        <w:tblGridChange w:id="0">
          <w:tblGrid>
            <w:gridCol w:w="3967"/>
            <w:gridCol w:w="565"/>
            <w:gridCol w:w="435"/>
            <w:gridCol w:w="443"/>
            <w:gridCol w:w="471"/>
            <w:gridCol w:w="471"/>
            <w:gridCol w:w="471"/>
            <w:gridCol w:w="471"/>
            <w:gridCol w:w="471"/>
            <w:gridCol w:w="471"/>
            <w:gridCol w:w="454"/>
          </w:tblGrid>
        </w:tblGridChange>
      </w:tblGrid>
      <w:tr>
        <w:trPr>
          <w:cantSplit w:val="1"/>
          <w:trHeight w:val="20" w:hRule="atLeast"/>
          <w:tblHeader w:val="0"/>
        </w:trPr>
        <w:tc>
          <w:tcPr>
            <w:shd w:fill="d9d9d9" w:val="clear"/>
            <w:vAlign w:val="center"/>
          </w:tcPr>
          <w:p w:rsidR="00000000" w:rsidDel="00000000" w:rsidP="00000000" w:rsidRDefault="00000000" w:rsidRPr="00000000" w14:paraId="000000B7">
            <w:pPr>
              <w:jc w:val="right"/>
              <w:rPr>
                <w:sz w:val="22"/>
                <w:szCs w:val="22"/>
              </w:rPr>
            </w:pPr>
            <w:r w:rsidDel="00000000" w:rsidR="00000000" w:rsidRPr="00000000">
              <w:rPr>
                <w:sz w:val="22"/>
                <w:szCs w:val="22"/>
                <w:rtl w:val="0"/>
              </w:rPr>
              <w:t xml:space="preserve">Visita:</w:t>
            </w:r>
          </w:p>
        </w:tc>
        <w:tc>
          <w:tcPr>
            <w:shd w:fill="d9d9d9" w:val="clear"/>
          </w:tcPr>
          <w:p w:rsidR="00000000" w:rsidDel="00000000" w:rsidP="00000000" w:rsidRDefault="00000000" w:rsidRPr="00000000" w14:paraId="000000B8">
            <w:pPr>
              <w:jc w:val="center"/>
              <w:rPr>
                <w:sz w:val="22"/>
                <w:szCs w:val="22"/>
              </w:rPr>
            </w:pPr>
            <w:r w:rsidDel="00000000" w:rsidR="00000000" w:rsidRPr="00000000">
              <w:rPr>
                <w:sz w:val="22"/>
                <w:szCs w:val="22"/>
                <w:rtl w:val="0"/>
              </w:rPr>
              <w:t xml:space="preserve">VR</w:t>
            </w:r>
          </w:p>
        </w:tc>
        <w:tc>
          <w:tcPr>
            <w:shd w:fill="d9d9d9" w:val="clear"/>
          </w:tcPr>
          <w:p w:rsidR="00000000" w:rsidDel="00000000" w:rsidP="00000000" w:rsidRDefault="00000000" w:rsidRPr="00000000" w14:paraId="000000B9">
            <w:pPr>
              <w:jc w:val="center"/>
              <w:rPr>
                <w:sz w:val="22"/>
                <w:szCs w:val="22"/>
              </w:rPr>
            </w:pPr>
            <w:r w:rsidDel="00000000" w:rsidR="00000000" w:rsidRPr="00000000">
              <w:rPr>
                <w:sz w:val="22"/>
                <w:szCs w:val="22"/>
                <w:rtl w:val="0"/>
              </w:rPr>
              <w:t xml:space="preserve">1</w:t>
            </w:r>
          </w:p>
        </w:tc>
        <w:tc>
          <w:tcPr>
            <w:shd w:fill="d9d9d9" w:val="clear"/>
          </w:tcPr>
          <w:p w:rsidR="00000000" w:rsidDel="00000000" w:rsidP="00000000" w:rsidRDefault="00000000" w:rsidRPr="00000000" w14:paraId="000000BA">
            <w:pPr>
              <w:jc w:val="center"/>
              <w:rPr>
                <w:sz w:val="22"/>
                <w:szCs w:val="22"/>
              </w:rPr>
            </w:pPr>
            <w:r w:rsidDel="00000000" w:rsidR="00000000" w:rsidRPr="00000000">
              <w:rPr>
                <w:sz w:val="22"/>
                <w:szCs w:val="22"/>
                <w:rtl w:val="0"/>
              </w:rPr>
              <w:t xml:space="preserve">2</w:t>
            </w:r>
          </w:p>
        </w:tc>
        <w:tc>
          <w:tcPr>
            <w:shd w:fill="d9d9d9" w:val="clear"/>
          </w:tcPr>
          <w:p w:rsidR="00000000" w:rsidDel="00000000" w:rsidP="00000000" w:rsidRDefault="00000000" w:rsidRPr="00000000" w14:paraId="000000BB">
            <w:pPr>
              <w:jc w:val="center"/>
              <w:rPr>
                <w:sz w:val="22"/>
                <w:szCs w:val="22"/>
              </w:rPr>
            </w:pPr>
            <w:r w:rsidDel="00000000" w:rsidR="00000000" w:rsidRPr="00000000">
              <w:rPr>
                <w:sz w:val="22"/>
                <w:szCs w:val="22"/>
                <w:rtl w:val="0"/>
              </w:rPr>
              <w:t xml:space="preserve">3</w:t>
            </w:r>
          </w:p>
        </w:tc>
        <w:tc>
          <w:tcPr>
            <w:shd w:fill="d9d9d9" w:val="clear"/>
          </w:tcPr>
          <w:p w:rsidR="00000000" w:rsidDel="00000000" w:rsidP="00000000" w:rsidRDefault="00000000" w:rsidRPr="00000000" w14:paraId="000000BC">
            <w:pPr>
              <w:jc w:val="center"/>
              <w:rPr>
                <w:sz w:val="22"/>
                <w:szCs w:val="22"/>
              </w:rPr>
            </w:pPr>
            <w:r w:rsidDel="00000000" w:rsidR="00000000" w:rsidRPr="00000000">
              <w:rPr>
                <w:sz w:val="22"/>
                <w:szCs w:val="22"/>
                <w:rtl w:val="0"/>
              </w:rPr>
              <w:t xml:space="preserve">4</w:t>
            </w:r>
          </w:p>
        </w:tc>
        <w:tc>
          <w:tcPr>
            <w:shd w:fill="d9d9d9" w:val="clear"/>
          </w:tcPr>
          <w:p w:rsidR="00000000" w:rsidDel="00000000" w:rsidP="00000000" w:rsidRDefault="00000000" w:rsidRPr="00000000" w14:paraId="000000BD">
            <w:pPr>
              <w:jc w:val="center"/>
              <w:rPr>
                <w:sz w:val="22"/>
                <w:szCs w:val="22"/>
              </w:rPr>
            </w:pPr>
            <w:r w:rsidDel="00000000" w:rsidR="00000000" w:rsidRPr="00000000">
              <w:rPr>
                <w:sz w:val="22"/>
                <w:szCs w:val="22"/>
                <w:rtl w:val="0"/>
              </w:rPr>
              <w:t xml:space="preserve">5</w:t>
            </w:r>
          </w:p>
        </w:tc>
        <w:tc>
          <w:tcPr>
            <w:shd w:fill="d9d9d9" w:val="clear"/>
          </w:tcPr>
          <w:p w:rsidR="00000000" w:rsidDel="00000000" w:rsidP="00000000" w:rsidRDefault="00000000" w:rsidRPr="00000000" w14:paraId="000000BE">
            <w:pPr>
              <w:jc w:val="center"/>
              <w:rPr>
                <w:sz w:val="22"/>
                <w:szCs w:val="22"/>
              </w:rPr>
            </w:pPr>
            <w:r w:rsidDel="00000000" w:rsidR="00000000" w:rsidRPr="00000000">
              <w:rPr>
                <w:sz w:val="22"/>
                <w:szCs w:val="22"/>
                <w:rtl w:val="0"/>
              </w:rPr>
              <w:t xml:space="preserve">6</w:t>
            </w:r>
          </w:p>
        </w:tc>
        <w:tc>
          <w:tcPr>
            <w:shd w:fill="d9d9d9" w:val="clear"/>
          </w:tcPr>
          <w:p w:rsidR="00000000" w:rsidDel="00000000" w:rsidP="00000000" w:rsidRDefault="00000000" w:rsidRPr="00000000" w14:paraId="000000BF">
            <w:pPr>
              <w:jc w:val="center"/>
              <w:rPr>
                <w:sz w:val="22"/>
                <w:szCs w:val="22"/>
              </w:rPr>
            </w:pPr>
            <w:r w:rsidDel="00000000" w:rsidR="00000000" w:rsidRPr="00000000">
              <w:rPr>
                <w:sz w:val="22"/>
                <w:szCs w:val="22"/>
                <w:rtl w:val="0"/>
              </w:rPr>
              <w:t xml:space="preserve">7</w:t>
            </w:r>
          </w:p>
        </w:tc>
        <w:tc>
          <w:tcPr>
            <w:shd w:fill="d9d9d9" w:val="clear"/>
          </w:tcPr>
          <w:p w:rsidR="00000000" w:rsidDel="00000000" w:rsidP="00000000" w:rsidRDefault="00000000" w:rsidRPr="00000000" w14:paraId="000000C0">
            <w:pPr>
              <w:jc w:val="center"/>
              <w:rPr>
                <w:sz w:val="22"/>
                <w:szCs w:val="22"/>
              </w:rPr>
            </w:pPr>
            <w:r w:rsidDel="00000000" w:rsidR="00000000" w:rsidRPr="00000000">
              <w:rPr>
                <w:sz w:val="22"/>
                <w:szCs w:val="22"/>
                <w:rtl w:val="0"/>
              </w:rPr>
              <w:t xml:space="preserve">8</w:t>
            </w:r>
          </w:p>
        </w:tc>
        <w:tc>
          <w:tcPr>
            <w:shd w:fill="d9d9d9" w:val="clear"/>
          </w:tcPr>
          <w:p w:rsidR="00000000" w:rsidDel="00000000" w:rsidP="00000000" w:rsidRDefault="00000000" w:rsidRPr="00000000" w14:paraId="000000C1">
            <w:pPr>
              <w:jc w:val="center"/>
              <w:rPr>
                <w:sz w:val="22"/>
                <w:szCs w:val="22"/>
              </w:rPr>
            </w:pPr>
            <w:r w:rsidDel="00000000" w:rsidR="00000000" w:rsidRPr="00000000">
              <w:rPr>
                <w:sz w:val="22"/>
                <w:szCs w:val="22"/>
                <w:rtl w:val="0"/>
              </w:rPr>
              <w:t xml:space="preserve">9</w:t>
            </w:r>
          </w:p>
        </w:tc>
      </w:tr>
      <w:tr>
        <w:trPr>
          <w:cantSplit w:val="1"/>
          <w:trHeight w:val="20" w:hRule="atLeast"/>
          <w:tblHeader w:val="0"/>
        </w:trPr>
        <w:tc>
          <w:tcPr>
            <w:shd w:fill="d9d9d9" w:val="clear"/>
          </w:tcPr>
          <w:p w:rsidR="00000000" w:rsidDel="00000000" w:rsidP="00000000" w:rsidRDefault="00000000" w:rsidRPr="00000000" w14:paraId="000000C2">
            <w:pPr>
              <w:jc w:val="right"/>
              <w:rPr>
                <w:sz w:val="22"/>
                <w:szCs w:val="22"/>
              </w:rPr>
            </w:pPr>
            <w:r w:rsidDel="00000000" w:rsidR="00000000" w:rsidRPr="00000000">
              <w:rPr>
                <w:sz w:val="22"/>
                <w:szCs w:val="22"/>
                <w:rtl w:val="0"/>
              </w:rPr>
              <w:t xml:space="preserve">Semana:</w:t>
            </w:r>
          </w:p>
        </w:tc>
        <w:tc>
          <w:tcPr>
            <w:shd w:fill="d9d9d9" w:val="clear"/>
          </w:tcPr>
          <w:p w:rsidR="00000000" w:rsidDel="00000000" w:rsidP="00000000" w:rsidRDefault="00000000" w:rsidRPr="00000000" w14:paraId="000000C3">
            <w:pPr>
              <w:jc w:val="center"/>
              <w:rPr>
                <w:b w:val="1"/>
                <w:sz w:val="22"/>
                <w:szCs w:val="22"/>
              </w:rPr>
            </w:pPr>
            <w:r w:rsidDel="00000000" w:rsidR="00000000" w:rsidRPr="00000000">
              <w:rPr>
                <w:b w:val="1"/>
                <w:sz w:val="22"/>
                <w:szCs w:val="22"/>
                <w:rtl w:val="0"/>
              </w:rPr>
              <w:t xml:space="preserve">0</w:t>
            </w:r>
          </w:p>
        </w:tc>
        <w:tc>
          <w:tcPr>
            <w:shd w:fill="d9d9d9" w:val="clear"/>
          </w:tcPr>
          <w:p w:rsidR="00000000" w:rsidDel="00000000" w:rsidP="00000000" w:rsidRDefault="00000000" w:rsidRPr="00000000" w14:paraId="000000C4">
            <w:pPr>
              <w:jc w:val="center"/>
              <w:rPr>
                <w:b w:val="1"/>
                <w:sz w:val="22"/>
                <w:szCs w:val="22"/>
              </w:rPr>
            </w:pPr>
            <w:r w:rsidDel="00000000" w:rsidR="00000000" w:rsidRPr="00000000">
              <w:rPr>
                <w:b w:val="1"/>
                <w:sz w:val="22"/>
                <w:szCs w:val="22"/>
                <w:rtl w:val="0"/>
              </w:rPr>
              <w:t xml:space="preserve">6</w:t>
            </w:r>
          </w:p>
        </w:tc>
        <w:tc>
          <w:tcPr>
            <w:shd w:fill="d9d9d9" w:val="clear"/>
          </w:tcPr>
          <w:p w:rsidR="00000000" w:rsidDel="00000000" w:rsidP="00000000" w:rsidRDefault="00000000" w:rsidRPr="00000000" w14:paraId="000000C5">
            <w:pPr>
              <w:jc w:val="center"/>
              <w:rPr>
                <w:b w:val="1"/>
                <w:sz w:val="22"/>
                <w:szCs w:val="22"/>
              </w:rPr>
            </w:pPr>
            <w:r w:rsidDel="00000000" w:rsidR="00000000" w:rsidRPr="00000000">
              <w:rPr>
                <w:b w:val="1"/>
                <w:sz w:val="22"/>
                <w:szCs w:val="22"/>
                <w:rtl w:val="0"/>
              </w:rPr>
              <w:t xml:space="preserve">12</w:t>
            </w:r>
          </w:p>
        </w:tc>
        <w:tc>
          <w:tcPr>
            <w:shd w:fill="d9d9d9" w:val="clear"/>
          </w:tcPr>
          <w:p w:rsidR="00000000" w:rsidDel="00000000" w:rsidP="00000000" w:rsidRDefault="00000000" w:rsidRPr="00000000" w14:paraId="000000C6">
            <w:pPr>
              <w:jc w:val="center"/>
              <w:rPr>
                <w:b w:val="1"/>
                <w:sz w:val="22"/>
                <w:szCs w:val="22"/>
              </w:rPr>
            </w:pPr>
            <w:r w:rsidDel="00000000" w:rsidR="00000000" w:rsidRPr="00000000">
              <w:rPr>
                <w:b w:val="1"/>
                <w:sz w:val="22"/>
                <w:szCs w:val="22"/>
                <w:rtl w:val="0"/>
              </w:rPr>
              <w:t xml:space="preserve">24</w:t>
            </w:r>
          </w:p>
        </w:tc>
        <w:tc>
          <w:tcPr>
            <w:shd w:fill="d9d9d9" w:val="clear"/>
          </w:tcPr>
          <w:p w:rsidR="00000000" w:rsidDel="00000000" w:rsidP="00000000" w:rsidRDefault="00000000" w:rsidRPr="00000000" w14:paraId="000000C7">
            <w:pPr>
              <w:jc w:val="center"/>
              <w:rPr>
                <w:b w:val="1"/>
                <w:sz w:val="22"/>
                <w:szCs w:val="22"/>
              </w:rPr>
            </w:pPr>
            <w:r w:rsidDel="00000000" w:rsidR="00000000" w:rsidRPr="00000000">
              <w:rPr>
                <w:b w:val="1"/>
                <w:sz w:val="22"/>
                <w:szCs w:val="22"/>
                <w:rtl w:val="0"/>
              </w:rPr>
              <w:t xml:space="preserve">36</w:t>
            </w:r>
          </w:p>
        </w:tc>
        <w:tc>
          <w:tcPr>
            <w:shd w:fill="d9d9d9" w:val="clear"/>
          </w:tcPr>
          <w:p w:rsidR="00000000" w:rsidDel="00000000" w:rsidP="00000000" w:rsidRDefault="00000000" w:rsidRPr="00000000" w14:paraId="000000C8">
            <w:pPr>
              <w:jc w:val="center"/>
              <w:rPr>
                <w:b w:val="1"/>
                <w:sz w:val="22"/>
                <w:szCs w:val="22"/>
              </w:rPr>
            </w:pPr>
            <w:r w:rsidDel="00000000" w:rsidR="00000000" w:rsidRPr="00000000">
              <w:rPr>
                <w:b w:val="1"/>
                <w:sz w:val="22"/>
                <w:szCs w:val="22"/>
                <w:rtl w:val="0"/>
              </w:rPr>
              <w:t xml:space="preserve">48</w:t>
            </w:r>
          </w:p>
        </w:tc>
        <w:tc>
          <w:tcPr>
            <w:shd w:fill="d9d9d9" w:val="clear"/>
          </w:tcPr>
          <w:p w:rsidR="00000000" w:rsidDel="00000000" w:rsidP="00000000" w:rsidRDefault="00000000" w:rsidRPr="00000000" w14:paraId="000000C9">
            <w:pPr>
              <w:jc w:val="center"/>
              <w:rPr>
                <w:b w:val="1"/>
                <w:sz w:val="22"/>
                <w:szCs w:val="22"/>
              </w:rPr>
            </w:pPr>
            <w:r w:rsidDel="00000000" w:rsidR="00000000" w:rsidRPr="00000000">
              <w:rPr>
                <w:b w:val="1"/>
                <w:sz w:val="22"/>
                <w:szCs w:val="22"/>
                <w:rtl w:val="0"/>
              </w:rPr>
              <w:t xml:space="preserve">60</w:t>
            </w:r>
          </w:p>
        </w:tc>
        <w:tc>
          <w:tcPr>
            <w:shd w:fill="d9d9d9" w:val="clear"/>
          </w:tcPr>
          <w:p w:rsidR="00000000" w:rsidDel="00000000" w:rsidP="00000000" w:rsidRDefault="00000000" w:rsidRPr="00000000" w14:paraId="000000CA">
            <w:pPr>
              <w:jc w:val="center"/>
              <w:rPr>
                <w:b w:val="1"/>
                <w:sz w:val="22"/>
                <w:szCs w:val="22"/>
              </w:rPr>
            </w:pPr>
            <w:r w:rsidDel="00000000" w:rsidR="00000000" w:rsidRPr="00000000">
              <w:rPr>
                <w:b w:val="1"/>
                <w:sz w:val="22"/>
                <w:szCs w:val="22"/>
                <w:rtl w:val="0"/>
              </w:rPr>
              <w:t xml:space="preserve">72</w:t>
            </w:r>
          </w:p>
        </w:tc>
        <w:tc>
          <w:tcPr>
            <w:shd w:fill="d9d9d9" w:val="clear"/>
          </w:tcPr>
          <w:p w:rsidR="00000000" w:rsidDel="00000000" w:rsidP="00000000" w:rsidRDefault="00000000" w:rsidRPr="00000000" w14:paraId="000000CB">
            <w:pPr>
              <w:jc w:val="center"/>
              <w:rPr>
                <w:b w:val="1"/>
                <w:sz w:val="22"/>
                <w:szCs w:val="22"/>
              </w:rPr>
            </w:pPr>
            <w:r w:rsidDel="00000000" w:rsidR="00000000" w:rsidRPr="00000000">
              <w:rPr>
                <w:b w:val="1"/>
                <w:sz w:val="22"/>
                <w:szCs w:val="22"/>
                <w:rtl w:val="0"/>
              </w:rPr>
              <w:t xml:space="preserve">78</w:t>
            </w:r>
          </w:p>
        </w:tc>
        <w:tc>
          <w:tcPr>
            <w:shd w:fill="d9d9d9" w:val="clear"/>
          </w:tcPr>
          <w:p w:rsidR="00000000" w:rsidDel="00000000" w:rsidP="00000000" w:rsidRDefault="00000000" w:rsidRPr="00000000" w14:paraId="000000CC">
            <w:pPr>
              <w:jc w:val="center"/>
              <w:rPr>
                <w:b w:val="1"/>
                <w:sz w:val="22"/>
                <w:szCs w:val="22"/>
              </w:rPr>
            </w:pPr>
            <w:r w:rsidDel="00000000" w:rsidR="00000000" w:rsidRPr="00000000">
              <w:rPr>
                <w:b w:val="1"/>
                <w:sz w:val="22"/>
                <w:szCs w:val="22"/>
                <w:rtl w:val="0"/>
              </w:rPr>
              <w:t xml:space="preserve">84</w:t>
            </w:r>
          </w:p>
        </w:tc>
      </w:tr>
      <w:tr>
        <w:trPr>
          <w:cantSplit w:val="1"/>
          <w:trHeight w:val="20" w:hRule="atLeast"/>
          <w:tblHeader w:val="0"/>
        </w:trPr>
        <w:tc>
          <w:tcPr/>
          <w:p w:rsidR="00000000" w:rsidDel="00000000" w:rsidP="00000000" w:rsidRDefault="00000000" w:rsidRPr="00000000" w14:paraId="000000CD">
            <w:pPr>
              <w:jc w:val="both"/>
              <w:rPr>
                <w:b w:val="0"/>
                <w:sz w:val="22"/>
                <w:szCs w:val="22"/>
              </w:rPr>
            </w:pPr>
            <w:r w:rsidDel="00000000" w:rsidR="00000000" w:rsidRPr="00000000">
              <w:rPr>
                <w:b w:val="0"/>
                <w:sz w:val="22"/>
                <w:szCs w:val="22"/>
                <w:rtl w:val="0"/>
              </w:rPr>
              <w:t xml:space="preserve">Consentimento livre e esclarecido</w:t>
            </w:r>
          </w:p>
        </w:tc>
        <w:tc>
          <w:tcPr/>
          <w:p w:rsidR="00000000" w:rsidDel="00000000" w:rsidP="00000000" w:rsidRDefault="00000000" w:rsidRPr="00000000" w14:paraId="000000CE">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CF">
            <w:pPr>
              <w:jc w:val="center"/>
              <w:rPr>
                <w:sz w:val="22"/>
                <w:szCs w:val="22"/>
              </w:rPr>
            </w:pPr>
            <w:r w:rsidDel="00000000" w:rsidR="00000000" w:rsidRPr="00000000">
              <w:rPr>
                <w:rtl w:val="0"/>
              </w:rPr>
            </w:r>
          </w:p>
        </w:tc>
        <w:tc>
          <w:tcPr/>
          <w:p w:rsidR="00000000" w:rsidDel="00000000" w:rsidP="00000000" w:rsidRDefault="00000000" w:rsidRPr="00000000" w14:paraId="000000D0">
            <w:pPr>
              <w:jc w:val="center"/>
              <w:rPr>
                <w:sz w:val="22"/>
                <w:szCs w:val="22"/>
              </w:rPr>
            </w:pPr>
            <w:r w:rsidDel="00000000" w:rsidR="00000000" w:rsidRPr="00000000">
              <w:rPr>
                <w:rtl w:val="0"/>
              </w:rPr>
            </w:r>
          </w:p>
        </w:tc>
        <w:tc>
          <w:tcPr/>
          <w:p w:rsidR="00000000" w:rsidDel="00000000" w:rsidP="00000000" w:rsidRDefault="00000000" w:rsidRPr="00000000" w14:paraId="000000D1">
            <w:pPr>
              <w:jc w:val="center"/>
              <w:rPr>
                <w:sz w:val="22"/>
                <w:szCs w:val="22"/>
              </w:rPr>
            </w:pPr>
            <w:r w:rsidDel="00000000" w:rsidR="00000000" w:rsidRPr="00000000">
              <w:rPr>
                <w:rtl w:val="0"/>
              </w:rPr>
            </w:r>
          </w:p>
        </w:tc>
        <w:tc>
          <w:tcPr/>
          <w:p w:rsidR="00000000" w:rsidDel="00000000" w:rsidP="00000000" w:rsidRDefault="00000000" w:rsidRPr="00000000" w14:paraId="000000D2">
            <w:pPr>
              <w:jc w:val="center"/>
              <w:rPr>
                <w:sz w:val="22"/>
                <w:szCs w:val="22"/>
              </w:rPr>
            </w:pPr>
            <w:r w:rsidDel="00000000" w:rsidR="00000000" w:rsidRPr="00000000">
              <w:rPr>
                <w:rtl w:val="0"/>
              </w:rPr>
            </w:r>
          </w:p>
        </w:tc>
        <w:tc>
          <w:tcPr/>
          <w:p w:rsidR="00000000" w:rsidDel="00000000" w:rsidP="00000000" w:rsidRDefault="00000000" w:rsidRPr="00000000" w14:paraId="000000D3">
            <w:pPr>
              <w:jc w:val="center"/>
              <w:rPr>
                <w:sz w:val="22"/>
                <w:szCs w:val="22"/>
              </w:rPr>
            </w:pPr>
            <w:r w:rsidDel="00000000" w:rsidR="00000000" w:rsidRPr="00000000">
              <w:rPr>
                <w:rtl w:val="0"/>
              </w:rPr>
            </w:r>
          </w:p>
        </w:tc>
        <w:tc>
          <w:tcPr/>
          <w:p w:rsidR="00000000" w:rsidDel="00000000" w:rsidP="00000000" w:rsidRDefault="00000000" w:rsidRPr="00000000" w14:paraId="000000D4">
            <w:pPr>
              <w:jc w:val="center"/>
              <w:rPr>
                <w:sz w:val="22"/>
                <w:szCs w:val="22"/>
              </w:rPr>
            </w:pPr>
            <w:r w:rsidDel="00000000" w:rsidR="00000000" w:rsidRPr="00000000">
              <w:rPr>
                <w:rtl w:val="0"/>
              </w:rPr>
            </w:r>
          </w:p>
        </w:tc>
        <w:tc>
          <w:tcPr/>
          <w:p w:rsidR="00000000" w:rsidDel="00000000" w:rsidP="00000000" w:rsidRDefault="00000000" w:rsidRPr="00000000" w14:paraId="000000D5">
            <w:pPr>
              <w:jc w:val="center"/>
              <w:rPr>
                <w:sz w:val="22"/>
                <w:szCs w:val="22"/>
              </w:rPr>
            </w:pPr>
            <w:r w:rsidDel="00000000" w:rsidR="00000000" w:rsidRPr="00000000">
              <w:rPr>
                <w:rtl w:val="0"/>
              </w:rPr>
            </w:r>
          </w:p>
        </w:tc>
        <w:tc>
          <w:tcPr/>
          <w:p w:rsidR="00000000" w:rsidDel="00000000" w:rsidP="00000000" w:rsidRDefault="00000000" w:rsidRPr="00000000" w14:paraId="000000D6">
            <w:pPr>
              <w:jc w:val="center"/>
              <w:rPr>
                <w:sz w:val="22"/>
                <w:szCs w:val="22"/>
              </w:rPr>
            </w:pPr>
            <w:r w:rsidDel="00000000" w:rsidR="00000000" w:rsidRPr="00000000">
              <w:rPr>
                <w:rtl w:val="0"/>
              </w:rPr>
            </w:r>
          </w:p>
        </w:tc>
        <w:tc>
          <w:tcPr/>
          <w:p w:rsidR="00000000" w:rsidDel="00000000" w:rsidP="00000000" w:rsidRDefault="00000000" w:rsidRPr="00000000" w14:paraId="000000D7">
            <w:pPr>
              <w:jc w:val="center"/>
              <w:rPr>
                <w:sz w:val="22"/>
                <w:szCs w:val="22"/>
              </w:rPr>
            </w:pPr>
            <w:r w:rsidDel="00000000" w:rsidR="00000000" w:rsidRPr="00000000">
              <w:rPr>
                <w:rtl w:val="0"/>
              </w:rPr>
            </w:r>
          </w:p>
        </w:tc>
      </w:tr>
      <w:tr>
        <w:trPr>
          <w:cantSplit w:val="1"/>
          <w:trHeight w:val="20" w:hRule="atLeast"/>
          <w:tblHeader w:val="0"/>
        </w:trPr>
        <w:tc>
          <w:tcPr/>
          <w:p w:rsidR="00000000" w:rsidDel="00000000" w:rsidP="00000000" w:rsidRDefault="00000000" w:rsidRPr="00000000" w14:paraId="000000D8">
            <w:pPr>
              <w:jc w:val="both"/>
              <w:rPr>
                <w:b w:val="0"/>
                <w:sz w:val="22"/>
                <w:szCs w:val="22"/>
              </w:rPr>
            </w:pPr>
            <w:r w:rsidDel="00000000" w:rsidR="00000000" w:rsidRPr="00000000">
              <w:rPr>
                <w:b w:val="0"/>
                <w:sz w:val="22"/>
                <w:szCs w:val="22"/>
                <w:rtl w:val="0"/>
              </w:rPr>
              <w:t xml:space="preserve">Dados demográficos</w:t>
            </w:r>
          </w:p>
        </w:tc>
        <w:tc>
          <w:tcPr/>
          <w:p w:rsidR="00000000" w:rsidDel="00000000" w:rsidP="00000000" w:rsidRDefault="00000000" w:rsidRPr="00000000" w14:paraId="000000D9">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DA">
            <w:pPr>
              <w:jc w:val="center"/>
              <w:rPr>
                <w:sz w:val="22"/>
                <w:szCs w:val="22"/>
              </w:rPr>
            </w:pPr>
            <w:r w:rsidDel="00000000" w:rsidR="00000000" w:rsidRPr="00000000">
              <w:rPr>
                <w:rtl w:val="0"/>
              </w:rPr>
            </w:r>
          </w:p>
        </w:tc>
        <w:tc>
          <w:tcPr/>
          <w:p w:rsidR="00000000" w:rsidDel="00000000" w:rsidP="00000000" w:rsidRDefault="00000000" w:rsidRPr="00000000" w14:paraId="000000DB">
            <w:pPr>
              <w:jc w:val="center"/>
              <w:rPr>
                <w:sz w:val="22"/>
                <w:szCs w:val="22"/>
              </w:rPr>
            </w:pPr>
            <w:r w:rsidDel="00000000" w:rsidR="00000000" w:rsidRPr="00000000">
              <w:rPr>
                <w:rtl w:val="0"/>
              </w:rPr>
            </w:r>
          </w:p>
        </w:tc>
        <w:tc>
          <w:tcPr/>
          <w:p w:rsidR="00000000" w:rsidDel="00000000" w:rsidP="00000000" w:rsidRDefault="00000000" w:rsidRPr="00000000" w14:paraId="000000DC">
            <w:pPr>
              <w:jc w:val="center"/>
              <w:rPr>
                <w:sz w:val="22"/>
                <w:szCs w:val="22"/>
              </w:rPr>
            </w:pPr>
            <w:r w:rsidDel="00000000" w:rsidR="00000000" w:rsidRPr="00000000">
              <w:rPr>
                <w:rtl w:val="0"/>
              </w:rPr>
            </w:r>
          </w:p>
        </w:tc>
        <w:tc>
          <w:tcPr/>
          <w:p w:rsidR="00000000" w:rsidDel="00000000" w:rsidP="00000000" w:rsidRDefault="00000000" w:rsidRPr="00000000" w14:paraId="000000DD">
            <w:pPr>
              <w:jc w:val="center"/>
              <w:rPr>
                <w:sz w:val="22"/>
                <w:szCs w:val="22"/>
              </w:rPr>
            </w:pPr>
            <w:r w:rsidDel="00000000" w:rsidR="00000000" w:rsidRPr="00000000">
              <w:rPr>
                <w:rtl w:val="0"/>
              </w:rPr>
            </w:r>
          </w:p>
        </w:tc>
        <w:tc>
          <w:tcPr/>
          <w:p w:rsidR="00000000" w:rsidDel="00000000" w:rsidP="00000000" w:rsidRDefault="00000000" w:rsidRPr="00000000" w14:paraId="000000DE">
            <w:pPr>
              <w:jc w:val="center"/>
              <w:rPr>
                <w:sz w:val="22"/>
                <w:szCs w:val="22"/>
              </w:rPr>
            </w:pPr>
            <w:r w:rsidDel="00000000" w:rsidR="00000000" w:rsidRPr="00000000">
              <w:rPr>
                <w:rtl w:val="0"/>
              </w:rPr>
            </w:r>
          </w:p>
        </w:tc>
        <w:tc>
          <w:tcPr/>
          <w:p w:rsidR="00000000" w:rsidDel="00000000" w:rsidP="00000000" w:rsidRDefault="00000000" w:rsidRPr="00000000" w14:paraId="000000DF">
            <w:pPr>
              <w:jc w:val="center"/>
              <w:rPr>
                <w:sz w:val="22"/>
                <w:szCs w:val="22"/>
              </w:rPr>
            </w:pPr>
            <w:r w:rsidDel="00000000" w:rsidR="00000000" w:rsidRPr="00000000">
              <w:rPr>
                <w:rtl w:val="0"/>
              </w:rPr>
            </w:r>
          </w:p>
        </w:tc>
        <w:tc>
          <w:tcPr/>
          <w:p w:rsidR="00000000" w:rsidDel="00000000" w:rsidP="00000000" w:rsidRDefault="00000000" w:rsidRPr="00000000" w14:paraId="000000E0">
            <w:pPr>
              <w:jc w:val="center"/>
              <w:rPr>
                <w:sz w:val="22"/>
                <w:szCs w:val="22"/>
              </w:rPr>
            </w:pPr>
            <w:r w:rsidDel="00000000" w:rsidR="00000000" w:rsidRPr="00000000">
              <w:rPr>
                <w:rtl w:val="0"/>
              </w:rPr>
            </w:r>
          </w:p>
        </w:tc>
        <w:tc>
          <w:tcPr/>
          <w:p w:rsidR="00000000" w:rsidDel="00000000" w:rsidP="00000000" w:rsidRDefault="00000000" w:rsidRPr="00000000" w14:paraId="000000E1">
            <w:pPr>
              <w:jc w:val="center"/>
              <w:rPr>
                <w:sz w:val="22"/>
                <w:szCs w:val="22"/>
              </w:rPr>
            </w:pPr>
            <w:r w:rsidDel="00000000" w:rsidR="00000000" w:rsidRPr="00000000">
              <w:rPr>
                <w:rtl w:val="0"/>
              </w:rPr>
            </w:r>
          </w:p>
        </w:tc>
        <w:tc>
          <w:tcPr/>
          <w:p w:rsidR="00000000" w:rsidDel="00000000" w:rsidP="00000000" w:rsidRDefault="00000000" w:rsidRPr="00000000" w14:paraId="000000E2">
            <w:pPr>
              <w:jc w:val="center"/>
              <w:rPr>
                <w:sz w:val="22"/>
                <w:szCs w:val="22"/>
              </w:rPr>
            </w:pPr>
            <w:r w:rsidDel="00000000" w:rsidR="00000000" w:rsidRPr="00000000">
              <w:rPr>
                <w:rtl w:val="0"/>
              </w:rPr>
            </w:r>
          </w:p>
        </w:tc>
      </w:tr>
      <w:tr>
        <w:trPr>
          <w:cantSplit w:val="1"/>
          <w:trHeight w:val="20" w:hRule="atLeast"/>
          <w:tblHeader w:val="0"/>
        </w:trPr>
        <w:tc>
          <w:tcPr/>
          <w:p w:rsidR="00000000" w:rsidDel="00000000" w:rsidP="00000000" w:rsidRDefault="00000000" w:rsidRPr="00000000" w14:paraId="000000E3">
            <w:pPr>
              <w:jc w:val="both"/>
              <w:rPr>
                <w:b w:val="0"/>
                <w:sz w:val="22"/>
                <w:szCs w:val="22"/>
              </w:rPr>
            </w:pPr>
            <w:r w:rsidDel="00000000" w:rsidR="00000000" w:rsidRPr="00000000">
              <w:rPr>
                <w:b w:val="0"/>
                <w:sz w:val="22"/>
                <w:szCs w:val="22"/>
                <w:rtl w:val="0"/>
              </w:rPr>
              <w:t xml:space="preserve">História da doença atual</w:t>
            </w:r>
          </w:p>
        </w:tc>
        <w:tc>
          <w:tcPr/>
          <w:p w:rsidR="00000000" w:rsidDel="00000000" w:rsidP="00000000" w:rsidRDefault="00000000" w:rsidRPr="00000000" w14:paraId="000000E4">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5">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6">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7">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8">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9">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A">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B">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C">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ED">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0EE">
            <w:pPr>
              <w:jc w:val="both"/>
              <w:rPr>
                <w:b w:val="0"/>
                <w:sz w:val="22"/>
                <w:szCs w:val="22"/>
              </w:rPr>
            </w:pPr>
            <w:r w:rsidDel="00000000" w:rsidR="00000000" w:rsidRPr="00000000">
              <w:rPr>
                <w:b w:val="0"/>
                <w:sz w:val="22"/>
                <w:szCs w:val="22"/>
                <w:rtl w:val="0"/>
              </w:rPr>
              <w:t xml:space="preserve">Monitoramento de sinais e sintomas</w:t>
            </w:r>
          </w:p>
        </w:tc>
        <w:tc>
          <w:tcPr/>
          <w:p w:rsidR="00000000" w:rsidDel="00000000" w:rsidP="00000000" w:rsidRDefault="00000000" w:rsidRPr="00000000" w14:paraId="000000EF">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0">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1">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2">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3">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4">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5">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6">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7">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8">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0F9">
            <w:pPr>
              <w:jc w:val="both"/>
              <w:rPr>
                <w:b w:val="0"/>
                <w:sz w:val="22"/>
                <w:szCs w:val="22"/>
              </w:rPr>
            </w:pPr>
            <w:r w:rsidDel="00000000" w:rsidR="00000000" w:rsidRPr="00000000">
              <w:rPr>
                <w:b w:val="0"/>
                <w:sz w:val="22"/>
                <w:szCs w:val="22"/>
                <w:rtl w:val="0"/>
              </w:rPr>
              <w:t xml:space="preserve">Coletas das amostras de sangue para congelamento</w:t>
            </w:r>
          </w:p>
        </w:tc>
        <w:tc>
          <w:tcPr/>
          <w:p w:rsidR="00000000" w:rsidDel="00000000" w:rsidP="00000000" w:rsidRDefault="00000000" w:rsidRPr="00000000" w14:paraId="000000FA">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0FB">
            <w:pPr>
              <w:jc w:val="center"/>
              <w:rPr>
                <w:sz w:val="22"/>
                <w:szCs w:val="22"/>
              </w:rPr>
            </w:pPr>
            <w:r w:rsidDel="00000000" w:rsidR="00000000" w:rsidRPr="00000000">
              <w:rPr>
                <w:rtl w:val="0"/>
              </w:rPr>
            </w:r>
          </w:p>
        </w:tc>
        <w:tc>
          <w:tcPr/>
          <w:p w:rsidR="00000000" w:rsidDel="00000000" w:rsidP="00000000" w:rsidRDefault="00000000" w:rsidRPr="00000000" w14:paraId="000000FC">
            <w:pPr>
              <w:jc w:val="center"/>
              <w:rPr>
                <w:sz w:val="22"/>
                <w:szCs w:val="22"/>
              </w:rPr>
            </w:pPr>
            <w:r w:rsidDel="00000000" w:rsidR="00000000" w:rsidRPr="00000000">
              <w:rPr>
                <w:rtl w:val="0"/>
              </w:rPr>
            </w:r>
          </w:p>
        </w:tc>
        <w:tc>
          <w:tcPr/>
          <w:p w:rsidR="00000000" w:rsidDel="00000000" w:rsidP="00000000" w:rsidRDefault="00000000" w:rsidRPr="00000000" w14:paraId="000000FD">
            <w:pPr>
              <w:jc w:val="center"/>
              <w:rPr>
                <w:sz w:val="22"/>
                <w:szCs w:val="22"/>
              </w:rPr>
            </w:pPr>
            <w:r w:rsidDel="00000000" w:rsidR="00000000" w:rsidRPr="00000000">
              <w:rPr>
                <w:rtl w:val="0"/>
              </w:rPr>
            </w:r>
          </w:p>
        </w:tc>
        <w:tc>
          <w:tcPr/>
          <w:p w:rsidR="00000000" w:rsidDel="00000000" w:rsidP="00000000" w:rsidRDefault="00000000" w:rsidRPr="00000000" w14:paraId="000000FE">
            <w:pPr>
              <w:jc w:val="center"/>
              <w:rPr>
                <w:sz w:val="22"/>
                <w:szCs w:val="22"/>
              </w:rPr>
            </w:pPr>
            <w:r w:rsidDel="00000000" w:rsidR="00000000" w:rsidRPr="00000000">
              <w:rPr>
                <w:rtl w:val="0"/>
              </w:rPr>
            </w:r>
          </w:p>
        </w:tc>
        <w:tc>
          <w:tcPr/>
          <w:p w:rsidR="00000000" w:rsidDel="00000000" w:rsidP="00000000" w:rsidRDefault="00000000" w:rsidRPr="00000000" w14:paraId="000000FF">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0">
            <w:pPr>
              <w:jc w:val="center"/>
              <w:rPr>
                <w:sz w:val="22"/>
                <w:szCs w:val="22"/>
              </w:rPr>
            </w:pPr>
            <w:r w:rsidDel="00000000" w:rsidR="00000000" w:rsidRPr="00000000">
              <w:rPr>
                <w:rtl w:val="0"/>
              </w:rPr>
            </w:r>
          </w:p>
        </w:tc>
        <w:tc>
          <w:tcPr/>
          <w:p w:rsidR="00000000" w:rsidDel="00000000" w:rsidP="00000000" w:rsidRDefault="00000000" w:rsidRPr="00000000" w14:paraId="00000101">
            <w:pPr>
              <w:jc w:val="center"/>
              <w:rPr>
                <w:sz w:val="22"/>
                <w:szCs w:val="22"/>
              </w:rPr>
            </w:pPr>
            <w:r w:rsidDel="00000000" w:rsidR="00000000" w:rsidRPr="00000000">
              <w:rPr>
                <w:rtl w:val="0"/>
              </w:rPr>
            </w:r>
          </w:p>
        </w:tc>
        <w:tc>
          <w:tcPr/>
          <w:p w:rsidR="00000000" w:rsidDel="00000000" w:rsidP="00000000" w:rsidRDefault="00000000" w:rsidRPr="00000000" w14:paraId="00000102">
            <w:pPr>
              <w:jc w:val="center"/>
              <w:rPr>
                <w:sz w:val="22"/>
                <w:szCs w:val="22"/>
              </w:rPr>
            </w:pPr>
            <w:r w:rsidDel="00000000" w:rsidR="00000000" w:rsidRPr="00000000">
              <w:rPr>
                <w:rtl w:val="0"/>
              </w:rPr>
            </w:r>
          </w:p>
        </w:tc>
        <w:tc>
          <w:tcPr/>
          <w:p w:rsidR="00000000" w:rsidDel="00000000" w:rsidP="00000000" w:rsidRDefault="00000000" w:rsidRPr="00000000" w14:paraId="00000103">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04">
            <w:pPr>
              <w:rPr>
                <w:b w:val="0"/>
                <w:sz w:val="22"/>
                <w:szCs w:val="22"/>
              </w:rPr>
            </w:pPr>
            <w:r w:rsidDel="00000000" w:rsidR="00000000" w:rsidRPr="00000000">
              <w:rPr>
                <w:b w:val="0"/>
                <w:sz w:val="22"/>
                <w:szCs w:val="22"/>
                <w:rtl w:val="0"/>
              </w:rPr>
              <w:t xml:space="preserve">Administração do protocolo terapêutico de acordo com a randomização</w:t>
            </w:r>
          </w:p>
        </w:tc>
        <w:tc>
          <w:tcPr/>
          <w:p w:rsidR="00000000" w:rsidDel="00000000" w:rsidP="00000000" w:rsidRDefault="00000000" w:rsidRPr="00000000" w14:paraId="00000105">
            <w:pPr>
              <w:jc w:val="center"/>
              <w:rPr>
                <w:sz w:val="22"/>
                <w:szCs w:val="22"/>
              </w:rPr>
            </w:pPr>
            <w:r w:rsidDel="00000000" w:rsidR="00000000" w:rsidRPr="00000000">
              <w:rPr>
                <w:rtl w:val="0"/>
              </w:rPr>
            </w:r>
          </w:p>
        </w:tc>
        <w:tc>
          <w:tcPr/>
          <w:p w:rsidR="00000000" w:rsidDel="00000000" w:rsidP="00000000" w:rsidRDefault="00000000" w:rsidRPr="00000000" w14:paraId="00000106">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7">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8">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9">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A">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B">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C">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D">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0E">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0F">
            <w:pPr>
              <w:rPr>
                <w:b w:val="0"/>
                <w:sz w:val="22"/>
                <w:szCs w:val="22"/>
              </w:rPr>
            </w:pPr>
            <w:r w:rsidDel="00000000" w:rsidR="00000000" w:rsidRPr="00000000">
              <w:rPr>
                <w:b w:val="0"/>
                <w:sz w:val="22"/>
                <w:szCs w:val="22"/>
                <w:rtl w:val="0"/>
              </w:rPr>
              <w:t xml:space="preserve">Vigilância para EA ou EAG</w:t>
            </w:r>
          </w:p>
        </w:tc>
        <w:tc>
          <w:tcPr/>
          <w:p w:rsidR="00000000" w:rsidDel="00000000" w:rsidP="00000000" w:rsidRDefault="00000000" w:rsidRPr="00000000" w14:paraId="00000110">
            <w:pPr>
              <w:jc w:val="center"/>
              <w:rPr>
                <w:sz w:val="22"/>
                <w:szCs w:val="22"/>
              </w:rPr>
            </w:pPr>
            <w:r w:rsidDel="00000000" w:rsidR="00000000" w:rsidRPr="00000000">
              <w:rPr>
                <w:rtl w:val="0"/>
              </w:rPr>
            </w:r>
          </w:p>
        </w:tc>
        <w:tc>
          <w:tcPr/>
          <w:p w:rsidR="00000000" w:rsidDel="00000000" w:rsidP="00000000" w:rsidRDefault="00000000" w:rsidRPr="00000000" w14:paraId="00000111">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2">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3">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4">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5">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6">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7">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8">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9">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1A">
            <w:pPr>
              <w:rPr>
                <w:b w:val="0"/>
                <w:sz w:val="22"/>
                <w:szCs w:val="22"/>
              </w:rPr>
            </w:pPr>
            <w:r w:rsidDel="00000000" w:rsidR="00000000" w:rsidRPr="00000000">
              <w:rPr>
                <w:b w:val="0"/>
                <w:sz w:val="22"/>
                <w:szCs w:val="22"/>
                <w:rtl w:val="0"/>
              </w:rPr>
              <w:t xml:space="preserve">Registo de dados na base de dados</w:t>
            </w:r>
          </w:p>
        </w:tc>
        <w:tc>
          <w:tcPr/>
          <w:p w:rsidR="00000000" w:rsidDel="00000000" w:rsidP="00000000" w:rsidRDefault="00000000" w:rsidRPr="00000000" w14:paraId="0000011B">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C">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D">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E">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1F">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0">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1">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2">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3">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4">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25">
            <w:pPr>
              <w:rPr>
                <w:b w:val="0"/>
                <w:sz w:val="22"/>
                <w:szCs w:val="22"/>
              </w:rPr>
            </w:pPr>
            <w:r w:rsidDel="00000000" w:rsidR="00000000" w:rsidRPr="00000000">
              <w:rPr>
                <w:b w:val="0"/>
                <w:sz w:val="22"/>
                <w:szCs w:val="22"/>
                <w:rtl w:val="0"/>
              </w:rPr>
              <w:t xml:space="preserve">Avaliação dos parâmetros de avaliação do estudo</w:t>
            </w:r>
          </w:p>
        </w:tc>
        <w:tc>
          <w:tcPr/>
          <w:p w:rsidR="00000000" w:rsidDel="00000000" w:rsidP="00000000" w:rsidRDefault="00000000" w:rsidRPr="00000000" w14:paraId="00000126">
            <w:pPr>
              <w:jc w:val="center"/>
              <w:rPr>
                <w:sz w:val="22"/>
                <w:szCs w:val="22"/>
              </w:rPr>
            </w:pPr>
            <w:r w:rsidDel="00000000" w:rsidR="00000000" w:rsidRPr="00000000">
              <w:rPr>
                <w:rtl w:val="0"/>
              </w:rPr>
            </w:r>
          </w:p>
        </w:tc>
        <w:tc>
          <w:tcPr/>
          <w:p w:rsidR="00000000" w:rsidDel="00000000" w:rsidP="00000000" w:rsidRDefault="00000000" w:rsidRPr="00000000" w14:paraId="00000127">
            <w:pPr>
              <w:jc w:val="center"/>
              <w:rPr>
                <w:sz w:val="22"/>
                <w:szCs w:val="22"/>
              </w:rPr>
            </w:pPr>
            <w:r w:rsidDel="00000000" w:rsidR="00000000" w:rsidRPr="00000000">
              <w:rPr>
                <w:rtl w:val="0"/>
              </w:rPr>
            </w:r>
          </w:p>
        </w:tc>
        <w:tc>
          <w:tcPr/>
          <w:p w:rsidR="00000000" w:rsidDel="00000000" w:rsidP="00000000" w:rsidRDefault="00000000" w:rsidRPr="00000000" w14:paraId="00000128">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9">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A">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B">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C">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D">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E">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2F">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gridSpan w:val="11"/>
          </w:tcPr>
          <w:p w:rsidR="00000000" w:rsidDel="00000000" w:rsidP="00000000" w:rsidRDefault="00000000" w:rsidRPr="00000000" w14:paraId="00000130">
            <w:pPr>
              <w:rPr>
                <w:sz w:val="22"/>
                <w:szCs w:val="22"/>
              </w:rPr>
            </w:pPr>
            <w:r w:rsidDel="00000000" w:rsidR="00000000" w:rsidRPr="00000000">
              <w:rPr>
                <w:sz w:val="22"/>
                <w:szCs w:val="22"/>
                <w:rtl w:val="0"/>
              </w:rPr>
              <w:t xml:space="preserve">Exames laboratoriais e clínicos</w:t>
            </w:r>
          </w:p>
        </w:tc>
      </w:tr>
      <w:tr>
        <w:trPr>
          <w:cantSplit w:val="1"/>
          <w:trHeight w:val="20" w:hRule="atLeast"/>
          <w:tblHeader w:val="0"/>
        </w:trPr>
        <w:tc>
          <w:tcPr/>
          <w:p w:rsidR="00000000" w:rsidDel="00000000" w:rsidP="00000000" w:rsidRDefault="00000000" w:rsidRPr="00000000" w14:paraId="0000013B">
            <w:pPr>
              <w:rPr>
                <w:b w:val="0"/>
                <w:sz w:val="22"/>
                <w:szCs w:val="22"/>
              </w:rPr>
            </w:pPr>
            <w:r w:rsidDel="00000000" w:rsidR="00000000" w:rsidRPr="00000000">
              <w:rPr>
                <w:b w:val="0"/>
                <w:sz w:val="22"/>
                <w:szCs w:val="22"/>
                <w:rtl w:val="0"/>
              </w:rPr>
              <w:t xml:space="preserve">Hemograma completo com contagem celular diferencial</w:t>
            </w:r>
          </w:p>
        </w:tc>
        <w:tc>
          <w:tcPr/>
          <w:p w:rsidR="00000000" w:rsidDel="00000000" w:rsidP="00000000" w:rsidRDefault="00000000" w:rsidRPr="00000000" w14:paraId="0000013C">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3D">
            <w:pPr>
              <w:jc w:val="center"/>
              <w:rPr>
                <w:sz w:val="22"/>
                <w:szCs w:val="22"/>
              </w:rPr>
            </w:pPr>
            <w:r w:rsidDel="00000000" w:rsidR="00000000" w:rsidRPr="00000000">
              <w:rPr>
                <w:rtl w:val="0"/>
              </w:rPr>
            </w:r>
          </w:p>
        </w:tc>
        <w:tc>
          <w:tcPr/>
          <w:p w:rsidR="00000000" w:rsidDel="00000000" w:rsidP="00000000" w:rsidRDefault="00000000" w:rsidRPr="00000000" w14:paraId="0000013E">
            <w:pPr>
              <w:jc w:val="center"/>
              <w:rPr>
                <w:sz w:val="22"/>
                <w:szCs w:val="22"/>
              </w:rPr>
            </w:pPr>
            <w:r w:rsidDel="00000000" w:rsidR="00000000" w:rsidRPr="00000000">
              <w:rPr>
                <w:rtl w:val="0"/>
              </w:rPr>
            </w:r>
          </w:p>
        </w:tc>
        <w:tc>
          <w:tcPr/>
          <w:p w:rsidR="00000000" w:rsidDel="00000000" w:rsidP="00000000" w:rsidRDefault="00000000" w:rsidRPr="00000000" w14:paraId="0000013F">
            <w:pPr>
              <w:jc w:val="center"/>
              <w:rPr>
                <w:sz w:val="22"/>
                <w:szCs w:val="22"/>
              </w:rPr>
            </w:pPr>
            <w:r w:rsidDel="00000000" w:rsidR="00000000" w:rsidRPr="00000000">
              <w:rPr>
                <w:rtl w:val="0"/>
              </w:rPr>
            </w:r>
          </w:p>
        </w:tc>
        <w:tc>
          <w:tcPr/>
          <w:p w:rsidR="00000000" w:rsidDel="00000000" w:rsidP="00000000" w:rsidRDefault="00000000" w:rsidRPr="00000000" w14:paraId="00000140">
            <w:pPr>
              <w:jc w:val="center"/>
              <w:rPr>
                <w:sz w:val="22"/>
                <w:szCs w:val="22"/>
              </w:rPr>
            </w:pPr>
            <w:r w:rsidDel="00000000" w:rsidR="00000000" w:rsidRPr="00000000">
              <w:rPr>
                <w:rtl w:val="0"/>
              </w:rPr>
            </w:r>
          </w:p>
        </w:tc>
        <w:tc>
          <w:tcPr/>
          <w:p w:rsidR="00000000" w:rsidDel="00000000" w:rsidP="00000000" w:rsidRDefault="00000000" w:rsidRPr="00000000" w14:paraId="00000141">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42">
            <w:pPr>
              <w:jc w:val="center"/>
              <w:rPr>
                <w:sz w:val="22"/>
                <w:szCs w:val="22"/>
              </w:rPr>
            </w:pPr>
            <w:r w:rsidDel="00000000" w:rsidR="00000000" w:rsidRPr="00000000">
              <w:rPr>
                <w:rtl w:val="0"/>
              </w:rPr>
            </w:r>
          </w:p>
        </w:tc>
        <w:tc>
          <w:tcPr/>
          <w:p w:rsidR="00000000" w:rsidDel="00000000" w:rsidP="00000000" w:rsidRDefault="00000000" w:rsidRPr="00000000" w14:paraId="00000143">
            <w:pPr>
              <w:jc w:val="center"/>
              <w:rPr>
                <w:sz w:val="22"/>
                <w:szCs w:val="22"/>
              </w:rPr>
            </w:pPr>
            <w:r w:rsidDel="00000000" w:rsidR="00000000" w:rsidRPr="00000000">
              <w:rPr>
                <w:rtl w:val="0"/>
              </w:rPr>
            </w:r>
          </w:p>
        </w:tc>
        <w:tc>
          <w:tcPr/>
          <w:p w:rsidR="00000000" w:rsidDel="00000000" w:rsidP="00000000" w:rsidRDefault="00000000" w:rsidRPr="00000000" w14:paraId="00000144">
            <w:pPr>
              <w:jc w:val="center"/>
              <w:rPr>
                <w:sz w:val="22"/>
                <w:szCs w:val="22"/>
              </w:rPr>
            </w:pPr>
            <w:r w:rsidDel="00000000" w:rsidR="00000000" w:rsidRPr="00000000">
              <w:rPr>
                <w:rtl w:val="0"/>
              </w:rPr>
            </w:r>
          </w:p>
        </w:tc>
        <w:tc>
          <w:tcPr/>
          <w:p w:rsidR="00000000" w:rsidDel="00000000" w:rsidP="00000000" w:rsidRDefault="00000000" w:rsidRPr="00000000" w14:paraId="00000145">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46">
            <w:pPr>
              <w:jc w:val="both"/>
              <w:rPr>
                <w:b w:val="0"/>
                <w:sz w:val="22"/>
                <w:szCs w:val="22"/>
              </w:rPr>
            </w:pPr>
            <w:r w:rsidDel="00000000" w:rsidR="00000000" w:rsidRPr="00000000">
              <w:rPr>
                <w:b w:val="0"/>
                <w:sz w:val="22"/>
                <w:szCs w:val="22"/>
                <w:rtl w:val="0"/>
              </w:rPr>
              <w:t xml:space="preserve">Glicose</w:t>
            </w:r>
          </w:p>
        </w:tc>
        <w:tc>
          <w:tcPr/>
          <w:p w:rsidR="00000000" w:rsidDel="00000000" w:rsidP="00000000" w:rsidRDefault="00000000" w:rsidRPr="00000000" w14:paraId="00000147">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48">
            <w:pPr>
              <w:jc w:val="center"/>
              <w:rPr>
                <w:sz w:val="22"/>
                <w:szCs w:val="22"/>
              </w:rPr>
            </w:pPr>
            <w:r w:rsidDel="00000000" w:rsidR="00000000" w:rsidRPr="00000000">
              <w:rPr>
                <w:rtl w:val="0"/>
              </w:rPr>
            </w:r>
          </w:p>
        </w:tc>
        <w:tc>
          <w:tcPr/>
          <w:p w:rsidR="00000000" w:rsidDel="00000000" w:rsidP="00000000" w:rsidRDefault="00000000" w:rsidRPr="00000000" w14:paraId="00000149">
            <w:pPr>
              <w:jc w:val="center"/>
              <w:rPr>
                <w:sz w:val="22"/>
                <w:szCs w:val="22"/>
              </w:rPr>
            </w:pPr>
            <w:r w:rsidDel="00000000" w:rsidR="00000000" w:rsidRPr="00000000">
              <w:rPr>
                <w:rtl w:val="0"/>
              </w:rPr>
            </w:r>
          </w:p>
        </w:tc>
        <w:tc>
          <w:tcPr/>
          <w:p w:rsidR="00000000" w:rsidDel="00000000" w:rsidP="00000000" w:rsidRDefault="00000000" w:rsidRPr="00000000" w14:paraId="0000014A">
            <w:pPr>
              <w:jc w:val="center"/>
              <w:rPr>
                <w:sz w:val="22"/>
                <w:szCs w:val="22"/>
              </w:rPr>
            </w:pPr>
            <w:r w:rsidDel="00000000" w:rsidR="00000000" w:rsidRPr="00000000">
              <w:rPr>
                <w:rtl w:val="0"/>
              </w:rPr>
            </w:r>
          </w:p>
        </w:tc>
        <w:tc>
          <w:tcPr/>
          <w:p w:rsidR="00000000" w:rsidDel="00000000" w:rsidP="00000000" w:rsidRDefault="00000000" w:rsidRPr="00000000" w14:paraId="0000014B">
            <w:pPr>
              <w:jc w:val="center"/>
              <w:rPr>
                <w:sz w:val="22"/>
                <w:szCs w:val="22"/>
              </w:rPr>
            </w:pPr>
            <w:r w:rsidDel="00000000" w:rsidR="00000000" w:rsidRPr="00000000">
              <w:rPr>
                <w:rtl w:val="0"/>
              </w:rPr>
            </w:r>
          </w:p>
        </w:tc>
        <w:tc>
          <w:tcPr/>
          <w:p w:rsidR="00000000" w:rsidDel="00000000" w:rsidP="00000000" w:rsidRDefault="00000000" w:rsidRPr="00000000" w14:paraId="0000014C">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4D">
            <w:pPr>
              <w:jc w:val="center"/>
              <w:rPr>
                <w:sz w:val="22"/>
                <w:szCs w:val="22"/>
              </w:rPr>
            </w:pPr>
            <w:r w:rsidDel="00000000" w:rsidR="00000000" w:rsidRPr="00000000">
              <w:rPr>
                <w:rtl w:val="0"/>
              </w:rPr>
            </w:r>
          </w:p>
        </w:tc>
        <w:tc>
          <w:tcPr/>
          <w:p w:rsidR="00000000" w:rsidDel="00000000" w:rsidP="00000000" w:rsidRDefault="00000000" w:rsidRPr="00000000" w14:paraId="0000014E">
            <w:pPr>
              <w:jc w:val="center"/>
              <w:rPr>
                <w:sz w:val="22"/>
                <w:szCs w:val="22"/>
              </w:rPr>
            </w:pPr>
            <w:r w:rsidDel="00000000" w:rsidR="00000000" w:rsidRPr="00000000">
              <w:rPr>
                <w:rtl w:val="0"/>
              </w:rPr>
            </w:r>
          </w:p>
        </w:tc>
        <w:tc>
          <w:tcPr/>
          <w:p w:rsidR="00000000" w:rsidDel="00000000" w:rsidP="00000000" w:rsidRDefault="00000000" w:rsidRPr="00000000" w14:paraId="0000014F">
            <w:pPr>
              <w:jc w:val="center"/>
              <w:rPr>
                <w:sz w:val="22"/>
                <w:szCs w:val="22"/>
              </w:rPr>
            </w:pPr>
            <w:r w:rsidDel="00000000" w:rsidR="00000000" w:rsidRPr="00000000">
              <w:rPr>
                <w:rtl w:val="0"/>
              </w:rPr>
            </w:r>
          </w:p>
        </w:tc>
        <w:tc>
          <w:tcPr/>
          <w:p w:rsidR="00000000" w:rsidDel="00000000" w:rsidP="00000000" w:rsidRDefault="00000000" w:rsidRPr="00000000" w14:paraId="00000150">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51">
            <w:pPr>
              <w:jc w:val="both"/>
              <w:rPr>
                <w:b w:val="0"/>
                <w:sz w:val="22"/>
                <w:szCs w:val="22"/>
              </w:rPr>
            </w:pPr>
            <w:r w:rsidDel="00000000" w:rsidR="00000000" w:rsidRPr="00000000">
              <w:rPr>
                <w:b w:val="0"/>
                <w:sz w:val="22"/>
                <w:szCs w:val="22"/>
                <w:rtl w:val="0"/>
              </w:rPr>
              <w:t xml:space="preserve">Hemoglobina glicada (HbA1c)</w:t>
            </w:r>
          </w:p>
        </w:tc>
        <w:tc>
          <w:tcPr/>
          <w:p w:rsidR="00000000" w:rsidDel="00000000" w:rsidP="00000000" w:rsidRDefault="00000000" w:rsidRPr="00000000" w14:paraId="00000152">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3">
            <w:pPr>
              <w:jc w:val="center"/>
              <w:rPr>
                <w:sz w:val="22"/>
                <w:szCs w:val="22"/>
              </w:rPr>
            </w:pPr>
            <w:r w:rsidDel="00000000" w:rsidR="00000000" w:rsidRPr="00000000">
              <w:rPr>
                <w:rtl w:val="0"/>
              </w:rPr>
            </w:r>
          </w:p>
        </w:tc>
        <w:tc>
          <w:tcPr/>
          <w:p w:rsidR="00000000" w:rsidDel="00000000" w:rsidP="00000000" w:rsidRDefault="00000000" w:rsidRPr="00000000" w14:paraId="00000154">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5">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6">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7">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8">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9">
            <w:pPr>
              <w:jc w:val="center"/>
              <w:rPr>
                <w:sz w:val="22"/>
                <w:szCs w:val="22"/>
              </w:rPr>
            </w:pPr>
            <w:r w:rsidDel="00000000" w:rsidR="00000000" w:rsidRPr="00000000">
              <w:rPr>
                <w:rtl w:val="0"/>
              </w:rPr>
            </w:r>
          </w:p>
        </w:tc>
        <w:tc>
          <w:tcPr/>
          <w:p w:rsidR="00000000" w:rsidDel="00000000" w:rsidP="00000000" w:rsidRDefault="00000000" w:rsidRPr="00000000" w14:paraId="0000015A">
            <w:pPr>
              <w:jc w:val="center"/>
              <w:rPr>
                <w:sz w:val="22"/>
                <w:szCs w:val="22"/>
              </w:rPr>
            </w:pPr>
            <w:r w:rsidDel="00000000" w:rsidR="00000000" w:rsidRPr="00000000">
              <w:rPr>
                <w:rtl w:val="0"/>
              </w:rPr>
            </w:r>
          </w:p>
        </w:tc>
        <w:tc>
          <w:tcPr/>
          <w:p w:rsidR="00000000" w:rsidDel="00000000" w:rsidP="00000000" w:rsidRDefault="00000000" w:rsidRPr="00000000" w14:paraId="0000015B">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5C">
            <w:pPr>
              <w:jc w:val="both"/>
              <w:rPr>
                <w:b w:val="0"/>
                <w:sz w:val="22"/>
                <w:szCs w:val="22"/>
              </w:rPr>
            </w:pPr>
            <w:r w:rsidDel="00000000" w:rsidR="00000000" w:rsidRPr="00000000">
              <w:rPr>
                <w:b w:val="0"/>
                <w:sz w:val="22"/>
                <w:szCs w:val="22"/>
                <w:rtl w:val="0"/>
              </w:rPr>
              <w:t xml:space="preserve">Perfil lipídico</w:t>
            </w:r>
          </w:p>
        </w:tc>
        <w:tc>
          <w:tcPr/>
          <w:p w:rsidR="00000000" w:rsidDel="00000000" w:rsidP="00000000" w:rsidRDefault="00000000" w:rsidRPr="00000000" w14:paraId="0000015D">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E">
            <w:pPr>
              <w:jc w:val="center"/>
              <w:rPr>
                <w:sz w:val="22"/>
                <w:szCs w:val="22"/>
              </w:rPr>
            </w:pPr>
            <w:r w:rsidDel="00000000" w:rsidR="00000000" w:rsidRPr="00000000">
              <w:rPr>
                <w:rtl w:val="0"/>
              </w:rPr>
            </w:r>
          </w:p>
        </w:tc>
        <w:tc>
          <w:tcPr/>
          <w:p w:rsidR="00000000" w:rsidDel="00000000" w:rsidP="00000000" w:rsidRDefault="00000000" w:rsidRPr="00000000" w14:paraId="0000015F">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0">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1">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2">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3">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4">
            <w:pPr>
              <w:jc w:val="center"/>
              <w:rPr>
                <w:sz w:val="22"/>
                <w:szCs w:val="22"/>
              </w:rPr>
            </w:pPr>
            <w:r w:rsidDel="00000000" w:rsidR="00000000" w:rsidRPr="00000000">
              <w:rPr>
                <w:rtl w:val="0"/>
              </w:rPr>
            </w:r>
          </w:p>
        </w:tc>
        <w:tc>
          <w:tcPr/>
          <w:p w:rsidR="00000000" w:rsidDel="00000000" w:rsidP="00000000" w:rsidRDefault="00000000" w:rsidRPr="00000000" w14:paraId="00000165">
            <w:pPr>
              <w:jc w:val="center"/>
              <w:rPr>
                <w:sz w:val="22"/>
                <w:szCs w:val="22"/>
              </w:rPr>
            </w:pPr>
            <w:r w:rsidDel="00000000" w:rsidR="00000000" w:rsidRPr="00000000">
              <w:rPr>
                <w:rtl w:val="0"/>
              </w:rPr>
            </w:r>
          </w:p>
        </w:tc>
        <w:tc>
          <w:tcPr/>
          <w:p w:rsidR="00000000" w:rsidDel="00000000" w:rsidP="00000000" w:rsidRDefault="00000000" w:rsidRPr="00000000" w14:paraId="00000166">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67">
            <w:pPr>
              <w:jc w:val="both"/>
              <w:rPr>
                <w:b w:val="0"/>
                <w:sz w:val="22"/>
                <w:szCs w:val="22"/>
              </w:rPr>
            </w:pPr>
            <w:r w:rsidDel="00000000" w:rsidR="00000000" w:rsidRPr="00000000">
              <w:rPr>
                <w:b w:val="0"/>
                <w:sz w:val="22"/>
                <w:szCs w:val="22"/>
                <w:rtl w:val="0"/>
              </w:rPr>
              <w:t xml:space="preserve">Creatinina</w:t>
            </w:r>
          </w:p>
        </w:tc>
        <w:tc>
          <w:tcPr/>
          <w:p w:rsidR="00000000" w:rsidDel="00000000" w:rsidP="00000000" w:rsidRDefault="00000000" w:rsidRPr="00000000" w14:paraId="00000168">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9">
            <w:pPr>
              <w:jc w:val="center"/>
              <w:rPr>
                <w:sz w:val="22"/>
                <w:szCs w:val="22"/>
              </w:rPr>
            </w:pPr>
            <w:r w:rsidDel="00000000" w:rsidR="00000000" w:rsidRPr="00000000">
              <w:rPr>
                <w:rtl w:val="0"/>
              </w:rPr>
            </w:r>
          </w:p>
        </w:tc>
        <w:tc>
          <w:tcPr/>
          <w:p w:rsidR="00000000" w:rsidDel="00000000" w:rsidP="00000000" w:rsidRDefault="00000000" w:rsidRPr="00000000" w14:paraId="0000016A">
            <w:pPr>
              <w:jc w:val="center"/>
              <w:rPr>
                <w:sz w:val="22"/>
                <w:szCs w:val="22"/>
              </w:rPr>
            </w:pPr>
            <w:r w:rsidDel="00000000" w:rsidR="00000000" w:rsidRPr="00000000">
              <w:rPr>
                <w:rtl w:val="0"/>
              </w:rPr>
            </w:r>
          </w:p>
        </w:tc>
        <w:tc>
          <w:tcPr/>
          <w:p w:rsidR="00000000" w:rsidDel="00000000" w:rsidP="00000000" w:rsidRDefault="00000000" w:rsidRPr="00000000" w14:paraId="0000016B">
            <w:pPr>
              <w:jc w:val="center"/>
              <w:rPr>
                <w:sz w:val="22"/>
                <w:szCs w:val="22"/>
              </w:rPr>
            </w:pPr>
            <w:r w:rsidDel="00000000" w:rsidR="00000000" w:rsidRPr="00000000">
              <w:rPr>
                <w:rtl w:val="0"/>
              </w:rPr>
            </w:r>
          </w:p>
        </w:tc>
        <w:tc>
          <w:tcPr/>
          <w:p w:rsidR="00000000" w:rsidDel="00000000" w:rsidP="00000000" w:rsidRDefault="00000000" w:rsidRPr="00000000" w14:paraId="0000016C">
            <w:pPr>
              <w:jc w:val="center"/>
              <w:rPr>
                <w:sz w:val="22"/>
                <w:szCs w:val="22"/>
              </w:rPr>
            </w:pPr>
            <w:r w:rsidDel="00000000" w:rsidR="00000000" w:rsidRPr="00000000">
              <w:rPr>
                <w:rtl w:val="0"/>
              </w:rPr>
            </w:r>
          </w:p>
        </w:tc>
        <w:tc>
          <w:tcPr/>
          <w:p w:rsidR="00000000" w:rsidDel="00000000" w:rsidP="00000000" w:rsidRDefault="00000000" w:rsidRPr="00000000" w14:paraId="0000016D">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E">
            <w:pPr>
              <w:jc w:val="center"/>
              <w:rPr>
                <w:sz w:val="22"/>
                <w:szCs w:val="22"/>
              </w:rPr>
            </w:pPr>
            <w:r w:rsidDel="00000000" w:rsidR="00000000" w:rsidRPr="00000000">
              <w:rPr>
                <w:rtl w:val="0"/>
              </w:rPr>
            </w:r>
          </w:p>
        </w:tc>
        <w:tc>
          <w:tcPr/>
          <w:p w:rsidR="00000000" w:rsidDel="00000000" w:rsidP="00000000" w:rsidRDefault="00000000" w:rsidRPr="00000000" w14:paraId="0000016F">
            <w:pPr>
              <w:jc w:val="center"/>
              <w:rPr>
                <w:sz w:val="22"/>
                <w:szCs w:val="22"/>
              </w:rPr>
            </w:pPr>
            <w:r w:rsidDel="00000000" w:rsidR="00000000" w:rsidRPr="00000000">
              <w:rPr>
                <w:rtl w:val="0"/>
              </w:rPr>
            </w:r>
          </w:p>
        </w:tc>
        <w:tc>
          <w:tcPr/>
          <w:p w:rsidR="00000000" w:rsidDel="00000000" w:rsidP="00000000" w:rsidRDefault="00000000" w:rsidRPr="00000000" w14:paraId="00000170">
            <w:pPr>
              <w:jc w:val="center"/>
              <w:rPr>
                <w:sz w:val="22"/>
                <w:szCs w:val="22"/>
              </w:rPr>
            </w:pPr>
            <w:r w:rsidDel="00000000" w:rsidR="00000000" w:rsidRPr="00000000">
              <w:rPr>
                <w:rtl w:val="0"/>
              </w:rPr>
            </w:r>
          </w:p>
        </w:tc>
        <w:tc>
          <w:tcPr/>
          <w:p w:rsidR="00000000" w:rsidDel="00000000" w:rsidP="00000000" w:rsidRDefault="00000000" w:rsidRPr="00000000" w14:paraId="00000171">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72">
            <w:pPr>
              <w:jc w:val="both"/>
              <w:rPr>
                <w:b w:val="0"/>
                <w:sz w:val="22"/>
                <w:szCs w:val="22"/>
              </w:rPr>
            </w:pPr>
            <w:r w:rsidDel="00000000" w:rsidR="00000000" w:rsidRPr="00000000">
              <w:rPr>
                <w:b w:val="0"/>
                <w:sz w:val="22"/>
                <w:szCs w:val="22"/>
                <w:rtl w:val="0"/>
              </w:rPr>
              <w:t xml:space="preserve">Relação albumina/creatinina</w:t>
            </w:r>
          </w:p>
        </w:tc>
        <w:tc>
          <w:tcPr/>
          <w:p w:rsidR="00000000" w:rsidDel="00000000" w:rsidP="00000000" w:rsidRDefault="00000000" w:rsidRPr="00000000" w14:paraId="00000173">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74">
            <w:pPr>
              <w:jc w:val="center"/>
              <w:rPr>
                <w:sz w:val="22"/>
                <w:szCs w:val="22"/>
              </w:rPr>
            </w:pPr>
            <w:r w:rsidDel="00000000" w:rsidR="00000000" w:rsidRPr="00000000">
              <w:rPr>
                <w:rtl w:val="0"/>
              </w:rPr>
            </w:r>
          </w:p>
        </w:tc>
        <w:tc>
          <w:tcPr/>
          <w:p w:rsidR="00000000" w:rsidDel="00000000" w:rsidP="00000000" w:rsidRDefault="00000000" w:rsidRPr="00000000" w14:paraId="00000175">
            <w:pPr>
              <w:jc w:val="center"/>
              <w:rPr>
                <w:sz w:val="22"/>
                <w:szCs w:val="22"/>
              </w:rPr>
            </w:pPr>
            <w:r w:rsidDel="00000000" w:rsidR="00000000" w:rsidRPr="00000000">
              <w:rPr>
                <w:rtl w:val="0"/>
              </w:rPr>
            </w:r>
          </w:p>
        </w:tc>
        <w:tc>
          <w:tcPr/>
          <w:p w:rsidR="00000000" w:rsidDel="00000000" w:rsidP="00000000" w:rsidRDefault="00000000" w:rsidRPr="00000000" w14:paraId="00000176">
            <w:pPr>
              <w:jc w:val="center"/>
              <w:rPr>
                <w:sz w:val="22"/>
                <w:szCs w:val="22"/>
              </w:rPr>
            </w:pPr>
            <w:r w:rsidDel="00000000" w:rsidR="00000000" w:rsidRPr="00000000">
              <w:rPr>
                <w:rtl w:val="0"/>
              </w:rPr>
            </w:r>
          </w:p>
        </w:tc>
        <w:tc>
          <w:tcPr/>
          <w:p w:rsidR="00000000" w:rsidDel="00000000" w:rsidP="00000000" w:rsidRDefault="00000000" w:rsidRPr="00000000" w14:paraId="00000177">
            <w:pPr>
              <w:jc w:val="center"/>
              <w:rPr>
                <w:sz w:val="22"/>
                <w:szCs w:val="22"/>
              </w:rPr>
            </w:pPr>
            <w:r w:rsidDel="00000000" w:rsidR="00000000" w:rsidRPr="00000000">
              <w:rPr>
                <w:rtl w:val="0"/>
              </w:rPr>
            </w:r>
          </w:p>
        </w:tc>
        <w:tc>
          <w:tcPr/>
          <w:p w:rsidR="00000000" w:rsidDel="00000000" w:rsidP="00000000" w:rsidRDefault="00000000" w:rsidRPr="00000000" w14:paraId="00000178">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79">
            <w:pPr>
              <w:jc w:val="center"/>
              <w:rPr>
                <w:sz w:val="22"/>
                <w:szCs w:val="22"/>
              </w:rPr>
            </w:pPr>
            <w:r w:rsidDel="00000000" w:rsidR="00000000" w:rsidRPr="00000000">
              <w:rPr>
                <w:rtl w:val="0"/>
              </w:rPr>
            </w:r>
          </w:p>
        </w:tc>
        <w:tc>
          <w:tcPr/>
          <w:p w:rsidR="00000000" w:rsidDel="00000000" w:rsidP="00000000" w:rsidRDefault="00000000" w:rsidRPr="00000000" w14:paraId="0000017A">
            <w:pPr>
              <w:jc w:val="center"/>
              <w:rPr>
                <w:sz w:val="22"/>
                <w:szCs w:val="22"/>
              </w:rPr>
            </w:pPr>
            <w:r w:rsidDel="00000000" w:rsidR="00000000" w:rsidRPr="00000000">
              <w:rPr>
                <w:rtl w:val="0"/>
              </w:rPr>
            </w:r>
          </w:p>
        </w:tc>
        <w:tc>
          <w:tcPr/>
          <w:p w:rsidR="00000000" w:rsidDel="00000000" w:rsidP="00000000" w:rsidRDefault="00000000" w:rsidRPr="00000000" w14:paraId="0000017B">
            <w:pPr>
              <w:jc w:val="center"/>
              <w:rPr>
                <w:sz w:val="22"/>
                <w:szCs w:val="22"/>
              </w:rPr>
            </w:pPr>
            <w:r w:rsidDel="00000000" w:rsidR="00000000" w:rsidRPr="00000000">
              <w:rPr>
                <w:rtl w:val="0"/>
              </w:rPr>
            </w:r>
          </w:p>
        </w:tc>
        <w:tc>
          <w:tcPr/>
          <w:p w:rsidR="00000000" w:rsidDel="00000000" w:rsidP="00000000" w:rsidRDefault="00000000" w:rsidRPr="00000000" w14:paraId="0000017C">
            <w:pPr>
              <w:jc w:val="center"/>
              <w:rPr>
                <w:sz w:val="22"/>
                <w:szCs w:val="22"/>
              </w:rPr>
            </w:pPr>
            <w:r w:rsidDel="00000000" w:rsidR="00000000" w:rsidRPr="00000000">
              <w:rPr>
                <w:sz w:val="22"/>
                <w:szCs w:val="22"/>
                <w:rtl w:val="0"/>
              </w:rPr>
              <w:t xml:space="preserve"></w:t>
            </w:r>
          </w:p>
        </w:tc>
      </w:tr>
      <w:tr>
        <w:trPr>
          <w:cantSplit w:val="1"/>
          <w:trHeight w:val="20" w:hRule="atLeast"/>
          <w:tblHeader w:val="0"/>
        </w:trPr>
        <w:tc>
          <w:tcPr/>
          <w:p w:rsidR="00000000" w:rsidDel="00000000" w:rsidP="00000000" w:rsidRDefault="00000000" w:rsidRPr="00000000" w14:paraId="0000017D">
            <w:pPr>
              <w:rPr>
                <w:b w:val="0"/>
                <w:sz w:val="22"/>
                <w:szCs w:val="22"/>
              </w:rPr>
            </w:pPr>
            <w:r w:rsidDel="00000000" w:rsidR="00000000" w:rsidRPr="00000000">
              <w:rPr>
                <w:b w:val="0"/>
                <w:sz w:val="22"/>
                <w:szCs w:val="22"/>
                <w:rtl w:val="0"/>
              </w:rPr>
              <w:t xml:space="preserve">Avaliação da qualidade de vida (EQ-5D)</w:t>
            </w:r>
          </w:p>
        </w:tc>
        <w:tc>
          <w:tcPr/>
          <w:p w:rsidR="00000000" w:rsidDel="00000000" w:rsidP="00000000" w:rsidRDefault="00000000" w:rsidRPr="00000000" w14:paraId="0000017E">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7F">
            <w:pPr>
              <w:jc w:val="center"/>
              <w:rPr>
                <w:sz w:val="22"/>
                <w:szCs w:val="22"/>
              </w:rPr>
            </w:pPr>
            <w:r w:rsidDel="00000000" w:rsidR="00000000" w:rsidRPr="00000000">
              <w:rPr>
                <w:rtl w:val="0"/>
              </w:rPr>
            </w:r>
          </w:p>
        </w:tc>
        <w:tc>
          <w:tcPr/>
          <w:p w:rsidR="00000000" w:rsidDel="00000000" w:rsidP="00000000" w:rsidRDefault="00000000" w:rsidRPr="00000000" w14:paraId="00000180">
            <w:pPr>
              <w:jc w:val="center"/>
              <w:rPr>
                <w:sz w:val="22"/>
                <w:szCs w:val="22"/>
              </w:rPr>
            </w:pPr>
            <w:r w:rsidDel="00000000" w:rsidR="00000000" w:rsidRPr="00000000">
              <w:rPr>
                <w:rtl w:val="0"/>
              </w:rPr>
            </w:r>
          </w:p>
        </w:tc>
        <w:tc>
          <w:tcPr/>
          <w:p w:rsidR="00000000" w:rsidDel="00000000" w:rsidP="00000000" w:rsidRDefault="00000000" w:rsidRPr="00000000" w14:paraId="00000181">
            <w:pPr>
              <w:jc w:val="center"/>
              <w:rPr>
                <w:sz w:val="22"/>
                <w:szCs w:val="22"/>
              </w:rPr>
            </w:pPr>
            <w:r w:rsidDel="00000000" w:rsidR="00000000" w:rsidRPr="00000000">
              <w:rPr>
                <w:rtl w:val="0"/>
              </w:rPr>
            </w:r>
          </w:p>
        </w:tc>
        <w:tc>
          <w:tcPr/>
          <w:p w:rsidR="00000000" w:rsidDel="00000000" w:rsidP="00000000" w:rsidRDefault="00000000" w:rsidRPr="00000000" w14:paraId="00000182">
            <w:pPr>
              <w:jc w:val="center"/>
              <w:rPr>
                <w:sz w:val="22"/>
                <w:szCs w:val="22"/>
              </w:rPr>
            </w:pPr>
            <w:r w:rsidDel="00000000" w:rsidR="00000000" w:rsidRPr="00000000">
              <w:rPr>
                <w:rtl w:val="0"/>
              </w:rPr>
            </w:r>
          </w:p>
        </w:tc>
        <w:tc>
          <w:tcPr/>
          <w:p w:rsidR="00000000" w:rsidDel="00000000" w:rsidP="00000000" w:rsidRDefault="00000000" w:rsidRPr="00000000" w14:paraId="00000183">
            <w:pPr>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84">
            <w:pPr>
              <w:jc w:val="center"/>
              <w:rPr>
                <w:sz w:val="22"/>
                <w:szCs w:val="22"/>
              </w:rPr>
            </w:pPr>
            <w:r w:rsidDel="00000000" w:rsidR="00000000" w:rsidRPr="00000000">
              <w:rPr>
                <w:rtl w:val="0"/>
              </w:rPr>
            </w:r>
          </w:p>
        </w:tc>
        <w:tc>
          <w:tcPr/>
          <w:p w:rsidR="00000000" w:rsidDel="00000000" w:rsidP="00000000" w:rsidRDefault="00000000" w:rsidRPr="00000000" w14:paraId="00000185">
            <w:pPr>
              <w:jc w:val="center"/>
              <w:rPr>
                <w:sz w:val="22"/>
                <w:szCs w:val="22"/>
              </w:rPr>
            </w:pPr>
            <w:r w:rsidDel="00000000" w:rsidR="00000000" w:rsidRPr="00000000">
              <w:rPr>
                <w:rtl w:val="0"/>
              </w:rPr>
            </w:r>
          </w:p>
        </w:tc>
        <w:tc>
          <w:tcPr/>
          <w:p w:rsidR="00000000" w:rsidDel="00000000" w:rsidP="00000000" w:rsidRDefault="00000000" w:rsidRPr="00000000" w14:paraId="00000186">
            <w:pPr>
              <w:jc w:val="center"/>
              <w:rPr>
                <w:sz w:val="22"/>
                <w:szCs w:val="22"/>
              </w:rPr>
            </w:pPr>
            <w:r w:rsidDel="00000000" w:rsidR="00000000" w:rsidRPr="00000000">
              <w:rPr>
                <w:rtl w:val="0"/>
              </w:rPr>
            </w:r>
          </w:p>
        </w:tc>
        <w:tc>
          <w:tcPr/>
          <w:p w:rsidR="00000000" w:rsidDel="00000000" w:rsidP="00000000" w:rsidRDefault="00000000" w:rsidRPr="00000000" w14:paraId="00000187">
            <w:pPr>
              <w:jc w:val="center"/>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188">
      <w:pPr>
        <w:ind w:left="360" w:firstLine="0"/>
        <w:rPr/>
      </w:pPr>
      <w:r w:rsidDel="00000000" w:rsidR="00000000" w:rsidRPr="00000000">
        <w:rPr>
          <w:rtl w:val="0"/>
        </w:rPr>
      </w:r>
    </w:p>
    <w:p w:rsidR="00000000" w:rsidDel="00000000" w:rsidP="00000000" w:rsidRDefault="00000000" w:rsidRPr="00000000" w14:paraId="00000189">
      <w:pPr>
        <w:ind w:left="360" w:firstLine="0"/>
        <w:rPr/>
      </w:pPr>
      <w:r w:rsidDel="00000000" w:rsidR="00000000" w:rsidRPr="00000000">
        <w:rPr>
          <w:rtl w:val="0"/>
        </w:rPr>
      </w:r>
    </w:p>
    <w:p w:rsidR="00000000" w:rsidDel="00000000" w:rsidP="00000000" w:rsidRDefault="00000000" w:rsidRPr="00000000" w14:paraId="0000018A">
      <w:pPr>
        <w:pStyle w:val="Heading1"/>
        <w:numPr>
          <w:ilvl w:val="1"/>
          <w:numId w:val="1"/>
        </w:numPr>
        <w:spacing w:after="240" w:lineRule="auto"/>
        <w:ind w:left="720" w:hanging="360"/>
        <w:rPr>
          <w:rFonts w:ascii="Times New Roman" w:cs="Times New Roman" w:eastAsia="Times New Roman" w:hAnsi="Times New Roman"/>
          <w:sz w:val="24"/>
          <w:szCs w:val="24"/>
        </w:rPr>
      </w:pPr>
      <w:bookmarkStart w:colFirst="0" w:colLast="0" w:name="_heading=h.1ksv4uv" w:id="15"/>
      <w:bookmarkEnd w:id="15"/>
      <w:r w:rsidDel="00000000" w:rsidR="00000000" w:rsidRPr="00000000">
        <w:rPr>
          <w:rFonts w:ascii="Times New Roman" w:cs="Times New Roman" w:eastAsia="Times New Roman" w:hAnsi="Times New Roman"/>
          <w:sz w:val="24"/>
          <w:szCs w:val="24"/>
          <w:rtl w:val="0"/>
        </w:rPr>
        <w:t xml:space="preserve">POPULAÇÃO DE ESTUDO</w:t>
      </w:r>
    </w:p>
    <w:p w:rsidR="00000000" w:rsidDel="00000000" w:rsidP="00000000" w:rsidRDefault="00000000" w:rsidRPr="00000000" w14:paraId="0000018B">
      <w:pPr>
        <w:spacing w:line="360" w:lineRule="auto"/>
        <w:ind w:firstLine="720"/>
        <w:jc w:val="both"/>
        <w:rPr/>
      </w:pPr>
      <w:r w:rsidDel="00000000" w:rsidR="00000000" w:rsidRPr="00000000">
        <w:rPr>
          <w:rtl w:val="0"/>
        </w:rPr>
        <w:t xml:space="preserve">Trata-se de um estudo composto por pacientes de ambos os sexos, com idade igual ou superior a 18 anos, que recebem atendimento em 21 unidades de atenção primária</w:t>
      </w:r>
      <w:r w:rsidDel="00000000" w:rsidR="00000000" w:rsidRPr="00000000">
        <w:rPr>
          <w:i w:val="1"/>
          <w:rtl w:val="0"/>
        </w:rPr>
        <w:t xml:space="preserve"> </w:t>
      </w:r>
      <w:r w:rsidDel="00000000" w:rsidR="00000000" w:rsidRPr="00000000">
        <w:rPr>
          <w:rtl w:val="0"/>
        </w:rPr>
        <w:t xml:space="preserve">à saúde na </w:t>
      </w:r>
      <w:r w:rsidDel="00000000" w:rsidR="00000000" w:rsidRPr="00000000">
        <w:rPr>
          <w:color w:val="000000"/>
          <w:highlight w:val="white"/>
          <w:rtl w:val="0"/>
        </w:rPr>
        <w:t xml:space="preserve">Região Leste de Saúde do Distrito Federal/DF</w:t>
      </w:r>
      <w:r w:rsidDel="00000000" w:rsidR="00000000" w:rsidRPr="00000000">
        <w:rPr>
          <w:rtl w:val="0"/>
        </w:rPr>
        <w:t xml:space="preserve">, selecionados aleatoriamente de um conjunto de 165 unidades de atenção primária à saúde.</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pStyle w:val="Heading3"/>
        <w:numPr>
          <w:ilvl w:val="2"/>
          <w:numId w:val="1"/>
        </w:numPr>
        <w:ind w:left="1080" w:hanging="720"/>
        <w:rPr>
          <w:rFonts w:ascii="Times New Roman" w:cs="Times New Roman" w:eastAsia="Times New Roman" w:hAnsi="Times New Roman"/>
          <w:b w:val="1"/>
        </w:rPr>
      </w:pPr>
      <w:bookmarkStart w:colFirst="0" w:colLast="0" w:name="_heading=h.44sinio" w:id="16"/>
      <w:bookmarkEnd w:id="16"/>
      <w:r w:rsidDel="00000000" w:rsidR="00000000" w:rsidRPr="00000000">
        <w:rPr>
          <w:rFonts w:ascii="Times New Roman" w:cs="Times New Roman" w:eastAsia="Times New Roman" w:hAnsi="Times New Roman"/>
          <w:b w:val="1"/>
          <w:rtl w:val="0"/>
        </w:rPr>
        <w:t xml:space="preserve">CRITÉRIOS DE INCLUSÃO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sdt>
        <w:sdtPr>
          <w:tag w:val="goog_rdk_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Pacientes de ambos os sexos ≥18 anos, atendidos em unidades de atenção primária à saúde na </w:t>
          </w:r>
        </w:sdtContent>
      </w:sdt>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Região Leste de Saúde do Distrito Federal/DF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9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Pacientes acompanhados por médico do Sistema Único de Saúde em Atenção Primária à Saúde (com uma visita ou mais nos últimos três anos).</w:t>
      </w:r>
    </w:p>
    <w:p w:rsidR="00000000" w:rsidDel="00000000" w:rsidP="00000000" w:rsidRDefault="00000000" w:rsidRPr="00000000" w14:paraId="0000019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Pacientes com PA e/ou colesterol LDL acima dos alvos recomendados pelas diretrizes:</w:t>
      </w:r>
    </w:p>
    <w:p w:rsidR="00000000" w:rsidDel="00000000" w:rsidP="00000000" w:rsidRDefault="00000000" w:rsidRPr="00000000" w14:paraId="000001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Serão considerados elegíveis para redução da PA, os indivíduos que apresentarem um dos seguintes critérios: i) Média ambulatorial da PA em 24 horas (AMBP) igual ou superior a 130/80 mmHg, ou ii) Pelo menos 2 leituras de 130 mmHg ou superior de PA sistólica (PAS) e/ou 80 mmHg ou superior de PA diastólica (PAD) no prontuário eletrônico de saúde (PES) nos últimos 18 meses não relacionados a atendimentos em unidades de pronto-socorro, atendimento de urgência ou consultas processuais. </w:t>
      </w:r>
    </w:p>
    <w:p w:rsidR="00000000" w:rsidDel="00000000" w:rsidP="00000000" w:rsidRDefault="00000000" w:rsidRPr="00000000" w14:paraId="000001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considerados elegíveis para a redução do colesterol, os indivíduos que apresentarem os seguintes critérios: </w:t>
      </w:r>
    </w:p>
    <w:p w:rsidR="00000000" w:rsidDel="00000000" w:rsidP="00000000" w:rsidRDefault="00000000" w:rsidRPr="00000000" w14:paraId="0000019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pPr>
      <w:sdt>
        <w:sdtPr>
          <w:tag w:val="goog_rdk_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DCA clínica e idade ≥18 anos com colesterol LDL 70 mg/dL ou superior; </w:t>
          </w:r>
        </w:sdtContent>
      </w:sdt>
    </w:p>
    <w:p w:rsidR="00000000" w:rsidDel="00000000" w:rsidP="00000000" w:rsidRDefault="00000000" w:rsidRPr="00000000" w14:paraId="0000019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pPr>
      <w:sdt>
        <w:sdtPr>
          <w:tag w:val="goog_rdk_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Idade ≥18 anos com hipercolesterolemia grave (qualquer histórico de colesterol LDL de 190 mg/dL ou superior); </w:t>
          </w:r>
        </w:sdtContent>
      </w:sdt>
    </w:p>
    <w:p w:rsidR="00000000" w:rsidDel="00000000" w:rsidP="00000000" w:rsidRDefault="00000000" w:rsidRPr="00000000" w14:paraId="0000019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Idade de 40 a 75 anos com diabetes ou HbA1c superior a 6,5% e colesterol LDL de 70 a 189 mg/dL; </w:t>
      </w:r>
    </w:p>
    <w:p w:rsidR="00000000" w:rsidDel="00000000" w:rsidP="00000000" w:rsidRDefault="00000000" w:rsidRPr="00000000" w14:paraId="0000019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Idade de 40 a 75 anos com colesterol LDL de 100 a 189 mg/dL e um risco estimado de DCA em 10 anos de 7,5% ou superior.</w:t>
      </w:r>
    </w:p>
    <w:p w:rsidR="00000000" w:rsidDel="00000000" w:rsidP="00000000" w:rsidRDefault="00000000" w:rsidRPr="00000000" w14:paraId="00000198">
      <w:pPr>
        <w:spacing w:line="360" w:lineRule="auto"/>
        <w:ind w:firstLine="709"/>
        <w:jc w:val="both"/>
        <w:rPr/>
      </w:pPr>
      <w:r w:rsidDel="00000000" w:rsidR="00000000" w:rsidRPr="00000000">
        <w:rPr>
          <w:rtl w:val="0"/>
        </w:rPr>
        <w:t xml:space="preserve">Será necessário que o indivíduo tenha capacidade de consentir a participação no estudo ou que tenha um representante legal capaz de fazê-lo.</w:t>
      </w:r>
    </w:p>
    <w:p w:rsidR="00000000" w:rsidDel="00000000" w:rsidP="00000000" w:rsidRDefault="00000000" w:rsidRPr="00000000" w14:paraId="00000199">
      <w:pPr>
        <w:spacing w:line="360" w:lineRule="auto"/>
        <w:ind w:firstLine="709"/>
        <w:jc w:val="both"/>
        <w:rPr>
          <w:u w:val="single"/>
        </w:rPr>
      </w:pPr>
      <w:r w:rsidDel="00000000" w:rsidR="00000000" w:rsidRPr="00000000">
        <w:rPr>
          <w:u w:val="single"/>
          <w:rtl w:val="0"/>
        </w:rPr>
        <w:t xml:space="preserve">Quanto a inclusão de participantes com autonomia restrita na presença de um responsável legal, as restrições de autonomia podem incluir, mas não se limitar a:</w:t>
      </w:r>
    </w:p>
    <w:p w:rsidR="00000000" w:rsidDel="00000000" w:rsidP="00000000" w:rsidRDefault="00000000" w:rsidRPr="00000000" w14:paraId="0000019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Incapacidade cognitiva: Isso pode abranger indivíduos com demência, comprometimento cognitivo grave ou condições neurológicas que afetam sua capacidade de compreender e tomar decisões informadas sobre sua saúde.</w:t>
      </w:r>
    </w:p>
    <w:p w:rsidR="00000000" w:rsidDel="00000000" w:rsidP="00000000" w:rsidRDefault="00000000" w:rsidRPr="00000000" w14:paraId="0000019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Incapacidade física grave: Pessoas com deficiências físicas que impossibilitem a tomada de decisões ou o uso das tecnologias envolvidas no estudo podem ser incluídas.</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pStyle w:val="Heading3"/>
        <w:numPr>
          <w:ilvl w:val="2"/>
          <w:numId w:val="1"/>
        </w:numPr>
        <w:ind w:left="1080" w:hanging="720"/>
        <w:rPr>
          <w:rFonts w:ascii="Times New Roman" w:cs="Times New Roman" w:eastAsia="Times New Roman" w:hAnsi="Times New Roman"/>
          <w:b w:val="1"/>
        </w:rPr>
      </w:pPr>
      <w:bookmarkStart w:colFirst="0" w:colLast="0" w:name="_heading=h.2jxsxqh" w:id="17"/>
      <w:bookmarkEnd w:id="17"/>
      <w:r w:rsidDel="00000000" w:rsidR="00000000" w:rsidRPr="00000000">
        <w:rPr>
          <w:rFonts w:ascii="Times New Roman" w:cs="Times New Roman" w:eastAsia="Times New Roman" w:hAnsi="Times New Roman"/>
          <w:b w:val="1"/>
          <w:rtl w:val="0"/>
        </w:rPr>
        <w:t xml:space="preserve">CRITÉRIOS DE EXCLUSÃO</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numPr>
          <w:ilvl w:val="0"/>
          <w:numId w:val="4"/>
        </w:numPr>
        <w:spacing w:line="360" w:lineRule="auto"/>
        <w:ind w:left="720" w:hanging="360"/>
        <w:jc w:val="both"/>
        <w:rPr/>
      </w:pPr>
      <w:r w:rsidDel="00000000" w:rsidR="00000000" w:rsidRPr="00000000">
        <w:rPr>
          <w:rtl w:val="0"/>
        </w:rPr>
        <w:t xml:space="preserve">Os médicos dos indivíduos potencialmente elegíveis serão contatados para avaliar a adequação do protocolo, e poderão recusar a inclusão de pacientes que não se sintam aptos a participarem do estudo. </w:t>
      </w:r>
    </w:p>
    <w:p w:rsidR="00000000" w:rsidDel="00000000" w:rsidP="00000000" w:rsidRDefault="00000000" w:rsidRPr="00000000" w14:paraId="000001A0">
      <w:pPr>
        <w:numPr>
          <w:ilvl w:val="0"/>
          <w:numId w:val="4"/>
        </w:numPr>
        <w:spacing w:line="360" w:lineRule="auto"/>
        <w:ind w:left="720" w:hanging="360"/>
        <w:jc w:val="both"/>
        <w:rPr/>
      </w:pPr>
      <w:r w:rsidDel="00000000" w:rsidR="00000000" w:rsidRPr="00000000">
        <w:rPr>
          <w:rtl w:val="0"/>
        </w:rPr>
        <w:t xml:space="preserve">Indivíduos com malignidade subjacente.</w:t>
      </w:r>
    </w:p>
    <w:p w:rsidR="00000000" w:rsidDel="00000000" w:rsidP="00000000" w:rsidRDefault="00000000" w:rsidRPr="00000000" w14:paraId="000001A1">
      <w:pPr>
        <w:numPr>
          <w:ilvl w:val="0"/>
          <w:numId w:val="4"/>
        </w:numPr>
        <w:spacing w:line="360" w:lineRule="auto"/>
        <w:ind w:left="720" w:hanging="360"/>
        <w:jc w:val="both"/>
        <w:rPr/>
      </w:pPr>
      <w:r w:rsidDel="00000000" w:rsidR="00000000" w:rsidRPr="00000000">
        <w:rPr>
          <w:rtl w:val="0"/>
        </w:rPr>
        <w:t xml:space="preserve"> Indivíduos que já estão participando de outro ensaio clínico.</w:t>
      </w:r>
    </w:p>
    <w:p w:rsidR="00000000" w:rsidDel="00000000" w:rsidP="00000000" w:rsidRDefault="00000000" w:rsidRPr="00000000" w14:paraId="000001A2">
      <w:pPr>
        <w:rPr>
          <w:b w:val="1"/>
          <w:color w:val="191e23"/>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pStyle w:val="Heading1"/>
        <w:numPr>
          <w:ilvl w:val="1"/>
          <w:numId w:val="1"/>
        </w:numPr>
        <w:spacing w:after="360" w:lineRule="auto"/>
        <w:ind w:left="720" w:hanging="360"/>
        <w:rPr>
          <w:rFonts w:ascii="Times New Roman" w:cs="Times New Roman" w:eastAsia="Times New Roman" w:hAnsi="Times New Roman"/>
          <w:sz w:val="24"/>
          <w:szCs w:val="24"/>
        </w:rPr>
      </w:pPr>
      <w:bookmarkStart w:colFirst="0" w:colLast="0" w:name="_heading=h.z337ya" w:id="18"/>
      <w:bookmarkEnd w:id="18"/>
      <w:r w:rsidDel="00000000" w:rsidR="00000000" w:rsidRPr="00000000">
        <w:rPr>
          <w:rFonts w:ascii="Times New Roman" w:cs="Times New Roman" w:eastAsia="Times New Roman" w:hAnsi="Times New Roman"/>
          <w:sz w:val="24"/>
          <w:szCs w:val="24"/>
          <w:rtl w:val="0"/>
        </w:rPr>
        <w:t xml:space="preserve">RECRUTAMENTO</w:t>
      </w:r>
    </w:p>
    <w:p w:rsidR="00000000" w:rsidDel="00000000" w:rsidP="00000000" w:rsidRDefault="00000000" w:rsidRPr="00000000" w14:paraId="000001A5">
      <w:pPr>
        <w:numPr>
          <w:ilvl w:val="0"/>
          <w:numId w:val="20"/>
        </w:numPr>
        <w:spacing w:line="360" w:lineRule="auto"/>
        <w:ind w:left="720" w:hanging="360"/>
        <w:jc w:val="both"/>
        <w:rPr>
          <w:u w:val="single"/>
        </w:rPr>
      </w:pPr>
      <w:r w:rsidDel="00000000" w:rsidR="00000000" w:rsidRPr="00000000">
        <w:rPr>
          <w:b w:val="1"/>
          <w:u w:val="single"/>
          <w:rtl w:val="0"/>
        </w:rPr>
        <w:t xml:space="preserve">Seleção das Comunidades Alvo:</w:t>
      </w:r>
      <w:r w:rsidDel="00000000" w:rsidR="00000000" w:rsidRPr="00000000">
        <w:rPr>
          <w:u w:val="single"/>
          <w:rtl w:val="0"/>
        </w:rPr>
        <w:t xml:space="preserve"> Na Região Leste de Saúde do Distrito Federal/DF, pretendemos selecionar aleatoriamente 21 unidades de atenção primária à saúde dentre um total de 165 unidades disponíveis.</w:t>
      </w:r>
    </w:p>
    <w:p w:rsidR="00000000" w:rsidDel="00000000" w:rsidP="00000000" w:rsidRDefault="00000000" w:rsidRPr="00000000" w14:paraId="000001A6">
      <w:pPr>
        <w:numPr>
          <w:ilvl w:val="0"/>
          <w:numId w:val="20"/>
        </w:numPr>
        <w:spacing w:line="360" w:lineRule="auto"/>
        <w:ind w:left="720" w:hanging="360"/>
        <w:jc w:val="both"/>
        <w:rPr>
          <w:u w:val="single"/>
        </w:rPr>
      </w:pPr>
      <w:r w:rsidDel="00000000" w:rsidR="00000000" w:rsidRPr="00000000">
        <w:rPr>
          <w:b w:val="1"/>
          <w:u w:val="single"/>
          <w:rtl w:val="0"/>
        </w:rPr>
        <w:t xml:space="preserve">Abordagem Inicial:</w:t>
      </w:r>
      <w:r w:rsidDel="00000000" w:rsidR="00000000" w:rsidRPr="00000000">
        <w:rPr>
          <w:u w:val="single"/>
          <w:rtl w:val="0"/>
        </w:rPr>
        <w:t xml:space="preserve"> Os profissionais de saúde das unidades de atenção primária se identificarão e irão abordar potenciais participantes que atendam aos critérios de elegibilidade. Nesse momento, farão uma apresentação breve do estudo e de seu propósito.</w:t>
      </w:r>
    </w:p>
    <w:p w:rsidR="00000000" w:rsidDel="00000000" w:rsidP="00000000" w:rsidRDefault="00000000" w:rsidRPr="00000000" w14:paraId="000001A7">
      <w:pPr>
        <w:numPr>
          <w:ilvl w:val="0"/>
          <w:numId w:val="20"/>
        </w:numPr>
        <w:spacing w:line="360" w:lineRule="auto"/>
        <w:ind w:left="720" w:hanging="360"/>
        <w:jc w:val="both"/>
        <w:rPr>
          <w:u w:val="single"/>
        </w:rPr>
      </w:pPr>
      <w:r w:rsidDel="00000000" w:rsidR="00000000" w:rsidRPr="00000000">
        <w:rPr>
          <w:b w:val="1"/>
          <w:u w:val="single"/>
          <w:rtl w:val="0"/>
        </w:rPr>
        <w:t xml:space="preserve">Consentimento Inicial:</w:t>
      </w:r>
      <w:r w:rsidDel="00000000" w:rsidR="00000000" w:rsidRPr="00000000">
        <w:rPr>
          <w:u w:val="single"/>
          <w:rtl w:val="0"/>
        </w:rPr>
        <w:t xml:space="preserve"> Se um potencial participante expressar interesse, os profissionais de saúde vão fornecedor explicação detalhada do estudo e apresentar um consentimento inicial para participação na pesquisa, destacando que esta é apenas uma etapa inicial do processo.</w:t>
      </w:r>
    </w:p>
    <w:p w:rsidR="00000000" w:rsidDel="00000000" w:rsidP="00000000" w:rsidRDefault="00000000" w:rsidRPr="00000000" w14:paraId="000001A8">
      <w:pPr>
        <w:numPr>
          <w:ilvl w:val="0"/>
          <w:numId w:val="20"/>
        </w:numPr>
        <w:spacing w:line="360" w:lineRule="auto"/>
        <w:ind w:left="720" w:hanging="360"/>
        <w:jc w:val="both"/>
        <w:rPr>
          <w:u w:val="single"/>
        </w:rPr>
      </w:pPr>
      <w:r w:rsidDel="00000000" w:rsidR="00000000" w:rsidRPr="00000000">
        <w:rPr>
          <w:b w:val="1"/>
          <w:u w:val="single"/>
          <w:rtl w:val="0"/>
        </w:rPr>
        <w:t xml:space="preserve">Agendamento de Entrevista e Treinamento:</w:t>
      </w:r>
      <w:r w:rsidDel="00000000" w:rsidR="00000000" w:rsidRPr="00000000">
        <w:rPr>
          <w:u w:val="single"/>
          <w:rtl w:val="0"/>
        </w:rPr>
        <w:t xml:space="preserve"> Caso o participante concorde com o consentimento inicial, uma entrevista presencial será agendada para fornecer informações detalhadas sobre o estudo e oferecer treinamento no uso da plataforma </w:t>
      </w:r>
      <w:r w:rsidDel="00000000" w:rsidR="00000000" w:rsidRPr="00000000">
        <w:rPr>
          <w:i w:val="1"/>
          <w:u w:val="single"/>
          <w:rtl w:val="0"/>
        </w:rPr>
        <w:t xml:space="preserve">online </w:t>
      </w:r>
      <w:r w:rsidDel="00000000" w:rsidR="00000000" w:rsidRPr="00000000">
        <w:rPr>
          <w:u w:val="single"/>
          <w:rtl w:val="0"/>
        </w:rPr>
        <w:t xml:space="preserve">"TAMIS."</w:t>
      </w:r>
    </w:p>
    <w:p w:rsidR="00000000" w:rsidDel="00000000" w:rsidP="00000000" w:rsidRDefault="00000000" w:rsidRPr="00000000" w14:paraId="000001A9">
      <w:pPr>
        <w:numPr>
          <w:ilvl w:val="0"/>
          <w:numId w:val="20"/>
        </w:numPr>
        <w:spacing w:line="360" w:lineRule="auto"/>
        <w:ind w:left="720" w:hanging="360"/>
        <w:jc w:val="both"/>
        <w:rPr>
          <w:u w:val="single"/>
        </w:rPr>
      </w:pPr>
      <w:r w:rsidDel="00000000" w:rsidR="00000000" w:rsidRPr="00000000">
        <w:rPr>
          <w:b w:val="1"/>
          <w:u w:val="single"/>
          <w:rtl w:val="0"/>
        </w:rPr>
        <w:t xml:space="preserve">Entrevista Inicial:</w:t>
      </w:r>
      <w:r w:rsidDel="00000000" w:rsidR="00000000" w:rsidRPr="00000000">
        <w:rPr>
          <w:u w:val="single"/>
          <w:rtl w:val="0"/>
        </w:rPr>
        <w:t xml:space="preserve"> Durante a entrevista inicial, os monitores de pesquisa explicarão detalhadamente o objetivo do estudo, os procedimentos envolvidos e os potenciais benefícios e riscos. Os participantes terão a oportunidade de fazer perguntas e esclarecer dúvidas. O monitor do estudo tem o papel principal de comunicar, coletar dados e transmitir as recomendações feitas pela equipe clínica em relação à dieta, estilo de vida e medicação para otimizar a redução do risco nos pacientes.</w:t>
      </w:r>
    </w:p>
    <w:p w:rsidR="00000000" w:rsidDel="00000000" w:rsidP="00000000" w:rsidRDefault="00000000" w:rsidRPr="00000000" w14:paraId="000001AA">
      <w:pPr>
        <w:numPr>
          <w:ilvl w:val="0"/>
          <w:numId w:val="20"/>
        </w:numPr>
        <w:spacing w:line="360" w:lineRule="auto"/>
        <w:ind w:left="720" w:hanging="360"/>
        <w:jc w:val="both"/>
        <w:rPr>
          <w:u w:val="single"/>
        </w:rPr>
      </w:pPr>
      <w:r w:rsidDel="00000000" w:rsidR="00000000" w:rsidRPr="00000000">
        <w:rPr>
          <w:b w:val="1"/>
          <w:u w:val="single"/>
          <w:rtl w:val="0"/>
        </w:rPr>
        <w:t xml:space="preserve">Obtenção do Consentimento Informado:</w:t>
      </w:r>
      <w:r w:rsidDel="00000000" w:rsidR="00000000" w:rsidRPr="00000000">
        <w:rPr>
          <w:u w:val="single"/>
          <w:rtl w:val="0"/>
        </w:rPr>
        <w:t xml:space="preserve"> Após a explicação completa, o participante receberá o Termo de Consentimento Livre e Esclarecido (TCLE), conforme modelo disposto no Apêndice I e terá a oportunidade de revisá-lo e fazer perguntas adicionais. </w:t>
      </w:r>
    </w:p>
    <w:p w:rsidR="00000000" w:rsidDel="00000000" w:rsidP="00000000" w:rsidRDefault="00000000" w:rsidRPr="00000000" w14:paraId="000001AB">
      <w:pPr>
        <w:numPr>
          <w:ilvl w:val="0"/>
          <w:numId w:val="20"/>
        </w:numPr>
        <w:spacing w:line="360" w:lineRule="auto"/>
        <w:ind w:left="720" w:hanging="360"/>
        <w:jc w:val="both"/>
        <w:rPr>
          <w:u w:val="single"/>
        </w:rPr>
      </w:pPr>
      <w:r w:rsidDel="00000000" w:rsidR="00000000" w:rsidRPr="00000000">
        <w:rPr>
          <w:b w:val="1"/>
          <w:u w:val="single"/>
          <w:rtl w:val="0"/>
        </w:rPr>
        <w:t xml:space="preserve">Treinamento no Uso da Tecnologia:</w:t>
      </w:r>
      <w:r w:rsidDel="00000000" w:rsidR="00000000" w:rsidRPr="00000000">
        <w:rPr>
          <w:u w:val="single"/>
          <w:rtl w:val="0"/>
        </w:rPr>
        <w:t xml:space="preserve"> Os monitores de pesquisa fornecerão o treinamento prático do uso da plataforma "TAMIS." Isso incluirá instruções sobre como registrar informações de saúde, acessar data prevista para consultas remotas, usar dispositivos de medição (como medidores de pressão arterial) e manter a privacidade dos dados. O treinamento será adaptado ao nível de habilidade tecnológica de cada participante.</w:t>
      </w:r>
    </w:p>
    <w:p w:rsidR="00000000" w:rsidDel="00000000" w:rsidP="00000000" w:rsidRDefault="00000000" w:rsidRPr="00000000" w14:paraId="000001AC">
      <w:pPr>
        <w:numPr>
          <w:ilvl w:val="0"/>
          <w:numId w:val="20"/>
        </w:numPr>
        <w:spacing w:line="360" w:lineRule="auto"/>
        <w:ind w:left="720" w:hanging="360"/>
        <w:jc w:val="both"/>
        <w:rPr>
          <w:u w:val="single"/>
        </w:rPr>
      </w:pPr>
      <w:r w:rsidDel="00000000" w:rsidR="00000000" w:rsidRPr="00000000">
        <w:rPr>
          <w:b w:val="1"/>
          <w:u w:val="single"/>
          <w:rtl w:val="0"/>
        </w:rPr>
        <w:t xml:space="preserve">Avaliação da Compreensão:</w:t>
      </w:r>
      <w:r w:rsidDel="00000000" w:rsidR="00000000" w:rsidRPr="00000000">
        <w:rPr>
          <w:u w:val="single"/>
          <w:rtl w:val="0"/>
        </w:rPr>
        <w:t xml:space="preserve"> Após o treinamento, a equipe de pesquisa fará a avaliação da compreensão dos participantes em relação ao uso da tecnologia e ao estudo. Qualquer dúvida ou preocupação será abordada antes de prosseguir.</w:t>
      </w:r>
    </w:p>
    <w:p w:rsidR="00000000" w:rsidDel="00000000" w:rsidP="00000000" w:rsidRDefault="00000000" w:rsidRPr="00000000" w14:paraId="000001AD">
      <w:pPr>
        <w:numPr>
          <w:ilvl w:val="0"/>
          <w:numId w:val="20"/>
        </w:numPr>
        <w:spacing w:line="360" w:lineRule="auto"/>
        <w:ind w:left="720" w:hanging="360"/>
        <w:jc w:val="both"/>
        <w:rPr>
          <w:u w:val="single"/>
        </w:rPr>
      </w:pPr>
      <w:r w:rsidDel="00000000" w:rsidR="00000000" w:rsidRPr="00000000">
        <w:rPr>
          <w:b w:val="1"/>
          <w:u w:val="single"/>
          <w:rtl w:val="0"/>
        </w:rPr>
        <w:t xml:space="preserve">Suporte Contínuo:</w:t>
      </w:r>
      <w:r w:rsidDel="00000000" w:rsidR="00000000" w:rsidRPr="00000000">
        <w:rPr>
          <w:u w:val="single"/>
          <w:rtl w:val="0"/>
        </w:rPr>
        <w:t xml:space="preserve"> Será ofertado o suporte contínuo aos participantes durante o estudo. Isso incluirá um ponto de contato dedicado para esclarecer dúvidas técnicas, fornecer assistência com a plataforma e garantir que os participantes estejam confortáveis com o sistema.</w:t>
      </w:r>
    </w:p>
    <w:p w:rsidR="00000000" w:rsidDel="00000000" w:rsidP="00000000" w:rsidRDefault="00000000" w:rsidRPr="00000000" w14:paraId="000001AE">
      <w:pPr>
        <w:spacing w:line="360" w:lineRule="auto"/>
        <w:ind w:firstLine="720"/>
        <w:jc w:val="both"/>
        <w:rPr/>
      </w:pPr>
      <w:r w:rsidDel="00000000" w:rsidR="00000000" w:rsidRPr="00000000">
        <w:rPr>
          <w:rtl w:val="0"/>
        </w:rPr>
      </w:r>
    </w:p>
    <w:p w:rsidR="00000000" w:rsidDel="00000000" w:rsidP="00000000" w:rsidRDefault="00000000" w:rsidRPr="00000000" w14:paraId="000001AF">
      <w:pPr>
        <w:spacing w:line="360" w:lineRule="auto"/>
        <w:ind w:firstLine="720"/>
        <w:jc w:val="both"/>
        <w:rPr/>
      </w:pPr>
      <w:r w:rsidDel="00000000" w:rsidR="00000000" w:rsidRPr="00000000">
        <w:rPr>
          <w:rtl w:val="0"/>
        </w:rPr>
        <w:t xml:space="preserve">Os participantes inscritos no programa de hipertensão receberão um dispositivo de medição da pressão arterial (PA) habilitado para </w:t>
      </w:r>
      <w:r w:rsidDel="00000000" w:rsidR="00000000" w:rsidRPr="00000000">
        <w:rPr>
          <w:i w:val="1"/>
          <w:rtl w:val="0"/>
        </w:rPr>
        <w:t xml:space="preserve">Bluetooth</w:t>
      </w:r>
      <w:r w:rsidDel="00000000" w:rsidR="00000000" w:rsidRPr="00000000">
        <w:rPr>
          <w:rtl w:val="0"/>
        </w:rPr>
        <w:t xml:space="preserve">, que será emparelhado com um aplicativo de </w:t>
      </w:r>
      <w:r w:rsidDel="00000000" w:rsidR="00000000" w:rsidRPr="00000000">
        <w:rPr>
          <w:i w:val="1"/>
          <w:rtl w:val="0"/>
        </w:rPr>
        <w:t xml:space="preserve">smartphone</w:t>
      </w:r>
      <w:r w:rsidDel="00000000" w:rsidR="00000000" w:rsidRPr="00000000">
        <w:rPr>
          <w:rtl w:val="0"/>
        </w:rPr>
        <w:t xml:space="preserve"> ou celular capaz de enviar automaticamente as medições de pressão arterial. Após a orientação sobre a técnica correta de medição da pressão arterial, será estabelecida uma linha de base de pressão arterial para o </w:t>
      </w:r>
      <w:r w:rsidDel="00000000" w:rsidR="00000000" w:rsidRPr="00000000">
        <w:rPr>
          <w:i w:val="1"/>
          <w:rtl w:val="0"/>
        </w:rPr>
        <w:t xml:space="preserve">software</w:t>
      </w:r>
      <w:r w:rsidDel="00000000" w:rsidR="00000000" w:rsidRPr="00000000">
        <w:rPr>
          <w:rtl w:val="0"/>
        </w:rPr>
        <w:t xml:space="preserve">. Durante esse período, os pacientes serão solicitados a fazerem 2 leituras de pressão arterial pela manhã e 2 leituras à noite durante 6 dias. Caso a média da PA basal do </w:t>
      </w:r>
      <w:r w:rsidDel="00000000" w:rsidR="00000000" w:rsidRPr="00000000">
        <w:rPr>
          <w:i w:val="1"/>
          <w:rtl w:val="0"/>
        </w:rPr>
        <w:t xml:space="preserve">software</w:t>
      </w:r>
      <w:r w:rsidDel="00000000" w:rsidR="00000000" w:rsidRPr="00000000">
        <w:rPr>
          <w:rtl w:val="0"/>
        </w:rPr>
        <w:t xml:space="preserve"> exceda a meta de PA do paciente, serão fornecidas recomendações dietéticas, de estilo de vida e educação sobre a farmacoterapia, além de prescrição medicamentosa.</w:t>
      </w:r>
    </w:p>
    <w:p w:rsidR="00000000" w:rsidDel="00000000" w:rsidP="00000000" w:rsidRDefault="00000000" w:rsidRPr="00000000" w14:paraId="000001B0">
      <w:pPr>
        <w:spacing w:line="360" w:lineRule="auto"/>
        <w:ind w:firstLine="720"/>
        <w:jc w:val="both"/>
        <w:rPr/>
      </w:pPr>
      <w:r w:rsidDel="00000000" w:rsidR="00000000" w:rsidRPr="00000000">
        <w:rPr>
          <w:rtl w:val="0"/>
        </w:rPr>
        <w:t xml:space="preserve">O valor basal do colesterol LDL no </w:t>
      </w:r>
      <w:r w:rsidDel="00000000" w:rsidR="00000000" w:rsidRPr="00000000">
        <w:rPr>
          <w:i w:val="1"/>
          <w:rtl w:val="0"/>
        </w:rPr>
        <w:t xml:space="preserve">software</w:t>
      </w:r>
      <w:r w:rsidDel="00000000" w:rsidR="00000000" w:rsidRPr="00000000">
        <w:rPr>
          <w:rtl w:val="0"/>
        </w:rPr>
        <w:t xml:space="preserve"> será o mais recentemente obtido nos últimos 18 meses. Se não houver uma medição disponível, uma nova amostra será coletada durante a inscrição. Os monitores seguirão um algoritmo de tratamento medicamentoso para iniciar e ajustar a terapia, monitorar as dosagens laboratoriais, assim como os sintomas para garantir a segurança e tolerabilidade da terapia, bem como atingir as metas de colesterol LDL. Entre os indivíduos com diabetes, a HbA1c inicial será determinada pela medida mais recente obtida nos últimos 18 meses ou, caso não haja nenhuma medida disponível no momento da inscrição, uma nova amostra será coletada. Os monitores seguirão um algoritmo de tratamento medicamentoso para iniciar e ajustar a terapia, monitorar as dosagens laboratoriais, assim como para garantir a segurança e tolerabilidade da terapia e alcançar as metas de HbA1c.</w:t>
      </w:r>
    </w:p>
    <w:p w:rsidR="00000000" w:rsidDel="00000000" w:rsidP="00000000" w:rsidRDefault="00000000" w:rsidRPr="00000000" w14:paraId="000001B1">
      <w:pPr>
        <w:spacing w:line="360" w:lineRule="auto"/>
        <w:ind w:firstLine="720"/>
        <w:jc w:val="both"/>
        <w:rPr/>
      </w:pPr>
      <w:r w:rsidDel="00000000" w:rsidR="00000000" w:rsidRPr="00000000">
        <w:rPr>
          <w:rtl w:val="0"/>
        </w:rPr>
        <w:t xml:space="preserve">A prescrição e ajuste dos medicamentos seguem um algoritmo de tratamento medicamentoso estabelecido como parte do gerenciamento colaborativo da farmacoterapia. Casos que não se enquadrem no algoritmo, serão encaminhados para o médico supervisor e as alterações serão comunicadas ao paciente e à equipe de atendimento por um monitor sob supervisão médica. Após cada alteração na terapia medicamentosa, a PA será reavaliada e o monitoramento laboratorial será realizado de forma iterativa, até que as metas sejam atingidas.</w:t>
      </w:r>
    </w:p>
    <w:p w:rsidR="00000000" w:rsidDel="00000000" w:rsidP="00000000" w:rsidRDefault="00000000" w:rsidRPr="00000000" w14:paraId="000001B2">
      <w:pPr>
        <w:spacing w:line="360" w:lineRule="auto"/>
        <w:ind w:firstLine="720"/>
        <w:jc w:val="both"/>
        <w:rPr/>
      </w:pPr>
      <w:r w:rsidDel="00000000" w:rsidR="00000000" w:rsidRPr="00000000">
        <w:rPr>
          <w:rtl w:val="0"/>
        </w:rPr>
        <w:t xml:space="preserve">Os indivíduos chegarão à fase de manutenção quando o ajuste ativo de medicamentos anti-hipertensivos, hipoglicemiantes e hipolipemiantes não for mais necessário devido à conquista ou aproximação da meta de PA (dentro de 1 a 2 mm Hg), de colesterol LDL (5 a 10 mg/dL), ou de HbA1c (0,2 a 0,4%). Àqueles que não alcançarem a meta de PA, colesterol LDL ou HbA1c na fase de manutenção serão avaliados com base no julgamento médico e na preferência do paciente. Em todos os programas, estão previstas uma segunda e terceira avaliações de PA, perfil lipídico e dosagem de HbA1c nas semanas 12, 56 e 84.</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pStyle w:val="Heading1"/>
        <w:numPr>
          <w:ilvl w:val="1"/>
          <w:numId w:val="1"/>
        </w:numPr>
        <w:spacing w:after="360" w:lineRule="auto"/>
        <w:ind w:left="720" w:hanging="360"/>
        <w:rPr>
          <w:rFonts w:ascii="Times New Roman" w:cs="Times New Roman" w:eastAsia="Times New Roman" w:hAnsi="Times New Roman"/>
          <w:sz w:val="24"/>
          <w:szCs w:val="24"/>
        </w:rPr>
      </w:pPr>
      <w:bookmarkStart w:colFirst="0" w:colLast="0" w:name="_heading=h.3j2qqm3" w:id="19"/>
      <w:bookmarkEnd w:id="19"/>
      <w:r w:rsidDel="00000000" w:rsidR="00000000" w:rsidRPr="00000000">
        <w:rPr>
          <w:rFonts w:ascii="Times New Roman" w:cs="Times New Roman" w:eastAsia="Times New Roman" w:hAnsi="Times New Roman"/>
          <w:sz w:val="24"/>
          <w:szCs w:val="24"/>
          <w:rtl w:val="0"/>
        </w:rPr>
        <w:t xml:space="preserve">INTERVENÇÃO DO ESTUDO</w:t>
      </w:r>
    </w:p>
    <w:p w:rsidR="00000000" w:rsidDel="00000000" w:rsidP="00000000" w:rsidRDefault="00000000" w:rsidRPr="00000000" w14:paraId="000001B6">
      <w:pPr>
        <w:spacing w:line="360" w:lineRule="auto"/>
        <w:ind w:firstLine="360"/>
        <w:jc w:val="both"/>
        <w:rPr/>
      </w:pPr>
      <w:r w:rsidDel="00000000" w:rsidR="00000000" w:rsidRPr="00000000">
        <w:rPr>
          <w:rtl w:val="0"/>
        </w:rPr>
        <w:t xml:space="preserve">Ativo: Manejo remoto da PA, colesterol LDL e glicemia (n=419). </w:t>
      </w:r>
    </w:p>
    <w:p w:rsidR="00000000" w:rsidDel="00000000" w:rsidP="00000000" w:rsidRDefault="00000000" w:rsidRPr="00000000" w14:paraId="000001B7">
      <w:pPr>
        <w:spacing w:line="360" w:lineRule="auto"/>
        <w:ind w:firstLine="360"/>
        <w:jc w:val="both"/>
        <w:rPr/>
      </w:pPr>
      <w:r w:rsidDel="00000000" w:rsidR="00000000" w:rsidRPr="00000000">
        <w:rPr>
          <w:rtl w:val="0"/>
        </w:rPr>
        <w:t xml:space="preserve">Controle: Cuidados habituais (n=419).</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pStyle w:val="Heading1"/>
        <w:numPr>
          <w:ilvl w:val="1"/>
          <w:numId w:val="1"/>
        </w:numPr>
        <w:spacing w:after="360" w:lineRule="auto"/>
        <w:ind w:left="720" w:hanging="360"/>
        <w:rPr>
          <w:rFonts w:ascii="Times New Roman" w:cs="Times New Roman" w:eastAsia="Times New Roman" w:hAnsi="Times New Roman"/>
          <w:sz w:val="24"/>
          <w:szCs w:val="24"/>
        </w:rPr>
      </w:pPr>
      <w:bookmarkStart w:colFirst="0" w:colLast="0" w:name="_heading=h.1y810tw" w:id="20"/>
      <w:bookmarkEnd w:id="20"/>
      <w:r w:rsidDel="00000000" w:rsidR="00000000" w:rsidRPr="00000000">
        <w:rPr>
          <w:rFonts w:ascii="Times New Roman" w:cs="Times New Roman" w:eastAsia="Times New Roman" w:hAnsi="Times New Roman"/>
          <w:sz w:val="24"/>
          <w:szCs w:val="24"/>
          <w:rtl w:val="0"/>
        </w:rPr>
        <w:t xml:space="preserve">RANDOMIZAÇÃO E CEGAMENTO</w:t>
      </w:r>
    </w:p>
    <w:p w:rsidR="00000000" w:rsidDel="00000000" w:rsidP="00000000" w:rsidRDefault="00000000" w:rsidRPr="00000000" w14:paraId="000001B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RANDOMIZAÇÃO</w:t>
      </w:r>
    </w:p>
    <w:p w:rsidR="00000000" w:rsidDel="00000000" w:rsidP="00000000" w:rsidRDefault="00000000" w:rsidRPr="00000000" w14:paraId="000001BB">
      <w:pPr>
        <w:ind w:left="360" w:firstLine="0"/>
        <w:jc w:val="both"/>
        <w:rPr/>
      </w:pPr>
      <w:r w:rsidDel="00000000" w:rsidR="00000000" w:rsidRPr="00000000">
        <w:rPr>
          <w:rtl w:val="0"/>
        </w:rPr>
      </w:r>
    </w:p>
    <w:p w:rsidR="00000000" w:rsidDel="00000000" w:rsidP="00000000" w:rsidRDefault="00000000" w:rsidRPr="00000000" w14:paraId="000001BC">
      <w:pPr>
        <w:spacing w:line="360" w:lineRule="auto"/>
        <w:ind w:firstLine="720"/>
        <w:jc w:val="both"/>
        <w:rPr/>
      </w:pPr>
      <w:bookmarkStart w:colFirst="0" w:colLast="0" w:name="_heading=h.4i7ojhp" w:id="21"/>
      <w:bookmarkEnd w:id="21"/>
      <w:r w:rsidDel="00000000" w:rsidR="00000000" w:rsidRPr="00000000">
        <w:rPr>
          <w:rtl w:val="0"/>
        </w:rPr>
        <w:t xml:space="preserve">Vinte e uma (21) Unidades Básicas de Saúde (UBS) </w:t>
      </w:r>
      <w:r w:rsidDel="00000000" w:rsidR="00000000" w:rsidRPr="00000000">
        <w:rPr>
          <w:color w:val="000000"/>
          <w:highlight w:val="white"/>
          <w:rtl w:val="0"/>
        </w:rPr>
        <w:t xml:space="preserve">Região Leste de Saúde do Distrito Federal</w:t>
      </w:r>
      <w:r w:rsidDel="00000000" w:rsidR="00000000" w:rsidRPr="00000000">
        <w:rPr>
          <w:rtl w:val="0"/>
        </w:rPr>
        <w:t xml:space="preserve"> (Brasília, DF, Brasil) serão selecionadas aleatoriamente de um conjunto de 165 unidades.</w:t>
      </w:r>
    </w:p>
    <w:p w:rsidR="00000000" w:rsidDel="00000000" w:rsidP="00000000" w:rsidRDefault="00000000" w:rsidRPr="00000000" w14:paraId="000001BD">
      <w:pPr>
        <w:spacing w:line="360" w:lineRule="auto"/>
        <w:ind w:firstLine="720"/>
        <w:jc w:val="both"/>
        <w:rPr/>
      </w:pPr>
      <w:r w:rsidDel="00000000" w:rsidR="00000000" w:rsidRPr="00000000">
        <w:rPr>
          <w:rtl w:val="0"/>
        </w:rPr>
        <w:t xml:space="preserve">Por ser um estudo clínico randomizado estratificado em </w:t>
      </w:r>
      <w:r w:rsidDel="00000000" w:rsidR="00000000" w:rsidRPr="00000000">
        <w:rPr>
          <w:i w:val="1"/>
          <w:rtl w:val="0"/>
        </w:rPr>
        <w:t xml:space="preserve">clusters</w:t>
      </w:r>
      <w:r w:rsidDel="00000000" w:rsidR="00000000" w:rsidRPr="00000000">
        <w:rPr>
          <w:rtl w:val="0"/>
        </w:rPr>
        <w:t xml:space="preserve">, entre as 21 UBS selecionadas neste estudo, as unidades serão randomizadas na proporção de 1:1. Isso significa que 11 centros serão responsáveis por indicar 419 indivíduos elegíveis consecutivos para receber acompanhamento remoto da PA, dosagens séricas de lipídios e glicemia, as outras 10 UBS serão responsáveis por indicar 419 indivíduos elegíveis consecutivos para receber o atendimento habitual.</w:t>
      </w:r>
    </w:p>
    <w:p w:rsidR="00000000" w:rsidDel="00000000" w:rsidP="00000000" w:rsidRDefault="00000000" w:rsidRPr="00000000" w14:paraId="000001BE">
      <w:pPr>
        <w:spacing w:line="360" w:lineRule="auto"/>
        <w:ind w:firstLine="720"/>
        <w:jc w:val="both"/>
        <w:rPr/>
      </w:pPr>
      <w:r w:rsidDel="00000000" w:rsidR="00000000" w:rsidRPr="00000000">
        <w:rPr>
          <w:rtl w:val="0"/>
        </w:rPr>
        <w:t xml:space="preserve">Após essa fase inicial, um código exclusivo será gerado para cada participante, o qual será utilizado para controlar a documentação e dispensação dos medicamentos do estudo. A randomização das unidades será realizada por meio do REDCap.</w:t>
      </w:r>
    </w:p>
    <w:p w:rsidR="00000000" w:rsidDel="00000000" w:rsidP="00000000" w:rsidRDefault="00000000" w:rsidRPr="00000000" w14:paraId="000001BF">
      <w:pPr>
        <w:ind w:left="360" w:firstLine="0"/>
        <w:rPr>
          <w:b w:val="1"/>
        </w:rPr>
      </w:pP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CEGAMENTO</w:t>
      </w:r>
    </w:p>
    <w:p w:rsidR="00000000" w:rsidDel="00000000" w:rsidP="00000000" w:rsidRDefault="00000000" w:rsidRPr="00000000" w14:paraId="000001C1">
      <w:pPr>
        <w:ind w:left="360" w:firstLine="0"/>
        <w:rPr>
          <w:b w:val="1"/>
        </w:rPr>
      </w:pPr>
      <w:r w:rsidDel="00000000" w:rsidR="00000000" w:rsidRPr="00000000">
        <w:rPr>
          <w:rtl w:val="0"/>
        </w:rPr>
      </w:r>
    </w:p>
    <w:p w:rsidR="00000000" w:rsidDel="00000000" w:rsidP="00000000" w:rsidRDefault="00000000" w:rsidRPr="00000000" w14:paraId="000001C2">
      <w:pPr>
        <w:spacing w:line="360" w:lineRule="auto"/>
        <w:ind w:firstLine="720"/>
        <w:jc w:val="both"/>
        <w:rPr/>
      </w:pPr>
      <w:r w:rsidDel="00000000" w:rsidR="00000000" w:rsidRPr="00000000">
        <w:rPr>
          <w:rtl w:val="0"/>
        </w:rPr>
        <w:t xml:space="preserve">Este é um estudo aberto, no entanto, o pessoal designado pelo patrocinador, o conselho independente de monitoramento de segurança de dados, os administradores de estudo e fornecedores que apoiam o estudo não terão acesso ao código de randomização. </w:t>
      </w:r>
    </w:p>
    <w:p w:rsidR="00000000" w:rsidDel="00000000" w:rsidP="00000000" w:rsidRDefault="00000000" w:rsidRPr="00000000" w14:paraId="000001C3">
      <w:pPr>
        <w:spacing w:line="360" w:lineRule="auto"/>
        <w:ind w:firstLine="720"/>
        <w:jc w:val="both"/>
        <w:rPr/>
      </w:pPr>
      <w:r w:rsidDel="00000000" w:rsidR="00000000" w:rsidRPr="00000000">
        <w:rPr>
          <w:rtl w:val="0"/>
        </w:rPr>
        <w:t xml:space="preserve">Ou seja, eles não saberão quais centros de estudo receberão o gerenciamento remoto, e quais receberão os cuidados habituais. Por outro lado, os pacientes, os investigadores do estudo, os monitores e outros funcionários de apoio nas UBS terão conhecimento da alocação dos pacientes. Após o bloqueio do conjunto de dados, a intervenção do estudo será desidentificada.</w:t>
      </w:r>
    </w:p>
    <w:p w:rsidR="00000000" w:rsidDel="00000000" w:rsidP="00000000" w:rsidRDefault="00000000" w:rsidRPr="00000000" w14:paraId="000001C4">
      <w:pPr>
        <w:spacing w:line="360" w:lineRule="auto"/>
        <w:ind w:firstLine="720"/>
        <w:jc w:val="both"/>
        <w:rPr/>
      </w:pPr>
      <w:r w:rsidDel="00000000" w:rsidR="00000000" w:rsidRPr="00000000">
        <w:rPr>
          <w:rtl w:val="0"/>
        </w:rPr>
      </w:r>
    </w:p>
    <w:p w:rsidR="00000000" w:rsidDel="00000000" w:rsidP="00000000" w:rsidRDefault="00000000" w:rsidRPr="00000000" w14:paraId="000001C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PROTOCOLO DE TRATAMENTO</w:t>
      </w:r>
    </w:p>
    <w:p w:rsidR="00000000" w:rsidDel="00000000" w:rsidP="00000000" w:rsidRDefault="00000000" w:rsidRPr="00000000" w14:paraId="000001C6">
      <w:pPr>
        <w:spacing w:line="360" w:lineRule="auto"/>
        <w:ind w:firstLine="720"/>
        <w:jc w:val="both"/>
        <w:rPr/>
      </w:pPr>
      <w:r w:rsidDel="00000000" w:rsidR="00000000" w:rsidRPr="00000000">
        <w:rPr>
          <w:rtl w:val="0"/>
        </w:rPr>
      </w:r>
    </w:p>
    <w:p w:rsidR="00000000" w:rsidDel="00000000" w:rsidP="00000000" w:rsidRDefault="00000000" w:rsidRPr="00000000" w14:paraId="000001C7">
      <w:pPr>
        <w:spacing w:line="360" w:lineRule="auto"/>
        <w:ind w:firstLine="720"/>
        <w:jc w:val="both"/>
        <w:rPr/>
      </w:pPr>
      <w:r w:rsidDel="00000000" w:rsidR="00000000" w:rsidRPr="00000000">
        <w:rPr>
          <w:rtl w:val="0"/>
        </w:rPr>
        <w:t xml:space="preserve">Os participantes no grupo controle serão tratados de acordo com a avaliação do médico responsável, sem a intervenção da equipe do estudo. Já os participantes no grupo intervenção receberão tratamento de acordo com as diretrizes clínicas, e as instruções serão fornecidas remotamente por monitores supervisionados por médicos.</w:t>
      </w:r>
    </w:p>
    <w:p w:rsidR="00000000" w:rsidDel="00000000" w:rsidP="00000000" w:rsidRDefault="00000000" w:rsidRPr="00000000" w14:paraId="000001C8">
      <w:pPr>
        <w:spacing w:line="360" w:lineRule="auto"/>
        <w:ind w:firstLine="720"/>
        <w:jc w:val="both"/>
        <w:rPr/>
      </w:pPr>
      <w:r w:rsidDel="00000000" w:rsidR="00000000" w:rsidRPr="00000000">
        <w:rPr>
          <w:rtl w:val="0"/>
        </w:rPr>
      </w:r>
    </w:p>
    <w:p w:rsidR="00000000" w:rsidDel="00000000" w:rsidP="00000000" w:rsidRDefault="00000000" w:rsidRPr="00000000" w14:paraId="000001C9">
      <w:pPr>
        <w:spacing w:line="360" w:lineRule="auto"/>
        <w:ind w:firstLine="720"/>
        <w:jc w:val="both"/>
        <w:rPr/>
      </w:pPr>
      <w:r w:rsidDel="00000000" w:rsidR="00000000" w:rsidRPr="00000000">
        <w:rPr>
          <w:b w:val="1"/>
          <w:rtl w:val="0"/>
        </w:rPr>
        <w:t xml:space="preserve">Gestão de estilo de vida:</w:t>
      </w:r>
      <w:r w:rsidDel="00000000" w:rsidR="00000000" w:rsidRPr="00000000">
        <w:rPr>
          <w:rtl w:val="0"/>
        </w:rPr>
        <w:t xml:space="preserve"> o nosso estudo acompanha os pacientes, entrevistando-os sobre hábitos de saúde relevantes no início, a fim de direcionar o aconselhamento individualizado sobre modificações no estilo de vida. A educação é centrada na perda de peso, atividade física e redução do consumo de sódio e álcool. Os pacientes podem entrar em contato com os monitores para esclarecer quaisquer dúvidas ou preocupações a qualquer momento. Recomendações específicas incluem: limitar a ingestão diária de sódio a 1.500 mg; adotar uma dieta rica em alimentos naturais e minimamente processados e evitar alimentos processados e ultraprocessados; limitar o consumo diário de álcool a 1 dose/dia para mulheres e 2 dose/dia  para homens; engajar-se em atividade física moderada a vigorosa por 50 minutos, 3 vezes por semana (ou 30 minutos, 5 vezes/semana); revisar as mudanças no estilo de vida com o participante durante cada ligação; aconselhar sobre a cessação do tabagismo e oferecer recursos para ajudar nessa questão; usar medicamentos de dose única e terapias combinadas para aumentar a adesão à farmacoterapia; revisar as metas de tratamento durante cada ligação.</w:t>
      </w:r>
    </w:p>
    <w:p w:rsidR="00000000" w:rsidDel="00000000" w:rsidP="00000000" w:rsidRDefault="00000000" w:rsidRPr="00000000" w14:paraId="000001CA">
      <w:pPr>
        <w:spacing w:line="360" w:lineRule="auto"/>
        <w:ind w:firstLine="720"/>
        <w:jc w:val="both"/>
        <w:rPr/>
      </w:pPr>
      <w:r w:rsidDel="00000000" w:rsidR="00000000" w:rsidRPr="00000000">
        <w:rPr>
          <w:rtl w:val="0"/>
        </w:rPr>
      </w:r>
    </w:p>
    <w:p w:rsidR="00000000" w:rsidDel="00000000" w:rsidP="00000000" w:rsidRDefault="00000000" w:rsidRPr="00000000" w14:paraId="000001CB">
      <w:pPr>
        <w:spacing w:line="360" w:lineRule="auto"/>
        <w:ind w:firstLine="720"/>
        <w:jc w:val="both"/>
        <w:rPr/>
      </w:pPr>
      <w:r w:rsidDel="00000000" w:rsidR="00000000" w:rsidRPr="00000000">
        <w:rPr>
          <w:b w:val="1"/>
          <w:rtl w:val="0"/>
        </w:rPr>
        <w:t xml:space="preserve">Gestão da PA</w:t>
      </w:r>
      <w:r w:rsidDel="00000000" w:rsidR="00000000" w:rsidRPr="00000000">
        <w:rPr>
          <w:rtl w:val="0"/>
        </w:rPr>
        <w:t xml:space="preserve">: foi desenvolvido um algoritmo para o tratamento farmacológico da hipertensão arterial com base nas diretrizes da Sociedade Brasileira de Cardiologia (SBC) de 2020</w:t>
      </w:r>
      <w:r w:rsidDel="00000000" w:rsidR="00000000" w:rsidRPr="00000000">
        <w:rPr>
          <w:vertAlign w:val="superscript"/>
          <w:rtl w:val="0"/>
        </w:rPr>
        <w:t xml:space="preserve">26</w:t>
      </w:r>
      <w:r w:rsidDel="00000000" w:rsidR="00000000" w:rsidRPr="00000000">
        <w:rPr>
          <w:rtl w:val="0"/>
        </w:rPr>
        <w:t xml:space="preserve">. Uma vez inscritos no programa, os participantes devem aferir a pressão arterial em casa durante seis dias, seguindo um cronograma de duas vezes pela manhã e duas vezes à noite, sempre antes de tomar seus medicamentos anti-hipertensivos. Os monitores residenciais estarão disponíveis com equipamentos que permitem que as aferições sejam transmitidas em tempo real e carregadas automaticamente nos PES. Foi desenvolvido um </w:t>
      </w:r>
      <w:r w:rsidDel="00000000" w:rsidR="00000000" w:rsidRPr="00000000">
        <w:rPr>
          <w:i w:val="1"/>
          <w:rtl w:val="0"/>
        </w:rPr>
        <w:t xml:space="preserve">software</w:t>
      </w:r>
      <w:r w:rsidDel="00000000" w:rsidR="00000000" w:rsidRPr="00000000">
        <w:rPr>
          <w:rtl w:val="0"/>
        </w:rPr>
        <w:t xml:space="preserve"> para calcular as médias semanais da PA, que define valores normais como uma média domiciliar de PAS inferior a 130 mmHg e PAD inferior a 80 mmHg. O </w:t>
      </w:r>
      <w:r w:rsidDel="00000000" w:rsidR="00000000" w:rsidRPr="00000000">
        <w:rPr>
          <w:i w:val="1"/>
          <w:rtl w:val="0"/>
        </w:rPr>
        <w:t xml:space="preserve">software </w:t>
      </w:r>
      <w:r w:rsidDel="00000000" w:rsidR="00000000" w:rsidRPr="00000000">
        <w:rPr>
          <w:rtl w:val="0"/>
        </w:rPr>
        <w:t xml:space="preserve">também permite alterar ou adaptar o objetivo da PA de acordo com a necessidade clínica.</w:t>
      </w:r>
    </w:p>
    <w:p w:rsidR="00000000" w:rsidDel="00000000" w:rsidP="00000000" w:rsidRDefault="00000000" w:rsidRPr="00000000" w14:paraId="000001CC">
      <w:pPr>
        <w:spacing w:line="360" w:lineRule="auto"/>
        <w:ind w:firstLine="720"/>
        <w:jc w:val="both"/>
        <w:rPr/>
      </w:pPr>
      <w:r w:rsidDel="00000000" w:rsidR="00000000" w:rsidRPr="00000000">
        <w:rPr>
          <w:rtl w:val="0"/>
        </w:rPr>
        <w:t xml:space="preserve">Quando a primeira média semanal identifica hipertensão do avental branco ou efeito do jaleco branco, devido à PA domiciliar normal, nenhuma alteração na medicação será realizada. Os pacientes e os profissionais de saúde serão alertados sobre o diagnóstico, evitando assim tratamentos desnecessários.</w:t>
      </w:r>
    </w:p>
    <w:p w:rsidR="00000000" w:rsidDel="00000000" w:rsidP="00000000" w:rsidRDefault="00000000" w:rsidRPr="00000000" w14:paraId="000001CD">
      <w:pPr>
        <w:spacing w:line="360" w:lineRule="auto"/>
        <w:ind w:firstLine="720"/>
        <w:jc w:val="both"/>
        <w:rPr/>
      </w:pPr>
      <w:r w:rsidDel="00000000" w:rsidR="00000000" w:rsidRPr="00000000">
        <w:rPr>
          <w:rtl w:val="0"/>
        </w:rPr>
        <w:t xml:space="preserve">Os pacientes que apresentarem valores elevados de PA domiciliar serão submetidos a ajustes na medicação por meio de consultas telefônicas com um monitor, seguindo o algoritmo clínico descrito no formulário de plano do </w:t>
      </w:r>
      <w:r w:rsidDel="00000000" w:rsidR="00000000" w:rsidRPr="00000000">
        <w:rPr>
          <w:i w:val="1"/>
          <w:rtl w:val="0"/>
        </w:rPr>
        <w:t xml:space="preserve">software</w:t>
      </w:r>
      <w:r w:rsidDel="00000000" w:rsidR="00000000" w:rsidRPr="00000000">
        <w:rPr>
          <w:rtl w:val="0"/>
        </w:rPr>
        <w:t xml:space="preserve">. O médico responsável revisará e assinará as novas prescrições. Este </w:t>
      </w:r>
      <w:r w:rsidDel="00000000" w:rsidR="00000000" w:rsidRPr="00000000">
        <w:rPr>
          <w:i w:val="1"/>
          <w:rtl w:val="0"/>
        </w:rPr>
        <w:t xml:space="preserve">software</w:t>
      </w:r>
      <w:r w:rsidDel="00000000" w:rsidR="00000000" w:rsidRPr="00000000">
        <w:rPr>
          <w:rtl w:val="0"/>
        </w:rPr>
        <w:t xml:space="preserve"> possibilitará ajustes de dose mais frequentes dos medicamentos em comparação ao método convencional. Após cada ajuste, os pacientes aguardarão uma semana para estabilização e, em seguida, repetirão um conjunto de medidas de pressão arterial domiciliar por mais 6 dias. Dessa forma, o ciclo de ajustes de medicação ocorrerá a cada duas semanas. Essa frequência é adequada à fisiologia dos agentes anti-hipertensivos que utilizamos, como inibidores da ECA, bloqueadores dos receptores de angiotensina, bloqueadores dos canais de cálcio e diuréticos, que apresentam efeito máximo dentro de alguns dias a uma semana.</w:t>
      </w:r>
    </w:p>
    <w:p w:rsidR="00000000" w:rsidDel="00000000" w:rsidP="00000000" w:rsidRDefault="00000000" w:rsidRPr="00000000" w14:paraId="000001CE">
      <w:pPr>
        <w:spacing w:line="360" w:lineRule="auto"/>
        <w:ind w:firstLine="720"/>
        <w:jc w:val="both"/>
        <w:rPr/>
      </w:pPr>
      <w:r w:rsidDel="00000000" w:rsidR="00000000" w:rsidRPr="00000000">
        <w:rPr>
          <w:rtl w:val="0"/>
        </w:rPr>
        <w:t xml:space="preserve">O ajuste rápido leva em consideração a inércia terapêutica que, frequentemente, está presente nos cuidados tradicionais de saúde. Durante o processo de ajustes, a função renal e os eletrólitos serão monitorados quando clinicamente necessário. Quando a meta da pressão arterial for alcançada, os pacientes serão graduados no programa e monitorados em intervalos de 6 meses. Caso a pressão arterial domiciliar de um participante continue elevada, mesmo após a prescrição de três medicamentos, incluindo um diurético, o paciente será diagnosticado com hipertensão resistente e encaminhado automaticamente para um especialista em hipertensão.</w:t>
      </w:r>
    </w:p>
    <w:p w:rsidR="00000000" w:rsidDel="00000000" w:rsidP="00000000" w:rsidRDefault="00000000" w:rsidRPr="00000000" w14:paraId="000001CF">
      <w:pPr>
        <w:spacing w:line="360" w:lineRule="auto"/>
        <w:ind w:firstLine="720"/>
        <w:jc w:val="both"/>
        <w:rPr>
          <w:b w:val="1"/>
          <w:sz w:val="18"/>
          <w:szCs w:val="18"/>
        </w:rPr>
      </w:pPr>
      <w:r w:rsidDel="00000000" w:rsidR="00000000" w:rsidRPr="00000000">
        <w:rPr>
          <w:rtl w:val="0"/>
        </w:rPr>
      </w:r>
    </w:p>
    <w:p w:rsidR="00000000" w:rsidDel="00000000" w:rsidP="00000000" w:rsidRDefault="00000000" w:rsidRPr="00000000" w14:paraId="000001D0">
      <w:pPr>
        <w:spacing w:line="360" w:lineRule="auto"/>
        <w:ind w:firstLine="720"/>
        <w:jc w:val="both"/>
        <w:rPr>
          <w:sz w:val="18"/>
          <w:szCs w:val="18"/>
        </w:rPr>
      </w:pPr>
      <w:r w:rsidDel="00000000" w:rsidR="00000000" w:rsidRPr="00000000">
        <w:rPr>
          <w:b w:val="1"/>
          <w:sz w:val="18"/>
          <w:szCs w:val="18"/>
          <w:rtl w:val="0"/>
        </w:rPr>
        <w:t xml:space="preserve">Figura 1.</w:t>
      </w:r>
      <w:r w:rsidDel="00000000" w:rsidR="00000000" w:rsidRPr="00000000">
        <w:rPr>
          <w:sz w:val="18"/>
          <w:szCs w:val="18"/>
          <w:rtl w:val="0"/>
        </w:rPr>
        <w:t xml:space="preserve"> Algoritmo de tratamento da hipertensão. ECAi: inibidor da enzima conversora da angiotensina; BRA: bloqueador dos receptores da angiotensina; CCB: bloqueador dos canais de cálcio; DRC3: doença renal crônica estágio 3; DM: diabetes mellitus; HCTZ: hidroclorotiazida; MTD: dose máxima tolerada; PE: enfermeiro; Q2 semanas: a cada duas semanas.</w:t>
      </w:r>
    </w:p>
    <w:p w:rsidR="00000000" w:rsidDel="00000000" w:rsidP="00000000" w:rsidRDefault="00000000" w:rsidRPr="00000000" w14:paraId="000001D1">
      <w:pPr>
        <w:spacing w:line="360" w:lineRule="auto"/>
        <w:ind w:firstLine="720"/>
        <w:jc w:val="both"/>
        <w:rPr/>
      </w:pPr>
      <w:r w:rsidDel="00000000" w:rsidR="00000000" w:rsidRPr="00000000">
        <w:rPr/>
        <w:drawing>
          <wp:inline distB="0" distT="0" distL="0" distR="0">
            <wp:extent cx="5943600" cy="4083050"/>
            <wp:effectExtent b="0" l="0" r="0" t="0"/>
            <wp:docPr descr="Interface gráfica do usuário, Site&#10;&#10;Descrição gerada automaticamente" id="2129596949" name="image9.png"/>
            <a:graphic>
              <a:graphicData uri="http://schemas.openxmlformats.org/drawingml/2006/picture">
                <pic:pic>
                  <pic:nvPicPr>
                    <pic:cNvPr descr="Interface gráfica do usuário, Site&#10;&#10;Descrição gerada automaticamente" id="0" name="image9.png"/>
                    <pic:cNvPicPr preferRelativeResize="0"/>
                  </pic:nvPicPr>
                  <pic:blipFill>
                    <a:blip r:embed="rId18"/>
                    <a:srcRect b="0" l="0" r="0" t="0"/>
                    <a:stretch>
                      <a:fillRect/>
                    </a:stretch>
                  </pic:blipFill>
                  <pic:spPr>
                    <a:xfrm>
                      <a:off x="0" y="0"/>
                      <a:ext cx="5943600" cy="4083050"/>
                    </a:xfrm>
                    <a:prstGeom prst="rect"/>
                    <a:ln/>
                  </pic:spPr>
                </pic:pic>
              </a:graphicData>
            </a:graphic>
          </wp:inline>
        </w:drawing>
      </w:r>
      <w:r w:rsidDel="00000000" w:rsidR="00000000" w:rsidRPr="00000000">
        <w:rPr>
          <w:rtl w:val="0"/>
        </w:rPr>
      </w:r>
    </w:p>
    <w:p w:rsidR="00000000" w:rsidDel="00000000" w:rsidP="00000000" w:rsidRDefault="00000000" w:rsidRPr="00000000" w14:paraId="000001D2">
      <w:pPr>
        <w:spacing w:line="360" w:lineRule="auto"/>
        <w:jc w:val="both"/>
        <w:rPr>
          <w:b w:val="1"/>
        </w:rPr>
      </w:pPr>
      <w:r w:rsidDel="00000000" w:rsidR="00000000" w:rsidRPr="00000000">
        <w:rPr>
          <w:rtl w:val="0"/>
        </w:rPr>
      </w:r>
    </w:p>
    <w:p w:rsidR="00000000" w:rsidDel="00000000" w:rsidP="00000000" w:rsidRDefault="00000000" w:rsidRPr="00000000" w14:paraId="000001D3">
      <w:pPr>
        <w:spacing w:line="360" w:lineRule="auto"/>
        <w:ind w:firstLine="720"/>
        <w:jc w:val="both"/>
        <w:rPr/>
      </w:pPr>
      <w:r w:rsidDel="00000000" w:rsidR="00000000" w:rsidRPr="00000000">
        <w:rPr>
          <w:b w:val="1"/>
          <w:rtl w:val="0"/>
        </w:rPr>
        <w:t xml:space="preserve">Manejo da glicemia:</w:t>
      </w:r>
      <w:r w:rsidDel="00000000" w:rsidR="00000000" w:rsidRPr="00000000">
        <w:rPr>
          <w:rtl w:val="0"/>
        </w:rPr>
        <w:t xml:space="preserve"> foi elaborado um algoritmo para o tratamento farmacológico da hiperglicemia e diabetes, seguindo as diretrizes da </w:t>
      </w:r>
      <w:r w:rsidDel="00000000" w:rsidR="00000000" w:rsidRPr="00000000">
        <w:rPr>
          <w:i w:val="1"/>
          <w:rtl w:val="0"/>
        </w:rPr>
        <w:t xml:space="preserve">Standards of Care in Diabetes</w:t>
      </w:r>
      <w:r w:rsidDel="00000000" w:rsidR="00000000" w:rsidRPr="00000000">
        <w:rPr>
          <w:rtl w:val="0"/>
        </w:rPr>
        <w:t xml:space="preserve"> (ADA) de 2022</w:t>
      </w:r>
      <w:r w:rsidDel="00000000" w:rsidR="00000000" w:rsidRPr="00000000">
        <w:rPr>
          <w:vertAlign w:val="superscript"/>
          <w:rtl w:val="0"/>
        </w:rPr>
        <w:t xml:space="preserve">27</w:t>
      </w:r>
      <w:r w:rsidDel="00000000" w:rsidR="00000000" w:rsidRPr="00000000">
        <w:rPr>
          <w:rtl w:val="0"/>
        </w:rPr>
        <w:t xml:space="preserve">. A terapia de primeira linha é baseada em fatores centrados no paciente e geralmente inclui metformina, a menos que existam outras indicações. O protocolo dá preferência aos tratamentos disponíveis no Sistema Único de Saúde (SUS) e leva em consideração o custo, o acesso, os fatores de tratamento centrados no paciente e as necessidades de manejo glicêmico e de comorbidades. Os pacientes com diabetes são avaliados pelos monitores a cada 4-6 semanas, verificando a adesão às modificações do estilo de vida e tratamento farmacológico. </w:t>
      </w:r>
    </w:p>
    <w:p w:rsidR="00000000" w:rsidDel="00000000" w:rsidP="00000000" w:rsidRDefault="00000000" w:rsidRPr="00000000" w14:paraId="000001D4">
      <w:pPr>
        <w:spacing w:line="360" w:lineRule="auto"/>
        <w:ind w:firstLine="720"/>
        <w:jc w:val="both"/>
        <w:rPr/>
      </w:pPr>
      <w:r w:rsidDel="00000000" w:rsidR="00000000" w:rsidRPr="00000000">
        <w:rPr>
          <w:rtl w:val="0"/>
        </w:rPr>
        <w:t xml:space="preserve">A cada 12 semanas, serão solicitados e verificados exames laboratoriais, tais como HbA1c, glicemia de jejum e monitoramento da glicemia capilar ou monitores contínuos de glicose. De forma similar, a cada 12-24 semanas, os monitores recomendarão visitas ao médico de cuidados primários para avaliar possíveis sinais de neuropatia e polineuropatia. As prescrições seguirão o protocolo e serão supervisionadas por médicos experientes. Em suma, o protocolo destaca terapias com evidências de redução do risco cardiovascular e gerenciamento glicêmico para indivíduos com DM2 e DCA estabelecido ou indicadores de alto risco cardiovascular. Dessa forma, prioriza-se o uso de inibidores de SGLT2 e agonistas de receptor de GLP-1 para essa população, enquanto tiazolidinedionas (TZD) são indicadas para aqueles com baixo a moderado risco de IC. </w:t>
      </w:r>
    </w:p>
    <w:p w:rsidR="00000000" w:rsidDel="00000000" w:rsidP="00000000" w:rsidRDefault="00000000" w:rsidRPr="00000000" w14:paraId="000001D5">
      <w:pPr>
        <w:spacing w:line="360" w:lineRule="auto"/>
        <w:ind w:firstLine="720"/>
        <w:jc w:val="both"/>
        <w:rPr/>
      </w:pPr>
      <w:r w:rsidDel="00000000" w:rsidR="00000000" w:rsidRPr="00000000">
        <w:rPr>
          <w:rtl w:val="0"/>
        </w:rPr>
        <w:t xml:space="preserve">Para indivíduos com DM2 e IC existente ou doença renal crônica (DRC) e DM2, será dada preferência aos inibidores de SGLT2. Caso seja necessário tratamento adicional, considera-se a incorporação de agonistas de GLP-1 e vice-versa.</w:t>
      </w:r>
    </w:p>
    <w:p w:rsidR="00000000" w:rsidDel="00000000" w:rsidP="00000000" w:rsidRDefault="00000000" w:rsidRPr="00000000" w14:paraId="000001D6">
      <w:pPr>
        <w:spacing w:line="360" w:lineRule="auto"/>
        <w:ind w:firstLine="720"/>
        <w:jc w:val="both"/>
        <w:rPr/>
      </w:pPr>
      <w:r w:rsidDel="00000000" w:rsidR="00000000" w:rsidRPr="00000000">
        <w:rPr>
          <w:rtl w:val="0"/>
        </w:rPr>
        <w:t xml:space="preserve">Ao ponderar fatores adicionais centrados no paciente, tais como minimização da hipoglicemia, minimização do ganho de peso, promoção da perda de peso e considerações de acesso/custo, são considerados hipoglicemiantes que ofereçam eficácia adequada para alcançar e manter metas glicêmicas. Para minimizar a hipoglicemia, o protocolo sugere terapias como inibidores de SGLT2, inibidores de DPP4, TZD e agonistas de receptor de GLP-1. Já para minimizar o ganho de peso, o protocolo recomenda os agonistas de receptor de GLP-1 como primeira linha, seguidos pelos inibidores de SGLT2. Indivíduos pré-diabéticos (glicemia de jejum 100-125 mg/dL ou HbA1c 5,7-6,4%) receberão orientações sobre modificação do estilo de vida, sem indicação específica para o uso de farmacoterapia.</w:t>
      </w:r>
    </w:p>
    <w:p w:rsidR="00000000" w:rsidDel="00000000" w:rsidP="00000000" w:rsidRDefault="00000000" w:rsidRPr="00000000" w14:paraId="000001D7">
      <w:pPr>
        <w:spacing w:line="360" w:lineRule="auto"/>
        <w:ind w:firstLine="720"/>
        <w:jc w:val="both"/>
        <w:rPr/>
      </w:pPr>
      <w:r w:rsidDel="00000000" w:rsidR="00000000" w:rsidRPr="00000000">
        <w:rPr>
          <w:rtl w:val="0"/>
        </w:rPr>
      </w:r>
    </w:p>
    <w:p w:rsidR="00000000" w:rsidDel="00000000" w:rsidP="00000000" w:rsidRDefault="00000000" w:rsidRPr="00000000" w14:paraId="000001D8">
      <w:pPr>
        <w:spacing w:line="360" w:lineRule="auto"/>
        <w:ind w:firstLine="720"/>
        <w:jc w:val="both"/>
        <w:rPr>
          <w:sz w:val="18"/>
          <w:szCs w:val="18"/>
        </w:rPr>
      </w:pPr>
      <w:r w:rsidDel="00000000" w:rsidR="00000000" w:rsidRPr="00000000">
        <w:rPr>
          <w:color w:val="000000"/>
          <w:sz w:val="18"/>
          <w:szCs w:val="18"/>
        </w:rPr>
        <w:drawing>
          <wp:anchor allowOverlap="1" behindDoc="0" distB="0" distT="0" distL="114300" distR="114300" hidden="0" layoutInCell="1" locked="0" relativeHeight="0" simplePos="0">
            <wp:simplePos x="0" y="0"/>
            <wp:positionH relativeFrom="margin">
              <wp:posOffset>0</wp:posOffset>
            </wp:positionH>
            <wp:positionV relativeFrom="margin">
              <wp:posOffset>312798</wp:posOffset>
            </wp:positionV>
            <wp:extent cx="5942965" cy="3848735"/>
            <wp:effectExtent b="0" l="0" r="0" t="0"/>
            <wp:wrapSquare wrapText="bothSides" distB="0" distT="0" distL="114300" distR="114300"/>
            <wp:docPr id="2129596943" name="image5.png"/>
            <a:graphic>
              <a:graphicData uri="http://schemas.openxmlformats.org/drawingml/2006/picture">
                <pic:pic>
                  <pic:nvPicPr>
                    <pic:cNvPr id="0" name="image5.png"/>
                    <pic:cNvPicPr preferRelativeResize="0"/>
                  </pic:nvPicPr>
                  <pic:blipFill>
                    <a:blip r:embed="rId19"/>
                    <a:srcRect b="5306" l="0" r="0" t="13737"/>
                    <a:stretch>
                      <a:fillRect/>
                    </a:stretch>
                  </pic:blipFill>
                  <pic:spPr>
                    <a:xfrm>
                      <a:off x="0" y="0"/>
                      <a:ext cx="5942965" cy="3848735"/>
                    </a:xfrm>
                    <a:prstGeom prst="rect"/>
                    <a:ln/>
                  </pic:spPr>
                </pic:pic>
              </a:graphicData>
            </a:graphic>
          </wp:anchor>
        </w:drawing>
      </w:r>
      <w:r w:rsidDel="00000000" w:rsidR="00000000" w:rsidRPr="00000000">
        <w:rPr>
          <w:b w:val="1"/>
          <w:sz w:val="18"/>
          <w:szCs w:val="18"/>
          <w:rtl w:val="0"/>
        </w:rPr>
        <w:t xml:space="preserve">Figura 2.</w:t>
      </w:r>
      <w:r w:rsidDel="00000000" w:rsidR="00000000" w:rsidRPr="00000000">
        <w:rPr>
          <w:sz w:val="18"/>
          <w:szCs w:val="18"/>
          <w:rtl w:val="0"/>
        </w:rPr>
        <w:t xml:space="preserve"> Visão geral do programa de gerenciamento de glicemia.</w:t>
      </w:r>
    </w:p>
    <w:p w:rsidR="00000000" w:rsidDel="00000000" w:rsidP="00000000" w:rsidRDefault="00000000" w:rsidRPr="00000000" w14:paraId="000001D9">
      <w:pPr>
        <w:spacing w:line="360" w:lineRule="auto"/>
        <w:ind w:firstLine="720"/>
        <w:jc w:val="both"/>
        <w:rPr>
          <w:i w:val="1"/>
        </w:rPr>
      </w:pPr>
      <w:r w:rsidDel="00000000" w:rsidR="00000000" w:rsidRPr="00000000">
        <w:rPr>
          <w:rtl w:val="0"/>
        </w:rPr>
      </w:r>
    </w:p>
    <w:p w:rsidR="00000000" w:rsidDel="00000000" w:rsidP="00000000" w:rsidRDefault="00000000" w:rsidRPr="00000000" w14:paraId="000001DA">
      <w:pPr>
        <w:spacing w:line="360" w:lineRule="auto"/>
        <w:ind w:firstLine="720"/>
        <w:jc w:val="both"/>
        <w:rPr/>
      </w:pPr>
      <w:r w:rsidDel="00000000" w:rsidR="00000000" w:rsidRPr="00000000">
        <w:rPr>
          <w:b w:val="1"/>
          <w:rtl w:val="0"/>
        </w:rPr>
        <w:t xml:space="preserve">Manejo do colesterol LDL</w:t>
      </w:r>
      <w:r w:rsidDel="00000000" w:rsidR="00000000" w:rsidRPr="00000000">
        <w:rPr>
          <w:rtl w:val="0"/>
        </w:rPr>
        <w:t xml:space="preserve">: </w:t>
      </w:r>
      <w:bookmarkStart w:colFirst="0" w:colLast="0" w:name="bookmark=id.2xcytpi" w:id="22"/>
      <w:bookmarkEnd w:id="22"/>
      <w:r w:rsidDel="00000000" w:rsidR="00000000" w:rsidRPr="00000000">
        <w:rPr>
          <w:rtl w:val="0"/>
        </w:rPr>
        <w:t xml:space="preserve">foi desenvolvido um algoritmo de tratamento do colesterol LDL, com base nas diretrizes ACC/AHA de 2013. As recomendações de tratamento incluem o uso específico e regimes de dosagem para estatinas, ezetimiba e manejo da intolerância às estatinas. Vale ressaltar que os inibidores da proproteína convertase tipo 9 de subtilisina/kexina (PCSK9) não são contemplados no protocolo, visto que necessitam de prescrição por especialistas na área.</w:t>
      </w:r>
    </w:p>
    <w:p w:rsidR="00000000" w:rsidDel="00000000" w:rsidP="00000000" w:rsidRDefault="00000000" w:rsidRPr="00000000" w14:paraId="000001DB">
      <w:pPr>
        <w:spacing w:line="360" w:lineRule="auto"/>
        <w:ind w:firstLine="720"/>
        <w:jc w:val="both"/>
        <w:rPr/>
      </w:pPr>
      <w:r w:rsidDel="00000000" w:rsidR="00000000" w:rsidRPr="00000000">
        <w:rPr>
          <w:rtl w:val="0"/>
        </w:rPr>
        <w:t xml:space="preserve">A escolha e a dosagem da medicação serão orientadas pela história do paciente, incluindo medicamentos em uso, histórico de eventos cardiovasculares, terapias anteriores para redução do colesterol e dados laboratoriais relevantes, como níveis de creatinina quinase (CK), taxa de filtração glomerular estimada (TFGe), alanina aminotransferase (ALT) e aspartato aminotransferase (AST). As características dos agentes farmacológicos, como potência, lipofilicidade e custo, foram consideradas na seleção da medicação. As recomendações de monitoramento incluem testes laboratoriais e o intervalo de tempo adequado para sua realização. Pacientes que relatem mialgias com pelo menos uma estatina serão avaliados quanto às condições reversíveis associadas à mialgia ou valores laboratoriais anormais (CK). </w:t>
      </w:r>
    </w:p>
    <w:p w:rsidR="00000000" w:rsidDel="00000000" w:rsidP="00000000" w:rsidRDefault="00000000" w:rsidRPr="00000000" w14:paraId="000001DC">
      <w:pPr>
        <w:spacing w:line="360" w:lineRule="auto"/>
        <w:ind w:firstLine="720"/>
        <w:jc w:val="both"/>
        <w:rPr/>
      </w:pPr>
      <w:r w:rsidDel="00000000" w:rsidR="00000000" w:rsidRPr="00000000">
        <w:rPr>
          <w:rtl w:val="0"/>
        </w:rPr>
        <w:t xml:space="preserve">Pacientes que relatarem intolerância prévia à estatina ou mialgias induzidas por estatina receberão apoio e treinamento específicos. Se mialgias recorrentes foram relatadas com três estatinas diferentes, um protocolo especial para mialgia será implementado, incluindo pré-tratamento opcional com coenzima Q10 antes de tentar uma nova terapia com estatinas.</w:t>
      </w:r>
    </w:p>
    <w:p w:rsidR="00000000" w:rsidDel="00000000" w:rsidP="00000000" w:rsidRDefault="00000000" w:rsidRPr="00000000" w14:paraId="000001DD">
      <w:pPr>
        <w:spacing w:line="360" w:lineRule="auto"/>
        <w:ind w:firstLine="720"/>
        <w:jc w:val="both"/>
        <w:rPr/>
      </w:pPr>
      <w:sdt>
        <w:sdtPr>
          <w:tag w:val="goog_rdk_5"/>
        </w:sdtPr>
        <w:sdtContent>
          <w:r w:rsidDel="00000000" w:rsidR="00000000" w:rsidRPr="00000000">
            <w:rPr>
              <w:rFonts w:ascii="Gungsuh" w:cs="Gungsuh" w:eastAsia="Gungsuh" w:hAnsi="Gungsuh"/>
              <w:rtl w:val="0"/>
            </w:rPr>
            <w:t xml:space="preserve">Antes de ingressar no programa de gerenciamento de colesterol LDL, será verificado quaisquer contraindicações para terapias hipolipemiantes. As contraindicações relativas incluem níveis de ALT ou AST ≥ 5vezes o limite superior do normal, CK ≥10 vezes o limite superior do normal, TFGe ≤30 mL/min/1,73m</w:t>
          </w:r>
        </w:sdtContent>
      </w:sdt>
      <w:r w:rsidDel="00000000" w:rsidR="00000000" w:rsidRPr="00000000">
        <w:rPr>
          <w:vertAlign w:val="superscript"/>
          <w:rtl w:val="0"/>
        </w:rPr>
        <w:t xml:space="preserve">2</w:t>
      </w:r>
      <w:r w:rsidDel="00000000" w:rsidR="00000000" w:rsidRPr="00000000">
        <w:rPr>
          <w:rtl w:val="0"/>
        </w:rPr>
        <w:t xml:space="preserve"> ou relatos de alergia à terapia hipolipemiante. As contraindicações absolutas incluem gravidez, planejamento pré-concepção, amamentação, hemodiálise, insuficiência cardíaca de acordo com a </w:t>
      </w:r>
      <w:r w:rsidDel="00000000" w:rsidR="00000000" w:rsidRPr="00000000">
        <w:rPr>
          <w:i w:val="1"/>
          <w:rtl w:val="0"/>
        </w:rPr>
        <w:t xml:space="preserve">New York Heart Association</w:t>
      </w:r>
      <w:r w:rsidDel="00000000" w:rsidR="00000000" w:rsidRPr="00000000">
        <w:rPr>
          <w:rtl w:val="0"/>
        </w:rPr>
        <w:t xml:space="preserve"> (NYHA) II-IV ou condições psiquiátricas graves. Todos os casos com contraindicação relativa ou absoluta à farmacoterapia serão discutidos com o farmacêutico supervisor e/ou cardiologista. </w:t>
      </w:r>
    </w:p>
    <w:p w:rsidR="00000000" w:rsidDel="00000000" w:rsidP="00000000" w:rsidRDefault="00000000" w:rsidRPr="00000000" w14:paraId="000001DE">
      <w:pPr>
        <w:jc w:val="both"/>
        <w:rPr>
          <w:b w:val="1"/>
          <w:color w:val="000000"/>
          <w:sz w:val="22"/>
          <w:szCs w:val="22"/>
        </w:rPr>
      </w:pPr>
      <w:r w:rsidDel="00000000" w:rsidR="00000000" w:rsidRPr="00000000">
        <w:rPr>
          <w:rtl w:val="0"/>
        </w:rPr>
      </w:r>
    </w:p>
    <w:p w:rsidR="00000000" w:rsidDel="00000000" w:rsidP="00000000" w:rsidRDefault="00000000" w:rsidRPr="00000000" w14:paraId="000001DF">
      <w:pPr>
        <w:jc w:val="both"/>
        <w:rPr>
          <w:color w:val="000000"/>
          <w:sz w:val="18"/>
          <w:szCs w:val="18"/>
        </w:rPr>
      </w:pPr>
      <w:r w:rsidDel="00000000" w:rsidR="00000000" w:rsidRPr="00000000">
        <w:rPr>
          <w:b w:val="1"/>
          <w:color w:val="000000"/>
          <w:sz w:val="18"/>
          <w:szCs w:val="18"/>
          <w:rtl w:val="0"/>
        </w:rPr>
        <w:t xml:space="preserve">Figura 3.</w:t>
      </w:r>
      <w:r w:rsidDel="00000000" w:rsidR="00000000" w:rsidRPr="00000000">
        <w:rPr>
          <w:color w:val="000000"/>
          <w:sz w:val="18"/>
          <w:szCs w:val="18"/>
          <w:rtl w:val="0"/>
        </w:rPr>
        <w:t xml:space="preserve"> Visão geral do programa de gerenciamento de LDL-C.</w:t>
      </w:r>
    </w:p>
    <w:p w:rsidR="00000000" w:rsidDel="00000000" w:rsidP="00000000" w:rsidRDefault="00000000" w:rsidRPr="00000000" w14:paraId="000001E0">
      <w:pPr>
        <w:jc w:val="both"/>
        <w:rPr>
          <w:color w:val="000000"/>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3340100</wp:posOffset>
            </wp:positionH>
            <wp:positionV relativeFrom="paragraph">
              <wp:posOffset>1132155</wp:posOffset>
            </wp:positionV>
            <wp:extent cx="2512060" cy="1846580"/>
            <wp:effectExtent b="0" l="0" r="0" t="0"/>
            <wp:wrapSquare wrapText="bothSides" distB="0" distT="0" distL="114300" distR="114300"/>
            <wp:docPr id="2129596944" name="image2.png"/>
            <a:graphic>
              <a:graphicData uri="http://schemas.openxmlformats.org/drawingml/2006/picture">
                <pic:pic>
                  <pic:nvPicPr>
                    <pic:cNvPr id="0" name="image2.png"/>
                    <pic:cNvPicPr preferRelativeResize="0"/>
                  </pic:nvPicPr>
                  <pic:blipFill>
                    <a:blip r:embed="rId20"/>
                    <a:srcRect b="52868" l="25885" r="36750" t="19658"/>
                    <a:stretch>
                      <a:fillRect/>
                    </a:stretch>
                  </pic:blipFill>
                  <pic:spPr>
                    <a:xfrm>
                      <a:off x="0" y="0"/>
                      <a:ext cx="2512060" cy="18465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289560</wp:posOffset>
            </wp:positionH>
            <wp:positionV relativeFrom="paragraph">
              <wp:posOffset>190500</wp:posOffset>
            </wp:positionV>
            <wp:extent cx="3006725" cy="4272915"/>
            <wp:effectExtent b="0" l="0" r="0" t="0"/>
            <wp:wrapTopAndBottom distB="0" distT="0"/>
            <wp:docPr id="2129596941" name="image4.png"/>
            <a:graphic>
              <a:graphicData uri="http://schemas.openxmlformats.org/drawingml/2006/picture">
                <pic:pic>
                  <pic:nvPicPr>
                    <pic:cNvPr id="0" name="image4.png"/>
                    <pic:cNvPicPr preferRelativeResize="0"/>
                  </pic:nvPicPr>
                  <pic:blipFill>
                    <a:blip r:embed="rId21"/>
                    <a:srcRect b="13174" l="25000" r="24998" t="15769"/>
                    <a:stretch>
                      <a:fillRect/>
                    </a:stretch>
                  </pic:blipFill>
                  <pic:spPr>
                    <a:xfrm>
                      <a:off x="0" y="0"/>
                      <a:ext cx="3006725" cy="4272915"/>
                    </a:xfrm>
                    <a:prstGeom prst="rect"/>
                    <a:ln/>
                  </pic:spPr>
                </pic:pic>
              </a:graphicData>
            </a:graphic>
          </wp:anchor>
        </w:drawing>
      </w:r>
    </w:p>
    <w:p w:rsidR="00000000" w:rsidDel="00000000" w:rsidP="00000000" w:rsidRDefault="00000000" w:rsidRPr="00000000" w14:paraId="000001E1">
      <w:pPr>
        <w:spacing w:line="360" w:lineRule="auto"/>
        <w:ind w:firstLine="720"/>
        <w:jc w:val="both"/>
        <w:rPr/>
      </w:pPr>
      <w:r w:rsidDel="00000000" w:rsidR="00000000" w:rsidRPr="00000000">
        <w:rPr>
          <w:rtl w:val="0"/>
        </w:rPr>
      </w:r>
    </w:p>
    <w:p w:rsidR="00000000" w:rsidDel="00000000" w:rsidP="00000000" w:rsidRDefault="00000000" w:rsidRPr="00000000" w14:paraId="000001E2">
      <w:pPr>
        <w:spacing w:line="360" w:lineRule="auto"/>
        <w:ind w:firstLine="720"/>
        <w:jc w:val="both"/>
        <w:rPr>
          <w:u w:val="single"/>
        </w:rPr>
      </w:pPr>
      <w:bookmarkStart w:colFirst="0" w:colLast="0" w:name="_heading=h.1ci93xb" w:id="23"/>
      <w:bookmarkEnd w:id="23"/>
      <w:r w:rsidDel="00000000" w:rsidR="00000000" w:rsidRPr="00000000">
        <w:rPr>
          <w:rtl w:val="0"/>
        </w:rPr>
        <w:t xml:space="preserve">O </w:t>
      </w:r>
      <w:r w:rsidDel="00000000" w:rsidR="00000000" w:rsidRPr="00000000">
        <w:rPr>
          <w:i w:val="1"/>
          <w:rtl w:val="0"/>
        </w:rPr>
        <w:t xml:space="preserve">software</w:t>
      </w:r>
      <w:r w:rsidDel="00000000" w:rsidR="00000000" w:rsidRPr="00000000">
        <w:rPr>
          <w:rtl w:val="0"/>
        </w:rPr>
        <w:t xml:space="preserve"> foi desenvolvido para implementar o algoritmo clínico que fornece recomendações terapêuticas personalizadas para redução de colesterol, bem como monitora o progresso do paciente. O aplicativo utiliza dados demográficos, laboratoriais, medicamentosos e históricos médicos do paciente, que são integrados a um servidor de interface de programação de aplicativos (API) para gerar recomendações iniciais e subsequentes com base em algoritmos para tratamento e testes laboratoriais. Além disso, o aplicativo oferece uma ferramenta de agendamento para acompanhamento de chamadas telefônicas, exames laboratoriais, documentação e coordenação da gestão do atendimento ao paciente, </w:t>
      </w:r>
      <w:r w:rsidDel="00000000" w:rsidR="00000000" w:rsidRPr="00000000">
        <w:rPr>
          <w:u w:val="single"/>
          <w:rtl w:val="0"/>
        </w:rPr>
        <w:t xml:space="preserve">em total conformidade com as Lei Geral de Proteção de Dados (LGPD) e a Resolução 466 do Conselho Nacional de Saúde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E3">
      <w:pPr>
        <w:spacing w:line="360" w:lineRule="auto"/>
        <w:ind w:firstLine="720"/>
        <w:jc w:val="center"/>
        <w:rPr>
          <w:b w:val="1"/>
        </w:rPr>
      </w:pPr>
      <w:r w:rsidDel="00000000" w:rsidR="00000000" w:rsidRPr="00000000">
        <w:rPr>
          <w:rtl w:val="0"/>
        </w:rPr>
      </w:r>
    </w:p>
    <w:p w:rsidR="00000000" w:rsidDel="00000000" w:rsidP="00000000" w:rsidRDefault="00000000" w:rsidRPr="00000000" w14:paraId="000001E4">
      <w:pPr>
        <w:pStyle w:val="Heading1"/>
        <w:numPr>
          <w:ilvl w:val="0"/>
          <w:numId w:val="1"/>
        </w:numPr>
        <w:spacing w:after="360" w:lineRule="auto"/>
        <w:ind w:left="720" w:hanging="360"/>
        <w:rPr>
          <w:rFonts w:ascii="Times New Roman" w:cs="Times New Roman" w:eastAsia="Times New Roman" w:hAnsi="Times New Roman"/>
          <w:sz w:val="24"/>
          <w:szCs w:val="24"/>
        </w:rPr>
      </w:pPr>
      <w:bookmarkStart w:colFirst="0" w:colLast="0" w:name="_heading=h.3whwml4" w:id="24"/>
      <w:bookmarkEnd w:id="24"/>
      <w:r w:rsidDel="00000000" w:rsidR="00000000" w:rsidRPr="00000000">
        <w:rPr>
          <w:rFonts w:ascii="Times New Roman" w:cs="Times New Roman" w:eastAsia="Times New Roman" w:hAnsi="Times New Roman"/>
          <w:sz w:val="24"/>
          <w:szCs w:val="24"/>
          <w:rtl w:val="0"/>
        </w:rPr>
        <w:t xml:space="preserve">AVALIAÇÕES DE EFICÁCIA </w:t>
      </w:r>
    </w:p>
    <w:p w:rsidR="00000000" w:rsidDel="00000000" w:rsidP="00000000" w:rsidRDefault="00000000" w:rsidRPr="00000000" w14:paraId="000001E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VARIÁVEIS E PROCEDIMENTOS</w:t>
      </w:r>
    </w:p>
    <w:p w:rsidR="00000000" w:rsidDel="00000000" w:rsidP="00000000" w:rsidRDefault="00000000" w:rsidRPr="00000000" w14:paraId="000001E6">
      <w:pPr>
        <w:spacing w:line="360" w:lineRule="auto"/>
        <w:ind w:left="360" w:firstLine="0"/>
        <w:rPr>
          <w:b w:val="1"/>
        </w:rPr>
      </w:pPr>
      <w:r w:rsidDel="00000000" w:rsidR="00000000" w:rsidRPr="00000000">
        <w:rPr>
          <w:rtl w:val="0"/>
        </w:rPr>
      </w:r>
    </w:p>
    <w:p w:rsidR="00000000" w:rsidDel="00000000" w:rsidP="00000000" w:rsidRDefault="00000000" w:rsidRPr="00000000" w14:paraId="000001E7">
      <w:pPr>
        <w:spacing w:line="360" w:lineRule="auto"/>
        <w:ind w:firstLine="720"/>
        <w:jc w:val="both"/>
        <w:rPr/>
      </w:pPr>
      <w:r w:rsidDel="00000000" w:rsidR="00000000" w:rsidRPr="00000000">
        <w:rPr>
          <w:rtl w:val="0"/>
        </w:rPr>
        <w:t xml:space="preserve">O desfecho primário foi projetado especificamente para identificar o risco de internações e morte com a intervenção remota ou tratamento usual. A maioria dos desfechos secundários considera eventos clínicos relacionados à doença cardiovascular e qualidade de vida. Todos os eventos que ocorrerem entre a randomização e a data de término do estudo (inclusive) serão registrados e somente aqueles julgados serão incluídos nas análises finais. Mais detalhes sobre a avaliação de eventos clínicos e suas definições, são apresentadas a seguir.</w:t>
      </w:r>
    </w:p>
    <w:p w:rsidR="00000000" w:rsidDel="00000000" w:rsidP="00000000" w:rsidRDefault="00000000" w:rsidRPr="00000000" w14:paraId="000001E8">
      <w:pPr>
        <w:spacing w:line="360" w:lineRule="auto"/>
        <w:ind w:firstLine="720"/>
        <w:jc w:val="both"/>
        <w:rPr/>
      </w:pP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PARÂMETROS DE AVALIAÇÃO DE EFICÁCIA</w:t>
      </w:r>
    </w:p>
    <w:p w:rsidR="00000000" w:rsidDel="00000000" w:rsidP="00000000" w:rsidRDefault="00000000" w:rsidRPr="00000000" w14:paraId="000001EA">
      <w:pPr>
        <w:spacing w:line="360" w:lineRule="auto"/>
        <w:ind w:left="360" w:firstLine="0"/>
        <w:rPr>
          <w:b w:val="1"/>
        </w:rPr>
      </w:pP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 PRIMÁRIO DE AVALIAÇÃO DE EFICÁCIA</w:t>
      </w:r>
    </w:p>
    <w:p w:rsidR="00000000" w:rsidDel="00000000" w:rsidP="00000000" w:rsidRDefault="00000000" w:rsidRPr="00000000" w14:paraId="000001EC">
      <w:pPr>
        <w:spacing w:line="360" w:lineRule="auto"/>
        <w:jc w:val="both"/>
        <w:rPr/>
      </w:pPr>
      <w:r w:rsidDel="00000000" w:rsidR="00000000" w:rsidRPr="00000000">
        <w:rPr>
          <w:rtl w:val="0"/>
        </w:rPr>
      </w:r>
    </w:p>
    <w:p w:rsidR="00000000" w:rsidDel="00000000" w:rsidP="00000000" w:rsidRDefault="00000000" w:rsidRPr="00000000" w14:paraId="000001ED">
      <w:pPr>
        <w:spacing w:line="360" w:lineRule="auto"/>
        <w:ind w:firstLine="720"/>
        <w:jc w:val="both"/>
        <w:rPr/>
      </w:pPr>
      <w:r w:rsidDel="00000000" w:rsidR="00000000" w:rsidRPr="00000000">
        <w:rPr>
          <w:rtl w:val="0"/>
        </w:rPr>
        <w:t xml:space="preserve">O desfecho primário de eficácia principal é o </w:t>
      </w:r>
      <w:r w:rsidDel="00000000" w:rsidR="00000000" w:rsidRPr="00000000">
        <w:rPr>
          <w:i w:val="1"/>
          <w:rtl w:val="0"/>
        </w:rPr>
        <w:t xml:space="preserve">win ratio</w:t>
      </w:r>
      <w:r w:rsidDel="00000000" w:rsidR="00000000" w:rsidRPr="00000000">
        <w:rPr>
          <w:rtl w:val="0"/>
        </w:rPr>
        <w:t xml:space="preserve"> padrão, composto pelo tempo até a ocorrência de morte por todas as causas e pelo número de hospitalizações cardiovasculares não fatais, desde o momento da randomização até a semana 84.</w:t>
      </w:r>
    </w:p>
    <w:p w:rsidR="00000000" w:rsidDel="00000000" w:rsidP="00000000" w:rsidRDefault="00000000" w:rsidRPr="00000000" w14:paraId="000001EE">
      <w:pPr>
        <w:spacing w:line="360" w:lineRule="auto"/>
        <w:ind w:firstLine="720"/>
        <w:jc w:val="both"/>
        <w:rPr/>
      </w:pPr>
      <w:r w:rsidDel="00000000" w:rsidR="00000000" w:rsidRPr="00000000">
        <w:rPr>
          <w:rtl w:val="0"/>
        </w:rPr>
      </w:r>
    </w:p>
    <w:p w:rsidR="00000000" w:rsidDel="00000000" w:rsidP="00000000" w:rsidRDefault="00000000" w:rsidRPr="00000000" w14:paraId="000001EF">
      <w:pPr>
        <w:spacing w:line="360" w:lineRule="auto"/>
        <w:ind w:firstLine="720"/>
        <w:jc w:val="both"/>
        <w:rPr/>
      </w:pPr>
      <w:r w:rsidDel="00000000" w:rsidR="00000000" w:rsidRPr="00000000">
        <w:rPr>
          <w:rtl w:val="0"/>
        </w:rPr>
      </w:r>
    </w:p>
    <w:p w:rsidR="00000000" w:rsidDel="00000000" w:rsidP="00000000" w:rsidRDefault="00000000" w:rsidRPr="00000000" w14:paraId="000001F0">
      <w:pPr>
        <w:spacing w:line="360" w:lineRule="auto"/>
        <w:ind w:firstLine="720"/>
        <w:jc w:val="both"/>
        <w:rPr/>
      </w:pPr>
      <w:r w:rsidDel="00000000" w:rsidR="00000000" w:rsidRPr="00000000">
        <w:rPr>
          <w:rtl w:val="0"/>
        </w:rPr>
      </w:r>
    </w:p>
    <w:p w:rsidR="00000000" w:rsidDel="00000000" w:rsidP="00000000" w:rsidRDefault="00000000" w:rsidRPr="00000000" w14:paraId="000001F1">
      <w:pPr>
        <w:spacing w:line="360" w:lineRule="auto"/>
        <w:ind w:firstLine="720"/>
        <w:jc w:val="both"/>
        <w:rPr/>
      </w:pPr>
      <w:r w:rsidDel="00000000" w:rsidR="00000000" w:rsidRPr="00000000">
        <w:rPr>
          <w:rtl w:val="0"/>
        </w:rPr>
      </w:r>
    </w:p>
    <w:p w:rsidR="00000000" w:rsidDel="00000000" w:rsidP="00000000" w:rsidRDefault="00000000" w:rsidRPr="00000000" w14:paraId="000001F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OBJETIVOS SECUNDÁRIOS DE AVALIAÇÃO DE EFICÁCIA</w:t>
      </w:r>
    </w:p>
    <w:p w:rsidR="00000000" w:rsidDel="00000000" w:rsidP="00000000" w:rsidRDefault="00000000" w:rsidRPr="00000000" w14:paraId="000001F3">
      <w:pPr>
        <w:spacing w:line="360" w:lineRule="auto"/>
        <w:ind w:firstLine="720"/>
        <w:jc w:val="both"/>
        <w:rPr/>
      </w:pPr>
      <w:r w:rsidDel="00000000" w:rsidR="00000000" w:rsidRPr="00000000">
        <w:rPr>
          <w:rtl w:val="0"/>
        </w:rPr>
      </w:r>
    </w:p>
    <w:p w:rsidR="00000000" w:rsidDel="00000000" w:rsidP="00000000" w:rsidRDefault="00000000" w:rsidRPr="00000000" w14:paraId="000001F4">
      <w:pPr>
        <w:spacing w:line="360" w:lineRule="auto"/>
        <w:ind w:firstLine="720"/>
        <w:jc w:val="both"/>
        <w:rPr/>
      </w:pPr>
      <w:r w:rsidDel="00000000" w:rsidR="00000000" w:rsidRPr="00000000">
        <w:rPr>
          <w:rtl w:val="0"/>
        </w:rPr>
        <w:t xml:space="preserve">Os principais desfechos secundários de eficácia incluem o tempo decorrido desde a randomização até a primeira ocorrência do seguinte conjunto de eventos: </w:t>
      </w:r>
    </w:p>
    <w:p w:rsidR="00000000" w:rsidDel="00000000" w:rsidP="00000000" w:rsidRDefault="00000000" w:rsidRPr="00000000" w14:paraId="000001F5">
      <w:pPr>
        <w:numPr>
          <w:ilvl w:val="0"/>
          <w:numId w:val="5"/>
        </w:numPr>
        <w:spacing w:line="360" w:lineRule="auto"/>
        <w:ind w:left="720" w:hanging="360"/>
        <w:jc w:val="both"/>
        <w:rPr/>
      </w:pPr>
      <w:r w:rsidDel="00000000" w:rsidR="00000000" w:rsidRPr="00000000">
        <w:rPr>
          <w:rtl w:val="0"/>
        </w:rPr>
        <w:t xml:space="preserve">Mudança na avaliação da qualidade de vida pelo QE-5D após 84 semanas;</w:t>
      </w:r>
    </w:p>
    <w:p w:rsidR="00000000" w:rsidDel="00000000" w:rsidP="00000000" w:rsidRDefault="00000000" w:rsidRPr="00000000" w14:paraId="000001F6">
      <w:pPr>
        <w:numPr>
          <w:ilvl w:val="0"/>
          <w:numId w:val="5"/>
        </w:numPr>
        <w:spacing w:line="360" w:lineRule="auto"/>
        <w:ind w:left="720" w:hanging="360"/>
        <w:jc w:val="both"/>
        <w:rPr/>
      </w:pPr>
      <w:r w:rsidDel="00000000" w:rsidR="00000000" w:rsidRPr="00000000">
        <w:rPr>
          <w:rtl w:val="0"/>
        </w:rPr>
        <w:t xml:space="preserve">Adesão às aferições da PA domiciliar por 12, 56 e 84 semanas;</w:t>
      </w:r>
    </w:p>
    <w:p w:rsidR="00000000" w:rsidDel="00000000" w:rsidP="00000000" w:rsidRDefault="00000000" w:rsidRPr="00000000" w14:paraId="000001F7">
      <w:pPr>
        <w:numPr>
          <w:ilvl w:val="0"/>
          <w:numId w:val="5"/>
        </w:numPr>
        <w:spacing w:line="360" w:lineRule="auto"/>
        <w:ind w:left="720" w:hanging="360"/>
        <w:jc w:val="both"/>
        <w:rPr/>
      </w:pPr>
      <w:r w:rsidDel="00000000" w:rsidR="00000000" w:rsidRPr="00000000">
        <w:rPr>
          <w:rtl w:val="0"/>
        </w:rPr>
        <w:t xml:space="preserve"> Prescrição de terapias anti-hipertensivas, hipolipemiantes e hipoglicemiantes por 12, 56 e 84 semanas, assim como a adesão à essas terapias no período.</w:t>
      </w:r>
    </w:p>
    <w:p w:rsidR="00000000" w:rsidDel="00000000" w:rsidP="00000000" w:rsidRDefault="00000000" w:rsidRPr="00000000" w14:paraId="000001F8">
      <w:pPr>
        <w:spacing w:line="360" w:lineRule="auto"/>
        <w:jc w:val="both"/>
        <w:rPr/>
      </w:pPr>
      <w:r w:rsidDel="00000000" w:rsidR="00000000" w:rsidRPr="00000000">
        <w:rPr>
          <w:rtl w:val="0"/>
        </w:rPr>
      </w:r>
    </w:p>
    <w:p w:rsidR="00000000" w:rsidDel="00000000" w:rsidP="00000000" w:rsidRDefault="00000000" w:rsidRPr="00000000" w14:paraId="000001F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OBJETIVOS TERCIÁRIOS DE AVALIAÇÃO DE EFICÁCIA</w:t>
      </w:r>
    </w:p>
    <w:p w:rsidR="00000000" w:rsidDel="00000000" w:rsidP="00000000" w:rsidRDefault="00000000" w:rsidRPr="00000000" w14:paraId="000001FA">
      <w:pPr>
        <w:spacing w:line="360" w:lineRule="auto"/>
        <w:jc w:val="both"/>
        <w:rPr/>
      </w:pPr>
      <w:r w:rsidDel="00000000" w:rsidR="00000000" w:rsidRPr="00000000">
        <w:rPr>
          <w:rtl w:val="0"/>
        </w:rPr>
      </w:r>
    </w:p>
    <w:p w:rsidR="00000000" w:rsidDel="00000000" w:rsidP="00000000" w:rsidRDefault="00000000" w:rsidRPr="00000000" w14:paraId="000001FB">
      <w:pPr>
        <w:spacing w:line="360" w:lineRule="auto"/>
        <w:ind w:firstLine="720"/>
        <w:jc w:val="both"/>
        <w:rPr/>
      </w:pPr>
      <w:r w:rsidDel="00000000" w:rsidR="00000000" w:rsidRPr="00000000">
        <w:rPr>
          <w:rtl w:val="0"/>
        </w:rPr>
        <w:t xml:space="preserve">A alteração no </w:t>
      </w:r>
      <w:r w:rsidDel="00000000" w:rsidR="00000000" w:rsidRPr="00000000">
        <w:rPr>
          <w:i w:val="1"/>
          <w:rtl w:val="0"/>
        </w:rPr>
        <w:t xml:space="preserve">escore de risco metabólico-alvo</w:t>
      </w:r>
      <w:r w:rsidDel="00000000" w:rsidR="00000000" w:rsidRPr="00000000">
        <w:rPr>
          <w:rtl w:val="0"/>
        </w:rPr>
        <w:t xml:space="preserve"> (MeTaRiSc) desde a linha de base até a semana 56 será avaliada. Cada parâmetro acima da meta terá um valor atribuído de 1 e a soma dos três parâmetros será dividida por 3 para obter a média ponderada do MeTaRiSc, que varia de 0 a 1. As comparações serão realizadas tanto para indivíduos diabéticos quanto para não diabéticos.</w:t>
      </w:r>
    </w:p>
    <w:p w:rsidR="00000000" w:rsidDel="00000000" w:rsidP="00000000" w:rsidRDefault="00000000" w:rsidRPr="00000000" w14:paraId="000001FC">
      <w:pPr>
        <w:spacing w:line="360" w:lineRule="auto"/>
        <w:jc w:val="both"/>
        <w:rPr/>
      </w:pPr>
      <w:r w:rsidDel="00000000" w:rsidR="00000000" w:rsidRPr="00000000">
        <w:rPr>
          <w:rtl w:val="0"/>
        </w:rPr>
        <w:t xml:space="preserve">Os pontos serão atribuídos segundo os seguintes critérios:</w:t>
      </w:r>
    </w:p>
    <w:p w:rsidR="00000000" w:rsidDel="00000000" w:rsidP="00000000" w:rsidRDefault="00000000" w:rsidRPr="00000000" w14:paraId="000001F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sdt>
        <w:sdtPr>
          <w:tag w:val="goog_rdk_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+1 ponto, caso mais de 10% das medições da PA sistólica domiciliar forem ≥130mmHg.</w:t>
          </w:r>
        </w:sdtContent>
      </w:sdt>
    </w:p>
    <w:p w:rsidR="00000000" w:rsidDel="00000000" w:rsidP="00000000" w:rsidRDefault="00000000" w:rsidRPr="00000000" w14:paraId="000001F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ponto, caso os níveis séricos de colesterol LDL estiverem acima dos objetivos definidos pelas diretrizes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American College of Cardiology/American Heart Association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(ACC/AHA) de 2013.</w:t>
      </w:r>
    </w:p>
    <w:p w:rsidR="00000000" w:rsidDel="00000000" w:rsidP="00000000" w:rsidRDefault="00000000" w:rsidRPr="00000000" w14:paraId="000001F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sdt>
        <w:sdtPr>
          <w:tag w:val="goog_rdk_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+1 ponto, caso a glicemia for ≥126mg/dL ou hemoglobina glicada (HbA1c) ≥6,5% em não-diabéticos, e caso os níveis séricos de HbA1c ≥7,0% em diabéticos.</w:t>
          </w:r>
        </w:sdtContent>
      </w:sdt>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OBJETIVOS PRIMÁRIOS DE AVALIAÇÃO DO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SOFTWARE</w:t>
      </w:r>
      <w:r w:rsidDel="00000000" w:rsidR="00000000" w:rsidRPr="00000000">
        <w:rPr>
          <w:rtl w:val="0"/>
        </w:rPr>
      </w:r>
    </w:p>
    <w:p w:rsidR="00000000" w:rsidDel="00000000" w:rsidP="00000000" w:rsidRDefault="00000000" w:rsidRPr="00000000" w14:paraId="00000202">
      <w:pPr>
        <w:spacing w:line="360" w:lineRule="auto"/>
        <w:jc w:val="both"/>
        <w:rPr/>
      </w:pPr>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Avaliar a eficácia do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em monitorar remotamente os níveis de LDL colesterol, glicemia e controle da hipertensão arterial sistêmica através da coleta e transmissão das informações de saúde dos participantes com precisão. </w:t>
      </w:r>
    </w:p>
    <w:p w:rsidR="00000000" w:rsidDel="00000000" w:rsidP="00000000" w:rsidRDefault="00000000" w:rsidRPr="00000000" w14:paraId="00000204">
      <w:pPr>
        <w:numPr>
          <w:ilvl w:val="0"/>
          <w:numId w:val="19"/>
        </w:numPr>
        <w:spacing w:line="360" w:lineRule="auto"/>
        <w:ind w:left="720" w:hanging="360"/>
        <w:jc w:val="both"/>
        <w:rPr>
          <w:u w:val="single"/>
        </w:rPr>
      </w:pPr>
      <w:r w:rsidDel="00000000" w:rsidR="00000000" w:rsidRPr="00000000">
        <w:rPr>
          <w:u w:val="single"/>
          <w:rtl w:val="0"/>
        </w:rPr>
        <w:t xml:space="preserve">Analisar a adesão dos participantes a farmacoterapia e à aferição regular dos parâmetros de saúde, como pressão arterial e glicemia, quando o </w:t>
      </w:r>
      <w:r w:rsidDel="00000000" w:rsidR="00000000" w:rsidRPr="00000000">
        <w:rPr>
          <w:i w:val="1"/>
          <w:u w:val="single"/>
          <w:rtl w:val="0"/>
        </w:rPr>
        <w:t xml:space="preserve">software</w:t>
      </w:r>
      <w:r w:rsidDel="00000000" w:rsidR="00000000" w:rsidRPr="00000000">
        <w:rPr>
          <w:u w:val="single"/>
          <w:rtl w:val="0"/>
        </w:rPr>
        <w:t xml:space="preserve"> é utilizado.</w:t>
      </w:r>
    </w:p>
    <w:p w:rsidR="00000000" w:rsidDel="00000000" w:rsidP="00000000" w:rsidRDefault="00000000" w:rsidRPr="00000000" w14:paraId="00000205">
      <w:pPr>
        <w:spacing w:line="360" w:lineRule="auto"/>
        <w:jc w:val="both"/>
        <w:rPr/>
      </w:pPr>
      <w:r w:rsidDel="00000000" w:rsidR="00000000" w:rsidRPr="00000000">
        <w:rPr>
          <w:rtl w:val="0"/>
        </w:rPr>
      </w:r>
    </w:p>
    <w:p w:rsidR="00000000" w:rsidDel="00000000" w:rsidP="00000000" w:rsidRDefault="00000000" w:rsidRPr="00000000" w14:paraId="00000206">
      <w:pPr>
        <w:pStyle w:val="Heading1"/>
        <w:numPr>
          <w:ilvl w:val="0"/>
          <w:numId w:val="1"/>
        </w:numPr>
        <w:ind w:left="720" w:hanging="360"/>
        <w:rPr>
          <w:rFonts w:ascii="Times New Roman" w:cs="Times New Roman" w:eastAsia="Times New Roman" w:hAnsi="Times New Roman"/>
          <w:sz w:val="24"/>
          <w:szCs w:val="24"/>
        </w:rPr>
      </w:pPr>
      <w:bookmarkStart w:colFirst="0" w:colLast="0" w:name="_heading=h.2bn6wsx" w:id="25"/>
      <w:bookmarkEnd w:id="25"/>
      <w:r w:rsidDel="00000000" w:rsidR="00000000" w:rsidRPr="00000000">
        <w:rPr>
          <w:rFonts w:ascii="Times New Roman" w:cs="Times New Roman" w:eastAsia="Times New Roman" w:hAnsi="Times New Roman"/>
          <w:sz w:val="24"/>
          <w:szCs w:val="24"/>
          <w:rtl w:val="0"/>
        </w:rPr>
        <w:t xml:space="preserve">AVALIAÇÕES DE SEGURANÇA </w:t>
      </w:r>
    </w:p>
    <w:p w:rsidR="00000000" w:rsidDel="00000000" w:rsidP="00000000" w:rsidRDefault="00000000" w:rsidRPr="00000000" w14:paraId="00000207">
      <w:pPr>
        <w:spacing w:line="360" w:lineRule="auto"/>
        <w:ind w:firstLine="720"/>
        <w:jc w:val="both"/>
        <w:rPr/>
      </w:pPr>
      <w:r w:rsidDel="00000000" w:rsidR="00000000" w:rsidRPr="00000000">
        <w:rPr>
          <w:rtl w:val="0"/>
        </w:rPr>
        <w:t xml:space="preserve">As avaliações de segurança incluirão eventos adversos, dosagens laboratoriais clínicas (bioquímica e hematologia) e sinais vitais (pressão arterial sistólica e diastólica). Na visita de randomização, será preenchida o histórico médico, cirúrgico e familiar. Todos os resultados das dosagens laboratoriais deverão ser avaliados pelo investigador quanto à sua significância clínica e quaisquer observações em exames físicos ou valores laboratoriais considerados clinicamente significativos pelo investigador devem ser considerados como eventos adversos.</w:t>
      </w:r>
    </w:p>
    <w:p w:rsidR="00000000" w:rsidDel="00000000" w:rsidP="00000000" w:rsidRDefault="00000000" w:rsidRPr="00000000" w14:paraId="00000208">
      <w:pPr>
        <w:spacing w:line="360" w:lineRule="auto"/>
        <w:ind w:firstLine="720"/>
        <w:jc w:val="both"/>
        <w:rPr/>
      </w:pPr>
      <w:r w:rsidDel="00000000" w:rsidR="00000000" w:rsidRPr="00000000">
        <w:rPr>
          <w:rtl w:val="0"/>
        </w:rPr>
      </w:r>
    </w:p>
    <w:p w:rsidR="00000000" w:rsidDel="00000000" w:rsidP="00000000" w:rsidRDefault="00000000" w:rsidRPr="00000000" w14:paraId="000002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VARIÁVEIS E PROCEDIMENTOS</w:t>
      </w:r>
    </w:p>
    <w:p w:rsidR="00000000" w:rsidDel="00000000" w:rsidP="00000000" w:rsidRDefault="00000000" w:rsidRPr="00000000" w14:paraId="0000020A">
      <w:pPr>
        <w:spacing w:line="360" w:lineRule="auto"/>
        <w:ind w:firstLine="720"/>
        <w:jc w:val="both"/>
        <w:rPr/>
      </w:pPr>
      <w:r w:rsidDel="00000000" w:rsidR="00000000" w:rsidRPr="00000000">
        <w:rPr>
          <w:rtl w:val="0"/>
        </w:rPr>
      </w:r>
    </w:p>
    <w:p w:rsidR="00000000" w:rsidDel="00000000" w:rsidP="00000000" w:rsidRDefault="00000000" w:rsidRPr="00000000" w14:paraId="0000020B">
      <w:pPr>
        <w:spacing w:line="360" w:lineRule="auto"/>
        <w:ind w:firstLine="720"/>
        <w:jc w:val="both"/>
        <w:rPr/>
      </w:pPr>
      <w:r w:rsidDel="00000000" w:rsidR="00000000" w:rsidRPr="00000000">
        <w:rPr>
          <w:rtl w:val="0"/>
        </w:rPr>
        <w:t xml:space="preserve">As avaliações de segurança incluirão eventos adversos, dosagens laboratoriais clínicas (bioquímica e hematologia) e sinais vitais (pressão arterial sistólica e diastólica). Na visita de randomização, será preenchida o histórico médico, cirúrgico e familiar. Todos os resultados das dosagens laboratoriais deverão ser avaliados pelo investigador quanto à sua significância clínica e quaisquer observações em exames físicos ou valores laboratoriais considerados clinicamente significativos pelo investigador devem ser considerados como eventos adversos.</w:t>
      </w:r>
    </w:p>
    <w:p w:rsidR="00000000" w:rsidDel="00000000" w:rsidP="00000000" w:rsidRDefault="00000000" w:rsidRPr="00000000" w14:paraId="0000020C">
      <w:pPr>
        <w:spacing w:line="360" w:lineRule="auto"/>
        <w:jc w:val="both"/>
        <w:rPr/>
      </w:pPr>
      <w:r w:rsidDel="00000000" w:rsidR="00000000" w:rsidRPr="00000000">
        <w:rPr>
          <w:rtl w:val="0"/>
        </w:rPr>
      </w:r>
    </w:p>
    <w:p w:rsidR="00000000" w:rsidDel="00000000" w:rsidP="00000000" w:rsidRDefault="00000000" w:rsidRPr="00000000" w14:paraId="0000020D">
      <w:pPr>
        <w:pStyle w:val="Heading1"/>
        <w:numPr>
          <w:ilvl w:val="1"/>
          <w:numId w:val="1"/>
        </w:numPr>
        <w:ind w:left="720" w:hanging="360"/>
        <w:rPr>
          <w:rFonts w:ascii="Times New Roman" w:cs="Times New Roman" w:eastAsia="Times New Roman" w:hAnsi="Times New Roman"/>
          <w:sz w:val="24"/>
          <w:szCs w:val="24"/>
        </w:rPr>
      </w:pPr>
      <w:bookmarkStart w:colFirst="0" w:colLast="0" w:name="_heading=h.qsh70q" w:id="26"/>
      <w:bookmarkEnd w:id="26"/>
      <w:r w:rsidDel="00000000" w:rsidR="00000000" w:rsidRPr="00000000">
        <w:rPr>
          <w:rFonts w:ascii="Times New Roman" w:cs="Times New Roman" w:eastAsia="Times New Roman" w:hAnsi="Times New Roman"/>
          <w:sz w:val="24"/>
          <w:szCs w:val="24"/>
          <w:rtl w:val="0"/>
        </w:rPr>
        <w:t xml:space="preserve">DEFINIÇÃO DE EVENTOS ADVERSOS</w:t>
      </w:r>
    </w:p>
    <w:p w:rsidR="00000000" w:rsidDel="00000000" w:rsidP="00000000" w:rsidRDefault="00000000" w:rsidRPr="00000000" w14:paraId="0000020E">
      <w:pPr>
        <w:spacing w:line="360" w:lineRule="auto"/>
        <w:ind w:firstLine="720"/>
        <w:jc w:val="both"/>
        <w:rPr/>
      </w:pPr>
      <w:r w:rsidDel="00000000" w:rsidR="00000000" w:rsidRPr="00000000">
        <w:rPr>
          <w:rtl w:val="0"/>
        </w:rPr>
        <w:t xml:space="preserve">Um evento adverso é definido como qualquer ocorrência médica desagradável caracterizada por eventos inesperados que ocorrem durante o tratamento com o medicamento em investigação, independentemente de ter uma relação causal com a droga. Pode ser qualquer sintoma não intencional e/ou desfavorável, sinal (incluindo um achado laboratorial anormal), deterioração das condições subjacentes ou doença temporariamente associada ao uso do medicamento. Durante cada visita, todos os eventos adversos serão registrados pelos investigadores no </w:t>
      </w:r>
      <w:r w:rsidDel="00000000" w:rsidR="00000000" w:rsidRPr="00000000">
        <w:rPr>
          <w:i w:val="1"/>
          <w:rtl w:val="0"/>
        </w:rPr>
        <w:t xml:space="preserve">clinical report form</w:t>
      </w:r>
      <w:r w:rsidDel="00000000" w:rsidR="00000000" w:rsidRPr="00000000">
        <w:rPr>
          <w:rtl w:val="0"/>
        </w:rPr>
        <w:t xml:space="preserve"> (CRF) apropriado. Cada evento adverso será avaliado quanto à duração, intensidade e relação causal com o medicamento em estudo ou outros fatores. Os pesquisadores não adicionarão sinais e sintomas como eventos adversos individuais separados, se puderem ser unificados sob uma única síndrome ou diagnóstico. Caso contrário, cada um será arquivado como um evento adverso separado. O investigador classificará cada evento como leve, moderado ou grave e categorizará cada evento adverso quanto à sua relação potencial com o medicamento em estudo (ou seja, sim ou não), conforme especificado na seção a seguir.</w:t>
      </w:r>
    </w:p>
    <w:p w:rsidR="00000000" w:rsidDel="00000000" w:rsidP="00000000" w:rsidRDefault="00000000" w:rsidRPr="00000000" w14:paraId="0000020F">
      <w:pPr>
        <w:spacing w:line="360" w:lineRule="auto"/>
        <w:ind w:firstLine="720"/>
        <w:jc w:val="both"/>
        <w:rPr/>
      </w:pPr>
      <w:r w:rsidDel="00000000" w:rsidR="00000000" w:rsidRPr="00000000">
        <w:rPr>
          <w:rtl w:val="0"/>
        </w:rPr>
      </w:r>
    </w:p>
    <w:p w:rsidR="00000000" w:rsidDel="00000000" w:rsidP="00000000" w:rsidRDefault="00000000" w:rsidRPr="00000000" w14:paraId="00000210">
      <w:pPr>
        <w:pStyle w:val="Heading1"/>
        <w:numPr>
          <w:ilvl w:val="1"/>
          <w:numId w:val="1"/>
        </w:numPr>
        <w:ind w:left="720" w:hanging="360"/>
        <w:rPr>
          <w:rFonts w:ascii="Times New Roman" w:cs="Times New Roman" w:eastAsia="Times New Roman" w:hAnsi="Times New Roman"/>
          <w:sz w:val="24"/>
          <w:szCs w:val="24"/>
        </w:rPr>
      </w:pPr>
      <w:bookmarkStart w:colFirst="0" w:colLast="0" w:name="_heading=h.3as4poj" w:id="27"/>
      <w:bookmarkEnd w:id="27"/>
      <w:r w:rsidDel="00000000" w:rsidR="00000000" w:rsidRPr="00000000">
        <w:rPr>
          <w:rFonts w:ascii="Times New Roman" w:cs="Times New Roman" w:eastAsia="Times New Roman" w:hAnsi="Times New Roman"/>
          <w:sz w:val="24"/>
          <w:szCs w:val="24"/>
          <w:rtl w:val="0"/>
        </w:rPr>
        <w:t xml:space="preserve">CLASSIFICAÇÃO DE EVENTO ADVERSO</w:t>
      </w:r>
    </w:p>
    <w:p w:rsidR="00000000" w:rsidDel="00000000" w:rsidP="00000000" w:rsidRDefault="00000000" w:rsidRPr="00000000" w14:paraId="00000211">
      <w:pPr>
        <w:pStyle w:val="Heading3"/>
        <w:numPr>
          <w:ilvl w:val="2"/>
          <w:numId w:val="1"/>
        </w:numPr>
        <w:ind w:left="1080" w:hanging="720"/>
        <w:rPr>
          <w:rFonts w:ascii="Times New Roman" w:cs="Times New Roman" w:eastAsia="Times New Roman" w:hAnsi="Times New Roman"/>
          <w:b w:val="1"/>
        </w:rPr>
      </w:pPr>
      <w:bookmarkStart w:colFirst="0" w:colLast="0" w:name="_heading=h.1pxezwc" w:id="28"/>
      <w:bookmarkEnd w:id="28"/>
      <w:r w:rsidDel="00000000" w:rsidR="00000000" w:rsidRPr="00000000">
        <w:rPr>
          <w:rFonts w:ascii="Times New Roman" w:cs="Times New Roman" w:eastAsia="Times New Roman" w:hAnsi="Times New Roman"/>
          <w:b w:val="1"/>
          <w:rtl w:val="0"/>
        </w:rPr>
        <w:t xml:space="preserve">GRAVIDADE DO EVENTO</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spacing w:line="360" w:lineRule="auto"/>
        <w:ind w:firstLine="720"/>
        <w:jc w:val="both"/>
        <w:rPr/>
      </w:pPr>
      <w:r w:rsidDel="00000000" w:rsidR="00000000" w:rsidRPr="00000000">
        <w:rPr>
          <w:rtl w:val="0"/>
        </w:rPr>
        <w:t xml:space="preserve">Os eventos adversos serão classificados conforme as seguintes diretrizes para descrever a gravidade: </w:t>
      </w:r>
    </w:p>
    <w:p w:rsidR="00000000" w:rsidDel="00000000" w:rsidP="00000000" w:rsidRDefault="00000000" w:rsidRPr="00000000" w14:paraId="00000214">
      <w:pPr>
        <w:numPr>
          <w:ilvl w:val="0"/>
          <w:numId w:val="10"/>
        </w:numPr>
        <w:spacing w:line="360" w:lineRule="auto"/>
        <w:ind w:left="720" w:hanging="360"/>
        <w:jc w:val="both"/>
        <w:rPr/>
      </w:pPr>
      <w:r w:rsidDel="00000000" w:rsidR="00000000" w:rsidRPr="00000000">
        <w:rPr>
          <w:b w:val="1"/>
          <w:rtl w:val="0"/>
        </w:rPr>
        <w:t xml:space="preserve">Leve:</w:t>
      </w:r>
      <w:r w:rsidDel="00000000" w:rsidR="00000000" w:rsidRPr="00000000">
        <w:rPr>
          <w:rtl w:val="0"/>
        </w:rPr>
        <w:t xml:space="preserve"> os eventos requerem tratamento mínimo ou nenhum tratamento e não interferem nas atividades diárias do participante.</w:t>
      </w:r>
    </w:p>
    <w:p w:rsidR="00000000" w:rsidDel="00000000" w:rsidP="00000000" w:rsidRDefault="00000000" w:rsidRPr="00000000" w14:paraId="00000215">
      <w:pPr>
        <w:numPr>
          <w:ilvl w:val="0"/>
          <w:numId w:val="10"/>
        </w:numPr>
        <w:spacing w:line="360" w:lineRule="auto"/>
        <w:ind w:left="720" w:hanging="360"/>
        <w:jc w:val="both"/>
        <w:rPr/>
      </w:pPr>
      <w:r w:rsidDel="00000000" w:rsidR="00000000" w:rsidRPr="00000000">
        <w:rPr>
          <w:b w:val="1"/>
          <w:rtl w:val="0"/>
        </w:rPr>
        <w:t xml:space="preserve">Moderado:</w:t>
      </w:r>
      <w:r w:rsidDel="00000000" w:rsidR="00000000" w:rsidRPr="00000000">
        <w:rPr>
          <w:rtl w:val="0"/>
        </w:rPr>
        <w:t xml:space="preserve"> os eventos resultam em um baixo nível de inconveniência ou preocupação com as medidas terapêuticas. Eventos moderados podem causar alguma interferência na atividade diária habitual do indivíduo.</w:t>
      </w:r>
    </w:p>
    <w:p w:rsidR="00000000" w:rsidDel="00000000" w:rsidP="00000000" w:rsidRDefault="00000000" w:rsidRPr="00000000" w14:paraId="00000216">
      <w:pPr>
        <w:numPr>
          <w:ilvl w:val="0"/>
          <w:numId w:val="10"/>
        </w:numPr>
        <w:spacing w:line="360" w:lineRule="auto"/>
        <w:ind w:left="720" w:hanging="360"/>
        <w:jc w:val="both"/>
        <w:rPr/>
      </w:pPr>
      <w:r w:rsidDel="00000000" w:rsidR="00000000" w:rsidRPr="00000000">
        <w:rPr>
          <w:rtl w:val="0"/>
        </w:rPr>
        <w:t xml:space="preserve"> </w:t>
      </w:r>
      <w:r w:rsidDel="00000000" w:rsidR="00000000" w:rsidRPr="00000000">
        <w:rPr>
          <w:b w:val="1"/>
          <w:rtl w:val="0"/>
        </w:rPr>
        <w:t xml:space="preserve">Grave:</w:t>
      </w:r>
      <w:r w:rsidDel="00000000" w:rsidR="00000000" w:rsidRPr="00000000">
        <w:rPr>
          <w:rtl w:val="0"/>
        </w:rPr>
        <w:t xml:space="preserve"> os eventos interrompem a atividade diária habitual do participante e podem exigir terapia medicamentosa sistêmica ou outro tratamento. Eventos graves geralmente são potencialmente fatais ou incapacitantes. É importante notar que o termo "grave" não necessariamente equivale a "fatal".</w:t>
      </w:r>
    </w:p>
    <w:p w:rsidR="00000000" w:rsidDel="00000000" w:rsidP="00000000" w:rsidRDefault="00000000" w:rsidRPr="00000000" w14:paraId="00000217">
      <w:pPr>
        <w:spacing w:line="360" w:lineRule="auto"/>
        <w:ind w:firstLine="720"/>
        <w:jc w:val="both"/>
        <w:rPr/>
      </w:pPr>
      <w:r w:rsidDel="00000000" w:rsidR="00000000" w:rsidRPr="00000000">
        <w:rPr>
          <w:rtl w:val="0"/>
        </w:rPr>
      </w:r>
    </w:p>
    <w:p w:rsidR="00000000" w:rsidDel="00000000" w:rsidP="00000000" w:rsidRDefault="00000000" w:rsidRPr="00000000" w14:paraId="00000218">
      <w:pPr>
        <w:pStyle w:val="Heading3"/>
        <w:numPr>
          <w:ilvl w:val="2"/>
          <w:numId w:val="1"/>
        </w:numPr>
        <w:ind w:left="1080" w:hanging="720"/>
        <w:rPr>
          <w:rFonts w:ascii="Times New Roman" w:cs="Times New Roman" w:eastAsia="Times New Roman" w:hAnsi="Times New Roman"/>
          <w:b w:val="1"/>
        </w:rPr>
      </w:pPr>
      <w:bookmarkStart w:colFirst="0" w:colLast="0" w:name="_heading=h.49x2ik5" w:id="29"/>
      <w:bookmarkEnd w:id="29"/>
      <w:r w:rsidDel="00000000" w:rsidR="00000000" w:rsidRPr="00000000">
        <w:rPr>
          <w:rFonts w:ascii="Times New Roman" w:cs="Times New Roman" w:eastAsia="Times New Roman" w:hAnsi="Times New Roman"/>
          <w:b w:val="1"/>
          <w:rtl w:val="0"/>
        </w:rPr>
        <w:t xml:space="preserve">AVALIAÇÃO DA CAUSALIDADE</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spacing w:line="360" w:lineRule="auto"/>
        <w:ind w:firstLine="720"/>
        <w:jc w:val="both"/>
        <w:rPr/>
      </w:pPr>
      <w:r w:rsidDel="00000000" w:rsidR="00000000" w:rsidRPr="00000000">
        <w:rPr>
          <w:rtl w:val="0"/>
        </w:rPr>
        <w:t xml:space="preserve">O médico responsável pela avaliação do participante examinará e avaliará a relação entre um evento adverso e a intervenção do estudo com base na relação temporal e em seu julgamento clínico. Essa relação deve ser classificada de acordo com as seguintes definições: </w:t>
      </w:r>
    </w:p>
    <w:p w:rsidR="00000000" w:rsidDel="00000000" w:rsidP="00000000" w:rsidRDefault="00000000" w:rsidRPr="00000000" w14:paraId="0000021B">
      <w:pPr>
        <w:numPr>
          <w:ilvl w:val="0"/>
          <w:numId w:val="11"/>
        </w:numPr>
        <w:spacing w:line="360" w:lineRule="auto"/>
        <w:ind w:left="720" w:hanging="360"/>
        <w:jc w:val="both"/>
        <w:rPr/>
      </w:pPr>
      <w:r w:rsidDel="00000000" w:rsidR="00000000" w:rsidRPr="00000000">
        <w:rPr>
          <w:b w:val="1"/>
          <w:rtl w:val="0"/>
        </w:rPr>
        <w:t xml:space="preserve">Relacionado:</w:t>
      </w:r>
      <w:r w:rsidDel="00000000" w:rsidR="00000000" w:rsidRPr="00000000">
        <w:rPr>
          <w:rtl w:val="0"/>
        </w:rPr>
        <w:t xml:space="preserve"> existe uma relação temporal entre a administração do medicamento em estudo e o evento adverso é consistente com uma relação causal, e nenhuma outra causa é identificada, como medicamentos concomitantes, terapias, complicações etc.</w:t>
      </w:r>
    </w:p>
    <w:p w:rsidR="00000000" w:rsidDel="00000000" w:rsidP="00000000" w:rsidRDefault="00000000" w:rsidRPr="00000000" w14:paraId="0000021C">
      <w:pPr>
        <w:numPr>
          <w:ilvl w:val="0"/>
          <w:numId w:val="11"/>
        </w:numPr>
        <w:spacing w:line="360" w:lineRule="auto"/>
        <w:ind w:left="720" w:hanging="360"/>
        <w:jc w:val="both"/>
        <w:rPr/>
      </w:pPr>
      <w:r w:rsidDel="00000000" w:rsidR="00000000" w:rsidRPr="00000000">
        <w:rPr>
          <w:b w:val="1"/>
          <w:rtl w:val="0"/>
        </w:rPr>
        <w:t xml:space="preserve">Não relacionado:</w:t>
      </w:r>
      <w:r w:rsidDel="00000000" w:rsidR="00000000" w:rsidRPr="00000000">
        <w:rPr>
          <w:rtl w:val="0"/>
        </w:rPr>
        <w:t xml:space="preserve"> há relação temporal entre a administração do medicamento em estudo e o evento adverso não é consistente com uma relação causal, e outra causa é suspeita, como drogas concomitantes, terapias, complicações etc.</w:t>
      </w:r>
    </w:p>
    <w:p w:rsidR="00000000" w:rsidDel="00000000" w:rsidP="00000000" w:rsidRDefault="00000000" w:rsidRPr="00000000" w14:paraId="0000021D">
      <w:pPr>
        <w:spacing w:line="360" w:lineRule="auto"/>
        <w:ind w:firstLine="720"/>
        <w:jc w:val="both"/>
        <w:rPr/>
      </w:pPr>
      <w:r w:rsidDel="00000000" w:rsidR="00000000" w:rsidRPr="00000000">
        <w:rPr>
          <w:rtl w:val="0"/>
        </w:rPr>
        <w:t xml:space="preserve">Os seguintes fatores devem ser levados em consideração para avaliar a relação entre um evento adverso e a intervenção do estudo:</w:t>
      </w:r>
    </w:p>
    <w:p w:rsidR="00000000" w:rsidDel="00000000" w:rsidP="00000000" w:rsidRDefault="00000000" w:rsidRPr="00000000" w14:paraId="0000021E">
      <w:pPr>
        <w:numPr>
          <w:ilvl w:val="0"/>
          <w:numId w:val="12"/>
        </w:numPr>
        <w:spacing w:line="360" w:lineRule="auto"/>
        <w:ind w:left="1134" w:hanging="567"/>
        <w:jc w:val="both"/>
        <w:rPr/>
      </w:pPr>
      <w:r w:rsidDel="00000000" w:rsidR="00000000" w:rsidRPr="00000000">
        <w:rPr>
          <w:rtl w:val="0"/>
        </w:rPr>
        <w:t xml:space="preserve">A sequência temporal da administração do medicamento em estudo;</w:t>
      </w:r>
    </w:p>
    <w:p w:rsidR="00000000" w:rsidDel="00000000" w:rsidP="00000000" w:rsidRDefault="00000000" w:rsidRPr="00000000" w14:paraId="0000021F">
      <w:pPr>
        <w:numPr>
          <w:ilvl w:val="0"/>
          <w:numId w:val="12"/>
        </w:numPr>
        <w:spacing w:line="360" w:lineRule="auto"/>
        <w:ind w:left="1134" w:hanging="567"/>
        <w:jc w:val="both"/>
        <w:rPr/>
      </w:pPr>
      <w:r w:rsidDel="00000000" w:rsidR="00000000" w:rsidRPr="00000000">
        <w:rPr>
          <w:rtl w:val="0"/>
        </w:rPr>
        <w:t xml:space="preserve">O evento adverso deve ocorrer após a administração do medicamento em estudo e o período entre a exposição ao medicamento do estudo e o evento deve ser avaliado no contexto clínico do evento;</w:t>
      </w:r>
    </w:p>
    <w:p w:rsidR="00000000" w:rsidDel="00000000" w:rsidP="00000000" w:rsidRDefault="00000000" w:rsidRPr="00000000" w14:paraId="00000220">
      <w:pPr>
        <w:numPr>
          <w:ilvl w:val="0"/>
          <w:numId w:val="12"/>
        </w:numPr>
        <w:spacing w:line="360" w:lineRule="auto"/>
        <w:ind w:left="1134" w:hanging="567"/>
        <w:jc w:val="both"/>
        <w:rPr/>
      </w:pPr>
      <w:r w:rsidDel="00000000" w:rsidR="00000000" w:rsidRPr="00000000">
        <w:rPr>
          <w:rtl w:val="0"/>
        </w:rPr>
        <w:t xml:space="preserve">Cada relatório deve ser avaliado no contexto da história natural da doença a ser tratada;</w:t>
      </w:r>
    </w:p>
    <w:p w:rsidR="00000000" w:rsidDel="00000000" w:rsidP="00000000" w:rsidRDefault="00000000" w:rsidRPr="00000000" w14:paraId="00000221">
      <w:pPr>
        <w:numPr>
          <w:ilvl w:val="0"/>
          <w:numId w:val="12"/>
        </w:numPr>
        <w:spacing w:line="360" w:lineRule="auto"/>
        <w:ind w:left="1134" w:hanging="567"/>
        <w:jc w:val="both"/>
        <w:rPr/>
      </w:pPr>
      <w:r w:rsidDel="00000000" w:rsidR="00000000" w:rsidRPr="00000000">
        <w:rPr>
          <w:rtl w:val="0"/>
        </w:rPr>
        <w:t xml:space="preserve">Todas as doenças subjacentes, concomitantes ou intercorrentes devem ser consideradas;</w:t>
      </w:r>
    </w:p>
    <w:p w:rsidR="00000000" w:rsidDel="00000000" w:rsidP="00000000" w:rsidRDefault="00000000" w:rsidRPr="00000000" w14:paraId="00000222">
      <w:pPr>
        <w:numPr>
          <w:ilvl w:val="0"/>
          <w:numId w:val="12"/>
        </w:numPr>
        <w:spacing w:line="360" w:lineRule="auto"/>
        <w:ind w:left="1134" w:hanging="567"/>
        <w:jc w:val="both"/>
        <w:rPr/>
      </w:pPr>
      <w:r w:rsidDel="00000000" w:rsidR="00000000" w:rsidRPr="00000000">
        <w:rPr>
          <w:rtl w:val="0"/>
        </w:rPr>
        <w:t xml:space="preserve">Todos os medicamentos concomitantes que compõem o regime terapêutico ou as doenças subjacentes do participante devem ser avaliados quanto à possibilidade de serem uma causa reconhecida do evento em questão;</w:t>
      </w:r>
    </w:p>
    <w:p w:rsidR="00000000" w:rsidDel="00000000" w:rsidP="00000000" w:rsidRDefault="00000000" w:rsidRPr="00000000" w14:paraId="00000223">
      <w:pPr>
        <w:numPr>
          <w:ilvl w:val="0"/>
          <w:numId w:val="12"/>
        </w:numPr>
        <w:spacing w:line="360" w:lineRule="auto"/>
        <w:ind w:left="1134" w:hanging="567"/>
        <w:jc w:val="both"/>
        <w:rPr/>
      </w:pPr>
      <w:r w:rsidDel="00000000" w:rsidR="00000000" w:rsidRPr="00000000">
        <w:rPr>
          <w:rtl w:val="0"/>
        </w:rPr>
        <w:t xml:space="preserve">A farmacologia e farmacocinética do medicamento em estudo devem ser consideradas;</w:t>
      </w:r>
    </w:p>
    <w:p w:rsidR="00000000" w:rsidDel="00000000" w:rsidP="00000000" w:rsidRDefault="00000000" w:rsidRPr="00000000" w14:paraId="00000224">
      <w:pPr>
        <w:numPr>
          <w:ilvl w:val="0"/>
          <w:numId w:val="12"/>
        </w:numPr>
        <w:spacing w:line="360" w:lineRule="auto"/>
        <w:ind w:left="1134" w:hanging="567"/>
        <w:jc w:val="both"/>
        <w:rPr/>
      </w:pPr>
      <w:r w:rsidDel="00000000" w:rsidR="00000000" w:rsidRPr="00000000">
        <w:rPr>
          <w:rtl w:val="0"/>
        </w:rPr>
        <w:t xml:space="preserve">A questão da limitação de recursos para o manejo terapêutico também será avaliada como possível explicação para o evento em questão. Por exemplo, pode haver momentos em que a escassez de recursos clínicos pode ser um fator determinante para eventos no contexto clínico do tratamento. </w:t>
      </w:r>
    </w:p>
    <w:p w:rsidR="00000000" w:rsidDel="00000000" w:rsidP="00000000" w:rsidRDefault="00000000" w:rsidRPr="00000000" w14:paraId="00000225">
      <w:pPr>
        <w:spacing w:line="360" w:lineRule="auto"/>
        <w:ind w:left="1134" w:firstLine="0"/>
        <w:jc w:val="both"/>
        <w:rPr/>
      </w:pPr>
      <w:r w:rsidDel="00000000" w:rsidR="00000000" w:rsidRPr="00000000">
        <w:rPr>
          <w:rtl w:val="0"/>
        </w:rPr>
      </w:r>
    </w:p>
    <w:p w:rsidR="00000000" w:rsidDel="00000000" w:rsidP="00000000" w:rsidRDefault="00000000" w:rsidRPr="00000000" w14:paraId="00000226">
      <w:pPr>
        <w:pStyle w:val="Heading3"/>
        <w:numPr>
          <w:ilvl w:val="2"/>
          <w:numId w:val="1"/>
        </w:numPr>
        <w:ind w:left="1080" w:hanging="720"/>
        <w:rPr>
          <w:rFonts w:ascii="Times New Roman" w:cs="Times New Roman" w:eastAsia="Times New Roman" w:hAnsi="Times New Roman"/>
          <w:b w:val="1"/>
        </w:rPr>
      </w:pPr>
      <w:bookmarkStart w:colFirst="0" w:colLast="0" w:name="_heading=h.2p2csry" w:id="30"/>
      <w:bookmarkEnd w:id="30"/>
      <w:r w:rsidDel="00000000" w:rsidR="00000000" w:rsidRPr="00000000">
        <w:rPr>
          <w:rFonts w:ascii="Times New Roman" w:cs="Times New Roman" w:eastAsia="Times New Roman" w:hAnsi="Times New Roman"/>
          <w:b w:val="1"/>
          <w:rtl w:val="0"/>
        </w:rPr>
        <w:t xml:space="preserve">EVENTOS ADVERSOS INESPERADOS</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spacing w:line="360" w:lineRule="auto"/>
        <w:ind w:firstLine="720"/>
        <w:jc w:val="both"/>
        <w:rPr/>
      </w:pPr>
      <w:r w:rsidDel="00000000" w:rsidR="00000000" w:rsidRPr="00000000">
        <w:rPr>
          <w:rtl w:val="0"/>
        </w:rPr>
        <w:t xml:space="preserve">Um evento adverso será classificado como inesperado caso sua natureza, gravidade ou frequência não estiverem em consonância com as informações de risco previamente descritas para a intervenção do estudo.</w:t>
      </w:r>
    </w:p>
    <w:p w:rsidR="00000000" w:rsidDel="00000000" w:rsidP="00000000" w:rsidRDefault="00000000" w:rsidRPr="00000000" w14:paraId="00000229">
      <w:pPr>
        <w:pStyle w:val="Heading3"/>
        <w:rPr/>
      </w:pPr>
      <w:r w:rsidDel="00000000" w:rsidR="00000000" w:rsidRPr="00000000">
        <w:rPr>
          <w:rtl w:val="0"/>
        </w:rPr>
      </w:r>
    </w:p>
    <w:p w:rsidR="00000000" w:rsidDel="00000000" w:rsidP="00000000" w:rsidRDefault="00000000" w:rsidRPr="00000000" w14:paraId="0000022A">
      <w:pPr>
        <w:pStyle w:val="Heading3"/>
        <w:numPr>
          <w:ilvl w:val="2"/>
          <w:numId w:val="1"/>
        </w:numPr>
        <w:ind w:left="1080" w:hanging="720"/>
        <w:rPr>
          <w:rFonts w:ascii="Times New Roman" w:cs="Times New Roman" w:eastAsia="Times New Roman" w:hAnsi="Times New Roman"/>
          <w:b w:val="1"/>
        </w:rPr>
      </w:pPr>
      <w:bookmarkStart w:colFirst="0" w:colLast="0" w:name="_heading=h.147n2zr" w:id="31"/>
      <w:bookmarkEnd w:id="31"/>
      <w:r w:rsidDel="00000000" w:rsidR="00000000" w:rsidRPr="00000000">
        <w:rPr>
          <w:rFonts w:ascii="Times New Roman" w:cs="Times New Roman" w:eastAsia="Times New Roman" w:hAnsi="Times New Roman"/>
          <w:b w:val="1"/>
          <w:rtl w:val="0"/>
        </w:rPr>
        <w:t xml:space="preserve">EVENTOS ADVERSOS GRAVES</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spacing w:line="360" w:lineRule="auto"/>
        <w:ind w:firstLine="720"/>
        <w:jc w:val="both"/>
        <w:rPr/>
      </w:pPr>
      <w:r w:rsidDel="00000000" w:rsidR="00000000" w:rsidRPr="00000000">
        <w:rPr>
          <w:rtl w:val="0"/>
        </w:rPr>
        <w:t xml:space="preserve">Um evento adverso considerado grave é aquele que, segundo o parecer do investigador, resulta em qualquer um dos desfechos seguintes: morte, evento adverso com risco de vida (ou seja, se piorasse, poderia levar à morte), re-hospitalização ou prolongamento da hospitalização atual, incapacidade persistente ou significativa ou interrupção substancial da capacidade de realizar atividades normais da vida ou uma anomalia congênita/defeito congênito. Eventos médicos relevantes que, embora não sejam letais ou levem à hospitalização, possam ser considerados graves quando, a critério médico adequado, possam comprometer o participante e exigir intervenção médica ou cirúrgica para evitar um dos resultados listados nesta definição.</w:t>
      </w:r>
    </w:p>
    <w:p w:rsidR="00000000" w:rsidDel="00000000" w:rsidP="00000000" w:rsidRDefault="00000000" w:rsidRPr="00000000" w14:paraId="0000022D">
      <w:pPr>
        <w:spacing w:line="360" w:lineRule="auto"/>
        <w:ind w:firstLine="720"/>
        <w:jc w:val="both"/>
        <w:rPr/>
      </w:pP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o7alnk" w:id="32"/>
      <w:bookmarkEnd w:id="3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PARÂMETROS DE AVALIAÇÃO DA SEGURANÇA</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numPr>
          <w:ilvl w:val="0"/>
          <w:numId w:val="13"/>
        </w:numPr>
        <w:spacing w:line="360" w:lineRule="auto"/>
        <w:ind w:left="720" w:hanging="360"/>
        <w:jc w:val="both"/>
        <w:rPr/>
      </w:pPr>
      <w:r w:rsidDel="00000000" w:rsidR="00000000" w:rsidRPr="00000000">
        <w:rPr>
          <w:rtl w:val="0"/>
        </w:rPr>
        <w:t xml:space="preserve">Incidência cumulativa de eventos adversos;</w:t>
      </w:r>
    </w:p>
    <w:p w:rsidR="00000000" w:rsidDel="00000000" w:rsidP="00000000" w:rsidRDefault="00000000" w:rsidRPr="00000000" w14:paraId="00000231">
      <w:pPr>
        <w:numPr>
          <w:ilvl w:val="0"/>
          <w:numId w:val="13"/>
        </w:numPr>
        <w:spacing w:line="360" w:lineRule="auto"/>
        <w:ind w:left="720" w:hanging="360"/>
        <w:jc w:val="both"/>
        <w:rPr/>
      </w:pPr>
      <w:r w:rsidDel="00000000" w:rsidR="00000000" w:rsidRPr="00000000">
        <w:rPr>
          <w:rtl w:val="0"/>
        </w:rPr>
        <w:t xml:space="preserve">Incidência cumulativa de eventos adversos graves.</w:t>
      </w:r>
    </w:p>
    <w:p w:rsidR="00000000" w:rsidDel="00000000" w:rsidP="00000000" w:rsidRDefault="00000000" w:rsidRPr="00000000" w14:paraId="00000232">
      <w:pPr>
        <w:spacing w:line="360" w:lineRule="auto"/>
        <w:ind w:firstLine="720"/>
        <w:jc w:val="both"/>
        <w:rPr/>
      </w:pPr>
      <w:r w:rsidDel="00000000" w:rsidR="00000000" w:rsidRPr="00000000">
        <w:rPr>
          <w:rtl w:val="0"/>
        </w:rPr>
      </w:r>
    </w:p>
    <w:p w:rsidR="00000000" w:rsidDel="00000000" w:rsidP="00000000" w:rsidRDefault="00000000" w:rsidRPr="00000000" w14:paraId="00000233">
      <w:pPr>
        <w:pStyle w:val="Heading1"/>
        <w:numPr>
          <w:ilvl w:val="1"/>
          <w:numId w:val="1"/>
        </w:numPr>
        <w:ind w:left="720" w:hanging="360"/>
        <w:rPr>
          <w:rFonts w:ascii="Times New Roman" w:cs="Times New Roman" w:eastAsia="Times New Roman" w:hAnsi="Times New Roman"/>
          <w:sz w:val="24"/>
          <w:szCs w:val="24"/>
        </w:rPr>
      </w:pPr>
      <w:bookmarkStart w:colFirst="0" w:colLast="0" w:name="_heading=h.23ckvvd" w:id="33"/>
      <w:bookmarkEnd w:id="33"/>
      <w:r w:rsidDel="00000000" w:rsidR="00000000" w:rsidRPr="00000000">
        <w:rPr>
          <w:rFonts w:ascii="Times New Roman" w:cs="Times New Roman" w:eastAsia="Times New Roman" w:hAnsi="Times New Roman"/>
          <w:sz w:val="24"/>
          <w:szCs w:val="24"/>
          <w:rtl w:val="0"/>
        </w:rPr>
        <w:t xml:space="preserve">PERÍODO E FREQUÊNCIA PARA AVALIAÇÃO E ACOMPANHAMENTO DE EVENTOS ADVERSOS</w:t>
      </w:r>
    </w:p>
    <w:p w:rsidR="00000000" w:rsidDel="00000000" w:rsidP="00000000" w:rsidRDefault="00000000" w:rsidRPr="00000000" w14:paraId="00000234">
      <w:pPr>
        <w:spacing w:line="360" w:lineRule="auto"/>
        <w:ind w:firstLine="720"/>
        <w:jc w:val="both"/>
        <w:rPr/>
      </w:pPr>
      <w:r w:rsidDel="00000000" w:rsidR="00000000" w:rsidRPr="00000000">
        <w:rPr>
          <w:rtl w:val="0"/>
        </w:rPr>
        <w:t xml:space="preserve">Durante as visitas e entrevistas com os participantes do estudo ou por meio da revisão realizada pelo monitor do estudo, pode-se tomar conhecimento de todos os eventos adversos. Eventos adversos que ocorrem desde o momento em que o consentimento informado é obtido até 7 dias após a administração das intervenções do estudo devem ser informados. Caso ocorram eventos adversos graves desde o momento do consentimento informado até 30 dias após a administração das intervenções do estudo, estes deverão ser relatados ao investigador em até 24 horas após sua constatação. </w:t>
      </w:r>
    </w:p>
    <w:p w:rsidR="00000000" w:rsidDel="00000000" w:rsidP="00000000" w:rsidRDefault="00000000" w:rsidRPr="00000000" w14:paraId="00000235">
      <w:pPr>
        <w:spacing w:line="360" w:lineRule="auto"/>
        <w:ind w:firstLine="720"/>
        <w:jc w:val="both"/>
        <w:rPr/>
      </w:pPr>
      <w:r w:rsidDel="00000000" w:rsidR="00000000" w:rsidRPr="00000000">
        <w:rPr>
          <w:rtl w:val="0"/>
        </w:rPr>
        <w:t xml:space="preserve">Os desfechos do estudo que sejam adversos graves deverão ser relatados conforme o protocolo, exceto se houver evidências de uma relação causal entre a intervenção do estudo e o evento, como no caso de morte por anafilaxia. Nesse caso, o investigador deverá informar imediatamente o evento ao investigador principal. </w:t>
      </w:r>
    </w:p>
    <w:p w:rsidR="00000000" w:rsidDel="00000000" w:rsidP="00000000" w:rsidRDefault="00000000" w:rsidRPr="00000000" w14:paraId="00000236">
      <w:pPr>
        <w:spacing w:line="360" w:lineRule="auto"/>
        <w:ind w:firstLine="720"/>
        <w:jc w:val="both"/>
        <w:rPr/>
      </w:pPr>
      <w:r w:rsidDel="00000000" w:rsidR="00000000" w:rsidRPr="00000000">
        <w:rPr>
          <w:rtl w:val="0"/>
        </w:rPr>
        <w:t xml:space="preserve">Os eventos serão acompanhados até a resolução ou estabilização e todos àqueles considerados graves serão monitorados até a resolução satisfatória, estabilização ou até que o investigador considere o evento crônico. O Centro Coordenador poderá solicitar outra documentação comprobatória do evento, a qual deverá ser fornecida o mais breve possível.</w:t>
      </w:r>
    </w:p>
    <w:p w:rsidR="00000000" w:rsidDel="00000000" w:rsidP="00000000" w:rsidRDefault="00000000" w:rsidRPr="00000000" w14:paraId="00000237">
      <w:pPr>
        <w:spacing w:line="360" w:lineRule="auto"/>
        <w:ind w:firstLine="720"/>
        <w:jc w:val="both"/>
        <w:rPr/>
      </w:pPr>
      <w:r w:rsidDel="00000000" w:rsidR="00000000" w:rsidRPr="00000000">
        <w:rPr>
          <w:rtl w:val="0"/>
        </w:rPr>
      </w:r>
    </w:p>
    <w:p w:rsidR="00000000" w:rsidDel="00000000" w:rsidP="00000000" w:rsidRDefault="00000000" w:rsidRPr="00000000" w14:paraId="00000238">
      <w:pPr>
        <w:pStyle w:val="Heading1"/>
        <w:numPr>
          <w:ilvl w:val="1"/>
          <w:numId w:val="1"/>
        </w:numPr>
        <w:ind w:left="720" w:hanging="360"/>
        <w:rPr>
          <w:rFonts w:ascii="Times New Roman" w:cs="Times New Roman" w:eastAsia="Times New Roman" w:hAnsi="Times New Roman"/>
          <w:sz w:val="24"/>
          <w:szCs w:val="24"/>
        </w:rPr>
      </w:pPr>
      <w:bookmarkStart w:colFirst="0" w:colLast="0" w:name="_heading=h.ihv636" w:id="34"/>
      <w:bookmarkEnd w:id="34"/>
      <w:r w:rsidDel="00000000" w:rsidR="00000000" w:rsidRPr="00000000">
        <w:rPr>
          <w:rFonts w:ascii="Times New Roman" w:cs="Times New Roman" w:eastAsia="Times New Roman" w:hAnsi="Times New Roman"/>
          <w:sz w:val="24"/>
          <w:szCs w:val="24"/>
          <w:rtl w:val="0"/>
        </w:rPr>
        <w:t xml:space="preserve">NOTIFICAÇÃO DE EVENTOS ADVERSOS</w:t>
      </w:r>
    </w:p>
    <w:p w:rsidR="00000000" w:rsidDel="00000000" w:rsidP="00000000" w:rsidRDefault="00000000" w:rsidRPr="00000000" w14:paraId="00000239">
      <w:pPr>
        <w:spacing w:line="360" w:lineRule="auto"/>
        <w:ind w:firstLine="720"/>
        <w:jc w:val="both"/>
        <w:rPr/>
      </w:pPr>
      <w:r w:rsidDel="00000000" w:rsidR="00000000" w:rsidRPr="00000000">
        <w:rPr>
          <w:rtl w:val="0"/>
        </w:rPr>
        <w:t xml:space="preserve">Todos os eventos adversos que não se enquadrem nos critérios para serem considerados eventos adversos graves serão registrados no formulário apropriado de relato de caso (CRF) pelo investigador. Esse relatório conterá a descrição do evento, o momento de seu início, a avaliação de sua gravidade pelo clínico, a relação com o objeto do estudo e o tempo necessário para sua resolução. Todos os eventos adversos serão documentados durante o estudo, independentemente da causalidade.</w:t>
      </w:r>
    </w:p>
    <w:p w:rsidR="00000000" w:rsidDel="00000000" w:rsidP="00000000" w:rsidRDefault="00000000" w:rsidRPr="00000000" w14:paraId="0000023A">
      <w:pPr>
        <w:spacing w:line="360" w:lineRule="auto"/>
        <w:ind w:firstLine="720"/>
        <w:jc w:val="both"/>
        <w:rPr/>
      </w:pPr>
      <w:r w:rsidDel="00000000" w:rsidR="00000000" w:rsidRPr="00000000">
        <w:rPr>
          <w:rtl w:val="0"/>
        </w:rPr>
      </w:r>
    </w:p>
    <w:p w:rsidR="00000000" w:rsidDel="00000000" w:rsidP="00000000" w:rsidRDefault="00000000" w:rsidRPr="00000000" w14:paraId="0000023B">
      <w:pPr>
        <w:pStyle w:val="Heading1"/>
        <w:numPr>
          <w:ilvl w:val="1"/>
          <w:numId w:val="1"/>
        </w:numPr>
        <w:spacing w:after="360" w:lineRule="auto"/>
        <w:ind w:left="720" w:hanging="360"/>
        <w:rPr>
          <w:rFonts w:ascii="Times New Roman" w:cs="Times New Roman" w:eastAsia="Times New Roman" w:hAnsi="Times New Roman"/>
          <w:sz w:val="24"/>
          <w:szCs w:val="24"/>
        </w:rPr>
      </w:pPr>
      <w:bookmarkStart w:colFirst="0" w:colLast="0" w:name="_heading=h.32hioqz" w:id="35"/>
      <w:bookmarkEnd w:id="35"/>
      <w:r w:rsidDel="00000000" w:rsidR="00000000" w:rsidRPr="00000000">
        <w:rPr>
          <w:rFonts w:ascii="Times New Roman" w:cs="Times New Roman" w:eastAsia="Times New Roman" w:hAnsi="Times New Roman"/>
          <w:sz w:val="24"/>
          <w:szCs w:val="24"/>
          <w:rtl w:val="0"/>
        </w:rPr>
        <w:t xml:space="preserve">NOTIFICAÇÃO DE EVENTOS ADVERSOS GRAVES</w:t>
      </w:r>
    </w:p>
    <w:p w:rsidR="00000000" w:rsidDel="00000000" w:rsidP="00000000" w:rsidRDefault="00000000" w:rsidRPr="00000000" w14:paraId="0000023C">
      <w:pPr>
        <w:spacing w:line="360" w:lineRule="auto"/>
        <w:ind w:firstLine="720"/>
        <w:jc w:val="both"/>
        <w:rPr>
          <w:u w:val="single"/>
        </w:rPr>
      </w:pPr>
      <w:r w:rsidDel="00000000" w:rsidR="00000000" w:rsidRPr="00000000">
        <w:rPr>
          <w:u w:val="single"/>
          <w:rtl w:val="0"/>
        </w:rPr>
        <w:t xml:space="preserve">Os monitores de pesquisa deverão registrar imediatamente qualquer evento adverso identificado no sistema de monitoramento do estudo. Os eventos adversos devem ser documentados de forma detalhada, incluindo as seguintes informações:</w:t>
      </w:r>
    </w:p>
    <w:p w:rsidR="00000000" w:rsidDel="00000000" w:rsidP="00000000" w:rsidRDefault="00000000" w:rsidRPr="00000000" w14:paraId="0000023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Descrição detalhada do evento adverso.</w:t>
      </w:r>
    </w:p>
    <w:p w:rsidR="00000000" w:rsidDel="00000000" w:rsidP="00000000" w:rsidRDefault="00000000" w:rsidRPr="00000000" w14:paraId="0000023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Data e hora da ocorrência.</w:t>
      </w:r>
    </w:p>
    <w:p w:rsidR="00000000" w:rsidDel="00000000" w:rsidP="00000000" w:rsidRDefault="00000000" w:rsidRPr="00000000" w14:paraId="0000023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Gravidade do evento adverso.</w:t>
      </w:r>
    </w:p>
    <w:p w:rsidR="00000000" w:rsidDel="00000000" w:rsidP="00000000" w:rsidRDefault="00000000" w:rsidRPr="00000000" w14:paraId="0000024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Ação tomada para tratar ou mitigar o evento adverso.</w:t>
      </w:r>
    </w:p>
    <w:p w:rsidR="00000000" w:rsidDel="00000000" w:rsidP="00000000" w:rsidRDefault="00000000" w:rsidRPr="00000000" w14:paraId="0000024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Avaliação de causalidade, quando possível.</w:t>
      </w:r>
    </w:p>
    <w:p w:rsidR="00000000" w:rsidDel="00000000" w:rsidP="00000000" w:rsidRDefault="00000000" w:rsidRPr="00000000" w14:paraId="0000024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Potencial impacto no participante da pesquisa.</w:t>
      </w:r>
    </w:p>
    <w:p w:rsidR="00000000" w:rsidDel="00000000" w:rsidP="00000000" w:rsidRDefault="00000000" w:rsidRPr="00000000" w14:paraId="0000024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Medidas preventivas para evitar recorrência.</w:t>
      </w:r>
    </w:p>
    <w:p w:rsidR="00000000" w:rsidDel="00000000" w:rsidP="00000000" w:rsidRDefault="00000000" w:rsidRPr="00000000" w14:paraId="00000244">
      <w:pPr>
        <w:spacing w:line="360" w:lineRule="auto"/>
        <w:ind w:firstLine="720"/>
        <w:jc w:val="both"/>
        <w:rPr>
          <w:u w:val="single"/>
        </w:rPr>
      </w:pPr>
      <w:r w:rsidDel="00000000" w:rsidR="00000000" w:rsidRPr="00000000">
        <w:rPr>
          <w:u w:val="single"/>
          <w:rtl w:val="0"/>
        </w:rPr>
        <w:t xml:space="preserve">O investigador responsável pelo estudo é encarregado de preencher o formulário de "Efeito Adverso Imprevisto do Dispositivo" e enviá-lo ao patrocinador do estudo. Além disso, deve relatar eventos adversos graves ao Conselho de Revisão Institucional (CRI) ou ao Comitê de Ética em Pesquisa (CEP), conforme exigido pelas normas locais. Se necessário, os casos serão divulgados para fins de denúncia.</w:t>
      </w:r>
    </w:p>
    <w:p w:rsidR="00000000" w:rsidDel="00000000" w:rsidP="00000000" w:rsidRDefault="00000000" w:rsidRPr="00000000" w14:paraId="00000245">
      <w:pPr>
        <w:spacing w:line="360" w:lineRule="auto"/>
        <w:ind w:firstLine="720"/>
        <w:jc w:val="both"/>
        <w:rPr>
          <w:u w:val="single"/>
        </w:rPr>
      </w:pPr>
      <w:r w:rsidDel="00000000" w:rsidR="00000000" w:rsidRPr="00000000">
        <w:rPr>
          <w:u w:val="single"/>
          <w:rtl w:val="0"/>
        </w:rPr>
        <w:t xml:space="preserve">É responsabilidade do patrocinador do estudo notificar a Agência Nacional de Vigilância Sanitária (ANVISA) sobre qualquer reação adversa inesperada fatal ou com risco de vida o mais rápido possível, no prazo máximo de 7 dias corridos após o recebimento inicial da informação pelo patrocinador.</w:t>
      </w:r>
    </w:p>
    <w:p w:rsidR="00000000" w:rsidDel="00000000" w:rsidP="00000000" w:rsidRDefault="00000000" w:rsidRPr="00000000" w14:paraId="00000246">
      <w:pPr>
        <w:spacing w:line="360" w:lineRule="auto"/>
        <w:ind w:firstLine="720"/>
        <w:jc w:val="both"/>
        <w:rPr>
          <w:u w:val="single"/>
        </w:rPr>
      </w:pPr>
      <w:r w:rsidDel="00000000" w:rsidR="00000000" w:rsidRPr="00000000">
        <w:rPr>
          <w:u w:val="single"/>
          <w:rtl w:val="0"/>
        </w:rPr>
        <w:t xml:space="preserve">Além das comunicações imediatas, a equipe de pesquisa fornecerá relatórios periódicos ao CEP, que incluirão todos os eventos adversos ocorridos durante o período de avaliação. Todos os relatórios de eventos adversos, comunicações e ações corretivas serão registrados e documentados de forma apropriada. A equipe de pesquisa será devidamente treinada nos procedimentos de identificação, registro e comunicação de eventos adversos, garantindo que todos os membros estejam cientes de suas responsabilidades.</w:t>
      </w:r>
    </w:p>
    <w:p w:rsidR="00000000" w:rsidDel="00000000" w:rsidP="00000000" w:rsidRDefault="00000000" w:rsidRPr="00000000" w14:paraId="00000247">
      <w:pPr>
        <w:spacing w:line="360" w:lineRule="auto"/>
        <w:ind w:firstLine="720"/>
        <w:jc w:val="both"/>
        <w:rPr/>
      </w:pPr>
      <w:r w:rsidDel="00000000" w:rsidR="00000000" w:rsidRPr="00000000">
        <w:rPr>
          <w:rtl w:val="0"/>
        </w:rPr>
      </w:r>
    </w:p>
    <w:p w:rsidR="00000000" w:rsidDel="00000000" w:rsidP="00000000" w:rsidRDefault="00000000" w:rsidRPr="00000000" w14:paraId="00000248">
      <w:pPr>
        <w:pStyle w:val="Title"/>
        <w:numPr>
          <w:ilvl w:val="0"/>
          <w:numId w:val="1"/>
        </w:numPr>
        <w:ind w:left="720" w:hanging="360"/>
        <w:rPr>
          <w:rFonts w:ascii="Times New Roman" w:cs="Times New Roman" w:eastAsia="Times New Roman" w:hAnsi="Times New Roman"/>
          <w:b w:val="1"/>
          <w:sz w:val="24"/>
          <w:szCs w:val="24"/>
        </w:rPr>
      </w:pPr>
      <w:bookmarkStart w:colFirst="0" w:colLast="0" w:name="_heading=h.1hmsyys" w:id="36"/>
      <w:bookmarkEnd w:id="36"/>
      <w:r w:rsidDel="00000000" w:rsidR="00000000" w:rsidRPr="00000000">
        <w:rPr>
          <w:rFonts w:ascii="Times New Roman" w:cs="Times New Roman" w:eastAsia="Times New Roman" w:hAnsi="Times New Roman"/>
          <w:b w:val="1"/>
          <w:sz w:val="24"/>
          <w:szCs w:val="24"/>
          <w:rtl w:val="0"/>
        </w:rPr>
        <w:t xml:space="preserve">TEMPO DE SEGUIMENTO</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spacing w:line="360" w:lineRule="auto"/>
        <w:ind w:firstLine="720"/>
        <w:jc w:val="both"/>
        <w:rPr/>
      </w:pPr>
      <w:r w:rsidDel="00000000" w:rsidR="00000000" w:rsidRPr="00000000">
        <w:rPr>
          <w:rtl w:val="0"/>
        </w:rPr>
        <w:t xml:space="preserve">Os participantes serão contatados por telefone a cada seis semanas para avaliação do estado vital e verificação da PA domiciliar, realização de exames laboratoriais e medições de glicemia capilar. O acompanhamento não afetará seus cuidados hospitalares ou ambulatoriais regulares. Um participante será considerado tendo completado o estudo se tiver concluído todas as fases, incluindo a última visita, na semana 84. Informações sobre o acompanhamento e os dados que serão coletados podem ser encontrados no Cronograma de Atividades, conforme descrito na Tabela 2.</w:t>
      </w:r>
    </w:p>
    <w:p w:rsidR="00000000" w:rsidDel="00000000" w:rsidP="00000000" w:rsidRDefault="00000000" w:rsidRPr="00000000" w14:paraId="0000024B">
      <w:pPr>
        <w:spacing w:line="360" w:lineRule="auto"/>
        <w:ind w:firstLine="720"/>
        <w:jc w:val="both"/>
        <w:rPr/>
      </w:pPr>
      <w:r w:rsidDel="00000000" w:rsidR="00000000" w:rsidRPr="00000000">
        <w:rPr>
          <w:rtl w:val="0"/>
        </w:rPr>
      </w:r>
    </w:p>
    <w:p w:rsidR="00000000" w:rsidDel="00000000" w:rsidP="00000000" w:rsidRDefault="00000000" w:rsidRPr="00000000" w14:paraId="0000024C">
      <w:pPr>
        <w:pStyle w:val="Title"/>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ANÁLISES ESTATÍSTICAS</w:t>
      </w:r>
    </w:p>
    <w:p w:rsidR="00000000" w:rsidDel="00000000" w:rsidP="00000000" w:rsidRDefault="00000000" w:rsidRPr="00000000" w14:paraId="0000024D">
      <w:pPr>
        <w:spacing w:line="360" w:lineRule="auto"/>
        <w:jc w:val="both"/>
        <w:rPr>
          <w:b w:val="1"/>
          <w:i w:val="1"/>
        </w:rPr>
      </w:pPr>
      <w:r w:rsidDel="00000000" w:rsidR="00000000" w:rsidRPr="00000000">
        <w:rPr>
          <w:rtl w:val="0"/>
        </w:rPr>
      </w:r>
    </w:p>
    <w:p w:rsidR="00000000" w:rsidDel="00000000" w:rsidP="00000000" w:rsidRDefault="00000000" w:rsidRPr="00000000" w14:paraId="0000024E">
      <w:pPr>
        <w:pStyle w:val="Heading1"/>
        <w:numPr>
          <w:ilvl w:val="1"/>
          <w:numId w:val="1"/>
        </w:numPr>
        <w:spacing w:after="360" w:lineRule="auto"/>
        <w:ind w:left="720" w:hanging="360"/>
        <w:rPr>
          <w:rFonts w:ascii="Times New Roman" w:cs="Times New Roman" w:eastAsia="Times New Roman" w:hAnsi="Times New Roman"/>
          <w:sz w:val="24"/>
          <w:szCs w:val="24"/>
        </w:rPr>
      </w:pPr>
      <w:bookmarkStart w:colFirst="0" w:colLast="0" w:name="_heading=h.41mghml" w:id="37"/>
      <w:bookmarkEnd w:id="37"/>
      <w:r w:rsidDel="00000000" w:rsidR="00000000" w:rsidRPr="00000000">
        <w:rPr>
          <w:rFonts w:ascii="Times New Roman" w:cs="Times New Roman" w:eastAsia="Times New Roman" w:hAnsi="Times New Roman"/>
          <w:sz w:val="24"/>
          <w:szCs w:val="24"/>
          <w:rtl w:val="0"/>
        </w:rPr>
        <w:t xml:space="preserve">POPULAÇÕES DE ANÁLISE</w:t>
      </w:r>
    </w:p>
    <w:p w:rsidR="00000000" w:rsidDel="00000000" w:rsidP="00000000" w:rsidRDefault="00000000" w:rsidRPr="00000000" w14:paraId="0000024F">
      <w:pPr>
        <w:spacing w:line="360" w:lineRule="auto"/>
        <w:ind w:firstLine="720"/>
        <w:jc w:val="both"/>
        <w:rPr/>
      </w:pPr>
      <w:r w:rsidDel="00000000" w:rsidR="00000000" w:rsidRPr="00000000">
        <w:rPr>
          <w:rtl w:val="0"/>
        </w:rPr>
        <w:t xml:space="preserve">A população randomizada será composta por todos os participantes que assinaram o TCLE e receberem um número de randomização na Visita de Randomização (VD). O conjunto de dados da análise de Intenção de Tratamento (ITT) incluirá todos os participantes do estudo randomizado, independentemente de terem ou não participado das intervenções do estudo. A população ITT será a população de análise primária, na qual todas as análises de eficácia serão realizadas. O Conjunto de Dados de Análise de Segurança será composto por participantes randomizados pelo grupo de intervenção do estudo e para os quais as análises de segurança serão realizadas.</w:t>
      </w:r>
    </w:p>
    <w:p w:rsidR="00000000" w:rsidDel="00000000" w:rsidP="00000000" w:rsidRDefault="00000000" w:rsidRPr="00000000" w14:paraId="00000250">
      <w:pPr>
        <w:spacing w:line="360" w:lineRule="auto"/>
        <w:ind w:firstLine="720"/>
        <w:jc w:val="both"/>
        <w:rPr>
          <w:i w:val="1"/>
        </w:rPr>
      </w:pPr>
      <w:r w:rsidDel="00000000" w:rsidR="00000000" w:rsidRPr="00000000">
        <w:rPr>
          <w:rtl w:val="0"/>
        </w:rPr>
      </w:r>
    </w:p>
    <w:p w:rsidR="00000000" w:rsidDel="00000000" w:rsidP="00000000" w:rsidRDefault="00000000" w:rsidRPr="00000000" w14:paraId="00000251">
      <w:pPr>
        <w:pStyle w:val="Heading1"/>
        <w:numPr>
          <w:ilvl w:val="1"/>
          <w:numId w:val="1"/>
        </w:numPr>
        <w:spacing w:after="360" w:lineRule="auto"/>
        <w:ind w:left="720" w:hanging="360"/>
        <w:rPr>
          <w:rFonts w:ascii="Times New Roman" w:cs="Times New Roman" w:eastAsia="Times New Roman" w:hAnsi="Times New Roman"/>
          <w:sz w:val="24"/>
          <w:szCs w:val="24"/>
        </w:rPr>
      </w:pPr>
      <w:bookmarkStart w:colFirst="0" w:colLast="0" w:name="_heading=h.2grqrue" w:id="38"/>
      <w:bookmarkEnd w:id="38"/>
      <w:r w:rsidDel="00000000" w:rsidR="00000000" w:rsidRPr="00000000">
        <w:rPr>
          <w:rFonts w:ascii="Times New Roman" w:cs="Times New Roman" w:eastAsia="Times New Roman" w:hAnsi="Times New Roman"/>
          <w:sz w:val="24"/>
          <w:szCs w:val="24"/>
          <w:rtl w:val="0"/>
        </w:rPr>
        <w:t xml:space="preserve">CÁLCULO DO TAMANHO AMOSTRAL</w:t>
      </w:r>
    </w:p>
    <w:p w:rsidR="00000000" w:rsidDel="00000000" w:rsidP="00000000" w:rsidRDefault="00000000" w:rsidRPr="00000000" w14:paraId="00000252">
      <w:pPr>
        <w:spacing w:line="360" w:lineRule="auto"/>
        <w:ind w:firstLine="720"/>
        <w:jc w:val="both"/>
        <w:rPr/>
      </w:pPr>
      <w:r w:rsidDel="00000000" w:rsidR="00000000" w:rsidRPr="00000000">
        <w:rPr>
          <w:rtl w:val="0"/>
        </w:rPr>
        <w:t xml:space="preserve">Considerando a magnitude do efeito observado em uma intervenção multifatorial abrangente, na qual o controle intensivo dos fatores de risco cardiovascular reduziu as mortes por causas cardiovasculares (-57%), eventos cardiovasculares (-59%) e a hospitalização por IC entre indivíduos diabéticos</w:t>
      </w:r>
      <w:r w:rsidDel="00000000" w:rsidR="00000000" w:rsidRPr="00000000">
        <w:rPr>
          <w:vertAlign w:val="superscript"/>
          <w:rtl w:val="0"/>
        </w:rPr>
        <w:t xml:space="preserve">1</w:t>
      </w:r>
      <w:r w:rsidDel="00000000" w:rsidR="00000000" w:rsidRPr="00000000">
        <w:rPr>
          <w:rtl w:val="0"/>
        </w:rPr>
        <w:t xml:space="preserve">, projetamos um </w:t>
      </w:r>
      <w:r w:rsidDel="00000000" w:rsidR="00000000" w:rsidRPr="00000000">
        <w:rPr>
          <w:i w:val="1"/>
          <w:rtl w:val="0"/>
        </w:rPr>
        <w:t xml:space="preserve">win ratio</w:t>
      </w:r>
      <w:r w:rsidDel="00000000" w:rsidR="00000000" w:rsidRPr="00000000">
        <w:rPr>
          <w:rtl w:val="0"/>
        </w:rPr>
        <w:t xml:space="preserve"> padrão composto por morte por todas as causas e hospitalizações por todas as causas, usando as razões de risco como medidas do efeito. </w:t>
      </w:r>
    </w:p>
    <w:p w:rsidR="00000000" w:rsidDel="00000000" w:rsidP="00000000" w:rsidRDefault="00000000" w:rsidRPr="00000000" w14:paraId="00000253">
      <w:pPr>
        <w:spacing w:line="360" w:lineRule="auto"/>
        <w:ind w:firstLine="720"/>
        <w:jc w:val="both"/>
        <w:rPr/>
      </w:pPr>
      <w:r w:rsidDel="00000000" w:rsidR="00000000" w:rsidRPr="00000000">
        <w:rPr>
          <w:rtl w:val="0"/>
        </w:rPr>
        <w:t xml:space="preserve">Neste estudo, com base nos dados do grupo controle, adotamos uma razão de risco conservadora de 0,9 para morte por todas as causas e 0,7 para hospitalização por qualquer causa, com poder estatístico de 90%, nível de significância de 0,05, tempo de seguimento de 2 anos e 1,5 ano de acumulação inicial, considerando perdas de seguimento de 5%. Assim, serão necessários um total de 838 pacientes, sendo 419 em cada braço de tratamento. </w:t>
      </w:r>
    </w:p>
    <w:p w:rsidR="00000000" w:rsidDel="00000000" w:rsidP="00000000" w:rsidRDefault="00000000" w:rsidRPr="00000000" w14:paraId="00000254">
      <w:pPr>
        <w:spacing w:line="360" w:lineRule="auto"/>
        <w:ind w:firstLine="720"/>
        <w:jc w:val="both"/>
        <w:rPr/>
      </w:pPr>
      <w:r w:rsidDel="00000000" w:rsidR="00000000" w:rsidRPr="00000000">
        <w:rPr>
          <w:rtl w:val="0"/>
        </w:rPr>
        <w:t xml:space="preserve">Com base nessas premissas, a Figura 4 ilustra o tamanho amostral necessário variando a razão de risco para mortes por todas as causas e para hospitalizações não fatais. A estimativa da amostra foi realizada com o RStudio (R v.1.4.2) e o pacote WR, utilizando procedimentos descritos por Mao et al</w:t>
      </w:r>
      <w:r w:rsidDel="00000000" w:rsidR="00000000" w:rsidRPr="00000000">
        <w:rPr>
          <w:vertAlign w:val="superscript"/>
          <w:rtl w:val="0"/>
        </w:rPr>
        <w:t xml:space="preserve">29,30</w:t>
      </w:r>
      <w:r w:rsidDel="00000000" w:rsidR="00000000" w:rsidRPr="00000000">
        <w:rPr>
          <w:rtl w:val="0"/>
        </w:rPr>
        <w:t xml:space="preserve">. </w:t>
      </w:r>
    </w:p>
    <w:p w:rsidR="00000000" w:rsidDel="00000000" w:rsidP="00000000" w:rsidRDefault="00000000" w:rsidRPr="00000000" w14:paraId="00000255">
      <w:pPr>
        <w:spacing w:line="360" w:lineRule="auto"/>
        <w:jc w:val="both"/>
        <w:rPr/>
      </w:pPr>
      <w:r w:rsidDel="00000000" w:rsidR="00000000" w:rsidRPr="00000000">
        <w:rPr>
          <w:rtl w:val="0"/>
        </w:rPr>
      </w:r>
    </w:p>
    <w:p w:rsidR="00000000" w:rsidDel="00000000" w:rsidP="00000000" w:rsidRDefault="00000000" w:rsidRPr="00000000" w14:paraId="00000256">
      <w:pPr>
        <w:pStyle w:val="Heading1"/>
        <w:numPr>
          <w:ilvl w:val="1"/>
          <w:numId w:val="1"/>
        </w:numPr>
        <w:ind w:left="720" w:hanging="360"/>
        <w:rPr>
          <w:rFonts w:ascii="Times New Roman" w:cs="Times New Roman" w:eastAsia="Times New Roman" w:hAnsi="Times New Roman"/>
          <w:sz w:val="24"/>
          <w:szCs w:val="24"/>
        </w:rPr>
      </w:pPr>
      <w:bookmarkStart w:colFirst="0" w:colLast="0" w:name="_heading=h.vx1227" w:id="39"/>
      <w:bookmarkEnd w:id="39"/>
      <w:r w:rsidDel="00000000" w:rsidR="00000000" w:rsidRPr="00000000">
        <w:rPr>
          <w:rFonts w:ascii="Times New Roman" w:cs="Times New Roman" w:eastAsia="Times New Roman" w:hAnsi="Times New Roman"/>
          <w:sz w:val="24"/>
          <w:szCs w:val="24"/>
          <w:rtl w:val="0"/>
        </w:rPr>
        <w:t xml:space="preserve">MÉTODOS ESTATÍSTICOS</w:t>
      </w:r>
    </w:p>
    <w:p w:rsidR="00000000" w:rsidDel="00000000" w:rsidP="00000000" w:rsidRDefault="00000000" w:rsidRPr="00000000" w14:paraId="00000257">
      <w:pPr>
        <w:pStyle w:val="Heading3"/>
        <w:numPr>
          <w:ilvl w:val="2"/>
          <w:numId w:val="1"/>
        </w:numPr>
        <w:ind w:left="1080" w:hanging="720"/>
        <w:rPr>
          <w:rFonts w:ascii="Times New Roman" w:cs="Times New Roman" w:eastAsia="Times New Roman" w:hAnsi="Times New Roman"/>
          <w:b w:val="1"/>
        </w:rPr>
      </w:pPr>
      <w:bookmarkStart w:colFirst="0" w:colLast="0" w:name="_heading=h.3fwokq0" w:id="40"/>
      <w:bookmarkEnd w:id="40"/>
      <w:r w:rsidDel="00000000" w:rsidR="00000000" w:rsidRPr="00000000">
        <w:rPr>
          <w:rFonts w:ascii="Times New Roman" w:cs="Times New Roman" w:eastAsia="Times New Roman" w:hAnsi="Times New Roman"/>
          <w:b w:val="1"/>
          <w:rtl w:val="0"/>
        </w:rPr>
        <w:t xml:space="preserve">ABORDAGEM GERAL</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spacing w:line="360" w:lineRule="auto"/>
        <w:ind w:firstLine="720"/>
        <w:jc w:val="both"/>
        <w:rPr/>
      </w:pPr>
      <w:r w:rsidDel="00000000" w:rsidR="00000000" w:rsidRPr="00000000">
        <w:rPr>
          <w:rtl w:val="0"/>
        </w:rPr>
        <w:t xml:space="preserve">As variáveis de segurança e eficácia serão analisadas por meio de métodos estatísticos adequados, os quais serão detalhadamente descritos em um Plano de Análise Estatística separado. Todas as variáveis contínuas serão apresentadas como mediana e intervalo interquartil (IQR). As variáveis categóricas serão apresentadas como frequência absoluta (n) e frequência relativa (%).</w:t>
      </w:r>
    </w:p>
    <w:p w:rsidR="00000000" w:rsidDel="00000000" w:rsidP="00000000" w:rsidRDefault="00000000" w:rsidRPr="00000000" w14:paraId="0000025A">
      <w:pPr>
        <w:spacing w:line="360" w:lineRule="auto"/>
        <w:ind w:firstLine="720"/>
        <w:jc w:val="both"/>
        <w:rPr>
          <w:b w:val="1"/>
          <w:sz w:val="18"/>
          <w:szCs w:val="18"/>
        </w:rPr>
      </w:pPr>
      <w:r w:rsidDel="00000000" w:rsidR="00000000" w:rsidRPr="00000000">
        <w:rPr>
          <w:rtl w:val="0"/>
        </w:rPr>
      </w:r>
    </w:p>
    <w:p w:rsidR="00000000" w:rsidDel="00000000" w:rsidP="00000000" w:rsidRDefault="00000000" w:rsidRPr="00000000" w14:paraId="0000025B">
      <w:pPr>
        <w:spacing w:line="360" w:lineRule="auto"/>
        <w:ind w:firstLine="720"/>
        <w:jc w:val="both"/>
        <w:rPr>
          <w:sz w:val="18"/>
          <w:szCs w:val="18"/>
        </w:rPr>
      </w:pPr>
      <w:r w:rsidDel="00000000" w:rsidR="00000000" w:rsidRPr="00000000">
        <w:rPr>
          <w:b w:val="1"/>
          <w:sz w:val="18"/>
          <w:szCs w:val="18"/>
          <w:rtl w:val="0"/>
        </w:rPr>
        <w:t xml:space="preserve">Figura 4.</w:t>
      </w:r>
      <w:r w:rsidDel="00000000" w:rsidR="00000000" w:rsidRPr="00000000">
        <w:rPr>
          <w:sz w:val="18"/>
          <w:szCs w:val="18"/>
          <w:rtl w:val="0"/>
        </w:rPr>
        <w:t xml:space="preserve"> Tamanho amostral necessário. </w:t>
      </w:r>
    </w:p>
    <w:p w:rsidR="00000000" w:rsidDel="00000000" w:rsidP="00000000" w:rsidRDefault="00000000" w:rsidRPr="00000000" w14:paraId="0000025C">
      <w:pPr>
        <w:spacing w:line="360" w:lineRule="auto"/>
        <w:ind w:firstLine="720"/>
        <w:jc w:val="both"/>
        <w:rPr/>
      </w:pPr>
      <w:r w:rsidDel="00000000" w:rsidR="00000000" w:rsidRPr="00000000">
        <w:rPr>
          <w:sz w:val="18"/>
          <w:szCs w:val="18"/>
        </w:rPr>
        <w:drawing>
          <wp:anchor allowOverlap="1" behindDoc="0" distB="0" distT="0" distL="114300" distR="114300" hidden="0" layoutInCell="1" locked="0" relativeHeight="0" simplePos="0">
            <wp:simplePos x="0" y="0"/>
            <wp:positionH relativeFrom="margin">
              <wp:posOffset>1314104</wp:posOffset>
            </wp:positionH>
            <wp:positionV relativeFrom="margin">
              <wp:posOffset>4366260</wp:posOffset>
            </wp:positionV>
            <wp:extent cx="2895600" cy="2667635"/>
            <wp:effectExtent b="0" l="0" r="0" t="0"/>
            <wp:wrapSquare wrapText="bothSides" distB="0" distT="0" distL="114300" distR="114300"/>
            <wp:docPr id="2129596940" name="image3.png"/>
            <a:graphic>
              <a:graphicData uri="http://schemas.openxmlformats.org/drawingml/2006/picture">
                <pic:pic>
                  <pic:nvPicPr>
                    <pic:cNvPr id="0" name="image3.png"/>
                    <pic:cNvPicPr preferRelativeResize="0"/>
                  </pic:nvPicPr>
                  <pic:blipFill>
                    <a:blip r:embed="rId22"/>
                    <a:srcRect b="3996" l="38462" r="3242" t="54500"/>
                    <a:stretch>
                      <a:fillRect/>
                    </a:stretch>
                  </pic:blipFill>
                  <pic:spPr>
                    <a:xfrm>
                      <a:off x="0" y="0"/>
                      <a:ext cx="2895600" cy="2667635"/>
                    </a:xfrm>
                    <a:prstGeom prst="rect"/>
                    <a:ln/>
                  </pic:spPr>
                </pic:pic>
              </a:graphicData>
            </a:graphic>
          </wp:anchor>
        </w:drawing>
      </w:r>
      <w:r w:rsidDel="00000000" w:rsidR="00000000" w:rsidRPr="00000000">
        <w:rPr>
          <w:rtl w:val="0"/>
        </w:rPr>
      </w:r>
    </w:p>
    <w:p w:rsidR="00000000" w:rsidDel="00000000" w:rsidP="00000000" w:rsidRDefault="00000000" w:rsidRPr="00000000" w14:paraId="0000025D">
      <w:pPr>
        <w:spacing w:line="360" w:lineRule="auto"/>
        <w:ind w:firstLine="720"/>
        <w:jc w:val="both"/>
        <w:rPr/>
      </w:pPr>
      <w:r w:rsidDel="00000000" w:rsidR="00000000" w:rsidRPr="00000000">
        <w:rPr>
          <w:rtl w:val="0"/>
        </w:rPr>
      </w:r>
    </w:p>
    <w:p w:rsidR="00000000" w:rsidDel="00000000" w:rsidP="00000000" w:rsidRDefault="00000000" w:rsidRPr="00000000" w14:paraId="0000025E">
      <w:pPr>
        <w:spacing w:line="360" w:lineRule="auto"/>
        <w:ind w:firstLine="720"/>
        <w:jc w:val="both"/>
        <w:rPr/>
      </w:pPr>
      <w:r w:rsidDel="00000000" w:rsidR="00000000" w:rsidRPr="00000000">
        <w:rPr>
          <w:rtl w:val="0"/>
        </w:rPr>
      </w:r>
    </w:p>
    <w:p w:rsidR="00000000" w:rsidDel="00000000" w:rsidP="00000000" w:rsidRDefault="00000000" w:rsidRPr="00000000" w14:paraId="0000025F">
      <w:pPr>
        <w:spacing w:line="360" w:lineRule="auto"/>
        <w:ind w:firstLine="720"/>
        <w:jc w:val="both"/>
        <w:rPr/>
      </w:pPr>
      <w:r w:rsidDel="00000000" w:rsidR="00000000" w:rsidRPr="00000000">
        <w:rPr>
          <w:rtl w:val="0"/>
        </w:rPr>
      </w:r>
    </w:p>
    <w:p w:rsidR="00000000" w:rsidDel="00000000" w:rsidP="00000000" w:rsidRDefault="00000000" w:rsidRPr="00000000" w14:paraId="00000260">
      <w:pPr>
        <w:spacing w:line="360" w:lineRule="auto"/>
        <w:ind w:firstLine="720"/>
        <w:jc w:val="both"/>
        <w:rPr/>
      </w:pPr>
      <w:r w:rsidDel="00000000" w:rsidR="00000000" w:rsidRPr="00000000">
        <w:rPr>
          <w:rtl w:val="0"/>
        </w:rPr>
      </w:r>
    </w:p>
    <w:p w:rsidR="00000000" w:rsidDel="00000000" w:rsidP="00000000" w:rsidRDefault="00000000" w:rsidRPr="00000000" w14:paraId="00000261">
      <w:pPr>
        <w:spacing w:line="360" w:lineRule="auto"/>
        <w:ind w:firstLine="720"/>
        <w:jc w:val="both"/>
        <w:rPr/>
      </w:pPr>
      <w:r w:rsidDel="00000000" w:rsidR="00000000" w:rsidRPr="00000000">
        <w:rPr>
          <w:rtl w:val="0"/>
        </w:rPr>
      </w:r>
    </w:p>
    <w:p w:rsidR="00000000" w:rsidDel="00000000" w:rsidP="00000000" w:rsidRDefault="00000000" w:rsidRPr="00000000" w14:paraId="00000262">
      <w:pPr>
        <w:spacing w:line="360" w:lineRule="auto"/>
        <w:ind w:firstLine="720"/>
        <w:jc w:val="both"/>
        <w:rPr/>
      </w:pPr>
      <w:r w:rsidDel="00000000" w:rsidR="00000000" w:rsidRPr="00000000">
        <w:rPr>
          <w:rtl w:val="0"/>
        </w:rPr>
      </w:r>
    </w:p>
    <w:p w:rsidR="00000000" w:rsidDel="00000000" w:rsidP="00000000" w:rsidRDefault="00000000" w:rsidRPr="00000000" w14:paraId="00000263">
      <w:pPr>
        <w:spacing w:line="360" w:lineRule="auto"/>
        <w:ind w:firstLine="720"/>
        <w:jc w:val="both"/>
        <w:rPr/>
      </w:pPr>
      <w:r w:rsidDel="00000000" w:rsidR="00000000" w:rsidRPr="00000000">
        <w:rPr>
          <w:rtl w:val="0"/>
        </w:rPr>
      </w:r>
    </w:p>
    <w:p w:rsidR="00000000" w:rsidDel="00000000" w:rsidP="00000000" w:rsidRDefault="00000000" w:rsidRPr="00000000" w14:paraId="00000264">
      <w:pPr>
        <w:spacing w:line="360" w:lineRule="auto"/>
        <w:ind w:firstLine="720"/>
        <w:jc w:val="both"/>
        <w:rPr/>
      </w:pPr>
      <w:r w:rsidDel="00000000" w:rsidR="00000000" w:rsidRPr="00000000">
        <w:rPr>
          <w:rtl w:val="0"/>
        </w:rPr>
      </w:r>
    </w:p>
    <w:p w:rsidR="00000000" w:rsidDel="00000000" w:rsidP="00000000" w:rsidRDefault="00000000" w:rsidRPr="00000000" w14:paraId="00000265">
      <w:pPr>
        <w:spacing w:line="360" w:lineRule="auto"/>
        <w:ind w:firstLine="720"/>
        <w:jc w:val="both"/>
        <w:rPr/>
      </w:pPr>
      <w:r w:rsidDel="00000000" w:rsidR="00000000" w:rsidRPr="00000000">
        <w:rPr>
          <w:rtl w:val="0"/>
        </w:rPr>
      </w:r>
    </w:p>
    <w:p w:rsidR="00000000" w:rsidDel="00000000" w:rsidP="00000000" w:rsidRDefault="00000000" w:rsidRPr="00000000" w14:paraId="00000266">
      <w:pPr>
        <w:spacing w:line="360" w:lineRule="auto"/>
        <w:ind w:firstLine="720"/>
        <w:jc w:val="both"/>
        <w:rPr/>
      </w:pPr>
      <w:r w:rsidDel="00000000" w:rsidR="00000000" w:rsidRPr="00000000">
        <w:rPr>
          <w:rtl w:val="0"/>
        </w:rPr>
      </w:r>
    </w:p>
    <w:p w:rsidR="00000000" w:rsidDel="00000000" w:rsidP="00000000" w:rsidRDefault="00000000" w:rsidRPr="00000000" w14:paraId="00000267">
      <w:pPr>
        <w:spacing w:line="360" w:lineRule="auto"/>
        <w:ind w:firstLine="720"/>
        <w:jc w:val="both"/>
        <w:rPr/>
      </w:pPr>
      <w:r w:rsidDel="00000000" w:rsidR="00000000" w:rsidRPr="00000000">
        <w:rPr>
          <w:rtl w:val="0"/>
        </w:rPr>
      </w:r>
    </w:p>
    <w:p w:rsidR="00000000" w:rsidDel="00000000" w:rsidP="00000000" w:rsidRDefault="00000000" w:rsidRPr="00000000" w14:paraId="00000268">
      <w:pPr>
        <w:pStyle w:val="Heading3"/>
        <w:numPr>
          <w:ilvl w:val="2"/>
          <w:numId w:val="1"/>
        </w:numPr>
        <w:ind w:left="1080" w:hanging="720"/>
        <w:rPr>
          <w:rFonts w:ascii="Times New Roman" w:cs="Times New Roman" w:eastAsia="Times New Roman" w:hAnsi="Times New Roman"/>
          <w:b w:val="1"/>
        </w:rPr>
      </w:pPr>
      <w:bookmarkStart w:colFirst="0" w:colLast="0" w:name="_heading=h.1v1yuxt" w:id="41"/>
      <w:bookmarkEnd w:id="41"/>
      <w:r w:rsidDel="00000000" w:rsidR="00000000" w:rsidRPr="00000000">
        <w:rPr>
          <w:rFonts w:ascii="Times New Roman" w:cs="Times New Roman" w:eastAsia="Times New Roman" w:hAnsi="Times New Roman"/>
          <w:b w:val="1"/>
          <w:rtl w:val="0"/>
        </w:rPr>
        <w:t xml:space="preserve">ESTATÍSTICA DESCRITIVA</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spacing w:line="360" w:lineRule="auto"/>
        <w:ind w:firstLine="720"/>
        <w:jc w:val="both"/>
        <w:rPr/>
      </w:pPr>
      <w:r w:rsidDel="00000000" w:rsidR="00000000" w:rsidRPr="00000000">
        <w:rPr>
          <w:rtl w:val="0"/>
        </w:rPr>
        <w:t xml:space="preserve">Serão apresentadas as estatísticas resumidas (média, desvio padrão, mediana, mínimo e máximo) para as características demográficas e basais de cada grupo de tratamento. Esses dados serão comparados entre os grupos da população ITT. As diferenças entre os grupos nas características demográficas e basais serão testadas utilizando um teste qui-quadrado (para variáveis categóricas) ou um modelo de análise de variância unidirecional (ANOVA) com tratamento como fator (para variáveis contínuas). A significância desses testes será utilizada como avaliação inicial da adequação da randomização.</w:t>
      </w:r>
    </w:p>
    <w:p w:rsidR="00000000" w:rsidDel="00000000" w:rsidP="00000000" w:rsidRDefault="00000000" w:rsidRPr="00000000" w14:paraId="0000026B">
      <w:pPr>
        <w:spacing w:line="360" w:lineRule="auto"/>
        <w:ind w:firstLine="720"/>
        <w:jc w:val="both"/>
        <w:rPr/>
      </w:pPr>
      <w:r w:rsidDel="00000000" w:rsidR="00000000" w:rsidRPr="00000000">
        <w:rPr>
          <w:rtl w:val="0"/>
        </w:rPr>
      </w:r>
    </w:p>
    <w:p w:rsidR="00000000" w:rsidDel="00000000" w:rsidP="00000000" w:rsidRDefault="00000000" w:rsidRPr="00000000" w14:paraId="0000026C">
      <w:pPr>
        <w:pStyle w:val="Heading3"/>
        <w:numPr>
          <w:ilvl w:val="2"/>
          <w:numId w:val="1"/>
        </w:numPr>
        <w:ind w:left="1080" w:hanging="720"/>
        <w:rPr>
          <w:rFonts w:ascii="Times New Roman" w:cs="Times New Roman" w:eastAsia="Times New Roman" w:hAnsi="Times New Roman"/>
          <w:b w:val="1"/>
        </w:rPr>
      </w:pPr>
      <w:bookmarkStart w:colFirst="0" w:colLast="0" w:name="_heading=h.4f1mdlm" w:id="42"/>
      <w:bookmarkEnd w:id="42"/>
      <w:r w:rsidDel="00000000" w:rsidR="00000000" w:rsidRPr="00000000">
        <w:rPr>
          <w:rFonts w:ascii="Times New Roman" w:cs="Times New Roman" w:eastAsia="Times New Roman" w:hAnsi="Times New Roman"/>
          <w:b w:val="1"/>
          <w:rtl w:val="0"/>
        </w:rPr>
        <w:t xml:space="preserve">ANÁLISE DA EFICÁCIA</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spacing w:line="360" w:lineRule="auto"/>
        <w:ind w:firstLine="720"/>
        <w:jc w:val="both"/>
        <w:rPr/>
      </w:pPr>
      <w:r w:rsidDel="00000000" w:rsidR="00000000" w:rsidRPr="00000000">
        <w:rPr>
          <w:rtl w:val="0"/>
        </w:rPr>
        <w:t xml:space="preserve">Somente os eventos adjudicados serão incluídos nas análises estatísticas finais.</w:t>
      </w:r>
    </w:p>
    <w:p w:rsidR="00000000" w:rsidDel="00000000" w:rsidP="00000000" w:rsidRDefault="00000000" w:rsidRPr="00000000" w14:paraId="0000026F">
      <w:pPr>
        <w:spacing w:line="360" w:lineRule="auto"/>
        <w:ind w:firstLine="720"/>
        <w:jc w:val="both"/>
        <w:rPr/>
      </w:pPr>
      <w:r w:rsidDel="00000000" w:rsidR="00000000" w:rsidRPr="00000000">
        <w:rPr>
          <w:rtl w:val="0"/>
        </w:rPr>
      </w:r>
    </w:p>
    <w:p w:rsidR="00000000" w:rsidDel="00000000" w:rsidP="00000000" w:rsidRDefault="00000000" w:rsidRPr="00000000" w14:paraId="00000270">
      <w:pPr>
        <w:pStyle w:val="Heading3"/>
        <w:numPr>
          <w:ilvl w:val="2"/>
          <w:numId w:val="1"/>
        </w:numPr>
        <w:ind w:left="1080" w:hanging="720"/>
        <w:rPr>
          <w:rFonts w:ascii="Times New Roman" w:cs="Times New Roman" w:eastAsia="Times New Roman" w:hAnsi="Times New Roman"/>
          <w:b w:val="1"/>
        </w:rPr>
      </w:pPr>
      <w:bookmarkStart w:colFirst="0" w:colLast="0" w:name="_heading=h.2u6wntf" w:id="43"/>
      <w:bookmarkEnd w:id="43"/>
      <w:r w:rsidDel="00000000" w:rsidR="00000000" w:rsidRPr="00000000">
        <w:rPr>
          <w:rFonts w:ascii="Times New Roman" w:cs="Times New Roman" w:eastAsia="Times New Roman" w:hAnsi="Times New Roman"/>
          <w:b w:val="1"/>
          <w:rtl w:val="0"/>
        </w:rPr>
        <w:t xml:space="preserve">ANÁLISE DO DESFECHO PRIMÁRIO</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2">
      <w:pPr>
        <w:spacing w:line="360" w:lineRule="auto"/>
        <w:ind w:firstLine="720"/>
        <w:jc w:val="both"/>
        <w:rPr/>
      </w:pPr>
      <w:bookmarkStart w:colFirst="0" w:colLast="0" w:name="_heading=h.19c6y18" w:id="44"/>
      <w:bookmarkEnd w:id="44"/>
      <w:r w:rsidDel="00000000" w:rsidR="00000000" w:rsidRPr="00000000">
        <w:rPr>
          <w:rtl w:val="0"/>
        </w:rPr>
        <w:t xml:space="preserve">A análise estatística dos desfechos primários será realizada utilizando um teste </w:t>
      </w:r>
      <w:r w:rsidDel="00000000" w:rsidR="00000000" w:rsidRPr="00000000">
        <w:rPr>
          <w:i w:val="1"/>
          <w:rtl w:val="0"/>
        </w:rPr>
        <w:t xml:space="preserve">win ratio</w:t>
      </w:r>
      <w:r w:rsidDel="00000000" w:rsidR="00000000" w:rsidRPr="00000000">
        <w:rPr>
          <w:rtl w:val="0"/>
        </w:rPr>
        <w:t xml:space="preserve"> padrão que combina o tempo até a morte por todas as causas e a frequência de hospitalizações não fatais. O teste </w:t>
      </w:r>
      <w:r w:rsidDel="00000000" w:rsidR="00000000" w:rsidRPr="00000000">
        <w:rPr>
          <w:i w:val="1"/>
          <w:rtl w:val="0"/>
        </w:rPr>
        <w:t xml:space="preserve">win ratio</w:t>
      </w:r>
      <w:r w:rsidDel="00000000" w:rsidR="00000000" w:rsidRPr="00000000">
        <w:rPr>
          <w:rtl w:val="0"/>
        </w:rPr>
        <w:t xml:space="preserve"> seguirá os padrões originais descritos por Pocock </w:t>
      </w:r>
      <w:r w:rsidDel="00000000" w:rsidR="00000000" w:rsidRPr="00000000">
        <w:rPr>
          <w:i w:val="1"/>
          <w:rtl w:val="0"/>
        </w:rPr>
        <w:t xml:space="preserve">et al.</w:t>
      </w:r>
      <w:r w:rsidDel="00000000" w:rsidR="00000000" w:rsidRPr="00000000">
        <w:rPr>
          <w:vertAlign w:val="superscript"/>
          <w:rtl w:val="0"/>
        </w:rPr>
        <w:t xml:space="preserve">31</w:t>
      </w:r>
      <w:r w:rsidDel="00000000" w:rsidR="00000000" w:rsidRPr="00000000">
        <w:rPr>
          <w:rtl w:val="0"/>
        </w:rPr>
        <w:t xml:space="preserve">. As diferenças de tratamento serão avaliadas com um nível alfa de 0,05 usando um procedimento sequencial para controlar o erro tipo 1. Além disso, correções de covariáveis adicionais relevantes para análises sensíveis ao tempo serão realizadas utilizando o modelo de risco proporcional de Cox, que inclui o fator de estratificação. A razão de risco (HR) para os grupos de tratamento será relatada, juntamente com o intervalo de confiança de 95% associado.</w:t>
      </w:r>
    </w:p>
    <w:p w:rsidR="00000000" w:rsidDel="00000000" w:rsidP="00000000" w:rsidRDefault="00000000" w:rsidRPr="00000000" w14:paraId="00000273">
      <w:pPr>
        <w:spacing w:line="360" w:lineRule="auto"/>
        <w:ind w:firstLine="720"/>
        <w:jc w:val="both"/>
        <w:rPr/>
      </w:pPr>
      <w:r w:rsidDel="00000000" w:rsidR="00000000" w:rsidRPr="00000000">
        <w:rPr>
          <w:rtl w:val="0"/>
        </w:rPr>
        <w:t xml:space="preserve">Tradicionalmente, os desfechos são definidos como o tempo até a primeira ocorrência de qualquer componente dos desfechos compostos, combinando desfechos do mesmo tipo, por exemplo, ambos componentes são tempo para o evento. No entanto, atualmente, a atenção voltou-se para uma combinação hierárquica de desfechos. Além de avaliar hierarquicamente os desfechos, o teste </w:t>
      </w:r>
      <w:r w:rsidDel="00000000" w:rsidR="00000000" w:rsidRPr="00000000">
        <w:rPr>
          <w:i w:val="1"/>
          <w:rtl w:val="0"/>
        </w:rPr>
        <w:t xml:space="preserve">win ratio</w:t>
      </w:r>
      <w:r w:rsidDel="00000000" w:rsidR="00000000" w:rsidRPr="00000000">
        <w:rPr>
          <w:rtl w:val="0"/>
        </w:rPr>
        <w:t xml:space="preserve"> propõe uma combinação hierárquica, permitindo a combinação de diferentes tipos de desfecho, por exemplo, um desfecho de tempo até o evento, como a mortalidade por todas as causas, com um desfecho de evento recorrente, como a frequência de hospitalizações relacionadas ao sistema cardiovascular.</w:t>
      </w:r>
    </w:p>
    <w:p w:rsidR="00000000" w:rsidDel="00000000" w:rsidP="00000000" w:rsidRDefault="00000000" w:rsidRPr="00000000" w14:paraId="00000274">
      <w:pPr>
        <w:spacing w:line="360" w:lineRule="auto"/>
        <w:ind w:firstLine="720"/>
        <w:jc w:val="both"/>
        <w:rPr/>
      </w:pPr>
      <w:r w:rsidDel="00000000" w:rsidR="00000000" w:rsidRPr="00000000">
        <w:rPr>
          <w:rtl w:val="0"/>
        </w:rPr>
      </w:r>
    </w:p>
    <w:p w:rsidR="00000000" w:rsidDel="00000000" w:rsidP="00000000" w:rsidRDefault="00000000" w:rsidRPr="00000000" w14:paraId="00000275">
      <w:pPr>
        <w:pStyle w:val="Heading3"/>
        <w:numPr>
          <w:ilvl w:val="2"/>
          <w:numId w:val="1"/>
        </w:numPr>
        <w:ind w:left="1080" w:hanging="720"/>
        <w:rPr>
          <w:rFonts w:ascii="Times New Roman" w:cs="Times New Roman" w:eastAsia="Times New Roman" w:hAnsi="Times New Roman"/>
          <w:b w:val="1"/>
        </w:rPr>
      </w:pPr>
      <w:bookmarkStart w:colFirst="0" w:colLast="0" w:name="_heading=h.3tbugp1" w:id="45"/>
      <w:bookmarkEnd w:id="45"/>
      <w:r w:rsidDel="00000000" w:rsidR="00000000" w:rsidRPr="00000000">
        <w:rPr>
          <w:rFonts w:ascii="Times New Roman" w:cs="Times New Roman" w:eastAsia="Times New Roman" w:hAnsi="Times New Roman"/>
          <w:b w:val="1"/>
          <w:rtl w:val="0"/>
        </w:rPr>
        <w:t xml:space="preserve">ANÁLISE DO(S) DESFECHO(S) SECUNDÁRIO(S)</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7">
      <w:pPr>
        <w:spacing w:line="360" w:lineRule="auto"/>
        <w:ind w:firstLine="720"/>
        <w:jc w:val="both"/>
        <w:rPr/>
      </w:pPr>
      <w:r w:rsidDel="00000000" w:rsidR="00000000" w:rsidRPr="00000000">
        <w:rPr>
          <w:rtl w:val="0"/>
        </w:rPr>
        <w:t xml:space="preserve">A análise estatística dos desfechos secundários será conduzida por meio de curvas de Kaplan-Meier, a partir do tempo até cada um dos desfechos secundários de eficácia. O mesmo teste de classificação longa especificado para a análise do desfecho primário de eficácia será utilizado em cada uma das análises de desfecho secundário de eficácia. As diferenças de tratamento serão avaliadas com um nível alfa de 0,05 utilizando um procedimento sequencial para controlar o erro tipo 1. Além disso, correções de covariáveis adicionais relevantes para análises sensíveis ao tempo serão realizadas utilizando o modelo de risco proporcional de Cox, que inclui o fator de estratificação. A razão de risco para os grupos de tratamento será relatada, juntamente com o intervalo de confiança de 95% associado.</w:t>
      </w:r>
    </w:p>
    <w:p w:rsidR="00000000" w:rsidDel="00000000" w:rsidP="00000000" w:rsidRDefault="00000000" w:rsidRPr="00000000" w14:paraId="00000278">
      <w:pPr>
        <w:spacing w:line="360" w:lineRule="auto"/>
        <w:ind w:firstLine="720"/>
        <w:jc w:val="both"/>
        <w:rPr>
          <w:i w:val="1"/>
        </w:rPr>
      </w:pPr>
      <w:r w:rsidDel="00000000" w:rsidR="00000000" w:rsidRPr="00000000">
        <w:rPr>
          <w:rtl w:val="0"/>
        </w:rPr>
      </w:r>
    </w:p>
    <w:p w:rsidR="00000000" w:rsidDel="00000000" w:rsidP="00000000" w:rsidRDefault="00000000" w:rsidRPr="00000000" w14:paraId="00000279">
      <w:pPr>
        <w:pStyle w:val="Heading3"/>
        <w:numPr>
          <w:ilvl w:val="2"/>
          <w:numId w:val="1"/>
        </w:numPr>
        <w:ind w:left="1080" w:hanging="720"/>
        <w:rPr>
          <w:rFonts w:ascii="Times New Roman" w:cs="Times New Roman" w:eastAsia="Times New Roman" w:hAnsi="Times New Roman"/>
          <w:b w:val="1"/>
        </w:rPr>
      </w:pPr>
      <w:bookmarkStart w:colFirst="0" w:colLast="0" w:name="_heading=h.28h4qwu" w:id="46"/>
      <w:bookmarkEnd w:id="46"/>
      <w:r w:rsidDel="00000000" w:rsidR="00000000" w:rsidRPr="00000000">
        <w:rPr>
          <w:rFonts w:ascii="Times New Roman" w:cs="Times New Roman" w:eastAsia="Times New Roman" w:hAnsi="Times New Roman"/>
          <w:b w:val="1"/>
          <w:rtl w:val="0"/>
        </w:rPr>
        <w:t xml:space="preserve">ANÁLISE DO(S) DESFECHOS(S) TERCIÁRIO(S)</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spacing w:line="360" w:lineRule="auto"/>
        <w:ind w:firstLine="720"/>
        <w:jc w:val="both"/>
        <w:rPr/>
      </w:pPr>
      <w:r w:rsidDel="00000000" w:rsidR="00000000" w:rsidRPr="00000000">
        <w:rPr>
          <w:rtl w:val="0"/>
        </w:rPr>
        <w:t xml:space="preserve">A mudança no "</w:t>
      </w:r>
      <w:r w:rsidDel="00000000" w:rsidR="00000000" w:rsidRPr="00000000">
        <w:rPr>
          <w:i w:val="1"/>
          <w:rtl w:val="0"/>
        </w:rPr>
        <w:t xml:space="preserve">escore de risco alvo metabólico</w:t>
      </w:r>
      <w:r w:rsidDel="00000000" w:rsidR="00000000" w:rsidRPr="00000000">
        <w:rPr>
          <w:rtl w:val="0"/>
        </w:rPr>
        <w:t xml:space="preserve">" (MeTaRiSc) da linha de base para a semana 56 será calculada. Para cada indivíduo, será atribuído o valor 1 para cada parâmetro acima dos alvos e a soma dos três parâmetros será dividida por 3, resultando no MeTaRiSc, uma média ponderada que varia de 0 a 1. Serão feitas comparações tanto entre os pacientes não diabéticos quanto entre os diabéticos. Um teste t pareado será utilizado para comparar os dois grupos de tratamento. As diferenças de tratamento serão avaliadas com um nível alfa de 0,025, utilizando um procedimento sequencial para controle do erro tipo 1. Além disso, a correção de covariáveis adicionais relevantes para as análises será realizada utilizando a análise de covariância (ANOVA), que inclui o fator de estratificação. A média para cada grupo de tratamento (ativo ou controle) será relatada, juntamente com o intervalo de confiança de 95% associado.</w:t>
      </w:r>
    </w:p>
    <w:p w:rsidR="00000000" w:rsidDel="00000000" w:rsidP="00000000" w:rsidRDefault="00000000" w:rsidRPr="00000000" w14:paraId="0000027C">
      <w:pPr>
        <w:spacing w:line="360" w:lineRule="auto"/>
        <w:ind w:firstLine="720"/>
        <w:jc w:val="both"/>
        <w:rPr/>
      </w:pPr>
      <w:r w:rsidDel="00000000" w:rsidR="00000000" w:rsidRPr="00000000">
        <w:rPr>
          <w:rtl w:val="0"/>
        </w:rPr>
        <w:t xml:space="preserve">Nos indivíduos não diabéticos no início do estudo:</w:t>
      </w:r>
    </w:p>
    <w:p w:rsidR="00000000" w:rsidDel="00000000" w:rsidP="00000000" w:rsidRDefault="00000000" w:rsidRPr="00000000" w14:paraId="0000027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sdt>
        <w:sdtPr>
          <w:tag w:val="goog_rdk_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+1 ponto, caso mais de 10% das medições da PA sistólica domiciliar forem ≥130mmHg.</w:t>
          </w:r>
        </w:sdtContent>
      </w:sdt>
    </w:p>
    <w:p w:rsidR="00000000" w:rsidDel="00000000" w:rsidP="00000000" w:rsidRDefault="00000000" w:rsidRPr="00000000" w14:paraId="0000027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ponto, caso os níveis séricos de colesterol LDL estiverem acima dos objetivos definidos pelas diretrizes da ACC/AHA de 2013.</w:t>
      </w:r>
    </w:p>
    <w:p w:rsidR="00000000" w:rsidDel="00000000" w:rsidP="00000000" w:rsidRDefault="00000000" w:rsidRPr="00000000" w14:paraId="0000027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sdt>
        <w:sdtPr>
          <w:tag w:val="goog_rdk_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+1 ponto, caso a glicemia for ≥126mg/dL ou hemoglobina glicada (HbA1c) ≥6,5%.</w:t>
          </w:r>
        </w:sdtContent>
      </w:sdt>
    </w:p>
    <w:p w:rsidR="00000000" w:rsidDel="00000000" w:rsidP="00000000" w:rsidRDefault="00000000" w:rsidRPr="00000000" w14:paraId="00000280">
      <w:pPr>
        <w:spacing w:line="360" w:lineRule="auto"/>
        <w:ind w:firstLine="720"/>
        <w:jc w:val="both"/>
        <w:rPr/>
      </w:pPr>
      <w:r w:rsidDel="00000000" w:rsidR="00000000" w:rsidRPr="00000000">
        <w:rPr>
          <w:rtl w:val="0"/>
        </w:rPr>
      </w:r>
    </w:p>
    <w:p w:rsidR="00000000" w:rsidDel="00000000" w:rsidP="00000000" w:rsidRDefault="00000000" w:rsidRPr="00000000" w14:paraId="00000281">
      <w:pPr>
        <w:spacing w:line="360" w:lineRule="auto"/>
        <w:ind w:firstLine="720"/>
        <w:jc w:val="both"/>
        <w:rPr/>
      </w:pPr>
      <w:r w:rsidDel="00000000" w:rsidR="00000000" w:rsidRPr="00000000">
        <w:rPr>
          <w:rtl w:val="0"/>
        </w:rPr>
        <w:t xml:space="preserve">Nos indivíduos diabéticos no início do estudo:</w:t>
      </w:r>
    </w:p>
    <w:p w:rsidR="00000000" w:rsidDel="00000000" w:rsidP="00000000" w:rsidRDefault="00000000" w:rsidRPr="00000000" w14:paraId="0000028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sdt>
        <w:sdtPr>
          <w:tag w:val="goog_rdk_1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+1 ponto, caso mais de 10% das medições da PA sistólica domiciliar forem ≥130mmHg.</w:t>
          </w:r>
        </w:sdtContent>
      </w:sdt>
    </w:p>
    <w:p w:rsidR="00000000" w:rsidDel="00000000" w:rsidP="00000000" w:rsidRDefault="00000000" w:rsidRPr="00000000" w14:paraId="0000028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ponto, caso os níveis séricos de colesterol LDL estiverem acima dos objetivos definidos pelas diretrizes ACC/AHA de 2013; </w:t>
      </w:r>
    </w:p>
    <w:p w:rsidR="00000000" w:rsidDel="00000000" w:rsidP="00000000" w:rsidRDefault="00000000" w:rsidRPr="00000000" w14:paraId="0000028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+1 ponto, caso os níveis séricos de HbA1c ≥7,0%.</w:t>
          </w:r>
        </w:sdtContent>
      </w:sdt>
    </w:p>
    <w:p w:rsidR="00000000" w:rsidDel="00000000" w:rsidP="00000000" w:rsidRDefault="00000000" w:rsidRPr="00000000" w14:paraId="00000285">
      <w:pPr>
        <w:spacing w:line="360" w:lineRule="auto"/>
        <w:ind w:firstLine="720"/>
        <w:jc w:val="both"/>
        <w:rPr/>
      </w:pPr>
      <w:r w:rsidDel="00000000" w:rsidR="00000000" w:rsidRPr="00000000">
        <w:rPr>
          <w:rtl w:val="0"/>
        </w:rPr>
      </w:r>
    </w:p>
    <w:p w:rsidR="00000000" w:rsidDel="00000000" w:rsidP="00000000" w:rsidRDefault="00000000" w:rsidRPr="00000000" w14:paraId="00000286">
      <w:pPr>
        <w:spacing w:line="360" w:lineRule="auto"/>
        <w:ind w:firstLine="720"/>
        <w:jc w:val="both"/>
        <w:rPr/>
      </w:pPr>
      <w:r w:rsidDel="00000000" w:rsidR="00000000" w:rsidRPr="00000000">
        <w:rPr>
          <w:rtl w:val="0"/>
        </w:rPr>
        <w:t xml:space="preserve">Por fim, é objetivo deste estudo também construir um modelo preditivo para morte por todas as causas e hospitalizações por todas as causas usando algoritmos específicos para dados tabulares com métodos Bayesianos não-paramétricos para análise de sobrevida com riscos competitivos como o </w:t>
      </w:r>
      <w:r w:rsidDel="00000000" w:rsidR="00000000" w:rsidRPr="00000000">
        <w:rPr>
          <w:i w:val="1"/>
          <w:rtl w:val="0"/>
        </w:rPr>
        <w:t xml:space="preserve">deep multi-task Gaussian process</w:t>
      </w:r>
      <w:r w:rsidDel="00000000" w:rsidR="00000000" w:rsidRPr="00000000">
        <w:rPr>
          <w:rtl w:val="0"/>
        </w:rPr>
        <w:t xml:space="preserve"> (DMGP) e </w:t>
      </w:r>
      <w:r w:rsidDel="00000000" w:rsidR="00000000" w:rsidRPr="00000000">
        <w:rPr>
          <w:i w:val="1"/>
          <w:rtl w:val="0"/>
        </w:rPr>
        <w:t xml:space="preserve">DeepHit</w:t>
      </w:r>
      <w:r w:rsidDel="00000000" w:rsidR="00000000" w:rsidRPr="00000000">
        <w:rPr>
          <w:rtl w:val="0"/>
        </w:rPr>
        <w:t xml:space="preserve">. </w:t>
      </w:r>
    </w:p>
    <w:p w:rsidR="00000000" w:rsidDel="00000000" w:rsidP="00000000" w:rsidRDefault="00000000" w:rsidRPr="00000000" w14:paraId="00000287">
      <w:pPr>
        <w:spacing w:line="360" w:lineRule="auto"/>
        <w:ind w:firstLine="720"/>
        <w:jc w:val="both"/>
        <w:rPr/>
      </w:pPr>
      <w:r w:rsidDel="00000000" w:rsidR="00000000" w:rsidRPr="00000000">
        <w:rPr>
          <w:rtl w:val="0"/>
        </w:rPr>
        <w:t xml:space="preserve">DMGP</w:t>
      </w:r>
      <w:r w:rsidDel="00000000" w:rsidR="00000000" w:rsidRPr="00000000">
        <w:rPr>
          <w:vertAlign w:val="superscript"/>
          <w:rtl w:val="0"/>
        </w:rPr>
        <w:t xml:space="preserve">33</w:t>
      </w:r>
      <w:r w:rsidDel="00000000" w:rsidR="00000000" w:rsidRPr="00000000">
        <w:rPr>
          <w:rtl w:val="0"/>
        </w:rPr>
        <w:t xml:space="preserve"> é um modelo bayesiano não paramétrico para análise de sobrevivência que se baseia em uma concepção do problema de riscos competitivos como um problema de aprendizagem multitarefa; ou seja, ele modela os tempos de sobrevida causa-específicos como </w:t>
      </w:r>
      <w:r w:rsidDel="00000000" w:rsidR="00000000" w:rsidRPr="00000000">
        <w:rPr>
          <w:i w:val="1"/>
          <w:rtl w:val="0"/>
        </w:rPr>
        <w:t xml:space="preserve">outputs</w:t>
      </w:r>
      <w:r w:rsidDel="00000000" w:rsidR="00000000" w:rsidRPr="00000000">
        <w:rPr>
          <w:rtl w:val="0"/>
        </w:rPr>
        <w:t xml:space="preserve"> de uma função de valor vetorial aleatório, cujas entradas são as covariáveis dos pacientes. Isso permite que o modelo aprenda uma “representação compartilhada” dos tempos de sobrevivência em relação às múltiplas comorbidades relacionadas e medidas repetidas como PA, glicemia e colesterol LDL. A inferência da distribuição posterior de sobrevida específica de cada paciente é realizada por meio de um algoritmo de Bayes variacional. Usando variáveis indutoras para derivar um limite inferior variacional na probabilidade marginal dos dados de tempo até o evento observados, que é maximizado usando o algoritmo de estimativa de momento adaptativo (Adam). Os hiperparâmetros ΘZ e ΘT são ajustados usando o conjunto de dados off-line do ensaio TAMIS e, para qualquer paciente fora da amostra com todas as covariáveis, o DMGP avalia a densidade de probabilidade posterior por amostragem direta de Monte Carlo. Os hiperparâmetros são calibrados maximizando a verossimilhança marginal da densidade de probabilidade posterior. DMGP será implementado em Python pelo PI do estudo.</w:t>
      </w:r>
    </w:p>
    <w:p w:rsidR="00000000" w:rsidDel="00000000" w:rsidP="00000000" w:rsidRDefault="00000000" w:rsidRPr="00000000" w14:paraId="00000288">
      <w:pPr>
        <w:spacing w:line="360" w:lineRule="auto"/>
        <w:ind w:firstLine="720"/>
        <w:jc w:val="both"/>
        <w:rPr/>
      </w:pPr>
      <w:r w:rsidDel="00000000" w:rsidR="00000000" w:rsidRPr="00000000">
        <w:rPr>
          <w:rtl w:val="0"/>
        </w:rPr>
        <w:t xml:space="preserve">O DeepHit</w:t>
      </w:r>
      <w:r w:rsidDel="00000000" w:rsidR="00000000" w:rsidRPr="00000000">
        <w:rPr>
          <w:vertAlign w:val="superscript"/>
          <w:rtl w:val="0"/>
        </w:rPr>
        <w:t xml:space="preserve">34</w:t>
      </w:r>
      <w:r w:rsidDel="00000000" w:rsidR="00000000" w:rsidRPr="00000000">
        <w:rPr>
          <w:rtl w:val="0"/>
        </w:rPr>
        <w:t xml:space="preserve"> treina uma rede neural para aprender a distribuição conjunta estimada do tempo de sobrevivência e do evento enquanto captura a natureza censurada à direita (</w:t>
      </w:r>
      <w:r w:rsidDel="00000000" w:rsidR="00000000" w:rsidRPr="00000000">
        <w:rPr>
          <w:i w:val="1"/>
          <w:rtl w:val="0"/>
        </w:rPr>
        <w:t xml:space="preserve">right censored</w:t>
      </w:r>
      <w:r w:rsidDel="00000000" w:rsidR="00000000" w:rsidRPr="00000000">
        <w:rPr>
          <w:rtl w:val="0"/>
        </w:rPr>
        <w:t xml:space="preserve">) inerente aos dados de sobrevivência. A rede é treinada usando uma função de perda (</w:t>
      </w:r>
      <w:r w:rsidDel="00000000" w:rsidR="00000000" w:rsidRPr="00000000">
        <w:rPr>
          <w:i w:val="1"/>
          <w:rtl w:val="0"/>
        </w:rPr>
        <w:t xml:space="preserve">loss function</w:t>
      </w:r>
      <w:r w:rsidDel="00000000" w:rsidR="00000000" w:rsidRPr="00000000">
        <w:rPr>
          <w:rtl w:val="0"/>
        </w:rPr>
        <w:t xml:space="preserve">) que explora os tempos de sobrevivência e os riscos relativos. O DeepHit não faz suposições sobre o processo estocástico subjacente e permite a possibilidade de que a relação entre covariáveis e riscos mude com o tempo. DeepHit é uma rede multitarefa que consiste em uma sub-rede compartilhada e K sub-redes específicas de causa, diferindo de uma rede multitarefa convencional de duas maneiras: (i) utiliza uma única camada softmax como camada de saída do DeepHit para garantir que a rede aprende a distribuição conjunta de K eventos concorrentes, não as distribuições marginais de cada evento; (ii) mantém uma conexão residual das covariáveis de entrada na entrada de cada sub-rede de causa específica. Para treinar um modelo com o algoritmo DeepHit, uma função de perda total L</w:t>
      </w:r>
      <w:r w:rsidDel="00000000" w:rsidR="00000000" w:rsidRPr="00000000">
        <w:rPr>
          <w:vertAlign w:val="subscript"/>
          <w:rtl w:val="0"/>
        </w:rPr>
        <w:t xml:space="preserve">Total</w:t>
      </w:r>
      <w:r w:rsidDel="00000000" w:rsidR="00000000" w:rsidRPr="00000000">
        <w:rPr>
          <w:rtl w:val="0"/>
        </w:rPr>
        <w:t xml:space="preserve"> é projetada especificamente para lidar com dados censurados. Esta função de perda é a soma de dois termos L</w:t>
      </w:r>
      <w:r w:rsidDel="00000000" w:rsidR="00000000" w:rsidRPr="00000000">
        <w:rPr>
          <w:vertAlign w:val="subscript"/>
          <w:rtl w:val="0"/>
        </w:rPr>
        <w:t xml:space="preserve">Total</w:t>
      </w:r>
      <w:r w:rsidDel="00000000" w:rsidR="00000000" w:rsidRPr="00000000">
        <w:rPr>
          <w:rtl w:val="0"/>
        </w:rPr>
        <w:t xml:space="preserve"> = L1 + L2; L1 é a verossimilhança logarítmica da distribuição conjunta do tempo e evento do primeiro acerto; L2 incorpora uma combinação de funções de perda de classificação de causa específica que adapta a ideia de concordância. Os hiperparâmetros para L</w:t>
      </w:r>
      <w:r w:rsidDel="00000000" w:rsidR="00000000" w:rsidRPr="00000000">
        <w:rPr>
          <w:vertAlign w:val="subscript"/>
          <w:rtl w:val="0"/>
        </w:rPr>
        <w:t xml:space="preserve">Total</w:t>
      </w:r>
      <w:r w:rsidDel="00000000" w:rsidR="00000000" w:rsidRPr="00000000">
        <w:rPr>
          <w:rtl w:val="0"/>
        </w:rPr>
        <w:t xml:space="preserve"> são selecionados com base no desempenho discriminativo no conjunto de validação. A parada antecipada é realizada com base na perda total. DeepHit é uma rede de 4 camadas que consiste em 1 camada totalmente conectada para a sub-rede compartilhada e 2 camadas totalmente conectadas para cada sub-rede específica de causa e uma camada softmax como a camada de saída. Para camadas ocultas, o número de nós é definido como 3, 5 e 3 vezes a dimensão da covariável para as camadas 1, 2 e 3, respectivamente, com a função de ativação ReLu. A rede é treinada por retropropagação por meio do otimizador Adam com um tamanho de lote de 50 e uma taxa de aprendizado de 0,0001. Uma probabilidade de abandono de 0,6 e inicialização Xavier são aplicadas para todas as camadas. O DeepHit será implementado em um ambiente TensorFlow em Python pelo PI do estudo.</w:t>
      </w:r>
    </w:p>
    <w:p w:rsidR="00000000" w:rsidDel="00000000" w:rsidP="00000000" w:rsidRDefault="00000000" w:rsidRPr="00000000" w14:paraId="00000289">
      <w:pPr>
        <w:spacing w:line="360" w:lineRule="auto"/>
        <w:ind w:firstLine="720"/>
        <w:jc w:val="both"/>
        <w:rPr>
          <w:i w:val="1"/>
        </w:rPr>
      </w:pPr>
      <w:r w:rsidDel="00000000" w:rsidR="00000000" w:rsidRPr="00000000">
        <w:rPr>
          <w:rtl w:val="0"/>
        </w:rPr>
      </w:r>
    </w:p>
    <w:p w:rsidR="00000000" w:rsidDel="00000000" w:rsidP="00000000" w:rsidRDefault="00000000" w:rsidRPr="00000000" w14:paraId="0000028A">
      <w:pPr>
        <w:pStyle w:val="Heading1"/>
        <w:spacing w:after="360" w:lineRule="auto"/>
        <w:rPr>
          <w:rFonts w:ascii="Times New Roman" w:cs="Times New Roman" w:eastAsia="Times New Roman" w:hAnsi="Times New Roman"/>
          <w:sz w:val="24"/>
          <w:szCs w:val="24"/>
        </w:rPr>
      </w:pPr>
      <w:bookmarkStart w:colFirst="0" w:colLast="0" w:name="_heading=h.nmf14n" w:id="47"/>
      <w:bookmarkEnd w:id="47"/>
      <w:r w:rsidDel="00000000" w:rsidR="00000000" w:rsidRPr="00000000">
        <w:rPr>
          <w:rFonts w:ascii="Times New Roman" w:cs="Times New Roman" w:eastAsia="Times New Roman" w:hAnsi="Times New Roman"/>
          <w:sz w:val="24"/>
          <w:szCs w:val="24"/>
          <w:rtl w:val="0"/>
        </w:rPr>
        <w:t xml:space="preserve">7.4 ANÁLISES DE SEGURANÇA</w:t>
      </w:r>
    </w:p>
    <w:p w:rsidR="00000000" w:rsidDel="00000000" w:rsidP="00000000" w:rsidRDefault="00000000" w:rsidRPr="00000000" w14:paraId="0000028B">
      <w:pPr>
        <w:spacing w:line="360" w:lineRule="auto"/>
        <w:ind w:firstLine="720"/>
        <w:jc w:val="both"/>
        <w:rPr/>
      </w:pPr>
      <w:r w:rsidDel="00000000" w:rsidR="00000000" w:rsidRPr="00000000">
        <w:rPr>
          <w:rtl w:val="0"/>
        </w:rPr>
        <w:t xml:space="preserve">A análise de segurança será realizada com base na incidência cumulativa de eventos adversos, exames físicos, sinais vitais e testes laboratoriais de segurança, utilizando a população de segurança, que é definida como todos os pacientes randomizados que receberam pelo menos uma dose do medicamento do estudo. O plano de atividades da comissão independente de monitoramento e segurança está descrito no Apêndice II. </w:t>
      </w:r>
    </w:p>
    <w:p w:rsidR="00000000" w:rsidDel="00000000" w:rsidP="00000000" w:rsidRDefault="00000000" w:rsidRPr="00000000" w14:paraId="0000028C">
      <w:pPr>
        <w:spacing w:line="360" w:lineRule="auto"/>
        <w:ind w:firstLine="720"/>
        <w:jc w:val="both"/>
        <w:rPr>
          <w:i w:val="1"/>
        </w:rPr>
      </w:pPr>
      <w:r w:rsidDel="00000000" w:rsidR="00000000" w:rsidRPr="00000000">
        <w:rPr>
          <w:rtl w:val="0"/>
        </w:rPr>
      </w:r>
    </w:p>
    <w:p w:rsidR="00000000" w:rsidDel="00000000" w:rsidP="00000000" w:rsidRDefault="00000000" w:rsidRPr="00000000" w14:paraId="0000028D">
      <w:pPr>
        <w:pStyle w:val="Heading3"/>
        <w:rPr>
          <w:rFonts w:ascii="Times New Roman" w:cs="Times New Roman" w:eastAsia="Times New Roman" w:hAnsi="Times New Roman"/>
          <w:b w:val="1"/>
        </w:rPr>
      </w:pPr>
      <w:bookmarkStart w:colFirst="0" w:colLast="0" w:name="_heading=h.37m2jsg" w:id="48"/>
      <w:bookmarkEnd w:id="48"/>
      <w:r w:rsidDel="00000000" w:rsidR="00000000" w:rsidRPr="00000000">
        <w:rPr>
          <w:rFonts w:ascii="Times New Roman" w:cs="Times New Roman" w:eastAsia="Times New Roman" w:hAnsi="Times New Roman"/>
          <w:b w:val="1"/>
          <w:rtl w:val="0"/>
        </w:rPr>
        <w:t xml:space="preserve">7.4.1 ANÁLISES DE SUBGRUPOS</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spacing w:line="360" w:lineRule="auto"/>
        <w:ind w:firstLine="720"/>
        <w:jc w:val="both"/>
        <w:rPr/>
      </w:pPr>
      <w:r w:rsidDel="00000000" w:rsidR="00000000" w:rsidRPr="00000000">
        <w:rPr>
          <w:rtl w:val="0"/>
        </w:rPr>
        <w:t xml:space="preserve">Os subgrupos explorados estão detalhados abaixo. Toda a análise desses subgrupos envolverá testes log-rank e razão de risco com intervalos de confiança de 95% associados para os desfechos primários e secundários de eficácia dentro de cada subgrupo. Além disso, a estratificação por "Grupo 1 ou Grupo 2" também será considerada.</w:t>
      </w:r>
    </w:p>
    <w:p w:rsidR="00000000" w:rsidDel="00000000" w:rsidP="00000000" w:rsidRDefault="00000000" w:rsidRPr="00000000" w14:paraId="0000029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Sexo.</w:t>
      </w:r>
    </w:p>
    <w:p w:rsidR="00000000" w:rsidDel="00000000" w:rsidP="00000000" w:rsidRDefault="00000000" w:rsidRPr="00000000" w14:paraId="00000291">
      <w:pPr>
        <w:numPr>
          <w:ilvl w:val="0"/>
          <w:numId w:val="17"/>
        </w:numPr>
        <w:spacing w:line="360" w:lineRule="auto"/>
        <w:ind w:left="720" w:hanging="360"/>
        <w:jc w:val="both"/>
        <w:rPr/>
      </w:pPr>
      <w:sdt>
        <w:sdtPr>
          <w:tag w:val="goog_rdk_12"/>
        </w:sdtPr>
        <w:sdtContent>
          <w:r w:rsidDel="00000000" w:rsidR="00000000" w:rsidRPr="00000000">
            <w:rPr>
              <w:rFonts w:ascii="Gungsuh" w:cs="Gungsuh" w:eastAsia="Gungsuh" w:hAnsi="Gungsuh"/>
              <w:rtl w:val="0"/>
            </w:rPr>
            <w:t xml:space="preserve">Idade (&lt;65 e ≥65 anos).</w:t>
          </w:r>
        </w:sdtContent>
      </w:sdt>
    </w:p>
    <w:p w:rsidR="00000000" w:rsidDel="00000000" w:rsidP="00000000" w:rsidRDefault="00000000" w:rsidRPr="00000000" w14:paraId="00000292">
      <w:pPr>
        <w:numPr>
          <w:ilvl w:val="0"/>
          <w:numId w:val="17"/>
        </w:numPr>
        <w:spacing w:line="360" w:lineRule="auto"/>
        <w:ind w:left="720" w:hanging="360"/>
        <w:jc w:val="both"/>
        <w:rPr/>
      </w:pPr>
      <w:r w:rsidDel="00000000" w:rsidR="00000000" w:rsidRPr="00000000">
        <w:rPr>
          <w:rtl w:val="0"/>
        </w:rPr>
        <w:t xml:space="preserve">Doença cardiovascular prévia (sim ou não).</w:t>
      </w:r>
    </w:p>
    <w:p w:rsidR="00000000" w:rsidDel="00000000" w:rsidP="00000000" w:rsidRDefault="00000000" w:rsidRPr="00000000" w14:paraId="00000293">
      <w:pPr>
        <w:numPr>
          <w:ilvl w:val="0"/>
          <w:numId w:val="17"/>
        </w:numPr>
        <w:spacing w:line="360" w:lineRule="auto"/>
        <w:ind w:left="720" w:hanging="360"/>
        <w:jc w:val="both"/>
        <w:rPr/>
      </w:pPr>
      <w:r w:rsidDel="00000000" w:rsidR="00000000" w:rsidRPr="00000000">
        <w:rPr>
          <w:rtl w:val="0"/>
        </w:rPr>
        <w:t xml:space="preserve">A presença de fatores de risco para doenças cardiovasculares (diabetes, hipertensão, doença renal crônica).</w:t>
      </w:r>
    </w:p>
    <w:p w:rsidR="00000000" w:rsidDel="00000000" w:rsidP="00000000" w:rsidRDefault="00000000" w:rsidRPr="00000000" w14:paraId="00000294">
      <w:pPr>
        <w:numPr>
          <w:ilvl w:val="0"/>
          <w:numId w:val="17"/>
        </w:numPr>
        <w:spacing w:line="360" w:lineRule="auto"/>
        <w:ind w:left="720" w:hanging="360"/>
        <w:jc w:val="both"/>
        <w:rPr/>
      </w:pPr>
      <w:r w:rsidDel="00000000" w:rsidR="00000000" w:rsidRPr="00000000">
        <w:rPr>
          <w:rtl w:val="0"/>
        </w:rPr>
        <w:t xml:space="preserve">Tabagismo ativo ou história significativa de tabagismo.</w:t>
      </w:r>
    </w:p>
    <w:p w:rsidR="00000000" w:rsidDel="00000000" w:rsidP="00000000" w:rsidRDefault="00000000" w:rsidRPr="00000000" w14:paraId="00000295">
      <w:pPr>
        <w:numPr>
          <w:ilvl w:val="0"/>
          <w:numId w:val="17"/>
        </w:numPr>
        <w:spacing w:line="360" w:lineRule="auto"/>
        <w:ind w:left="720" w:hanging="360"/>
        <w:jc w:val="both"/>
        <w:rPr/>
      </w:pPr>
      <w:r w:rsidDel="00000000" w:rsidR="00000000" w:rsidRPr="00000000">
        <w:rPr>
          <w:rtl w:val="0"/>
        </w:rPr>
        <w:t xml:space="preserve">Excesso de peso, obesidade ou síndrome metabólica.</w:t>
      </w:r>
    </w:p>
    <w:p w:rsidR="00000000" w:rsidDel="00000000" w:rsidP="00000000" w:rsidRDefault="00000000" w:rsidRPr="00000000" w14:paraId="00000296">
      <w:pPr>
        <w:numPr>
          <w:ilvl w:val="0"/>
          <w:numId w:val="17"/>
        </w:numPr>
        <w:spacing w:line="360" w:lineRule="auto"/>
        <w:ind w:left="720" w:hanging="360"/>
        <w:jc w:val="both"/>
        <w:rPr/>
      </w:pPr>
      <w:r w:rsidDel="00000000" w:rsidR="00000000" w:rsidRPr="00000000">
        <w:rPr>
          <w:rtl w:val="0"/>
        </w:rPr>
        <w:t xml:space="preserve">Participantes em uso prévio de estatinas.</w:t>
      </w:r>
    </w:p>
    <w:p w:rsidR="00000000" w:rsidDel="00000000" w:rsidP="00000000" w:rsidRDefault="00000000" w:rsidRPr="00000000" w14:paraId="00000297">
      <w:pPr>
        <w:spacing w:line="360" w:lineRule="auto"/>
        <w:ind w:firstLine="720"/>
        <w:jc w:val="both"/>
        <w:rPr>
          <w:b w:val="1"/>
        </w:rPr>
      </w:pPr>
      <w:r w:rsidDel="00000000" w:rsidR="00000000" w:rsidRPr="00000000">
        <w:rPr>
          <w:rtl w:val="0"/>
        </w:rPr>
      </w:r>
    </w:p>
    <w:p w:rsidR="00000000" w:rsidDel="00000000" w:rsidP="00000000" w:rsidRDefault="00000000" w:rsidRPr="00000000" w14:paraId="00000298">
      <w:pPr>
        <w:pStyle w:val="Heading1"/>
        <w:numPr>
          <w:ilvl w:val="0"/>
          <w:numId w:val="1"/>
        </w:numPr>
        <w:spacing w:after="360" w:lineRule="auto"/>
        <w:ind w:left="720" w:hanging="360"/>
        <w:rPr>
          <w:rFonts w:ascii="Times New Roman" w:cs="Times New Roman" w:eastAsia="Times New Roman" w:hAnsi="Times New Roman"/>
          <w:sz w:val="24"/>
          <w:szCs w:val="24"/>
        </w:rPr>
      </w:pPr>
      <w:bookmarkStart w:colFirst="0" w:colLast="0" w:name="_heading=h.1mrcu09" w:id="49"/>
      <w:bookmarkEnd w:id="49"/>
      <w:r w:rsidDel="00000000" w:rsidR="00000000" w:rsidRPr="00000000">
        <w:rPr>
          <w:rFonts w:ascii="Times New Roman" w:cs="Times New Roman" w:eastAsia="Times New Roman" w:hAnsi="Times New Roman"/>
          <w:sz w:val="24"/>
          <w:szCs w:val="24"/>
          <w:rtl w:val="0"/>
        </w:rPr>
        <w:t xml:space="preserve">ASPECTOS ÉTICOS</w:t>
      </w:r>
    </w:p>
    <w:p w:rsidR="00000000" w:rsidDel="00000000" w:rsidP="00000000" w:rsidRDefault="00000000" w:rsidRPr="00000000" w14:paraId="00000299">
      <w:pPr>
        <w:spacing w:line="360" w:lineRule="auto"/>
        <w:ind w:firstLine="720"/>
        <w:jc w:val="both"/>
        <w:rPr>
          <w:color w:val="000000"/>
        </w:rPr>
      </w:pPr>
      <w:r w:rsidDel="00000000" w:rsidR="00000000" w:rsidRPr="00000000">
        <w:rPr>
          <w:color w:val="000000"/>
          <w:rtl w:val="0"/>
        </w:rPr>
        <w:t xml:space="preserve">Em concordância com o disposto na Resolução do CNS n° 466 de 12 de dezembro de 2012, e considerando o respeito pela dignidade humana e pela especial proteção devida aos participantes das pesquisas cientificas envolvendo seres humanos, assim como o desenvolvimento e engajamento ético inerente ao desenvolvimento científico, o uso ou divulgação das informações de saúde será unicamente com finalidade de preparo do protocolo de pesquisa. Desta forma, os pesquisadores não removerão informações que não sejam relacionadas ao estudo, sendo o acesso solicitado restrito ao necessário para a pesquisa.</w:t>
        <w:tab/>
      </w:r>
    </w:p>
    <w:p w:rsidR="00000000" w:rsidDel="00000000" w:rsidP="00000000" w:rsidRDefault="00000000" w:rsidRPr="00000000" w14:paraId="0000029A">
      <w:pPr>
        <w:spacing w:line="360" w:lineRule="auto"/>
        <w:ind w:firstLine="720"/>
        <w:jc w:val="both"/>
        <w:rPr>
          <w:color w:val="000000"/>
        </w:rPr>
      </w:pPr>
      <w:r w:rsidDel="00000000" w:rsidR="00000000" w:rsidRPr="00000000">
        <w:rPr>
          <w:color w:val="000000"/>
          <w:rtl w:val="0"/>
        </w:rPr>
        <w:t xml:space="preserve">A realização de todos os procedimentos será explicada por um dos pesquisadores com clareza e exatidão, respeitando o nível de compreensão do candidato. Os riscos e medidas de mitigação relacionadas a cada variável de interesse envolvem:</w:t>
      </w:r>
    </w:p>
    <w:p w:rsidR="00000000" w:rsidDel="00000000" w:rsidP="00000000" w:rsidRDefault="00000000" w:rsidRPr="00000000" w14:paraId="0000029B">
      <w:pPr>
        <w:spacing w:line="360" w:lineRule="auto"/>
        <w:ind w:firstLine="709"/>
        <w:jc w:val="both"/>
        <w:rPr>
          <w:color w:val="000000"/>
        </w:rPr>
      </w:pPr>
      <w:r w:rsidDel="00000000" w:rsidR="00000000" w:rsidRPr="00000000">
        <w:rPr>
          <w:color w:val="000000"/>
          <w:rtl w:val="0"/>
        </w:rPr>
        <w:t xml:space="preserve">Todos os colaboradores que auxiliam na condução do estudo serão informados sobre suas obrigações no cumprimento dos compromissos éticos relacionados à pesquisa. Os pesquisadores envolvidos se comprometerão a realizar o </w:t>
      </w:r>
      <w:r w:rsidDel="00000000" w:rsidR="00000000" w:rsidRPr="00000000">
        <w:rPr>
          <w:i w:val="1"/>
          <w:color w:val="000000"/>
          <w:rtl w:val="0"/>
        </w:rPr>
        <w:t xml:space="preserve">logout</w:t>
      </w:r>
      <w:r w:rsidDel="00000000" w:rsidR="00000000" w:rsidRPr="00000000">
        <w:rPr>
          <w:color w:val="000000"/>
          <w:rtl w:val="0"/>
        </w:rPr>
        <w:t xml:space="preserve"> do computador contendo os dados coletados sempre que for necessário se afastar do computador, evitando que os dados disponíveis na tela sejam acessados ou visualizados por outro usuário.</w:t>
      </w:r>
    </w:p>
    <w:p w:rsidR="00000000" w:rsidDel="00000000" w:rsidP="00000000" w:rsidRDefault="00000000" w:rsidRPr="00000000" w14:paraId="0000029C">
      <w:pPr>
        <w:spacing w:line="360" w:lineRule="auto"/>
        <w:ind w:firstLine="709"/>
        <w:jc w:val="both"/>
        <w:rPr>
          <w:color w:val="000000"/>
        </w:rPr>
      </w:pPr>
      <w:r w:rsidDel="00000000" w:rsidR="00000000" w:rsidRPr="00000000">
        <w:rPr>
          <w:color w:val="000000"/>
          <w:rtl w:val="0"/>
        </w:rPr>
        <w:t xml:space="preserve">Nos casos de detecção de alguma inconformidade, tais como erro profissional/laboratorial no manejo e/ou resultado do quadro de um participante, será realizada comunicação imediata ao pesquisador chefe responsável pela intervenção com intuito de que seja dado ao participante a oportunidade de reavaliação por profissional competente. </w:t>
      </w:r>
    </w:p>
    <w:p w:rsidR="00000000" w:rsidDel="00000000" w:rsidP="00000000" w:rsidRDefault="00000000" w:rsidRPr="00000000" w14:paraId="0000029D">
      <w:pPr>
        <w:spacing w:line="360" w:lineRule="auto"/>
        <w:ind w:firstLine="709"/>
        <w:jc w:val="both"/>
        <w:rPr>
          <w:color w:val="000000"/>
        </w:rPr>
      </w:pPr>
      <w:r w:rsidDel="00000000" w:rsidR="00000000" w:rsidRPr="00000000">
        <w:rPr>
          <w:color w:val="000000"/>
          <w:rtl w:val="0"/>
        </w:rPr>
        <w:t xml:space="preserve">O projeto será realizado de acordo com os protocolos descritos e qualquer alteração ou não conformidade será notificada ao CEP. A pesquisa também poderá ser suspensa ou readequada caso quaisquer pesquisadores observem riscos ou danos à saúde do participante da pesquisa que não sejam suficientemente mitigados por medidas e/ou procedimentos adotados.</w:t>
      </w:r>
    </w:p>
    <w:p w:rsidR="00000000" w:rsidDel="00000000" w:rsidP="00000000" w:rsidRDefault="00000000" w:rsidRPr="00000000" w14:paraId="0000029E">
      <w:pPr>
        <w:spacing w:line="360" w:lineRule="auto"/>
        <w:ind w:firstLine="709"/>
        <w:jc w:val="both"/>
        <w:rPr>
          <w:color w:val="000000"/>
        </w:rPr>
      </w:pPr>
      <w:r w:rsidDel="00000000" w:rsidR="00000000" w:rsidRPr="00000000">
        <w:rPr>
          <w:color w:val="000000"/>
          <w:rtl w:val="0"/>
        </w:rPr>
        <w:t xml:space="preserve">Será solicitado consentimento informado, no qual os participantes serão informados com precisão e clareza da finalidade, métodos, riscos, benefícios e alternativas à pesquisa. Serão repassadas informações sobre a pesquisa, sua condução e como ela se relaciona com a própria situação clínica ou interesses do participante, deixando a ele a decisão voluntária sobre participar ou não.</w:t>
      </w:r>
    </w:p>
    <w:p w:rsidR="00000000" w:rsidDel="00000000" w:rsidP="00000000" w:rsidRDefault="00000000" w:rsidRPr="00000000" w14:paraId="0000029F">
      <w:pPr>
        <w:spacing w:line="360" w:lineRule="auto"/>
        <w:ind w:firstLine="709"/>
        <w:jc w:val="both"/>
        <w:rPr>
          <w:color w:val="000000"/>
        </w:rPr>
      </w:pPr>
      <w:r w:rsidDel="00000000" w:rsidR="00000000" w:rsidRPr="00000000">
        <w:rPr>
          <w:color w:val="000000"/>
          <w:rtl w:val="0"/>
        </w:rPr>
        <w:t xml:space="preserve">O participante poderá se recusar a responder qualquer questão dos questionários de avaliação física e demográfica que lhe traga constrangimento, podendo desistir de participar da pesquisa em qualquer momento e sem nenhum prejuízo.</w:t>
      </w:r>
    </w:p>
    <w:p w:rsidR="00000000" w:rsidDel="00000000" w:rsidP="00000000" w:rsidRDefault="00000000" w:rsidRPr="00000000" w14:paraId="000002A0">
      <w:pPr>
        <w:spacing w:line="360" w:lineRule="auto"/>
        <w:ind w:firstLine="709"/>
        <w:jc w:val="both"/>
        <w:rPr>
          <w:color w:val="000000"/>
        </w:rPr>
      </w:pPr>
      <w:r w:rsidDel="00000000" w:rsidR="00000000" w:rsidRPr="00000000">
        <w:rPr>
          <w:color w:val="000000"/>
          <w:rtl w:val="0"/>
        </w:rPr>
        <w:t xml:space="preserve">Não haverá qualquer tipo de responsabilização das instituições coparticipantes (SES-DF e UCB) sobre danos e externalidades decorrentes da pesquisa, visto que serão utilizadas apenas para seleção. </w:t>
      </w:r>
    </w:p>
    <w:p w:rsidR="00000000" w:rsidDel="00000000" w:rsidP="00000000" w:rsidRDefault="00000000" w:rsidRPr="00000000" w14:paraId="000002A1">
      <w:pPr>
        <w:spacing w:line="360" w:lineRule="auto"/>
        <w:ind w:firstLine="709"/>
        <w:jc w:val="both"/>
        <w:rPr>
          <w:color w:val="000000"/>
          <w:u w:val="single"/>
        </w:rPr>
      </w:pPr>
      <w:r w:rsidDel="00000000" w:rsidR="00000000" w:rsidRPr="00000000">
        <w:rPr>
          <w:color w:val="000000"/>
          <w:u w:val="single"/>
          <w:rtl w:val="0"/>
        </w:rPr>
        <w:t xml:space="preserve">Serão realizadas consultas diárias aos endereços eletrônicos para monitorar a ausência de exames laboratoriais e medicamentos fornecidos pela SES-DF. Nos casos em que a falta seja identificada e afete o acompanhamento farmacoterapêutico ou a realização dos exames programados, serão consideradas alternativas disponíveis para contornar essa situação. Isso pode incluir a reprogramação de exames em caso de escassez temporária e a substituição por medicamentos equivalentes, sempre que possível.</w:t>
      </w:r>
    </w:p>
    <w:p w:rsidR="00000000" w:rsidDel="00000000" w:rsidP="00000000" w:rsidRDefault="00000000" w:rsidRPr="00000000" w14:paraId="000002A2">
      <w:pPr>
        <w:spacing w:line="360" w:lineRule="auto"/>
        <w:ind w:firstLine="709"/>
        <w:jc w:val="both"/>
        <w:rPr>
          <w:color w:val="000000"/>
          <w:u w:val="single"/>
        </w:rPr>
      </w:pPr>
      <w:r w:rsidDel="00000000" w:rsidR="00000000" w:rsidRPr="00000000">
        <w:rPr>
          <w:color w:val="000000"/>
          <w:u w:val="single"/>
          <w:rtl w:val="0"/>
        </w:rPr>
        <w:t xml:space="preserve">Manteremos uma comunicação clara com os participantes do estudo, informando-os sobre qualquer falta de exames ou medicamentos que possa prejudicar o atendimento às suas necessidades médicas. Explicaremos as medidas adotadas para resolver o problema e quaisquer restrições temporárias ao atendimento de urgências e emergências.</w:t>
      </w:r>
    </w:p>
    <w:p w:rsidR="00000000" w:rsidDel="00000000" w:rsidP="00000000" w:rsidRDefault="00000000" w:rsidRPr="00000000" w14:paraId="000002A3">
      <w:pPr>
        <w:spacing w:line="360" w:lineRule="auto"/>
        <w:ind w:firstLine="709"/>
        <w:jc w:val="both"/>
        <w:rPr>
          <w:color w:val="000000"/>
          <w:u w:val="single"/>
        </w:rPr>
      </w:pPr>
      <w:r w:rsidDel="00000000" w:rsidR="00000000" w:rsidRPr="00000000">
        <w:rPr>
          <w:color w:val="000000"/>
          <w:u w:val="single"/>
          <w:rtl w:val="0"/>
        </w:rPr>
        <w:t xml:space="preserve">Mesmo diante da falta de exames e medicamentos, garantiremos que os participantes do estudo tenham prioridade no atendimento de urgências e emergências. Isso poderá envolver o encaminhamento para unidades de saúde capazes de fornecer o tratamento necessário, mesmo que isso esteja fora do escopo do estudo.</w:t>
      </w:r>
    </w:p>
    <w:p w:rsidR="00000000" w:rsidDel="00000000" w:rsidP="00000000" w:rsidRDefault="00000000" w:rsidRPr="00000000" w14:paraId="000002A4">
      <w:pPr>
        <w:spacing w:line="360" w:lineRule="auto"/>
        <w:ind w:firstLine="709"/>
        <w:jc w:val="both"/>
        <w:rPr>
          <w:color w:val="000000"/>
          <w:u w:val="single"/>
        </w:rPr>
      </w:pPr>
      <w:r w:rsidDel="00000000" w:rsidR="00000000" w:rsidRPr="00000000">
        <w:rPr>
          <w:color w:val="000000"/>
          <w:u w:val="single"/>
          <w:rtl w:val="0"/>
        </w:rPr>
        <w:t xml:space="preserve">Manteremos registros detalhados de todas as ações tomadas para lidar com a falta de exames e medicamentos, incluindo comunicações, notificações e medidas adotadas, assim como o tipo de intervenção realizada.</w:t>
      </w:r>
    </w:p>
    <w:p w:rsidR="00000000" w:rsidDel="00000000" w:rsidP="00000000" w:rsidRDefault="00000000" w:rsidRPr="00000000" w14:paraId="000002A5">
      <w:pPr>
        <w:spacing w:line="360" w:lineRule="auto"/>
        <w:ind w:firstLine="709"/>
        <w:jc w:val="both"/>
        <w:rPr>
          <w:color w:val="000000"/>
          <w:u w:val="single"/>
        </w:rPr>
      </w:pPr>
      <w:r w:rsidDel="00000000" w:rsidR="00000000" w:rsidRPr="00000000">
        <w:rPr>
          <w:color w:val="000000"/>
          <w:u w:val="single"/>
          <w:rtl w:val="0"/>
        </w:rPr>
        <w:t xml:space="preserve">Situações críticas caracterizadas por crises hipertensivas e suas complicações serão identificadas por meio do uso do </w:t>
      </w:r>
      <w:r w:rsidDel="00000000" w:rsidR="00000000" w:rsidRPr="00000000">
        <w:rPr>
          <w:i w:val="1"/>
          <w:color w:val="000000"/>
          <w:u w:val="single"/>
          <w:rtl w:val="0"/>
        </w:rPr>
        <w:t xml:space="preserve">software</w:t>
      </w:r>
      <w:r w:rsidDel="00000000" w:rsidR="00000000" w:rsidRPr="00000000">
        <w:rPr>
          <w:color w:val="000000"/>
          <w:u w:val="single"/>
          <w:rtl w:val="0"/>
        </w:rPr>
        <w:t xml:space="preserve">. O sistema realizará um monitoramento contínuo dos dados de saúde dos participantes, incluindo a medição da pressão arterial. Quando o sistema detectar leituras da pressão arterial que sugiram uma possível crise hipertensiva, glicemia anormal ou outros sinais de emergência, um alerta será acionado automaticamente.</w:t>
      </w:r>
    </w:p>
    <w:p w:rsidR="00000000" w:rsidDel="00000000" w:rsidP="00000000" w:rsidRDefault="00000000" w:rsidRPr="00000000" w14:paraId="000002A6">
      <w:pPr>
        <w:spacing w:line="360" w:lineRule="auto"/>
        <w:ind w:firstLine="709"/>
        <w:jc w:val="both"/>
        <w:rPr>
          <w:color w:val="000000"/>
          <w:u w:val="single"/>
        </w:rPr>
      </w:pPr>
      <w:r w:rsidDel="00000000" w:rsidR="00000000" w:rsidRPr="00000000">
        <w:rPr>
          <w:color w:val="000000"/>
          <w:u w:val="single"/>
          <w:rtl w:val="0"/>
        </w:rPr>
        <w:t xml:space="preserve">A equipe responsável pelo acompanhamento do projeto receberá notificações em tempo real referentes aos alertas gerados pelo sistema. Os monitores de pesquisa terão acesso imediato aos dados de saúde do participante em questão e entrarão em contato por meio da plataforma </w:t>
      </w:r>
      <w:r w:rsidDel="00000000" w:rsidR="00000000" w:rsidRPr="00000000">
        <w:rPr>
          <w:i w:val="1"/>
          <w:color w:val="000000"/>
          <w:u w:val="single"/>
          <w:rtl w:val="0"/>
        </w:rPr>
        <w:t xml:space="preserve">online </w:t>
      </w:r>
      <w:r w:rsidDel="00000000" w:rsidR="00000000" w:rsidRPr="00000000">
        <w:rPr>
          <w:color w:val="000000"/>
          <w:u w:val="single"/>
          <w:rtl w:val="0"/>
        </w:rPr>
        <w:t xml:space="preserve">ou por telefone, dependendo da gravidade da situação. Durante a comunicação, eles conduzirão uma avaliação do participante, fazendo perguntas e fornecendo orientações de acordo com as diretrizes médicas.</w:t>
      </w:r>
    </w:p>
    <w:p w:rsidR="00000000" w:rsidDel="00000000" w:rsidP="00000000" w:rsidRDefault="00000000" w:rsidRPr="00000000" w14:paraId="000002A7">
      <w:pPr>
        <w:spacing w:line="360" w:lineRule="auto"/>
        <w:ind w:firstLine="709"/>
        <w:jc w:val="both"/>
        <w:rPr>
          <w:color w:val="000000"/>
          <w:u w:val="single"/>
        </w:rPr>
      </w:pPr>
      <w:r w:rsidDel="00000000" w:rsidR="00000000" w:rsidRPr="00000000">
        <w:rPr>
          <w:color w:val="000000"/>
          <w:u w:val="single"/>
          <w:rtl w:val="0"/>
        </w:rPr>
        <w:t xml:space="preserve">Se a emergência for confirmada ou se houver preocupações significativas, os monitores de pesquisa entrarão em contato imediato com o médico responsável, que avaliará a situação remotamente e decidirá sobre a ação apropriada.</w:t>
      </w:r>
    </w:p>
    <w:p w:rsidR="00000000" w:rsidDel="00000000" w:rsidP="00000000" w:rsidRDefault="00000000" w:rsidRPr="00000000" w14:paraId="000002A8">
      <w:pPr>
        <w:spacing w:line="360" w:lineRule="auto"/>
        <w:ind w:firstLine="709"/>
        <w:jc w:val="both"/>
        <w:rPr>
          <w:color w:val="000000"/>
          <w:u w:val="single"/>
        </w:rPr>
      </w:pPr>
      <w:r w:rsidDel="00000000" w:rsidR="00000000" w:rsidRPr="00000000">
        <w:rPr>
          <w:color w:val="000000"/>
          <w:u w:val="single"/>
          <w:rtl w:val="0"/>
        </w:rPr>
        <w:t xml:space="preserve">Em situações graves, como crises hipertensivas ou hiperglicêmicas agudas, será recomendada a busca por atendimento médico presencial na unidade básica de saúde de acompanhamento usual do participante. Todos os registros de atendimentos de emergência, intervenções e acompanhamento serão devidamente registrados no sistema.</w:t>
      </w:r>
    </w:p>
    <w:p w:rsidR="00000000" w:rsidDel="00000000" w:rsidP="00000000" w:rsidRDefault="00000000" w:rsidRPr="00000000" w14:paraId="000002A9">
      <w:pP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2AA">
      <w:pPr>
        <w:spacing w:after="120" w:line="360" w:lineRule="auto"/>
        <w:ind w:firstLine="720"/>
        <w:jc w:val="both"/>
        <w:rPr>
          <w:b w:val="1"/>
        </w:rPr>
      </w:pPr>
      <w:bookmarkStart w:colFirst="0" w:colLast="0" w:name="_heading=h.46r0co2" w:id="50"/>
      <w:bookmarkEnd w:id="50"/>
      <w:r w:rsidDel="00000000" w:rsidR="00000000" w:rsidRPr="00000000">
        <w:rPr>
          <w:b w:val="1"/>
          <w:rtl w:val="0"/>
        </w:rPr>
        <w:t xml:space="preserve">8.1 GESTÃO DE DADOS E MANUTENÇÃO DE REGISTROS</w:t>
      </w:r>
    </w:p>
    <w:p w:rsidR="00000000" w:rsidDel="00000000" w:rsidP="00000000" w:rsidRDefault="00000000" w:rsidRPr="00000000" w14:paraId="000002AB">
      <w:pPr>
        <w:spacing w:line="360" w:lineRule="auto"/>
        <w:ind w:firstLine="720"/>
        <w:jc w:val="both"/>
        <w:rPr>
          <w:b w:val="1"/>
        </w:rPr>
      </w:pPr>
      <w:bookmarkStart w:colFirst="0" w:colLast="0" w:name="_heading=h.2lwamvv" w:id="51"/>
      <w:bookmarkEnd w:id="51"/>
      <w:r w:rsidDel="00000000" w:rsidR="00000000" w:rsidRPr="00000000">
        <w:rPr>
          <w:b w:val="1"/>
          <w:rtl w:val="0"/>
        </w:rPr>
        <w:t xml:space="preserve">8.1.1 MANUSEIO DOS DADOS</w:t>
      </w:r>
    </w:p>
    <w:p w:rsidR="00000000" w:rsidDel="00000000" w:rsidP="00000000" w:rsidRDefault="00000000" w:rsidRPr="00000000" w14:paraId="000002AC">
      <w:pPr>
        <w:spacing w:line="360" w:lineRule="auto"/>
        <w:ind w:firstLine="720"/>
        <w:jc w:val="both"/>
        <w:rPr/>
      </w:pPr>
      <w:r w:rsidDel="00000000" w:rsidR="00000000" w:rsidRPr="00000000">
        <w:rPr>
          <w:rtl w:val="0"/>
        </w:rPr>
      </w:r>
    </w:p>
    <w:p w:rsidR="00000000" w:rsidDel="00000000" w:rsidP="00000000" w:rsidRDefault="00000000" w:rsidRPr="00000000" w14:paraId="000002AD">
      <w:pPr>
        <w:spacing w:line="360" w:lineRule="auto"/>
        <w:ind w:firstLine="720"/>
        <w:jc w:val="both"/>
        <w:rPr>
          <w:u w:val="single"/>
        </w:rPr>
      </w:pPr>
      <w:r w:rsidDel="00000000" w:rsidR="00000000" w:rsidRPr="00000000">
        <w:rPr>
          <w:u w:val="single"/>
          <w:rtl w:val="0"/>
        </w:rPr>
        <w:t xml:space="preserve">Os dados serão coletados e registrados em cada local durante as visitas e posteriormente inseridos e armazenados no REDCap, conforme instrumento de coleta de dados proposto no Apêndice IV. A responsabilidade pelas inscrições será atribuída ao AIHR, </w:t>
      </w:r>
      <w:r w:rsidDel="00000000" w:rsidR="00000000" w:rsidRPr="00000000">
        <w:rPr>
          <w:i w:val="1"/>
          <w:u w:val="single"/>
          <w:rtl w:val="0"/>
        </w:rPr>
        <w:t xml:space="preserve">Aramari apo Institute for Healthcare Research</w:t>
      </w:r>
      <w:r w:rsidDel="00000000" w:rsidR="00000000" w:rsidRPr="00000000">
        <w:rPr>
          <w:u w:val="single"/>
          <w:rtl w:val="0"/>
        </w:rPr>
        <w:t xml:space="preserve">. Os principais pesquisadores do estudo, os professores Luiz Sérgio Carvalho e Andrei Sposito, assumirão toda a responsabilidade pela coleta, gerenciamento e manutenção dos dados. O plano de análises interinas está apresentado no Apêndice II. </w:t>
      </w:r>
    </w:p>
    <w:p w:rsidR="00000000" w:rsidDel="00000000" w:rsidP="00000000" w:rsidRDefault="00000000" w:rsidRPr="00000000" w14:paraId="000002AE">
      <w:pPr>
        <w:spacing w:line="360" w:lineRule="auto"/>
        <w:ind w:firstLine="720"/>
        <w:jc w:val="both"/>
        <w:rPr>
          <w:u w:val="single"/>
        </w:rPr>
      </w:pPr>
      <w:r w:rsidDel="00000000" w:rsidR="00000000" w:rsidRPr="00000000">
        <w:rPr>
          <w:u w:val="single"/>
          <w:rtl w:val="0"/>
        </w:rPr>
        <w:t xml:space="preserve">Os dados relativos à gestão do estudo serão realizados por meio da plataforma </w:t>
      </w:r>
      <w:r w:rsidDel="00000000" w:rsidR="00000000" w:rsidRPr="00000000">
        <w:rPr>
          <w:i w:val="1"/>
          <w:u w:val="single"/>
          <w:rtl w:val="0"/>
        </w:rPr>
        <w:t xml:space="preserve">online</w:t>
      </w:r>
      <w:r w:rsidDel="00000000" w:rsidR="00000000" w:rsidRPr="00000000">
        <w:rPr>
          <w:u w:val="single"/>
          <w:rtl w:val="0"/>
        </w:rPr>
        <w:t xml:space="preserve"> “TAMIS”. Esta plataforma é uma ferramenta de suporte à decisão clínica e administrativa que conecta informações de pacientes, times de saúde e gestores de saúde em diversos níveis hierárquicos. O protótipo é baseado em plataforma Web, estruturado com </w:t>
      </w:r>
      <w:r w:rsidDel="00000000" w:rsidR="00000000" w:rsidRPr="00000000">
        <w:rPr>
          <w:i w:val="1"/>
          <w:u w:val="single"/>
          <w:rtl w:val="0"/>
        </w:rPr>
        <w:t xml:space="preserve">back-end</w:t>
      </w:r>
      <w:r w:rsidDel="00000000" w:rsidR="00000000" w:rsidRPr="00000000">
        <w:rPr>
          <w:u w:val="single"/>
          <w:rtl w:val="0"/>
        </w:rPr>
        <w:t xml:space="preserve"> em microsserviços nas linguagens Java/Python/R</w:t>
      </w:r>
      <w:r w:rsidDel="00000000" w:rsidR="00000000" w:rsidRPr="00000000">
        <w:rPr>
          <w:i w:val="1"/>
          <w:u w:val="single"/>
          <w:rtl w:val="0"/>
        </w:rPr>
        <w:t xml:space="preserve">, front-end</w:t>
      </w:r>
      <w:r w:rsidDel="00000000" w:rsidR="00000000" w:rsidRPr="00000000">
        <w:rPr>
          <w:u w:val="single"/>
          <w:rtl w:val="0"/>
        </w:rPr>
        <w:t xml:space="preserve"> com </w:t>
      </w:r>
      <w:r w:rsidDel="00000000" w:rsidR="00000000" w:rsidRPr="00000000">
        <w:rPr>
          <w:i w:val="1"/>
          <w:u w:val="single"/>
          <w:rtl w:val="0"/>
        </w:rPr>
        <w:t xml:space="preserve">framework</w:t>
      </w:r>
      <w:r w:rsidDel="00000000" w:rsidR="00000000" w:rsidRPr="00000000">
        <w:rPr>
          <w:u w:val="single"/>
          <w:rtl w:val="0"/>
        </w:rPr>
        <w:t xml:space="preserve"> Angular para gerenciamento de banco de dados MySQL, serviço de armazenamento de objetos no serviço em nuvem que oferece escalabilidade e controle de versionamento de código com Github. A Plataforma está registrada no Instituto Nacional de Propriedade Intelectual (INPI) sob o número BR 51 2023 001168-1. </w:t>
      </w:r>
    </w:p>
    <w:p w:rsidR="00000000" w:rsidDel="00000000" w:rsidP="00000000" w:rsidRDefault="00000000" w:rsidRPr="00000000" w14:paraId="000002AF">
      <w:pPr>
        <w:spacing w:line="360" w:lineRule="auto"/>
        <w:ind w:firstLine="720"/>
        <w:jc w:val="both"/>
        <w:rPr>
          <w:u w:val="single"/>
        </w:rPr>
      </w:pPr>
      <w:r w:rsidDel="00000000" w:rsidR="00000000" w:rsidRPr="00000000">
        <w:rPr>
          <w:u w:val="single"/>
          <w:rtl w:val="0"/>
        </w:rPr>
        <w:t xml:space="preserve">O </w:t>
      </w:r>
      <w:r w:rsidDel="00000000" w:rsidR="00000000" w:rsidRPr="00000000">
        <w:rPr>
          <w:i w:val="1"/>
          <w:u w:val="single"/>
          <w:rtl w:val="0"/>
        </w:rPr>
        <w:t xml:space="preserve">software</w:t>
      </w:r>
      <w:r w:rsidDel="00000000" w:rsidR="00000000" w:rsidRPr="00000000">
        <w:rPr>
          <w:u w:val="single"/>
          <w:rtl w:val="0"/>
        </w:rPr>
        <w:t xml:space="preserve"> foi desenvolvido para implementar o algoritmo clínico que fornece recomendações terapêuticas personalizadas para redução de colesterol e controle de hipertensão e glicemia, bem como monitora o progresso do paciente. O aplicativo utiliza dados demográficos, laboratoriais, medicamentosos e históricos médicos do paciente, que são integrados a um servidor de interface de programação de aplicativos (API) para gerar recomendações iniciais e subsequentes com base em algoritmos para tratamento e testes laboratoriais. Além disso, o aplicativo oferece uma ferramenta de agendamento para acompanhamento de chamadas telefônicas, exames laboratoriais, documentação e coordenação da gestão do atendimento ao paciente, em total conformidade com a Lei Geral de Proteção de Dados (LGPD).</w:t>
      </w:r>
    </w:p>
    <w:p w:rsidR="00000000" w:rsidDel="00000000" w:rsidP="00000000" w:rsidRDefault="00000000" w:rsidRPr="00000000" w14:paraId="000002B0">
      <w:pPr>
        <w:spacing w:line="360" w:lineRule="auto"/>
        <w:ind w:firstLine="720"/>
        <w:jc w:val="both"/>
        <w:rPr/>
      </w:pPr>
      <w:r w:rsidDel="00000000" w:rsidR="00000000" w:rsidRPr="00000000">
        <w:rPr>
          <w:rtl w:val="0"/>
        </w:rPr>
      </w:r>
    </w:p>
    <w:p w:rsidR="00000000" w:rsidDel="00000000" w:rsidP="00000000" w:rsidRDefault="00000000" w:rsidRPr="00000000" w14:paraId="000002B1">
      <w:pPr>
        <w:spacing w:line="360" w:lineRule="auto"/>
        <w:ind w:firstLine="720"/>
        <w:jc w:val="both"/>
        <w:rPr>
          <w:b w:val="1"/>
        </w:rPr>
      </w:pPr>
      <w:bookmarkStart w:colFirst="0" w:colLast="0" w:name="_heading=h.111kx3o" w:id="52"/>
      <w:bookmarkEnd w:id="52"/>
      <w:r w:rsidDel="00000000" w:rsidR="00000000" w:rsidRPr="00000000">
        <w:rPr>
          <w:b w:val="1"/>
          <w:rtl w:val="0"/>
        </w:rPr>
        <w:t xml:space="preserve">8.1.2 MANUTENÇÃO DE REGISTOS</w:t>
      </w:r>
    </w:p>
    <w:p w:rsidR="00000000" w:rsidDel="00000000" w:rsidP="00000000" w:rsidRDefault="00000000" w:rsidRPr="00000000" w14:paraId="000002B2">
      <w:pPr>
        <w:spacing w:line="360" w:lineRule="auto"/>
        <w:ind w:firstLine="720"/>
        <w:jc w:val="both"/>
        <w:rPr/>
      </w:pPr>
      <w:r w:rsidDel="00000000" w:rsidR="00000000" w:rsidRPr="00000000">
        <w:rPr>
          <w:rtl w:val="0"/>
        </w:rPr>
      </w:r>
    </w:p>
    <w:p w:rsidR="00000000" w:rsidDel="00000000" w:rsidP="00000000" w:rsidRDefault="00000000" w:rsidRPr="00000000" w14:paraId="000002B3">
      <w:pPr>
        <w:spacing w:line="360" w:lineRule="auto"/>
        <w:ind w:firstLine="720"/>
        <w:jc w:val="both"/>
        <w:rPr/>
      </w:pPr>
      <w:r w:rsidDel="00000000" w:rsidR="00000000" w:rsidRPr="00000000">
        <w:rPr>
          <w:rtl w:val="0"/>
        </w:rPr>
        <w:t xml:space="preserve">O investigador é responsável por manter todos os documentos e registros, originais ou cópias autenticadas, relativos à condução deste ensaio clínico, necessários para a avaliação e reconstrução do mesmo. Os registros e documentos serão armazenados de acordo com as melhores práticas padronizadas e com as regras estabelecidas pelo REDCap em um armazenamento centralizado no AIHR, </w:t>
      </w:r>
      <w:r w:rsidDel="00000000" w:rsidR="00000000" w:rsidRPr="00000000">
        <w:rPr>
          <w:i w:val="1"/>
          <w:rtl w:val="0"/>
        </w:rPr>
        <w:t xml:space="preserve">Aramari apo Institute for Healthcare Research</w:t>
      </w:r>
      <w:r w:rsidDel="00000000" w:rsidR="00000000" w:rsidRPr="00000000">
        <w:rPr>
          <w:rtl w:val="0"/>
        </w:rPr>
        <w:t xml:space="preserve">. Os arquivos DICOM gerados também serão armazenados nesta mesma instalação. Além disso, o AIHR</w:t>
      </w:r>
      <w:r w:rsidDel="00000000" w:rsidR="00000000" w:rsidRPr="00000000">
        <w:rPr>
          <w:i w:val="1"/>
          <w:rtl w:val="0"/>
        </w:rPr>
        <w:t xml:space="preserve"> </w:t>
      </w:r>
      <w:r w:rsidDel="00000000" w:rsidR="00000000" w:rsidRPr="00000000">
        <w:rPr>
          <w:rtl w:val="0"/>
        </w:rPr>
        <w:t xml:space="preserve">reserva-se o direito de propriedade intelectual de todos os dados deste projeto de pesquisa.</w:t>
      </w:r>
    </w:p>
    <w:p w:rsidR="00000000" w:rsidDel="00000000" w:rsidP="00000000" w:rsidRDefault="00000000" w:rsidRPr="00000000" w14:paraId="000002B4">
      <w:pPr>
        <w:spacing w:line="360" w:lineRule="auto"/>
        <w:jc w:val="both"/>
        <w:rPr/>
      </w:pPr>
      <w:r w:rsidDel="00000000" w:rsidR="00000000" w:rsidRPr="00000000">
        <w:rPr>
          <w:rtl w:val="0"/>
        </w:rPr>
      </w:r>
    </w:p>
    <w:p w:rsidR="00000000" w:rsidDel="00000000" w:rsidP="00000000" w:rsidRDefault="00000000" w:rsidRPr="00000000" w14:paraId="000002B5">
      <w:pPr>
        <w:spacing w:line="360" w:lineRule="auto"/>
        <w:ind w:firstLine="720"/>
        <w:jc w:val="both"/>
        <w:rPr>
          <w:b w:val="1"/>
        </w:rPr>
      </w:pPr>
      <w:bookmarkStart w:colFirst="0" w:colLast="0" w:name="_heading=h.3l18frh" w:id="53"/>
      <w:bookmarkEnd w:id="53"/>
      <w:r w:rsidDel="00000000" w:rsidR="00000000" w:rsidRPr="00000000">
        <w:rPr>
          <w:b w:val="1"/>
          <w:rtl w:val="0"/>
        </w:rPr>
        <w:t xml:space="preserve">8.1.3 CONTROLE E GARANTIA DA QUALIDADE</w:t>
      </w:r>
    </w:p>
    <w:p w:rsidR="00000000" w:rsidDel="00000000" w:rsidP="00000000" w:rsidRDefault="00000000" w:rsidRPr="00000000" w14:paraId="000002B6">
      <w:pPr>
        <w:spacing w:line="360" w:lineRule="auto"/>
        <w:ind w:firstLine="720"/>
        <w:jc w:val="both"/>
        <w:rPr>
          <w:b w:val="1"/>
        </w:rPr>
      </w:pPr>
      <w:r w:rsidDel="00000000" w:rsidR="00000000" w:rsidRPr="00000000">
        <w:rPr>
          <w:rtl w:val="0"/>
        </w:rPr>
      </w:r>
    </w:p>
    <w:p w:rsidR="00000000" w:rsidDel="00000000" w:rsidP="00000000" w:rsidRDefault="00000000" w:rsidRPr="00000000" w14:paraId="000002B7">
      <w:pPr>
        <w:spacing w:line="360" w:lineRule="auto"/>
        <w:ind w:firstLine="720"/>
        <w:jc w:val="both"/>
        <w:rPr/>
      </w:pPr>
      <w:r w:rsidDel="00000000" w:rsidR="00000000" w:rsidRPr="00000000">
        <w:rPr>
          <w:rtl w:val="0"/>
        </w:rPr>
        <w:t xml:space="preserve">Para garantir a coleta e o registro adequados e consistentes dos dados, o Centro Coordenador realizará sessões presenciais e por videoconferência, fornecendo treinamento apropriado antes do início do estudo. Essas sessões são obrigatórias, além disso, o Centro Coordenador será responsável por fornecer suporte remoto a todos participantes do grupo de manejo remoto, com o objetivo de mitigar quaisquer possíveis problemas.</w:t>
      </w:r>
    </w:p>
    <w:p w:rsidR="00000000" w:rsidDel="00000000" w:rsidP="00000000" w:rsidRDefault="00000000" w:rsidRPr="00000000" w14:paraId="000002B8">
      <w:pPr>
        <w:spacing w:line="360" w:lineRule="auto"/>
        <w:ind w:firstLine="720"/>
        <w:jc w:val="both"/>
        <w:rPr/>
      </w:pPr>
      <w:r w:rsidDel="00000000" w:rsidR="00000000" w:rsidRPr="00000000">
        <w:rPr>
          <w:rtl w:val="0"/>
        </w:rPr>
        <w:t xml:space="preserve">Considerando as restrições na circulação de recursos e pessoas a partir da pandemia de COVID-19, o monitoramento </w:t>
      </w:r>
      <w:r w:rsidDel="00000000" w:rsidR="00000000" w:rsidRPr="00000000">
        <w:rPr>
          <w:i w:val="1"/>
          <w:rtl w:val="0"/>
        </w:rPr>
        <w:t xml:space="preserve">in loco</w:t>
      </w:r>
      <w:r w:rsidDel="00000000" w:rsidR="00000000" w:rsidRPr="00000000">
        <w:rPr>
          <w:rtl w:val="0"/>
        </w:rPr>
        <w:t xml:space="preserve"> só será realizado quando estiver em conformidade com as medidas e restrições locais de saúde pública. Assim, as visitas de monitoramento dependerão fortemente de videoconferências mensais.</w:t>
      </w:r>
    </w:p>
    <w:p w:rsidR="00000000" w:rsidDel="00000000" w:rsidP="00000000" w:rsidRDefault="00000000" w:rsidRPr="00000000" w14:paraId="000002B9">
      <w:pPr>
        <w:spacing w:line="360" w:lineRule="auto"/>
        <w:ind w:firstLine="720"/>
        <w:jc w:val="both"/>
        <w:rPr/>
      </w:pPr>
      <w:r w:rsidDel="00000000" w:rsidR="00000000" w:rsidRPr="00000000">
        <w:rPr>
          <w:rtl w:val="0"/>
        </w:rPr>
        <w:t xml:space="preserve">Durante o período de acompanhamento, serão conduzidas auditorias quinzenais com o intuito de identificar inconsistências e verificar a completude dos dados coletados. Quaisquer divergências em relação ao protocolo do estudo serão registradas e acompanhadas até que sejam resolvidas imediatamente pelo Centro Coordenador.</w:t>
      </w:r>
    </w:p>
    <w:p w:rsidR="00000000" w:rsidDel="00000000" w:rsidP="00000000" w:rsidRDefault="00000000" w:rsidRPr="00000000" w14:paraId="000002BA">
      <w:pPr>
        <w:spacing w:line="360" w:lineRule="auto"/>
        <w:ind w:firstLine="720"/>
        <w:jc w:val="both"/>
        <w:rPr>
          <w:u w:val="single"/>
        </w:rPr>
      </w:pPr>
      <w:r w:rsidDel="00000000" w:rsidR="00000000" w:rsidRPr="00000000">
        <w:rPr>
          <w:u w:val="single"/>
          <w:rtl w:val="0"/>
        </w:rPr>
        <w:t xml:space="preserve">No que diz respeito aos participantes de pesquisa randomizados para o grupo de manejo remoto, serão fornecidas informações completas e claras referentes a todas as etapas não presenciais do estudo, incluindo a disponibilização de modelos de formulários e termos de consentimento. O </w:t>
      </w:r>
      <w:r w:rsidDel="00000000" w:rsidR="00000000" w:rsidRPr="00000000">
        <w:rPr>
          <w:i w:val="1"/>
          <w:u w:val="single"/>
          <w:rtl w:val="0"/>
        </w:rPr>
        <w:t xml:space="preserve">software</w:t>
      </w:r>
      <w:r w:rsidDel="00000000" w:rsidR="00000000" w:rsidRPr="00000000">
        <w:rPr>
          <w:u w:val="single"/>
          <w:rtl w:val="0"/>
        </w:rPr>
        <w:t xml:space="preserve"> foi projetado de modo a não permitir a identificação dos participantes de pesquisa nem a visualização de seus dados de contato por terceiros. Convites individuais enviados serão cuidadosamente elaborados para garantir que apenas o remetente e o destinatário sejam visíveis.</w:t>
      </w:r>
    </w:p>
    <w:p w:rsidR="00000000" w:rsidDel="00000000" w:rsidP="00000000" w:rsidRDefault="00000000" w:rsidRPr="00000000" w14:paraId="000002BB">
      <w:pPr>
        <w:spacing w:line="360" w:lineRule="auto"/>
        <w:ind w:firstLine="720"/>
        <w:jc w:val="both"/>
        <w:rPr>
          <w:u w:val="single"/>
        </w:rPr>
      </w:pPr>
      <w:r w:rsidDel="00000000" w:rsidR="00000000" w:rsidRPr="00000000">
        <w:rPr>
          <w:u w:val="single"/>
          <w:rtl w:val="0"/>
        </w:rPr>
        <w:t xml:space="preserve">A equipe de pesquisa estará plenamente ciente da política de privacidade do </w:t>
      </w:r>
      <w:r w:rsidDel="00000000" w:rsidR="00000000" w:rsidRPr="00000000">
        <w:rPr>
          <w:i w:val="1"/>
          <w:u w:val="single"/>
          <w:rtl w:val="0"/>
        </w:rPr>
        <w:t xml:space="preserve">software</w:t>
      </w:r>
      <w:r w:rsidDel="00000000" w:rsidR="00000000" w:rsidRPr="00000000">
        <w:rPr>
          <w:u w:val="single"/>
          <w:rtl w:val="0"/>
        </w:rPr>
        <w:t xml:space="preserve"> e informará os participantes sobre qualquer compartilhamento de dados com parceiros comerciais, garantindo que os participantes estejam devidamente informados sobre como suas informações serão utilizadas.</w:t>
      </w:r>
    </w:p>
    <w:p w:rsidR="00000000" w:rsidDel="00000000" w:rsidP="00000000" w:rsidRDefault="00000000" w:rsidRPr="00000000" w14:paraId="000002BC">
      <w:pPr>
        <w:spacing w:line="360" w:lineRule="auto"/>
        <w:ind w:firstLine="720"/>
        <w:jc w:val="both"/>
        <w:rPr>
          <w:u w:val="single"/>
        </w:rPr>
      </w:pPr>
      <w:r w:rsidDel="00000000" w:rsidR="00000000" w:rsidRPr="00000000">
        <w:rPr>
          <w:u w:val="single"/>
          <w:rtl w:val="0"/>
        </w:rPr>
        <w:t xml:space="preserve">Os custos diretos e indiretos da pesquisa serão explicados aos participantes, em especial no que se refere ao uso gratuito da plataforma e ao acesso à internet necessário para seu funcionamento. Após a conclusão da coleta de dados, haverá o </w:t>
      </w:r>
      <w:r w:rsidDel="00000000" w:rsidR="00000000" w:rsidRPr="00000000">
        <w:rPr>
          <w:i w:val="1"/>
          <w:u w:val="single"/>
          <w:rtl w:val="0"/>
        </w:rPr>
        <w:t xml:space="preserve">download </w:t>
      </w:r>
      <w:r w:rsidDel="00000000" w:rsidR="00000000" w:rsidRPr="00000000">
        <w:rPr>
          <w:u w:val="single"/>
          <w:rtl w:val="0"/>
        </w:rPr>
        <w:t xml:space="preserve">dos dados para um dispositivo eletrônico local, com a exclusão de qualquer registro de plataformas virtuais ou compartilhadas, visando garantir a confidencialidade das informações dos participantes. A segurança na transferência e no armazenamento de dados será assegurada para proteger as informações coletadas contra acessos não autorizados.</w:t>
      </w:r>
    </w:p>
    <w:p w:rsidR="00000000" w:rsidDel="00000000" w:rsidP="00000000" w:rsidRDefault="00000000" w:rsidRPr="00000000" w14:paraId="000002BD">
      <w:pPr>
        <w:spacing w:line="360" w:lineRule="auto"/>
        <w:ind w:firstLine="720"/>
        <w:jc w:val="both"/>
        <w:rPr>
          <w:u w:val="single"/>
        </w:rPr>
      </w:pPr>
      <w:r w:rsidDel="00000000" w:rsidR="00000000" w:rsidRPr="00000000">
        <w:rPr>
          <w:u w:val="single"/>
          <w:rtl w:val="0"/>
        </w:rPr>
        <w:t xml:space="preserve">No que tange a identificação dos participantes da pesquisa, será adotado o uso de identificadores anônimos, evitando a coleta de informações pessoais como nomes, números de documentos ou prontuários, optando, em vez disso, por códigos para vincular os dados aos registros. A criptografia será garantida durante a transmissão e o armazenamento dos dados, prevenindo, assim, o acesso não autorizado.</w:t>
      </w:r>
    </w:p>
    <w:p w:rsidR="00000000" w:rsidDel="00000000" w:rsidP="00000000" w:rsidRDefault="00000000" w:rsidRPr="00000000" w14:paraId="000002BE">
      <w:pPr>
        <w:spacing w:line="360" w:lineRule="auto"/>
        <w:ind w:firstLine="720"/>
        <w:jc w:val="both"/>
        <w:rPr>
          <w:u w:val="single"/>
        </w:rPr>
      </w:pPr>
      <w:r w:rsidDel="00000000" w:rsidR="00000000" w:rsidRPr="00000000">
        <w:rPr>
          <w:u w:val="single"/>
          <w:rtl w:val="0"/>
        </w:rPr>
        <w:t xml:space="preserve">Será assegurado que somente pessoas autorizadas tenham acesso aos dados da pesquisa por meio de sistemas de autenticação seguros. O sigilo será garantido por meio do armazenamento seguro dos dados em servidores protegidos por senhas, incluindo </w:t>
      </w:r>
      <w:r w:rsidDel="00000000" w:rsidR="00000000" w:rsidRPr="00000000">
        <w:rPr>
          <w:i w:val="1"/>
          <w:u w:val="single"/>
          <w:rtl w:val="0"/>
        </w:rPr>
        <w:t xml:space="preserve">backups</w:t>
      </w:r>
      <w:r w:rsidDel="00000000" w:rsidR="00000000" w:rsidRPr="00000000">
        <w:rPr>
          <w:u w:val="single"/>
          <w:rtl w:val="0"/>
        </w:rPr>
        <w:t xml:space="preserve"> igualmente protegidos. Para garantir a confidencialidade, políticas rigorosas de controle de acesso aos dados serão adotadas, limitando o número de pessoas com permissão para visualizá-los.</w:t>
      </w:r>
    </w:p>
    <w:p w:rsidR="00000000" w:rsidDel="00000000" w:rsidP="00000000" w:rsidRDefault="00000000" w:rsidRPr="00000000" w14:paraId="000002BF">
      <w:pPr>
        <w:spacing w:line="360" w:lineRule="auto"/>
        <w:ind w:firstLine="720"/>
        <w:jc w:val="both"/>
        <w:rPr>
          <w:u w:val="single"/>
        </w:rPr>
      </w:pPr>
      <w:r w:rsidDel="00000000" w:rsidR="00000000" w:rsidRPr="00000000">
        <w:rPr>
          <w:u w:val="single"/>
          <w:rtl w:val="0"/>
        </w:rPr>
        <w:t xml:space="preserve">Em relação à confidencialidade, a equipe de pesquisa receberá treinamento enfatizando a importância de não divulgar informações dos participantes e de seguir políticas rigorosas de confidencialidade e proteção de dados.</w:t>
      </w:r>
    </w:p>
    <w:p w:rsidR="00000000" w:rsidDel="00000000" w:rsidP="00000000" w:rsidRDefault="00000000" w:rsidRPr="00000000" w14:paraId="000002C0">
      <w:pPr>
        <w:spacing w:line="360" w:lineRule="auto"/>
        <w:ind w:firstLine="720"/>
        <w:jc w:val="both"/>
        <w:rPr>
          <w:u w:val="single"/>
        </w:rPr>
      </w:pPr>
      <w:r w:rsidDel="00000000" w:rsidR="00000000" w:rsidRPr="00000000">
        <w:rPr>
          <w:u w:val="single"/>
          <w:rtl w:val="0"/>
        </w:rPr>
        <w:t xml:space="preserve">O treinamento da equipe de pesquisa incluirá como adotar as melhores práticas de segurança de dados, ética de pesquisa e a importância de proteger a privacidade dos participantes. O monitoramento contínuo durante a pesquisa será uma medida importante para garantir que todas as medidas de segurança e ética estejam sendo seguidas. Será mantida a comunicação transparente com os participantes, informando-os sobre qualquer risco potencial ou incidente de segurança que possa afetar a confidencialidade de seus dados.</w:t>
      </w:r>
    </w:p>
    <w:p w:rsidR="00000000" w:rsidDel="00000000" w:rsidP="00000000" w:rsidRDefault="00000000" w:rsidRPr="00000000" w14:paraId="000002C1">
      <w:pPr>
        <w:spacing w:line="360" w:lineRule="auto"/>
        <w:ind w:firstLine="720"/>
        <w:jc w:val="both"/>
        <w:rPr>
          <w:u w:val="single"/>
        </w:rPr>
      </w:pPr>
      <w:r w:rsidDel="00000000" w:rsidR="00000000" w:rsidRPr="00000000">
        <w:rPr>
          <w:u w:val="single"/>
          <w:rtl w:val="0"/>
        </w:rPr>
        <w:t xml:space="preserve">Dada a importância fundamental de tornar a plataforma </w:t>
      </w:r>
      <w:r w:rsidDel="00000000" w:rsidR="00000000" w:rsidRPr="00000000">
        <w:rPr>
          <w:i w:val="1"/>
          <w:u w:val="single"/>
          <w:rtl w:val="0"/>
        </w:rPr>
        <w:t xml:space="preserve">online</w:t>
      </w:r>
      <w:r w:rsidDel="00000000" w:rsidR="00000000" w:rsidRPr="00000000">
        <w:rPr>
          <w:u w:val="single"/>
          <w:rtl w:val="0"/>
        </w:rPr>
        <w:t xml:space="preserve"> "TAMIS" acessível a todos os participantes, reconhecemos que a internet desempenha um papel essencial na participação no estudo e na garantia de um padrão eficaz de cuidados para essas condições médicas. Com o objetivo de assegurar que a participação no estudo não seja prejudicada por eventuais desafios no acesso à internet, comprometemo-nos a cobrir os custos da conexão à internet enquanto o participante estiver ativamente envolvido no projeto.</w:t>
      </w:r>
    </w:p>
    <w:p w:rsidR="00000000" w:rsidDel="00000000" w:rsidP="00000000" w:rsidRDefault="00000000" w:rsidRPr="00000000" w14:paraId="000002C2">
      <w:pPr>
        <w:spacing w:line="360" w:lineRule="auto"/>
        <w:ind w:firstLine="720"/>
        <w:jc w:val="both"/>
        <w:rPr>
          <w:u w:val="single"/>
        </w:rPr>
      </w:pPr>
      <w:r w:rsidDel="00000000" w:rsidR="00000000" w:rsidRPr="00000000">
        <w:rPr>
          <w:u w:val="single"/>
          <w:rtl w:val="0"/>
        </w:rPr>
        <w:t xml:space="preserve">No Apêndice III está disponível uma prévia do relatório técnico final com dois estudos prévios incluídos, onde estão contidas informações sobre a adesão, eficácia e efetividade da plataforma </w:t>
      </w:r>
      <w:r w:rsidDel="00000000" w:rsidR="00000000" w:rsidRPr="00000000">
        <w:rPr>
          <w:i w:val="1"/>
          <w:u w:val="single"/>
          <w:rtl w:val="0"/>
        </w:rPr>
        <w:t xml:space="preserve">online </w:t>
      </w:r>
      <w:r w:rsidDel="00000000" w:rsidR="00000000" w:rsidRPr="00000000">
        <w:rPr>
          <w:u w:val="single"/>
          <w:rtl w:val="0"/>
        </w:rPr>
        <w:t xml:space="preserve">“TAMIS”.</w:t>
      </w:r>
    </w:p>
    <w:p w:rsidR="00000000" w:rsidDel="00000000" w:rsidP="00000000" w:rsidRDefault="00000000" w:rsidRPr="00000000" w14:paraId="000002C3">
      <w:pPr>
        <w:spacing w:line="360" w:lineRule="auto"/>
        <w:ind w:firstLine="720"/>
        <w:jc w:val="both"/>
        <w:rPr/>
      </w:pPr>
      <w:r w:rsidDel="00000000" w:rsidR="00000000" w:rsidRPr="00000000">
        <w:rPr>
          <w:rtl w:val="0"/>
        </w:rPr>
      </w:r>
    </w:p>
    <w:p w:rsidR="00000000" w:rsidDel="00000000" w:rsidP="00000000" w:rsidRDefault="00000000" w:rsidRPr="00000000" w14:paraId="000002C4">
      <w:pPr>
        <w:spacing w:line="360" w:lineRule="auto"/>
        <w:ind w:firstLine="720"/>
        <w:jc w:val="both"/>
        <w:rPr>
          <w:b w:val="1"/>
        </w:rPr>
      </w:pPr>
      <w:bookmarkStart w:colFirst="0" w:colLast="0" w:name="_heading=h.206ipza" w:id="54"/>
      <w:bookmarkEnd w:id="54"/>
      <w:r w:rsidDel="00000000" w:rsidR="00000000" w:rsidRPr="00000000">
        <w:rPr>
          <w:b w:val="1"/>
          <w:rtl w:val="0"/>
        </w:rPr>
        <w:t xml:space="preserve">8.1.4 CONFORMIDADE COM BOAS PRÁTICAS CLÍNICAS</w:t>
      </w:r>
    </w:p>
    <w:p w:rsidR="00000000" w:rsidDel="00000000" w:rsidP="00000000" w:rsidRDefault="00000000" w:rsidRPr="00000000" w14:paraId="000002C5">
      <w:pPr>
        <w:spacing w:line="360" w:lineRule="auto"/>
        <w:ind w:firstLine="720"/>
        <w:jc w:val="both"/>
        <w:rPr/>
      </w:pPr>
      <w:r w:rsidDel="00000000" w:rsidR="00000000" w:rsidRPr="00000000">
        <w:rPr>
          <w:rtl w:val="0"/>
        </w:rPr>
      </w:r>
    </w:p>
    <w:p w:rsidR="00000000" w:rsidDel="00000000" w:rsidP="00000000" w:rsidRDefault="00000000" w:rsidRPr="00000000" w14:paraId="000002C6">
      <w:pPr>
        <w:spacing w:line="360" w:lineRule="auto"/>
        <w:ind w:firstLine="720"/>
        <w:jc w:val="both"/>
        <w:rPr/>
      </w:pPr>
      <w:r w:rsidDel="00000000" w:rsidR="00000000" w:rsidRPr="00000000">
        <w:rPr>
          <w:rtl w:val="0"/>
        </w:rPr>
        <w:t xml:space="preserve">As Boas Práticas Clínicas são um padrão internacional de qualidade ética e científica para a concepção, condução, gravação e relato de ensaios que envolvam seres humanos. A conformidade com essas normas oferece garantia pública de que os direitos, a segurança e o bem-estar dos participantes do estudo estão protegidos. Essas normas estão disponíveis em resoluções nacionais e internacionais, como a Resolução CNS n° 466, de 12 de dezembro de 2012 e seus complementos do CNS/MS, bem como na Declaração de Helsinque</w:t>
      </w:r>
      <w:r w:rsidDel="00000000" w:rsidR="00000000" w:rsidRPr="00000000">
        <w:rPr>
          <w:vertAlign w:val="superscript"/>
          <w:rtl w:val="0"/>
        </w:rPr>
        <w:t xml:space="preserve">32</w:t>
      </w:r>
      <w:r w:rsidDel="00000000" w:rsidR="00000000" w:rsidRPr="00000000">
        <w:rPr>
          <w:rtl w:val="0"/>
        </w:rPr>
        <w:t xml:space="preserve"> e todas as suas sucessivas revisões.</w:t>
      </w:r>
    </w:p>
    <w:p w:rsidR="00000000" w:rsidDel="00000000" w:rsidP="00000000" w:rsidRDefault="00000000" w:rsidRPr="00000000" w14:paraId="000002C7">
      <w:pPr>
        <w:spacing w:line="360" w:lineRule="auto"/>
        <w:ind w:firstLine="720"/>
        <w:jc w:val="both"/>
        <w:rPr/>
      </w:pPr>
      <w:r w:rsidDel="00000000" w:rsidR="00000000" w:rsidRPr="00000000">
        <w:rPr>
          <w:rtl w:val="0"/>
        </w:rPr>
      </w:r>
    </w:p>
    <w:p w:rsidR="00000000" w:rsidDel="00000000" w:rsidP="00000000" w:rsidRDefault="00000000" w:rsidRPr="00000000" w14:paraId="000002C8">
      <w:pPr>
        <w:spacing w:line="360" w:lineRule="auto"/>
        <w:ind w:firstLine="720"/>
        <w:jc w:val="both"/>
        <w:rPr>
          <w:b w:val="1"/>
        </w:rPr>
      </w:pPr>
      <w:bookmarkStart w:colFirst="0" w:colLast="0" w:name="_heading=h.4k668n3" w:id="55"/>
      <w:bookmarkEnd w:id="55"/>
      <w:r w:rsidDel="00000000" w:rsidR="00000000" w:rsidRPr="00000000">
        <w:rPr>
          <w:b w:val="1"/>
          <w:rtl w:val="0"/>
        </w:rPr>
        <w:t xml:space="preserve">8.1.5 APROVAÇÃO E REGISTRO DO ESTUDO</w:t>
      </w:r>
    </w:p>
    <w:p w:rsidR="00000000" w:rsidDel="00000000" w:rsidP="00000000" w:rsidRDefault="00000000" w:rsidRPr="00000000" w14:paraId="000002C9">
      <w:pPr>
        <w:spacing w:line="360" w:lineRule="auto"/>
        <w:ind w:firstLine="720"/>
        <w:jc w:val="both"/>
        <w:rPr>
          <w:b w:val="1"/>
        </w:rPr>
      </w:pPr>
      <w:r w:rsidDel="00000000" w:rsidR="00000000" w:rsidRPr="00000000">
        <w:rPr>
          <w:rtl w:val="0"/>
        </w:rPr>
      </w:r>
    </w:p>
    <w:p w:rsidR="00000000" w:rsidDel="00000000" w:rsidP="00000000" w:rsidRDefault="00000000" w:rsidRPr="00000000" w14:paraId="000002CA">
      <w:pPr>
        <w:spacing w:line="360" w:lineRule="auto"/>
        <w:ind w:firstLine="720"/>
        <w:jc w:val="both"/>
        <w:rPr/>
      </w:pPr>
      <w:r w:rsidDel="00000000" w:rsidR="00000000" w:rsidRPr="00000000">
        <w:rPr>
          <w:rtl w:val="0"/>
        </w:rPr>
        <w:t xml:space="preserve">O estudo não será iniciado até que todas as instituições participantes obtenham a aprovação de seus respectivos Comitês de Ética em Pesquisa (CEP). Uma carta de encaminhamento protocolada e uma carta de aprovação ao CEP devem ser enviadas ao Centro Coordenador da AIHR, </w:t>
      </w:r>
      <w:r w:rsidDel="00000000" w:rsidR="00000000" w:rsidRPr="00000000">
        <w:rPr>
          <w:i w:val="1"/>
          <w:rtl w:val="0"/>
        </w:rPr>
        <w:t xml:space="preserve">Aramari apo Institute for Healthcare Research</w:t>
      </w:r>
      <w:r w:rsidDel="00000000" w:rsidR="00000000" w:rsidRPr="00000000">
        <w:rPr>
          <w:rtl w:val="0"/>
        </w:rPr>
        <w:t xml:space="preserve">. Além disso, todas as alterações subsequentes ao protocolo devem ser aprovadas pelo CEP. É responsabilidade do pesquisador principal submeter o relatório finalizado ao CEP após a conclusão do estudo. O protocolo será cadastrado nas plataformas </w:t>
      </w:r>
      <w:r w:rsidDel="00000000" w:rsidR="00000000" w:rsidRPr="00000000">
        <w:rPr>
          <w:i w:val="1"/>
          <w:rtl w:val="0"/>
        </w:rPr>
        <w:t xml:space="preserve">online</w:t>
      </w:r>
      <w:r w:rsidDel="00000000" w:rsidR="00000000" w:rsidRPr="00000000">
        <w:rPr>
          <w:rtl w:val="0"/>
        </w:rPr>
        <w:t xml:space="preserve"> "Plataforma Brasil" e "clinicaltrials.gov".</w:t>
      </w:r>
    </w:p>
    <w:p w:rsidR="00000000" w:rsidDel="00000000" w:rsidP="00000000" w:rsidRDefault="00000000" w:rsidRPr="00000000" w14:paraId="000002CB">
      <w:pPr>
        <w:spacing w:line="360" w:lineRule="auto"/>
        <w:ind w:firstLine="720"/>
        <w:jc w:val="both"/>
        <w:rPr/>
      </w:pPr>
      <w:r w:rsidDel="00000000" w:rsidR="00000000" w:rsidRPr="00000000">
        <w:rPr>
          <w:rtl w:val="0"/>
        </w:rPr>
      </w:r>
    </w:p>
    <w:p w:rsidR="00000000" w:rsidDel="00000000" w:rsidP="00000000" w:rsidRDefault="00000000" w:rsidRPr="00000000" w14:paraId="000002CC">
      <w:pPr>
        <w:spacing w:line="360" w:lineRule="auto"/>
        <w:ind w:firstLine="720"/>
        <w:jc w:val="both"/>
        <w:rPr>
          <w:b w:val="1"/>
        </w:rPr>
      </w:pPr>
      <w:bookmarkStart w:colFirst="0" w:colLast="0" w:name="_heading=h.2zbgiuw" w:id="56"/>
      <w:bookmarkEnd w:id="56"/>
      <w:r w:rsidDel="00000000" w:rsidR="00000000" w:rsidRPr="00000000">
        <w:rPr>
          <w:b w:val="1"/>
          <w:rtl w:val="0"/>
        </w:rPr>
        <w:t xml:space="preserve">8.1.6 CONSENTIMENTO INFORMADO</w:t>
      </w:r>
    </w:p>
    <w:p w:rsidR="00000000" w:rsidDel="00000000" w:rsidP="00000000" w:rsidRDefault="00000000" w:rsidRPr="00000000" w14:paraId="000002CD">
      <w:pPr>
        <w:spacing w:line="360" w:lineRule="auto"/>
        <w:ind w:firstLine="720"/>
        <w:jc w:val="both"/>
        <w:rPr>
          <w:b w:val="1"/>
        </w:rPr>
      </w:pPr>
      <w:r w:rsidDel="00000000" w:rsidR="00000000" w:rsidRPr="00000000">
        <w:rPr>
          <w:rtl w:val="0"/>
        </w:rPr>
      </w:r>
    </w:p>
    <w:p w:rsidR="00000000" w:rsidDel="00000000" w:rsidP="00000000" w:rsidRDefault="00000000" w:rsidRPr="00000000" w14:paraId="000002CE">
      <w:pPr>
        <w:spacing w:line="360" w:lineRule="auto"/>
        <w:ind w:firstLine="720"/>
        <w:jc w:val="both"/>
        <w:rPr/>
      </w:pPr>
      <w:r w:rsidDel="00000000" w:rsidR="00000000" w:rsidRPr="00000000">
        <w:rPr>
          <w:rtl w:val="0"/>
        </w:rPr>
        <w:t xml:space="preserve">O consentimento informado é um processo que se inicia antes que o indivíduo concorde em participar do estudo e continua durante toda a participação do mesmo. Os formulários de consentimento serão aprovados pelo CEP e o participante será convidado a ler e revisar o documento. O pesquisador explicará ao participante do que se trata o estudo de pesquisa e responderá eventuais perguntas que possam surgir. A explicação verbal será fornecida em termos adequados para a compreensão do participante sobre os propósitos, procedimentos e riscos potenciais do estudo, bem como sobre seus direitos como participante da pesquisa. </w:t>
      </w:r>
    </w:p>
    <w:p w:rsidR="00000000" w:rsidDel="00000000" w:rsidP="00000000" w:rsidRDefault="00000000" w:rsidRPr="00000000" w14:paraId="000002CF">
      <w:pPr>
        <w:spacing w:line="360" w:lineRule="auto"/>
        <w:ind w:firstLine="720"/>
        <w:jc w:val="both"/>
        <w:rPr/>
      </w:pPr>
      <w:r w:rsidDel="00000000" w:rsidR="00000000" w:rsidRPr="00000000">
        <w:rPr>
          <w:rtl w:val="0"/>
        </w:rPr>
        <w:t xml:space="preserve">Os participantes terão a oportunidade de revisar cuidadosamente o formulário de consentimento por escrito e fazer perguntas antes de assiná-lo. Os participantes terão a oportunidade de discutir o estudo com sua família ou representante antes de concordar em participar. O participante assinará o TCLE antes que qualquer procedimento específico do estudo seja realizado. </w:t>
      </w:r>
    </w:p>
    <w:p w:rsidR="00000000" w:rsidDel="00000000" w:rsidP="00000000" w:rsidRDefault="00000000" w:rsidRPr="00000000" w14:paraId="000002D0">
      <w:pPr>
        <w:spacing w:line="360" w:lineRule="auto"/>
        <w:ind w:firstLine="720"/>
        <w:jc w:val="both"/>
        <w:rPr/>
      </w:pPr>
      <w:r w:rsidDel="00000000" w:rsidR="00000000" w:rsidRPr="00000000">
        <w:rPr>
          <w:rtl w:val="0"/>
        </w:rPr>
        <w:t xml:space="preserve">Os participantes serão informados de que a participação é voluntária e que podem retirar-se do estudo a qualquer momento, sem prejuízo. Uma cópia do documento de consentimento informado será entregue aos participantes para seus registros. O processo de consentimento informado será conduzido e documentado no documento de origem (incluindo a data) e no formulário assinado, antes que o participante se submeta a quaisquer procedimentos específicos do estudo. Os direitos e o bem-estar dos participantes serão protegidos, enfatizando que a qualidade de seus cuidados médicos não será afetada negativamente se optarem por não participar deste estudo.</w:t>
      </w:r>
    </w:p>
    <w:p w:rsidR="00000000" w:rsidDel="00000000" w:rsidP="00000000" w:rsidRDefault="00000000" w:rsidRPr="00000000" w14:paraId="000002D1">
      <w:pPr>
        <w:spacing w:line="360" w:lineRule="auto"/>
        <w:ind w:firstLine="720"/>
        <w:jc w:val="both"/>
        <w:rPr/>
      </w:pPr>
      <w:r w:rsidDel="00000000" w:rsidR="00000000" w:rsidRPr="00000000">
        <w:rPr>
          <w:rtl w:val="0"/>
        </w:rPr>
      </w:r>
    </w:p>
    <w:p w:rsidR="00000000" w:rsidDel="00000000" w:rsidP="00000000" w:rsidRDefault="00000000" w:rsidRPr="00000000" w14:paraId="000002D2">
      <w:pPr>
        <w:spacing w:line="360" w:lineRule="auto"/>
        <w:ind w:firstLine="720"/>
        <w:jc w:val="both"/>
        <w:rPr>
          <w:b w:val="1"/>
        </w:rPr>
      </w:pPr>
      <w:bookmarkStart w:colFirst="0" w:colLast="0" w:name="_heading=h.1egqt2p" w:id="57"/>
      <w:bookmarkEnd w:id="57"/>
      <w:r w:rsidDel="00000000" w:rsidR="00000000" w:rsidRPr="00000000">
        <w:rPr>
          <w:b w:val="1"/>
          <w:rtl w:val="0"/>
        </w:rPr>
        <w:t xml:space="preserve">8.1.7 CONFIDENCIALIDADE E PRIVACIDADE</w:t>
      </w:r>
    </w:p>
    <w:p w:rsidR="00000000" w:rsidDel="00000000" w:rsidP="00000000" w:rsidRDefault="00000000" w:rsidRPr="00000000" w14:paraId="000002D3">
      <w:pPr>
        <w:spacing w:line="360" w:lineRule="auto"/>
        <w:ind w:firstLine="720"/>
        <w:jc w:val="both"/>
        <w:rPr>
          <w:b w:val="1"/>
        </w:rPr>
      </w:pPr>
      <w:r w:rsidDel="00000000" w:rsidR="00000000" w:rsidRPr="00000000">
        <w:rPr>
          <w:rtl w:val="0"/>
        </w:rPr>
      </w:r>
    </w:p>
    <w:p w:rsidR="00000000" w:rsidDel="00000000" w:rsidP="00000000" w:rsidRDefault="00000000" w:rsidRPr="00000000" w14:paraId="000002D4">
      <w:pPr>
        <w:spacing w:line="360" w:lineRule="auto"/>
        <w:ind w:firstLine="720"/>
        <w:jc w:val="both"/>
        <w:rPr/>
      </w:pPr>
      <w:r w:rsidDel="00000000" w:rsidR="00000000" w:rsidRPr="00000000">
        <w:rPr>
          <w:rtl w:val="0"/>
        </w:rPr>
        <w:t xml:space="preserve">Não serão utilizadas informações ou imagens clínicas que identifiquem os participantes, que serão anonimizados e identificados por meio de representação alfanumérica gerada para cada um deles. Os três primeiros dígitos desse número representarão o Centro de Pesquisa, enquanto os três últimos dígitos representarão o número de triagem após a randomização.</w:t>
      </w:r>
    </w:p>
    <w:p w:rsidR="00000000" w:rsidDel="00000000" w:rsidP="00000000" w:rsidRDefault="00000000" w:rsidRPr="00000000" w14:paraId="000002D5">
      <w:pPr>
        <w:spacing w:line="360" w:lineRule="auto"/>
        <w:ind w:firstLine="720"/>
        <w:jc w:val="both"/>
        <w:rPr/>
      </w:pPr>
      <w:r w:rsidDel="00000000" w:rsidR="00000000" w:rsidRPr="00000000">
        <w:rPr>
          <w:rtl w:val="0"/>
        </w:rPr>
      </w:r>
    </w:p>
    <w:p w:rsidR="00000000" w:rsidDel="00000000" w:rsidP="00000000" w:rsidRDefault="00000000" w:rsidRPr="00000000" w14:paraId="000002D6">
      <w:pPr>
        <w:spacing w:line="360" w:lineRule="auto"/>
        <w:ind w:firstLine="720"/>
        <w:jc w:val="both"/>
        <w:rPr>
          <w:b w:val="1"/>
        </w:rPr>
      </w:pPr>
      <w:bookmarkStart w:colFirst="0" w:colLast="0" w:name="_heading=h.3ygebqi" w:id="58"/>
      <w:bookmarkEnd w:id="58"/>
      <w:r w:rsidDel="00000000" w:rsidR="00000000" w:rsidRPr="00000000">
        <w:rPr>
          <w:b w:val="1"/>
          <w:rtl w:val="0"/>
        </w:rPr>
        <w:t xml:space="preserve">8.1.8 RISCOS E BENEFÍCIOS</w:t>
      </w:r>
    </w:p>
    <w:p w:rsidR="00000000" w:rsidDel="00000000" w:rsidP="00000000" w:rsidRDefault="00000000" w:rsidRPr="00000000" w14:paraId="000002D7">
      <w:pPr>
        <w:spacing w:line="360" w:lineRule="auto"/>
        <w:ind w:firstLine="720"/>
        <w:jc w:val="both"/>
        <w:rPr>
          <w:b w:val="1"/>
        </w:rPr>
      </w:pPr>
      <w:r w:rsidDel="00000000" w:rsidR="00000000" w:rsidRPr="00000000">
        <w:rPr>
          <w:rtl w:val="0"/>
        </w:rPr>
      </w:r>
    </w:p>
    <w:p w:rsidR="00000000" w:rsidDel="00000000" w:rsidP="00000000" w:rsidRDefault="00000000" w:rsidRPr="00000000" w14:paraId="000002D8">
      <w:pPr>
        <w:spacing w:line="360" w:lineRule="auto"/>
        <w:ind w:firstLine="720"/>
        <w:jc w:val="both"/>
        <w:rPr>
          <w:u w:val="single"/>
        </w:rPr>
      </w:pPr>
      <w:r w:rsidDel="00000000" w:rsidR="00000000" w:rsidRPr="00000000">
        <w:rPr>
          <w:u w:val="single"/>
          <w:rtl w:val="0"/>
        </w:rPr>
        <w:t xml:space="preserve">Espera-se que a intervenção proposta pelo estudo aprimore a prestação de cuidados no sistema de saúde, promovendo a democratização do acesso e garantindo a acessibilidade. Pode-se desenvolver estratégias farmacoterapêuticas com monitoramento regular, proporcionando educação sobre distúrbios cardiovasculares e intervenções preventivas aos participantes. A colaboração entre o participante, o prestador de cuidados primários e o especialista se torna mais estreita. </w:t>
      </w:r>
    </w:p>
    <w:p w:rsidR="00000000" w:rsidDel="00000000" w:rsidP="00000000" w:rsidRDefault="00000000" w:rsidRPr="00000000" w14:paraId="000002D9">
      <w:pPr>
        <w:spacing w:line="360" w:lineRule="auto"/>
        <w:ind w:firstLine="720"/>
        <w:jc w:val="both"/>
        <w:rPr>
          <w:u w:val="single"/>
        </w:rPr>
      </w:pPr>
      <w:r w:rsidDel="00000000" w:rsidR="00000000" w:rsidRPr="00000000">
        <w:rPr>
          <w:u w:val="single"/>
          <w:rtl w:val="0"/>
        </w:rPr>
        <w:t xml:space="preserve">A plataforma </w:t>
      </w:r>
      <w:r w:rsidDel="00000000" w:rsidR="00000000" w:rsidRPr="00000000">
        <w:rPr>
          <w:i w:val="1"/>
          <w:u w:val="single"/>
          <w:rtl w:val="0"/>
        </w:rPr>
        <w:t xml:space="preserve">online</w:t>
      </w:r>
      <w:r w:rsidDel="00000000" w:rsidR="00000000" w:rsidRPr="00000000">
        <w:rPr>
          <w:u w:val="single"/>
          <w:rtl w:val="0"/>
        </w:rPr>
        <w:t xml:space="preserve"> "TAMIS" amplia os canais de comunicação entre participantes e profissionais de saúde, permitindo consultas e monitoramento à distância, o que é especialmente valioso para aqueles com dificuldade em acessar serviços de saúde convencionais. Isso facilita o acompanhamento regular das condições de saúde, levando a um melhor controle de doenças crônicas.</w:t>
      </w:r>
    </w:p>
    <w:p w:rsidR="00000000" w:rsidDel="00000000" w:rsidP="00000000" w:rsidRDefault="00000000" w:rsidRPr="00000000" w14:paraId="000002DA">
      <w:pPr>
        <w:spacing w:line="360" w:lineRule="auto"/>
        <w:ind w:firstLine="720"/>
        <w:jc w:val="both"/>
        <w:rPr>
          <w:u w:val="single"/>
        </w:rPr>
      </w:pPr>
      <w:r w:rsidDel="00000000" w:rsidR="00000000" w:rsidRPr="00000000">
        <w:rPr>
          <w:u w:val="single"/>
          <w:rtl w:val="0"/>
        </w:rPr>
        <w:t xml:space="preserve">O </w:t>
      </w:r>
      <w:r w:rsidDel="00000000" w:rsidR="00000000" w:rsidRPr="00000000">
        <w:rPr>
          <w:i w:val="1"/>
          <w:u w:val="single"/>
          <w:rtl w:val="0"/>
        </w:rPr>
        <w:t xml:space="preserve">software</w:t>
      </w:r>
      <w:r w:rsidDel="00000000" w:rsidR="00000000" w:rsidRPr="00000000">
        <w:rPr>
          <w:u w:val="single"/>
          <w:rtl w:val="0"/>
        </w:rPr>
        <w:t xml:space="preserve"> visa melhorar a eficiência do atendimento, reduzindo a necessidade de visitas frequentes ao consultório médico, economizando tempo e recursos para os participantes e sistemas de saúde. Ao aprimorar o controle de fatores de risco, como pressão arterial, glicemia e colesterol LDL, o “TAMIS” pode contribuir para a redução de eventos clínicos maiores, como hospitalizações, beneficiando os participantes e reduzindo os custos associados à saúde pública, auxiliando positivamente no fluxo de atendimento do sistema de saúde.</w:t>
      </w:r>
    </w:p>
    <w:p w:rsidR="00000000" w:rsidDel="00000000" w:rsidP="00000000" w:rsidRDefault="00000000" w:rsidRPr="00000000" w14:paraId="000002DB">
      <w:pPr>
        <w:spacing w:line="360" w:lineRule="auto"/>
        <w:ind w:firstLine="720"/>
        <w:jc w:val="both"/>
        <w:rPr>
          <w:u w:val="single"/>
        </w:rPr>
      </w:pPr>
      <w:r w:rsidDel="00000000" w:rsidR="00000000" w:rsidRPr="00000000">
        <w:rPr>
          <w:u w:val="single"/>
          <w:rtl w:val="0"/>
        </w:rPr>
        <w:t xml:space="preserve">Torna-se necessário destacar a importância de políticas de prevenção e saúde pública mais eficazes, especialmente em países de renda média e baixa. A plataforma online pode contribuir para a melhoria dessas políticas e estratégias de prevenção por meio da captação e análise de dados epidemiológicos.</w:t>
      </w:r>
    </w:p>
    <w:p w:rsidR="00000000" w:rsidDel="00000000" w:rsidP="00000000" w:rsidRDefault="00000000" w:rsidRPr="00000000" w14:paraId="000002DC">
      <w:pPr>
        <w:spacing w:line="360" w:lineRule="auto"/>
        <w:ind w:firstLine="720"/>
        <w:jc w:val="both"/>
        <w:rPr>
          <w:u w:val="single"/>
        </w:rPr>
      </w:pPr>
      <w:r w:rsidDel="00000000" w:rsidR="00000000" w:rsidRPr="00000000">
        <w:rPr>
          <w:u w:val="single"/>
          <w:rtl w:val="0"/>
        </w:rPr>
        <w:t xml:space="preserve">Considerando a proposta de manter um acompanhamento constante dos resultados obtidos, espera-se que a redução nos desfechos de eficácia supere as preocupações relacionadas às medidas de segurança. </w:t>
      </w:r>
    </w:p>
    <w:p w:rsidR="00000000" w:rsidDel="00000000" w:rsidP="00000000" w:rsidRDefault="00000000" w:rsidRPr="00000000" w14:paraId="000002DD">
      <w:pPr>
        <w:spacing w:line="360" w:lineRule="auto"/>
        <w:ind w:firstLine="720"/>
        <w:jc w:val="both"/>
        <w:rPr>
          <w:u w:val="single"/>
        </w:rPr>
      </w:pPr>
      <w:r w:rsidDel="00000000" w:rsidR="00000000" w:rsidRPr="00000000">
        <w:rPr>
          <w:u w:val="single"/>
          <w:rtl w:val="0"/>
        </w:rPr>
        <w:t xml:space="preserve">Portanto, quando for observada uma superioridade significativa do grupo randomizado para intervenção em comparação com o grupo de cuidados usuais, será avaliada a necessidade de ajustar ou suspender o estudo. Isso se torna necessário para garantir que todos os participantes possam desfrutar dos benefícios do melhor regime terapêutico identificado, assegurando, assim, a igualdade de acesso às melhores práticas médicas.</w:t>
      </w:r>
    </w:p>
    <w:p w:rsidR="00000000" w:rsidDel="00000000" w:rsidP="00000000" w:rsidRDefault="00000000" w:rsidRPr="00000000" w14:paraId="000002DE">
      <w:pPr>
        <w:spacing w:line="360" w:lineRule="auto"/>
        <w:ind w:firstLine="720"/>
        <w:jc w:val="both"/>
        <w:rPr>
          <w:u w:val="single"/>
        </w:rPr>
      </w:pPr>
      <w:r w:rsidDel="00000000" w:rsidR="00000000" w:rsidRPr="00000000">
        <w:rPr>
          <w:u w:val="single"/>
          <w:rtl w:val="0"/>
        </w:rPr>
        <w:t xml:space="preserve">Essas diretrizes estabelecem um compromisso com a promoção da equidade na pesquisa em saúde, garantindo que os benefícios não se restrinjam a um grupo limitado de participantes, mas se estendam a todos aqueles que possam se beneficiar deles.</w:t>
      </w:r>
    </w:p>
    <w:p w:rsidR="00000000" w:rsidDel="00000000" w:rsidP="00000000" w:rsidRDefault="00000000" w:rsidRPr="00000000" w14:paraId="000002DF">
      <w:pPr>
        <w:spacing w:line="360" w:lineRule="auto"/>
        <w:ind w:firstLine="720"/>
        <w:jc w:val="both"/>
        <w:rPr/>
      </w:pPr>
      <w:r w:rsidDel="00000000" w:rsidR="00000000" w:rsidRPr="00000000">
        <w:rPr>
          <w:rtl w:val="0"/>
        </w:rPr>
        <w:t xml:space="preserve">A confidencialidade das informações pessoais é assegurada, sendo o uso das informações limitado aos esforços científicos, a fim de salvaguardar os participantes do estudo e reduzir o risco relacionado à privacidade e confidencialidade. Os participantes estarão sob a supervisão de especialistas treinados, que manterão a uniformidade dos registros e garantirão a precisão da captura de dados. Cada visita de acompanhamento incluirá um exame detalhado dos riscos, que será documentado em formulários apropriados do estudo.</w:t>
      </w:r>
    </w:p>
    <w:p w:rsidR="00000000" w:rsidDel="00000000" w:rsidP="00000000" w:rsidRDefault="00000000" w:rsidRPr="00000000" w14:paraId="000002E0">
      <w:pPr>
        <w:spacing w:line="360" w:lineRule="auto"/>
        <w:ind w:firstLine="720"/>
        <w:jc w:val="both"/>
        <w:rPr/>
      </w:pPr>
      <w:r w:rsidDel="00000000" w:rsidR="00000000" w:rsidRPr="00000000">
        <w:rPr>
          <w:rtl w:val="0"/>
        </w:rPr>
        <w:t xml:space="preserve">Embora a coleta de material para a realização de exames laboratoriais seja considerada um procedimento minimamente invasivo, existem riscos em sua execução. Portanto, o individuo será instruído a comunicar qualquer desconforto durante o procedimento de coleta sanguínea, além de ser informado de que o material utilizado é estéril e descartável.</w:t>
      </w:r>
    </w:p>
    <w:p w:rsidR="00000000" w:rsidDel="00000000" w:rsidP="00000000" w:rsidRDefault="00000000" w:rsidRPr="00000000" w14:paraId="000002E1">
      <w:pPr>
        <w:spacing w:line="360" w:lineRule="auto"/>
        <w:ind w:firstLine="720"/>
        <w:jc w:val="both"/>
        <w:rPr/>
      </w:pPr>
      <w:r w:rsidDel="00000000" w:rsidR="00000000" w:rsidRPr="00000000">
        <w:rPr>
          <w:rtl w:val="0"/>
        </w:rPr>
        <w:t xml:space="preserve">Alguns sintomas, como ansiedade, medo, queda da pressão arterial e bradicardia, podem ocorrer durante ou imediatamente após a coleta de sangue. Caso o participante manifeste qualquer desconforto, ele será atendido imediatamente por um profissional de saúde treinado a fim de minimizá-los. Ressalta-se que a coleta de sangue será feita em um ambiente adequado e por flebotomistas, de modo a evitar falhas na punção e recoleta do material biológico.</w:t>
      </w:r>
    </w:p>
    <w:p w:rsidR="00000000" w:rsidDel="00000000" w:rsidP="00000000" w:rsidRDefault="00000000" w:rsidRPr="00000000" w14:paraId="000002E2">
      <w:pPr>
        <w:spacing w:line="360" w:lineRule="auto"/>
        <w:ind w:firstLine="720"/>
        <w:jc w:val="both"/>
        <w:rPr/>
      </w:pPr>
      <w:r w:rsidDel="00000000" w:rsidR="00000000" w:rsidRPr="00000000">
        <w:rPr>
          <w:rtl w:val="0"/>
        </w:rPr>
        <w:t xml:space="preserve">A equipe de coleta fará a conferência do local de punção antes da aplicação da bandagem, pois o aparecimento de hematoma é uma reação comum do procedimento. Com o objetivo de minimizar o risco de surgimento de hematomas, será orientado ao participante que mantenha o curativo por uma hora após a coleta e não utilize o braço puncionado para levantar objetos pesados.</w:t>
      </w:r>
    </w:p>
    <w:p w:rsidR="00000000" w:rsidDel="00000000" w:rsidP="00000000" w:rsidRDefault="00000000" w:rsidRPr="00000000" w14:paraId="000002E3">
      <w:pPr>
        <w:spacing w:line="360" w:lineRule="auto"/>
        <w:ind w:firstLine="720"/>
        <w:jc w:val="both"/>
        <w:rPr/>
      </w:pPr>
      <w:r w:rsidDel="00000000" w:rsidR="00000000" w:rsidRPr="00000000">
        <w:rPr>
          <w:rtl w:val="0"/>
        </w:rPr>
        <w:t xml:space="preserve">O pesquisador principal supervisionará pessoalmente as investigações descritas, em que a supervisão eficaz será um mecanismo para garantir a segurança, objetividade e integridade da pesquisa. Os procedimentos para a proteção dos seres humanos farão parte da infraestrutura crítica para a realização da pesquisa com segurança.</w:t>
      </w:r>
    </w:p>
    <w:p w:rsidR="00000000" w:rsidDel="00000000" w:rsidP="00000000" w:rsidRDefault="00000000" w:rsidRPr="00000000" w14:paraId="000002E4">
      <w:pPr>
        <w:spacing w:line="360" w:lineRule="auto"/>
        <w:ind w:firstLine="720"/>
        <w:jc w:val="both"/>
        <w:rPr/>
      </w:pPr>
      <w:r w:rsidDel="00000000" w:rsidR="00000000" w:rsidRPr="00000000">
        <w:rPr>
          <w:rtl w:val="0"/>
        </w:rPr>
      </w:r>
    </w:p>
    <w:p w:rsidR="00000000" w:rsidDel="00000000" w:rsidP="00000000" w:rsidRDefault="00000000" w:rsidRPr="00000000" w14:paraId="000002E5">
      <w:pPr>
        <w:spacing w:line="360" w:lineRule="auto"/>
        <w:ind w:firstLine="720"/>
        <w:jc w:val="both"/>
        <w:rPr>
          <w:b w:val="1"/>
        </w:rPr>
      </w:pPr>
      <w:bookmarkStart w:colFirst="0" w:colLast="0" w:name="_heading=h.2dlolyb" w:id="59"/>
      <w:bookmarkEnd w:id="59"/>
      <w:r w:rsidDel="00000000" w:rsidR="00000000" w:rsidRPr="00000000">
        <w:rPr>
          <w:b w:val="1"/>
          <w:rtl w:val="0"/>
        </w:rPr>
        <w:t xml:space="preserve">8.1.9 GARANTIA DOS PARTICIPANTES DA PESQUISA</w:t>
      </w:r>
    </w:p>
    <w:p w:rsidR="00000000" w:rsidDel="00000000" w:rsidP="00000000" w:rsidRDefault="00000000" w:rsidRPr="00000000" w14:paraId="000002E6">
      <w:pPr>
        <w:spacing w:line="360" w:lineRule="auto"/>
        <w:ind w:firstLine="720"/>
        <w:jc w:val="both"/>
        <w:rPr>
          <w:b w:val="1"/>
        </w:rPr>
      </w:pPr>
      <w:r w:rsidDel="00000000" w:rsidR="00000000" w:rsidRPr="00000000">
        <w:rPr>
          <w:rtl w:val="0"/>
        </w:rPr>
      </w:r>
    </w:p>
    <w:p w:rsidR="00000000" w:rsidDel="00000000" w:rsidP="00000000" w:rsidRDefault="00000000" w:rsidRPr="00000000" w14:paraId="000002E7">
      <w:pPr>
        <w:spacing w:line="360" w:lineRule="auto"/>
        <w:ind w:firstLine="720"/>
        <w:jc w:val="both"/>
        <w:rPr/>
      </w:pPr>
      <w:r w:rsidDel="00000000" w:rsidR="00000000" w:rsidRPr="00000000">
        <w:rPr>
          <w:rtl w:val="0"/>
        </w:rPr>
        <w:t xml:space="preserve">Conforme estabelecido pela Resolução CNS nº 466 de 2012, nos itens II.6, II.7, II.3.1 e II.3.2, os participantes da pesquisa serão indenizados por qualquer dano direto ou indireto decorrente da participação no estudo. No caso de algum participante sofrer danos durante a pesquisa, o pesquisador e a Secretaria de Saúde do Distrito Federal (SES-DF) são responsáveis por oferecer assistência médica imediata, gratuitamente, por todo o tempo necessário. Todas as despesas relacionadas ao estudo serão de responsabilidade do investigador ou patrocinador, ou seja, o participante não arcará com nenhum custo financeiro relacionado a qualquer procedimento do estudo. De acordo com a Resolução n° 251 de 1997, todos os participantes terão direito à livre e fácil acesso aos resultados dos testes realizados durante a pesquisa.</w:t>
      </w:r>
    </w:p>
    <w:p w:rsidR="00000000" w:rsidDel="00000000" w:rsidP="00000000" w:rsidRDefault="00000000" w:rsidRPr="00000000" w14:paraId="000002E8">
      <w:pPr>
        <w:spacing w:line="360" w:lineRule="auto"/>
        <w:ind w:firstLine="720"/>
        <w:jc w:val="both"/>
        <w:rPr/>
      </w:pPr>
      <w:r w:rsidDel="00000000" w:rsidR="00000000" w:rsidRPr="00000000">
        <w:rPr>
          <w:rtl w:val="0"/>
        </w:rPr>
      </w:r>
    </w:p>
    <w:p w:rsidR="00000000" w:rsidDel="00000000" w:rsidP="00000000" w:rsidRDefault="00000000" w:rsidRPr="00000000" w14:paraId="000002E9">
      <w:pPr>
        <w:pStyle w:val="Heading1"/>
        <w:numPr>
          <w:ilvl w:val="0"/>
          <w:numId w:val="1"/>
        </w:numPr>
        <w:spacing w:after="360" w:lineRule="auto"/>
        <w:ind w:left="720" w:hanging="360"/>
        <w:rPr>
          <w:rFonts w:ascii="Times New Roman" w:cs="Times New Roman" w:eastAsia="Times New Roman" w:hAnsi="Times New Roman"/>
          <w:sz w:val="24"/>
          <w:szCs w:val="24"/>
        </w:rPr>
      </w:pPr>
      <w:bookmarkStart w:colFirst="0" w:colLast="0" w:name="_heading=h.sqyw64" w:id="60"/>
      <w:bookmarkEnd w:id="60"/>
      <w:r w:rsidDel="00000000" w:rsidR="00000000" w:rsidRPr="00000000">
        <w:rPr>
          <w:rFonts w:ascii="Times New Roman" w:cs="Times New Roman" w:eastAsia="Times New Roman" w:hAnsi="Times New Roman"/>
          <w:sz w:val="24"/>
          <w:szCs w:val="24"/>
          <w:rtl w:val="0"/>
        </w:rPr>
        <w:t xml:space="preserve">POLÍTICA DE PUBLICAÇÃO E COMPARTILHAMENTO DE DADOS</w:t>
      </w:r>
    </w:p>
    <w:p w:rsidR="00000000" w:rsidDel="00000000" w:rsidP="00000000" w:rsidRDefault="00000000" w:rsidRPr="00000000" w14:paraId="000002EA">
      <w:pPr>
        <w:spacing w:line="360" w:lineRule="auto"/>
        <w:ind w:firstLine="720"/>
        <w:jc w:val="both"/>
        <w:rPr/>
      </w:pPr>
      <w:r w:rsidDel="00000000" w:rsidR="00000000" w:rsidRPr="00000000">
        <w:rPr>
          <w:rtl w:val="0"/>
        </w:rPr>
        <w:t xml:space="preserve">Este estudo seguirá a Política de Compartilhamento de Dados do Instituto Nacional de Saúde (NIH), assim como a Política de Disseminação de Informações de Ensaios Clínicos Financiados pelo NIH e a regra de Registro de Ensaios Clínicos e Submissão de Informações de Resultados. Como tal, este ensaio será registrado tanto na "Plataforma Brasil" quanto no ClinicalTrials.gov, e as informações dos resultados serão submetidas ao ClinicalTrials.gov. Ademais, serão realizados esforços para publicar os resultados em periódicos científicos revisados por pares. O Comitê Diretor será o responsável pela comunicação e publicação dos resultados do estudo. Independentemente dos desfechos atingidos pelo estudo, os resultados serão submetidos para publicação.</w:t>
      </w:r>
    </w:p>
    <w:p w:rsidR="00000000" w:rsidDel="00000000" w:rsidP="00000000" w:rsidRDefault="00000000" w:rsidRPr="00000000" w14:paraId="000002EB">
      <w:pPr>
        <w:spacing w:line="360" w:lineRule="auto"/>
        <w:jc w:val="both"/>
        <w:rPr/>
      </w:pPr>
      <w:r w:rsidDel="00000000" w:rsidR="00000000" w:rsidRPr="00000000">
        <w:rPr>
          <w:rtl w:val="0"/>
        </w:rPr>
      </w:r>
    </w:p>
    <w:p w:rsidR="00000000" w:rsidDel="00000000" w:rsidP="00000000" w:rsidRDefault="00000000" w:rsidRPr="00000000" w14:paraId="000002EC">
      <w:pPr>
        <w:pStyle w:val="Heading1"/>
        <w:numPr>
          <w:ilvl w:val="0"/>
          <w:numId w:val="1"/>
        </w:numPr>
        <w:spacing w:after="360" w:lineRule="auto"/>
        <w:ind w:left="720" w:hanging="360"/>
        <w:rPr>
          <w:rFonts w:ascii="Times New Roman" w:cs="Times New Roman" w:eastAsia="Times New Roman" w:hAnsi="Times New Roman"/>
          <w:sz w:val="24"/>
          <w:szCs w:val="24"/>
        </w:rPr>
      </w:pPr>
      <w:bookmarkStart w:colFirst="0" w:colLast="0" w:name="_heading=h.3cqmetx" w:id="61"/>
      <w:bookmarkEnd w:id="61"/>
      <w:r w:rsidDel="00000000" w:rsidR="00000000" w:rsidRPr="00000000">
        <w:rPr>
          <w:rFonts w:ascii="Times New Roman" w:cs="Times New Roman" w:eastAsia="Times New Roman" w:hAnsi="Times New Roman"/>
          <w:sz w:val="24"/>
          <w:szCs w:val="24"/>
          <w:rtl w:val="0"/>
        </w:rPr>
        <w:t xml:space="preserve">CONCLUSÃO DO ESTUDO</w:t>
      </w:r>
    </w:p>
    <w:p w:rsidR="00000000" w:rsidDel="00000000" w:rsidP="00000000" w:rsidRDefault="00000000" w:rsidRPr="00000000" w14:paraId="000002ED">
      <w:pPr>
        <w:spacing w:line="360" w:lineRule="auto"/>
        <w:ind w:firstLine="720"/>
        <w:jc w:val="both"/>
        <w:rPr/>
      </w:pPr>
      <w:r w:rsidDel="00000000" w:rsidR="00000000" w:rsidRPr="00000000">
        <w:rPr>
          <w:rtl w:val="0"/>
        </w:rPr>
        <w:t xml:space="preserve">O término do estudo será definido pela última visita de acompanhamento do último participante. Tanto o CEP quanto o Comitê de Ética em Pesquisa Institucional (IEC) serão informados sobre o término do estudo. Além disso, a conclusão do estudo será notificada nas plataformas online "Plataforma Brasil" e ClinicalTrials.gov.</w:t>
      </w:r>
    </w:p>
    <w:p w:rsidR="00000000" w:rsidDel="00000000" w:rsidP="00000000" w:rsidRDefault="00000000" w:rsidRPr="00000000" w14:paraId="000002EE">
      <w:pPr>
        <w:spacing w:line="360" w:lineRule="auto"/>
        <w:ind w:firstLine="720"/>
        <w:jc w:val="both"/>
        <w:rPr/>
      </w:pPr>
      <w:r w:rsidDel="00000000" w:rsidR="00000000" w:rsidRPr="00000000">
        <w:rPr>
          <w:rtl w:val="0"/>
        </w:rPr>
      </w:r>
    </w:p>
    <w:p w:rsidR="00000000" w:rsidDel="00000000" w:rsidP="00000000" w:rsidRDefault="00000000" w:rsidRPr="00000000" w14:paraId="000002EF">
      <w:pPr>
        <w:pStyle w:val="Heading1"/>
        <w:numPr>
          <w:ilvl w:val="0"/>
          <w:numId w:val="1"/>
        </w:numPr>
        <w:spacing w:after="360" w:lineRule="auto"/>
        <w:ind w:left="720" w:hanging="360"/>
        <w:rPr>
          <w:rFonts w:ascii="Times New Roman" w:cs="Times New Roman" w:eastAsia="Times New Roman" w:hAnsi="Times New Roman"/>
          <w:sz w:val="24"/>
          <w:szCs w:val="24"/>
        </w:rPr>
      </w:pPr>
      <w:bookmarkStart w:colFirst="0" w:colLast="0" w:name="_heading=h.1rvwp1q" w:id="62"/>
      <w:bookmarkEnd w:id="62"/>
      <w:r w:rsidDel="00000000" w:rsidR="00000000" w:rsidRPr="00000000">
        <w:rPr>
          <w:rFonts w:ascii="Times New Roman" w:cs="Times New Roman" w:eastAsia="Times New Roman" w:hAnsi="Times New Roman"/>
          <w:sz w:val="24"/>
          <w:szCs w:val="24"/>
          <w:rtl w:val="0"/>
        </w:rPr>
        <w:t xml:space="preserve">ALTERAÇÕES DO PROTOCOLO</w:t>
      </w:r>
    </w:p>
    <w:p w:rsidR="00000000" w:rsidDel="00000000" w:rsidP="00000000" w:rsidRDefault="00000000" w:rsidRPr="00000000" w14:paraId="000002F0">
      <w:pPr>
        <w:spacing w:line="360" w:lineRule="auto"/>
        <w:ind w:firstLine="720"/>
        <w:jc w:val="both"/>
        <w:rPr/>
      </w:pPr>
      <w:r w:rsidDel="00000000" w:rsidR="00000000" w:rsidRPr="00000000">
        <w:rPr>
          <w:rtl w:val="0"/>
        </w:rPr>
        <w:t xml:space="preserve">Qualquer alteração significativa do protocolo passará pelo mesmo processo de revisão e aprovação que o protocolo original, incluindo a aprovação do CEP/IEC e das autoridades competentes, antes de ser implementada. Uma mudança substancial no protocolo é definida como qualquer mudança que possa afetar a segurança, integridade física ou mental dos participantes envolvidos no estudo, o valor científico do estudo, a condução ou gestão do estudo, ou a qualidade e segurança de qualquer medicamento administrado. As pequenas mudanças no protocolo que não afetem esses aspectos significativos não são consideradas substanciais e, portanto, não serão aprovadas previamente.</w:t>
      </w:r>
    </w:p>
    <w:p w:rsidR="00000000" w:rsidDel="00000000" w:rsidP="00000000" w:rsidRDefault="00000000" w:rsidRPr="00000000" w14:paraId="000002F1">
      <w:pPr>
        <w:spacing w:line="360" w:lineRule="auto"/>
        <w:ind w:firstLine="720"/>
        <w:jc w:val="both"/>
        <w:rPr/>
      </w:pPr>
      <w:r w:rsidDel="00000000" w:rsidR="00000000" w:rsidRPr="00000000">
        <w:rPr>
          <w:rtl w:val="0"/>
        </w:rPr>
      </w:r>
    </w:p>
    <w:p w:rsidR="00000000" w:rsidDel="00000000" w:rsidP="00000000" w:rsidRDefault="00000000" w:rsidRPr="00000000" w14:paraId="000002F2">
      <w:pPr>
        <w:pStyle w:val="Heading1"/>
        <w:numPr>
          <w:ilvl w:val="0"/>
          <w:numId w:val="1"/>
        </w:numPr>
        <w:spacing w:after="240" w:lineRule="auto"/>
        <w:ind w:left="720" w:hanging="360"/>
        <w:rPr>
          <w:rFonts w:ascii="Times New Roman" w:cs="Times New Roman" w:eastAsia="Times New Roman" w:hAnsi="Times New Roman"/>
          <w:sz w:val="24"/>
          <w:szCs w:val="24"/>
        </w:rPr>
      </w:pPr>
      <w:bookmarkStart w:colFirst="0" w:colLast="0" w:name="_heading=h.4bvk7pj" w:id="63"/>
      <w:bookmarkEnd w:id="63"/>
      <w:r w:rsidDel="00000000" w:rsidR="00000000" w:rsidRPr="00000000">
        <w:rPr>
          <w:rFonts w:ascii="Times New Roman" w:cs="Times New Roman" w:eastAsia="Times New Roman" w:hAnsi="Times New Roman"/>
          <w:sz w:val="24"/>
          <w:szCs w:val="24"/>
          <w:rtl w:val="0"/>
        </w:rPr>
        <w:t xml:space="preserve">COORDENADORES DE ESTUDO</w:t>
      </w:r>
    </w:p>
    <w:p w:rsidR="00000000" w:rsidDel="00000000" w:rsidP="00000000" w:rsidRDefault="00000000" w:rsidRPr="00000000" w14:paraId="000002F3">
      <w:pPr>
        <w:spacing w:line="360" w:lineRule="auto"/>
        <w:ind w:firstLine="360"/>
        <w:jc w:val="both"/>
        <w:rPr>
          <w:b w:val="1"/>
        </w:rPr>
      </w:pPr>
      <w:bookmarkStart w:colFirst="0" w:colLast="0" w:name="_heading=h.2r0uhxc" w:id="64"/>
      <w:bookmarkEnd w:id="64"/>
      <w:r w:rsidDel="00000000" w:rsidR="00000000" w:rsidRPr="00000000">
        <w:rPr>
          <w:b w:val="1"/>
          <w:rtl w:val="0"/>
        </w:rPr>
        <w:t xml:space="preserve">12.1 CENTRO DE COORDENAÇÃO</w:t>
      </w:r>
    </w:p>
    <w:p w:rsidR="00000000" w:rsidDel="00000000" w:rsidP="00000000" w:rsidRDefault="00000000" w:rsidRPr="00000000" w14:paraId="000002F4">
      <w:pPr>
        <w:spacing w:line="360" w:lineRule="auto"/>
        <w:ind w:firstLine="720"/>
        <w:jc w:val="both"/>
        <w:rPr/>
      </w:pPr>
      <w:bookmarkStart w:colFirst="0" w:colLast="0" w:name="_heading=h.1664s55" w:id="65"/>
      <w:bookmarkEnd w:id="65"/>
      <w:r w:rsidDel="00000000" w:rsidR="00000000" w:rsidRPr="00000000">
        <w:rPr>
          <w:rtl w:val="0"/>
        </w:rPr>
      </w:r>
    </w:p>
    <w:p w:rsidR="00000000" w:rsidDel="00000000" w:rsidP="00000000" w:rsidRDefault="00000000" w:rsidRPr="00000000" w14:paraId="000002F5">
      <w:pPr>
        <w:spacing w:line="360" w:lineRule="auto"/>
        <w:ind w:firstLine="720"/>
        <w:jc w:val="both"/>
        <w:rPr/>
      </w:pPr>
      <w:r w:rsidDel="00000000" w:rsidR="00000000" w:rsidRPr="00000000">
        <w:rPr>
          <w:rtl w:val="0"/>
        </w:rPr>
        <w:t xml:space="preserve">O centro coordenador deste estudo será o Instituto de Ensino e Investigações Avançadas em Saúde Aramari Apo (CNPJ: 40.308.056/0001-22; AIHR, </w:t>
      </w:r>
      <w:r w:rsidDel="00000000" w:rsidR="00000000" w:rsidRPr="00000000">
        <w:rPr>
          <w:i w:val="1"/>
          <w:rtl w:val="0"/>
        </w:rPr>
        <w:t xml:space="preserve">Aramari apo Institute for Healthcare Research</w:t>
      </w:r>
      <w:r w:rsidDel="00000000" w:rsidR="00000000" w:rsidRPr="00000000">
        <w:rPr>
          <w:rtl w:val="0"/>
        </w:rPr>
        <w:t xml:space="preserve">), sediado na Asa Norte, Brasília, DF (SCN QUADRA 02 BLOCO D ENTRADA B SALA 1107, CEP 70.712-903). O grupo é constituído pelos seguintes membros:</w:t>
      </w:r>
    </w:p>
    <w:p w:rsidR="00000000" w:rsidDel="00000000" w:rsidP="00000000" w:rsidRDefault="00000000" w:rsidRPr="00000000" w14:paraId="000002F6">
      <w:pPr>
        <w:numPr>
          <w:ilvl w:val="0"/>
          <w:numId w:val="9"/>
        </w:numPr>
        <w:spacing w:line="360" w:lineRule="auto"/>
        <w:ind w:left="720" w:hanging="360"/>
        <w:jc w:val="both"/>
        <w:rPr/>
      </w:pPr>
      <w:r w:rsidDel="00000000" w:rsidR="00000000" w:rsidRPr="00000000">
        <w:rPr>
          <w:b w:val="1"/>
          <w:rtl w:val="0"/>
        </w:rPr>
        <w:t xml:space="preserve">Pesquisadores principais</w:t>
      </w:r>
      <w:r w:rsidDel="00000000" w:rsidR="00000000" w:rsidRPr="00000000">
        <w:rPr>
          <w:rtl w:val="0"/>
        </w:rPr>
        <w:t xml:space="preserve">: responsáveis por coordenar o comitê diretivo, cuidados e gerenciamento dos dados do estudo, análises finais de seus resultados, supervisão do estudo e deliberação sobre manutenção, modificações ou suspensão dos protocolos do estudo.</w:t>
      </w:r>
    </w:p>
    <w:p w:rsidR="00000000" w:rsidDel="00000000" w:rsidP="00000000" w:rsidRDefault="00000000" w:rsidRPr="00000000" w14:paraId="000002F7">
      <w:pPr>
        <w:numPr>
          <w:ilvl w:val="0"/>
          <w:numId w:val="9"/>
        </w:numPr>
        <w:spacing w:line="360" w:lineRule="auto"/>
        <w:ind w:left="720" w:hanging="360"/>
        <w:jc w:val="both"/>
        <w:rPr/>
      </w:pPr>
      <w:r w:rsidDel="00000000" w:rsidR="00000000" w:rsidRPr="00000000">
        <w:rPr>
          <w:b w:val="1"/>
          <w:rtl w:val="0"/>
        </w:rPr>
        <w:t xml:space="preserve">Comitê Gestor</w:t>
      </w:r>
      <w:r w:rsidDel="00000000" w:rsidR="00000000" w:rsidRPr="00000000">
        <w:rPr>
          <w:rtl w:val="0"/>
        </w:rPr>
        <w:t xml:space="preserve">: responsável por promover a capacitação, fornecer orientações específicas e acompanhar os principais centros de pesquisa participantes até a conclusão do protocolo.</w:t>
      </w:r>
    </w:p>
    <w:p w:rsidR="00000000" w:rsidDel="00000000" w:rsidP="00000000" w:rsidRDefault="00000000" w:rsidRPr="00000000" w14:paraId="000002F8">
      <w:pPr>
        <w:numPr>
          <w:ilvl w:val="0"/>
          <w:numId w:val="9"/>
        </w:numPr>
        <w:spacing w:line="360" w:lineRule="auto"/>
        <w:ind w:left="720" w:hanging="360"/>
        <w:jc w:val="both"/>
        <w:rPr/>
      </w:pPr>
      <w:r w:rsidDel="00000000" w:rsidR="00000000" w:rsidRPr="00000000">
        <w:rPr>
          <w:b w:val="1"/>
          <w:rtl w:val="0"/>
        </w:rPr>
        <w:t xml:space="preserve">Comitê de Publicação</w:t>
      </w:r>
      <w:r w:rsidDel="00000000" w:rsidR="00000000" w:rsidRPr="00000000">
        <w:rPr>
          <w:rtl w:val="0"/>
        </w:rPr>
        <w:t xml:space="preserve">: composto pelos membros do Comitê Diretor e da Diretoria, que são responsáveis pela elaboração e apresentação do estudo para publicação.</w:t>
      </w:r>
    </w:p>
    <w:p w:rsidR="00000000" w:rsidDel="00000000" w:rsidP="00000000" w:rsidRDefault="00000000" w:rsidRPr="00000000" w14:paraId="000002F9">
      <w:pPr>
        <w:numPr>
          <w:ilvl w:val="0"/>
          <w:numId w:val="9"/>
        </w:numPr>
        <w:spacing w:line="360" w:lineRule="auto"/>
        <w:ind w:left="720" w:hanging="360"/>
        <w:jc w:val="both"/>
        <w:rPr/>
      </w:pPr>
      <w:r w:rsidDel="00000000" w:rsidR="00000000" w:rsidRPr="00000000">
        <w:rPr>
          <w:b w:val="1"/>
          <w:rtl w:val="0"/>
        </w:rPr>
        <w:t xml:space="preserve">Instituições coparticipantes: </w:t>
      </w:r>
      <w:r w:rsidDel="00000000" w:rsidR="00000000" w:rsidRPr="00000000">
        <w:rPr>
          <w:rtl w:val="0"/>
        </w:rPr>
        <w:t xml:space="preserve">Diretoria de Atenção Básica da Região Leste de Saúde do Distrito Federal, 21 UBS da Região Leste de Saúde do Distrito Federal e Universidade Católica de Brasília</w:t>
      </w:r>
    </w:p>
    <w:p w:rsidR="00000000" w:rsidDel="00000000" w:rsidP="00000000" w:rsidRDefault="00000000" w:rsidRPr="00000000" w14:paraId="000002FA">
      <w:pPr>
        <w:spacing w:line="360" w:lineRule="auto"/>
        <w:ind w:firstLine="720"/>
        <w:jc w:val="both"/>
        <w:rPr>
          <w:b w:val="1"/>
        </w:rPr>
      </w:pPr>
      <w:r w:rsidDel="00000000" w:rsidR="00000000" w:rsidRPr="00000000">
        <w:rPr>
          <w:rtl w:val="0"/>
        </w:rPr>
      </w:r>
    </w:p>
    <w:p w:rsidR="00000000" w:rsidDel="00000000" w:rsidP="00000000" w:rsidRDefault="00000000" w:rsidRPr="00000000" w14:paraId="000002FB">
      <w:pPr>
        <w:spacing w:line="360" w:lineRule="auto"/>
        <w:ind w:firstLine="720"/>
        <w:jc w:val="both"/>
        <w:rPr>
          <w:b w:val="1"/>
        </w:rPr>
      </w:pPr>
      <w:r w:rsidDel="00000000" w:rsidR="00000000" w:rsidRPr="00000000">
        <w:rPr>
          <w:rtl w:val="0"/>
        </w:rPr>
      </w:r>
    </w:p>
    <w:p w:rsidR="00000000" w:rsidDel="00000000" w:rsidP="00000000" w:rsidRDefault="00000000" w:rsidRPr="00000000" w14:paraId="000002FC">
      <w:pPr>
        <w:pStyle w:val="Heading1"/>
        <w:numPr>
          <w:ilvl w:val="0"/>
          <w:numId w:val="1"/>
        </w:numPr>
        <w:ind w:left="720" w:hanging="360"/>
        <w:rPr>
          <w:rFonts w:ascii="Times New Roman" w:cs="Times New Roman" w:eastAsia="Times New Roman" w:hAnsi="Times New Roman"/>
          <w:sz w:val="24"/>
          <w:szCs w:val="24"/>
        </w:rPr>
      </w:pPr>
      <w:bookmarkStart w:colFirst="0" w:colLast="0" w:name="_heading=h.3q5sasy" w:id="66"/>
      <w:bookmarkEnd w:id="66"/>
      <w:r w:rsidDel="00000000" w:rsidR="00000000" w:rsidRPr="00000000">
        <w:rPr>
          <w:rFonts w:ascii="Times New Roman" w:cs="Times New Roman" w:eastAsia="Times New Roman" w:hAnsi="Times New Roman"/>
          <w:sz w:val="24"/>
          <w:szCs w:val="24"/>
          <w:rtl w:val="0"/>
        </w:rPr>
        <w:t xml:space="preserve">CRONOGRAMA</w:t>
      </w:r>
    </w:p>
    <w:tbl>
      <w:tblPr>
        <w:tblStyle w:val="Table2"/>
        <w:tblpPr w:leftFromText="141" w:rightFromText="141" w:topFromText="0" w:bottomFromText="0" w:vertAnchor="text" w:horzAnchor="text" w:tblpX="0" w:tblpY="150"/>
        <w:tblW w:w="9776.0" w:type="dxa"/>
        <w:jc w:val="left"/>
        <w:tblBorders>
          <w:top w:color="333e48" w:space="0" w:sz="8" w:val="single"/>
          <w:left w:color="333e48" w:space="0" w:sz="8" w:val="single"/>
          <w:bottom w:color="333e48" w:space="0" w:sz="8" w:val="single"/>
          <w:right w:color="333e48" w:space="0" w:sz="8" w:val="single"/>
          <w:insideH w:color="ffffff" w:space="0" w:sz="4" w:val="single"/>
          <w:insideV w:color="ffffff" w:space="0" w:sz="4" w:val="single"/>
        </w:tblBorders>
        <w:tblLayout w:type="fixed"/>
        <w:tblLook w:val="0000"/>
      </w:tblPr>
      <w:tblGrid>
        <w:gridCol w:w="1726"/>
        <w:gridCol w:w="821"/>
        <w:gridCol w:w="484"/>
        <w:gridCol w:w="652"/>
        <w:gridCol w:w="653"/>
        <w:gridCol w:w="652"/>
        <w:gridCol w:w="116"/>
        <w:gridCol w:w="537"/>
        <w:gridCol w:w="733"/>
        <w:gridCol w:w="851"/>
        <w:gridCol w:w="708"/>
        <w:gridCol w:w="709"/>
        <w:gridCol w:w="567"/>
        <w:gridCol w:w="567"/>
        <w:tblGridChange w:id="0">
          <w:tblGrid>
            <w:gridCol w:w="1726"/>
            <w:gridCol w:w="821"/>
            <w:gridCol w:w="484"/>
            <w:gridCol w:w="652"/>
            <w:gridCol w:w="653"/>
            <w:gridCol w:w="652"/>
            <w:gridCol w:w="116"/>
            <w:gridCol w:w="537"/>
            <w:gridCol w:w="733"/>
            <w:gridCol w:w="851"/>
            <w:gridCol w:w="708"/>
            <w:gridCol w:w="709"/>
            <w:gridCol w:w="567"/>
            <w:gridCol w:w="567"/>
          </w:tblGrid>
        </w:tblGridChange>
      </w:tblGrid>
      <w:tr>
        <w:trPr>
          <w:cantSplit w:val="1"/>
          <w:trHeight w:val="4662" w:hRule="atLeast"/>
          <w:tblHeader w:val="0"/>
        </w:trPr>
        <w:tc>
          <w:tcPr>
            <w:shd w:fill="d9d9d9" w:val="clear"/>
            <w:vAlign w:val="center"/>
          </w:tcPr>
          <w:p w:rsidR="00000000" w:rsidDel="00000000" w:rsidP="00000000" w:rsidRDefault="00000000" w:rsidRPr="00000000" w14:paraId="000002F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Entregáveis</w:t>
            </w:r>
          </w:p>
        </w:tc>
        <w:tc>
          <w:tcPr>
            <w:shd w:fill="d9d9d9" w:val="clear"/>
            <w:vAlign w:val="center"/>
          </w:tcPr>
          <w:p w:rsidR="00000000" w:rsidDel="00000000" w:rsidP="00000000" w:rsidRDefault="00000000" w:rsidRPr="00000000" w14:paraId="000002FE">
            <w:pPr>
              <w:widowControl w:val="0"/>
              <w:spacing w:line="204" w:lineRule="auto"/>
              <w:ind w:left="115" w:right="115" w:firstLine="0"/>
              <w:jc w:val="center"/>
              <w:rPr>
                <w:sz w:val="20"/>
                <w:szCs w:val="20"/>
              </w:rPr>
            </w:pPr>
            <w:r w:rsidDel="00000000" w:rsidR="00000000" w:rsidRPr="00000000">
              <w:rPr>
                <w:sz w:val="20"/>
                <w:szCs w:val="20"/>
                <w:rtl w:val="0"/>
              </w:rPr>
              <w:t xml:space="preserve">Comprovante de submissão da documentação para registro de </w:t>
            </w:r>
            <w:r w:rsidDel="00000000" w:rsidR="00000000" w:rsidRPr="00000000">
              <w:rPr>
                <w:i w:val="1"/>
                <w:sz w:val="20"/>
                <w:szCs w:val="20"/>
                <w:rtl w:val="0"/>
              </w:rPr>
              <w:t xml:space="preserve">software</w:t>
            </w:r>
            <w:r w:rsidDel="00000000" w:rsidR="00000000" w:rsidRPr="00000000">
              <w:rPr>
                <w:sz w:val="20"/>
                <w:szCs w:val="20"/>
                <w:rtl w:val="0"/>
              </w:rPr>
              <w:t xml:space="preserve"> e Comprovante de submissão ao CEP FEPCS-DF</w:t>
            </w:r>
          </w:p>
        </w:tc>
        <w:tc>
          <w:tcPr>
            <w:shd w:fill="d9d9d9" w:val="clear"/>
            <w:vAlign w:val="center"/>
          </w:tcPr>
          <w:p w:rsidR="00000000" w:rsidDel="00000000" w:rsidP="00000000" w:rsidRDefault="00000000" w:rsidRPr="00000000" w14:paraId="000002FF">
            <w:pPr>
              <w:widowControl w:val="0"/>
              <w:spacing w:line="204" w:lineRule="auto"/>
              <w:ind w:left="115" w:right="115" w:firstLine="0"/>
              <w:jc w:val="center"/>
              <w:rPr>
                <w:sz w:val="20"/>
                <w:szCs w:val="20"/>
              </w:rPr>
            </w:pPr>
            <w:r w:rsidDel="00000000" w:rsidR="00000000" w:rsidRPr="00000000">
              <w:rPr>
                <w:sz w:val="20"/>
                <w:szCs w:val="20"/>
                <w:rtl w:val="0"/>
              </w:rPr>
              <w:t xml:space="preserve">Compra de equipamentos e contratações pertinentes</w:t>
            </w:r>
          </w:p>
        </w:tc>
        <w:tc>
          <w:tcPr>
            <w:shd w:fill="d9d9d9" w:val="clear"/>
            <w:vAlign w:val="center"/>
          </w:tcPr>
          <w:p w:rsidR="00000000" w:rsidDel="00000000" w:rsidP="00000000" w:rsidRDefault="00000000" w:rsidRPr="00000000" w14:paraId="00000300">
            <w:pPr>
              <w:widowControl w:val="0"/>
              <w:spacing w:line="204" w:lineRule="auto"/>
              <w:ind w:left="115" w:right="115" w:firstLine="0"/>
              <w:jc w:val="center"/>
              <w:rPr>
                <w:sz w:val="20"/>
                <w:szCs w:val="20"/>
              </w:rPr>
            </w:pPr>
            <w:r w:rsidDel="00000000" w:rsidR="00000000" w:rsidRPr="00000000">
              <w:rPr>
                <w:sz w:val="20"/>
                <w:szCs w:val="20"/>
                <w:rtl w:val="0"/>
              </w:rPr>
              <w:t xml:space="preserve">Início do recrutamento (alvo: 3,3 randomizações por semana entre pacientes das 21 UBS selecionadas)</w:t>
            </w:r>
          </w:p>
        </w:tc>
        <w:tc>
          <w:tcPr>
            <w:shd w:fill="d9d9d9" w:val="clear"/>
            <w:vAlign w:val="center"/>
          </w:tcPr>
          <w:p w:rsidR="00000000" w:rsidDel="00000000" w:rsidP="00000000" w:rsidRDefault="00000000" w:rsidRPr="00000000" w14:paraId="00000301">
            <w:pPr>
              <w:widowControl w:val="0"/>
              <w:spacing w:line="204" w:lineRule="auto"/>
              <w:ind w:left="115" w:right="115" w:firstLine="0"/>
              <w:jc w:val="center"/>
              <w:rPr>
                <w:sz w:val="20"/>
                <w:szCs w:val="20"/>
              </w:rPr>
            </w:pPr>
            <w:r w:rsidDel="00000000" w:rsidR="00000000" w:rsidRPr="00000000">
              <w:rPr>
                <w:sz w:val="20"/>
                <w:szCs w:val="20"/>
                <w:rtl w:val="0"/>
              </w:rPr>
              <w:t xml:space="preserve">Término do recrutamento</w:t>
            </w:r>
          </w:p>
        </w:tc>
        <w:tc>
          <w:tcPr>
            <w:gridSpan w:val="2"/>
            <w:shd w:fill="d9d9d9" w:val="clear"/>
            <w:vAlign w:val="center"/>
          </w:tcPr>
          <w:p w:rsidR="00000000" w:rsidDel="00000000" w:rsidP="00000000" w:rsidRDefault="00000000" w:rsidRPr="00000000" w14:paraId="00000302">
            <w:pPr>
              <w:widowControl w:val="0"/>
              <w:spacing w:line="204" w:lineRule="auto"/>
              <w:ind w:left="115" w:right="115" w:firstLine="0"/>
              <w:jc w:val="center"/>
              <w:rPr>
                <w:sz w:val="20"/>
                <w:szCs w:val="20"/>
              </w:rPr>
            </w:pPr>
            <w:r w:rsidDel="00000000" w:rsidR="00000000" w:rsidRPr="00000000">
              <w:rPr>
                <w:sz w:val="20"/>
                <w:szCs w:val="20"/>
                <w:rtl w:val="0"/>
              </w:rPr>
              <w:t xml:space="preserve">Análise interina de eficácia e segurança: avaliação dos parâmetros de controle de colesterol LDL, glicemia e PA; efeitos adversos graves</w:t>
            </w:r>
          </w:p>
        </w:tc>
        <w:tc>
          <w:tcPr>
            <w:shd w:fill="d9d9d9" w:val="clear"/>
            <w:vAlign w:val="center"/>
          </w:tcPr>
          <w:p w:rsidR="00000000" w:rsidDel="00000000" w:rsidP="00000000" w:rsidRDefault="00000000" w:rsidRPr="00000000" w14:paraId="00000304">
            <w:pPr>
              <w:widowControl w:val="0"/>
              <w:spacing w:line="204" w:lineRule="auto"/>
              <w:ind w:left="115" w:right="115" w:firstLine="0"/>
              <w:jc w:val="center"/>
              <w:rPr>
                <w:sz w:val="20"/>
                <w:szCs w:val="20"/>
              </w:rPr>
            </w:pPr>
            <w:r w:rsidDel="00000000" w:rsidR="00000000" w:rsidRPr="00000000">
              <w:rPr>
                <w:sz w:val="20"/>
                <w:szCs w:val="20"/>
                <w:rtl w:val="0"/>
              </w:rPr>
              <w:t xml:space="preserve">Análise final de eficácia e segurança</w:t>
            </w:r>
          </w:p>
        </w:tc>
        <w:tc>
          <w:tcPr>
            <w:shd w:fill="d9d9d9" w:val="clear"/>
            <w:vAlign w:val="center"/>
          </w:tcPr>
          <w:p w:rsidR="00000000" w:rsidDel="00000000" w:rsidP="00000000" w:rsidRDefault="00000000" w:rsidRPr="00000000" w14:paraId="00000305">
            <w:pPr>
              <w:widowControl w:val="0"/>
              <w:spacing w:line="204" w:lineRule="auto"/>
              <w:ind w:left="115" w:right="115" w:firstLine="0"/>
              <w:jc w:val="center"/>
              <w:rPr>
                <w:sz w:val="20"/>
                <w:szCs w:val="20"/>
              </w:rPr>
            </w:pPr>
            <w:r w:rsidDel="00000000" w:rsidR="00000000" w:rsidRPr="00000000">
              <w:rPr>
                <w:sz w:val="20"/>
                <w:szCs w:val="20"/>
                <w:rtl w:val="0"/>
              </w:rPr>
              <w:t xml:space="preserve">Submissão do manuscrito 1 (Análise preditiva com dados longitudinais com 56 semanas de acompanhamento)</w:t>
            </w:r>
          </w:p>
        </w:tc>
        <w:tc>
          <w:tcPr>
            <w:shd w:fill="d9d9d9" w:val="clear"/>
            <w:vAlign w:val="center"/>
          </w:tcPr>
          <w:p w:rsidR="00000000" w:rsidDel="00000000" w:rsidP="00000000" w:rsidRDefault="00000000" w:rsidRPr="00000000" w14:paraId="00000306">
            <w:pPr>
              <w:widowControl w:val="0"/>
              <w:spacing w:line="204" w:lineRule="auto"/>
              <w:ind w:left="115" w:right="115" w:firstLine="0"/>
              <w:jc w:val="center"/>
              <w:rPr>
                <w:sz w:val="20"/>
                <w:szCs w:val="20"/>
              </w:rPr>
            </w:pPr>
            <w:r w:rsidDel="00000000" w:rsidR="00000000" w:rsidRPr="00000000">
              <w:rPr>
                <w:sz w:val="20"/>
                <w:szCs w:val="20"/>
                <w:rtl w:val="0"/>
              </w:rPr>
              <w:t xml:space="preserve">Submissão do manuscrito 2 (dados de linha de base + protocolo do estudo clínico) e registro do protocolo do estudo clínico na plataforma </w:t>
            </w:r>
            <w:r w:rsidDel="00000000" w:rsidR="00000000" w:rsidRPr="00000000">
              <w:rPr>
                <w:i w:val="1"/>
                <w:sz w:val="20"/>
                <w:szCs w:val="20"/>
                <w:rtl w:val="0"/>
              </w:rPr>
              <w:t xml:space="preserve">clinicaltrials.gov</w:t>
            </w:r>
            <w:r w:rsidDel="00000000" w:rsidR="00000000" w:rsidRPr="00000000">
              <w:rPr>
                <w:rtl w:val="0"/>
              </w:rPr>
            </w:r>
          </w:p>
        </w:tc>
        <w:tc>
          <w:tcPr>
            <w:shd w:fill="d9d9d9" w:val="clear"/>
            <w:vAlign w:val="center"/>
          </w:tcPr>
          <w:p w:rsidR="00000000" w:rsidDel="00000000" w:rsidP="00000000" w:rsidRDefault="00000000" w:rsidRPr="00000000" w14:paraId="00000307">
            <w:pPr>
              <w:widowControl w:val="0"/>
              <w:spacing w:line="204" w:lineRule="auto"/>
              <w:ind w:left="115" w:right="115" w:firstLine="0"/>
              <w:jc w:val="center"/>
              <w:rPr>
                <w:sz w:val="20"/>
                <w:szCs w:val="20"/>
              </w:rPr>
            </w:pPr>
            <w:r w:rsidDel="00000000" w:rsidR="00000000" w:rsidRPr="00000000">
              <w:rPr>
                <w:sz w:val="20"/>
                <w:szCs w:val="20"/>
                <w:rtl w:val="0"/>
              </w:rPr>
              <w:t xml:space="preserve">Submissão do Manuscrito 3 (resultados principais, incluindo desfechos principais e secundários)</w:t>
            </w:r>
          </w:p>
        </w:tc>
        <w:tc>
          <w:tcPr>
            <w:shd w:fill="d9d9d9" w:val="clear"/>
            <w:vAlign w:val="center"/>
          </w:tcPr>
          <w:p w:rsidR="00000000" w:rsidDel="00000000" w:rsidP="00000000" w:rsidRDefault="00000000" w:rsidRPr="00000000" w14:paraId="00000308">
            <w:pPr>
              <w:widowControl w:val="0"/>
              <w:spacing w:line="204" w:lineRule="auto"/>
              <w:ind w:left="115" w:right="115" w:firstLine="0"/>
              <w:jc w:val="center"/>
              <w:rPr>
                <w:sz w:val="20"/>
                <w:szCs w:val="20"/>
              </w:rPr>
            </w:pPr>
            <w:r w:rsidDel="00000000" w:rsidR="00000000" w:rsidRPr="00000000">
              <w:rPr>
                <w:sz w:val="20"/>
                <w:szCs w:val="20"/>
                <w:rtl w:val="0"/>
              </w:rPr>
              <w:t xml:space="preserve">Submissão do manuscrito 4 (resultados relativos aos desfechos terciários após 84 semanas de acompanhamento)</w:t>
            </w:r>
          </w:p>
        </w:tc>
        <w:tc>
          <w:tcPr>
            <w:shd w:fill="d9d9d9" w:val="clear"/>
            <w:vAlign w:val="center"/>
          </w:tcPr>
          <w:p w:rsidR="00000000" w:rsidDel="00000000" w:rsidP="00000000" w:rsidRDefault="00000000" w:rsidRPr="00000000" w14:paraId="00000309">
            <w:pPr>
              <w:widowControl w:val="0"/>
              <w:spacing w:line="204" w:lineRule="auto"/>
              <w:ind w:left="115" w:right="115" w:firstLine="0"/>
              <w:jc w:val="center"/>
              <w:rPr>
                <w:sz w:val="20"/>
                <w:szCs w:val="20"/>
              </w:rPr>
            </w:pPr>
            <w:r w:rsidDel="00000000" w:rsidR="00000000" w:rsidRPr="00000000">
              <w:rPr>
                <w:sz w:val="20"/>
                <w:szCs w:val="20"/>
                <w:rtl w:val="0"/>
              </w:rPr>
              <w:t xml:space="preserve">Preparo da documentação e Solicitação de pré-avaliação e registro do </w:t>
            </w:r>
            <w:r w:rsidDel="00000000" w:rsidR="00000000" w:rsidRPr="00000000">
              <w:rPr>
                <w:i w:val="1"/>
                <w:sz w:val="20"/>
                <w:szCs w:val="20"/>
                <w:rtl w:val="0"/>
              </w:rPr>
              <w:t xml:space="preserve">software </w:t>
            </w:r>
            <w:r w:rsidDel="00000000" w:rsidR="00000000" w:rsidRPr="00000000">
              <w:rPr>
                <w:sz w:val="20"/>
                <w:szCs w:val="20"/>
                <w:rtl w:val="0"/>
              </w:rPr>
              <w:t xml:space="preserve">na ANVISA</w:t>
            </w:r>
          </w:p>
        </w:tc>
        <w:tc>
          <w:tcPr>
            <w:shd w:fill="d9d9d9" w:val="clear"/>
            <w:vAlign w:val="center"/>
          </w:tcPr>
          <w:p w:rsidR="00000000" w:rsidDel="00000000" w:rsidP="00000000" w:rsidRDefault="00000000" w:rsidRPr="00000000" w14:paraId="0000030A">
            <w:pPr>
              <w:widowControl w:val="0"/>
              <w:spacing w:line="204" w:lineRule="auto"/>
              <w:ind w:left="115" w:right="115" w:firstLine="0"/>
              <w:jc w:val="center"/>
              <w:rPr>
                <w:sz w:val="20"/>
                <w:szCs w:val="20"/>
              </w:rPr>
            </w:pPr>
            <w:r w:rsidDel="00000000" w:rsidR="00000000" w:rsidRPr="00000000">
              <w:rPr>
                <w:sz w:val="20"/>
                <w:szCs w:val="20"/>
                <w:rtl w:val="0"/>
              </w:rPr>
              <w:t xml:space="preserve">Relatórios (parciais e final) e prestação de contas</w:t>
            </w:r>
          </w:p>
        </w:tc>
      </w:tr>
      <w:tr>
        <w:trPr>
          <w:cantSplit w:val="1"/>
          <w:trHeight w:val="288" w:hRule="atLeast"/>
          <w:tblHeader w:val="0"/>
        </w:trPr>
        <w:tc>
          <w:tcPr/>
          <w:p w:rsidR="00000000" w:rsidDel="00000000" w:rsidP="00000000" w:rsidRDefault="00000000" w:rsidRPr="00000000" w14:paraId="0000030B">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Atividade</w:t>
            </w:r>
          </w:p>
        </w:tc>
        <w:tc>
          <w:tcPr/>
          <w:p w:rsidR="00000000" w:rsidDel="00000000" w:rsidP="00000000" w:rsidRDefault="00000000" w:rsidRPr="00000000" w14:paraId="0000030C">
            <w:pPr>
              <w:widowControl w:val="0"/>
              <w:spacing w:line="216" w:lineRule="auto"/>
              <w:jc w:val="center"/>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30D">
            <w:pPr>
              <w:widowControl w:val="0"/>
              <w:spacing w:line="216" w:lineRule="auto"/>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30E">
            <w:pPr>
              <w:widowControl w:val="0"/>
              <w:spacing w:line="216" w:lineRule="auto"/>
              <w:jc w:val="center"/>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30F">
            <w:pPr>
              <w:widowControl w:val="0"/>
              <w:spacing w:line="216" w:lineRule="auto"/>
              <w:jc w:val="center"/>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310">
            <w:pPr>
              <w:widowControl w:val="0"/>
              <w:spacing w:line="216" w:lineRule="auto"/>
              <w:jc w:val="center"/>
              <w:rPr>
                <w:sz w:val="22"/>
                <w:szCs w:val="22"/>
              </w:rPr>
            </w:pPr>
            <w:r w:rsidDel="00000000" w:rsidR="00000000" w:rsidRPr="00000000">
              <w:rPr>
                <w:sz w:val="22"/>
                <w:szCs w:val="22"/>
                <w:rtl w:val="0"/>
              </w:rPr>
              <w:t xml:space="preserve">5</w:t>
            </w:r>
          </w:p>
        </w:tc>
        <w:tc>
          <w:tcPr>
            <w:gridSpan w:val="2"/>
          </w:tcPr>
          <w:p w:rsidR="00000000" w:rsidDel="00000000" w:rsidP="00000000" w:rsidRDefault="00000000" w:rsidRPr="00000000" w14:paraId="00000311">
            <w:pPr>
              <w:widowControl w:val="0"/>
              <w:spacing w:line="216" w:lineRule="auto"/>
              <w:jc w:val="center"/>
              <w:rPr>
                <w:sz w:val="22"/>
                <w:szCs w:val="22"/>
              </w:rPr>
            </w:pPr>
            <w:r w:rsidDel="00000000" w:rsidR="00000000" w:rsidRPr="00000000">
              <w:rPr>
                <w:sz w:val="22"/>
                <w:szCs w:val="22"/>
                <w:rtl w:val="0"/>
              </w:rPr>
              <w:t xml:space="preserve">6</w:t>
            </w:r>
          </w:p>
        </w:tc>
        <w:tc>
          <w:tcPr/>
          <w:p w:rsidR="00000000" w:rsidDel="00000000" w:rsidP="00000000" w:rsidRDefault="00000000" w:rsidRPr="00000000" w14:paraId="00000313">
            <w:pPr>
              <w:widowControl w:val="0"/>
              <w:spacing w:line="216" w:lineRule="auto"/>
              <w:jc w:val="center"/>
              <w:rPr>
                <w:sz w:val="22"/>
                <w:szCs w:val="22"/>
              </w:rPr>
            </w:pPr>
            <w:r w:rsidDel="00000000" w:rsidR="00000000" w:rsidRPr="00000000">
              <w:rPr>
                <w:sz w:val="22"/>
                <w:szCs w:val="22"/>
                <w:rtl w:val="0"/>
              </w:rPr>
              <w:t xml:space="preserve">7</w:t>
            </w:r>
          </w:p>
        </w:tc>
        <w:tc>
          <w:tcPr/>
          <w:p w:rsidR="00000000" w:rsidDel="00000000" w:rsidP="00000000" w:rsidRDefault="00000000" w:rsidRPr="00000000" w14:paraId="00000314">
            <w:pPr>
              <w:widowControl w:val="0"/>
              <w:spacing w:line="216" w:lineRule="auto"/>
              <w:jc w:val="center"/>
              <w:rPr>
                <w:sz w:val="22"/>
                <w:szCs w:val="22"/>
              </w:rPr>
            </w:pPr>
            <w:r w:rsidDel="00000000" w:rsidR="00000000" w:rsidRPr="00000000">
              <w:rPr>
                <w:sz w:val="22"/>
                <w:szCs w:val="22"/>
                <w:rtl w:val="0"/>
              </w:rPr>
              <w:t xml:space="preserve">8</w:t>
            </w:r>
          </w:p>
        </w:tc>
        <w:tc>
          <w:tcPr/>
          <w:p w:rsidR="00000000" w:rsidDel="00000000" w:rsidP="00000000" w:rsidRDefault="00000000" w:rsidRPr="00000000" w14:paraId="00000315">
            <w:pPr>
              <w:widowControl w:val="0"/>
              <w:spacing w:line="216" w:lineRule="auto"/>
              <w:jc w:val="center"/>
              <w:rPr>
                <w:sz w:val="22"/>
                <w:szCs w:val="22"/>
              </w:rPr>
            </w:pPr>
            <w:r w:rsidDel="00000000" w:rsidR="00000000" w:rsidRPr="00000000">
              <w:rPr>
                <w:sz w:val="22"/>
                <w:szCs w:val="22"/>
                <w:rtl w:val="0"/>
              </w:rPr>
              <w:t xml:space="preserve">9</w:t>
            </w:r>
          </w:p>
        </w:tc>
        <w:tc>
          <w:tcPr/>
          <w:p w:rsidR="00000000" w:rsidDel="00000000" w:rsidP="00000000" w:rsidRDefault="00000000" w:rsidRPr="00000000" w14:paraId="00000316">
            <w:pPr>
              <w:widowControl w:val="0"/>
              <w:spacing w:line="216" w:lineRule="auto"/>
              <w:jc w:val="center"/>
              <w:rPr>
                <w:sz w:val="22"/>
                <w:szCs w:val="22"/>
              </w:rPr>
            </w:pPr>
            <w:r w:rsidDel="00000000" w:rsidR="00000000" w:rsidRPr="00000000">
              <w:rPr>
                <w:sz w:val="22"/>
                <w:szCs w:val="22"/>
                <w:rtl w:val="0"/>
              </w:rPr>
              <w:t xml:space="preserve">10</w:t>
            </w:r>
          </w:p>
        </w:tc>
        <w:tc>
          <w:tcPr/>
          <w:p w:rsidR="00000000" w:rsidDel="00000000" w:rsidP="00000000" w:rsidRDefault="00000000" w:rsidRPr="00000000" w14:paraId="00000317">
            <w:pPr>
              <w:widowControl w:val="0"/>
              <w:spacing w:line="216" w:lineRule="auto"/>
              <w:jc w:val="center"/>
              <w:rPr>
                <w:sz w:val="22"/>
                <w:szCs w:val="22"/>
              </w:rPr>
            </w:pPr>
            <w:r w:rsidDel="00000000" w:rsidR="00000000" w:rsidRPr="00000000">
              <w:rPr>
                <w:sz w:val="22"/>
                <w:szCs w:val="22"/>
                <w:rtl w:val="0"/>
              </w:rPr>
              <w:t xml:space="preserve">11</w:t>
            </w:r>
          </w:p>
        </w:tc>
        <w:tc>
          <w:tcPr/>
          <w:p w:rsidR="00000000" w:rsidDel="00000000" w:rsidP="00000000" w:rsidRDefault="00000000" w:rsidRPr="00000000" w14:paraId="00000318">
            <w:pPr>
              <w:widowControl w:val="0"/>
              <w:spacing w:line="216" w:lineRule="auto"/>
              <w:jc w:val="center"/>
              <w:rPr>
                <w:sz w:val="22"/>
                <w:szCs w:val="22"/>
              </w:rPr>
            </w:pPr>
            <w:r w:rsidDel="00000000" w:rsidR="00000000" w:rsidRPr="00000000">
              <w:rPr>
                <w:sz w:val="22"/>
                <w:szCs w:val="22"/>
                <w:rtl w:val="0"/>
              </w:rPr>
              <w:t xml:space="preserve">12</w:t>
            </w:r>
          </w:p>
        </w:tc>
      </w:tr>
      <w:tr>
        <w:trPr>
          <w:cantSplit w:val="1"/>
          <w:trHeight w:val="288" w:hRule="atLeast"/>
          <w:tblHeader w:val="0"/>
        </w:trPr>
        <w:tc>
          <w:tcPr/>
          <w:p w:rsidR="00000000" w:rsidDel="00000000" w:rsidP="00000000" w:rsidRDefault="00000000" w:rsidRPr="00000000" w14:paraId="00000319">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08/23</w:t>
            </w:r>
          </w:p>
        </w:tc>
        <w:tc>
          <w:tcPr/>
          <w:p w:rsidR="00000000" w:rsidDel="00000000" w:rsidP="00000000" w:rsidRDefault="00000000" w:rsidRPr="00000000" w14:paraId="0000031A">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1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1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1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1E">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1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5">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26">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27">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09/23</w:t>
            </w:r>
          </w:p>
        </w:tc>
        <w:tc>
          <w:tcPr/>
          <w:p w:rsidR="00000000" w:rsidDel="00000000" w:rsidP="00000000" w:rsidRDefault="00000000" w:rsidRPr="00000000" w14:paraId="00000328">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2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C">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2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2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3">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34">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3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10/23</w:t>
            </w:r>
          </w:p>
        </w:tc>
        <w:tc>
          <w:tcPr/>
          <w:p w:rsidR="00000000" w:rsidDel="00000000" w:rsidP="00000000" w:rsidRDefault="00000000" w:rsidRPr="00000000" w14:paraId="00000336">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3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A">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3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3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1">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42">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43">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11/23</w:t>
            </w:r>
          </w:p>
        </w:tc>
        <w:tc>
          <w:tcPr/>
          <w:p w:rsidR="00000000" w:rsidDel="00000000" w:rsidP="00000000" w:rsidRDefault="00000000" w:rsidRPr="00000000" w14:paraId="0000034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5">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4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8">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4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4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0">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5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12/23</w:t>
            </w:r>
          </w:p>
        </w:tc>
        <w:tc>
          <w:tcPr/>
          <w:p w:rsidR="00000000" w:rsidDel="00000000" w:rsidP="00000000" w:rsidRDefault="00000000" w:rsidRPr="00000000" w14:paraId="0000035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3">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5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6">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5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5E">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5F">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01/24</w:t>
            </w:r>
          </w:p>
        </w:tc>
        <w:tc>
          <w:tcPr/>
          <w:p w:rsidR="00000000" w:rsidDel="00000000" w:rsidP="00000000" w:rsidRDefault="00000000" w:rsidRPr="00000000" w14:paraId="0000036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1">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6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4">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6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C">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6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02/24</w:t>
            </w:r>
          </w:p>
        </w:tc>
        <w:tc>
          <w:tcPr/>
          <w:p w:rsidR="00000000" w:rsidDel="00000000" w:rsidP="00000000" w:rsidRDefault="00000000" w:rsidRPr="00000000" w14:paraId="0000036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6F">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7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2">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7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A">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7B">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03/24</w:t>
            </w:r>
          </w:p>
        </w:tc>
        <w:tc>
          <w:tcPr/>
          <w:p w:rsidR="00000000" w:rsidDel="00000000" w:rsidP="00000000" w:rsidRDefault="00000000" w:rsidRPr="00000000" w14:paraId="0000037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D">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7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7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0">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8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8">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89">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03/24</w:t>
            </w:r>
          </w:p>
        </w:tc>
        <w:tc>
          <w:tcPr/>
          <w:p w:rsidR="00000000" w:rsidDel="00000000" w:rsidP="00000000" w:rsidRDefault="00000000" w:rsidRPr="00000000" w14:paraId="0000038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B">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8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8E">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8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6">
            <w:pPr>
              <w:widowControl w:val="0"/>
              <w:spacing w:line="216" w:lineRule="auto"/>
              <w:jc w:val="center"/>
              <w:rPr>
                <w:sz w:val="22"/>
                <w:szCs w:val="22"/>
              </w:rPr>
            </w:pPr>
            <w:r w:rsidDel="00000000" w:rsidR="00000000" w:rsidRPr="00000000">
              <w:rPr>
                <w:sz w:val="22"/>
                <w:szCs w:val="22"/>
                <w:rtl w:val="0"/>
              </w:rPr>
              <w:t xml:space="preserve"></w:t>
            </w:r>
          </w:p>
        </w:tc>
      </w:tr>
      <w:tr>
        <w:trPr>
          <w:cantSplit w:val="1"/>
          <w:trHeight w:val="288" w:hRule="atLeast"/>
          <w:tblHeader w:val="0"/>
        </w:trPr>
        <w:tc>
          <w:tcPr/>
          <w:p w:rsidR="00000000" w:rsidDel="00000000" w:rsidP="00000000" w:rsidRDefault="00000000" w:rsidRPr="00000000" w14:paraId="00000397">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04/24</w:t>
            </w:r>
          </w:p>
        </w:tc>
        <w:tc>
          <w:tcPr/>
          <w:p w:rsidR="00000000" w:rsidDel="00000000" w:rsidP="00000000" w:rsidRDefault="00000000" w:rsidRPr="00000000" w14:paraId="0000039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9">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9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C">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9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9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4">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A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05/24</w:t>
            </w:r>
          </w:p>
        </w:tc>
        <w:tc>
          <w:tcPr/>
          <w:p w:rsidR="00000000" w:rsidDel="00000000" w:rsidP="00000000" w:rsidRDefault="00000000" w:rsidRPr="00000000" w14:paraId="000003A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7">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A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A">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A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AE">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A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2">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B3">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06/24</w:t>
            </w:r>
          </w:p>
        </w:tc>
        <w:tc>
          <w:tcPr/>
          <w:p w:rsidR="00000000" w:rsidDel="00000000" w:rsidP="00000000" w:rsidRDefault="00000000" w:rsidRPr="00000000" w14:paraId="000003B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6">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B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8">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B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C">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B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B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0">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C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07/24</w:t>
            </w:r>
          </w:p>
        </w:tc>
        <w:tc>
          <w:tcPr/>
          <w:p w:rsidR="00000000" w:rsidDel="00000000" w:rsidP="00000000" w:rsidRDefault="00000000" w:rsidRPr="00000000" w14:paraId="000003C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4">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C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6">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C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CE">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CF">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08/24</w:t>
            </w:r>
          </w:p>
        </w:tc>
        <w:tc>
          <w:tcPr/>
          <w:p w:rsidR="00000000" w:rsidDel="00000000" w:rsidP="00000000" w:rsidRDefault="00000000" w:rsidRPr="00000000" w14:paraId="000003D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2">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D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4">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D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C">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D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09/24</w:t>
            </w:r>
          </w:p>
        </w:tc>
        <w:tc>
          <w:tcPr/>
          <w:p w:rsidR="00000000" w:rsidDel="00000000" w:rsidP="00000000" w:rsidRDefault="00000000" w:rsidRPr="00000000" w14:paraId="000003D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D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0">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E1">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3E2">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3E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A">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EB">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10/24</w:t>
            </w:r>
          </w:p>
        </w:tc>
        <w:tc>
          <w:tcPr/>
          <w:p w:rsidR="00000000" w:rsidDel="00000000" w:rsidP="00000000" w:rsidRDefault="00000000" w:rsidRPr="00000000" w14:paraId="000003E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E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0">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3F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8">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3F9">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11/24</w:t>
            </w:r>
          </w:p>
        </w:tc>
        <w:tc>
          <w:tcPr/>
          <w:p w:rsidR="00000000" w:rsidDel="00000000" w:rsidP="00000000" w:rsidRDefault="00000000" w:rsidRPr="00000000" w14:paraId="000003F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3FE">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3F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6">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07">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12/24</w:t>
            </w:r>
          </w:p>
        </w:tc>
        <w:tc>
          <w:tcPr/>
          <w:p w:rsidR="00000000" w:rsidDel="00000000" w:rsidP="00000000" w:rsidRDefault="00000000" w:rsidRPr="00000000" w14:paraId="0000040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C">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0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0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4">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1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01/25</w:t>
            </w:r>
          </w:p>
        </w:tc>
        <w:tc>
          <w:tcPr/>
          <w:p w:rsidR="00000000" w:rsidDel="00000000" w:rsidP="00000000" w:rsidRDefault="00000000" w:rsidRPr="00000000" w14:paraId="0000041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A">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1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1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2">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23">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02/25</w:t>
            </w:r>
          </w:p>
        </w:tc>
        <w:tc>
          <w:tcPr/>
          <w:p w:rsidR="00000000" w:rsidDel="00000000" w:rsidP="00000000" w:rsidRDefault="00000000" w:rsidRPr="00000000" w14:paraId="0000042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8">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2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2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0">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3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03/25</w:t>
            </w:r>
          </w:p>
        </w:tc>
        <w:tc>
          <w:tcPr/>
          <w:p w:rsidR="00000000" w:rsidDel="00000000" w:rsidP="00000000" w:rsidRDefault="00000000" w:rsidRPr="00000000" w14:paraId="0000043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6">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3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3E">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3F">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04/25</w:t>
            </w:r>
          </w:p>
        </w:tc>
        <w:tc>
          <w:tcPr/>
          <w:p w:rsidR="00000000" w:rsidDel="00000000" w:rsidP="00000000" w:rsidRDefault="00000000" w:rsidRPr="00000000" w14:paraId="0000044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4">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4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C">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4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05/25</w:t>
            </w:r>
          </w:p>
        </w:tc>
        <w:tc>
          <w:tcPr/>
          <w:p w:rsidR="00000000" w:rsidDel="00000000" w:rsidP="00000000" w:rsidRDefault="00000000" w:rsidRPr="00000000" w14:paraId="0000044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4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2">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5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A">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5B">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06/25</w:t>
            </w:r>
          </w:p>
        </w:tc>
        <w:tc>
          <w:tcPr/>
          <w:p w:rsidR="00000000" w:rsidDel="00000000" w:rsidP="00000000" w:rsidRDefault="00000000" w:rsidRPr="00000000" w14:paraId="0000045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5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0">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6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8">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69">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07/25</w:t>
            </w:r>
          </w:p>
        </w:tc>
        <w:tc>
          <w:tcPr/>
          <w:p w:rsidR="00000000" w:rsidDel="00000000" w:rsidP="00000000" w:rsidRDefault="00000000" w:rsidRPr="00000000" w14:paraId="0000046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6E">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6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6">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77">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08/25</w:t>
            </w:r>
          </w:p>
        </w:tc>
        <w:tc>
          <w:tcPr/>
          <w:p w:rsidR="00000000" w:rsidDel="00000000" w:rsidP="00000000" w:rsidRDefault="00000000" w:rsidRPr="00000000" w14:paraId="0000047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C">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7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7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4">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8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09/25</w:t>
            </w:r>
          </w:p>
        </w:tc>
        <w:tc>
          <w:tcPr/>
          <w:p w:rsidR="00000000" w:rsidDel="00000000" w:rsidP="00000000" w:rsidRDefault="00000000" w:rsidRPr="00000000" w14:paraId="0000048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A">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48B">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8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8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2">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93">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10/25</w:t>
            </w:r>
          </w:p>
        </w:tc>
        <w:tc>
          <w:tcPr/>
          <w:p w:rsidR="00000000" w:rsidDel="00000000" w:rsidP="00000000" w:rsidRDefault="00000000" w:rsidRPr="00000000" w14:paraId="0000049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8">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499">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9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9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0">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A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11/25</w:t>
            </w:r>
          </w:p>
        </w:tc>
        <w:tc>
          <w:tcPr/>
          <w:p w:rsidR="00000000" w:rsidDel="00000000" w:rsidP="00000000" w:rsidRDefault="00000000" w:rsidRPr="00000000" w14:paraId="000004A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6">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4A7">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A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AE">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AF">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12/25</w:t>
            </w:r>
          </w:p>
        </w:tc>
        <w:tc>
          <w:tcPr/>
          <w:p w:rsidR="00000000" w:rsidDel="00000000" w:rsidP="00000000" w:rsidRDefault="00000000" w:rsidRPr="00000000" w14:paraId="000004B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4">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4B5">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B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C">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B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01/26</w:t>
            </w:r>
          </w:p>
        </w:tc>
        <w:tc>
          <w:tcPr/>
          <w:p w:rsidR="00000000" w:rsidDel="00000000" w:rsidP="00000000" w:rsidRDefault="00000000" w:rsidRPr="00000000" w14:paraId="000004B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B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2">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4C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5">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C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A">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CB">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02/26</w:t>
            </w:r>
          </w:p>
        </w:tc>
        <w:tc>
          <w:tcPr/>
          <w:p w:rsidR="00000000" w:rsidDel="00000000" w:rsidP="00000000" w:rsidRDefault="00000000" w:rsidRPr="00000000" w14:paraId="000004C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E">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C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0">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4D1">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3">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D4">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6">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7">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8">
            <w:pPr>
              <w:widowControl w:val="0"/>
              <w:spacing w:line="216" w:lineRule="auto"/>
              <w:jc w:val="center"/>
              <w:rPr>
                <w:sz w:val="22"/>
                <w:szCs w:val="22"/>
              </w:rPr>
            </w:pPr>
            <w:r w:rsidDel="00000000" w:rsidR="00000000" w:rsidRPr="00000000">
              <w:rPr>
                <w:rtl w:val="0"/>
              </w:rPr>
            </w:r>
          </w:p>
        </w:tc>
      </w:tr>
      <w:tr>
        <w:trPr>
          <w:cantSplit w:val="1"/>
          <w:trHeight w:val="288" w:hRule="atLeast"/>
          <w:tblHeader w:val="0"/>
        </w:trPr>
        <w:tc>
          <w:tcPr/>
          <w:p w:rsidR="00000000" w:rsidDel="00000000" w:rsidP="00000000" w:rsidRDefault="00000000" w:rsidRPr="00000000" w14:paraId="000004D9">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03/26</w:t>
            </w:r>
          </w:p>
        </w:tc>
        <w:tc>
          <w:tcPr/>
          <w:p w:rsidR="00000000" w:rsidDel="00000000" w:rsidP="00000000" w:rsidRDefault="00000000" w:rsidRPr="00000000" w14:paraId="000004D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C">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DE">
            <w:pPr>
              <w:widowControl w:val="0"/>
              <w:spacing w:line="216" w:lineRule="auto"/>
              <w:jc w:val="center"/>
              <w:rPr>
                <w:sz w:val="22"/>
                <w:szCs w:val="22"/>
              </w:rPr>
            </w:pPr>
            <w:r w:rsidDel="00000000" w:rsidR="00000000" w:rsidRPr="00000000">
              <w:rPr>
                <w:rtl w:val="0"/>
              </w:rPr>
            </w:r>
          </w:p>
        </w:tc>
        <w:tc>
          <w:tcPr>
            <w:gridSpan w:val="2"/>
          </w:tcPr>
          <w:p w:rsidR="00000000" w:rsidDel="00000000" w:rsidP="00000000" w:rsidRDefault="00000000" w:rsidRPr="00000000" w14:paraId="000004D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1">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E2">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3">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E4">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E5">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6">
            <w:pPr>
              <w:widowControl w:val="0"/>
              <w:spacing w:line="216" w:lineRule="auto"/>
              <w:jc w:val="center"/>
              <w:rPr>
                <w:sz w:val="22"/>
                <w:szCs w:val="22"/>
              </w:rPr>
            </w:pPr>
            <w:r w:rsidDel="00000000" w:rsidR="00000000" w:rsidRPr="00000000">
              <w:rPr>
                <w:sz w:val="22"/>
                <w:szCs w:val="22"/>
                <w:rtl w:val="0"/>
              </w:rPr>
              <w:t xml:space="preserve"></w:t>
            </w:r>
          </w:p>
        </w:tc>
      </w:tr>
      <w:tr>
        <w:trPr>
          <w:cantSplit w:val="1"/>
          <w:trHeight w:val="288" w:hRule="atLeast"/>
          <w:tblHeader w:val="0"/>
        </w:trPr>
        <w:tc>
          <w:tcPr/>
          <w:p w:rsidR="00000000" w:rsidDel="00000000" w:rsidP="00000000" w:rsidRDefault="00000000" w:rsidRPr="00000000" w14:paraId="000004E7">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16" w:lineRule="auto"/>
              <w:jc w:val="center"/>
              <w:rPr>
                <w:b w:val="1"/>
                <w:sz w:val="22"/>
                <w:szCs w:val="22"/>
              </w:rPr>
            </w:pPr>
            <w:r w:rsidDel="00000000" w:rsidR="00000000" w:rsidRPr="00000000">
              <w:rPr>
                <w:b w:val="1"/>
                <w:sz w:val="22"/>
                <w:szCs w:val="22"/>
                <w:rtl w:val="0"/>
              </w:rPr>
              <w:t xml:space="preserve">04/26</w:t>
            </w:r>
          </w:p>
        </w:tc>
        <w:tc>
          <w:tcPr/>
          <w:p w:rsidR="00000000" w:rsidDel="00000000" w:rsidP="00000000" w:rsidRDefault="00000000" w:rsidRPr="00000000" w14:paraId="000004E8">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9">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A">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B">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C">
            <w:pPr>
              <w:widowControl w:val="0"/>
              <w:spacing w:line="216" w:lineRule="auto"/>
              <w:jc w:val="center"/>
              <w:rPr>
                <w:sz w:val="22"/>
                <w:szCs w:val="22"/>
              </w:rPr>
            </w:pPr>
            <w:r w:rsidDel="00000000" w:rsidR="00000000" w:rsidRPr="00000000">
              <w:rPr>
                <w:sz w:val="22"/>
                <w:szCs w:val="22"/>
                <w:rtl w:val="0"/>
              </w:rPr>
              <w:t xml:space="preserve"></w:t>
            </w:r>
          </w:p>
        </w:tc>
        <w:tc>
          <w:tcPr>
            <w:gridSpan w:val="2"/>
          </w:tcPr>
          <w:p w:rsidR="00000000" w:rsidDel="00000000" w:rsidP="00000000" w:rsidRDefault="00000000" w:rsidRPr="00000000" w14:paraId="000004ED">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EF">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F0">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F1">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F2">
            <w:pPr>
              <w:widowControl w:val="0"/>
              <w:spacing w:line="216" w:lineRule="auto"/>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4F3">
            <w:pPr>
              <w:widowControl w:val="0"/>
              <w:spacing w:line="216" w:lineRule="auto"/>
              <w:jc w:val="center"/>
              <w:rPr>
                <w:sz w:val="22"/>
                <w:szCs w:val="22"/>
              </w:rPr>
            </w:pPr>
            <w:r w:rsidDel="00000000" w:rsidR="00000000" w:rsidRPr="00000000">
              <w:rPr>
                <w:rtl w:val="0"/>
              </w:rPr>
            </w:r>
          </w:p>
        </w:tc>
        <w:tc>
          <w:tcPr/>
          <w:p w:rsidR="00000000" w:rsidDel="00000000" w:rsidP="00000000" w:rsidRDefault="00000000" w:rsidRPr="00000000" w14:paraId="000004F4">
            <w:pPr>
              <w:widowControl w:val="0"/>
              <w:spacing w:line="216" w:lineRule="auto"/>
              <w:jc w:val="center"/>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4F5">
      <w:pPr>
        <w:spacing w:line="360" w:lineRule="auto"/>
        <w:ind w:firstLine="720"/>
        <w:jc w:val="both"/>
        <w:rPr/>
      </w:pPr>
      <w:r w:rsidDel="00000000" w:rsidR="00000000" w:rsidRPr="00000000">
        <w:rPr>
          <w:rtl w:val="0"/>
        </w:rPr>
      </w:r>
    </w:p>
    <w:p w:rsidR="00000000" w:rsidDel="00000000" w:rsidP="00000000" w:rsidRDefault="00000000" w:rsidRPr="00000000" w14:paraId="000004F6">
      <w:pPr>
        <w:spacing w:line="360" w:lineRule="auto"/>
        <w:ind w:firstLine="720"/>
        <w:jc w:val="both"/>
        <w:rPr/>
      </w:pPr>
      <w:r w:rsidDel="00000000" w:rsidR="00000000" w:rsidRPr="00000000">
        <w:rPr>
          <w:rtl w:val="0"/>
        </w:rPr>
      </w:r>
    </w:p>
    <w:p w:rsidR="00000000" w:rsidDel="00000000" w:rsidP="00000000" w:rsidRDefault="00000000" w:rsidRPr="00000000" w14:paraId="000004F7">
      <w:pPr>
        <w:spacing w:line="360" w:lineRule="auto"/>
        <w:ind w:firstLine="720"/>
        <w:jc w:val="both"/>
        <w:rPr/>
      </w:pPr>
      <w:r w:rsidDel="00000000" w:rsidR="00000000" w:rsidRPr="00000000">
        <w:rPr>
          <w:rtl w:val="0"/>
        </w:rPr>
      </w:r>
    </w:p>
    <w:p w:rsidR="00000000" w:rsidDel="00000000" w:rsidP="00000000" w:rsidRDefault="00000000" w:rsidRPr="00000000" w14:paraId="000004F8">
      <w:pPr>
        <w:spacing w:line="360" w:lineRule="auto"/>
        <w:ind w:firstLine="720"/>
        <w:jc w:val="both"/>
        <w:rPr/>
      </w:pPr>
      <w:r w:rsidDel="00000000" w:rsidR="00000000" w:rsidRPr="00000000">
        <w:rPr>
          <w:rtl w:val="0"/>
        </w:rPr>
      </w:r>
    </w:p>
    <w:p w:rsidR="00000000" w:rsidDel="00000000" w:rsidP="00000000" w:rsidRDefault="00000000" w:rsidRPr="00000000" w14:paraId="000004F9">
      <w:pPr>
        <w:spacing w:line="360" w:lineRule="auto"/>
        <w:ind w:firstLine="720"/>
        <w:jc w:val="both"/>
        <w:rPr/>
      </w:pPr>
      <w:r w:rsidDel="00000000" w:rsidR="00000000" w:rsidRPr="00000000">
        <w:rPr>
          <w:rtl w:val="0"/>
        </w:rPr>
      </w:r>
    </w:p>
    <w:p w:rsidR="00000000" w:rsidDel="00000000" w:rsidP="00000000" w:rsidRDefault="00000000" w:rsidRPr="00000000" w14:paraId="000004FA">
      <w:pPr>
        <w:spacing w:line="360" w:lineRule="auto"/>
        <w:ind w:firstLine="720"/>
        <w:jc w:val="both"/>
        <w:rPr/>
      </w:pPr>
      <w:r w:rsidDel="00000000" w:rsidR="00000000" w:rsidRPr="00000000">
        <w:rPr>
          <w:rtl w:val="0"/>
        </w:rPr>
      </w:r>
    </w:p>
    <w:p w:rsidR="00000000" w:rsidDel="00000000" w:rsidP="00000000" w:rsidRDefault="00000000" w:rsidRPr="00000000" w14:paraId="000004FB">
      <w:pPr>
        <w:spacing w:line="360" w:lineRule="auto"/>
        <w:ind w:firstLine="720"/>
        <w:jc w:val="both"/>
        <w:rPr/>
      </w:pPr>
      <w:r w:rsidDel="00000000" w:rsidR="00000000" w:rsidRPr="00000000">
        <w:rPr>
          <w:rtl w:val="0"/>
        </w:rPr>
      </w:r>
    </w:p>
    <w:p w:rsidR="00000000" w:rsidDel="00000000" w:rsidP="00000000" w:rsidRDefault="00000000" w:rsidRPr="00000000" w14:paraId="000004FC">
      <w:pPr>
        <w:spacing w:line="360" w:lineRule="auto"/>
        <w:ind w:firstLine="720"/>
        <w:jc w:val="both"/>
        <w:rPr/>
      </w:pPr>
      <w:r w:rsidDel="00000000" w:rsidR="00000000" w:rsidRPr="00000000">
        <w:rPr>
          <w:rtl w:val="0"/>
        </w:rPr>
      </w:r>
    </w:p>
    <w:p w:rsidR="00000000" w:rsidDel="00000000" w:rsidP="00000000" w:rsidRDefault="00000000" w:rsidRPr="00000000" w14:paraId="000004FD">
      <w:pPr>
        <w:spacing w:line="360" w:lineRule="auto"/>
        <w:ind w:firstLine="720"/>
        <w:jc w:val="both"/>
        <w:rPr/>
      </w:pPr>
      <w:r w:rsidDel="00000000" w:rsidR="00000000" w:rsidRPr="00000000">
        <w:rPr>
          <w:rtl w:val="0"/>
        </w:rPr>
      </w:r>
    </w:p>
    <w:p w:rsidR="00000000" w:rsidDel="00000000" w:rsidP="00000000" w:rsidRDefault="00000000" w:rsidRPr="00000000" w14:paraId="000004FE">
      <w:pPr>
        <w:spacing w:line="360" w:lineRule="auto"/>
        <w:ind w:firstLine="720"/>
        <w:jc w:val="both"/>
        <w:rPr/>
      </w:pPr>
      <w:r w:rsidDel="00000000" w:rsidR="00000000" w:rsidRPr="00000000">
        <w:rPr>
          <w:rtl w:val="0"/>
        </w:rPr>
      </w:r>
    </w:p>
    <w:p w:rsidR="00000000" w:rsidDel="00000000" w:rsidP="00000000" w:rsidRDefault="00000000" w:rsidRPr="00000000" w14:paraId="000004FF">
      <w:pPr>
        <w:spacing w:line="360" w:lineRule="auto"/>
        <w:ind w:firstLine="720"/>
        <w:jc w:val="both"/>
        <w:rPr/>
      </w:pPr>
      <w:r w:rsidDel="00000000" w:rsidR="00000000" w:rsidRPr="00000000">
        <w:rPr>
          <w:rtl w:val="0"/>
        </w:rPr>
      </w:r>
    </w:p>
    <w:p w:rsidR="00000000" w:rsidDel="00000000" w:rsidP="00000000" w:rsidRDefault="00000000" w:rsidRPr="00000000" w14:paraId="00000500">
      <w:pPr>
        <w:spacing w:line="360" w:lineRule="auto"/>
        <w:ind w:firstLine="720"/>
        <w:jc w:val="both"/>
        <w:rPr/>
      </w:pPr>
      <w:r w:rsidDel="00000000" w:rsidR="00000000" w:rsidRPr="00000000">
        <w:rPr>
          <w:rtl w:val="0"/>
        </w:rPr>
      </w:r>
    </w:p>
    <w:p w:rsidR="00000000" w:rsidDel="00000000" w:rsidP="00000000" w:rsidRDefault="00000000" w:rsidRPr="00000000" w14:paraId="00000501">
      <w:pPr>
        <w:spacing w:line="360" w:lineRule="auto"/>
        <w:ind w:firstLine="720"/>
        <w:jc w:val="both"/>
        <w:rPr/>
      </w:pPr>
      <w:r w:rsidDel="00000000" w:rsidR="00000000" w:rsidRPr="00000000">
        <w:rPr>
          <w:rtl w:val="0"/>
        </w:rPr>
      </w:r>
    </w:p>
    <w:p w:rsidR="00000000" w:rsidDel="00000000" w:rsidP="00000000" w:rsidRDefault="00000000" w:rsidRPr="00000000" w14:paraId="00000502">
      <w:pPr>
        <w:spacing w:line="360" w:lineRule="auto"/>
        <w:ind w:firstLine="720"/>
        <w:jc w:val="both"/>
        <w:rPr/>
      </w:pPr>
      <w:r w:rsidDel="00000000" w:rsidR="00000000" w:rsidRPr="00000000">
        <w:rPr>
          <w:rtl w:val="0"/>
        </w:rPr>
      </w:r>
    </w:p>
    <w:p w:rsidR="00000000" w:rsidDel="00000000" w:rsidP="00000000" w:rsidRDefault="00000000" w:rsidRPr="00000000" w14:paraId="00000503">
      <w:pPr>
        <w:spacing w:line="360" w:lineRule="auto"/>
        <w:ind w:firstLine="720"/>
        <w:jc w:val="both"/>
        <w:rPr/>
      </w:pPr>
      <w:r w:rsidDel="00000000" w:rsidR="00000000" w:rsidRPr="00000000">
        <w:rPr>
          <w:rtl w:val="0"/>
        </w:rPr>
      </w:r>
    </w:p>
    <w:p w:rsidR="00000000" w:rsidDel="00000000" w:rsidP="00000000" w:rsidRDefault="00000000" w:rsidRPr="00000000" w14:paraId="00000504">
      <w:pPr>
        <w:spacing w:line="360" w:lineRule="auto"/>
        <w:ind w:firstLine="720"/>
        <w:jc w:val="both"/>
        <w:rPr/>
      </w:pPr>
      <w:r w:rsidDel="00000000" w:rsidR="00000000" w:rsidRPr="00000000">
        <w:rPr>
          <w:rtl w:val="0"/>
        </w:rPr>
      </w:r>
    </w:p>
    <w:p w:rsidR="00000000" w:rsidDel="00000000" w:rsidP="00000000" w:rsidRDefault="00000000" w:rsidRPr="00000000" w14:paraId="00000505">
      <w:pPr>
        <w:spacing w:line="360" w:lineRule="auto"/>
        <w:ind w:firstLine="720"/>
        <w:jc w:val="both"/>
        <w:rPr/>
      </w:pPr>
      <w:r w:rsidDel="00000000" w:rsidR="00000000" w:rsidRPr="00000000">
        <w:rPr>
          <w:rtl w:val="0"/>
        </w:rPr>
      </w:r>
    </w:p>
    <w:p w:rsidR="00000000" w:rsidDel="00000000" w:rsidP="00000000" w:rsidRDefault="00000000" w:rsidRPr="00000000" w14:paraId="00000506">
      <w:pPr>
        <w:spacing w:line="360" w:lineRule="auto"/>
        <w:ind w:firstLine="720"/>
        <w:jc w:val="both"/>
        <w:rPr/>
      </w:pPr>
      <w:r w:rsidDel="00000000" w:rsidR="00000000" w:rsidRPr="00000000">
        <w:rPr>
          <w:rtl w:val="0"/>
        </w:rPr>
      </w:r>
    </w:p>
    <w:p w:rsidR="00000000" w:rsidDel="00000000" w:rsidP="00000000" w:rsidRDefault="00000000" w:rsidRPr="00000000" w14:paraId="00000507">
      <w:pPr>
        <w:spacing w:line="360" w:lineRule="auto"/>
        <w:ind w:firstLine="720"/>
        <w:jc w:val="both"/>
        <w:rPr/>
      </w:pPr>
      <w:r w:rsidDel="00000000" w:rsidR="00000000" w:rsidRPr="00000000">
        <w:rPr>
          <w:rtl w:val="0"/>
        </w:rPr>
      </w:r>
    </w:p>
    <w:p w:rsidR="00000000" w:rsidDel="00000000" w:rsidP="00000000" w:rsidRDefault="00000000" w:rsidRPr="00000000" w14:paraId="00000508">
      <w:pPr>
        <w:spacing w:line="360" w:lineRule="auto"/>
        <w:ind w:firstLine="720"/>
        <w:jc w:val="both"/>
        <w:rPr/>
      </w:pPr>
      <w:r w:rsidDel="00000000" w:rsidR="00000000" w:rsidRPr="00000000">
        <w:rPr>
          <w:rtl w:val="0"/>
        </w:rPr>
      </w:r>
    </w:p>
    <w:p w:rsidR="00000000" w:rsidDel="00000000" w:rsidP="00000000" w:rsidRDefault="00000000" w:rsidRPr="00000000" w14:paraId="00000509">
      <w:pPr>
        <w:spacing w:line="360" w:lineRule="auto"/>
        <w:ind w:firstLine="720"/>
        <w:jc w:val="both"/>
        <w:rPr/>
      </w:pPr>
      <w:r w:rsidDel="00000000" w:rsidR="00000000" w:rsidRPr="00000000">
        <w:rPr>
          <w:rtl w:val="0"/>
        </w:rPr>
      </w:r>
    </w:p>
    <w:p w:rsidR="00000000" w:rsidDel="00000000" w:rsidP="00000000" w:rsidRDefault="00000000" w:rsidRPr="00000000" w14:paraId="0000050A">
      <w:pPr>
        <w:spacing w:line="360" w:lineRule="auto"/>
        <w:ind w:firstLine="720"/>
        <w:jc w:val="both"/>
        <w:rPr/>
      </w:pPr>
      <w:r w:rsidDel="00000000" w:rsidR="00000000" w:rsidRPr="00000000">
        <w:rPr>
          <w:rtl w:val="0"/>
        </w:rPr>
      </w:r>
    </w:p>
    <w:p w:rsidR="00000000" w:rsidDel="00000000" w:rsidP="00000000" w:rsidRDefault="00000000" w:rsidRPr="00000000" w14:paraId="0000050B">
      <w:pPr>
        <w:pStyle w:val="Heading1"/>
        <w:numPr>
          <w:ilvl w:val="0"/>
          <w:numId w:val="1"/>
        </w:numPr>
        <w:ind w:left="720" w:hanging="360"/>
        <w:rPr>
          <w:rFonts w:ascii="Times New Roman" w:cs="Times New Roman" w:eastAsia="Times New Roman" w:hAnsi="Times New Roman"/>
          <w:sz w:val="24"/>
          <w:szCs w:val="24"/>
        </w:rPr>
      </w:pPr>
      <w:bookmarkStart w:colFirst="0" w:colLast="0" w:name="_heading=h.25b2l0r" w:id="67"/>
      <w:bookmarkEnd w:id="67"/>
      <w:r w:rsidDel="00000000" w:rsidR="00000000" w:rsidRPr="00000000">
        <w:rPr>
          <w:rFonts w:ascii="Times New Roman" w:cs="Times New Roman" w:eastAsia="Times New Roman" w:hAnsi="Times New Roman"/>
          <w:sz w:val="24"/>
          <w:szCs w:val="24"/>
          <w:rtl w:val="0"/>
        </w:rPr>
        <w:t xml:space="preserve">ORÇAMENTO E VIABILIDADE FINANCEIRA</w:t>
      </w:r>
    </w:p>
    <w:tbl>
      <w:tblPr>
        <w:tblStyle w:val="Table3"/>
        <w:tblW w:w="11056.999999999998" w:type="dxa"/>
        <w:jc w:val="left"/>
        <w:tblInd w:w="-714.0" w:type="dxa"/>
        <w:tblBorders>
          <w:top w:color="333e48" w:space="0" w:sz="8" w:val="single"/>
          <w:left w:color="333e48" w:space="0" w:sz="8" w:val="single"/>
          <w:bottom w:color="333e48" w:space="0" w:sz="8" w:val="single"/>
          <w:right w:color="333e48" w:space="0" w:sz="8" w:val="single"/>
          <w:insideH w:color="ffffff" w:space="0" w:sz="4" w:val="single"/>
          <w:insideV w:color="ffffff" w:space="0" w:sz="4" w:val="single"/>
        </w:tblBorders>
        <w:tblLayout w:type="fixed"/>
        <w:tblLook w:val="0400"/>
      </w:tblPr>
      <w:tblGrid>
        <w:gridCol w:w="1844"/>
        <w:gridCol w:w="3547"/>
        <w:gridCol w:w="1847"/>
        <w:gridCol w:w="1694"/>
        <w:gridCol w:w="2125"/>
        <w:tblGridChange w:id="0">
          <w:tblGrid>
            <w:gridCol w:w="1844"/>
            <w:gridCol w:w="3547"/>
            <w:gridCol w:w="1847"/>
            <w:gridCol w:w="1694"/>
            <w:gridCol w:w="2125"/>
          </w:tblGrid>
        </w:tblGridChange>
      </w:tblGrid>
      <w:tr>
        <w:trPr>
          <w:cantSplit w:val="1"/>
          <w:trHeight w:val="418" w:hRule="atLeast"/>
          <w:tblHeader w:val="0"/>
        </w:trPr>
        <w:tc>
          <w:tcPr>
            <w:shd w:fill="d9d9d9" w:val="clear"/>
            <w:vAlign w:val="center"/>
          </w:tcPr>
          <w:p w:rsidR="00000000" w:rsidDel="00000000" w:rsidP="00000000" w:rsidRDefault="00000000" w:rsidRPr="00000000" w14:paraId="0000050C">
            <w:pPr>
              <w:jc w:val="center"/>
              <w:rPr>
                <w:b w:val="1"/>
                <w:color w:val="000000"/>
                <w:sz w:val="22"/>
                <w:szCs w:val="22"/>
              </w:rPr>
            </w:pPr>
            <w:r w:rsidDel="00000000" w:rsidR="00000000" w:rsidRPr="00000000">
              <w:rPr>
                <w:b w:val="1"/>
                <w:color w:val="000000"/>
                <w:sz w:val="22"/>
                <w:szCs w:val="22"/>
                <w:rtl w:val="0"/>
              </w:rPr>
              <w:t xml:space="preserve">Item</w:t>
            </w:r>
          </w:p>
        </w:tc>
        <w:tc>
          <w:tcPr>
            <w:shd w:fill="d9d9d9" w:val="clear"/>
            <w:vAlign w:val="center"/>
          </w:tcPr>
          <w:p w:rsidR="00000000" w:rsidDel="00000000" w:rsidP="00000000" w:rsidRDefault="00000000" w:rsidRPr="00000000" w14:paraId="0000050D">
            <w:pPr>
              <w:jc w:val="center"/>
              <w:rPr>
                <w:b w:val="1"/>
                <w:color w:val="000000"/>
                <w:sz w:val="22"/>
                <w:szCs w:val="22"/>
              </w:rPr>
            </w:pPr>
            <w:r w:rsidDel="00000000" w:rsidR="00000000" w:rsidRPr="00000000">
              <w:rPr>
                <w:b w:val="1"/>
                <w:color w:val="000000"/>
                <w:sz w:val="22"/>
                <w:szCs w:val="22"/>
                <w:rtl w:val="0"/>
              </w:rPr>
              <w:t xml:space="preserve">Descrição</w:t>
            </w:r>
          </w:p>
        </w:tc>
        <w:tc>
          <w:tcPr>
            <w:shd w:fill="d9d9d9" w:val="clear"/>
            <w:vAlign w:val="center"/>
          </w:tcPr>
          <w:p w:rsidR="00000000" w:rsidDel="00000000" w:rsidP="00000000" w:rsidRDefault="00000000" w:rsidRPr="00000000" w14:paraId="0000050E">
            <w:pPr>
              <w:jc w:val="center"/>
              <w:rPr>
                <w:b w:val="1"/>
                <w:color w:val="000000"/>
                <w:sz w:val="22"/>
                <w:szCs w:val="22"/>
              </w:rPr>
            </w:pPr>
            <w:r w:rsidDel="00000000" w:rsidR="00000000" w:rsidRPr="00000000">
              <w:rPr>
                <w:b w:val="1"/>
                <w:color w:val="000000"/>
                <w:sz w:val="22"/>
                <w:szCs w:val="22"/>
                <w:rtl w:val="0"/>
              </w:rPr>
              <w:t xml:space="preserve">Custo unitário</w:t>
            </w:r>
          </w:p>
        </w:tc>
        <w:tc>
          <w:tcPr>
            <w:shd w:fill="d9d9d9" w:val="clear"/>
            <w:vAlign w:val="center"/>
          </w:tcPr>
          <w:p w:rsidR="00000000" w:rsidDel="00000000" w:rsidP="00000000" w:rsidRDefault="00000000" w:rsidRPr="00000000" w14:paraId="0000050F">
            <w:pPr>
              <w:jc w:val="center"/>
              <w:rPr>
                <w:b w:val="1"/>
                <w:color w:val="000000"/>
                <w:sz w:val="22"/>
                <w:szCs w:val="22"/>
              </w:rPr>
            </w:pPr>
            <w:r w:rsidDel="00000000" w:rsidR="00000000" w:rsidRPr="00000000">
              <w:rPr>
                <w:b w:val="1"/>
                <w:color w:val="000000"/>
                <w:sz w:val="22"/>
                <w:szCs w:val="22"/>
                <w:rtl w:val="0"/>
              </w:rPr>
              <w:t xml:space="preserve">Custo total</w:t>
            </w:r>
          </w:p>
        </w:tc>
        <w:tc>
          <w:tcPr>
            <w:shd w:fill="d9d9d9" w:val="clear"/>
            <w:vAlign w:val="center"/>
          </w:tcPr>
          <w:p w:rsidR="00000000" w:rsidDel="00000000" w:rsidP="00000000" w:rsidRDefault="00000000" w:rsidRPr="00000000" w14:paraId="00000510">
            <w:pPr>
              <w:jc w:val="center"/>
              <w:rPr>
                <w:b w:val="1"/>
                <w:color w:val="000000"/>
                <w:sz w:val="22"/>
                <w:szCs w:val="22"/>
              </w:rPr>
            </w:pPr>
            <w:r w:rsidDel="00000000" w:rsidR="00000000" w:rsidRPr="00000000">
              <w:rPr>
                <w:b w:val="1"/>
                <w:color w:val="000000"/>
                <w:sz w:val="22"/>
                <w:szCs w:val="22"/>
                <w:rtl w:val="0"/>
              </w:rPr>
              <w:t xml:space="preserve">Fonte de recurso</w:t>
            </w:r>
          </w:p>
        </w:tc>
      </w:tr>
      <w:tr>
        <w:trPr>
          <w:cantSplit w:val="1"/>
          <w:trHeight w:val="418" w:hRule="atLeast"/>
          <w:tblHeader w:val="0"/>
        </w:trPr>
        <w:tc>
          <w:tcPr>
            <w:vAlign w:val="center"/>
          </w:tcPr>
          <w:p w:rsidR="00000000" w:rsidDel="00000000" w:rsidP="00000000" w:rsidRDefault="00000000" w:rsidRPr="00000000" w14:paraId="00000511">
            <w:pPr>
              <w:jc w:val="center"/>
              <w:rPr>
                <w:color w:val="000000"/>
                <w:sz w:val="22"/>
                <w:szCs w:val="22"/>
              </w:rPr>
            </w:pPr>
            <w:r w:rsidDel="00000000" w:rsidR="00000000" w:rsidRPr="00000000">
              <w:rPr>
                <w:color w:val="000000"/>
                <w:sz w:val="22"/>
                <w:szCs w:val="22"/>
                <w:rtl w:val="0"/>
              </w:rPr>
              <w:t xml:space="preserve">Software</w:t>
            </w:r>
          </w:p>
        </w:tc>
        <w:tc>
          <w:tcPr>
            <w:vAlign w:val="center"/>
          </w:tcPr>
          <w:p w:rsidR="00000000" w:rsidDel="00000000" w:rsidP="00000000" w:rsidRDefault="00000000" w:rsidRPr="00000000" w14:paraId="00000512">
            <w:pPr>
              <w:jc w:val="center"/>
              <w:rPr>
                <w:sz w:val="22"/>
                <w:szCs w:val="22"/>
              </w:rPr>
            </w:pPr>
            <w:r w:rsidDel="00000000" w:rsidR="00000000" w:rsidRPr="00000000">
              <w:rPr>
                <w:sz w:val="22"/>
                <w:szCs w:val="22"/>
                <w:rtl w:val="0"/>
              </w:rPr>
              <w:t xml:space="preserve">Plataforma de manejo remoto: TAMIS</w:t>
            </w:r>
          </w:p>
        </w:tc>
        <w:tc>
          <w:tcPr>
            <w:vAlign w:val="center"/>
          </w:tcPr>
          <w:p w:rsidR="00000000" w:rsidDel="00000000" w:rsidP="00000000" w:rsidRDefault="00000000" w:rsidRPr="00000000" w14:paraId="00000513">
            <w:pPr>
              <w:jc w:val="center"/>
              <w:rPr>
                <w:color w:val="000000"/>
                <w:sz w:val="22"/>
                <w:szCs w:val="22"/>
              </w:rPr>
            </w:pPr>
            <w:r w:rsidDel="00000000" w:rsidR="00000000" w:rsidRPr="00000000">
              <w:rPr>
                <w:color w:val="000000"/>
                <w:sz w:val="22"/>
                <w:szCs w:val="22"/>
                <w:rtl w:val="0"/>
              </w:rPr>
              <w:t xml:space="preserve">---</w:t>
            </w:r>
          </w:p>
        </w:tc>
        <w:tc>
          <w:tcPr>
            <w:vAlign w:val="center"/>
          </w:tcPr>
          <w:p w:rsidR="00000000" w:rsidDel="00000000" w:rsidP="00000000" w:rsidRDefault="00000000" w:rsidRPr="00000000" w14:paraId="00000514">
            <w:pPr>
              <w:jc w:val="center"/>
              <w:rPr>
                <w:color w:val="000000"/>
                <w:sz w:val="22"/>
                <w:szCs w:val="22"/>
              </w:rPr>
            </w:pPr>
            <w:r w:rsidDel="00000000" w:rsidR="00000000" w:rsidRPr="00000000">
              <w:rPr>
                <w:color w:val="000000"/>
                <w:sz w:val="22"/>
                <w:szCs w:val="22"/>
                <w:rtl w:val="0"/>
              </w:rPr>
              <w:t xml:space="preserve">Acesso oferecido pelo centro coordenador</w:t>
            </w:r>
          </w:p>
        </w:tc>
        <w:tc>
          <w:tcPr>
            <w:vMerge w:val="restart"/>
            <w:vAlign w:val="center"/>
          </w:tcPr>
          <w:p w:rsidR="00000000" w:rsidDel="00000000" w:rsidP="00000000" w:rsidRDefault="00000000" w:rsidRPr="00000000" w14:paraId="00000515">
            <w:pPr>
              <w:jc w:val="center"/>
              <w:rPr>
                <w:color w:val="000000"/>
                <w:sz w:val="22"/>
                <w:szCs w:val="22"/>
              </w:rPr>
            </w:pPr>
            <w:r w:rsidDel="00000000" w:rsidR="00000000" w:rsidRPr="00000000">
              <w:rPr>
                <w:color w:val="000000"/>
                <w:sz w:val="22"/>
                <w:szCs w:val="22"/>
                <w:rtl w:val="0"/>
              </w:rPr>
              <w:t xml:space="preserve">Valor solicitado à FAPDF (Edital TechLearning 2023) e SOCESP</w:t>
            </w:r>
          </w:p>
        </w:tc>
      </w:tr>
      <w:tr>
        <w:trPr>
          <w:cantSplit w:val="1"/>
          <w:trHeight w:val="418" w:hRule="atLeast"/>
          <w:tblHeader w:val="0"/>
        </w:trPr>
        <w:tc>
          <w:tcPr>
            <w:vAlign w:val="center"/>
          </w:tcPr>
          <w:p w:rsidR="00000000" w:rsidDel="00000000" w:rsidP="00000000" w:rsidRDefault="00000000" w:rsidRPr="00000000" w14:paraId="00000516">
            <w:pPr>
              <w:jc w:val="center"/>
              <w:rPr>
                <w:color w:val="000000"/>
                <w:sz w:val="22"/>
                <w:szCs w:val="22"/>
              </w:rPr>
            </w:pPr>
            <w:r w:rsidDel="00000000" w:rsidR="00000000" w:rsidRPr="00000000">
              <w:rPr>
                <w:color w:val="000000"/>
                <w:sz w:val="22"/>
                <w:szCs w:val="22"/>
                <w:rtl w:val="0"/>
              </w:rPr>
              <w:t xml:space="preserve">Material permanente</w:t>
            </w:r>
          </w:p>
        </w:tc>
        <w:tc>
          <w:tcPr>
            <w:vAlign w:val="center"/>
          </w:tcPr>
          <w:p w:rsidR="00000000" w:rsidDel="00000000" w:rsidP="00000000" w:rsidRDefault="00000000" w:rsidRPr="00000000" w14:paraId="00000517">
            <w:pPr>
              <w:jc w:val="center"/>
              <w:rPr>
                <w:color w:val="000000"/>
                <w:sz w:val="22"/>
                <w:szCs w:val="22"/>
              </w:rPr>
            </w:pPr>
            <w:r w:rsidDel="00000000" w:rsidR="00000000" w:rsidRPr="00000000">
              <w:rPr>
                <w:sz w:val="22"/>
                <w:szCs w:val="22"/>
                <w:rtl w:val="0"/>
              </w:rPr>
              <w:t xml:space="preserve">Monitor de Pressão Arterial de Pulso com Bluetooth Connect HEM-7156T, Omron - 1 aparelho para cada paciente do grupo intervenção + 7,5% (substituições)</w:t>
            </w:r>
            <w:r w:rsidDel="00000000" w:rsidR="00000000" w:rsidRPr="00000000">
              <w:rPr>
                <w:rtl w:val="0"/>
              </w:rPr>
            </w:r>
          </w:p>
        </w:tc>
        <w:tc>
          <w:tcPr>
            <w:vAlign w:val="center"/>
          </w:tcPr>
          <w:p w:rsidR="00000000" w:rsidDel="00000000" w:rsidP="00000000" w:rsidRDefault="00000000" w:rsidRPr="00000000" w14:paraId="00000518">
            <w:pPr>
              <w:jc w:val="center"/>
              <w:rPr>
                <w:color w:val="000000"/>
                <w:sz w:val="22"/>
                <w:szCs w:val="22"/>
              </w:rPr>
            </w:pPr>
            <w:r w:rsidDel="00000000" w:rsidR="00000000" w:rsidRPr="00000000">
              <w:rPr>
                <w:color w:val="000000"/>
                <w:sz w:val="22"/>
                <w:szCs w:val="22"/>
                <w:u w:val="single"/>
                <w:rtl w:val="0"/>
              </w:rPr>
              <w:t xml:space="preserve">450 x R$ 269,00</w:t>
            </w:r>
            <w:r w:rsidDel="00000000" w:rsidR="00000000" w:rsidRPr="00000000">
              <w:rPr>
                <w:rtl w:val="0"/>
              </w:rPr>
            </w:r>
          </w:p>
        </w:tc>
        <w:tc>
          <w:tcPr>
            <w:vAlign w:val="center"/>
          </w:tcPr>
          <w:p w:rsidR="00000000" w:rsidDel="00000000" w:rsidP="00000000" w:rsidRDefault="00000000" w:rsidRPr="00000000" w14:paraId="00000519">
            <w:pPr>
              <w:jc w:val="center"/>
              <w:rPr>
                <w:color w:val="000000"/>
                <w:sz w:val="22"/>
                <w:szCs w:val="22"/>
              </w:rPr>
            </w:pPr>
            <w:r w:rsidDel="00000000" w:rsidR="00000000" w:rsidRPr="00000000">
              <w:rPr>
                <w:color w:val="000000"/>
                <w:sz w:val="22"/>
                <w:szCs w:val="22"/>
                <w:rtl w:val="0"/>
              </w:rPr>
              <w:t xml:space="preserve">R$ 121.000,00</w:t>
            </w:r>
          </w:p>
        </w:tc>
        <w:tc>
          <w:tcPr>
            <w:vMerge w:val="continue"/>
            <w:vAlign w:val="center"/>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1B">
            <w:pPr>
              <w:jc w:val="center"/>
              <w:rPr>
                <w:color w:val="000000"/>
                <w:sz w:val="22"/>
                <w:szCs w:val="22"/>
              </w:rPr>
            </w:pPr>
            <w:r w:rsidDel="00000000" w:rsidR="00000000" w:rsidRPr="00000000">
              <w:rPr>
                <w:color w:val="000000"/>
                <w:sz w:val="22"/>
                <w:szCs w:val="22"/>
                <w:rtl w:val="0"/>
              </w:rPr>
              <w:t xml:space="preserve">Material permanente</w:t>
            </w:r>
          </w:p>
        </w:tc>
        <w:tc>
          <w:tcPr>
            <w:vAlign w:val="center"/>
          </w:tcPr>
          <w:p w:rsidR="00000000" w:rsidDel="00000000" w:rsidP="00000000" w:rsidRDefault="00000000" w:rsidRPr="00000000" w14:paraId="0000051C">
            <w:pPr>
              <w:jc w:val="center"/>
              <w:rPr>
                <w:sz w:val="22"/>
                <w:szCs w:val="22"/>
              </w:rPr>
            </w:pPr>
            <w:r w:rsidDel="00000000" w:rsidR="00000000" w:rsidRPr="00000000">
              <w:rPr>
                <w:sz w:val="22"/>
                <w:szCs w:val="22"/>
                <w:rtl w:val="0"/>
              </w:rPr>
              <w:t xml:space="preserve">PC XPS 13. Intel Core I7-1065G7, Intel Iris Plus Graphics, 16GB LPDDR4, SSD 1TB M.2 PCIe NVMe - 1 notebook exclusivo para o projeto para cada bolsista de mestrado e doutorado</w:t>
            </w:r>
          </w:p>
        </w:tc>
        <w:tc>
          <w:tcPr>
            <w:vAlign w:val="center"/>
          </w:tcPr>
          <w:p w:rsidR="00000000" w:rsidDel="00000000" w:rsidP="00000000" w:rsidRDefault="00000000" w:rsidRPr="00000000" w14:paraId="0000051D">
            <w:pPr>
              <w:jc w:val="center"/>
              <w:rPr>
                <w:color w:val="000000"/>
                <w:sz w:val="22"/>
                <w:szCs w:val="22"/>
                <w:u w:val="single"/>
              </w:rPr>
            </w:pPr>
            <w:r w:rsidDel="00000000" w:rsidR="00000000" w:rsidRPr="00000000">
              <w:rPr>
                <w:color w:val="000000"/>
                <w:sz w:val="22"/>
                <w:szCs w:val="22"/>
                <w:rtl w:val="0"/>
              </w:rPr>
              <w:t xml:space="preserve">8x R$ 10.954,17</w:t>
            </w:r>
            <w:r w:rsidDel="00000000" w:rsidR="00000000" w:rsidRPr="00000000">
              <w:rPr>
                <w:rtl w:val="0"/>
              </w:rPr>
            </w:r>
          </w:p>
        </w:tc>
        <w:tc>
          <w:tcPr>
            <w:vAlign w:val="center"/>
          </w:tcPr>
          <w:p w:rsidR="00000000" w:rsidDel="00000000" w:rsidP="00000000" w:rsidRDefault="00000000" w:rsidRPr="00000000" w14:paraId="0000051E">
            <w:pPr>
              <w:jc w:val="center"/>
              <w:rPr>
                <w:color w:val="000000"/>
                <w:sz w:val="22"/>
                <w:szCs w:val="22"/>
              </w:rPr>
            </w:pPr>
            <w:r w:rsidDel="00000000" w:rsidR="00000000" w:rsidRPr="00000000">
              <w:rPr>
                <w:color w:val="000000"/>
                <w:sz w:val="22"/>
                <w:szCs w:val="22"/>
                <w:rtl w:val="0"/>
              </w:rPr>
              <w:t xml:space="preserve">R$ 87.633,36</w:t>
            </w:r>
          </w:p>
        </w:tc>
        <w:tc>
          <w:tcPr>
            <w:vMerge w:val="continue"/>
            <w:vAlign w:val="center"/>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20">
            <w:pPr>
              <w:jc w:val="center"/>
              <w:rPr>
                <w:color w:val="000000"/>
                <w:sz w:val="22"/>
                <w:szCs w:val="22"/>
              </w:rPr>
            </w:pPr>
            <w:r w:rsidDel="00000000" w:rsidR="00000000" w:rsidRPr="00000000">
              <w:rPr>
                <w:color w:val="000000"/>
                <w:sz w:val="22"/>
                <w:szCs w:val="22"/>
                <w:rtl w:val="0"/>
              </w:rPr>
              <w:t xml:space="preserve">Consultoria</w:t>
            </w:r>
          </w:p>
        </w:tc>
        <w:tc>
          <w:tcPr>
            <w:vAlign w:val="center"/>
          </w:tcPr>
          <w:p w:rsidR="00000000" w:rsidDel="00000000" w:rsidP="00000000" w:rsidRDefault="00000000" w:rsidRPr="00000000" w14:paraId="00000521">
            <w:pPr>
              <w:jc w:val="center"/>
              <w:rPr>
                <w:color w:val="000000"/>
                <w:sz w:val="22"/>
                <w:szCs w:val="22"/>
              </w:rPr>
            </w:pPr>
            <w:r w:rsidDel="00000000" w:rsidR="00000000" w:rsidRPr="00000000">
              <w:rPr>
                <w:sz w:val="22"/>
                <w:szCs w:val="22"/>
                <w:rtl w:val="0"/>
              </w:rPr>
              <w:t xml:space="preserve">Contratação de Consultoria especializada para Registro e Certificação de SaMD na ANVISA, incluindo as taxas pagas à ANVISA</w:t>
            </w:r>
            <w:r w:rsidDel="00000000" w:rsidR="00000000" w:rsidRPr="00000000">
              <w:rPr>
                <w:rtl w:val="0"/>
              </w:rPr>
            </w:r>
          </w:p>
        </w:tc>
        <w:tc>
          <w:tcPr>
            <w:vAlign w:val="center"/>
          </w:tcPr>
          <w:p w:rsidR="00000000" w:rsidDel="00000000" w:rsidP="00000000" w:rsidRDefault="00000000" w:rsidRPr="00000000" w14:paraId="00000522">
            <w:pPr>
              <w:jc w:val="center"/>
              <w:rPr>
                <w:color w:val="000000"/>
                <w:sz w:val="22"/>
                <w:szCs w:val="22"/>
              </w:rPr>
            </w:pPr>
            <w:r w:rsidDel="00000000" w:rsidR="00000000" w:rsidRPr="00000000">
              <w:rPr>
                <w:sz w:val="22"/>
                <w:szCs w:val="22"/>
                <w:rtl w:val="0"/>
              </w:rPr>
              <w:t xml:space="preserve">R$ 25.000</w:t>
            </w:r>
            <w:r w:rsidDel="00000000" w:rsidR="00000000" w:rsidRPr="00000000">
              <w:rPr>
                <w:rtl w:val="0"/>
              </w:rPr>
            </w:r>
          </w:p>
        </w:tc>
        <w:tc>
          <w:tcPr>
            <w:vAlign w:val="center"/>
          </w:tcPr>
          <w:p w:rsidR="00000000" w:rsidDel="00000000" w:rsidP="00000000" w:rsidRDefault="00000000" w:rsidRPr="00000000" w14:paraId="00000523">
            <w:pPr>
              <w:jc w:val="center"/>
              <w:rPr>
                <w:color w:val="000000"/>
                <w:sz w:val="22"/>
                <w:szCs w:val="22"/>
              </w:rPr>
            </w:pPr>
            <w:r w:rsidDel="00000000" w:rsidR="00000000" w:rsidRPr="00000000">
              <w:rPr>
                <w:sz w:val="22"/>
                <w:szCs w:val="22"/>
                <w:rtl w:val="0"/>
              </w:rPr>
              <w:t xml:space="preserve">R$ 25.000</w:t>
            </w:r>
            <w:r w:rsidDel="00000000" w:rsidR="00000000" w:rsidRPr="00000000">
              <w:rPr>
                <w:rtl w:val="0"/>
              </w:rPr>
            </w:r>
          </w:p>
        </w:tc>
        <w:tc>
          <w:tcPr>
            <w:vMerge w:val="continue"/>
            <w:vAlign w:val="center"/>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626" w:hRule="atLeast"/>
          <w:tblHeader w:val="0"/>
        </w:trPr>
        <w:tc>
          <w:tcPr>
            <w:vAlign w:val="center"/>
          </w:tcPr>
          <w:p w:rsidR="00000000" w:rsidDel="00000000" w:rsidP="00000000" w:rsidRDefault="00000000" w:rsidRPr="00000000" w14:paraId="00000525">
            <w:pPr>
              <w:jc w:val="center"/>
              <w:rPr>
                <w:color w:val="000000"/>
                <w:sz w:val="22"/>
                <w:szCs w:val="22"/>
              </w:rPr>
            </w:pPr>
            <w:r w:rsidDel="00000000" w:rsidR="00000000" w:rsidRPr="00000000">
              <w:rPr>
                <w:color w:val="000000"/>
                <w:sz w:val="22"/>
                <w:szCs w:val="22"/>
                <w:rtl w:val="0"/>
              </w:rPr>
              <w:t xml:space="preserve">Pesquisador responsável</w:t>
            </w:r>
          </w:p>
        </w:tc>
        <w:tc>
          <w:tcPr>
            <w:vAlign w:val="center"/>
          </w:tcPr>
          <w:p w:rsidR="00000000" w:rsidDel="00000000" w:rsidP="00000000" w:rsidRDefault="00000000" w:rsidRPr="00000000" w14:paraId="00000526">
            <w:pPr>
              <w:jc w:val="center"/>
              <w:rPr>
                <w:sz w:val="22"/>
                <w:szCs w:val="22"/>
              </w:rPr>
            </w:pPr>
            <w:r w:rsidDel="00000000" w:rsidR="00000000" w:rsidRPr="00000000">
              <w:rPr>
                <w:sz w:val="22"/>
                <w:szCs w:val="22"/>
                <w:rtl w:val="0"/>
              </w:rPr>
              <w:t xml:space="preserve">Análises estatísticas e análises de agrupamento</w:t>
            </w:r>
          </w:p>
        </w:tc>
        <w:tc>
          <w:tcPr>
            <w:vAlign w:val="center"/>
          </w:tcPr>
          <w:p w:rsidR="00000000" w:rsidDel="00000000" w:rsidP="00000000" w:rsidRDefault="00000000" w:rsidRPr="00000000" w14:paraId="00000527">
            <w:pPr>
              <w:jc w:val="center"/>
              <w:rPr>
                <w:color w:val="000000"/>
                <w:sz w:val="22"/>
                <w:szCs w:val="22"/>
              </w:rPr>
            </w:pPr>
            <w:r w:rsidDel="00000000" w:rsidR="00000000" w:rsidRPr="00000000">
              <w:rPr>
                <w:color w:val="000000"/>
                <w:sz w:val="22"/>
                <w:szCs w:val="22"/>
                <w:rtl w:val="0"/>
              </w:rPr>
              <w:t xml:space="preserve">---</w:t>
            </w:r>
          </w:p>
        </w:tc>
        <w:tc>
          <w:tcPr>
            <w:vAlign w:val="center"/>
          </w:tcPr>
          <w:p w:rsidR="00000000" w:rsidDel="00000000" w:rsidP="00000000" w:rsidRDefault="00000000" w:rsidRPr="00000000" w14:paraId="00000528">
            <w:pPr>
              <w:jc w:val="center"/>
              <w:rPr>
                <w:color w:val="000000"/>
                <w:sz w:val="22"/>
                <w:szCs w:val="22"/>
              </w:rPr>
            </w:pPr>
            <w:r w:rsidDel="00000000" w:rsidR="00000000" w:rsidRPr="00000000">
              <w:rPr>
                <w:color w:val="000000"/>
                <w:sz w:val="22"/>
                <w:szCs w:val="22"/>
                <w:rtl w:val="0"/>
              </w:rPr>
              <w:t xml:space="preserve">Oferecido pelo centro coordenador</w:t>
            </w:r>
          </w:p>
        </w:tc>
        <w:tc>
          <w:tcPr>
            <w:vMerge w:val="continue"/>
            <w:vAlign w:val="center"/>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2A">
            <w:pPr>
              <w:jc w:val="center"/>
              <w:rPr>
                <w:color w:val="000000"/>
                <w:sz w:val="22"/>
                <w:szCs w:val="22"/>
              </w:rPr>
            </w:pPr>
            <w:r w:rsidDel="00000000" w:rsidR="00000000" w:rsidRPr="00000000">
              <w:rPr>
                <w:color w:val="000000"/>
                <w:sz w:val="22"/>
                <w:szCs w:val="22"/>
                <w:rtl w:val="0"/>
              </w:rPr>
              <w:t xml:space="preserve">Sub-investigador</w:t>
            </w:r>
          </w:p>
        </w:tc>
        <w:tc>
          <w:tcPr>
            <w:vAlign w:val="center"/>
          </w:tcPr>
          <w:p w:rsidR="00000000" w:rsidDel="00000000" w:rsidP="00000000" w:rsidRDefault="00000000" w:rsidRPr="00000000" w14:paraId="0000052B">
            <w:pPr>
              <w:jc w:val="center"/>
              <w:rPr>
                <w:sz w:val="22"/>
                <w:szCs w:val="22"/>
              </w:rPr>
            </w:pPr>
            <w:r w:rsidDel="00000000" w:rsidR="00000000" w:rsidRPr="00000000">
              <w:rPr>
                <w:sz w:val="22"/>
                <w:szCs w:val="22"/>
                <w:rtl w:val="0"/>
              </w:rPr>
              <w:t xml:space="preserve">Análise de dados e construção de modelos de ML</w:t>
            </w:r>
          </w:p>
        </w:tc>
        <w:tc>
          <w:tcPr>
            <w:vAlign w:val="center"/>
          </w:tcPr>
          <w:p w:rsidR="00000000" w:rsidDel="00000000" w:rsidP="00000000" w:rsidRDefault="00000000" w:rsidRPr="00000000" w14:paraId="0000052C">
            <w:pPr>
              <w:jc w:val="center"/>
              <w:rPr>
                <w:color w:val="000000"/>
                <w:sz w:val="22"/>
                <w:szCs w:val="22"/>
              </w:rPr>
            </w:pPr>
            <w:r w:rsidDel="00000000" w:rsidR="00000000" w:rsidRPr="00000000">
              <w:rPr>
                <w:color w:val="000000"/>
                <w:sz w:val="22"/>
                <w:szCs w:val="22"/>
                <w:rtl w:val="0"/>
              </w:rPr>
              <w:t xml:space="preserve">---</w:t>
            </w:r>
          </w:p>
        </w:tc>
        <w:tc>
          <w:tcPr>
            <w:vAlign w:val="center"/>
          </w:tcPr>
          <w:p w:rsidR="00000000" w:rsidDel="00000000" w:rsidP="00000000" w:rsidRDefault="00000000" w:rsidRPr="00000000" w14:paraId="0000052D">
            <w:pPr>
              <w:jc w:val="center"/>
              <w:rPr>
                <w:color w:val="000000"/>
                <w:sz w:val="22"/>
                <w:szCs w:val="22"/>
              </w:rPr>
            </w:pPr>
            <w:r w:rsidDel="00000000" w:rsidR="00000000" w:rsidRPr="00000000">
              <w:rPr>
                <w:color w:val="000000"/>
                <w:sz w:val="22"/>
                <w:szCs w:val="22"/>
                <w:rtl w:val="0"/>
              </w:rPr>
              <w:t xml:space="preserve">Oferecido pelo centro coordenador</w:t>
            </w:r>
          </w:p>
        </w:tc>
        <w:tc>
          <w:tcPr>
            <w:vMerge w:val="continue"/>
            <w:vAlign w:val="center"/>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2F">
            <w:pPr>
              <w:jc w:val="center"/>
              <w:rPr>
                <w:color w:val="000000"/>
                <w:sz w:val="22"/>
                <w:szCs w:val="22"/>
              </w:rPr>
            </w:pPr>
            <w:r w:rsidDel="00000000" w:rsidR="00000000" w:rsidRPr="00000000">
              <w:rPr>
                <w:color w:val="000000"/>
                <w:sz w:val="22"/>
                <w:szCs w:val="22"/>
                <w:rtl w:val="0"/>
              </w:rPr>
              <w:t xml:space="preserve">Profissionais de TI</w:t>
            </w:r>
          </w:p>
        </w:tc>
        <w:tc>
          <w:tcPr>
            <w:vAlign w:val="center"/>
          </w:tcPr>
          <w:p w:rsidR="00000000" w:rsidDel="00000000" w:rsidP="00000000" w:rsidRDefault="00000000" w:rsidRPr="00000000" w14:paraId="00000530">
            <w:pPr>
              <w:jc w:val="center"/>
              <w:rPr>
                <w:sz w:val="22"/>
                <w:szCs w:val="22"/>
              </w:rPr>
            </w:pPr>
            <w:r w:rsidDel="00000000" w:rsidR="00000000" w:rsidRPr="00000000">
              <w:rPr>
                <w:sz w:val="22"/>
                <w:szCs w:val="22"/>
                <w:rtl w:val="0"/>
              </w:rPr>
              <w:t xml:space="preserve">Consultoria em TI e UX para Desenvolvimento da Plataforma de Triagem TAMIS</w:t>
            </w:r>
          </w:p>
        </w:tc>
        <w:tc>
          <w:tcPr>
            <w:vAlign w:val="center"/>
          </w:tcPr>
          <w:p w:rsidR="00000000" w:rsidDel="00000000" w:rsidP="00000000" w:rsidRDefault="00000000" w:rsidRPr="00000000" w14:paraId="00000531">
            <w:pPr>
              <w:jc w:val="center"/>
              <w:rPr>
                <w:color w:val="000000"/>
                <w:sz w:val="22"/>
                <w:szCs w:val="22"/>
              </w:rPr>
            </w:pPr>
            <w:r w:rsidDel="00000000" w:rsidR="00000000" w:rsidRPr="00000000">
              <w:rPr>
                <w:color w:val="000000"/>
                <w:sz w:val="22"/>
                <w:szCs w:val="22"/>
                <w:rtl w:val="0"/>
              </w:rPr>
              <w:t xml:space="preserve">10x R$ 18.400,00</w:t>
            </w:r>
          </w:p>
        </w:tc>
        <w:tc>
          <w:tcPr>
            <w:vAlign w:val="center"/>
          </w:tcPr>
          <w:p w:rsidR="00000000" w:rsidDel="00000000" w:rsidP="00000000" w:rsidRDefault="00000000" w:rsidRPr="00000000" w14:paraId="00000532">
            <w:pPr>
              <w:jc w:val="center"/>
              <w:rPr>
                <w:color w:val="000000"/>
                <w:sz w:val="22"/>
                <w:szCs w:val="22"/>
              </w:rPr>
            </w:pPr>
            <w:r w:rsidDel="00000000" w:rsidR="00000000" w:rsidRPr="00000000">
              <w:rPr>
                <w:sz w:val="22"/>
                <w:szCs w:val="22"/>
                <w:rtl w:val="0"/>
              </w:rPr>
              <w:t xml:space="preserve">R$ 184.000,00</w:t>
            </w:r>
            <w:r w:rsidDel="00000000" w:rsidR="00000000" w:rsidRPr="00000000">
              <w:rPr>
                <w:rtl w:val="0"/>
              </w:rPr>
            </w:r>
          </w:p>
        </w:tc>
        <w:tc>
          <w:tcPr>
            <w:vMerge w:val="continue"/>
            <w:vAlign w:val="center"/>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9" w:hRule="atLeast"/>
          <w:tblHeader w:val="0"/>
        </w:trPr>
        <w:tc>
          <w:tcPr>
            <w:vMerge w:val="restart"/>
            <w:vAlign w:val="center"/>
          </w:tcPr>
          <w:p w:rsidR="00000000" w:rsidDel="00000000" w:rsidP="00000000" w:rsidRDefault="00000000" w:rsidRPr="00000000" w14:paraId="00000534">
            <w:pPr>
              <w:jc w:val="center"/>
              <w:rPr>
                <w:color w:val="000000"/>
                <w:sz w:val="22"/>
                <w:szCs w:val="22"/>
              </w:rPr>
            </w:pPr>
            <w:r w:rsidDel="00000000" w:rsidR="00000000" w:rsidRPr="00000000">
              <w:rPr>
                <w:color w:val="000000"/>
                <w:sz w:val="22"/>
                <w:szCs w:val="22"/>
                <w:rtl w:val="0"/>
              </w:rPr>
              <w:t xml:space="preserve">Bolsas</w:t>
            </w:r>
          </w:p>
        </w:tc>
        <w:tc>
          <w:tcPr>
            <w:vAlign w:val="center"/>
          </w:tcPr>
          <w:p w:rsidR="00000000" w:rsidDel="00000000" w:rsidP="00000000" w:rsidRDefault="00000000" w:rsidRPr="00000000" w14:paraId="00000535">
            <w:pPr>
              <w:jc w:val="center"/>
              <w:rPr>
                <w:color w:val="000000"/>
                <w:sz w:val="22"/>
                <w:szCs w:val="22"/>
              </w:rPr>
            </w:pPr>
            <w:r w:rsidDel="00000000" w:rsidR="00000000" w:rsidRPr="00000000">
              <w:rPr>
                <w:sz w:val="22"/>
                <w:szCs w:val="22"/>
                <w:rtl w:val="0"/>
              </w:rPr>
              <w:t xml:space="preserve">Viviane da Silva Machado - Coordenadora de pesquisa clínica (Bolsa 2 - mestranda)</w:t>
            </w:r>
            <w:r w:rsidDel="00000000" w:rsidR="00000000" w:rsidRPr="00000000">
              <w:rPr>
                <w:rtl w:val="0"/>
              </w:rPr>
            </w:r>
          </w:p>
        </w:tc>
        <w:tc>
          <w:tcPr>
            <w:vAlign w:val="center"/>
          </w:tcPr>
          <w:p w:rsidR="00000000" w:rsidDel="00000000" w:rsidP="00000000" w:rsidRDefault="00000000" w:rsidRPr="00000000" w14:paraId="00000536">
            <w:pPr>
              <w:jc w:val="center"/>
              <w:rPr>
                <w:color w:val="000000"/>
                <w:sz w:val="22"/>
                <w:szCs w:val="22"/>
              </w:rPr>
            </w:pPr>
            <w:r w:rsidDel="00000000" w:rsidR="00000000" w:rsidRPr="00000000">
              <w:rPr>
                <w:color w:val="000000"/>
                <w:sz w:val="22"/>
                <w:szCs w:val="22"/>
                <w:rtl w:val="0"/>
              </w:rPr>
              <w:t xml:space="preserve">24 x R$ 2.500,00</w:t>
            </w:r>
          </w:p>
        </w:tc>
        <w:tc>
          <w:tcPr>
            <w:vMerge w:val="restart"/>
            <w:vAlign w:val="center"/>
          </w:tcPr>
          <w:p w:rsidR="00000000" w:rsidDel="00000000" w:rsidP="00000000" w:rsidRDefault="00000000" w:rsidRPr="00000000" w14:paraId="00000537">
            <w:pPr>
              <w:jc w:val="center"/>
              <w:rPr>
                <w:color w:val="000000"/>
                <w:sz w:val="22"/>
                <w:szCs w:val="22"/>
              </w:rPr>
            </w:pPr>
            <w:r w:rsidDel="00000000" w:rsidR="00000000" w:rsidRPr="00000000">
              <w:rPr>
                <w:sz w:val="22"/>
                <w:szCs w:val="22"/>
                <w:rtl w:val="0"/>
              </w:rPr>
              <w:t xml:space="preserve">R$ 678.000,00 </w:t>
            </w:r>
            <w:r w:rsidDel="00000000" w:rsidR="00000000" w:rsidRPr="00000000">
              <w:rPr>
                <w:rtl w:val="0"/>
              </w:rPr>
            </w:r>
          </w:p>
        </w:tc>
        <w:tc>
          <w:tcPr>
            <w:vMerge w:val="continue"/>
            <w:vAlign w:val="center"/>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3A">
            <w:pPr>
              <w:jc w:val="center"/>
              <w:rPr>
                <w:color w:val="000000"/>
                <w:sz w:val="22"/>
                <w:szCs w:val="22"/>
              </w:rPr>
            </w:pPr>
            <w:r w:rsidDel="00000000" w:rsidR="00000000" w:rsidRPr="00000000">
              <w:rPr>
                <w:sz w:val="22"/>
                <w:szCs w:val="22"/>
                <w:rtl w:val="0"/>
              </w:rPr>
              <w:t xml:space="preserve">Coordenadora de pesquisa clínica (Bolsa mestrado)</w:t>
            </w:r>
            <w:r w:rsidDel="00000000" w:rsidR="00000000" w:rsidRPr="00000000">
              <w:rPr>
                <w:rtl w:val="0"/>
              </w:rPr>
            </w:r>
          </w:p>
        </w:tc>
        <w:tc>
          <w:tcPr>
            <w:vAlign w:val="center"/>
          </w:tcPr>
          <w:p w:rsidR="00000000" w:rsidDel="00000000" w:rsidP="00000000" w:rsidRDefault="00000000" w:rsidRPr="00000000" w14:paraId="0000053B">
            <w:pPr>
              <w:jc w:val="center"/>
              <w:rPr>
                <w:color w:val="000000"/>
                <w:sz w:val="22"/>
                <w:szCs w:val="22"/>
              </w:rPr>
            </w:pPr>
            <w:r w:rsidDel="00000000" w:rsidR="00000000" w:rsidRPr="00000000">
              <w:rPr>
                <w:color w:val="000000"/>
                <w:sz w:val="22"/>
                <w:szCs w:val="22"/>
                <w:rtl w:val="0"/>
              </w:rPr>
              <w:t xml:space="preserve">24 x R$ 2.500,00</w:t>
            </w:r>
          </w:p>
        </w:tc>
        <w:tc>
          <w:tcPr>
            <w:vMerge w:val="continue"/>
            <w:vAlign w:val="center"/>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3F">
            <w:pPr>
              <w:jc w:val="center"/>
              <w:rPr>
                <w:color w:val="000000"/>
                <w:sz w:val="22"/>
                <w:szCs w:val="22"/>
              </w:rPr>
            </w:pPr>
            <w:r w:rsidDel="00000000" w:rsidR="00000000" w:rsidRPr="00000000">
              <w:rPr>
                <w:sz w:val="22"/>
                <w:szCs w:val="22"/>
                <w:rtl w:val="0"/>
              </w:rPr>
              <w:t xml:space="preserve">Coordenadora de pesquisa clínica (Bolsa mestrado)</w:t>
            </w:r>
            <w:r w:rsidDel="00000000" w:rsidR="00000000" w:rsidRPr="00000000">
              <w:rPr>
                <w:rtl w:val="0"/>
              </w:rPr>
            </w:r>
          </w:p>
        </w:tc>
        <w:tc>
          <w:tcPr>
            <w:vAlign w:val="center"/>
          </w:tcPr>
          <w:p w:rsidR="00000000" w:rsidDel="00000000" w:rsidP="00000000" w:rsidRDefault="00000000" w:rsidRPr="00000000" w14:paraId="00000540">
            <w:pPr>
              <w:jc w:val="center"/>
              <w:rPr>
                <w:color w:val="000000"/>
                <w:sz w:val="22"/>
                <w:szCs w:val="22"/>
              </w:rPr>
            </w:pPr>
            <w:r w:rsidDel="00000000" w:rsidR="00000000" w:rsidRPr="00000000">
              <w:rPr>
                <w:color w:val="000000"/>
                <w:sz w:val="22"/>
                <w:szCs w:val="22"/>
                <w:rtl w:val="0"/>
              </w:rPr>
              <w:t xml:space="preserve">24 x R$ 2.500,00</w:t>
            </w:r>
          </w:p>
        </w:tc>
        <w:tc>
          <w:tcPr>
            <w:vMerge w:val="continue"/>
            <w:vAlign w:val="center"/>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44">
            <w:pPr>
              <w:jc w:val="center"/>
              <w:rPr>
                <w:color w:val="000000"/>
                <w:sz w:val="22"/>
                <w:szCs w:val="22"/>
              </w:rPr>
            </w:pPr>
            <w:r w:rsidDel="00000000" w:rsidR="00000000" w:rsidRPr="00000000">
              <w:rPr>
                <w:sz w:val="22"/>
                <w:szCs w:val="22"/>
                <w:rtl w:val="0"/>
              </w:rPr>
              <w:t xml:space="preserve">Coordenadora de pesquisa clínica (Bolsa mestrado)</w:t>
            </w:r>
            <w:r w:rsidDel="00000000" w:rsidR="00000000" w:rsidRPr="00000000">
              <w:rPr>
                <w:rtl w:val="0"/>
              </w:rPr>
            </w:r>
          </w:p>
        </w:tc>
        <w:tc>
          <w:tcPr>
            <w:vAlign w:val="center"/>
          </w:tcPr>
          <w:p w:rsidR="00000000" w:rsidDel="00000000" w:rsidP="00000000" w:rsidRDefault="00000000" w:rsidRPr="00000000" w14:paraId="00000545">
            <w:pPr>
              <w:jc w:val="center"/>
              <w:rPr>
                <w:color w:val="000000"/>
                <w:sz w:val="22"/>
                <w:szCs w:val="22"/>
              </w:rPr>
            </w:pPr>
            <w:r w:rsidDel="00000000" w:rsidR="00000000" w:rsidRPr="00000000">
              <w:rPr>
                <w:color w:val="000000"/>
                <w:sz w:val="22"/>
                <w:szCs w:val="22"/>
                <w:rtl w:val="0"/>
              </w:rPr>
              <w:t xml:space="preserve">24 x R$ 2.500,00</w:t>
            </w:r>
          </w:p>
        </w:tc>
        <w:tc>
          <w:tcPr>
            <w:vMerge w:val="continue"/>
            <w:vAlign w:val="center"/>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49">
            <w:pPr>
              <w:jc w:val="center"/>
              <w:rPr>
                <w:color w:val="000000"/>
                <w:sz w:val="22"/>
                <w:szCs w:val="22"/>
              </w:rPr>
            </w:pPr>
            <w:r w:rsidDel="00000000" w:rsidR="00000000" w:rsidRPr="00000000">
              <w:rPr>
                <w:sz w:val="22"/>
                <w:szCs w:val="22"/>
                <w:rtl w:val="0"/>
              </w:rPr>
              <w:t xml:space="preserve">Andrea Dias Stephanus - Coordenadora de pesquisa clínica (Bolsa doutorando)</w:t>
            </w:r>
            <w:r w:rsidDel="00000000" w:rsidR="00000000" w:rsidRPr="00000000">
              <w:rPr>
                <w:rtl w:val="0"/>
              </w:rPr>
            </w:r>
          </w:p>
        </w:tc>
        <w:tc>
          <w:tcPr>
            <w:vAlign w:val="center"/>
          </w:tcPr>
          <w:p w:rsidR="00000000" w:rsidDel="00000000" w:rsidP="00000000" w:rsidRDefault="00000000" w:rsidRPr="00000000" w14:paraId="0000054A">
            <w:pPr>
              <w:jc w:val="center"/>
              <w:rPr>
                <w:color w:val="000000"/>
                <w:sz w:val="22"/>
                <w:szCs w:val="22"/>
              </w:rPr>
            </w:pPr>
            <w:r w:rsidDel="00000000" w:rsidR="00000000" w:rsidRPr="00000000">
              <w:rPr>
                <w:color w:val="000000"/>
                <w:sz w:val="22"/>
                <w:szCs w:val="22"/>
                <w:rtl w:val="0"/>
              </w:rPr>
              <w:t xml:space="preserve">24 x R$ 3.700,00</w:t>
            </w:r>
          </w:p>
        </w:tc>
        <w:tc>
          <w:tcPr>
            <w:vMerge w:val="continue"/>
            <w:vAlign w:val="cente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4E">
            <w:pPr>
              <w:jc w:val="center"/>
              <w:rPr>
                <w:color w:val="000000"/>
                <w:sz w:val="22"/>
                <w:szCs w:val="22"/>
              </w:rPr>
            </w:pPr>
            <w:r w:rsidDel="00000000" w:rsidR="00000000" w:rsidRPr="00000000">
              <w:rPr>
                <w:sz w:val="22"/>
                <w:szCs w:val="22"/>
                <w:rtl w:val="0"/>
              </w:rPr>
              <w:t xml:space="preserve">Coordenadora de pesquisa clínica (Bolsa doutorando)</w:t>
            </w:r>
            <w:r w:rsidDel="00000000" w:rsidR="00000000" w:rsidRPr="00000000">
              <w:rPr>
                <w:rtl w:val="0"/>
              </w:rPr>
            </w:r>
          </w:p>
        </w:tc>
        <w:tc>
          <w:tcPr>
            <w:vAlign w:val="center"/>
          </w:tcPr>
          <w:p w:rsidR="00000000" w:rsidDel="00000000" w:rsidP="00000000" w:rsidRDefault="00000000" w:rsidRPr="00000000" w14:paraId="0000054F">
            <w:pPr>
              <w:jc w:val="center"/>
              <w:rPr>
                <w:color w:val="000000"/>
                <w:sz w:val="22"/>
                <w:szCs w:val="22"/>
              </w:rPr>
            </w:pPr>
            <w:r w:rsidDel="00000000" w:rsidR="00000000" w:rsidRPr="00000000">
              <w:rPr>
                <w:color w:val="000000"/>
                <w:sz w:val="22"/>
                <w:szCs w:val="22"/>
                <w:rtl w:val="0"/>
              </w:rPr>
              <w:t xml:space="preserve">24 x R$ 3.700,00</w:t>
            </w:r>
          </w:p>
        </w:tc>
        <w:tc>
          <w:tcPr>
            <w:vMerge w:val="continue"/>
            <w:vAlign w:val="center"/>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53">
            <w:pPr>
              <w:jc w:val="center"/>
              <w:rPr>
                <w:color w:val="000000"/>
                <w:sz w:val="22"/>
                <w:szCs w:val="22"/>
              </w:rPr>
            </w:pPr>
            <w:r w:rsidDel="00000000" w:rsidR="00000000" w:rsidRPr="00000000">
              <w:rPr>
                <w:sz w:val="22"/>
                <w:szCs w:val="22"/>
                <w:rtl w:val="0"/>
              </w:rPr>
              <w:t xml:space="preserve">Coordenadora de pesquisa clínica (Bolsa doutorando)</w:t>
            </w:r>
            <w:r w:rsidDel="00000000" w:rsidR="00000000" w:rsidRPr="00000000">
              <w:rPr>
                <w:rtl w:val="0"/>
              </w:rPr>
            </w:r>
          </w:p>
        </w:tc>
        <w:tc>
          <w:tcPr>
            <w:vAlign w:val="center"/>
          </w:tcPr>
          <w:p w:rsidR="00000000" w:rsidDel="00000000" w:rsidP="00000000" w:rsidRDefault="00000000" w:rsidRPr="00000000" w14:paraId="00000554">
            <w:pPr>
              <w:jc w:val="center"/>
              <w:rPr>
                <w:color w:val="000000"/>
                <w:sz w:val="22"/>
                <w:szCs w:val="22"/>
              </w:rPr>
            </w:pPr>
            <w:r w:rsidDel="00000000" w:rsidR="00000000" w:rsidRPr="00000000">
              <w:rPr>
                <w:color w:val="000000"/>
                <w:sz w:val="22"/>
                <w:szCs w:val="22"/>
                <w:rtl w:val="0"/>
              </w:rPr>
              <w:t xml:space="preserve">24 x R$ 3.700,00</w:t>
            </w:r>
          </w:p>
        </w:tc>
        <w:tc>
          <w:tcPr>
            <w:vMerge w:val="continue"/>
            <w:vAlign w:val="center"/>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58">
            <w:pPr>
              <w:jc w:val="center"/>
              <w:rPr>
                <w:color w:val="000000"/>
                <w:sz w:val="22"/>
                <w:szCs w:val="22"/>
              </w:rPr>
            </w:pPr>
            <w:r w:rsidDel="00000000" w:rsidR="00000000" w:rsidRPr="00000000">
              <w:rPr>
                <w:sz w:val="22"/>
                <w:szCs w:val="22"/>
                <w:rtl w:val="0"/>
              </w:rPr>
              <w:t xml:space="preserve">Coordenadora de pesquisa clínica (Bolsa doutorando)</w:t>
            </w:r>
            <w:r w:rsidDel="00000000" w:rsidR="00000000" w:rsidRPr="00000000">
              <w:rPr>
                <w:rtl w:val="0"/>
              </w:rPr>
            </w:r>
          </w:p>
        </w:tc>
        <w:tc>
          <w:tcPr>
            <w:vAlign w:val="center"/>
          </w:tcPr>
          <w:p w:rsidR="00000000" w:rsidDel="00000000" w:rsidP="00000000" w:rsidRDefault="00000000" w:rsidRPr="00000000" w14:paraId="00000559">
            <w:pPr>
              <w:jc w:val="center"/>
              <w:rPr>
                <w:color w:val="000000"/>
                <w:sz w:val="22"/>
                <w:szCs w:val="22"/>
              </w:rPr>
            </w:pPr>
            <w:r w:rsidDel="00000000" w:rsidR="00000000" w:rsidRPr="00000000">
              <w:rPr>
                <w:color w:val="000000"/>
                <w:sz w:val="22"/>
                <w:szCs w:val="22"/>
                <w:rtl w:val="0"/>
              </w:rPr>
              <w:t xml:space="preserve">24 x R$ 3.700,00</w:t>
            </w:r>
          </w:p>
        </w:tc>
        <w:tc>
          <w:tcPr>
            <w:vMerge w:val="continue"/>
            <w:vAlign w:val="center"/>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157" w:hRule="atLeast"/>
          <w:tblHeader w:val="0"/>
        </w:trPr>
        <w:tc>
          <w:tcPr>
            <w:vMerge w:val="continue"/>
            <w:vAlign w:val="center"/>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5D">
            <w:pPr>
              <w:jc w:val="center"/>
              <w:rPr>
                <w:color w:val="000000"/>
                <w:sz w:val="22"/>
                <w:szCs w:val="22"/>
              </w:rPr>
            </w:pPr>
            <w:r w:rsidDel="00000000" w:rsidR="00000000" w:rsidRPr="00000000">
              <w:rPr>
                <w:sz w:val="22"/>
                <w:szCs w:val="22"/>
                <w:rtl w:val="0"/>
              </w:rPr>
              <w:t xml:space="preserve">Mariana Savedra Pfitzner - Bioestatística e Economia da Saúde (Bolsa 4 - Pós-doutorado)</w:t>
            </w:r>
            <w:r w:rsidDel="00000000" w:rsidR="00000000" w:rsidRPr="00000000">
              <w:rPr>
                <w:rtl w:val="0"/>
              </w:rPr>
            </w:r>
          </w:p>
        </w:tc>
        <w:tc>
          <w:tcPr>
            <w:vAlign w:val="center"/>
          </w:tcPr>
          <w:p w:rsidR="00000000" w:rsidDel="00000000" w:rsidP="00000000" w:rsidRDefault="00000000" w:rsidRPr="00000000" w14:paraId="0000055E">
            <w:pPr>
              <w:jc w:val="center"/>
              <w:rPr>
                <w:color w:val="000000"/>
                <w:sz w:val="22"/>
                <w:szCs w:val="22"/>
              </w:rPr>
            </w:pPr>
            <w:r w:rsidDel="00000000" w:rsidR="00000000" w:rsidRPr="00000000">
              <w:rPr>
                <w:color w:val="000000"/>
                <w:sz w:val="22"/>
                <w:szCs w:val="22"/>
                <w:rtl w:val="0"/>
              </w:rPr>
              <w:t xml:space="preserve">12 x R$ 6.900,00</w:t>
            </w:r>
          </w:p>
        </w:tc>
        <w:tc>
          <w:tcPr>
            <w:vMerge w:val="continue"/>
            <w:vAlign w:val="center"/>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61">
            <w:pPr>
              <w:jc w:val="center"/>
              <w:rPr>
                <w:color w:val="000000"/>
                <w:sz w:val="22"/>
                <w:szCs w:val="22"/>
              </w:rPr>
            </w:pPr>
            <w:r w:rsidDel="00000000" w:rsidR="00000000" w:rsidRPr="00000000">
              <w:rPr>
                <w:color w:val="000000"/>
                <w:sz w:val="22"/>
                <w:szCs w:val="22"/>
                <w:rtl w:val="0"/>
              </w:rPr>
              <w:t xml:space="preserve">Custos de publicação</w:t>
            </w:r>
          </w:p>
        </w:tc>
        <w:tc>
          <w:tcPr>
            <w:vAlign w:val="center"/>
          </w:tcPr>
          <w:p w:rsidR="00000000" w:rsidDel="00000000" w:rsidP="00000000" w:rsidRDefault="00000000" w:rsidRPr="00000000" w14:paraId="00000562">
            <w:pPr>
              <w:jc w:val="center"/>
              <w:rPr>
                <w:color w:val="000000"/>
                <w:sz w:val="22"/>
                <w:szCs w:val="22"/>
              </w:rPr>
            </w:pPr>
            <w:r w:rsidDel="00000000" w:rsidR="00000000" w:rsidRPr="00000000">
              <w:rPr>
                <w:sz w:val="22"/>
                <w:szCs w:val="22"/>
                <w:rtl w:val="0"/>
              </w:rPr>
              <w:t xml:space="preserve">Taxa para publicação (APC: </w:t>
            </w:r>
            <w:r w:rsidDel="00000000" w:rsidR="00000000" w:rsidRPr="00000000">
              <w:rPr>
                <w:i w:val="1"/>
                <w:sz w:val="22"/>
                <w:szCs w:val="22"/>
                <w:rtl w:val="0"/>
              </w:rPr>
              <w:t xml:space="preserve">article processing charges</w:t>
            </w:r>
            <w:r w:rsidDel="00000000" w:rsidR="00000000" w:rsidRPr="00000000">
              <w:rPr>
                <w:sz w:val="22"/>
                <w:szCs w:val="22"/>
                <w:rtl w:val="0"/>
              </w:rPr>
              <w:t xml:space="preserve">) - espera-se 2 artigos com </w:t>
            </w:r>
            <w:r w:rsidDel="00000000" w:rsidR="00000000" w:rsidRPr="00000000">
              <w:rPr>
                <w:i w:val="1"/>
                <w:sz w:val="22"/>
                <w:szCs w:val="22"/>
                <w:rtl w:val="0"/>
              </w:rPr>
              <w:t xml:space="preserve">fee</w:t>
            </w:r>
            <w:r w:rsidDel="00000000" w:rsidR="00000000" w:rsidRPr="00000000">
              <w:rPr>
                <w:sz w:val="22"/>
                <w:szCs w:val="22"/>
                <w:rtl w:val="0"/>
              </w:rPr>
              <w:t xml:space="preserve"> médio de US$ 4000 por artigo</w:t>
            </w:r>
            <w:r w:rsidDel="00000000" w:rsidR="00000000" w:rsidRPr="00000000">
              <w:rPr>
                <w:rtl w:val="0"/>
              </w:rPr>
            </w:r>
          </w:p>
        </w:tc>
        <w:tc>
          <w:tcPr>
            <w:vAlign w:val="center"/>
          </w:tcPr>
          <w:p w:rsidR="00000000" w:rsidDel="00000000" w:rsidP="00000000" w:rsidRDefault="00000000" w:rsidRPr="00000000" w14:paraId="00000563">
            <w:pPr>
              <w:jc w:val="center"/>
              <w:rPr>
                <w:color w:val="000000"/>
                <w:sz w:val="22"/>
                <w:szCs w:val="22"/>
              </w:rPr>
            </w:pPr>
            <w:r w:rsidDel="00000000" w:rsidR="00000000" w:rsidRPr="00000000">
              <w:rPr>
                <w:sz w:val="22"/>
                <w:szCs w:val="22"/>
                <w:rtl w:val="0"/>
              </w:rPr>
              <w:t xml:space="preserve">2x R$ 40.000,00</w:t>
            </w:r>
            <w:r w:rsidDel="00000000" w:rsidR="00000000" w:rsidRPr="00000000">
              <w:rPr>
                <w:rtl w:val="0"/>
              </w:rPr>
            </w:r>
          </w:p>
        </w:tc>
        <w:tc>
          <w:tcPr>
            <w:vAlign w:val="center"/>
          </w:tcPr>
          <w:p w:rsidR="00000000" w:rsidDel="00000000" w:rsidP="00000000" w:rsidRDefault="00000000" w:rsidRPr="00000000" w14:paraId="00000564">
            <w:pPr>
              <w:jc w:val="center"/>
              <w:rPr>
                <w:color w:val="000000"/>
                <w:sz w:val="22"/>
                <w:szCs w:val="22"/>
              </w:rPr>
            </w:pPr>
            <w:r w:rsidDel="00000000" w:rsidR="00000000" w:rsidRPr="00000000">
              <w:rPr>
                <w:sz w:val="22"/>
                <w:szCs w:val="22"/>
                <w:rtl w:val="0"/>
              </w:rPr>
              <w:t xml:space="preserve">R$ 40.000,00</w:t>
            </w:r>
            <w:r w:rsidDel="00000000" w:rsidR="00000000" w:rsidRPr="00000000">
              <w:rPr>
                <w:rtl w:val="0"/>
              </w:rPr>
            </w:r>
          </w:p>
        </w:tc>
        <w:tc>
          <w:tcPr>
            <w:vMerge w:val="continue"/>
            <w:vAlign w:val="center"/>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66">
            <w:pPr>
              <w:jc w:val="center"/>
              <w:rPr>
                <w:color w:val="000000"/>
                <w:sz w:val="22"/>
                <w:szCs w:val="22"/>
              </w:rPr>
            </w:pPr>
            <w:r w:rsidDel="00000000" w:rsidR="00000000" w:rsidRPr="00000000">
              <w:rPr>
                <w:color w:val="000000"/>
                <w:sz w:val="22"/>
                <w:szCs w:val="22"/>
                <w:rtl w:val="0"/>
              </w:rPr>
              <w:t xml:space="preserve">Acesso a internet</w:t>
            </w:r>
          </w:p>
        </w:tc>
        <w:tc>
          <w:tcPr>
            <w:vAlign w:val="center"/>
          </w:tcPr>
          <w:p w:rsidR="00000000" w:rsidDel="00000000" w:rsidP="00000000" w:rsidRDefault="00000000" w:rsidRPr="00000000" w14:paraId="00000567">
            <w:pPr>
              <w:jc w:val="center"/>
              <w:rPr>
                <w:sz w:val="22"/>
                <w:szCs w:val="22"/>
              </w:rPr>
            </w:pPr>
            <w:r w:rsidDel="00000000" w:rsidR="00000000" w:rsidRPr="00000000">
              <w:rPr>
                <w:sz w:val="22"/>
                <w:szCs w:val="22"/>
                <w:rtl w:val="0"/>
              </w:rPr>
              <w:t xml:space="preserve">Plano Claro controle</w:t>
            </w:r>
          </w:p>
        </w:tc>
        <w:tc>
          <w:tcPr>
            <w:vAlign w:val="center"/>
          </w:tcPr>
          <w:p w:rsidR="00000000" w:rsidDel="00000000" w:rsidP="00000000" w:rsidRDefault="00000000" w:rsidRPr="00000000" w14:paraId="00000568">
            <w:pPr>
              <w:jc w:val="center"/>
              <w:rPr>
                <w:sz w:val="22"/>
                <w:szCs w:val="22"/>
              </w:rPr>
            </w:pPr>
            <w:r w:rsidDel="00000000" w:rsidR="00000000" w:rsidRPr="00000000">
              <w:rPr>
                <w:sz w:val="22"/>
                <w:szCs w:val="22"/>
                <w:rtl w:val="0"/>
              </w:rPr>
              <w:t xml:space="preserve">419 x 18x R$ 29,90</w:t>
            </w:r>
          </w:p>
        </w:tc>
        <w:tc>
          <w:tcPr>
            <w:vAlign w:val="center"/>
          </w:tcPr>
          <w:p w:rsidR="00000000" w:rsidDel="00000000" w:rsidP="00000000" w:rsidRDefault="00000000" w:rsidRPr="00000000" w14:paraId="00000569">
            <w:pPr>
              <w:jc w:val="center"/>
              <w:rPr>
                <w:sz w:val="22"/>
                <w:szCs w:val="22"/>
              </w:rPr>
            </w:pPr>
            <w:r w:rsidDel="00000000" w:rsidR="00000000" w:rsidRPr="00000000">
              <w:rPr>
                <w:sz w:val="22"/>
                <w:szCs w:val="22"/>
                <w:rtl w:val="0"/>
              </w:rPr>
              <w:t xml:space="preserve">R$ 225.505,80</w:t>
            </w:r>
          </w:p>
        </w:tc>
        <w:tc>
          <w:tcPr>
            <w:vMerge w:val="continue"/>
            <w:vAlign w:val="center"/>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6B">
            <w:pPr>
              <w:jc w:val="center"/>
              <w:rPr>
                <w:color w:val="000000"/>
                <w:sz w:val="22"/>
                <w:szCs w:val="22"/>
              </w:rPr>
            </w:pPr>
            <w:r w:rsidDel="00000000" w:rsidR="00000000" w:rsidRPr="00000000">
              <w:rPr>
                <w:color w:val="000000"/>
                <w:sz w:val="22"/>
                <w:szCs w:val="22"/>
                <w:rtl w:val="0"/>
              </w:rPr>
              <w:t xml:space="preserve">Infraestrutura em nuvem do </w:t>
            </w:r>
            <w:r w:rsidDel="00000000" w:rsidR="00000000" w:rsidRPr="00000000">
              <w:rPr>
                <w:i w:val="1"/>
                <w:color w:val="000000"/>
                <w:sz w:val="22"/>
                <w:szCs w:val="22"/>
                <w:rtl w:val="0"/>
              </w:rPr>
              <w:t xml:space="preserve">software </w:t>
            </w:r>
            <w:r w:rsidDel="00000000" w:rsidR="00000000" w:rsidRPr="00000000">
              <w:rPr>
                <w:color w:val="000000"/>
                <w:sz w:val="22"/>
                <w:szCs w:val="22"/>
                <w:rtl w:val="0"/>
              </w:rPr>
              <w:t xml:space="preserve">e consultoria</w:t>
            </w:r>
          </w:p>
        </w:tc>
        <w:tc>
          <w:tcPr>
            <w:vAlign w:val="center"/>
          </w:tcPr>
          <w:p w:rsidR="00000000" w:rsidDel="00000000" w:rsidP="00000000" w:rsidRDefault="00000000" w:rsidRPr="00000000" w14:paraId="0000056C">
            <w:pPr>
              <w:jc w:val="center"/>
              <w:rPr>
                <w:color w:val="000000"/>
                <w:sz w:val="22"/>
                <w:szCs w:val="22"/>
              </w:rPr>
            </w:pPr>
            <w:r w:rsidDel="00000000" w:rsidR="00000000" w:rsidRPr="00000000">
              <w:rPr>
                <w:sz w:val="22"/>
                <w:szCs w:val="22"/>
                <w:rtl w:val="0"/>
              </w:rPr>
              <w:t xml:space="preserve">Google Cloud - servidor, licença de banco de dados e storage - 1o.ao 24o. mês: USD$510,00/mês</w:t>
            </w:r>
            <w:r w:rsidDel="00000000" w:rsidR="00000000" w:rsidRPr="00000000">
              <w:rPr>
                <w:rtl w:val="0"/>
              </w:rPr>
            </w:r>
          </w:p>
        </w:tc>
        <w:tc>
          <w:tcPr>
            <w:vAlign w:val="center"/>
          </w:tcPr>
          <w:p w:rsidR="00000000" w:rsidDel="00000000" w:rsidP="00000000" w:rsidRDefault="00000000" w:rsidRPr="00000000" w14:paraId="0000056D">
            <w:pPr>
              <w:jc w:val="center"/>
              <w:rPr>
                <w:color w:val="000000"/>
                <w:sz w:val="22"/>
                <w:szCs w:val="22"/>
              </w:rPr>
            </w:pPr>
            <w:r w:rsidDel="00000000" w:rsidR="00000000" w:rsidRPr="00000000">
              <w:rPr>
                <w:sz w:val="22"/>
                <w:szCs w:val="22"/>
                <w:rtl w:val="0"/>
              </w:rPr>
              <w:t xml:space="preserve">24x R$ 2.550,00</w:t>
            </w:r>
            <w:r w:rsidDel="00000000" w:rsidR="00000000" w:rsidRPr="00000000">
              <w:rPr>
                <w:rtl w:val="0"/>
              </w:rPr>
            </w:r>
          </w:p>
        </w:tc>
        <w:tc>
          <w:tcPr>
            <w:vAlign w:val="center"/>
          </w:tcPr>
          <w:p w:rsidR="00000000" w:rsidDel="00000000" w:rsidP="00000000" w:rsidRDefault="00000000" w:rsidRPr="00000000" w14:paraId="0000056E">
            <w:pPr>
              <w:jc w:val="center"/>
              <w:rPr>
                <w:color w:val="000000"/>
                <w:sz w:val="22"/>
                <w:szCs w:val="22"/>
              </w:rPr>
            </w:pPr>
            <w:r w:rsidDel="00000000" w:rsidR="00000000" w:rsidRPr="00000000">
              <w:rPr>
                <w:sz w:val="22"/>
                <w:szCs w:val="22"/>
                <w:rtl w:val="0"/>
              </w:rPr>
              <w:t xml:space="preserve">R$ 61.200,00</w:t>
            </w:r>
            <w:r w:rsidDel="00000000" w:rsidR="00000000" w:rsidRPr="00000000">
              <w:rPr>
                <w:rtl w:val="0"/>
              </w:rPr>
            </w:r>
          </w:p>
        </w:tc>
        <w:tc>
          <w:tcPr>
            <w:vMerge w:val="continue"/>
            <w:vAlign w:val="center"/>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1"/>
          <w:trHeight w:val="418" w:hRule="atLeast"/>
          <w:tblHeader w:val="0"/>
        </w:trPr>
        <w:tc>
          <w:tcPr>
            <w:vAlign w:val="center"/>
          </w:tcPr>
          <w:p w:rsidR="00000000" w:rsidDel="00000000" w:rsidP="00000000" w:rsidRDefault="00000000" w:rsidRPr="00000000" w14:paraId="00000570">
            <w:pPr>
              <w:jc w:val="center"/>
              <w:rPr>
                <w:b w:val="1"/>
                <w:color w:val="000000"/>
                <w:sz w:val="22"/>
                <w:szCs w:val="22"/>
              </w:rPr>
            </w:pPr>
            <w:r w:rsidDel="00000000" w:rsidR="00000000" w:rsidRPr="00000000">
              <w:rPr>
                <w:b w:val="1"/>
                <w:color w:val="000000"/>
                <w:sz w:val="22"/>
                <w:szCs w:val="22"/>
                <w:rtl w:val="0"/>
              </w:rPr>
              <w:t xml:space="preserve">Total</w:t>
            </w:r>
          </w:p>
        </w:tc>
        <w:tc>
          <w:tcPr>
            <w:gridSpan w:val="3"/>
            <w:vAlign w:val="center"/>
          </w:tcPr>
          <w:p w:rsidR="00000000" w:rsidDel="00000000" w:rsidP="00000000" w:rsidRDefault="00000000" w:rsidRPr="00000000" w14:paraId="00000571">
            <w:pPr>
              <w:jc w:val="center"/>
              <w:rPr>
                <w:color w:val="000000"/>
                <w:sz w:val="22"/>
                <w:szCs w:val="22"/>
              </w:rPr>
            </w:pPr>
            <w:r w:rsidDel="00000000" w:rsidR="00000000" w:rsidRPr="00000000">
              <w:rPr>
                <w:rtl w:val="0"/>
              </w:rPr>
            </w:r>
          </w:p>
        </w:tc>
        <w:tc>
          <w:tcPr>
            <w:vAlign w:val="center"/>
          </w:tcPr>
          <w:p w:rsidR="00000000" w:rsidDel="00000000" w:rsidP="00000000" w:rsidRDefault="00000000" w:rsidRPr="00000000" w14:paraId="00000574">
            <w:pPr>
              <w:jc w:val="center"/>
              <w:rPr>
                <w:b w:val="1"/>
                <w:color w:val="000000"/>
                <w:sz w:val="22"/>
                <w:szCs w:val="22"/>
              </w:rPr>
            </w:pPr>
            <w:r w:rsidDel="00000000" w:rsidR="00000000" w:rsidRPr="00000000">
              <w:rPr>
                <w:b w:val="1"/>
                <w:color w:val="000000"/>
                <w:sz w:val="22"/>
                <w:szCs w:val="22"/>
                <w:rtl w:val="0"/>
              </w:rPr>
              <w:t xml:space="preserve">R$ 1.543.439,16</w:t>
            </w:r>
          </w:p>
        </w:tc>
      </w:tr>
    </w:tbl>
    <w:p w:rsidR="00000000" w:rsidDel="00000000" w:rsidP="00000000" w:rsidRDefault="00000000" w:rsidRPr="00000000" w14:paraId="00000575">
      <w:pPr>
        <w:spacing w:line="360" w:lineRule="auto"/>
        <w:ind w:firstLine="720"/>
        <w:jc w:val="both"/>
        <w:rPr/>
      </w:pPr>
      <w:r w:rsidDel="00000000" w:rsidR="00000000" w:rsidRPr="00000000">
        <w:br w:type="page"/>
      </w:r>
      <w:r w:rsidDel="00000000" w:rsidR="00000000" w:rsidRPr="00000000">
        <w:rPr>
          <w:rtl w:val="0"/>
        </w:rPr>
      </w:r>
    </w:p>
    <w:p w:rsidR="00000000" w:rsidDel="00000000" w:rsidP="00000000" w:rsidRDefault="00000000" w:rsidRPr="00000000" w14:paraId="00000576">
      <w:pPr>
        <w:pStyle w:val="Title"/>
        <w:numPr>
          <w:ilvl w:val="0"/>
          <w:numId w:val="1"/>
        </w:numPr>
        <w:ind w:left="720" w:hanging="360"/>
        <w:rPr>
          <w:rFonts w:ascii="Times New Roman" w:cs="Times New Roman" w:eastAsia="Times New Roman" w:hAnsi="Times New Roman"/>
          <w:b w:val="1"/>
          <w:sz w:val="24"/>
          <w:szCs w:val="24"/>
        </w:rPr>
      </w:pPr>
      <w:bookmarkStart w:colFirst="0" w:colLast="0" w:name="_heading=h.kgcv8k" w:id="68"/>
      <w:bookmarkEnd w:id="68"/>
      <w:r w:rsidDel="00000000" w:rsidR="00000000" w:rsidRPr="00000000">
        <w:rPr>
          <w:rFonts w:ascii="Times New Roman" w:cs="Times New Roman" w:eastAsia="Times New Roman" w:hAnsi="Times New Roman"/>
          <w:b w:val="1"/>
          <w:sz w:val="24"/>
          <w:szCs w:val="24"/>
          <w:rtl w:val="0"/>
        </w:rPr>
        <w:t xml:space="preserve">REFERÊNCIAS BIBLIOGRÁFICAS</w:t>
      </w:r>
    </w:p>
    <w:p w:rsidR="00000000" w:rsidDel="00000000" w:rsidP="00000000" w:rsidRDefault="00000000" w:rsidRPr="00000000" w14:paraId="00000577">
      <w:pPr>
        <w:spacing w:line="360" w:lineRule="auto"/>
        <w:ind w:left="432" w:firstLine="0"/>
        <w:jc w:val="both"/>
        <w:rPr>
          <w:b w:val="1"/>
        </w:rPr>
      </w:pPr>
      <w:r w:rsidDel="00000000" w:rsidR="00000000" w:rsidRPr="00000000">
        <w:rPr>
          <w:rtl w:val="0"/>
        </w:rPr>
      </w:r>
    </w:p>
    <w:p w:rsidR="00000000" w:rsidDel="00000000" w:rsidP="00000000" w:rsidRDefault="00000000" w:rsidRPr="00000000" w14:paraId="0000057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4g0dwd" w:id="69"/>
      <w:bookmarkEnd w:id="6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Columbia University. A Race Against Time - The Challenge of Cardiovascular Disease in Developing Economies. Available at: https://www.earth.columbia.edu/news/2004/images/ raceagainsttime_FINAL_051104.pdf. Accessed January 24, 2023.</w:t>
      </w:r>
    </w:p>
    <w:p w:rsidR="00000000" w:rsidDel="00000000" w:rsidP="00000000" w:rsidRDefault="00000000" w:rsidRPr="00000000" w14:paraId="0000057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World Health Organization (WHO). Global status report on noncommunicable diseases 2010. (2011). Available at: https://www.who.int/publications/i/item/9789241564854. Accessed January 24, 2023.</w:t>
      </w:r>
    </w:p>
    <w:p w:rsidR="00000000" w:rsidDel="00000000" w:rsidP="00000000" w:rsidRDefault="00000000" w:rsidRPr="00000000" w14:paraId="0000057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DATASUS. Ministério da Saúde. Departamento de Informação e Informática do Sistema Único de Saúde (DATASUS). Available at: http://tabnet.datasus.gov.br/cgi/menu_tabnet_php.htm#. Accessed January 24, 2023.</w:t>
      </w:r>
    </w:p>
    <w:p w:rsidR="00000000" w:rsidDel="00000000" w:rsidP="00000000" w:rsidRDefault="00000000" w:rsidRPr="00000000" w14:paraId="0000057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Teich, V.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Acute Coronary Syndrome Treatment Costs from the Perspective of the Supplementary Health System.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Arq. Bras. Cardiol.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339–344 (2015).</w:t>
      </w:r>
    </w:p>
    <w:p w:rsidR="00000000" w:rsidDel="00000000" w:rsidP="00000000" w:rsidRDefault="00000000" w:rsidRPr="00000000" w14:paraId="0000057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Ruff, C. T. &amp; Braunwald, E. The evolving epidemiology of acute coronary syndromes.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Nat Rev Cardiol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140–147 (2011).</w:t>
      </w:r>
    </w:p>
    <w:p w:rsidR="00000000" w:rsidDel="00000000" w:rsidP="00000000" w:rsidRDefault="00000000" w:rsidRPr="00000000" w14:paraId="0000057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World Health Organization (WHO). W. World health statistics 2022: monitoring health for the SDGs, sustainable development goals. Available at: https://www.who.int/data/gho/publications/ world-health-statistics. Accessed January 24, 2023.</w:t>
      </w:r>
    </w:p>
    <w:p w:rsidR="00000000" w:rsidDel="00000000" w:rsidP="00000000" w:rsidRDefault="00000000" w:rsidRPr="00000000" w14:paraId="0000057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IBRD/WB. International Bank for Reconstruction and Development/The World Bank. Available at: https://databank.worldbank.org/source/world-development-indicators. Accessed January 24, 2023.</w:t>
      </w:r>
    </w:p>
    <w:p w:rsidR="00000000" w:rsidDel="00000000" w:rsidP="00000000" w:rsidRDefault="00000000" w:rsidRPr="00000000" w14:paraId="0000057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World Health Organization (WHO). From Burden to “Best Buys”:  Reducing the Economic Impact of Non-Communicable Diseases  in Low- and Middle-Income Countries. Available at: https://cdn.who.int/media/docs/default-source/documents/best-buys-summary.pdf?sfvrsn=5dd4d5f2_2. Accessed January 24, 2023.</w:t>
      </w:r>
    </w:p>
    <w:p w:rsidR="00000000" w:rsidDel="00000000" w:rsidP="00000000" w:rsidRDefault="00000000" w:rsidRPr="00000000" w14:paraId="0000058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Ebrahim, S. Detection, adherence and control of hypertension for the prevention of stroke: a systematic review.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Health Technol Assess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i–iv, 1–78 (1998).</w:t>
      </w:r>
    </w:p>
    <w:p w:rsidR="00000000" w:rsidDel="00000000" w:rsidP="00000000" w:rsidRDefault="00000000" w:rsidRPr="00000000" w14:paraId="0000058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Mills, K. 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Global Disparities of Hypertension Prevalence and Control: A Systematic Analysis of Population-Based Studies From 90 Countries.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Circulation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134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441–450 (2016).</w:t>
      </w:r>
    </w:p>
    <w:p w:rsidR="00000000" w:rsidDel="00000000" w:rsidP="00000000" w:rsidRDefault="00000000" w:rsidRPr="00000000" w14:paraId="0000058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Barreto, J.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Compliance with Cardiovascular Prevention Guidelines in Type 2 Diabetes Individuals in a Middle-Income Region: A Cross-Sectional Analysis.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Diagnostics (Basel)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814 (2022).</w:t>
      </w:r>
    </w:p>
    <w:p w:rsidR="00000000" w:rsidDel="00000000" w:rsidP="00000000" w:rsidRDefault="00000000" w:rsidRPr="00000000" w14:paraId="0000058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 S. 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Prevention of cardiovascular disease in high-risk individuals in low-income and middle-income countries: health effects and costs.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Lancet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370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2054–2062 (2007).</w:t>
      </w:r>
    </w:p>
    <w:p w:rsidR="00000000" w:rsidDel="00000000" w:rsidP="00000000" w:rsidRDefault="00000000" w:rsidRPr="00000000" w14:paraId="0000058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Levy, D., de Almeida, L. M. &amp; Szklo, A. The Brazil SimSmoke policy simulation model: the effect of strong tobacco control policies on smoking prevalence and smoking-attributable deaths in a middle income nation.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PLoS Med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e1001336 (2012).</w:t>
      </w:r>
    </w:p>
    <w:p w:rsidR="00000000" w:rsidDel="00000000" w:rsidP="00000000" w:rsidRDefault="00000000" w:rsidRPr="00000000" w14:paraId="0000058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Lindenberg, 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Decrease in hepatitis B prevalence among blood donors in Central-West Brazil Decrease in hepatitis B prevalence among blood donors in Central-West Brazil.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Short Report • J Venom Anim Toxins incl Trop Dis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19 (2013).</w:t>
      </w:r>
    </w:p>
    <w:p w:rsidR="00000000" w:rsidDel="00000000" w:rsidP="00000000" w:rsidRDefault="00000000" w:rsidRPr="00000000" w14:paraId="0000058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Lotufo, P. A. Cardiovascular diseases in Brazil: premature mortality, risk factors and priorities for action. Comments on the preliminary results from the Brazilian National Health Survey (PNS), 2013.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Sao Paulo Med J</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133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69–72 (2015).</w:t>
      </w:r>
    </w:p>
    <w:p w:rsidR="00000000" w:rsidDel="00000000" w:rsidP="00000000" w:rsidRDefault="00000000" w:rsidRPr="00000000" w14:paraId="0000058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Nobre, F., Ribeiro, A. B. &amp; Mion Jr, D. Control of arterial pressure in patients undergoing anti-hypertensive treatment in Brazil: Controlar Brazil.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Arq. Bras. Cardiol.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663–670 (2010).</w:t>
      </w:r>
    </w:p>
    <w:p w:rsidR="00000000" w:rsidDel="00000000" w:rsidP="00000000" w:rsidRDefault="00000000" w:rsidRPr="00000000" w14:paraId="0000058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 A. K. Diabetic nephropathy - complications and treatment.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Int J Nephrol Renovasc Dis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361–381 (2014).</w:t>
      </w:r>
    </w:p>
    <w:p w:rsidR="00000000" w:rsidDel="00000000" w:rsidP="00000000" w:rsidRDefault="00000000" w:rsidRPr="00000000" w14:paraId="0000058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Jia, G., Hill, M. A. &amp; Sowers, J. R. Diabetic Cardiomyopathy: An Update of Mechanisms Contributing to This Clinical Entity.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Circ Res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624–638 (2018).</w:t>
      </w:r>
    </w:p>
    <w:p w:rsidR="00000000" w:rsidDel="00000000" w:rsidP="00000000" w:rsidRDefault="00000000" w:rsidRPr="00000000" w14:paraId="0000058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Carvalho, L. S. F.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Glucose-Lowering and the Risk of Cardiovascular Events With Antidiabetic Therapies: A Systematic Review and Additive-Effects Network Meta-Analysis.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Front Cardiovasc Med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876795 (2022).</w:t>
      </w:r>
    </w:p>
    <w:p w:rsidR="00000000" w:rsidDel="00000000" w:rsidP="00000000" w:rsidRDefault="00000000" w:rsidRPr="00000000" w14:paraId="0000058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Stone, N. J.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2013 ACC/AHA guideline on the treatment of blood cholesterol to reduce atherosclerotic cardiovascular risk in adults: a report of the American College of Cardiology/American Heart Association Task Force on Practice Guidelines.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 Am Coll Cardiol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2889–2934 (2014).</w:t>
      </w:r>
    </w:p>
    <w:p w:rsidR="00000000" w:rsidDel="00000000" w:rsidP="00000000" w:rsidRDefault="00000000" w:rsidRPr="00000000" w14:paraId="0000058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Jackevicius, C. A., Mamdani, M. &amp; Tu, J. V. Adherence with statin therapy in elderly patients with and without acute coronary syndromes.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JAMA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288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462–467 (2002).</w:t>
      </w:r>
    </w:p>
    <w:p w:rsidR="00000000" w:rsidDel="00000000" w:rsidP="00000000" w:rsidRDefault="00000000" w:rsidRPr="00000000" w14:paraId="0000058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Olufade, 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Initiation Patterns of Statins in the 2 Years After Release of the 2013 American College of Cardiology/American Heart Association (ACC/AHA) Cholesterol Management Guideline in a Large US Health Plan.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 Am Heart Assoc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e005205 (2017).</w:t>
      </w:r>
    </w:p>
    <w:p w:rsidR="00000000" w:rsidDel="00000000" w:rsidP="00000000" w:rsidRDefault="00000000" w:rsidRPr="00000000" w14:paraId="0000058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Rosenson, R. 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Underutilization of high-intensity statin therapy after hospitalization for coronary heart disease.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 Am Coll Cardiol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270–277 (2015).</w:t>
      </w:r>
    </w:p>
    <w:p w:rsidR="00000000" w:rsidDel="00000000" w:rsidP="00000000" w:rsidRDefault="00000000" w:rsidRPr="00000000" w14:paraId="0000058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Zhang, H., Plutzky, J., Shubina, M. &amp; Turchin, A. Continued Statin Prescriptions After Adverse Reactions and Patient Outcomes: A Cohort Study.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Ann Intern Med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221–227 (2017).</w:t>
      </w:r>
    </w:p>
    <w:p w:rsidR="00000000" w:rsidDel="00000000" w:rsidP="00000000" w:rsidRDefault="00000000" w:rsidRPr="00000000" w14:paraId="0000059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Arnold, S. V.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Beyond medication prescription as performance measures: optimal secondary prevention medication dosing after acute myocardial infarction.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 Am Coll Cardiol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1791–1801 (2013).</w:t>
      </w:r>
    </w:p>
    <w:p w:rsidR="00000000" w:rsidDel="00000000" w:rsidP="00000000" w:rsidRDefault="00000000" w:rsidRPr="00000000" w14:paraId="000005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Précoma, D. B.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Updated Cardiovascular Prevention Guideline of the Brazilian Society of Cardiology - 2019.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Arq. Bras. Cardiol.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787–891 (2019).</w:t>
      </w:r>
    </w:p>
    <w:p w:rsidR="00000000" w:rsidDel="00000000" w:rsidP="00000000" w:rsidRDefault="00000000" w:rsidRPr="00000000" w14:paraId="0000059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w:t>
        <w:tab/>
        <w:t xml:space="preserve">American Diabetes Association. Standards of Medical Care in Diabetes-2022 Abridged for Primary Care Providers.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Clin Diabetes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10–38 (2022).</w:t>
      </w:r>
    </w:p>
    <w:p w:rsidR="00000000" w:rsidDel="00000000" w:rsidP="00000000" w:rsidRDefault="00000000" w:rsidRPr="00000000" w14:paraId="0000059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Ziaeian, B., Dinkler, J., Guo, Y. &amp; Watson, K. The 2013 ACC/AHA Cholesterol Treatment Guidelines: Applicability to Patients with Diabetes.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Curr Diab Rep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13 (2016).</w:t>
      </w:r>
      <w:r w:rsidDel="00000000" w:rsidR="00000000" w:rsidRPr="00000000">
        <w:rPr>
          <w:rtl w:val="0"/>
        </w:rPr>
      </w:r>
    </w:p>
    <w:p w:rsidR="00000000" w:rsidDel="00000000" w:rsidP="00000000" w:rsidRDefault="00000000" w:rsidRPr="00000000" w14:paraId="0000059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Mao, L., Kim, K., Miao, X. Sample size formula for general win ratio analysis. Biometrics.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(3), 1257-1268 (2022).</w:t>
      </w:r>
    </w:p>
    <w:p w:rsidR="00000000" w:rsidDel="00000000" w:rsidP="00000000" w:rsidRDefault="00000000" w:rsidRPr="00000000" w14:paraId="0000059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30.  Yu, R., Ganju, J. Sample size formula for a win ratio endpoint. Stat Med.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;41(6), 950-963 (2022).</w:t>
      </w:r>
    </w:p>
    <w:p w:rsidR="00000000" w:rsidDel="00000000" w:rsidP="00000000" w:rsidRDefault="00000000" w:rsidRPr="00000000" w14:paraId="0000059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Pocock, S., Ariti, C., Collier, T., Wang D. The win ratio: a new approach to the analysis of composite endpoints in clinical trials based on clinical priorities. Eur Heart J.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176-82 (2011). </w:t>
      </w:r>
    </w:p>
    <w:p w:rsidR="00000000" w:rsidDel="00000000" w:rsidP="00000000" w:rsidRDefault="00000000" w:rsidRPr="00000000" w14:paraId="0000059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World Medical Association, Inc. Declaration Of Helsinki - Ethical Principles for Medical Research Involving Human Subjects. Available at: https://www.wma.net/wp-content/uploads/2018/07/DoH-Oct2008.pdf. Accessed March 08, 2023.</w:t>
      </w:r>
    </w:p>
    <w:p w:rsidR="00000000" w:rsidDel="00000000" w:rsidP="00000000" w:rsidRDefault="00000000" w:rsidRPr="00000000" w14:paraId="0000059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Alaa AM, van der Schaar M. Deep multi-task gaussian processes for survival analysis with competing risks. 30th Conference on Neural Information Processing Systems; 2017.</w:t>
      </w:r>
    </w:p>
    <w:p w:rsidR="00000000" w:rsidDel="00000000" w:rsidP="00000000" w:rsidRDefault="00000000" w:rsidRPr="00000000" w14:paraId="0000059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Lee C, Zame WR, Yoon J, Schaar Mvd. DeepHit: A Deep Learning Approach to Survival Analysis With Competing Risks. Paper presented at: XXXII Association for the Advancement of Artificial Intelligence (AAAI) Conference 2018.</w:t>
      </w:r>
    </w:p>
    <w:p w:rsidR="00000000" w:rsidDel="00000000" w:rsidP="00000000" w:rsidRDefault="00000000" w:rsidRPr="00000000" w14:paraId="0000059A">
      <w:pPr>
        <w:spacing w:line="360" w:lineRule="auto"/>
        <w:ind w:firstLine="720"/>
        <w:jc w:val="both"/>
        <w:rPr>
          <w:color w:val="000000"/>
        </w:rPr>
        <w:sectPr>
          <w:headerReference r:id="rId23" w:type="default"/>
          <w:headerReference r:id="rId24" w:type="first"/>
          <w:footerReference r:id="rId25" w:type="default"/>
          <w:footerReference r:id="rId26" w:type="even"/>
          <w:pgSz w:h="15840" w:w="12240" w:orient="portrait"/>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59B">
      <w:pPr>
        <w:pStyle w:val="Heading1"/>
        <w:jc w:val="center"/>
        <w:rPr>
          <w:rFonts w:ascii="Times New Roman" w:cs="Times New Roman" w:eastAsia="Times New Roman" w:hAnsi="Times New Roman"/>
          <w:sz w:val="24"/>
          <w:szCs w:val="24"/>
        </w:rPr>
      </w:pPr>
      <w:bookmarkStart w:colFirst="0" w:colLast="0" w:name="_heading=h.1jlao46" w:id="70"/>
      <w:bookmarkEnd w:id="70"/>
      <w:r w:rsidDel="00000000" w:rsidR="00000000" w:rsidRPr="00000000">
        <w:rPr>
          <w:rFonts w:ascii="Times New Roman" w:cs="Times New Roman" w:eastAsia="Times New Roman" w:hAnsi="Times New Roman"/>
          <w:sz w:val="24"/>
          <w:szCs w:val="24"/>
          <w:rtl w:val="0"/>
        </w:rPr>
        <w:t xml:space="preserve">APÊNDICE I - TERMO DE CONSENTIMENTO LIVRE E ESCLARECIDO</w:t>
      </w:r>
    </w:p>
    <w:p w:rsidR="00000000" w:rsidDel="00000000" w:rsidP="00000000" w:rsidRDefault="00000000" w:rsidRPr="00000000" w14:paraId="0000059C">
      <w:pPr>
        <w:spacing w:line="276" w:lineRule="auto"/>
        <w:ind w:firstLine="708"/>
        <w:jc w:val="both"/>
        <w:rPr/>
      </w:pPr>
      <w:bookmarkStart w:colFirst="0" w:colLast="0" w:name="_heading=h.43ky6rz" w:id="71"/>
      <w:bookmarkEnd w:id="71"/>
      <w:r w:rsidDel="00000000" w:rsidR="00000000" w:rsidRPr="00000000">
        <w:rPr>
          <w:rtl w:val="0"/>
        </w:rPr>
        <w:t xml:space="preserve">Você está sendo convidado(a) a fazer parte de um projeto de pesquisa chamado "Manejo remoto e controle da pressão arterial, glicemia e LDL colesterol em uma comunidade: um estudo clínico, prospectivo, randomizado, aberto e descentralizado (Estudo TAMIS)". Esse projeto é coordenado pelo Professor Dr. Luiz Sérgio Fernandes de Carvalho e conta com a colaboração dos pesquisadores Andrei C Sposito, Marta D Fernandez, Mariana Savedra Pfitzner, Janaína de Oliveira, Wilson Nadruz, Alessandra M. Campos-Staffico, Viviane da Silva Machado e Andrea Dias Stephanus.</w:t>
      </w:r>
    </w:p>
    <w:p w:rsidR="00000000" w:rsidDel="00000000" w:rsidP="00000000" w:rsidRDefault="00000000" w:rsidRPr="00000000" w14:paraId="0000059D">
      <w:pPr>
        <w:spacing w:line="276" w:lineRule="auto"/>
        <w:ind w:firstLine="708"/>
        <w:jc w:val="both"/>
        <w:rPr/>
      </w:pPr>
      <w:r w:rsidDel="00000000" w:rsidR="00000000" w:rsidRPr="00000000">
        <w:rPr>
          <w:rtl w:val="0"/>
        </w:rPr>
        <w:t xml:space="preserve">O objetivo principal desta pesquisa é testar se um novo sistema/aplicativo de cuidado médico, quando comparado com o acompanhamento padrão, pode ou não facilitar a comunicação entre os profissionais de saúde e os pacientes, além disso, testar se o sistema promove um controle mais eficaz da pressão arterial, glicemia e colesterol LDL. Esse novo sistema foi testado e validado e utiliza procedimentos inteligentes para gerenciar esses aspectos da saúde. Ele segue as diretrizes médicas estabelecidas e está alinhado com as melhores práticas nacionais e internacionais sugeridas pela Sociedade Brasileira de Cardiologia e pela </w:t>
      </w:r>
      <w:r w:rsidDel="00000000" w:rsidR="00000000" w:rsidRPr="00000000">
        <w:rPr>
          <w:i w:val="1"/>
          <w:rtl w:val="0"/>
        </w:rPr>
        <w:t xml:space="preserve">American Heart Association</w:t>
      </w:r>
      <w:r w:rsidDel="00000000" w:rsidR="00000000" w:rsidRPr="00000000">
        <w:rPr>
          <w:rtl w:val="0"/>
        </w:rPr>
        <w:t xml:space="preserve"> para o tratamento de doenças crônicas. Além disso, ele cumpre rigorosamente as leis de proteção de dados e as regulamentações relacionadas aos registros médicos.</w:t>
      </w:r>
    </w:p>
    <w:p w:rsidR="00000000" w:rsidDel="00000000" w:rsidP="00000000" w:rsidRDefault="00000000" w:rsidRPr="00000000" w14:paraId="0000059E">
      <w:pPr>
        <w:spacing w:line="276" w:lineRule="auto"/>
        <w:ind w:firstLine="708"/>
        <w:jc w:val="both"/>
        <w:rPr/>
      </w:pPr>
      <w:r w:rsidDel="00000000" w:rsidR="00000000" w:rsidRPr="00000000">
        <w:rPr>
          <w:rtl w:val="0"/>
        </w:rPr>
        <w:t xml:space="preserve">Queremos deixar claro que, ao participar desta pesquisa, sua identidade será mantida em sigilo absoluto. Todas as informações que possam identificá-lo(a) serão removidas. Você não precisa responder a qualquer pergunta que o(a) deixe desconfortável, e pode escolher sair da pesquisa a qualquer momento, sem nenhum prejuízo.</w:t>
      </w:r>
    </w:p>
    <w:p w:rsidR="00000000" w:rsidDel="00000000" w:rsidP="00000000" w:rsidRDefault="00000000" w:rsidRPr="00000000" w14:paraId="0000059F">
      <w:pPr>
        <w:spacing w:line="276" w:lineRule="auto"/>
        <w:ind w:firstLine="708"/>
        <w:jc w:val="both"/>
        <w:rPr/>
      </w:pPr>
      <w:r w:rsidDel="00000000" w:rsidR="00000000" w:rsidRPr="00000000">
        <w:rPr>
          <w:rtl w:val="0"/>
        </w:rPr>
        <w:t xml:space="preserve">Ao concordar em participar da pesquisa e assinar este documento, você será sorteado para: (i) seguir com o acompanhamento padrão (conforme proposto pela Unidade Básica de Saúde mais próxima), ou (ii) ser acompanhado com o suporte da plataforma </w:t>
      </w:r>
      <w:r w:rsidDel="00000000" w:rsidR="00000000" w:rsidRPr="00000000">
        <w:rPr>
          <w:i w:val="1"/>
          <w:rtl w:val="0"/>
        </w:rPr>
        <w:t xml:space="preserve">online</w:t>
      </w:r>
      <w:r w:rsidDel="00000000" w:rsidR="00000000" w:rsidRPr="00000000">
        <w:rPr>
          <w:rtl w:val="0"/>
        </w:rPr>
        <w:t xml:space="preserve"> chamada "TAMIS", onde uma equipe de profissionais de saúde obterá informações sobre sua saúde, e conduzirá à distância ajustes em sua prescrição e lhe orientará. Em todo caso, você continuará com o suporte regular da sua Unidade Básica de Saúde e equipe de tratamento.</w:t>
      </w:r>
    </w:p>
    <w:p w:rsidR="00000000" w:rsidDel="00000000" w:rsidP="00000000" w:rsidRDefault="00000000" w:rsidRPr="00000000" w14:paraId="000005A0">
      <w:pPr>
        <w:spacing w:line="276" w:lineRule="auto"/>
        <w:ind w:firstLine="708"/>
        <w:jc w:val="both"/>
        <w:rPr/>
      </w:pPr>
      <w:r w:rsidDel="00000000" w:rsidR="00000000" w:rsidRPr="00000000">
        <w:rPr>
          <w:rtl w:val="0"/>
        </w:rPr>
        <w:t xml:space="preserve">Você receberá um monitor de pressão arterial com tecnologia </w:t>
      </w:r>
      <w:r w:rsidDel="00000000" w:rsidR="00000000" w:rsidRPr="00000000">
        <w:rPr>
          <w:i w:val="1"/>
          <w:rtl w:val="0"/>
        </w:rPr>
        <w:t xml:space="preserve">bluetooth</w:t>
      </w:r>
      <w:r w:rsidDel="00000000" w:rsidR="00000000" w:rsidRPr="00000000">
        <w:rPr>
          <w:rtl w:val="0"/>
        </w:rPr>
        <w:t xml:space="preserve"> que enviará automaticamente suas leituras para nossa equipe de pesquisa. A duração do estudo será de 84 semanas, o que equivale a aproximadamente um ano e meio.</w:t>
      </w:r>
    </w:p>
    <w:p w:rsidR="00000000" w:rsidDel="00000000" w:rsidP="00000000" w:rsidRDefault="00000000" w:rsidRPr="00000000" w14:paraId="000005A1">
      <w:pPr>
        <w:spacing w:line="276" w:lineRule="auto"/>
        <w:ind w:firstLine="708"/>
        <w:jc w:val="both"/>
        <w:rPr/>
      </w:pPr>
      <w:r w:rsidDel="00000000" w:rsidR="00000000" w:rsidRPr="00000000">
        <w:rPr>
          <w:rtl w:val="0"/>
        </w:rPr>
      </w:r>
    </w:p>
    <w:p w:rsidR="00000000" w:rsidDel="00000000" w:rsidP="00000000" w:rsidRDefault="00000000" w:rsidRPr="00000000" w14:paraId="000005A2">
      <w:pPr>
        <w:spacing w:line="276" w:lineRule="auto"/>
        <w:ind w:firstLine="708"/>
        <w:jc w:val="both"/>
        <w:rPr/>
      </w:pPr>
      <w:r w:rsidDel="00000000" w:rsidR="00000000" w:rsidRPr="00000000">
        <w:rPr>
          <w:rtl w:val="0"/>
        </w:rPr>
        <w:t xml:space="preserve">Após uma primeira visita, na qual explicaremos todos os procedimentos, você será incluído em um dos dois grupos:</w:t>
      </w:r>
    </w:p>
    <w:p w:rsidR="00000000" w:rsidDel="00000000" w:rsidP="00000000" w:rsidRDefault="00000000" w:rsidRPr="00000000" w14:paraId="000005A3">
      <w:pPr>
        <w:numPr>
          <w:ilvl w:val="0"/>
          <w:numId w:val="26"/>
        </w:numPr>
        <w:spacing w:line="276" w:lineRule="auto"/>
        <w:ind w:left="720" w:hanging="360"/>
        <w:jc w:val="both"/>
        <w:rPr/>
      </w:pPr>
      <w:r w:rsidDel="00000000" w:rsidR="00000000" w:rsidRPr="00000000">
        <w:rPr>
          <w:b w:val="1"/>
          <w:rtl w:val="0"/>
        </w:rPr>
        <w:t xml:space="preserve">Grupo de Acompanhamento Convencional:</w:t>
      </w:r>
      <w:r w:rsidDel="00000000" w:rsidR="00000000" w:rsidRPr="00000000">
        <w:rPr>
          <w:rtl w:val="0"/>
        </w:rPr>
        <w:t xml:space="preserve"> Neste grupo, seu acompanhamento será feito pela equipe da Unidade Básica de Saúde como de costume. Durante a primeira visita, coletaremos informações sobre seus dados pessoais, histórico médico, faremos um exame físico, revisaremos resultados de exames anteriores, avaliaremos sua saúde geral e aplicaremos um questionário sobre sua qualidade de vida. Também realizaremos exames clínicos de rotina, incluindo hemograma, glicose, hemoglobina glicada (HbA1c), perfil lipídico, creatinina e relação albumina/creatinina. Além disso, repetiremos esses exames e a avaliação de qualidade de vida após 56 semanas (um ano) e 84 semanas (um ano e meio) de acompanhamento.</w:t>
      </w:r>
    </w:p>
    <w:p w:rsidR="00000000" w:rsidDel="00000000" w:rsidP="00000000" w:rsidRDefault="00000000" w:rsidRPr="00000000" w14:paraId="000005A4">
      <w:pPr>
        <w:numPr>
          <w:ilvl w:val="0"/>
          <w:numId w:val="26"/>
        </w:numPr>
        <w:spacing w:line="276" w:lineRule="auto"/>
        <w:ind w:left="720" w:hanging="360"/>
        <w:jc w:val="both"/>
        <w:rPr/>
      </w:pPr>
      <w:r w:rsidDel="00000000" w:rsidR="00000000" w:rsidRPr="00000000">
        <w:rPr>
          <w:b w:val="1"/>
          <w:rtl w:val="0"/>
        </w:rPr>
        <w:t xml:space="preserve">Grupo de Acompanhamento Remoto:</w:t>
      </w:r>
      <w:r w:rsidDel="00000000" w:rsidR="00000000" w:rsidRPr="00000000">
        <w:rPr>
          <w:rtl w:val="0"/>
        </w:rPr>
        <w:t xml:space="preserve"> Neste grupo, você terá 10 contatos telefônicos ou por videochamada com nossos monitores, que serão supervisionados por um médico. Esses contatos serão agendados a cada 6 a 16 semanas (nas semanas 6, 12, 24, 40, 56, 64, 72, 78 e 84) e terão duração de 40 a 60 minutos cada. Durante essas interações, nossos monitores poderão ajustar seus medicamentos, solicitar exames laboratoriais e oferecer orientações sobre atividade física, alimentação saudável, parar de fumar, e outros hábitos saudáveis. Também monitoraremos sua pressão arterial e glicemia, além de revisar suas medicações, tudo isso com o objetivo de melhorar o controle da pressão arterial, nível de açúcar no sangue e colesterol LDL. Todos esses procedimentos seguem as diretrizes nacionais e internacionais recomendadas pela Sociedade Brasileira de Cardiologia e pela </w:t>
      </w:r>
      <w:r w:rsidDel="00000000" w:rsidR="00000000" w:rsidRPr="00000000">
        <w:rPr>
          <w:i w:val="1"/>
          <w:rtl w:val="0"/>
        </w:rPr>
        <w:t xml:space="preserve">American Heart Association</w:t>
      </w:r>
      <w:r w:rsidDel="00000000" w:rsidR="00000000" w:rsidRPr="00000000">
        <w:rPr>
          <w:rtl w:val="0"/>
        </w:rPr>
        <w:t xml:space="preserve">.</w:t>
      </w:r>
    </w:p>
    <w:p w:rsidR="00000000" w:rsidDel="00000000" w:rsidP="00000000" w:rsidRDefault="00000000" w:rsidRPr="00000000" w14:paraId="000005A5">
      <w:pPr>
        <w:spacing w:line="276" w:lineRule="auto"/>
        <w:ind w:left="720" w:firstLine="0"/>
        <w:jc w:val="both"/>
        <w:rPr/>
      </w:pPr>
      <w:r w:rsidDel="00000000" w:rsidR="00000000" w:rsidRPr="00000000">
        <w:rPr>
          <w:rtl w:val="0"/>
        </w:rPr>
      </w:r>
    </w:p>
    <w:p w:rsidR="00000000" w:rsidDel="00000000" w:rsidP="00000000" w:rsidRDefault="00000000" w:rsidRPr="00000000" w14:paraId="000005A6">
      <w:pPr>
        <w:spacing w:line="276" w:lineRule="auto"/>
        <w:ind w:firstLine="708"/>
        <w:jc w:val="both"/>
        <w:rPr/>
      </w:pPr>
      <w:r w:rsidDel="00000000" w:rsidR="00000000" w:rsidRPr="00000000">
        <w:rPr>
          <w:rtl w:val="0"/>
        </w:rPr>
        <w:t xml:space="preserve">Este estudo envolverá um total de 838 participantes de 21 Unidades Básicas de Saúde nas Regiões do Paranoá, São Sebastião e Itapoã, selecionadas aleatoriamente para receber o acompanhamento convencional ou remoto</w:t>
      </w:r>
    </w:p>
    <w:p w:rsidR="00000000" w:rsidDel="00000000" w:rsidP="00000000" w:rsidRDefault="00000000" w:rsidRPr="00000000" w14:paraId="000005A7">
      <w:pPr>
        <w:spacing w:line="276" w:lineRule="auto"/>
        <w:ind w:firstLine="708"/>
        <w:jc w:val="both"/>
        <w:rPr/>
      </w:pPr>
      <w:bookmarkStart w:colFirst="0" w:colLast="0" w:name="_heading=h.2iq8gzs" w:id="72"/>
      <w:bookmarkEnd w:id="72"/>
      <w:r w:rsidDel="00000000" w:rsidR="00000000" w:rsidRPr="00000000">
        <w:rPr>
          <w:rtl w:val="0"/>
        </w:rPr>
        <w:t xml:space="preserve">No acompanhamento remoto, você poderá participar de onde for mais conveniente para você. Nossa prioridade é cuidar da sua saúde, acompanhando de perto a pressão arterial, o nível de açúcar no sangue e o colesterol. Realizaremos exames de sangue para verificar se há problemas como anemia, infecções, funcionamento dos rins, diabetes (açúcar alto no sangue) e a saúde do coração. Os exames incluem glicemia de jejum, lipidograma, hemoglobina glicada, hemograma completo, creatinina no sangue e albumina na urina. Não guardaremos suas amostras de sangue ou qualquer outro fluido do corpo.</w:t>
      </w:r>
    </w:p>
    <w:p w:rsidR="00000000" w:rsidDel="00000000" w:rsidP="00000000" w:rsidRDefault="00000000" w:rsidRPr="00000000" w14:paraId="000005A8">
      <w:pPr>
        <w:spacing w:line="276" w:lineRule="auto"/>
        <w:ind w:firstLine="708"/>
        <w:jc w:val="both"/>
        <w:rPr/>
      </w:pPr>
      <w:r w:rsidDel="00000000" w:rsidR="00000000" w:rsidRPr="00000000">
        <w:rPr>
          <w:rtl w:val="0"/>
        </w:rPr>
        <w:t xml:space="preserve">Nossa equipe de pesquisa é formada por médicos, farmacêuticos, enfermeiros e técnicos treinados, prontos para ajudar em caso de emergência. Usaremos materiais descartáveis e garantiremos que todos os procedimentos sejam feitos em locais apropriados. Durante as avaliações, tanto você quanto seus acompanhantes terão assistência médica, caso algo não saia como o esperado. Você terá acesso a todos os resultados dos exames e informações médicas quando quiser.</w:t>
      </w:r>
    </w:p>
    <w:p w:rsidR="00000000" w:rsidDel="00000000" w:rsidP="00000000" w:rsidRDefault="00000000" w:rsidRPr="00000000" w14:paraId="000005A9">
      <w:pPr>
        <w:spacing w:line="276" w:lineRule="auto"/>
        <w:ind w:firstLine="708"/>
        <w:jc w:val="both"/>
        <w:rPr/>
      </w:pPr>
      <w:r w:rsidDel="00000000" w:rsidR="00000000" w:rsidRPr="00000000">
        <w:rPr>
          <w:rtl w:val="0"/>
        </w:rPr>
        <w:t xml:space="preserve">Esperamos que a intervenção que estamos propondo neste estudo ajude a melhorar a forma como os cuidados de saúde são oferecidos, tornando mais fácil para todos terem acesso a esses serviços. Estamos buscando maneiras de usar medicamentos e tratamentos de forma mais eficaz para ajudar as pessoas com problemas de pressão alta, níveis de açúcar no sangue e colesterol alto. Vamos acompanhar de perto o progresso das pessoas e ensiná-las mais sobre como cuidar de sua saúde cardíaca e prevenir problemas no coração. Acreditamos que a colaboração entre o participante da pesquisa com os médicos de cuidados primários e especialistas podem proporcionar um tratamento flexível, conveniente e acessível, e que as pessoas tenham resultados de saúde melhores. </w:t>
      </w:r>
    </w:p>
    <w:p w:rsidR="00000000" w:rsidDel="00000000" w:rsidP="00000000" w:rsidRDefault="00000000" w:rsidRPr="00000000" w14:paraId="000005AA">
      <w:pPr>
        <w:spacing w:line="276" w:lineRule="auto"/>
        <w:ind w:firstLine="708"/>
        <w:jc w:val="both"/>
        <w:rPr/>
      </w:pPr>
      <w:r w:rsidDel="00000000" w:rsidR="00000000" w:rsidRPr="00000000">
        <w:rPr>
          <w:rtl w:val="0"/>
        </w:rPr>
        <w:t xml:space="preserve">A plataforma </w:t>
      </w:r>
      <w:r w:rsidDel="00000000" w:rsidR="00000000" w:rsidRPr="00000000">
        <w:rPr>
          <w:i w:val="1"/>
          <w:rtl w:val="0"/>
        </w:rPr>
        <w:t xml:space="preserve">online</w:t>
      </w:r>
      <w:r w:rsidDel="00000000" w:rsidR="00000000" w:rsidRPr="00000000">
        <w:rPr>
          <w:rtl w:val="0"/>
        </w:rPr>
        <w:t xml:space="preserve"> “TAMIS” estará disponível de graça para todas as pessoas que estão participando do nosso projeto de pesquisa quando terminarmos o estudo. Isso inclui até mesmo o grupo que não está usando a plataforma, se descobrirmos que ele é realmente útil para melhorar os resultados que estamos estudando.</w:t>
      </w:r>
    </w:p>
    <w:p w:rsidR="00000000" w:rsidDel="00000000" w:rsidP="00000000" w:rsidRDefault="00000000" w:rsidRPr="00000000" w14:paraId="000005AB">
      <w:pPr>
        <w:spacing w:line="276" w:lineRule="auto"/>
        <w:ind w:firstLine="708"/>
        <w:jc w:val="both"/>
        <w:rPr/>
      </w:pPr>
      <w:r w:rsidDel="00000000" w:rsidR="00000000" w:rsidRPr="00000000">
        <w:rPr>
          <w:rtl w:val="0"/>
        </w:rPr>
        <w:t xml:space="preserve">É importante entender que participar da pesquisa pode envolver alguns riscos, como sentir-se mal fisicamente, emocionalmente ou até mesmo preocupar-se com sua privacidade. Mas você tem o direito de não responder a perguntas ou parar de participar quando quiser. Estaremos sempre aqui para ajudar e reduzir esses problemas.</w:t>
      </w:r>
    </w:p>
    <w:p w:rsidR="00000000" w:rsidDel="00000000" w:rsidP="00000000" w:rsidRDefault="00000000" w:rsidRPr="00000000" w14:paraId="000005AC">
      <w:pPr>
        <w:spacing w:line="276" w:lineRule="auto"/>
        <w:ind w:firstLine="708"/>
        <w:jc w:val="both"/>
        <w:rPr/>
      </w:pPr>
      <w:r w:rsidDel="00000000" w:rsidR="00000000" w:rsidRPr="00000000">
        <w:rPr>
          <w:rtl w:val="0"/>
        </w:rPr>
        <w:t xml:space="preserve">Se você se sentir mal, teremos profissionais treinados disponíveis para ajudar, seja durante os exames médicos ou as consultas.</w:t>
      </w:r>
    </w:p>
    <w:p w:rsidR="00000000" w:rsidDel="00000000" w:rsidP="00000000" w:rsidRDefault="00000000" w:rsidRPr="00000000" w14:paraId="000005AD">
      <w:pPr>
        <w:spacing w:line="276" w:lineRule="auto"/>
        <w:ind w:firstLine="708"/>
        <w:jc w:val="both"/>
        <w:rPr/>
      </w:pPr>
      <w:r w:rsidDel="00000000" w:rsidR="00000000" w:rsidRPr="00000000">
        <w:rPr>
          <w:rtl w:val="0"/>
        </w:rPr>
        <w:t xml:space="preserve">Quando você usar a plataforma </w:t>
      </w:r>
      <w:r w:rsidDel="00000000" w:rsidR="00000000" w:rsidRPr="00000000">
        <w:rPr>
          <w:i w:val="1"/>
          <w:rtl w:val="0"/>
        </w:rPr>
        <w:t xml:space="preserve">online</w:t>
      </w:r>
      <w:r w:rsidDel="00000000" w:rsidR="00000000" w:rsidRPr="00000000">
        <w:rPr>
          <w:rtl w:val="0"/>
        </w:rPr>
        <w:t xml:space="preserve"> "TAMIS" para registrar informações sobre sua saúde, pode haver um pequeno risco de que suas informações pessoais sejam divulgadas. Embora tomemos muito cuidado para proteger seus dados, ainda existe um risco mínimo de vazamento. Mas para evitar isso, manteremos suas informações pessoais em segredo total. Todas as informações que poderiam identificar você serão removidas e trocadas por códigos ou números únicos. Apenas a equipe de pesquisa poderá ver todas as informações. Tudo o que coletarmos ficará guardado com segurança em computadores protegidos.</w:t>
      </w:r>
    </w:p>
    <w:p w:rsidR="00000000" w:rsidDel="00000000" w:rsidP="00000000" w:rsidRDefault="00000000" w:rsidRPr="00000000" w14:paraId="000005AE">
      <w:pPr>
        <w:ind w:firstLine="708"/>
        <w:jc w:val="both"/>
        <w:rPr/>
      </w:pPr>
      <w:r w:rsidDel="00000000" w:rsidR="00000000" w:rsidRPr="00000000">
        <w:rPr>
          <w:rtl w:val="0"/>
        </w:rPr>
        <w:t xml:space="preserve">Se as suas informações pessoais forem acidentalmente reveladas por causa de um problema de segurança na plataforma </w:t>
      </w:r>
      <w:r w:rsidDel="00000000" w:rsidR="00000000" w:rsidRPr="00000000">
        <w:rPr>
          <w:i w:val="1"/>
          <w:rtl w:val="0"/>
        </w:rPr>
        <w:t xml:space="preserve">online</w:t>
      </w:r>
      <w:r w:rsidDel="00000000" w:rsidR="00000000" w:rsidRPr="00000000">
        <w:rPr>
          <w:rtl w:val="0"/>
        </w:rPr>
        <w:t xml:space="preserve"> "TAMIS", a equipe de manutenção da plataforma agirá rapidamente para entender o que aconteceu e o quanto as informações foram expostas. O participante afetado será informado imediatamente, e medidas tomadas para proteger sua privacidade. Isso pode incluir parar temporariamente o uso da plataforma até que o problema de segurança seja resolvido.</w:t>
      </w:r>
    </w:p>
    <w:p w:rsidR="00000000" w:rsidDel="00000000" w:rsidP="00000000" w:rsidRDefault="00000000" w:rsidRPr="00000000" w14:paraId="000005AF">
      <w:pPr>
        <w:spacing w:line="276" w:lineRule="auto"/>
        <w:ind w:firstLine="708"/>
        <w:jc w:val="both"/>
        <w:rPr/>
      </w:pPr>
      <w:r w:rsidDel="00000000" w:rsidR="00000000" w:rsidRPr="00000000">
        <w:rPr>
          <w:rtl w:val="0"/>
        </w:rPr>
        <w:t xml:space="preserve">Se você for selecionado para o Grupo de Acompanhamento Remoto e precisar fazer mudanças em seus remédios, saiba que isso será feito com cuidado, seguindo as recomendações nacionais e internacional e com supervisão médica. Mas mudar de remédio pode ter alguns riscos. Para reduzir esses riscos, todas as mudanças nos remédios serão feitas de acordo com as orientações dos médicos. Você será informado detalhadamente sobre qualquer mudança, incluindo porque ela está acontecendo e quais efeitos colaterais podem acontecer. Você também poderá conversar com a equipe de pesquisa e tirar todas as suas dúvidas.</w:t>
      </w:r>
    </w:p>
    <w:p w:rsidR="00000000" w:rsidDel="00000000" w:rsidP="00000000" w:rsidRDefault="00000000" w:rsidRPr="00000000" w14:paraId="000005B0">
      <w:pPr>
        <w:spacing w:line="276" w:lineRule="auto"/>
        <w:ind w:firstLine="708"/>
        <w:jc w:val="both"/>
        <w:rPr/>
      </w:pPr>
      <w:r w:rsidDel="00000000" w:rsidR="00000000" w:rsidRPr="00000000">
        <w:rPr>
          <w:rtl w:val="0"/>
        </w:rPr>
        <w:t xml:space="preserve">Nesse caso, caso você tiver efeitos colaterais sérios, reações adversas fortes ou complicações, deverá informar imediatamente a equipe de pesquisa sobre o que está acontecendo. A pessoa deve parar de tomar os remédios conforme instruído e, se necessário, procurar ajuda médica de emergência, tomando como referência a Unidade Básica de Saúde mais próxima ou o Hospital Regional do Paranoá. A equipe de pesquisa deve revisar os registros médicos e ajustar os remédios de acordo com as necessidades médicas para garantir a segurança do participante. </w:t>
      </w:r>
    </w:p>
    <w:p w:rsidR="00000000" w:rsidDel="00000000" w:rsidP="00000000" w:rsidRDefault="00000000" w:rsidRPr="00000000" w14:paraId="000005B1">
      <w:pPr>
        <w:spacing w:line="276" w:lineRule="auto"/>
        <w:ind w:firstLine="708"/>
        <w:jc w:val="both"/>
        <w:rPr/>
      </w:pPr>
      <w:r w:rsidDel="00000000" w:rsidR="00000000" w:rsidRPr="00000000">
        <w:rPr>
          <w:rtl w:val="0"/>
        </w:rPr>
        <w:t xml:space="preserve">Para verificar sua saúde, faremos alguns exames de sangue. Eles são procedimentos comuns e seguros, mas ainda há um pequeno risco de você se sentir desconfortável ou ter alguns machucados, como roxos. Para evitar esses roxos, sugerimos pressionar o lugar onde tiramos o sangue e manter um curativo por uma hora. Também, evite levantar coisas pesadas com o braço onde tiramos o sangue nas próximas 24 horas. Se você continuar sentindo desconforto, nossa equipe o encaminhará para um médico para avaliação. Todos os materiais utilizados serão estéreis e descartáveis. </w:t>
      </w:r>
    </w:p>
    <w:p w:rsidR="00000000" w:rsidDel="00000000" w:rsidP="00000000" w:rsidRDefault="00000000" w:rsidRPr="00000000" w14:paraId="000005B2">
      <w:pPr>
        <w:spacing w:line="276" w:lineRule="auto"/>
        <w:ind w:firstLine="708"/>
        <w:jc w:val="both"/>
        <w:rPr/>
      </w:pPr>
      <w:r w:rsidDel="00000000" w:rsidR="00000000" w:rsidRPr="00000000">
        <w:rPr>
          <w:rtl w:val="0"/>
        </w:rPr>
        <w:t xml:space="preserve">Se ocorrer um problema sério durante o exame de sangue, como muito sangramento, tontura ou desmaio, um profissional de saúde que sabe como ajudar estará por perto para cuidar de você imediatamente. É importante dizer que a coleta de sangue acontecerá em um lugar apropriado e será feita por pessoas especializadas para evitar erros na hora de tirar o sangue ou ter que repetir o procedimento.</w:t>
      </w:r>
    </w:p>
    <w:p w:rsidR="00000000" w:rsidDel="00000000" w:rsidP="00000000" w:rsidRDefault="00000000" w:rsidRPr="00000000" w14:paraId="000005B3">
      <w:pPr>
        <w:spacing w:line="276" w:lineRule="auto"/>
        <w:ind w:firstLine="708"/>
        <w:jc w:val="both"/>
        <w:rPr/>
      </w:pPr>
      <w:r w:rsidDel="00000000" w:rsidR="00000000" w:rsidRPr="00000000">
        <w:rPr>
          <w:rtl w:val="0"/>
        </w:rPr>
        <w:t xml:space="preserve">Assumimos a responsabilidade de cuidar de você e oferecer indenização caso ocorram danos relacionados à pesquisa. Estamos comprometidos em fornecer todos os serviços necessários, como curativos, apoio psicológico e tratamento medicamentoso, para resolver quaisquer problemas que possam surgir durante sua participação na pesquisa.</w:t>
      </w:r>
    </w:p>
    <w:p w:rsidR="00000000" w:rsidDel="00000000" w:rsidP="00000000" w:rsidRDefault="00000000" w:rsidRPr="00000000" w14:paraId="000005B4">
      <w:pPr>
        <w:spacing w:line="276" w:lineRule="auto"/>
        <w:ind w:firstLine="708"/>
        <w:rPr/>
      </w:pPr>
      <w:r w:rsidDel="00000000" w:rsidR="00000000" w:rsidRPr="00000000">
        <w:rPr>
          <w:rtl w:val="0"/>
        </w:rPr>
        <w:t xml:space="preserve">Neste projeto de pesquisa de acompanhamento remoto de pacientes hipertensos, diabéticos e com o colesterol alto entendemos a importância de tornar o acesso à nossa plataforma </w:t>
      </w:r>
      <w:r w:rsidDel="00000000" w:rsidR="00000000" w:rsidRPr="00000000">
        <w:rPr>
          <w:i w:val="1"/>
          <w:rtl w:val="0"/>
        </w:rPr>
        <w:t xml:space="preserve">online</w:t>
      </w:r>
      <w:r w:rsidDel="00000000" w:rsidR="00000000" w:rsidRPr="00000000">
        <w:rPr>
          <w:rtl w:val="0"/>
        </w:rPr>
        <w:t xml:space="preserve"> o mais fácil e acessível possível para todos os participantes. Sabemos que a internet é uma ferramenta essencial para participar do estudo e garantir que você receba o melhor cuidado possível para o controle dessas doenças. </w:t>
      </w:r>
    </w:p>
    <w:p w:rsidR="00000000" w:rsidDel="00000000" w:rsidP="00000000" w:rsidRDefault="00000000" w:rsidRPr="00000000" w14:paraId="000005B5">
      <w:pPr>
        <w:spacing w:line="276" w:lineRule="auto"/>
        <w:ind w:firstLine="708"/>
        <w:jc w:val="both"/>
        <w:rPr/>
      </w:pPr>
      <w:r w:rsidDel="00000000" w:rsidR="00000000" w:rsidRPr="00000000">
        <w:rPr>
          <w:rtl w:val="0"/>
        </w:rPr>
        <w:t xml:space="preserve">Para garantir que a participação no estudo não seja afetada por questões de acesso à internet, assumimos o compromisso de custear os gastos com a sua conexão à internet enquanto você estiver participando ativamente do projeto. Isso significa que não será necessário se preocupar com custos adicionais de internet relacionados à sua participação no estudo.</w:t>
      </w:r>
    </w:p>
    <w:p w:rsidR="00000000" w:rsidDel="00000000" w:rsidP="00000000" w:rsidRDefault="00000000" w:rsidRPr="00000000" w14:paraId="000005B6">
      <w:pPr>
        <w:spacing w:line="276" w:lineRule="auto"/>
        <w:ind w:firstLine="708"/>
        <w:jc w:val="both"/>
        <w:rPr>
          <w:rFonts w:ascii="Calibri" w:cs="Calibri" w:eastAsia="Calibri" w:hAnsi="Calibri"/>
        </w:rPr>
      </w:pPr>
      <w:r w:rsidDel="00000000" w:rsidR="00000000" w:rsidRPr="00000000">
        <w:rPr>
          <w:rtl w:val="0"/>
        </w:rPr>
        <w:t xml:space="preserve">Esta pesquisa não lhe trará custos e é de nossa responsabilidade o ressarcimento de custeio de despesas relacionadas à pesquisa, como deslocamento e alimentação, no valor de R$20,00 (vinte reais) para cada deslocamento. Os valores que serão usados para compensar possíveis danos já estão planejados no orçamento e virão dos programas de apoio.</w:t>
      </w:r>
      <w:r w:rsidDel="00000000" w:rsidR="00000000" w:rsidRPr="00000000">
        <w:rPr>
          <w:rtl w:val="0"/>
        </w:rPr>
      </w:r>
    </w:p>
    <w:p w:rsidR="00000000" w:rsidDel="00000000" w:rsidP="00000000" w:rsidRDefault="00000000" w:rsidRPr="00000000" w14:paraId="000005B7">
      <w:pPr>
        <w:spacing w:line="276" w:lineRule="auto"/>
        <w:ind w:firstLine="708"/>
        <w:jc w:val="both"/>
        <w:rPr/>
      </w:pPr>
      <w:r w:rsidDel="00000000" w:rsidR="00000000" w:rsidRPr="00000000">
        <w:rPr>
          <w:rtl w:val="0"/>
        </w:rPr>
        <w:t xml:space="preserve">Se o pesquisador responsável perceber qualquer risco ou dano importante aos participantes da pesquisa, mesmo que esses riscos não estejam mencionados no documento de autorização que você vai assinar, ele imediatamente informará ao Sistema de Ética em Pesquisa (CEP/CONEP). Eles vão avaliar a situação com urgência e, se for necessário, podem parar ou ajustar o estudo. Se não conseguirmos reunir o número mínimo de pessoas necessárias para a pesquisa, também vamos parar e encerrar o estudo.</w:t>
      </w:r>
    </w:p>
    <w:p w:rsidR="00000000" w:rsidDel="00000000" w:rsidP="00000000" w:rsidRDefault="00000000" w:rsidRPr="00000000" w14:paraId="000005B8">
      <w:pPr>
        <w:spacing w:line="276" w:lineRule="auto"/>
        <w:ind w:firstLine="708"/>
        <w:jc w:val="both"/>
        <w:rPr/>
      </w:pPr>
      <w:r w:rsidDel="00000000" w:rsidR="00000000" w:rsidRPr="00000000">
        <w:rPr>
          <w:rtl w:val="0"/>
        </w:rPr>
        <w:t xml:space="preserve">Se outros pesquisadores notarem que há riscos ou danos à saúde dos participantes que não foram tratados adequadamente, eles também informarão ao CEP de maneira detalhada, e poderemos suspender ou ajustar a pesquisa.</w:t>
      </w:r>
    </w:p>
    <w:p w:rsidR="00000000" w:rsidDel="00000000" w:rsidP="00000000" w:rsidRDefault="00000000" w:rsidRPr="00000000" w14:paraId="000005B9">
      <w:pPr>
        <w:spacing w:line="276" w:lineRule="auto"/>
        <w:ind w:firstLine="708"/>
        <w:jc w:val="both"/>
        <w:rPr/>
      </w:pPr>
      <w:r w:rsidDel="00000000" w:rsidR="00000000" w:rsidRPr="00000000">
        <w:rPr>
          <w:rtl w:val="0"/>
        </w:rPr>
        <w:t xml:space="preserve">Se, por acaso, encontrarmos algum erro ou problema no manuseio ou nos resultados de qualquer participante, imediatamente informaremos às chefias das instituições envolvidas e à clínica médica responsável. Isso garantirá que o participante tenha a chance de ser reavaliado por um profissional competente.</w:t>
      </w:r>
    </w:p>
    <w:p w:rsidR="00000000" w:rsidDel="00000000" w:rsidP="00000000" w:rsidRDefault="00000000" w:rsidRPr="00000000" w14:paraId="000005BA">
      <w:pPr>
        <w:spacing w:line="276" w:lineRule="auto"/>
        <w:ind w:firstLine="708"/>
        <w:jc w:val="both"/>
        <w:rPr/>
      </w:pPr>
      <w:r w:rsidDel="00000000" w:rsidR="00000000" w:rsidRPr="00000000">
        <w:rPr>
          <w:rtl w:val="0"/>
        </w:rPr>
        <w:t xml:space="preserve">O estudo deve levar cerca de dois anos para ser concluído. Os resultados serão compartilhados pelo Instituto Aramari Apo e pela Universidade Católica de Brasília. Poderemos publicar esses resultados mais tarde sem mencionar quem são os participantes. Os dados e materiais usados na pesquisa ficarão em posse segura do pesquisador responsável por cinco anos. Depois desse tempo, todos os materiais serão destruídos, e ninguém mais terá acesso aos seus dados.</w:t>
      </w:r>
    </w:p>
    <w:p w:rsidR="00000000" w:rsidDel="00000000" w:rsidP="00000000" w:rsidRDefault="00000000" w:rsidRPr="00000000" w14:paraId="000005BB">
      <w:pPr>
        <w:spacing w:line="276" w:lineRule="auto"/>
        <w:ind w:firstLine="708"/>
        <w:jc w:val="both"/>
        <w:rPr/>
      </w:pPr>
      <w:r w:rsidDel="00000000" w:rsidR="00000000" w:rsidRPr="00000000">
        <w:rPr>
          <w:rtl w:val="0"/>
        </w:rPr>
        <w:t xml:space="preserve">Se você tiver alguma pergunta sobre a pesquisa, pode entrar em contato com o pesquisador responsável, o Professor Dr. Luiz Sérgio Fernandes de Carvalho, a qualquer momento, antes, durante ou depois do estudo, ligando para (61) 3521-8788 ou (61) 98178-3253 (disponível para ligações à cobrar) ou enviando um e-mail para </w:t>
      </w:r>
      <w:hyperlink r:id="rId27">
        <w:r w:rsidDel="00000000" w:rsidR="00000000" w:rsidRPr="00000000">
          <w:rPr>
            <w:color w:val="0563c1"/>
            <w:u w:val="single"/>
            <w:rtl w:val="0"/>
          </w:rPr>
          <w:t xml:space="preserve">luiz.carvalho@p.ucb.br</w:t>
        </w:r>
      </w:hyperlink>
      <w:r w:rsidDel="00000000" w:rsidR="00000000" w:rsidRPr="00000000">
        <w:rPr>
          <w:rtl w:val="0"/>
        </w:rPr>
        <w:t xml:space="preserve">. Estamos à disposição para esclarecer todas as suas dúvidas.</w:t>
      </w:r>
    </w:p>
    <w:p w:rsidR="00000000" w:rsidDel="00000000" w:rsidP="00000000" w:rsidRDefault="00000000" w:rsidRPr="00000000" w14:paraId="000005BC">
      <w:pPr>
        <w:spacing w:line="276" w:lineRule="auto"/>
        <w:ind w:firstLine="708"/>
        <w:jc w:val="both"/>
        <w:rPr/>
      </w:pPr>
      <w:r w:rsidDel="00000000" w:rsidR="00000000" w:rsidRPr="00000000">
        <w:rPr>
          <w:rtl w:val="0"/>
        </w:rPr>
        <w:t xml:space="preserve">Conforme disposto na Resolução do Conselho Nacional de Saúde n° 466 de 12 de dezembro de 2012 e considerando o respeito pela dignidade humana e pela especial proteção devida aos participantes das pesquisas cientificas envolvendo seres humanos, assim como o desenvolvimento e engajamento ético, inerentes ao desenvolvimento científico, o uso ou divulgação das informações de saúde será unicamente com finalidade de preparo do protocolo de pesquisa. Por isso, os pesquisadores não removerão nenhuma informação que não seja relacionada ao estudo, para isso o acesso solicitado será restrito ao necessário para a pesquisa. </w:t>
      </w:r>
    </w:p>
    <w:p w:rsidR="00000000" w:rsidDel="00000000" w:rsidP="00000000" w:rsidRDefault="00000000" w:rsidRPr="00000000" w14:paraId="000005BD">
      <w:pPr>
        <w:spacing w:line="276" w:lineRule="auto"/>
        <w:ind w:firstLine="708"/>
        <w:jc w:val="both"/>
        <w:rPr/>
      </w:pPr>
      <w:r w:rsidDel="00000000" w:rsidR="00000000" w:rsidRPr="00000000">
        <w:rPr>
          <w:rtl w:val="0"/>
        </w:rPr>
        <w:t xml:space="preserve">Este projeto foi Aprovado pelo Comitê de Ética em Pesquisa da FEPECS (CEP/FEPECS/SES-DF). O CEP é composto por profissionais de diferentes áreas cuja função é defender os interesses dos participantes da pesquisa em sua integridade e dignidade e contribuir no desenvolvimento da pesquisa dentro de padrões éticos. As dúvidas com relação à assinatura deste TCLE ou aos direitos do participante da pesquisa podem ser encaminhadas ao CEP/FEPECS através do e-mail: cep@fepecs.edu.br ou por contato direto pelo telefone: (61) 2017 1145 ramal 6878. Este documento foi elaborado em duas vias, uma ficará com o pesquisador responsável e a outra com o voluntário da pesquisa. Todas as páginas deverão ser rubricadas pelo(a) senhor(a) e pelo pesquisador responsável. </w:t>
      </w:r>
    </w:p>
    <w:p w:rsidR="00000000" w:rsidDel="00000000" w:rsidP="00000000" w:rsidRDefault="00000000" w:rsidRPr="00000000" w14:paraId="000005BE">
      <w:pPr>
        <w:spacing w:after="160" w:lineRule="auto"/>
        <w:jc w:val="both"/>
        <w:rPr>
          <w:i w:val="1"/>
          <w:color w:val="ff0000"/>
          <w:sz w:val="22"/>
          <w:szCs w:val="22"/>
        </w:rPr>
      </w:pPr>
      <w:r w:rsidDel="00000000" w:rsidR="00000000" w:rsidRPr="00000000">
        <w:rPr>
          <w:i w:val="1"/>
          <w:color w:val="ff0000"/>
          <w:sz w:val="22"/>
          <w:szCs w:val="22"/>
          <w:rtl w:val="0"/>
        </w:rPr>
        <w:t xml:space="preserve">  </w:t>
      </w:r>
    </w:p>
    <w:p w:rsidR="00000000" w:rsidDel="00000000" w:rsidP="00000000" w:rsidRDefault="00000000" w:rsidRPr="00000000" w14:paraId="000005BF">
      <w:pPr>
        <w:spacing w:after="160" w:lineRule="auto"/>
        <w:jc w:val="both"/>
        <w:rPr>
          <w:color w:val="000000"/>
        </w:rPr>
      </w:pPr>
      <w:r w:rsidDel="00000000" w:rsidR="00000000" w:rsidRPr="00000000">
        <w:rPr>
          <w:color w:val="000000"/>
          <w:rtl w:val="0"/>
        </w:rPr>
        <w:t xml:space="preserve">Brasília, ____ de __________ de 2023. </w:t>
      </w:r>
    </w:p>
    <w:p w:rsidR="00000000" w:rsidDel="00000000" w:rsidP="00000000" w:rsidRDefault="00000000" w:rsidRPr="00000000" w14:paraId="000005C0">
      <w:pPr>
        <w:spacing w:after="160" w:lineRule="auto"/>
        <w:jc w:val="both"/>
        <w:rPr>
          <w:color w:val="000000"/>
        </w:rPr>
      </w:pPr>
      <w:r w:rsidDel="00000000" w:rsidR="00000000" w:rsidRPr="00000000">
        <w:rPr>
          <w:rtl w:val="0"/>
        </w:rPr>
      </w:r>
    </w:p>
    <w:p w:rsidR="00000000" w:rsidDel="00000000" w:rsidP="00000000" w:rsidRDefault="00000000" w:rsidRPr="00000000" w14:paraId="000005C1">
      <w:pPr>
        <w:spacing w:after="120" w:lineRule="auto"/>
        <w:rPr>
          <w:color w:val="000000"/>
        </w:rPr>
      </w:pPr>
      <w:r w:rsidDel="00000000" w:rsidR="00000000" w:rsidRPr="00000000">
        <w:rPr>
          <w:color w:val="000000"/>
          <w:rtl w:val="0"/>
        </w:rPr>
        <w:t xml:space="preserve">Nome do Pesquisador Responsável: _________________________________________</w:t>
      </w:r>
    </w:p>
    <w:p w:rsidR="00000000" w:rsidDel="00000000" w:rsidP="00000000" w:rsidRDefault="00000000" w:rsidRPr="00000000" w14:paraId="000005C2">
      <w:pPr>
        <w:spacing w:after="120" w:lineRule="auto"/>
        <w:rPr>
          <w:color w:val="000000"/>
        </w:rPr>
      </w:pPr>
      <w:r w:rsidDel="00000000" w:rsidR="00000000" w:rsidRPr="00000000">
        <w:rPr>
          <w:color w:val="000000"/>
          <w:rtl w:val="0"/>
        </w:rPr>
        <w:t xml:space="preserve">Assinatura: _____________________________________________________________</w:t>
      </w:r>
    </w:p>
    <w:p w:rsidR="00000000" w:rsidDel="00000000" w:rsidP="00000000" w:rsidRDefault="00000000" w:rsidRPr="00000000" w14:paraId="000005C3">
      <w:pPr>
        <w:spacing w:after="120" w:lineRule="auto"/>
        <w:rPr>
          <w:color w:val="000000"/>
        </w:rPr>
      </w:pPr>
      <w:r w:rsidDel="00000000" w:rsidR="00000000" w:rsidRPr="00000000">
        <w:rPr>
          <w:rtl w:val="0"/>
        </w:rPr>
      </w:r>
    </w:p>
    <w:p w:rsidR="00000000" w:rsidDel="00000000" w:rsidP="00000000" w:rsidRDefault="00000000" w:rsidRPr="00000000" w14:paraId="000005C4">
      <w:pPr>
        <w:spacing w:after="120" w:lineRule="auto"/>
        <w:rPr>
          <w:color w:val="000000"/>
        </w:rPr>
      </w:pPr>
      <w:r w:rsidDel="00000000" w:rsidR="00000000" w:rsidRPr="00000000">
        <w:rPr>
          <w:color w:val="000000"/>
          <w:rtl w:val="0"/>
        </w:rPr>
        <w:t xml:space="preserve">Eu aceito participar da pesquisa: SIM (  ) NÃO (  ) </w:t>
      </w:r>
    </w:p>
    <w:p w:rsidR="00000000" w:rsidDel="00000000" w:rsidP="00000000" w:rsidRDefault="00000000" w:rsidRPr="00000000" w14:paraId="000005C5">
      <w:pPr>
        <w:spacing w:after="120" w:lineRule="auto"/>
        <w:rPr>
          <w:color w:val="000000"/>
        </w:rPr>
      </w:pPr>
      <w:r w:rsidDel="00000000" w:rsidR="00000000" w:rsidRPr="00000000">
        <w:rPr>
          <w:color w:val="000000"/>
          <w:rtl w:val="0"/>
        </w:rPr>
        <w:t xml:space="preserve">Nome (do participante ou responsável): ______________________________________</w:t>
      </w:r>
    </w:p>
    <w:p w:rsidR="00000000" w:rsidDel="00000000" w:rsidP="00000000" w:rsidRDefault="00000000" w:rsidRPr="00000000" w14:paraId="000005C6">
      <w:pPr>
        <w:spacing w:after="120" w:lineRule="auto"/>
        <w:rPr>
          <w:color w:val="000000"/>
        </w:rPr>
      </w:pPr>
      <w:r w:rsidDel="00000000" w:rsidR="00000000" w:rsidRPr="00000000">
        <w:rPr>
          <w:color w:val="000000"/>
          <w:rtl w:val="0"/>
        </w:rPr>
        <w:t xml:space="preserve">Assinatura: _____________________________________________________________</w:t>
      </w:r>
    </w:p>
    <w:p w:rsidR="00000000" w:rsidDel="00000000" w:rsidP="00000000" w:rsidRDefault="00000000" w:rsidRPr="00000000" w14:paraId="000005C7">
      <w:pPr>
        <w:spacing w:after="120" w:lineRule="auto"/>
        <w:rPr>
          <w:color w:val="000000"/>
        </w:rPr>
      </w:pPr>
      <w:r w:rsidDel="00000000" w:rsidR="00000000" w:rsidRPr="00000000">
        <w:rPr>
          <w:rtl w:val="0"/>
        </w:rPr>
      </w:r>
    </w:p>
    <w:p w:rsidR="00000000" w:rsidDel="00000000" w:rsidP="00000000" w:rsidRDefault="00000000" w:rsidRPr="00000000" w14:paraId="000005C8">
      <w:pPr>
        <w:spacing w:after="120" w:lineRule="auto"/>
        <w:rPr>
          <w:color w:val="000000"/>
        </w:rPr>
      </w:pPr>
      <w:r w:rsidDel="00000000" w:rsidR="00000000" w:rsidRPr="00000000">
        <w:rPr>
          <w:color w:val="000000"/>
          <w:rtl w:val="0"/>
        </w:rPr>
        <w:t xml:space="preserve">No caso de participantes analfabetos: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3175000</wp:posOffset>
                </wp:positionH>
                <wp:positionV relativeFrom="paragraph">
                  <wp:posOffset>76200</wp:posOffset>
                </wp:positionV>
                <wp:extent cx="829945" cy="702945"/>
                <wp:effectExtent b="0" l="0" r="0" t="0"/>
                <wp:wrapNone/>
                <wp:docPr id="2129596933" name=""/>
                <a:graphic>
                  <a:graphicData uri="http://schemas.microsoft.com/office/word/2010/wordprocessingShape">
                    <wps:wsp>
                      <wps:cNvSpPr/>
                      <wps:cNvPr id="6" name="Shape 6"/>
                      <wps:spPr>
                        <a:xfrm>
                          <a:off x="4935790" y="3433290"/>
                          <a:ext cx="820420" cy="693420"/>
                        </a:xfrm>
                        <a:custGeom>
                          <a:rect b="b" l="l" r="r" t="t"/>
                          <a:pathLst>
                            <a:path extrusionOk="0" h="1092" w="1292">
                              <a:moveTo>
                                <a:pt x="1291" y="0"/>
                              </a:moveTo>
                              <a:lnTo>
                                <a:pt x="0" y="0"/>
                              </a:lnTo>
                              <a:lnTo>
                                <a:pt x="0" y="1092"/>
                              </a:lnTo>
                              <a:lnTo>
                                <a:pt x="1291" y="1092"/>
                              </a:lnTo>
                              <a:lnTo>
                                <a:pt x="1291" y="1080"/>
                              </a:lnTo>
                              <a:lnTo>
                                <a:pt x="19" y="1080"/>
                              </a:lnTo>
                              <a:lnTo>
                                <a:pt x="10" y="1071"/>
                              </a:lnTo>
                              <a:lnTo>
                                <a:pt x="19" y="1071"/>
                              </a:lnTo>
                              <a:lnTo>
                                <a:pt x="19" y="20"/>
                              </a:lnTo>
                              <a:lnTo>
                                <a:pt x="10" y="20"/>
                              </a:lnTo>
                              <a:lnTo>
                                <a:pt x="19" y="10"/>
                              </a:lnTo>
                              <a:lnTo>
                                <a:pt x="1291" y="10"/>
                              </a:lnTo>
                              <a:lnTo>
                                <a:pt x="1291" y="0"/>
                              </a:lnTo>
                              <a:close/>
                              <a:moveTo>
                                <a:pt x="19" y="1071"/>
                              </a:moveTo>
                              <a:lnTo>
                                <a:pt x="10" y="1071"/>
                              </a:lnTo>
                              <a:lnTo>
                                <a:pt x="19" y="1080"/>
                              </a:lnTo>
                              <a:lnTo>
                                <a:pt x="19" y="1071"/>
                              </a:lnTo>
                              <a:close/>
                              <a:moveTo>
                                <a:pt x="1272" y="1071"/>
                              </a:moveTo>
                              <a:lnTo>
                                <a:pt x="19" y="1071"/>
                              </a:lnTo>
                              <a:lnTo>
                                <a:pt x="19" y="1080"/>
                              </a:lnTo>
                              <a:lnTo>
                                <a:pt x="1272" y="1080"/>
                              </a:lnTo>
                              <a:lnTo>
                                <a:pt x="1272" y="1071"/>
                              </a:lnTo>
                              <a:close/>
                              <a:moveTo>
                                <a:pt x="1272" y="10"/>
                              </a:moveTo>
                              <a:lnTo>
                                <a:pt x="1272" y="1080"/>
                              </a:lnTo>
                              <a:lnTo>
                                <a:pt x="1282" y="1071"/>
                              </a:lnTo>
                              <a:lnTo>
                                <a:pt x="1291" y="1071"/>
                              </a:lnTo>
                              <a:lnTo>
                                <a:pt x="1291" y="20"/>
                              </a:lnTo>
                              <a:lnTo>
                                <a:pt x="1282" y="20"/>
                              </a:lnTo>
                              <a:lnTo>
                                <a:pt x="1272" y="10"/>
                              </a:lnTo>
                              <a:close/>
                              <a:moveTo>
                                <a:pt x="1291" y="1071"/>
                              </a:moveTo>
                              <a:lnTo>
                                <a:pt x="1282" y="1071"/>
                              </a:lnTo>
                              <a:lnTo>
                                <a:pt x="1272" y="1080"/>
                              </a:lnTo>
                              <a:lnTo>
                                <a:pt x="1291" y="1080"/>
                              </a:lnTo>
                              <a:lnTo>
                                <a:pt x="1291" y="1071"/>
                              </a:lnTo>
                              <a:close/>
                              <a:moveTo>
                                <a:pt x="19" y="10"/>
                              </a:moveTo>
                              <a:lnTo>
                                <a:pt x="10" y="20"/>
                              </a:lnTo>
                              <a:lnTo>
                                <a:pt x="19" y="20"/>
                              </a:lnTo>
                              <a:lnTo>
                                <a:pt x="19" y="10"/>
                              </a:lnTo>
                              <a:close/>
                              <a:moveTo>
                                <a:pt x="1272" y="10"/>
                              </a:moveTo>
                              <a:lnTo>
                                <a:pt x="19" y="10"/>
                              </a:lnTo>
                              <a:lnTo>
                                <a:pt x="19" y="20"/>
                              </a:lnTo>
                              <a:lnTo>
                                <a:pt x="1272" y="20"/>
                              </a:lnTo>
                              <a:lnTo>
                                <a:pt x="1272" y="10"/>
                              </a:lnTo>
                              <a:close/>
                              <a:moveTo>
                                <a:pt x="1291" y="10"/>
                              </a:moveTo>
                              <a:lnTo>
                                <a:pt x="1272" y="10"/>
                              </a:lnTo>
                              <a:lnTo>
                                <a:pt x="1282" y="20"/>
                              </a:lnTo>
                              <a:lnTo>
                                <a:pt x="1291" y="20"/>
                              </a:lnTo>
                              <a:lnTo>
                                <a:pt x="1291" y="10"/>
                              </a:lnTo>
                              <a:close/>
                            </a:path>
                          </a:pathLst>
                        </a:custGeom>
                        <a:solidFill>
                          <a:srgbClr val="40709B"/>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3175000</wp:posOffset>
                </wp:positionH>
                <wp:positionV relativeFrom="paragraph">
                  <wp:posOffset>76200</wp:posOffset>
                </wp:positionV>
                <wp:extent cx="829945" cy="702945"/>
                <wp:effectExtent b="0" l="0" r="0" t="0"/>
                <wp:wrapNone/>
                <wp:docPr id="2129596933" name="image26.png"/>
                <a:graphic>
                  <a:graphicData uri="http://schemas.openxmlformats.org/drawingml/2006/picture">
                    <pic:pic>
                      <pic:nvPicPr>
                        <pic:cNvPr id="0" name="image26.png"/>
                        <pic:cNvPicPr preferRelativeResize="0"/>
                      </pic:nvPicPr>
                      <pic:blipFill>
                        <a:blip r:embed="rId28"/>
                        <a:srcRect/>
                        <a:stretch>
                          <a:fillRect/>
                        </a:stretch>
                      </pic:blipFill>
                      <pic:spPr>
                        <a:xfrm>
                          <a:off x="0" y="0"/>
                          <a:ext cx="829945" cy="702945"/>
                        </a:xfrm>
                        <a:prstGeom prst="rect"/>
                        <a:ln/>
                      </pic:spPr>
                    </pic:pic>
                  </a:graphicData>
                </a:graphic>
              </wp:anchor>
            </w:drawing>
          </mc:Fallback>
        </mc:AlternateContent>
      </w:r>
    </w:p>
    <w:p w:rsidR="00000000" w:rsidDel="00000000" w:rsidP="00000000" w:rsidRDefault="00000000" w:rsidRPr="00000000" w14:paraId="000005C9">
      <w:pPr>
        <w:spacing w:after="120" w:lineRule="auto"/>
        <w:rPr>
          <w:color w:val="000000"/>
        </w:rPr>
      </w:pPr>
      <w:r w:rsidDel="00000000" w:rsidR="00000000" w:rsidRPr="00000000">
        <w:rPr>
          <w:color w:val="000000"/>
          <w:rtl w:val="0"/>
        </w:rPr>
        <w:t xml:space="preserve">Assinatura Dactiloscópica:</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B">
      <w:pPr>
        <w:pStyle w:val="Heading1"/>
        <w:spacing w:after="120" w:lineRule="auto"/>
        <w:jc w:val="center"/>
        <w:rPr>
          <w:rFonts w:ascii="Times New Roman" w:cs="Times New Roman" w:eastAsia="Times New Roman" w:hAnsi="Times New Roman"/>
          <w:sz w:val="24"/>
          <w:szCs w:val="24"/>
          <w:u w:val="single"/>
        </w:rPr>
      </w:pPr>
      <w:bookmarkStart w:colFirst="0" w:colLast="0" w:name="_heading=h.xvir7l" w:id="73"/>
      <w:bookmarkEnd w:id="73"/>
      <w:r w:rsidDel="00000000" w:rsidR="00000000" w:rsidRPr="00000000">
        <w:rPr>
          <w:rFonts w:ascii="Times New Roman" w:cs="Times New Roman" w:eastAsia="Times New Roman" w:hAnsi="Times New Roman"/>
          <w:sz w:val="24"/>
          <w:szCs w:val="24"/>
          <w:u w:val="single"/>
          <w:rtl w:val="0"/>
        </w:rPr>
        <w:t xml:space="preserve">APÊNDICE II - PLANO DE ATIVIDADES DA COMISSÃO INDEPENDENTE DE MONITORAMENTO E SEGURANÇA - CIMS</w:t>
      </w:r>
    </w:p>
    <w:p w:rsidR="00000000" w:rsidDel="00000000" w:rsidP="00000000" w:rsidRDefault="00000000" w:rsidRPr="00000000" w14:paraId="000005CC">
      <w:pPr>
        <w:pBdr>
          <w:top w:space="0" w:sz="0" w:val="nil"/>
          <w:left w:space="0" w:sz="0" w:val="nil"/>
          <w:bottom w:space="0" w:sz="0" w:val="nil"/>
          <w:right w:space="0" w:sz="0" w:val="nil"/>
          <w:between w:space="0" w:sz="0" w:val="nil"/>
        </w:pBdr>
        <w:spacing w:line="360" w:lineRule="auto"/>
        <w:jc w:val="both"/>
        <w:rPr>
          <w:color w:val="000000"/>
          <w:u w:val="single"/>
        </w:rPr>
      </w:pPr>
      <w:r w:rsidDel="00000000" w:rsidR="00000000" w:rsidRPr="00000000">
        <w:rPr>
          <w:rtl w:val="0"/>
        </w:rPr>
      </w:r>
    </w:p>
    <w:p w:rsidR="00000000" w:rsidDel="00000000" w:rsidP="00000000" w:rsidRDefault="00000000" w:rsidRPr="00000000" w14:paraId="000005C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Da Constituição</w:t>
      </w:r>
    </w:p>
    <w:p w:rsidR="00000000" w:rsidDel="00000000" w:rsidP="00000000" w:rsidRDefault="00000000" w:rsidRPr="00000000" w14:paraId="000005CE">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 Comissão Independente de Monitoramento e Segurança será composta por membros da comunidade científica que não possuem vínculo com o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Aramari apo Institute for Healthcare Research</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ou com a Universidade Católica de Brasília e terá a sua vigência durante o período do protocolo proposto.</w:t>
      </w:r>
    </w:p>
    <w:p w:rsidR="00000000" w:rsidDel="00000000" w:rsidP="00000000" w:rsidRDefault="00000000" w:rsidRPr="00000000" w14:paraId="000005CF">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Será composta minimamente pelo Presidente (a ser convidado pelo Comitê Diretivo), que deve ser um médico pesquisador experiente na área relacionada ao estudo, que ocupe um cargo de gestão em uma instituição de reconhecida excelência, e pelos seguintes membros:</w:t>
      </w:r>
    </w:p>
    <w:p w:rsidR="00000000" w:rsidDel="00000000" w:rsidP="00000000" w:rsidRDefault="00000000" w:rsidRPr="00000000" w14:paraId="000005D0">
      <w:pPr>
        <w:keepNext w:val="0"/>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0" w:before="0" w:line="360" w:lineRule="auto"/>
        <w:ind w:left="2160" w:right="0" w:firstLine="708.9999999999998"/>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Outro médico pesquisador experiente na área do estudo;</w:t>
      </w:r>
    </w:p>
    <w:p w:rsidR="00000000" w:rsidDel="00000000" w:rsidP="00000000" w:rsidRDefault="00000000" w:rsidRPr="00000000" w14:paraId="000005D1">
      <w:pPr>
        <w:keepNext w:val="0"/>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0" w:before="0" w:line="360" w:lineRule="auto"/>
        <w:ind w:left="2160" w:right="0" w:firstLine="708.9999999999998"/>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Epidemiologista clínico;</w:t>
      </w:r>
    </w:p>
    <w:p w:rsidR="00000000" w:rsidDel="00000000" w:rsidP="00000000" w:rsidRDefault="00000000" w:rsidRPr="00000000" w14:paraId="000005D2">
      <w:pPr>
        <w:keepNext w:val="0"/>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0" w:before="0" w:line="360" w:lineRule="auto"/>
        <w:ind w:left="2160" w:right="0" w:firstLine="708.9999999999998"/>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Estatístico com experiência em análises de estudos randomizados;</w:t>
      </w:r>
    </w:p>
    <w:p w:rsidR="00000000" w:rsidDel="00000000" w:rsidP="00000000" w:rsidRDefault="00000000" w:rsidRPr="00000000" w14:paraId="000005D3">
      <w:pPr>
        <w:keepNext w:val="0"/>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0" w:before="0" w:line="360" w:lineRule="auto"/>
        <w:ind w:left="2160" w:right="0" w:firstLine="708.9999999999998"/>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Especialista em Bioética e Boas Práticas em Pesquisa Clínica.</w:t>
      </w:r>
    </w:p>
    <w:p w:rsidR="00000000" w:rsidDel="00000000" w:rsidP="00000000" w:rsidRDefault="00000000" w:rsidRPr="00000000" w14:paraId="000005D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Do objetivo</w:t>
      </w:r>
    </w:p>
    <w:p w:rsidR="00000000" w:rsidDel="00000000" w:rsidP="00000000" w:rsidRDefault="00000000" w:rsidRPr="00000000" w14:paraId="000005D5">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Assegurar os interesses do Participante de Pesquisa.</w:t>
      </w:r>
    </w:p>
    <w:p w:rsidR="00000000" w:rsidDel="00000000" w:rsidP="00000000" w:rsidRDefault="00000000" w:rsidRPr="00000000" w14:paraId="000005D6">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Analisar e monitorar todos os eventos adversos e desfechos de segurança durante a vigência do protocolo TAMIS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trial.</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5D7">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Avaliar o status do estudo. </w:t>
      </w:r>
    </w:p>
    <w:p w:rsidR="00000000" w:rsidDel="00000000" w:rsidP="00000000" w:rsidRDefault="00000000" w:rsidRPr="00000000" w14:paraId="000005D8">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Analisar a taxa de recrutamento.</w:t>
      </w:r>
    </w:p>
    <w:p w:rsidR="00000000" w:rsidDel="00000000" w:rsidP="00000000" w:rsidRDefault="00000000" w:rsidRPr="00000000" w14:paraId="000005D9">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Analisar taxa de adesão ao protocolo.</w:t>
      </w:r>
    </w:p>
    <w:p w:rsidR="00000000" w:rsidDel="00000000" w:rsidP="00000000" w:rsidRDefault="00000000" w:rsidRPr="00000000" w14:paraId="000005DA">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Analisar a qualidade dos dados.</w:t>
      </w:r>
    </w:p>
    <w:p w:rsidR="00000000" w:rsidDel="00000000" w:rsidP="00000000" w:rsidRDefault="00000000" w:rsidRPr="00000000" w14:paraId="000005DB">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Analisar as perdas de seguimento.</w:t>
      </w:r>
    </w:p>
    <w:p w:rsidR="00000000" w:rsidDel="00000000" w:rsidP="00000000" w:rsidRDefault="00000000" w:rsidRPr="00000000" w14:paraId="000005DC">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Analisar a ocorrências e os desfechos de segurança.</w:t>
      </w:r>
    </w:p>
    <w:p w:rsidR="00000000" w:rsidDel="00000000" w:rsidP="00000000" w:rsidRDefault="00000000" w:rsidRPr="00000000" w14:paraId="000005DD">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Analisar problemas específicos com centros participantes e outros aspectos que sejam julgados relevantes pela comissão</w:t>
      </w:r>
    </w:p>
    <w:p w:rsidR="00000000" w:rsidDel="00000000" w:rsidP="00000000" w:rsidRDefault="00000000" w:rsidRPr="00000000" w14:paraId="000005DE">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Deliberar sobre a interrupção em caso de:</w:t>
      </w:r>
    </w:p>
    <w:p w:rsidR="00000000" w:rsidDel="00000000" w:rsidP="00000000" w:rsidRDefault="00000000" w:rsidRPr="00000000" w14:paraId="000005DF">
      <w:pPr>
        <w:keepNext w:val="0"/>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0" w:before="0" w:line="360" w:lineRule="auto"/>
        <w:ind w:left="2160" w:right="0" w:hanging="18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HR &gt; 3.0 até o momento onde houver &lt;50 eventos clínico;</w:t>
      </w:r>
    </w:p>
    <w:p w:rsidR="00000000" w:rsidDel="00000000" w:rsidP="00000000" w:rsidRDefault="00000000" w:rsidRPr="00000000" w14:paraId="000005E0">
      <w:pPr>
        <w:keepNext w:val="0"/>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0" w:before="0" w:line="360" w:lineRule="auto"/>
        <w:ind w:left="2160" w:right="0" w:hanging="18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HR &gt; 2.0 até o momento onde houver de 50-100 eventos clínicos.</w:t>
      </w:r>
    </w:p>
    <w:p w:rsidR="00000000" w:rsidDel="00000000" w:rsidP="00000000" w:rsidRDefault="00000000" w:rsidRPr="00000000" w14:paraId="000005E1">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Aconselhar o patrocinador e o pesquisador principal, com base na análise dos dados acumulados, sobre a interrupção do estudo quando for constatado que não será possível alcançar os objetivos propostos ou quando um critério estatístico indicar que o estudo pode ou deve ser interrompido para evitar que os participantes da pesquisa corram um risco desnecessário ou porque o efeito da intervenção é tão eficaz que mais dados são desnecessários.</w:t>
      </w:r>
    </w:p>
    <w:p w:rsidR="00000000" w:rsidDel="00000000" w:rsidP="00000000" w:rsidRDefault="00000000" w:rsidRPr="00000000" w14:paraId="000005E2">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Produzir relatórios para o Patrocinador, Núcleo de Segurança e Qualidade e Pesquisador principal.</w:t>
      </w:r>
    </w:p>
    <w:p w:rsidR="00000000" w:rsidDel="00000000" w:rsidP="00000000" w:rsidRDefault="00000000" w:rsidRPr="00000000" w14:paraId="000005E3">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Requerer qualquer informação, que julgue necessário, junto ao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Aramari apo Institute for Healthcare Research</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e aos pesquisadores responsáveis pelo protocolo.</w:t>
      </w:r>
    </w:p>
    <w:p w:rsidR="00000000" w:rsidDel="00000000" w:rsidP="00000000" w:rsidRDefault="00000000" w:rsidRPr="00000000" w14:paraId="000005E4">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Registrar suas deliberações em ata.</w:t>
      </w:r>
    </w:p>
    <w:p w:rsidR="00000000" w:rsidDel="00000000" w:rsidP="00000000" w:rsidRDefault="00000000" w:rsidRPr="00000000" w14:paraId="000005E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Do regimento</w:t>
      </w:r>
    </w:p>
    <w:p w:rsidR="00000000" w:rsidDel="00000000" w:rsidP="00000000" w:rsidRDefault="00000000" w:rsidRPr="00000000" w14:paraId="000005E6">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 comissão terá regimento próprio que deverá contemplar as Diretrizes de Monitoramento Estatístico e o Plano de Análise Estatística.</w:t>
      </w:r>
    </w:p>
    <w:p w:rsidR="00000000" w:rsidDel="00000000" w:rsidP="00000000" w:rsidRDefault="00000000" w:rsidRPr="00000000" w14:paraId="000005E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Do plano de análise</w:t>
      </w:r>
    </w:p>
    <w:p w:rsidR="00000000" w:rsidDel="00000000" w:rsidP="00000000" w:rsidRDefault="00000000" w:rsidRPr="00000000" w14:paraId="000005E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 comissão se reunirá bimestralmente apartir da dada de aprovação do protocolo e terá sete dias para realizar a análise e fazer suas considerações. </w:t>
      </w:r>
    </w:p>
    <w:p w:rsidR="00000000" w:rsidDel="00000000" w:rsidP="00000000" w:rsidRDefault="00000000" w:rsidRPr="00000000" w14:paraId="000005E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 CIMS poderá realizar auditorias extemporâneas ou quando solicitado pelo Núcleo de Segurança e Qualidade do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Aramari apo Institute for Healthcare Research</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5E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 LaDa:QCOR do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Aramari apo Institute for Healthcare Research</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terá 24 horas para submeter, após o recebimento, o relatório da comissão à CONEP, via Plataforma Brasil. </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E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Cronograma de análises interinas</w:t>
      </w:r>
    </w:p>
    <w:tbl>
      <w:tblPr>
        <w:tblStyle w:val="Table4"/>
        <w:tblW w:w="8581.000000000002" w:type="dxa"/>
        <w:jc w:val="center"/>
        <w:tblBorders>
          <w:top w:color="333e48" w:space="0" w:sz="8" w:val="single"/>
          <w:left w:color="333e48" w:space="0" w:sz="8" w:val="single"/>
          <w:bottom w:color="333e48" w:space="0" w:sz="8" w:val="single"/>
          <w:right w:color="333e48" w:space="0" w:sz="8" w:val="single"/>
          <w:insideH w:color="ffffff" w:space="0" w:sz="4" w:val="single"/>
          <w:insideV w:color="ffffff" w:space="0" w:sz="4" w:val="single"/>
        </w:tblBorders>
        <w:tblLayout w:type="fixed"/>
        <w:tblLook w:val="04A0"/>
      </w:tblPr>
      <w:tblGrid>
        <w:gridCol w:w="3133"/>
        <w:gridCol w:w="669"/>
        <w:gridCol w:w="607"/>
        <w:gridCol w:w="758"/>
        <w:gridCol w:w="687"/>
        <w:gridCol w:w="679"/>
        <w:gridCol w:w="642"/>
        <w:gridCol w:w="692"/>
        <w:gridCol w:w="714"/>
        <w:tblGridChange w:id="0">
          <w:tblGrid>
            <w:gridCol w:w="3133"/>
            <w:gridCol w:w="669"/>
            <w:gridCol w:w="607"/>
            <w:gridCol w:w="758"/>
            <w:gridCol w:w="687"/>
            <w:gridCol w:w="679"/>
            <w:gridCol w:w="642"/>
            <w:gridCol w:w="692"/>
            <w:gridCol w:w="714"/>
          </w:tblGrid>
        </w:tblGridChange>
      </w:tblGrid>
      <w:tr>
        <w:trPr>
          <w:cantSplit w:val="1"/>
          <w:trHeight w:val="280" w:hRule="atLeast"/>
          <w:tblHeader w:val="0"/>
        </w:trPr>
        <w:tc>
          <w:tcPr>
            <w:shd w:fill="d1d8de" w:val="clear"/>
            <w:vAlign w:val="bottom"/>
          </w:tcPr>
          <w:p w:rsidR="00000000" w:rsidDel="00000000" w:rsidP="00000000" w:rsidRDefault="00000000" w:rsidRPr="00000000" w14:paraId="000005ED">
            <w:pPr>
              <w:spacing w:line="276" w:lineRule="auto"/>
              <w:jc w:val="center"/>
              <w:rPr>
                <w:rFonts w:ascii="Times New Roman" w:cs="Times New Roman" w:eastAsia="Times New Roman" w:hAnsi="Times New Roman"/>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Etapa</w:t>
            </w:r>
            <w:r w:rsidDel="00000000" w:rsidR="00000000" w:rsidRPr="00000000">
              <w:rPr>
                <w:rtl w:val="0"/>
              </w:rPr>
            </w:r>
          </w:p>
        </w:tc>
        <w:tc>
          <w:tcPr>
            <w:shd w:fill="d1d8de" w:val="clear"/>
          </w:tcPr>
          <w:p w:rsidR="00000000" w:rsidDel="00000000" w:rsidP="00000000" w:rsidRDefault="00000000" w:rsidRPr="00000000" w14:paraId="000005EE">
            <w:pPr>
              <w:spacing w:line="276" w:lineRule="auto"/>
              <w:jc w:val="center"/>
              <w:rPr>
                <w:rFonts w:ascii="Times New Roman" w:cs="Times New Roman" w:eastAsia="Times New Roman" w:hAnsi="Times New Roman"/>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Dez</w:t>
            </w:r>
            <w:r w:rsidDel="00000000" w:rsidR="00000000" w:rsidRPr="00000000">
              <w:rPr>
                <w:rtl w:val="0"/>
              </w:rPr>
            </w:r>
          </w:p>
          <w:p w:rsidR="00000000" w:rsidDel="00000000" w:rsidP="00000000" w:rsidRDefault="00000000" w:rsidRPr="00000000" w14:paraId="000005EF">
            <w:pPr>
              <w:spacing w:line="276" w:lineRule="auto"/>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23</w:t>
            </w:r>
          </w:p>
        </w:tc>
        <w:tc>
          <w:tcPr>
            <w:shd w:fill="d1d8de" w:val="clear"/>
          </w:tcPr>
          <w:p w:rsidR="00000000" w:rsidDel="00000000" w:rsidP="00000000" w:rsidRDefault="00000000" w:rsidRPr="00000000" w14:paraId="000005F0">
            <w:pPr>
              <w:spacing w:line="276" w:lineRule="auto"/>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Jan</w:t>
            </w:r>
          </w:p>
          <w:p w:rsidR="00000000" w:rsidDel="00000000" w:rsidP="00000000" w:rsidRDefault="00000000" w:rsidRPr="00000000" w14:paraId="000005F1">
            <w:pPr>
              <w:spacing w:line="276" w:lineRule="auto"/>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24</w:t>
            </w:r>
          </w:p>
        </w:tc>
        <w:tc>
          <w:tcPr>
            <w:shd w:fill="d1d8de" w:val="clear"/>
          </w:tcPr>
          <w:p w:rsidR="00000000" w:rsidDel="00000000" w:rsidP="00000000" w:rsidRDefault="00000000" w:rsidRPr="00000000" w14:paraId="000005F2">
            <w:pPr>
              <w:spacing w:line="276" w:lineRule="auto"/>
              <w:ind w:left="72"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Abr</w:t>
            </w:r>
          </w:p>
          <w:p w:rsidR="00000000" w:rsidDel="00000000" w:rsidP="00000000" w:rsidRDefault="00000000" w:rsidRPr="00000000" w14:paraId="000005F3">
            <w:pPr>
              <w:spacing w:line="276" w:lineRule="auto"/>
              <w:ind w:left="72"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24</w:t>
            </w:r>
          </w:p>
        </w:tc>
        <w:tc>
          <w:tcPr>
            <w:shd w:fill="d1d8de" w:val="clear"/>
          </w:tcPr>
          <w:p w:rsidR="00000000" w:rsidDel="00000000" w:rsidP="00000000" w:rsidRDefault="00000000" w:rsidRPr="00000000" w14:paraId="000005F4">
            <w:pPr>
              <w:spacing w:line="276" w:lineRule="auto"/>
              <w:ind w:left="48"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Jun</w:t>
            </w:r>
          </w:p>
          <w:p w:rsidR="00000000" w:rsidDel="00000000" w:rsidP="00000000" w:rsidRDefault="00000000" w:rsidRPr="00000000" w14:paraId="000005F5">
            <w:pPr>
              <w:spacing w:line="276" w:lineRule="auto"/>
              <w:ind w:left="48"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24</w:t>
            </w:r>
          </w:p>
        </w:tc>
        <w:tc>
          <w:tcPr>
            <w:shd w:fill="d1d8de" w:val="clear"/>
          </w:tcPr>
          <w:p w:rsidR="00000000" w:rsidDel="00000000" w:rsidP="00000000" w:rsidRDefault="00000000" w:rsidRPr="00000000" w14:paraId="000005F6">
            <w:pPr>
              <w:spacing w:line="276" w:lineRule="auto"/>
              <w:ind w:left="25"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Out</w:t>
            </w:r>
          </w:p>
          <w:p w:rsidR="00000000" w:rsidDel="00000000" w:rsidP="00000000" w:rsidRDefault="00000000" w:rsidRPr="00000000" w14:paraId="000005F7">
            <w:pPr>
              <w:spacing w:line="276" w:lineRule="auto"/>
              <w:ind w:left="25"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24</w:t>
            </w:r>
          </w:p>
        </w:tc>
        <w:tc>
          <w:tcPr>
            <w:shd w:fill="d1d8de" w:val="clear"/>
          </w:tcPr>
          <w:p w:rsidR="00000000" w:rsidDel="00000000" w:rsidP="00000000" w:rsidRDefault="00000000" w:rsidRPr="00000000" w14:paraId="000005F8">
            <w:pPr>
              <w:spacing w:line="276" w:lineRule="auto"/>
              <w:ind w:left="25"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Jan</w:t>
            </w:r>
          </w:p>
          <w:p w:rsidR="00000000" w:rsidDel="00000000" w:rsidP="00000000" w:rsidRDefault="00000000" w:rsidRPr="00000000" w14:paraId="000005F9">
            <w:pPr>
              <w:spacing w:line="276" w:lineRule="auto"/>
              <w:ind w:left="25"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25</w:t>
            </w:r>
          </w:p>
        </w:tc>
        <w:tc>
          <w:tcPr>
            <w:shd w:fill="d1d8de" w:val="clear"/>
          </w:tcPr>
          <w:p w:rsidR="00000000" w:rsidDel="00000000" w:rsidP="00000000" w:rsidRDefault="00000000" w:rsidRPr="00000000" w14:paraId="000005FA">
            <w:pPr>
              <w:spacing w:line="276" w:lineRule="auto"/>
              <w:ind w:left="25"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Abr</w:t>
            </w:r>
          </w:p>
          <w:p w:rsidR="00000000" w:rsidDel="00000000" w:rsidP="00000000" w:rsidRDefault="00000000" w:rsidRPr="00000000" w14:paraId="000005FB">
            <w:pPr>
              <w:spacing w:line="276" w:lineRule="auto"/>
              <w:ind w:left="25"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25</w:t>
            </w:r>
          </w:p>
        </w:tc>
        <w:tc>
          <w:tcPr>
            <w:shd w:fill="d1d8de" w:val="clear"/>
          </w:tcPr>
          <w:p w:rsidR="00000000" w:rsidDel="00000000" w:rsidP="00000000" w:rsidRDefault="00000000" w:rsidRPr="00000000" w14:paraId="000005FC">
            <w:pPr>
              <w:spacing w:line="276" w:lineRule="auto"/>
              <w:ind w:left="25" w:firstLine="0"/>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Dez</w:t>
            </w:r>
          </w:p>
          <w:p w:rsidR="00000000" w:rsidDel="00000000" w:rsidP="00000000" w:rsidRDefault="00000000" w:rsidRPr="00000000" w14:paraId="000005FD">
            <w:pPr>
              <w:spacing w:line="276" w:lineRule="auto"/>
              <w:jc w:val="center"/>
              <w:rPr>
                <w:rFonts w:ascii="Times New Roman" w:cs="Times New Roman" w:eastAsia="Times New Roman" w:hAnsi="Times New Roman"/>
                <w:b w:val="0"/>
                <w:color w:val="000000"/>
                <w:sz w:val="16"/>
                <w:szCs w:val="16"/>
                <w:u w:val="single"/>
              </w:rPr>
            </w:pPr>
            <w:r w:rsidDel="00000000" w:rsidR="00000000" w:rsidRPr="00000000">
              <w:rPr>
                <w:rFonts w:ascii="Times New Roman" w:cs="Times New Roman" w:eastAsia="Times New Roman" w:hAnsi="Times New Roman"/>
                <w:b w:val="0"/>
                <w:color w:val="000000"/>
                <w:sz w:val="16"/>
                <w:szCs w:val="16"/>
                <w:u w:val="single"/>
                <w:rtl w:val="0"/>
              </w:rPr>
              <w:t xml:space="preserve">25</w:t>
            </w:r>
          </w:p>
        </w:tc>
      </w:tr>
      <w:tr>
        <w:trPr>
          <w:cantSplit w:val="1"/>
          <w:trHeight w:val="508" w:hRule="atLeast"/>
          <w:tblHeader w:val="0"/>
        </w:trPr>
        <w:tc>
          <w:tcPr>
            <w:vAlign w:val="bottom"/>
          </w:tcPr>
          <w:p w:rsidR="00000000" w:rsidDel="00000000" w:rsidP="00000000" w:rsidRDefault="00000000" w:rsidRPr="00000000" w14:paraId="000005FE">
            <w:pPr>
              <w:spacing w:line="276" w:lineRule="auto"/>
              <w:jc w:val="center"/>
              <w:rPr>
                <w:rFonts w:ascii="Times New Roman" w:cs="Times New Roman" w:eastAsia="Times New Roman" w:hAnsi="Times New Roman"/>
                <w:sz w:val="16"/>
                <w:szCs w:val="16"/>
                <w:u w:val="single"/>
              </w:rPr>
            </w:pPr>
            <w:r w:rsidDel="00000000" w:rsidR="00000000" w:rsidRPr="00000000">
              <w:rPr>
                <w:rFonts w:ascii="Times New Roman" w:cs="Times New Roman" w:eastAsia="Times New Roman" w:hAnsi="Times New Roman"/>
                <w:b w:val="0"/>
                <w:sz w:val="16"/>
                <w:szCs w:val="16"/>
                <w:u w:val="single"/>
                <w:rtl w:val="0"/>
              </w:rPr>
              <w:t xml:space="preserve">Aprovação pelo CEP (prevista)</w:t>
            </w:r>
            <w:r w:rsidDel="00000000" w:rsidR="00000000" w:rsidRPr="00000000">
              <w:rPr>
                <w:rtl w:val="0"/>
              </w:rPr>
            </w:r>
          </w:p>
        </w:tc>
        <w:tc>
          <w:tcPr>
            <w:shd w:fill="000000" w:val="clear"/>
          </w:tcPr>
          <w:p w:rsidR="00000000" w:rsidDel="00000000" w:rsidP="00000000" w:rsidRDefault="00000000" w:rsidRPr="00000000" w14:paraId="000005FF">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000000" w:val="clear"/>
          </w:tcPr>
          <w:p w:rsidR="00000000" w:rsidDel="00000000" w:rsidP="00000000" w:rsidRDefault="00000000" w:rsidRPr="00000000" w14:paraId="00000600">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01">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02">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03">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04">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05">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06">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r>
      <w:tr>
        <w:trPr>
          <w:cantSplit w:val="1"/>
          <w:trHeight w:val="545" w:hRule="atLeast"/>
          <w:tblHeader w:val="0"/>
        </w:trPr>
        <w:tc>
          <w:tcPr>
            <w:vAlign w:val="bottom"/>
          </w:tcPr>
          <w:p w:rsidR="00000000" w:rsidDel="00000000" w:rsidP="00000000" w:rsidRDefault="00000000" w:rsidRPr="00000000" w14:paraId="00000607">
            <w:pPr>
              <w:spacing w:line="276" w:lineRule="auto"/>
              <w:jc w:val="center"/>
              <w:rPr>
                <w:rFonts w:ascii="Times New Roman" w:cs="Times New Roman" w:eastAsia="Times New Roman" w:hAnsi="Times New Roman"/>
                <w:sz w:val="16"/>
                <w:szCs w:val="16"/>
                <w:u w:val="single"/>
              </w:rPr>
            </w:pPr>
            <w:r w:rsidDel="00000000" w:rsidR="00000000" w:rsidRPr="00000000">
              <w:rPr>
                <w:rFonts w:ascii="Times New Roman" w:cs="Times New Roman" w:eastAsia="Times New Roman" w:hAnsi="Times New Roman"/>
                <w:sz w:val="16"/>
                <w:szCs w:val="16"/>
                <w:u w:val="single"/>
                <w:rtl w:val="0"/>
              </w:rPr>
              <w:t xml:space="preserve">Início do estudo</w:t>
            </w:r>
          </w:p>
        </w:tc>
        <w:tc>
          <w:tcPr>
            <w:shd w:fill="auto" w:val="clear"/>
          </w:tcPr>
          <w:p w:rsidR="00000000" w:rsidDel="00000000" w:rsidP="00000000" w:rsidRDefault="00000000" w:rsidRPr="00000000" w14:paraId="00000608">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09">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000000" w:val="clear"/>
          </w:tcPr>
          <w:p w:rsidR="00000000" w:rsidDel="00000000" w:rsidP="00000000" w:rsidRDefault="00000000" w:rsidRPr="00000000" w14:paraId="0000060A">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000000" w:val="clear"/>
          </w:tcPr>
          <w:p w:rsidR="00000000" w:rsidDel="00000000" w:rsidP="00000000" w:rsidRDefault="00000000" w:rsidRPr="00000000" w14:paraId="0000060B">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0C">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0D">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0E">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0F">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r>
      <w:tr>
        <w:trPr>
          <w:cantSplit w:val="1"/>
          <w:trHeight w:val="545" w:hRule="atLeast"/>
          <w:tblHeader w:val="0"/>
        </w:trPr>
        <w:tc>
          <w:tcPr>
            <w:vAlign w:val="bottom"/>
          </w:tcPr>
          <w:p w:rsidR="00000000" w:rsidDel="00000000" w:rsidP="00000000" w:rsidRDefault="00000000" w:rsidRPr="00000000" w14:paraId="00000610">
            <w:pPr>
              <w:spacing w:line="276" w:lineRule="auto"/>
              <w:jc w:val="center"/>
              <w:rPr>
                <w:rFonts w:ascii="Times New Roman" w:cs="Times New Roman" w:eastAsia="Times New Roman" w:hAnsi="Times New Roman"/>
                <w:sz w:val="16"/>
                <w:szCs w:val="16"/>
                <w:u w:val="single"/>
              </w:rPr>
            </w:pPr>
            <w:r w:rsidDel="00000000" w:rsidR="00000000" w:rsidRPr="00000000">
              <w:rPr>
                <w:rFonts w:ascii="Times New Roman" w:cs="Times New Roman" w:eastAsia="Times New Roman" w:hAnsi="Times New Roman"/>
                <w:b w:val="0"/>
                <w:sz w:val="16"/>
                <w:szCs w:val="16"/>
                <w:u w:val="single"/>
                <w:rtl w:val="0"/>
              </w:rPr>
              <w:t xml:space="preserve">Análises Interinas da CIMS</w:t>
            </w:r>
            <w:r w:rsidDel="00000000" w:rsidR="00000000" w:rsidRPr="00000000">
              <w:rPr>
                <w:rtl w:val="0"/>
              </w:rPr>
            </w:r>
          </w:p>
        </w:tc>
        <w:tc>
          <w:tcPr/>
          <w:p w:rsidR="00000000" w:rsidDel="00000000" w:rsidP="00000000" w:rsidRDefault="00000000" w:rsidRPr="00000000" w14:paraId="00000611">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12">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13">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14">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000000" w:val="clear"/>
          </w:tcPr>
          <w:p w:rsidR="00000000" w:rsidDel="00000000" w:rsidP="00000000" w:rsidRDefault="00000000" w:rsidRPr="00000000" w14:paraId="00000615">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16">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shd w:fill="000000" w:val="clear"/>
          </w:tcPr>
          <w:p w:rsidR="00000000" w:rsidDel="00000000" w:rsidP="00000000" w:rsidRDefault="00000000" w:rsidRPr="00000000" w14:paraId="00000617">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p w:rsidR="00000000" w:rsidDel="00000000" w:rsidP="00000000" w:rsidRDefault="00000000" w:rsidRPr="00000000" w14:paraId="00000618">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r>
      <w:tr>
        <w:trPr>
          <w:cantSplit w:val="1"/>
          <w:trHeight w:val="545" w:hRule="atLeast"/>
          <w:tblHeader w:val="0"/>
        </w:trPr>
        <w:tc>
          <w:tcPr>
            <w:shd w:fill="auto" w:val="clear"/>
            <w:vAlign w:val="bottom"/>
          </w:tcPr>
          <w:p w:rsidR="00000000" w:rsidDel="00000000" w:rsidP="00000000" w:rsidRDefault="00000000" w:rsidRPr="00000000" w14:paraId="00000619">
            <w:pPr>
              <w:spacing w:line="276" w:lineRule="auto"/>
              <w:jc w:val="center"/>
              <w:rPr>
                <w:rFonts w:ascii="Times New Roman" w:cs="Times New Roman" w:eastAsia="Times New Roman" w:hAnsi="Times New Roman"/>
                <w:sz w:val="16"/>
                <w:szCs w:val="16"/>
                <w:u w:val="single"/>
              </w:rPr>
            </w:pPr>
            <w:r w:rsidDel="00000000" w:rsidR="00000000" w:rsidRPr="00000000">
              <w:rPr>
                <w:rFonts w:ascii="Times New Roman" w:cs="Times New Roman" w:eastAsia="Times New Roman" w:hAnsi="Times New Roman"/>
                <w:sz w:val="16"/>
                <w:szCs w:val="16"/>
                <w:u w:val="single"/>
                <w:rtl w:val="0"/>
              </w:rPr>
              <w:t xml:space="preserve">Final do estudo</w:t>
            </w:r>
          </w:p>
        </w:tc>
        <w:tc>
          <w:tcPr>
            <w:shd w:fill="auto" w:val="clear"/>
          </w:tcPr>
          <w:p w:rsidR="00000000" w:rsidDel="00000000" w:rsidP="00000000" w:rsidRDefault="00000000" w:rsidRPr="00000000" w14:paraId="0000061A">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1B">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1C">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1D">
            <w:pPr>
              <w:spacing w:line="276" w:lineRule="auto"/>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1E">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1F">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shd w:fill="auto" w:val="clear"/>
          </w:tcPr>
          <w:p w:rsidR="00000000" w:rsidDel="00000000" w:rsidP="00000000" w:rsidRDefault="00000000" w:rsidRPr="00000000" w14:paraId="00000620">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c>
          <w:tcPr>
            <w:shd w:fill="000000" w:val="clear"/>
          </w:tcPr>
          <w:p w:rsidR="00000000" w:rsidDel="00000000" w:rsidP="00000000" w:rsidRDefault="00000000" w:rsidRPr="00000000" w14:paraId="00000621">
            <w:pPr>
              <w:spacing w:line="276" w:lineRule="auto"/>
              <w:ind w:left="284" w:firstLine="283.00000000000006"/>
              <w:jc w:val="center"/>
              <w:rPr>
                <w:rFonts w:ascii="Times New Roman" w:cs="Times New Roman" w:eastAsia="Times New Roman" w:hAnsi="Times New Roman"/>
                <w:sz w:val="16"/>
                <w:szCs w:val="16"/>
                <w:u w:val="single"/>
              </w:rPr>
            </w:pPr>
            <w:r w:rsidDel="00000000" w:rsidR="00000000" w:rsidRPr="00000000">
              <w:rPr>
                <w:rtl w:val="0"/>
              </w:rPr>
            </w:r>
          </w:p>
        </w:tc>
      </w:tr>
    </w:tbl>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23">
      <w:pPr>
        <w:spacing w:after="240" w:lineRule="auto"/>
        <w:rPr>
          <w:color w:val="000000"/>
          <w:u w:val="single"/>
        </w:rPr>
      </w:pPr>
      <w:r w:rsidDel="00000000" w:rsidR="00000000" w:rsidRPr="00000000">
        <w:br w:type="page"/>
      </w:r>
      <w:r w:rsidDel="00000000" w:rsidR="00000000" w:rsidRPr="00000000">
        <w:rPr>
          <w:rtl w:val="0"/>
        </w:rPr>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25">
      <w:pPr>
        <w:pStyle w:val="Heading1"/>
        <w:spacing w:after="0" w:lineRule="auto"/>
        <w:jc w:val="center"/>
        <w:rPr>
          <w:rFonts w:ascii="Times New Roman" w:cs="Times New Roman" w:eastAsia="Times New Roman" w:hAnsi="Times New Roman"/>
          <w:sz w:val="24"/>
          <w:szCs w:val="24"/>
          <w:u w:val="single"/>
        </w:rPr>
      </w:pPr>
      <w:bookmarkStart w:colFirst="0" w:colLast="0" w:name="_heading=h.3hv69ve" w:id="74"/>
      <w:bookmarkEnd w:id="74"/>
      <w:r w:rsidDel="00000000" w:rsidR="00000000" w:rsidRPr="00000000">
        <w:rPr>
          <w:rFonts w:ascii="Times New Roman" w:cs="Times New Roman" w:eastAsia="Times New Roman" w:hAnsi="Times New Roman"/>
          <w:sz w:val="24"/>
          <w:szCs w:val="24"/>
          <w:u w:val="single"/>
          <w:rtl w:val="0"/>
        </w:rPr>
        <w:t xml:space="preserve">APÊNDICE III - ESTUDO EM AMBIENTE OPERACIONAL PARA AVALIAÇÃO DE ADESÃO, EFICÁCIA E EFETIVIDADE DA PLATAFORMA TAMIS</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INTRODUÇÃO</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 presente relatório apresenta o produto gerado a partir do financiamento proveniente da Chamada Induzida FAPDF 2021 (TOA 371/2021). A execução dos estudos foi previamente autorizada por um comitê de ética independente (CAAE: 55117822.7.0000.8153), e os participantes assinaram o termo de consentimento livre e esclarecido (TCLE) previamente aprovado. O nome da plataforma originalmente chamada de iGESTO foi alterado para TAMIS, a fim de eliminar os riscos relacionados à marca "GESTO", que já estava registrada no Instituto Nacional de Propriedade Intelectual (INPI).</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Adesão, eficácia e efetividade são três componentes cruciais na avaliação de um programa ou intervenção de saúde. A adesão refere-se à frequência com que os pacientes seguem as recomendações de seus médicos. A eficácia mede até que ponto um programa ou intervenção alcança seus objetivos. A efetividade avalia o quão benéfico um programa ou intervenção é para os pacientes em um contexto real.</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Este relatório descreve os resultados de estudos sobre a adesão, a eficácia e a efetividade da plataforma online “TAMIS”. O “TAMIS” é uma ferramenta de suporte à decisão clínica e administrativa que conecta informações de pacientes, equipes de saúde e gestores de saúde em diversos níveis hierárquicos. O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software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foi desenvolvido para implementar o algoritmo clínico, fornecendo recomendações terapêuticas personalizadas para a redução do colesterol, controle da hipertensão e glicemia, além de monitorar o progresso do paciente em relação às metas de tratamento definidas pela Sociedade Brasileira de Cardiologia e pela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American Heart Association.</w:t>
      </w:r>
      <w:r w:rsidDel="00000000" w:rsidR="00000000" w:rsidRPr="00000000">
        <w:rPr>
          <w:rtl w:val="0"/>
        </w:rPr>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MÉTODOS</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Foram conduzidos dois estudos para avaliar a plataforma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online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"TAMIS". Ambos os estudos foram realizados em três Unidades Básicas de Saúde (UBS) na região do Paranoá e em uma UBS de São Sebastião, que está localizada na Região Leste de Saúde do Distrito Federal.</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 primeiro estudo consistiu em um ensaio clínico randomizado aberto com 40 pacientes de alto risco cardiovascular que apresentavam dislipidemia não controlada (LDL-C basal &gt; 100mg/dL), 40 pacientes de alto risco cardiovascular com hipertensão arterial sistêmica (HAS) não controlada (média da pressão arterial sistólica (PAS) na monitorização residencial de PA &gt; 135mmHg), e 40 pacientes com diabetes não controlado (hemoglobina glicosilada (HbA1c) &gt; 8%). Os pacientes foram distribuídos aleatoriamente em dois grupos: um grupo que recebeu acesso ao “TAMIS” e outro que recebeu cuidados padrão, com metade dos pacientes em cada grupo. O acompanhamento dos pacientes ocorreu ao longo de um período total de 12 semanas, desde o momento da randomização até o término do estudo.</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 segundo estudo foi de natureza observacional com 500 pacientes que apresentavam dislipidemia, hipertensão e diabetes não controlados (com não atingimento das três metas, incluindo os componentes LDL-C, PAs e HbA1c mencionados anteriormente). Os dados dos pacientes foram coletados por meio da plataforma “TAMIS”, e eles foram acompanhados ao longo de 24 semanas.</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RESULTADOS</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 estudo clínico randomizado demonstrou que os pacientes que receberam acesso ao "TAMIS" apresentaram uma adesão 30% maior às recomendações de seus médicos em comparação com os pacientes que receberam cuidados padrão. Além disso, os pacientes que receberam o "TAMIS" mostraram uma redução significativa nos níveis de LDL-C (41±24 mg/dL, p&lt;0,001), pressão arterial sistólica (10±5 mmHg) e HbA1c (0,9±0,7, p&lt;0,001).</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 estudo observacional, por sua vez, revelou que 92% dos pacientes que utilizaram a plataforma "TAMIS" experimentaram uma significativa redução nos níveis de colesterol, pressão arterial ou glicemia. Adicionalmente, os pacientes que se beneficiaram da plataforma "TAMIS" apresentaram uma maior probabilidade de atingir as metas de tratamento, sendo que 41% deles alcançaram o controle das três metas estabelecidas.</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DISCUSSÃO</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Os resultados desses estudos sugerem que a plataforma “TAMIS” é uma ferramenta eficaz para aprimorar a adesão, a eficácia e a efetividade do tratamento de pacientes com dislipidemia, hipertensão ou diabetes. </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 plataforma “TAMIS” pode melhorar a adesão ao tratamento de várias maneiras. Em primeiro lugar, fornece recomendações terapêuticas personalizadas que são adaptadas às necessidades individuais do paciente. Em segundo lugar, oferece ferramentas de monitoramento que auxiliam os pacientes a acompanhar seu progresso. Em terceiro lugar, proporciona suporte educacional e motivacional para auxiliar os pacientes na aderência ao tratamento. </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 plataforma “TAMIS” também pode aprimorar a eficácia do tratamento através do fornecimento de recomendações terapêuticas baseadas em evidências científicas. Por meio do monitoramento do progresso do paciente para garantir que esteja recebendo o tratamento adequado. E oferecendo suporte educacional e motivacional para auxiliar os pacientes na adesão ao tratamento.</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Quanto a eficácia do tratamento, a plataforma “TAMIS” oferece recomendações terapêuticas que se ajustam às necessidades individuais de cada paciente; disponibiliza ferramentas de monitoramento que auxiliam os pacientes a acompanhar o seu progresso; e proporciona suporte educacional e motivacional para auxiliar os pacientes na adesão ao tratamento.</w:t>
      </w:r>
      <w:r w:rsidDel="00000000" w:rsidR="00000000" w:rsidRPr="00000000">
        <w:rPr>
          <w:rtl w:val="0"/>
        </w:rPr>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LIMITAÇÕES</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Os estudos apresentam algumas limitações. O estudo clínico randomizado foi de pequena escala e contou com um período de acompanhamento relativamente breve. Quanto ao estudo observacional, seu caráter observacional impede a estabelecimento de uma relação causal entre a utilização da plataforma “TAMIS” e os resultados positivos.</w:t>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CONCLUSÕES</w:t>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Os resultados destes estudos sugerem que a plataforma “TAMIS” se apresenta como uma ferramenta promissora no sentido de aprimorar a adesão, eficácia e efetividade do tratamento de pacientes com dislipidemia, hipertensão ou diabetes. Estudos adicionais são necessários para confirmar esses resultados e explorar o potencial do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software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para outros grupos de pacientes.</w:t>
      </w:r>
    </w:p>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RECOMENDAÇÕES</w:t>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Com base nos resultados desses estudos, recomenda-se que a plataforma “TAMIS” seja considerada como uma ferramenta para aprimorar a adesão, a eficácia e a efetividade do tratamento de pacientes com dislipidemia, hipertensão ou diabetes.</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Recomenda-se que estudos futuros sejam realizados com o intuito de:</w:t>
      </w:r>
    </w:p>
    <w:p w:rsidR="00000000" w:rsidDel="00000000" w:rsidP="00000000" w:rsidRDefault="00000000" w:rsidRPr="00000000" w14:paraId="0000064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Confirmar os resultados desses estudos em populações maiores e com períodos de acompanhamento mais longos. </w:t>
      </w:r>
    </w:p>
    <w:p w:rsidR="00000000" w:rsidDel="00000000" w:rsidP="00000000" w:rsidRDefault="00000000" w:rsidRPr="00000000" w14:paraId="0000064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Explorar o potencial da plataforma “TAMIS” para outros grupos de pacientes. </w:t>
      </w:r>
    </w:p>
    <w:p w:rsidR="00000000" w:rsidDel="00000000" w:rsidP="00000000" w:rsidRDefault="00000000" w:rsidRPr="00000000" w14:paraId="0000064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Avaliar a relação custo-efetividade da plataforma “TAMIS”.</w:t>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4F">
      <w:pPr>
        <w:pStyle w:val="Heading1"/>
        <w:jc w:val="center"/>
        <w:rPr>
          <w:rFonts w:ascii="Times New Roman" w:cs="Times New Roman" w:eastAsia="Times New Roman" w:hAnsi="Times New Roman"/>
          <w:sz w:val="24"/>
          <w:szCs w:val="24"/>
          <w:u w:val="single"/>
        </w:rPr>
      </w:pPr>
      <w:bookmarkStart w:colFirst="0" w:colLast="0" w:name="_heading=h.1x0gk37" w:id="75"/>
      <w:bookmarkEnd w:id="75"/>
      <w:r w:rsidDel="00000000" w:rsidR="00000000" w:rsidRPr="00000000">
        <w:rPr>
          <w:rFonts w:ascii="Times New Roman" w:cs="Times New Roman" w:eastAsia="Times New Roman" w:hAnsi="Times New Roman"/>
          <w:sz w:val="24"/>
          <w:szCs w:val="24"/>
          <w:u w:val="single"/>
        </w:rPr>
        <w:drawing>
          <wp:anchor allowOverlap="1" behindDoc="0" distB="0" distT="0" distL="114300" distR="114300" hidden="0" layoutInCell="1" locked="0" relativeHeight="0" simplePos="0">
            <wp:simplePos x="0" y="0"/>
            <wp:positionH relativeFrom="margin">
              <wp:posOffset>208915</wp:posOffset>
            </wp:positionH>
            <wp:positionV relativeFrom="margin">
              <wp:posOffset>608965</wp:posOffset>
            </wp:positionV>
            <wp:extent cx="5507990" cy="7790180"/>
            <wp:effectExtent b="0" l="0" r="0" t="0"/>
            <wp:wrapSquare wrapText="bothSides" distB="0" distT="0" distL="114300" distR="114300"/>
            <wp:docPr descr="Diagrama&#10;&#10;Descrição gerada automaticamente" id="2129596946" name="image1.jpg"/>
            <a:graphic>
              <a:graphicData uri="http://schemas.openxmlformats.org/drawingml/2006/picture">
                <pic:pic>
                  <pic:nvPicPr>
                    <pic:cNvPr descr="Diagrama&#10;&#10;Descrição gerada automaticamente" id="0" name="image1.jpg"/>
                    <pic:cNvPicPr preferRelativeResize="0"/>
                  </pic:nvPicPr>
                  <pic:blipFill>
                    <a:blip r:embed="rId29"/>
                    <a:srcRect b="0" l="0" r="0" t="0"/>
                    <a:stretch>
                      <a:fillRect/>
                    </a:stretch>
                  </pic:blipFill>
                  <pic:spPr>
                    <a:xfrm>
                      <a:off x="0" y="0"/>
                      <a:ext cx="5507990" cy="7790180"/>
                    </a:xfrm>
                    <a:prstGeom prst="rect"/>
                    <a:ln/>
                  </pic:spPr>
                </pic:pic>
              </a:graphicData>
            </a:graphic>
          </wp:anchor>
        </w:drawing>
      </w:r>
      <w:r w:rsidDel="00000000" w:rsidR="00000000" w:rsidRPr="00000000">
        <w:rPr>
          <w:rFonts w:ascii="Times New Roman" w:cs="Times New Roman" w:eastAsia="Times New Roman" w:hAnsi="Times New Roman"/>
          <w:sz w:val="24"/>
          <w:szCs w:val="24"/>
          <w:u w:val="single"/>
          <w:rtl w:val="0"/>
        </w:rPr>
        <w:t xml:space="preserve">APÊNDICE IV - INSTRUMENTO DE COLETA DE DADOS</w:t>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id="2129596950" name="image21.jpg"/>
            <a:graphic>
              <a:graphicData uri="http://schemas.openxmlformats.org/drawingml/2006/picture">
                <pic:pic>
                  <pic:nvPicPr>
                    <pic:cNvPr id="0" name="image21.jpg"/>
                    <pic:cNvPicPr preferRelativeResize="0"/>
                  </pic:nvPicPr>
                  <pic:blipFill>
                    <a:blip r:embed="rId30"/>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Tabela&#10;&#10;Descrição gerada automaticamente" id="2129596953" name="image10.jpg"/>
            <a:graphic>
              <a:graphicData uri="http://schemas.openxmlformats.org/drawingml/2006/picture">
                <pic:pic>
                  <pic:nvPicPr>
                    <pic:cNvPr descr="Tabela&#10;&#10;Descrição gerada automaticamente" id="0" name="image10.jpg"/>
                    <pic:cNvPicPr preferRelativeResize="0"/>
                  </pic:nvPicPr>
                  <pic:blipFill>
                    <a:blip r:embed="rId31"/>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Tabela&#10;&#10;Descrição gerada automaticamente com confiança média" id="2129596951" name="image11.jpg"/>
            <a:graphic>
              <a:graphicData uri="http://schemas.openxmlformats.org/drawingml/2006/picture">
                <pic:pic>
                  <pic:nvPicPr>
                    <pic:cNvPr descr="Tabela&#10;&#10;Descrição gerada automaticamente com confiança média" id="0" name="image11.jpg"/>
                    <pic:cNvPicPr preferRelativeResize="0"/>
                  </pic:nvPicPr>
                  <pic:blipFill>
                    <a:blip r:embed="rId32"/>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id="2129596952" name="image12.jpg"/>
            <a:graphic>
              <a:graphicData uri="http://schemas.openxmlformats.org/drawingml/2006/picture">
                <pic:pic>
                  <pic:nvPicPr>
                    <pic:cNvPr id="0" name="image12.jpg"/>
                    <pic:cNvPicPr preferRelativeResize="0"/>
                  </pic:nvPicPr>
                  <pic:blipFill>
                    <a:blip r:embed="rId33"/>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id="2129596954" name="image18.jpg"/>
            <a:graphic>
              <a:graphicData uri="http://schemas.openxmlformats.org/drawingml/2006/picture">
                <pic:pic>
                  <pic:nvPicPr>
                    <pic:cNvPr id="0" name="image18.jpg"/>
                    <pic:cNvPicPr preferRelativeResize="0"/>
                  </pic:nvPicPr>
                  <pic:blipFill>
                    <a:blip r:embed="rId34"/>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Tabela&#10;&#10;Descrição gerada automaticamente" id="2129596955" name="image13.jpg"/>
            <a:graphic>
              <a:graphicData uri="http://schemas.openxmlformats.org/drawingml/2006/picture">
                <pic:pic>
                  <pic:nvPicPr>
                    <pic:cNvPr descr="Tabela&#10;&#10;Descrição gerada automaticamente" id="0" name="image13.jpg"/>
                    <pic:cNvPicPr preferRelativeResize="0"/>
                  </pic:nvPicPr>
                  <pic:blipFill>
                    <a:blip r:embed="rId35"/>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Tabela&#10;&#10;Descrição gerada automaticamente" id="2129596956" name="image17.jpg"/>
            <a:graphic>
              <a:graphicData uri="http://schemas.openxmlformats.org/drawingml/2006/picture">
                <pic:pic>
                  <pic:nvPicPr>
                    <pic:cNvPr descr="Tabela&#10;&#10;Descrição gerada automaticamente" id="0" name="image17.jpg"/>
                    <pic:cNvPicPr preferRelativeResize="0"/>
                  </pic:nvPicPr>
                  <pic:blipFill>
                    <a:blip r:embed="rId36"/>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Uma imagem contendo Diagrama&#10;&#10;Descrição gerada automaticamente" id="2129596957" name="image14.jpg"/>
            <a:graphic>
              <a:graphicData uri="http://schemas.openxmlformats.org/drawingml/2006/picture">
                <pic:pic>
                  <pic:nvPicPr>
                    <pic:cNvPr descr="Uma imagem contendo Diagrama&#10;&#10;Descrição gerada automaticamente" id="0" name="image14.jpg"/>
                    <pic:cNvPicPr preferRelativeResize="0"/>
                  </pic:nvPicPr>
                  <pic:blipFill>
                    <a:blip r:embed="rId37"/>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Tabela&#10;&#10;Descrição gerada automaticamente" id="2129596958" name="image16.jpg"/>
            <a:graphic>
              <a:graphicData uri="http://schemas.openxmlformats.org/drawingml/2006/picture">
                <pic:pic>
                  <pic:nvPicPr>
                    <pic:cNvPr descr="Tabela&#10;&#10;Descrição gerada automaticamente" id="0" name="image16.jpg"/>
                    <pic:cNvPicPr preferRelativeResize="0"/>
                  </pic:nvPicPr>
                  <pic:blipFill>
                    <a:blip r:embed="rId38"/>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id="2129596959" name="image20.jpg"/>
            <a:graphic>
              <a:graphicData uri="http://schemas.openxmlformats.org/drawingml/2006/picture">
                <pic:pic>
                  <pic:nvPicPr>
                    <pic:cNvPr id="0" name="image20.jpg"/>
                    <pic:cNvPicPr preferRelativeResize="0"/>
                  </pic:nvPicPr>
                  <pic:blipFill>
                    <a:blip r:embed="rId39"/>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Tabela&#10;&#10;Descrição gerada automaticamente com confiança média" id="2129596960" name="image15.jpg"/>
            <a:graphic>
              <a:graphicData uri="http://schemas.openxmlformats.org/drawingml/2006/picture">
                <pic:pic>
                  <pic:nvPicPr>
                    <pic:cNvPr descr="Tabela&#10;&#10;Descrição gerada automaticamente com confiança média" id="0" name="image15.jpg"/>
                    <pic:cNvPicPr preferRelativeResize="0"/>
                  </pic:nvPicPr>
                  <pic:blipFill>
                    <a:blip r:embed="rId40"/>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Tabela&#10;&#10;Descrição gerada automaticamente" id="2129596961" name="image19.jpg"/>
            <a:graphic>
              <a:graphicData uri="http://schemas.openxmlformats.org/drawingml/2006/picture">
                <pic:pic>
                  <pic:nvPicPr>
                    <pic:cNvPr descr="Tabela&#10;&#10;Descrição gerada automaticamente" id="0" name="image19.jpg"/>
                    <pic:cNvPicPr preferRelativeResize="0"/>
                  </pic:nvPicPr>
                  <pic:blipFill>
                    <a:blip r:embed="rId41"/>
                    <a:srcRect b="0" l="0" r="0" t="0"/>
                    <a:stretch>
                      <a:fillRect/>
                    </a:stretch>
                  </pic:blipFill>
                  <pic:spPr>
                    <a:xfrm>
                      <a:off x="0" y="0"/>
                      <a:ext cx="5819775" cy="82296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9775" cy="8229600"/>
            <wp:effectExtent b="0" l="0" r="0" t="0"/>
            <wp:docPr descr="Uma imagem contendo Interface gráfica do usuário&#10;&#10;Descrição gerada automaticamente" id="2129596947" name="image6.jpg"/>
            <a:graphic>
              <a:graphicData uri="http://schemas.openxmlformats.org/drawingml/2006/picture">
                <pic:pic>
                  <pic:nvPicPr>
                    <pic:cNvPr descr="Uma imagem contendo Interface gráfica do usuário&#10;&#10;Descrição gerada automaticamente" id="0" name="image6.jpg"/>
                    <pic:cNvPicPr preferRelativeResize="0"/>
                  </pic:nvPicPr>
                  <pic:blipFill>
                    <a:blip r:embed="rId42"/>
                    <a:srcRect b="0" l="0" r="0" t="0"/>
                    <a:stretch>
                      <a:fillRect/>
                    </a:stretch>
                  </pic:blipFill>
                  <pic:spPr>
                    <a:xfrm>
                      <a:off x="0" y="0"/>
                      <a:ext cx="5819775" cy="8229600"/>
                    </a:xfrm>
                    <a:prstGeom prst="rect"/>
                    <a:ln/>
                  </pic:spPr>
                </pic:pic>
              </a:graphicData>
            </a:graphic>
          </wp:inline>
        </w:drawing>
      </w: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640"/>
      </w:tabs>
      <w:spacing w:after="0" w:before="0" w:line="240" w:lineRule="auto"/>
      <w:ind w:left="0" w:right="0" w:firstLine="0"/>
      <w:jc w:val="left"/>
      <w:rPr>
        <w:rFonts w:ascii="Arial" w:cs="Arial" w:eastAsia="Arial" w:hAnsi="Arial"/>
        <w:b w:val="1"/>
        <w:i w:val="0"/>
        <w:smallCaps w:val="0"/>
        <w:strike w:val="0"/>
        <w:color w:val="6e6e6e"/>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5"/>
        <w:szCs w:val="15"/>
        <w:u w:val="none"/>
        <w:shd w:fill="auto" w:val="clear"/>
        <w:vertAlign w:val="baseline"/>
        <w:rtl w:val="0"/>
      </w:rPr>
      <w:t xml:space="preserve">Ensaio TAMIS (Protocolo de Pesquisa versão 3.0)</w:t>
    </w:r>
    <w:r w:rsidDel="00000000" w:rsidR="00000000" w:rsidRPr="00000000">
      <w:drawing>
        <wp:anchor allowOverlap="1" behindDoc="0" distB="0" distT="0" distL="114300" distR="114300" hidden="0" layoutInCell="1" locked="0" relativeHeight="0" simplePos="0">
          <wp:simplePos x="0" y="0"/>
          <wp:positionH relativeFrom="column">
            <wp:posOffset>-285</wp:posOffset>
          </wp:positionH>
          <wp:positionV relativeFrom="paragraph">
            <wp:posOffset>-18968</wp:posOffset>
          </wp:positionV>
          <wp:extent cx="489397" cy="490391"/>
          <wp:effectExtent b="0" l="0" r="0" t="0"/>
          <wp:wrapNone/>
          <wp:docPr descr="Logotipo, nome da empresa&#10;&#10;Descrição gerada automaticamente" id="2129596942" name="image7.png"/>
          <a:graphic>
            <a:graphicData uri="http://schemas.openxmlformats.org/drawingml/2006/picture">
              <pic:pic>
                <pic:nvPicPr>
                  <pic:cNvPr descr="Logotipo, nome da empresa&#10;&#10;Descrição gerada automaticamente" id="0" name="image7.png"/>
                  <pic:cNvPicPr preferRelativeResize="0"/>
                </pic:nvPicPr>
                <pic:blipFill>
                  <a:blip r:embed="rId1"/>
                  <a:srcRect b="0" l="0" r="0" t="0"/>
                  <a:stretch>
                    <a:fillRect/>
                  </a:stretch>
                </pic:blipFill>
                <pic:spPr>
                  <a:xfrm>
                    <a:off x="0" y="0"/>
                    <a:ext cx="489397" cy="490391"/>
                  </a:xfrm>
                  <a:prstGeom prst="rect"/>
                  <a:ln/>
                </pic:spPr>
              </pic:pic>
            </a:graphicData>
          </a:graphic>
        </wp:anchor>
      </w:drawing>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5"/>
        <w:szCs w:val="15"/>
        <w:u w:val="none"/>
        <w:shd w:fill="auto" w:val="clear"/>
        <w:vertAlign w:val="baseline"/>
        <w:rtl w:val="0"/>
      </w:rPr>
      <w:t xml:space="preserve">AIHR: Aramari apo Institute for Healthcare Research</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i w:val="0"/>
        <w:smallCaps w:val="0"/>
        <w:strike w:val="0"/>
        <w:color w:val="c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-939799</wp:posOffset>
              </wp:positionH>
              <wp:positionV relativeFrom="paragraph">
                <wp:posOffset>-469899</wp:posOffset>
              </wp:positionV>
              <wp:extent cx="7858125" cy="200025"/>
              <wp:effectExtent b="0" l="0" r="0" t="0"/>
              <wp:wrapNone/>
              <wp:docPr id="2129596939" name=""/>
              <a:graphic>
                <a:graphicData uri="http://schemas.microsoft.com/office/word/2010/wordprocessingShape">
                  <wps:wsp>
                    <wps:cNvSpPr/>
                    <wps:cNvPr id="12" name="Shape 12"/>
                    <wps:spPr>
                      <a:xfrm>
                        <a:off x="1421700" y="3684750"/>
                        <a:ext cx="7848600" cy="190500"/>
                      </a:xfrm>
                      <a:prstGeom prst="rect">
                        <a:avLst/>
                      </a:prstGeom>
                      <a:solidFill>
                        <a:srgbClr val="0093C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-939799</wp:posOffset>
              </wp:positionH>
              <wp:positionV relativeFrom="paragraph">
                <wp:posOffset>-469899</wp:posOffset>
              </wp:positionV>
              <wp:extent cx="7858125" cy="200025"/>
              <wp:effectExtent b="0" l="0" r="0" t="0"/>
              <wp:wrapNone/>
              <wp:docPr id="2129596939"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7858125" cy="2000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sz w:val="24"/>
        <w:szCs w:val="24"/>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Roman"/>
      <w:lvlText w:val="(%1)"/>
      <w:lvlJc w:val="left"/>
      <w:pPr>
        <w:ind w:left="720" w:hanging="360"/>
      </w:pPr>
      <w:rPr>
        <w:sz w:val="24"/>
        <w:szCs w:val="24"/>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lowerRoman"/>
      <w:lvlText w:val="(%1)"/>
      <w:lvlJc w:val="left"/>
      <w:pPr>
        <w:ind w:left="720" w:hanging="360"/>
      </w:pPr>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Roman"/>
      <w:lvlText w:val="(%1)"/>
      <w:lvlJc w:val="left"/>
      <w:pPr>
        <w:ind w:left="792" w:hanging="360"/>
      </w:pPr>
      <w:rPr>
        <w:color w:val="000000"/>
      </w:rPr>
    </w:lvl>
    <w:lvl w:ilvl="1">
      <w:start w:val="1"/>
      <w:numFmt w:val="bullet"/>
      <w:lvlText w:val="o"/>
      <w:lvlJc w:val="left"/>
      <w:pPr>
        <w:ind w:left="1512" w:hanging="360"/>
      </w:pPr>
      <w:rPr>
        <w:rFonts w:ascii="Courier New" w:cs="Courier New" w:eastAsia="Courier New" w:hAnsi="Courier New"/>
      </w:rPr>
    </w:lvl>
    <w:lvl w:ilvl="2">
      <w:start w:val="1"/>
      <w:numFmt w:val="bullet"/>
      <w:lvlText w:val="▪"/>
      <w:lvlJc w:val="left"/>
      <w:pPr>
        <w:ind w:left="2232" w:hanging="360"/>
      </w:pPr>
      <w:rPr>
        <w:rFonts w:ascii="Noto Sans Symbols" w:cs="Noto Sans Symbols" w:eastAsia="Noto Sans Symbols" w:hAnsi="Noto Sans Symbols"/>
      </w:rPr>
    </w:lvl>
    <w:lvl w:ilvl="3">
      <w:start w:val="1"/>
      <w:numFmt w:val="bullet"/>
      <w:lvlText w:val="●"/>
      <w:lvlJc w:val="left"/>
      <w:pPr>
        <w:ind w:left="2952" w:hanging="360"/>
      </w:pPr>
      <w:rPr>
        <w:rFonts w:ascii="Noto Sans Symbols" w:cs="Noto Sans Symbols" w:eastAsia="Noto Sans Symbols" w:hAnsi="Noto Sans Symbols"/>
      </w:rPr>
    </w:lvl>
    <w:lvl w:ilvl="4">
      <w:start w:val="1"/>
      <w:numFmt w:val="bullet"/>
      <w:lvlText w:val="o"/>
      <w:lvlJc w:val="left"/>
      <w:pPr>
        <w:ind w:left="3672" w:hanging="360"/>
      </w:pPr>
      <w:rPr>
        <w:rFonts w:ascii="Courier New" w:cs="Courier New" w:eastAsia="Courier New" w:hAnsi="Courier New"/>
      </w:rPr>
    </w:lvl>
    <w:lvl w:ilvl="5">
      <w:start w:val="1"/>
      <w:numFmt w:val="bullet"/>
      <w:lvlText w:val="▪"/>
      <w:lvlJc w:val="left"/>
      <w:pPr>
        <w:ind w:left="4392" w:hanging="360"/>
      </w:pPr>
      <w:rPr>
        <w:rFonts w:ascii="Noto Sans Symbols" w:cs="Noto Sans Symbols" w:eastAsia="Noto Sans Symbols" w:hAnsi="Noto Sans Symbols"/>
      </w:rPr>
    </w:lvl>
    <w:lvl w:ilvl="6">
      <w:start w:val="1"/>
      <w:numFmt w:val="bullet"/>
      <w:lvlText w:val="●"/>
      <w:lvlJc w:val="left"/>
      <w:pPr>
        <w:ind w:left="5112" w:hanging="360"/>
      </w:pPr>
      <w:rPr>
        <w:rFonts w:ascii="Noto Sans Symbols" w:cs="Noto Sans Symbols" w:eastAsia="Noto Sans Symbols" w:hAnsi="Noto Sans Symbols"/>
      </w:rPr>
    </w:lvl>
    <w:lvl w:ilvl="7">
      <w:start w:val="1"/>
      <w:numFmt w:val="bullet"/>
      <w:lvlText w:val="o"/>
      <w:lvlJc w:val="left"/>
      <w:pPr>
        <w:ind w:left="5832" w:hanging="360"/>
      </w:pPr>
      <w:rPr>
        <w:rFonts w:ascii="Courier New" w:cs="Courier New" w:eastAsia="Courier New" w:hAnsi="Courier New"/>
      </w:rPr>
    </w:lvl>
    <w:lvl w:ilvl="8">
      <w:start w:val="1"/>
      <w:numFmt w:val="bullet"/>
      <w:lvlText w:val="▪"/>
      <w:lvlJc w:val="left"/>
      <w:pPr>
        <w:ind w:left="6552"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lowerRoman"/>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lowerRoman"/>
      <w:lvlText w:val="(%1)"/>
      <w:lvlJc w:val="left"/>
      <w:pPr>
        <w:ind w:left="720" w:hanging="360"/>
      </w:pPr>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decimal"/>
      <w:lvlText w:val="%1."/>
      <w:lvlJc w:val="left"/>
      <w:pPr>
        <w:ind w:left="2160" w:hanging="360"/>
      </w:pPr>
      <w:rPr>
        <w:sz w:val="24"/>
        <w:szCs w:val="24"/>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lowerRoman"/>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lowerRoman"/>
      <w:lvlText w:val="%4)"/>
      <w:lvlJc w:val="left"/>
      <w:pPr>
        <w:ind w:left="3240" w:hanging="720"/>
      </w:pPr>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9">
    <w:lvl w:ilvl="0">
      <w:start w:val="1"/>
      <w:numFmt w:val="lowerRoman"/>
      <w:lvlText w:val="(%1)"/>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1"/>
      <w:numFmt w:val="lowerRoman"/>
      <w:lvlText w:val="(%1)"/>
      <w:lvlJc w:val="left"/>
      <w:pPr>
        <w:ind w:left="720" w:hanging="360"/>
      </w:pPr>
      <w:rPr>
        <w:sz w:val="24"/>
        <w:szCs w:val="24"/>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lowerRoman"/>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lowerRoman"/>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lowerRoman"/>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0" w:lineRule="auto"/>
    </w:pPr>
    <w:rPr>
      <w:rFonts w:ascii="Arial" w:cs="Arial" w:eastAsia="Arial" w:hAnsi="Arial"/>
      <w:b w:val="1"/>
      <w:color w:val="000000"/>
      <w:sz w:val="40"/>
      <w:szCs w:val="40"/>
    </w:rPr>
  </w:style>
  <w:style w:type="paragraph" w:styleId="Heading2">
    <w:name w:val="heading 2"/>
    <w:basedOn w:val="Normal"/>
    <w:next w:val="Normal"/>
    <w:pPr>
      <w:keepNext w:val="1"/>
      <w:keepLines w:val="1"/>
      <w:spacing w:before="40" w:lineRule="auto"/>
    </w:pPr>
    <w:rPr>
      <w:rFonts w:ascii="Arial" w:cs="Arial" w:eastAsia="Arial" w:hAnsi="Arial"/>
      <w:color w:val="262e35"/>
      <w:sz w:val="26"/>
      <w:szCs w:val="26"/>
    </w:rPr>
  </w:style>
  <w:style w:type="paragraph" w:styleId="Heading3">
    <w:name w:val="heading 3"/>
    <w:basedOn w:val="Normal"/>
    <w:next w:val="Normal"/>
    <w:pPr>
      <w:keepNext w:val="1"/>
      <w:keepLines w:val="1"/>
      <w:spacing w:before="40" w:lineRule="auto"/>
    </w:pPr>
    <w:rPr>
      <w:rFonts w:ascii="Arial" w:cs="Arial" w:eastAsia="Arial" w:hAnsi="Arial"/>
      <w:color w:val="191e23"/>
    </w:rPr>
  </w:style>
  <w:style w:type="paragraph" w:styleId="Heading4">
    <w:name w:val="heading 4"/>
    <w:basedOn w:val="Normal"/>
    <w:next w:val="Normal"/>
    <w:pPr>
      <w:keepNext w:val="1"/>
      <w:keepLines w:val="1"/>
      <w:spacing w:before="40" w:lineRule="auto"/>
    </w:pPr>
    <w:rPr>
      <w:rFonts w:ascii="Arial" w:cs="Arial" w:eastAsia="Arial" w:hAnsi="Arial"/>
      <w:i w:val="1"/>
      <w:color w:val="262e35"/>
    </w:rPr>
  </w:style>
  <w:style w:type="paragraph" w:styleId="Heading5">
    <w:name w:val="heading 5"/>
    <w:basedOn w:val="Normal"/>
    <w:next w:val="Normal"/>
    <w:pPr>
      <w:pBdr>
        <w:bottom w:color="333e48" w:space="1" w:sz="6" w:val="single"/>
      </w:pBdr>
      <w:spacing w:before="300" w:lineRule="auto"/>
      <w:ind w:left="1008" w:hanging="1008"/>
    </w:pPr>
    <w:rPr>
      <w:smallCaps w:val="1"/>
      <w:color w:val="262e35"/>
      <w:sz w:val="22"/>
      <w:szCs w:val="22"/>
    </w:rPr>
  </w:style>
  <w:style w:type="paragraph" w:styleId="Heading6">
    <w:name w:val="heading 6"/>
    <w:basedOn w:val="Normal"/>
    <w:next w:val="Normal"/>
    <w:pPr>
      <w:pBdr>
        <w:bottom w:color="333e48" w:space="1" w:sz="6" w:val="dotted"/>
      </w:pBdr>
      <w:spacing w:before="300" w:lineRule="auto"/>
      <w:ind w:left="1152" w:hanging="1152"/>
    </w:pPr>
    <w:rPr>
      <w:smallCaps w:val="1"/>
      <w:color w:val="262e35"/>
      <w:sz w:val="22"/>
      <w:szCs w:val="22"/>
    </w:rPr>
  </w:style>
  <w:style w:type="paragraph" w:styleId="Title">
    <w:name w:val="Title"/>
    <w:basedOn w:val="Normal"/>
    <w:next w:val="Normal"/>
    <w:pPr/>
    <w:rPr>
      <w:rFonts w:ascii="Arial" w:cs="Arial" w:eastAsia="Arial" w:hAnsi="Arial"/>
      <w:sz w:val="56"/>
      <w:szCs w:val="56"/>
    </w:rPr>
  </w:style>
  <w:style w:type="paragraph" w:styleId="Normal" w:default="1">
    <w:name w:val="Normal"/>
    <w:qFormat w:val="1"/>
    <w:rsid w:val="0094206F"/>
    <w:pPr>
      <w:spacing w:after="0"/>
    </w:pPr>
    <w:rPr>
      <w:rFonts w:eastAsia="Times New Roman"/>
      <w:lang w:eastAsia="pt-BR" w:val="pt-BR"/>
    </w:rPr>
  </w:style>
  <w:style w:type="paragraph" w:styleId="Ttulo1">
    <w:name w:val="heading 1"/>
    <w:aliases w:val="Title_1,CROMS_Heading 1"/>
    <w:basedOn w:val="Normal"/>
    <w:next w:val="Normal"/>
    <w:link w:val="Ttulo1Char"/>
    <w:qFormat w:val="1"/>
    <w:rsid w:val="00F978AF"/>
    <w:pPr>
      <w:keepNext w:val="1"/>
      <w:keepLines w:val="1"/>
      <w:spacing w:after="600"/>
      <w:outlineLvl w:val="0"/>
    </w:pPr>
    <w:rPr>
      <w:rFonts w:asciiTheme="majorHAnsi" w:cstheme="majorBidi" w:eastAsiaTheme="majorEastAsia" w:hAnsiTheme="majorHAnsi"/>
      <w:b w:val="1"/>
      <w:bCs w:val="1"/>
      <w:color w:val="000000" w:themeColor="text1"/>
      <w:sz w:val="40"/>
      <w:szCs w:val="28"/>
    </w:rPr>
  </w:style>
  <w:style w:type="paragraph" w:styleId="Ttulo2">
    <w:name w:val="heading 2"/>
    <w:aliases w:val="CROMS_Heading 2"/>
    <w:basedOn w:val="Normal"/>
    <w:next w:val="Normal"/>
    <w:link w:val="Ttulo2Char"/>
    <w:qFormat w:val="1"/>
    <w:rsid w:val="00885032"/>
    <w:pPr>
      <w:keepNext w:val="1"/>
      <w:keepLines w:val="1"/>
      <w:spacing w:before="40"/>
      <w:outlineLvl w:val="1"/>
    </w:pPr>
    <w:rPr>
      <w:rFonts w:asciiTheme="majorHAnsi" w:cstheme="majorBidi" w:eastAsiaTheme="majorEastAsia" w:hAnsiTheme="majorHAnsi"/>
      <w:color w:val="262e35" w:themeColor="accent1" w:themeShade="0000BF"/>
      <w:sz w:val="26"/>
      <w:szCs w:val="26"/>
    </w:rPr>
  </w:style>
  <w:style w:type="paragraph" w:styleId="Ttulo3">
    <w:name w:val="heading 3"/>
    <w:aliases w:val="CROMS_Heading 3"/>
    <w:basedOn w:val="Normal"/>
    <w:next w:val="Normal"/>
    <w:link w:val="Ttulo3Char"/>
    <w:uiPriority w:val="2"/>
    <w:qFormat w:val="1"/>
    <w:rsid w:val="006324D2"/>
    <w:pPr>
      <w:keepNext w:val="1"/>
      <w:keepLines w:val="1"/>
      <w:spacing w:before="40"/>
      <w:outlineLvl w:val="2"/>
    </w:pPr>
    <w:rPr>
      <w:rFonts w:asciiTheme="majorHAnsi" w:cstheme="majorBidi" w:eastAsiaTheme="majorEastAsia" w:hAnsiTheme="majorHAnsi"/>
      <w:color w:val="191e23" w:themeColor="accent1" w:themeShade="00007F"/>
    </w:rPr>
  </w:style>
  <w:style w:type="paragraph" w:styleId="Ttulo4">
    <w:name w:val="heading 4"/>
    <w:aliases w:val="CROMS_Heading 4"/>
    <w:basedOn w:val="Normal"/>
    <w:next w:val="Normal"/>
    <w:link w:val="Ttulo4Char"/>
    <w:uiPriority w:val="3"/>
    <w:qFormat w:val="1"/>
    <w:rsid w:val="00792D30"/>
    <w:pPr>
      <w:keepNext w:val="1"/>
      <w:keepLines w:val="1"/>
      <w:spacing w:before="40"/>
      <w:outlineLvl w:val="3"/>
    </w:pPr>
    <w:rPr>
      <w:rFonts w:asciiTheme="majorHAnsi" w:cstheme="majorBidi" w:eastAsiaTheme="majorEastAsia" w:hAnsiTheme="majorHAnsi"/>
      <w:i w:val="1"/>
      <w:iCs w:val="1"/>
      <w:color w:val="262e35" w:themeColor="accent1" w:themeShade="0000BF"/>
    </w:rPr>
  </w:style>
  <w:style w:type="paragraph" w:styleId="Ttulo5">
    <w:name w:val="heading 5"/>
    <w:aliases w:val="CROMS_Heading 5"/>
    <w:basedOn w:val="Normal"/>
    <w:next w:val="Normal"/>
    <w:link w:val="Ttulo5Char"/>
    <w:uiPriority w:val="4"/>
    <w:unhideWhenUsed w:val="1"/>
    <w:rsid w:val="00885032"/>
    <w:pPr>
      <w:pBdr>
        <w:bottom w:color="333e48" w:space="1" w:sz="6" w:themeColor="accent1" w:val="single"/>
      </w:pBdr>
      <w:spacing w:before="300"/>
      <w:ind w:left="1008" w:hanging="1008"/>
      <w:outlineLvl w:val="4"/>
    </w:pPr>
    <w:rPr>
      <w:caps w:val="1"/>
      <w:color w:val="262e35" w:themeColor="accent1" w:themeShade="0000BF"/>
      <w:spacing w:val="10"/>
      <w:sz w:val="22"/>
      <w:szCs w:val="22"/>
    </w:rPr>
  </w:style>
  <w:style w:type="paragraph" w:styleId="Ttulo6">
    <w:name w:val="heading 6"/>
    <w:aliases w:val="CROMS_Heading 6"/>
    <w:basedOn w:val="Normal"/>
    <w:next w:val="Normal"/>
    <w:link w:val="Ttulo6Char"/>
    <w:unhideWhenUsed w:val="1"/>
    <w:rsid w:val="00885032"/>
    <w:pPr>
      <w:pBdr>
        <w:bottom w:color="333e48" w:space="1" w:sz="6" w:themeColor="accent1" w:val="dotted"/>
      </w:pBdr>
      <w:spacing w:before="300"/>
      <w:ind w:left="1152" w:hanging="1152"/>
      <w:outlineLvl w:val="5"/>
    </w:pPr>
    <w:rPr>
      <w:caps w:val="1"/>
      <w:color w:val="262e35" w:themeColor="accent1" w:themeShade="0000BF"/>
      <w:spacing w:val="10"/>
      <w:sz w:val="22"/>
      <w:szCs w:val="22"/>
    </w:rPr>
  </w:style>
  <w:style w:type="paragraph" w:styleId="Ttulo7">
    <w:name w:val="heading 7"/>
    <w:aliases w:val="CROMS_Heading 7"/>
    <w:basedOn w:val="Normal"/>
    <w:next w:val="Normal"/>
    <w:link w:val="Ttulo7Char"/>
    <w:uiPriority w:val="6"/>
    <w:unhideWhenUsed w:val="1"/>
    <w:rsid w:val="00885032"/>
    <w:pPr>
      <w:spacing w:before="300"/>
      <w:ind w:left="1296" w:hanging="1296"/>
      <w:outlineLvl w:val="6"/>
    </w:pPr>
    <w:rPr>
      <w:caps w:val="1"/>
      <w:color w:val="262e35" w:themeColor="accent1" w:themeShade="0000BF"/>
      <w:spacing w:val="10"/>
      <w:sz w:val="22"/>
      <w:szCs w:val="22"/>
    </w:rPr>
  </w:style>
  <w:style w:type="paragraph" w:styleId="Ttulo8">
    <w:name w:val="heading 8"/>
    <w:aliases w:val="CROMS_Heading 8"/>
    <w:basedOn w:val="Normal"/>
    <w:next w:val="Normal"/>
    <w:link w:val="Ttulo8Char"/>
    <w:uiPriority w:val="7"/>
    <w:unhideWhenUsed w:val="1"/>
    <w:rsid w:val="00885032"/>
    <w:pPr>
      <w:spacing w:before="300"/>
      <w:ind w:left="1440" w:hanging="1440"/>
      <w:outlineLvl w:val="7"/>
    </w:pPr>
    <w:rPr>
      <w:caps w:val="1"/>
      <w:spacing w:val="10"/>
      <w:sz w:val="18"/>
      <w:szCs w:val="18"/>
    </w:rPr>
  </w:style>
  <w:style w:type="paragraph" w:styleId="Ttulo9">
    <w:name w:val="heading 9"/>
    <w:aliases w:val="CROMS_Heading 9"/>
    <w:basedOn w:val="Normal"/>
    <w:next w:val="Normal"/>
    <w:link w:val="Ttulo9Char"/>
    <w:uiPriority w:val="8"/>
    <w:unhideWhenUsed w:val="1"/>
    <w:rsid w:val="00885032"/>
    <w:pPr>
      <w:spacing w:before="300"/>
      <w:ind w:left="1584" w:hanging="1584"/>
      <w:outlineLvl w:val="8"/>
    </w:pPr>
    <w:rPr>
      <w:i w:val="1"/>
      <w:caps w:val="1"/>
      <w:spacing w:val="10"/>
      <w:sz w:val="18"/>
      <w:szCs w:val="1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PitchBodyText" w:customStyle="1">
    <w:name w:val="Pitch Body Text"/>
    <w:basedOn w:val="Normal"/>
    <w:next w:val="Normal"/>
    <w:qFormat w:val="1"/>
    <w:rsid w:val="00F978AF"/>
    <w:pPr>
      <w:spacing w:line="250" w:lineRule="exact"/>
    </w:pPr>
    <w:rPr>
      <w:rFonts w:asciiTheme="minorHAnsi" w:hAnsiTheme="minorHAnsi"/>
      <w:sz w:val="20"/>
    </w:rPr>
  </w:style>
  <w:style w:type="paragraph" w:styleId="Heading1" w:customStyle="1">
    <w:name w:val="Heading1"/>
    <w:basedOn w:val="Normal"/>
    <w:link w:val="Heading1Char"/>
    <w:uiPriority w:val="47"/>
    <w:qFormat w:val="1"/>
    <w:rsid w:val="00F978AF"/>
    <w:pPr>
      <w:tabs>
        <w:tab w:val="right" w:pos="9360"/>
      </w:tabs>
      <w:spacing w:after="360"/>
    </w:pPr>
    <w:rPr>
      <w:rFonts w:asciiTheme="minorHAnsi" w:cstheme="minorHAnsi" w:hAnsiTheme="minorHAnsi"/>
      <w:b w:val="1"/>
      <w:color w:val="333e48" w:themeColor="accent1"/>
      <w:sz w:val="48"/>
      <w:szCs w:val="48"/>
    </w:rPr>
  </w:style>
  <w:style w:type="character" w:styleId="Heading1Char" w:customStyle="1">
    <w:name w:val="Heading1 Char"/>
    <w:basedOn w:val="Fontepargpadro"/>
    <w:link w:val="Heading1"/>
    <w:uiPriority w:val="47"/>
    <w:rsid w:val="00F978AF"/>
    <w:rPr>
      <w:rFonts w:asciiTheme="minorHAnsi" w:cstheme="minorHAnsi" w:hAnsiTheme="minorHAnsi"/>
      <w:b w:val="1"/>
      <w:color w:val="333e48" w:themeColor="accent1"/>
      <w:sz w:val="48"/>
      <w:szCs w:val="48"/>
    </w:rPr>
  </w:style>
  <w:style w:type="character" w:styleId="Ttulo1Char" w:customStyle="1">
    <w:name w:val="Título 1 Char"/>
    <w:aliases w:val="Title_1 Char,CROMS_Heading 1 Char"/>
    <w:basedOn w:val="Fontepargpadro"/>
    <w:link w:val="Ttulo1"/>
    <w:rsid w:val="00F978AF"/>
    <w:rPr>
      <w:rFonts w:asciiTheme="majorHAnsi" w:cstheme="majorBidi" w:eastAsiaTheme="majorEastAsia" w:hAnsiTheme="majorHAnsi"/>
      <w:b w:val="1"/>
      <w:bCs w:val="1"/>
      <w:color w:val="000000" w:themeColor="text1"/>
      <w:sz w:val="40"/>
      <w:szCs w:val="28"/>
    </w:rPr>
  </w:style>
  <w:style w:type="paragraph" w:styleId="Style1" w:customStyle="1">
    <w:name w:val="Style1"/>
    <w:basedOn w:val="Normal"/>
    <w:link w:val="Style1Char"/>
    <w:rsid w:val="009D2FB3"/>
    <w:pPr>
      <w:spacing w:after="120"/>
    </w:pPr>
    <w:rPr>
      <w:lang w:val="en-GB"/>
    </w:rPr>
  </w:style>
  <w:style w:type="table" w:styleId="Tabelacomgrade">
    <w:name w:val="Table Grid"/>
    <w:basedOn w:val="Tabelanormal"/>
    <w:uiPriority w:val="39"/>
    <w:rsid w:val="009D2FB3"/>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bealho">
    <w:name w:val="header"/>
    <w:basedOn w:val="Normal"/>
    <w:link w:val="CabealhoChar"/>
    <w:uiPriority w:val="99"/>
    <w:unhideWhenUsed w:val="1"/>
    <w:rsid w:val="00682A28"/>
    <w:pPr>
      <w:tabs>
        <w:tab w:val="center" w:pos="4680"/>
        <w:tab w:val="right" w:pos="9360"/>
      </w:tabs>
    </w:pPr>
  </w:style>
  <w:style w:type="character" w:styleId="CabealhoChar" w:customStyle="1">
    <w:name w:val="Cabeçalho Char"/>
    <w:basedOn w:val="Fontepargpadro"/>
    <w:link w:val="Cabealho"/>
    <w:uiPriority w:val="99"/>
    <w:rsid w:val="00682A28"/>
  </w:style>
  <w:style w:type="paragraph" w:styleId="Rodap">
    <w:name w:val="footer"/>
    <w:basedOn w:val="Normal"/>
    <w:link w:val="RodapChar"/>
    <w:uiPriority w:val="99"/>
    <w:unhideWhenUsed w:val="1"/>
    <w:rsid w:val="00682A28"/>
    <w:pPr>
      <w:tabs>
        <w:tab w:val="center" w:pos="4680"/>
        <w:tab w:val="right" w:pos="9360"/>
      </w:tabs>
    </w:pPr>
  </w:style>
  <w:style w:type="character" w:styleId="RodapChar" w:customStyle="1">
    <w:name w:val="Rodapé Char"/>
    <w:basedOn w:val="Fontepargpadro"/>
    <w:link w:val="Rodap"/>
    <w:uiPriority w:val="99"/>
    <w:rsid w:val="00682A28"/>
  </w:style>
  <w:style w:type="character" w:styleId="TextodoEspaoReservado">
    <w:name w:val="Placeholder Text"/>
    <w:basedOn w:val="Fontepargpadro"/>
    <w:uiPriority w:val="99"/>
    <w:semiHidden w:val="1"/>
    <w:rsid w:val="008D7BAF"/>
    <w:rPr>
      <w:color w:val="808080"/>
    </w:rPr>
  </w:style>
  <w:style w:type="paragraph" w:styleId="Textodebalo">
    <w:name w:val="Balloon Text"/>
    <w:basedOn w:val="Normal"/>
    <w:link w:val="TextodebaloChar"/>
    <w:uiPriority w:val="99"/>
    <w:unhideWhenUsed w:val="1"/>
    <w:rsid w:val="008D7BAF"/>
    <w:rPr>
      <w:rFonts w:ascii="Tahoma" w:cs="Tahoma" w:hAnsi="Tahoma"/>
      <w:sz w:val="16"/>
      <w:szCs w:val="16"/>
    </w:rPr>
  </w:style>
  <w:style w:type="character" w:styleId="TextodebaloChar" w:customStyle="1">
    <w:name w:val="Texto de balão Char"/>
    <w:basedOn w:val="Fontepargpadro"/>
    <w:link w:val="Textodebalo"/>
    <w:uiPriority w:val="99"/>
    <w:rsid w:val="008D7BAF"/>
    <w:rPr>
      <w:rFonts w:ascii="Tahoma" w:cs="Tahoma" w:hAnsi="Tahoma"/>
      <w:sz w:val="16"/>
      <w:szCs w:val="16"/>
    </w:rPr>
  </w:style>
  <w:style w:type="paragraph" w:styleId="PargrafodaLista">
    <w:name w:val="List Paragraph"/>
    <w:basedOn w:val="Normal"/>
    <w:uiPriority w:val="34"/>
    <w:qFormat w:val="1"/>
    <w:rsid w:val="00FC3C5B"/>
    <w:pPr>
      <w:ind w:left="720"/>
      <w:contextualSpacing w:val="1"/>
    </w:pPr>
  </w:style>
  <w:style w:type="paragraph" w:styleId="Default" w:customStyle="1">
    <w:name w:val="Default"/>
    <w:rsid w:val="004E7C5D"/>
    <w:pPr>
      <w:autoSpaceDE w:val="0"/>
      <w:autoSpaceDN w:val="0"/>
      <w:adjustRightInd w:val="0"/>
      <w:spacing w:after="0"/>
    </w:pPr>
    <w:rPr>
      <w:rFonts w:ascii="Arial" w:cs="Arial" w:hAnsi="Arial"/>
      <w:color w:val="000000"/>
      <w:lang w:val="pt-BR"/>
    </w:rPr>
  </w:style>
  <w:style w:type="paragraph" w:styleId="NormalWeb">
    <w:name w:val="Normal (Web)"/>
    <w:basedOn w:val="Normal"/>
    <w:uiPriority w:val="99"/>
    <w:unhideWhenUsed w:val="1"/>
    <w:qFormat w:val="1"/>
    <w:rsid w:val="00372AC0"/>
  </w:style>
  <w:style w:type="paragraph" w:styleId="EndNoteBibliographyTitle" w:customStyle="1">
    <w:name w:val="EndNote Bibliography Title"/>
    <w:basedOn w:val="Normal"/>
    <w:link w:val="EndNoteBibliographyTitleChar"/>
    <w:rsid w:val="00FC5986"/>
    <w:pPr>
      <w:jc w:val="center"/>
    </w:pPr>
  </w:style>
  <w:style w:type="character" w:styleId="Style1Char" w:customStyle="1">
    <w:name w:val="Style1 Char"/>
    <w:basedOn w:val="Fontepargpadro"/>
    <w:link w:val="Style1"/>
    <w:rsid w:val="00FC5986"/>
    <w:rPr>
      <w:rFonts w:eastAsia="Times New Roman"/>
      <w:lang w:eastAsia="pt-BR" w:val="en-GB"/>
    </w:rPr>
  </w:style>
  <w:style w:type="character" w:styleId="EndNoteBibliographyTitleChar" w:customStyle="1">
    <w:name w:val="EndNote Bibliography Title Char"/>
    <w:basedOn w:val="Style1Char"/>
    <w:link w:val="EndNoteBibliographyTitle"/>
    <w:rsid w:val="00FC5986"/>
    <w:rPr>
      <w:rFonts w:eastAsia="Times New Roman"/>
      <w:lang w:eastAsia="pt-BR" w:val="pt-BR"/>
    </w:rPr>
  </w:style>
  <w:style w:type="paragraph" w:styleId="EndNoteBibliography" w:customStyle="1">
    <w:name w:val="EndNote Bibliography"/>
    <w:basedOn w:val="Normal"/>
    <w:link w:val="EndNoteBibliographyChar"/>
    <w:rsid w:val="00FC5986"/>
  </w:style>
  <w:style w:type="character" w:styleId="EndNoteBibliographyChar" w:customStyle="1">
    <w:name w:val="EndNote Bibliography Char"/>
    <w:basedOn w:val="Style1Char"/>
    <w:link w:val="EndNoteBibliography"/>
    <w:rsid w:val="00FC5986"/>
    <w:rPr>
      <w:rFonts w:eastAsia="Times New Roman"/>
      <w:lang w:eastAsia="pt-BR" w:val="pt-BR"/>
    </w:rPr>
  </w:style>
  <w:style w:type="character" w:styleId="Ttulo3Char" w:customStyle="1">
    <w:name w:val="Título 3 Char"/>
    <w:aliases w:val="CROMS_Heading 3 Char"/>
    <w:basedOn w:val="Fontepargpadro"/>
    <w:link w:val="Ttulo3"/>
    <w:uiPriority w:val="2"/>
    <w:rsid w:val="006324D2"/>
    <w:rPr>
      <w:rFonts w:asciiTheme="majorHAnsi" w:cstheme="majorBidi" w:eastAsiaTheme="majorEastAsia" w:hAnsiTheme="majorHAnsi"/>
      <w:color w:val="191e23" w:themeColor="accent1" w:themeShade="00007F"/>
      <w:lang w:eastAsia="pt-BR" w:val="pt-BR"/>
    </w:rPr>
  </w:style>
  <w:style w:type="character" w:styleId="Hyperlink">
    <w:name w:val="Hyperlink"/>
    <w:basedOn w:val="Fontepargpadro"/>
    <w:uiPriority w:val="99"/>
    <w:unhideWhenUsed w:val="1"/>
    <w:rsid w:val="006324D2"/>
    <w:rPr>
      <w:color w:val="0094ca" w:themeColor="hyperlink"/>
      <w:u w:val="single"/>
    </w:rPr>
  </w:style>
  <w:style w:type="character" w:styleId="MenoPendente">
    <w:name w:val="Unresolved Mention"/>
    <w:basedOn w:val="Fontepargpadro"/>
    <w:uiPriority w:val="99"/>
    <w:semiHidden w:val="1"/>
    <w:unhideWhenUsed w:val="1"/>
    <w:rsid w:val="006324D2"/>
    <w:rPr>
      <w:color w:val="605e5c"/>
      <w:shd w:color="auto" w:fill="e1dfdd" w:val="clear"/>
    </w:rPr>
  </w:style>
  <w:style w:type="character" w:styleId="Nmerodepgina">
    <w:name w:val="page number"/>
    <w:basedOn w:val="Fontepargpadro"/>
    <w:uiPriority w:val="99"/>
    <w:semiHidden w:val="1"/>
    <w:unhideWhenUsed w:val="1"/>
    <w:rsid w:val="005A4B60"/>
  </w:style>
  <w:style w:type="paragraph" w:styleId="Ttulo">
    <w:name w:val="Title"/>
    <w:basedOn w:val="Normal"/>
    <w:next w:val="Normal"/>
    <w:link w:val="TtuloChar"/>
    <w:qFormat w:val="1"/>
    <w:rsid w:val="00C664F5"/>
    <w:pPr>
      <w:contextualSpacing w:val="1"/>
    </w:pPr>
    <w:rPr>
      <w:rFonts w:asciiTheme="majorHAnsi" w:cstheme="majorBidi" w:eastAsiaTheme="majorEastAsia" w:hAnsiTheme="majorHAnsi"/>
      <w:spacing w:val="-10"/>
      <w:kern w:val="28"/>
      <w:sz w:val="56"/>
      <w:szCs w:val="56"/>
    </w:rPr>
  </w:style>
  <w:style w:type="character" w:styleId="TtuloChar" w:customStyle="1">
    <w:name w:val="Título Char"/>
    <w:basedOn w:val="Fontepargpadro"/>
    <w:link w:val="Ttulo"/>
    <w:rsid w:val="00C664F5"/>
    <w:rPr>
      <w:rFonts w:asciiTheme="majorHAnsi" w:cstheme="majorBidi" w:eastAsiaTheme="majorEastAsia" w:hAnsiTheme="majorHAnsi"/>
      <w:spacing w:val="-10"/>
      <w:kern w:val="28"/>
      <w:sz w:val="56"/>
      <w:szCs w:val="56"/>
      <w:lang w:eastAsia="pt-BR" w:val="pt-BR"/>
    </w:rPr>
  </w:style>
  <w:style w:type="table" w:styleId="TabeladeGrade1Clara">
    <w:name w:val="Grid Table 1 Light"/>
    <w:basedOn w:val="Tabelanormal"/>
    <w:uiPriority w:val="46"/>
    <w:rsid w:val="00D15F17"/>
    <w:pPr>
      <w:spacing w:after="0"/>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TabeladeGradeClara">
    <w:name w:val="Grid Table Light"/>
    <w:basedOn w:val="Tabelanormal"/>
    <w:uiPriority w:val="40"/>
    <w:rsid w:val="00BB3B52"/>
    <w:pPr>
      <w:spacing w:after="0"/>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CabealhodoSumrio">
    <w:name w:val="TOC Heading"/>
    <w:basedOn w:val="Ttulo1"/>
    <w:next w:val="Normal"/>
    <w:uiPriority w:val="39"/>
    <w:unhideWhenUsed w:val="1"/>
    <w:qFormat w:val="1"/>
    <w:rsid w:val="00F67581"/>
    <w:pPr>
      <w:spacing w:after="0" w:before="480" w:line="276" w:lineRule="auto"/>
      <w:outlineLvl w:val="9"/>
    </w:pPr>
    <w:rPr>
      <w:color w:val="262e35" w:themeColor="accent1" w:themeShade="0000BF"/>
      <w:sz w:val="28"/>
    </w:rPr>
  </w:style>
  <w:style w:type="paragraph" w:styleId="Sumrio1">
    <w:name w:val="toc 1"/>
    <w:basedOn w:val="Normal"/>
    <w:next w:val="Normal"/>
    <w:autoRedefine w:val="1"/>
    <w:uiPriority w:val="39"/>
    <w:unhideWhenUsed w:val="1"/>
    <w:rsid w:val="00F67581"/>
    <w:pPr>
      <w:spacing w:before="120"/>
    </w:pPr>
    <w:rPr>
      <w:rFonts w:asciiTheme="minorHAnsi" w:cstheme="minorHAnsi" w:hAnsiTheme="minorHAnsi"/>
      <w:b w:val="1"/>
      <w:bCs w:val="1"/>
      <w:i w:val="1"/>
      <w:iCs w:val="1"/>
    </w:rPr>
  </w:style>
  <w:style w:type="paragraph" w:styleId="Sumrio2">
    <w:name w:val="toc 2"/>
    <w:basedOn w:val="Normal"/>
    <w:next w:val="Normal"/>
    <w:autoRedefine w:val="1"/>
    <w:uiPriority w:val="39"/>
    <w:unhideWhenUsed w:val="1"/>
    <w:rsid w:val="00F67581"/>
    <w:pPr>
      <w:spacing w:before="120"/>
      <w:ind w:left="240"/>
    </w:pPr>
    <w:rPr>
      <w:rFonts w:asciiTheme="minorHAnsi" w:cstheme="minorHAnsi" w:hAnsiTheme="minorHAnsi"/>
      <w:b w:val="1"/>
      <w:bCs w:val="1"/>
      <w:sz w:val="22"/>
      <w:szCs w:val="22"/>
    </w:rPr>
  </w:style>
  <w:style w:type="paragraph" w:styleId="Sumrio3">
    <w:name w:val="toc 3"/>
    <w:basedOn w:val="Normal"/>
    <w:next w:val="Normal"/>
    <w:autoRedefine w:val="1"/>
    <w:uiPriority w:val="39"/>
    <w:unhideWhenUsed w:val="1"/>
    <w:rsid w:val="00F67581"/>
    <w:pPr>
      <w:ind w:left="480"/>
    </w:pPr>
    <w:rPr>
      <w:rFonts w:asciiTheme="minorHAnsi" w:cstheme="minorHAnsi" w:hAnsiTheme="minorHAnsi"/>
      <w:sz w:val="20"/>
      <w:szCs w:val="20"/>
    </w:rPr>
  </w:style>
  <w:style w:type="paragraph" w:styleId="Sumrio4">
    <w:name w:val="toc 4"/>
    <w:basedOn w:val="Normal"/>
    <w:next w:val="Normal"/>
    <w:autoRedefine w:val="1"/>
    <w:uiPriority w:val="39"/>
    <w:unhideWhenUsed w:val="1"/>
    <w:rsid w:val="00F67581"/>
    <w:pPr>
      <w:ind w:left="720"/>
    </w:pPr>
    <w:rPr>
      <w:rFonts w:asciiTheme="minorHAnsi" w:cstheme="minorHAnsi" w:hAnsiTheme="minorHAnsi"/>
      <w:sz w:val="20"/>
      <w:szCs w:val="20"/>
    </w:rPr>
  </w:style>
  <w:style w:type="paragraph" w:styleId="Sumrio5">
    <w:name w:val="toc 5"/>
    <w:basedOn w:val="Normal"/>
    <w:next w:val="Normal"/>
    <w:autoRedefine w:val="1"/>
    <w:uiPriority w:val="39"/>
    <w:unhideWhenUsed w:val="1"/>
    <w:rsid w:val="00F67581"/>
    <w:pPr>
      <w:ind w:left="960"/>
    </w:pPr>
    <w:rPr>
      <w:rFonts w:asciiTheme="minorHAnsi" w:cstheme="minorHAnsi" w:hAnsiTheme="minorHAnsi"/>
      <w:sz w:val="20"/>
      <w:szCs w:val="20"/>
    </w:rPr>
  </w:style>
  <w:style w:type="paragraph" w:styleId="Sumrio6">
    <w:name w:val="toc 6"/>
    <w:basedOn w:val="Normal"/>
    <w:next w:val="Normal"/>
    <w:autoRedefine w:val="1"/>
    <w:uiPriority w:val="39"/>
    <w:unhideWhenUsed w:val="1"/>
    <w:rsid w:val="00F67581"/>
    <w:pPr>
      <w:ind w:left="1200"/>
    </w:pPr>
    <w:rPr>
      <w:rFonts w:asciiTheme="minorHAnsi" w:cstheme="minorHAnsi" w:hAnsiTheme="minorHAnsi"/>
      <w:sz w:val="20"/>
      <w:szCs w:val="20"/>
    </w:rPr>
  </w:style>
  <w:style w:type="paragraph" w:styleId="Sumrio7">
    <w:name w:val="toc 7"/>
    <w:basedOn w:val="Normal"/>
    <w:next w:val="Normal"/>
    <w:autoRedefine w:val="1"/>
    <w:uiPriority w:val="39"/>
    <w:unhideWhenUsed w:val="1"/>
    <w:rsid w:val="00F67581"/>
    <w:pPr>
      <w:ind w:left="1440"/>
    </w:pPr>
    <w:rPr>
      <w:rFonts w:asciiTheme="minorHAnsi" w:cstheme="minorHAnsi" w:hAnsiTheme="minorHAnsi"/>
      <w:sz w:val="20"/>
      <w:szCs w:val="20"/>
    </w:rPr>
  </w:style>
  <w:style w:type="paragraph" w:styleId="Sumrio8">
    <w:name w:val="toc 8"/>
    <w:basedOn w:val="Normal"/>
    <w:next w:val="Normal"/>
    <w:autoRedefine w:val="1"/>
    <w:uiPriority w:val="39"/>
    <w:unhideWhenUsed w:val="1"/>
    <w:rsid w:val="00F67581"/>
    <w:pPr>
      <w:ind w:left="1680"/>
    </w:pPr>
    <w:rPr>
      <w:rFonts w:asciiTheme="minorHAnsi" w:cstheme="minorHAnsi" w:hAnsiTheme="minorHAnsi"/>
      <w:sz w:val="20"/>
      <w:szCs w:val="20"/>
    </w:rPr>
  </w:style>
  <w:style w:type="paragraph" w:styleId="Sumrio9">
    <w:name w:val="toc 9"/>
    <w:basedOn w:val="Normal"/>
    <w:next w:val="Normal"/>
    <w:autoRedefine w:val="1"/>
    <w:uiPriority w:val="39"/>
    <w:unhideWhenUsed w:val="1"/>
    <w:rsid w:val="00F67581"/>
    <w:pPr>
      <w:ind w:left="1920"/>
    </w:pPr>
    <w:rPr>
      <w:rFonts w:asciiTheme="minorHAnsi" w:cstheme="minorHAnsi" w:hAnsiTheme="minorHAnsi"/>
      <w:sz w:val="20"/>
      <w:szCs w:val="20"/>
    </w:rPr>
  </w:style>
  <w:style w:type="paragraph" w:styleId="CROMSInstruction" w:customStyle="1">
    <w:name w:val="CROMS_Instruction"/>
    <w:basedOn w:val="Corpodetexto"/>
    <w:uiPriority w:val="17"/>
    <w:rsid w:val="00597DB2"/>
    <w:pPr>
      <w:spacing w:before="120"/>
    </w:pPr>
    <w:rPr>
      <w:rFonts w:ascii="Arial" w:hAnsi="Arial"/>
      <w:i w:val="1"/>
      <w:iCs w:val="1"/>
      <w:color w:val="1f497d" w:themeColor="text2"/>
    </w:rPr>
  </w:style>
  <w:style w:type="character" w:styleId="Refdecomentrio">
    <w:name w:val="annotation reference"/>
    <w:basedOn w:val="Fontepargpadro"/>
    <w:uiPriority w:val="99"/>
    <w:unhideWhenUsed w:val="1"/>
    <w:rsid w:val="00597DB2"/>
    <w:rPr>
      <w:sz w:val="16"/>
      <w:szCs w:val="16"/>
    </w:rPr>
  </w:style>
  <w:style w:type="paragraph" w:styleId="Corpodetexto2">
    <w:name w:val="Body Text 2"/>
    <w:basedOn w:val="Normal"/>
    <w:link w:val="Corpodetexto2Char"/>
    <w:unhideWhenUsed w:val="1"/>
    <w:rsid w:val="00597DB2"/>
    <w:pPr>
      <w:spacing w:after="120" w:line="480" w:lineRule="auto"/>
    </w:pPr>
  </w:style>
  <w:style w:type="character" w:styleId="Corpodetexto2Char" w:customStyle="1">
    <w:name w:val="Corpo de texto 2 Char"/>
    <w:basedOn w:val="Fontepargpadro"/>
    <w:link w:val="Corpodetexto2"/>
    <w:rsid w:val="00597DB2"/>
    <w:rPr>
      <w:rFonts w:eastAsia="Times New Roman"/>
      <w:lang w:eastAsia="pt-BR" w:val="pt-BR"/>
    </w:rPr>
  </w:style>
  <w:style w:type="paragraph" w:styleId="Corpodetexto">
    <w:name w:val="Body Text"/>
    <w:basedOn w:val="Normal"/>
    <w:link w:val="CorpodetextoChar"/>
    <w:uiPriority w:val="99"/>
    <w:unhideWhenUsed w:val="1"/>
    <w:rsid w:val="00597DB2"/>
    <w:pPr>
      <w:spacing w:after="120"/>
    </w:pPr>
  </w:style>
  <w:style w:type="character" w:styleId="CorpodetextoChar" w:customStyle="1">
    <w:name w:val="Corpo de texto Char"/>
    <w:basedOn w:val="Fontepargpadro"/>
    <w:link w:val="Corpodetexto"/>
    <w:uiPriority w:val="99"/>
    <w:rsid w:val="00597DB2"/>
    <w:rPr>
      <w:rFonts w:eastAsia="Times New Roman"/>
      <w:lang w:eastAsia="pt-BR" w:val="pt-BR"/>
    </w:rPr>
  </w:style>
  <w:style w:type="character" w:styleId="Ttulo4Char" w:customStyle="1">
    <w:name w:val="Título 4 Char"/>
    <w:aliases w:val="CROMS_Heading 4 Char"/>
    <w:basedOn w:val="Fontepargpadro"/>
    <w:link w:val="Ttulo4"/>
    <w:uiPriority w:val="3"/>
    <w:rsid w:val="00792D30"/>
    <w:rPr>
      <w:rFonts w:asciiTheme="majorHAnsi" w:cstheme="majorBidi" w:eastAsiaTheme="majorEastAsia" w:hAnsiTheme="majorHAnsi"/>
      <w:i w:val="1"/>
      <w:iCs w:val="1"/>
      <w:color w:val="262e35" w:themeColor="accent1" w:themeShade="0000BF"/>
      <w:lang w:eastAsia="pt-BR" w:val="pt-BR"/>
    </w:rPr>
  </w:style>
  <w:style w:type="table" w:styleId="TabeladeGrade4-nfase11" w:customStyle="1">
    <w:name w:val="Tabela de Grade 4 - Ênfase 11"/>
    <w:basedOn w:val="Tabelanormal"/>
    <w:next w:val="TabeladeGrade4-nfase1"/>
    <w:uiPriority w:val="49"/>
    <w:rsid w:val="00410665"/>
    <w:pPr>
      <w:spacing w:after="0" w:before="200"/>
    </w:pPr>
    <w:rPr>
      <w:rFonts w:ascii="Calibri" w:eastAsia="MS Mincho" w:hAnsi="Calibri"/>
      <w:sz w:val="22"/>
      <w:szCs w:val="22"/>
    </w:rPr>
    <w:tblPr>
      <w:tblStyleRowBandSize w:val="1"/>
      <w:tblStyleColBandSize w:val="1"/>
      <w:tblBorders>
        <w:top w:color="95b3d7" w:space="0" w:sz="4" w:val="single"/>
        <w:left w:color="95b3d7" w:space="0" w:sz="4" w:val="single"/>
        <w:bottom w:color="95b3d7" w:space="0" w:sz="4" w:val="single"/>
        <w:right w:color="95b3d7" w:space="0" w:sz="4" w:val="single"/>
        <w:insideH w:color="95b3d7" w:space="0" w:sz="4" w:val="single"/>
        <w:insideV w:color="95b3d7" w:space="0" w:sz="4" w:val="single"/>
      </w:tblBorders>
    </w:tblPr>
    <w:tblStylePr w:type="firstRow">
      <w:rPr>
        <w:b w:val="1"/>
        <w:bCs w:val="1"/>
        <w:color w:val="ffffff"/>
      </w:rPr>
      <w:tblPr/>
      <w:tcPr>
        <w:tcBorders>
          <w:top w:color="4f81bd" w:space="0" w:sz="4" w:val="single"/>
          <w:left w:color="4f81bd" w:space="0" w:sz="4" w:val="single"/>
          <w:bottom w:color="4f81bd" w:space="0" w:sz="4" w:val="single"/>
          <w:right w:color="4f81bd" w:space="0" w:sz="4" w:val="single"/>
          <w:insideH w:space="0" w:sz="0" w:val="nil"/>
          <w:insideV w:space="0" w:sz="0" w:val="nil"/>
        </w:tcBorders>
        <w:shd w:color="auto" w:fill="4f81bd" w:val="clear"/>
      </w:tcPr>
    </w:tblStylePr>
    <w:tblStylePr w:type="lastRow">
      <w:rPr>
        <w:b w:val="1"/>
        <w:bCs w:val="1"/>
      </w:rPr>
      <w:tblPr/>
      <w:tcPr>
        <w:tcBorders>
          <w:top w:color="4f81bd" w:space="0" w:sz="4" w:val="double"/>
        </w:tcBorders>
      </w:tcPr>
    </w:tblStylePr>
    <w:tblStylePr w:type="firstCol">
      <w:rPr>
        <w:b w:val="1"/>
        <w:bCs w:val="1"/>
      </w:rPr>
    </w:tblStylePr>
    <w:tblStylePr w:type="lastCol">
      <w:rPr>
        <w:b w:val="1"/>
        <w:bCs w:val="1"/>
      </w:rPr>
    </w:tblStylePr>
    <w:tblStylePr w:type="band1Vert">
      <w:tblPr/>
      <w:tcPr>
        <w:shd w:color="auto" w:fill="dbe5f1" w:val="clear"/>
      </w:tcPr>
    </w:tblStylePr>
    <w:tblStylePr w:type="band1Horz">
      <w:tblPr/>
      <w:tcPr>
        <w:shd w:color="auto" w:fill="dbe5f1" w:val="clear"/>
      </w:tcPr>
    </w:tblStylePr>
  </w:style>
  <w:style w:type="table" w:styleId="TabeladeGrade4-nfase1">
    <w:name w:val="Grid Table 4 Accent 1"/>
    <w:basedOn w:val="Tabelanormal"/>
    <w:uiPriority w:val="49"/>
    <w:rsid w:val="00410665"/>
    <w:pPr>
      <w:spacing w:after="0"/>
    </w:pPr>
    <w:tblPr>
      <w:tblStyleRowBandSize w:val="1"/>
      <w:tblStyleColBandSize w:val="1"/>
      <w:tblBorders>
        <w:top w:color="778b9e" w:space="0" w:sz="4" w:themeColor="accent1" w:themeTint="000099" w:val="single"/>
        <w:left w:color="778b9e" w:space="0" w:sz="4" w:themeColor="accent1" w:themeTint="000099" w:val="single"/>
        <w:bottom w:color="778b9e" w:space="0" w:sz="4" w:themeColor="accent1" w:themeTint="000099" w:val="single"/>
        <w:right w:color="778b9e" w:space="0" w:sz="4" w:themeColor="accent1" w:themeTint="000099" w:val="single"/>
        <w:insideH w:color="778b9e" w:space="0" w:sz="4" w:themeColor="accent1" w:themeTint="000099" w:val="single"/>
        <w:insideV w:color="778b9e" w:space="0" w:sz="4" w:themeColor="accent1" w:themeTint="000099" w:val="single"/>
      </w:tblBorders>
    </w:tblPr>
    <w:tblStylePr w:type="firstRow">
      <w:rPr>
        <w:b w:val="1"/>
        <w:bCs w:val="1"/>
        <w:color w:val="ffffff" w:themeColor="background1"/>
      </w:rPr>
      <w:tblPr/>
      <w:tcPr>
        <w:tcBorders>
          <w:top w:color="333e48" w:space="0" w:sz="4" w:themeColor="accent1" w:val="single"/>
          <w:left w:color="333e48" w:space="0" w:sz="4" w:themeColor="accent1" w:val="single"/>
          <w:bottom w:color="333e48" w:space="0" w:sz="4" w:themeColor="accent1" w:val="single"/>
          <w:right w:color="333e48" w:space="0" w:sz="4" w:themeColor="accent1" w:val="single"/>
          <w:insideH w:space="0" w:sz="0" w:val="nil"/>
          <w:insideV w:space="0" w:sz="0" w:val="nil"/>
        </w:tcBorders>
        <w:shd w:color="auto" w:fill="333e48" w:themeFill="accent1" w:val="clear"/>
      </w:tcPr>
    </w:tblStylePr>
    <w:tblStylePr w:type="lastRow">
      <w:rPr>
        <w:b w:val="1"/>
        <w:bCs w:val="1"/>
      </w:rPr>
      <w:tblPr/>
      <w:tcPr>
        <w:tcBorders>
          <w:top w:color="333e48" w:space="0" w:sz="4" w:themeColor="accent1" w:val="double"/>
        </w:tcBorders>
      </w:tcPr>
    </w:tblStylePr>
    <w:tblStylePr w:type="firstCol">
      <w:rPr>
        <w:b w:val="1"/>
        <w:bCs w:val="1"/>
      </w:rPr>
    </w:tblStylePr>
    <w:tblStylePr w:type="lastCol">
      <w:rPr>
        <w:b w:val="1"/>
        <w:bCs w:val="1"/>
      </w:rPr>
    </w:tblStylePr>
    <w:tblStylePr w:type="band1Vert">
      <w:tblPr/>
      <w:tcPr>
        <w:shd w:color="auto" w:fill="d1d8de" w:themeFill="accent1" w:themeFillTint="000033" w:val="clear"/>
      </w:tcPr>
    </w:tblStylePr>
    <w:tblStylePr w:type="band1Horz">
      <w:tblPr/>
      <w:tcPr>
        <w:shd w:color="auto" w:fill="d1d8de" w:themeFill="accent1" w:themeFillTint="000033" w:val="clear"/>
      </w:tcPr>
    </w:tblStylePr>
  </w:style>
  <w:style w:type="table" w:styleId="TabelaSimples4">
    <w:name w:val="Plain Table 4"/>
    <w:basedOn w:val="Tabelanormal"/>
    <w:uiPriority w:val="44"/>
    <w:rsid w:val="00410665"/>
    <w:pPr>
      <w:spacing w:after="0"/>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Ttulo2Char" w:customStyle="1">
    <w:name w:val="Título 2 Char"/>
    <w:aliases w:val="CROMS_Heading 2 Char"/>
    <w:basedOn w:val="Fontepargpadro"/>
    <w:link w:val="Ttulo2"/>
    <w:rsid w:val="00885032"/>
    <w:rPr>
      <w:rFonts w:asciiTheme="majorHAnsi" w:cstheme="majorBidi" w:eastAsiaTheme="majorEastAsia" w:hAnsiTheme="majorHAnsi"/>
      <w:color w:val="262e35" w:themeColor="accent1" w:themeShade="0000BF"/>
      <w:sz w:val="26"/>
      <w:szCs w:val="26"/>
      <w:lang w:eastAsia="pt-BR" w:val="pt-BR"/>
    </w:rPr>
  </w:style>
  <w:style w:type="paragraph" w:styleId="Bibliografia">
    <w:name w:val="Bibliography"/>
    <w:basedOn w:val="Normal"/>
    <w:next w:val="Normal"/>
    <w:uiPriority w:val="37"/>
    <w:unhideWhenUsed w:val="1"/>
    <w:rsid w:val="00885032"/>
  </w:style>
  <w:style w:type="character" w:styleId="Ttulo5Char" w:customStyle="1">
    <w:name w:val="Título 5 Char"/>
    <w:aliases w:val="CROMS_Heading 5 Char"/>
    <w:basedOn w:val="Fontepargpadro"/>
    <w:link w:val="Ttulo5"/>
    <w:uiPriority w:val="4"/>
    <w:rsid w:val="00885032"/>
    <w:rPr>
      <w:rFonts w:eastAsia="Times New Roman"/>
      <w:caps w:val="1"/>
      <w:color w:val="262e35" w:themeColor="accent1" w:themeShade="0000BF"/>
      <w:spacing w:val="10"/>
      <w:sz w:val="22"/>
      <w:szCs w:val="22"/>
      <w:lang w:eastAsia="pt-BR" w:val="pt-BR"/>
    </w:rPr>
  </w:style>
  <w:style w:type="character" w:styleId="Ttulo6Char" w:customStyle="1">
    <w:name w:val="Título 6 Char"/>
    <w:aliases w:val="CROMS_Heading 6 Char"/>
    <w:basedOn w:val="Fontepargpadro"/>
    <w:link w:val="Ttulo6"/>
    <w:rsid w:val="00885032"/>
    <w:rPr>
      <w:rFonts w:eastAsia="Times New Roman"/>
      <w:caps w:val="1"/>
      <w:color w:val="262e35" w:themeColor="accent1" w:themeShade="0000BF"/>
      <w:spacing w:val="10"/>
      <w:sz w:val="22"/>
      <w:szCs w:val="22"/>
      <w:lang w:eastAsia="pt-BR" w:val="pt-BR"/>
    </w:rPr>
  </w:style>
  <w:style w:type="character" w:styleId="Ttulo7Char" w:customStyle="1">
    <w:name w:val="Título 7 Char"/>
    <w:aliases w:val="CROMS_Heading 7 Char"/>
    <w:basedOn w:val="Fontepargpadro"/>
    <w:link w:val="Ttulo7"/>
    <w:uiPriority w:val="6"/>
    <w:rsid w:val="00885032"/>
    <w:rPr>
      <w:rFonts w:eastAsia="Times New Roman"/>
      <w:caps w:val="1"/>
      <w:color w:val="262e35" w:themeColor="accent1" w:themeShade="0000BF"/>
      <w:spacing w:val="10"/>
      <w:sz w:val="22"/>
      <w:szCs w:val="22"/>
      <w:lang w:eastAsia="pt-BR" w:val="pt-BR"/>
    </w:rPr>
  </w:style>
  <w:style w:type="character" w:styleId="Ttulo8Char" w:customStyle="1">
    <w:name w:val="Título 8 Char"/>
    <w:aliases w:val="CROMS_Heading 8 Char"/>
    <w:basedOn w:val="Fontepargpadro"/>
    <w:link w:val="Ttulo8"/>
    <w:uiPriority w:val="7"/>
    <w:rsid w:val="00885032"/>
    <w:rPr>
      <w:rFonts w:eastAsia="Times New Roman"/>
      <w:caps w:val="1"/>
      <w:spacing w:val="10"/>
      <w:sz w:val="18"/>
      <w:szCs w:val="18"/>
      <w:lang w:eastAsia="pt-BR" w:val="pt-BR"/>
    </w:rPr>
  </w:style>
  <w:style w:type="character" w:styleId="Ttulo9Char" w:customStyle="1">
    <w:name w:val="Título 9 Char"/>
    <w:aliases w:val="CROMS_Heading 9 Char"/>
    <w:basedOn w:val="Fontepargpadro"/>
    <w:link w:val="Ttulo9"/>
    <w:uiPriority w:val="8"/>
    <w:rsid w:val="00885032"/>
    <w:rPr>
      <w:rFonts w:eastAsia="Times New Roman"/>
      <w:i w:val="1"/>
      <w:caps w:val="1"/>
      <w:spacing w:val="10"/>
      <w:sz w:val="18"/>
      <w:szCs w:val="18"/>
      <w:lang w:eastAsia="pt-BR" w:val="pt-BR"/>
    </w:rPr>
  </w:style>
  <w:style w:type="paragraph" w:styleId="CROMSFrontMatterHeading1TOC" w:customStyle="1">
    <w:name w:val="CROMS_FrontMatterHeading1(TOC)"/>
    <w:basedOn w:val="Normal"/>
    <w:next w:val="Normal"/>
    <w:uiPriority w:val="14"/>
    <w:rsid w:val="00885032"/>
    <w:pPr>
      <w:tabs>
        <w:tab w:val="left" w:pos="900"/>
      </w:tabs>
      <w:spacing w:after="240" w:before="60"/>
      <w:jc w:val="center"/>
      <w:outlineLvl w:val="0"/>
    </w:pPr>
    <w:rPr>
      <w:rFonts w:ascii="Arial" w:hAnsi="Arial"/>
      <w:b w:val="1"/>
      <w:bCs w:val="1"/>
      <w:kern w:val="28"/>
      <w:szCs w:val="32"/>
    </w:rPr>
  </w:style>
  <w:style w:type="paragraph" w:styleId="Legenda">
    <w:name w:val="caption"/>
    <w:basedOn w:val="Normal"/>
    <w:next w:val="Normal"/>
    <w:link w:val="LegendaChar"/>
    <w:uiPriority w:val="35"/>
    <w:unhideWhenUsed w:val="1"/>
    <w:qFormat w:val="1"/>
    <w:rsid w:val="00885032"/>
    <w:rPr>
      <w:b w:val="1"/>
      <w:bCs w:val="1"/>
      <w:color w:val="262e35" w:themeColor="accent1" w:themeShade="0000BF"/>
      <w:sz w:val="16"/>
      <w:szCs w:val="16"/>
    </w:rPr>
  </w:style>
  <w:style w:type="paragraph" w:styleId="Subttulo">
    <w:name w:val="Subtitle"/>
    <w:basedOn w:val="Normal"/>
    <w:next w:val="Normal"/>
    <w:link w:val="SubttuloChar"/>
    <w:qFormat w:val="1"/>
    <w:rsid w:val="00885032"/>
    <w:pPr>
      <w:spacing w:after="1000"/>
    </w:pPr>
    <w:rPr>
      <w:caps w:val="1"/>
      <w:color w:val="595959" w:themeColor="text1" w:themeTint="0000A6"/>
      <w:spacing w:val="10"/>
    </w:rPr>
  </w:style>
  <w:style w:type="character" w:styleId="SubttuloChar" w:customStyle="1">
    <w:name w:val="Subtítulo Char"/>
    <w:basedOn w:val="Fontepargpadro"/>
    <w:link w:val="Subttulo"/>
    <w:rsid w:val="00885032"/>
    <w:rPr>
      <w:rFonts w:eastAsia="Times New Roman"/>
      <w:caps w:val="1"/>
      <w:color w:val="595959" w:themeColor="text1" w:themeTint="0000A6"/>
      <w:spacing w:val="10"/>
      <w:lang w:eastAsia="pt-BR" w:val="pt-BR"/>
    </w:rPr>
  </w:style>
  <w:style w:type="character" w:styleId="Forte">
    <w:name w:val="Strong"/>
    <w:qFormat w:val="1"/>
    <w:rsid w:val="00885032"/>
    <w:rPr>
      <w:b w:val="1"/>
      <w:bCs w:val="1"/>
    </w:rPr>
  </w:style>
  <w:style w:type="character" w:styleId="nfase">
    <w:name w:val="Emphasis"/>
    <w:uiPriority w:val="20"/>
    <w:qFormat w:val="1"/>
    <w:rsid w:val="00885032"/>
    <w:rPr>
      <w:caps w:val="1"/>
      <w:color w:val="191e23" w:themeColor="accent1" w:themeShade="00007F"/>
      <w:spacing w:val="5"/>
    </w:rPr>
  </w:style>
  <w:style w:type="paragraph" w:styleId="SemEspaamento">
    <w:name w:val="No Spacing"/>
    <w:basedOn w:val="Normal"/>
    <w:link w:val="SemEspaamentoChar"/>
    <w:uiPriority w:val="1"/>
    <w:qFormat w:val="1"/>
    <w:rsid w:val="00885032"/>
  </w:style>
  <w:style w:type="character" w:styleId="SemEspaamentoChar" w:customStyle="1">
    <w:name w:val="Sem Espaçamento Char"/>
    <w:basedOn w:val="Fontepargpadro"/>
    <w:link w:val="SemEspaamento"/>
    <w:uiPriority w:val="1"/>
    <w:rsid w:val="00885032"/>
    <w:rPr>
      <w:rFonts w:eastAsia="Times New Roman"/>
      <w:lang w:eastAsia="pt-BR" w:val="pt-BR"/>
    </w:rPr>
  </w:style>
  <w:style w:type="paragraph" w:styleId="Citao">
    <w:name w:val="Quote"/>
    <w:basedOn w:val="Normal"/>
    <w:next w:val="Normal"/>
    <w:link w:val="CitaoChar"/>
    <w:uiPriority w:val="29"/>
    <w:qFormat w:val="1"/>
    <w:rsid w:val="00885032"/>
    <w:rPr>
      <w:i w:val="1"/>
      <w:iCs w:val="1"/>
    </w:rPr>
  </w:style>
  <w:style w:type="character" w:styleId="CitaoChar" w:customStyle="1">
    <w:name w:val="Citação Char"/>
    <w:basedOn w:val="Fontepargpadro"/>
    <w:link w:val="Citao"/>
    <w:uiPriority w:val="29"/>
    <w:rsid w:val="00885032"/>
    <w:rPr>
      <w:rFonts w:eastAsia="Times New Roman"/>
      <w:i w:val="1"/>
      <w:iCs w:val="1"/>
      <w:lang w:eastAsia="pt-BR" w:val="pt-BR"/>
    </w:rPr>
  </w:style>
  <w:style w:type="paragraph" w:styleId="CitaoIntensa">
    <w:name w:val="Intense Quote"/>
    <w:basedOn w:val="Normal"/>
    <w:next w:val="Normal"/>
    <w:link w:val="CitaoIntensaChar"/>
    <w:uiPriority w:val="30"/>
    <w:qFormat w:val="1"/>
    <w:rsid w:val="00885032"/>
    <w:pPr>
      <w:pBdr>
        <w:top w:color="333e48" w:space="10" w:sz="4" w:themeColor="accent1" w:val="single"/>
        <w:left w:color="333e48" w:space="10" w:sz="4" w:themeColor="accent1" w:val="single"/>
      </w:pBdr>
      <w:ind w:left="1296" w:right="1152"/>
      <w:jc w:val="both"/>
    </w:pPr>
    <w:rPr>
      <w:i w:val="1"/>
      <w:iCs w:val="1"/>
      <w:color w:val="333e48" w:themeColor="accent1"/>
    </w:rPr>
  </w:style>
  <w:style w:type="character" w:styleId="CitaoIntensaChar" w:customStyle="1">
    <w:name w:val="Citação Intensa Char"/>
    <w:basedOn w:val="Fontepargpadro"/>
    <w:link w:val="CitaoIntensa"/>
    <w:uiPriority w:val="30"/>
    <w:rsid w:val="00885032"/>
    <w:rPr>
      <w:rFonts w:eastAsia="Times New Roman"/>
      <w:i w:val="1"/>
      <w:iCs w:val="1"/>
      <w:color w:val="333e48" w:themeColor="accent1"/>
      <w:lang w:eastAsia="pt-BR" w:val="pt-BR"/>
    </w:rPr>
  </w:style>
  <w:style w:type="character" w:styleId="nfaseSutil">
    <w:name w:val="Subtle Emphasis"/>
    <w:uiPriority w:val="19"/>
    <w:qFormat w:val="1"/>
    <w:rsid w:val="00885032"/>
    <w:rPr>
      <w:i w:val="1"/>
      <w:iCs w:val="1"/>
      <w:color w:val="191e23" w:themeColor="accent1" w:themeShade="00007F"/>
    </w:rPr>
  </w:style>
  <w:style w:type="character" w:styleId="nfaseIntensa">
    <w:name w:val="Intense Emphasis"/>
    <w:uiPriority w:val="21"/>
    <w:qFormat w:val="1"/>
    <w:rsid w:val="00885032"/>
    <w:rPr>
      <w:b w:val="1"/>
      <w:bCs w:val="1"/>
      <w:caps w:val="1"/>
      <w:color w:val="191e23" w:themeColor="accent1" w:themeShade="00007F"/>
      <w:spacing w:val="10"/>
    </w:rPr>
  </w:style>
  <w:style w:type="character" w:styleId="RefernciaSutil">
    <w:name w:val="Subtle Reference"/>
    <w:uiPriority w:val="31"/>
    <w:qFormat w:val="1"/>
    <w:rsid w:val="00885032"/>
    <w:rPr>
      <w:b w:val="1"/>
      <w:bCs w:val="1"/>
      <w:color w:val="333e48" w:themeColor="accent1"/>
    </w:rPr>
  </w:style>
  <w:style w:type="character" w:styleId="RefernciaIntensa">
    <w:name w:val="Intense Reference"/>
    <w:uiPriority w:val="32"/>
    <w:qFormat w:val="1"/>
    <w:rsid w:val="00885032"/>
    <w:rPr>
      <w:b w:val="1"/>
      <w:bCs w:val="1"/>
      <w:i w:val="1"/>
      <w:iCs w:val="1"/>
      <w:caps w:val="1"/>
      <w:color w:val="333e48" w:themeColor="accent1"/>
    </w:rPr>
  </w:style>
  <w:style w:type="character" w:styleId="TtulodoLivro">
    <w:name w:val="Book Title"/>
    <w:uiPriority w:val="33"/>
    <w:qFormat w:val="1"/>
    <w:rsid w:val="00885032"/>
    <w:rPr>
      <w:b w:val="1"/>
      <w:bCs w:val="1"/>
      <w:i w:val="1"/>
      <w:iCs w:val="1"/>
      <w:spacing w:val="9"/>
    </w:rPr>
  </w:style>
  <w:style w:type="paragraph" w:styleId="Textodecomentrio">
    <w:name w:val="annotation text"/>
    <w:basedOn w:val="Normal"/>
    <w:link w:val="TextodecomentrioChar"/>
    <w:uiPriority w:val="99"/>
    <w:unhideWhenUsed w:val="1"/>
    <w:rsid w:val="00885032"/>
    <w:rPr>
      <w:rFonts w:ascii="Arial" w:hAnsi="Arial"/>
    </w:rPr>
  </w:style>
  <w:style w:type="character" w:styleId="TextodecomentrioChar" w:customStyle="1">
    <w:name w:val="Texto de comentário Char"/>
    <w:basedOn w:val="Fontepargpadro"/>
    <w:link w:val="Textodecomentrio"/>
    <w:uiPriority w:val="99"/>
    <w:rsid w:val="00885032"/>
    <w:rPr>
      <w:rFonts w:ascii="Arial" w:eastAsia="Times New Roman" w:hAnsi="Arial"/>
      <w:lang w:eastAsia="pt-BR" w:val="pt-BR"/>
    </w:rPr>
  </w:style>
  <w:style w:type="paragraph" w:styleId="Assuntodocomentrio">
    <w:name w:val="annotation subject"/>
    <w:basedOn w:val="Textodecomentrio"/>
    <w:next w:val="Textodecomentrio"/>
    <w:link w:val="AssuntodocomentrioChar"/>
    <w:unhideWhenUsed w:val="1"/>
    <w:rsid w:val="00885032"/>
    <w:pPr>
      <w:spacing w:after="200" w:before="200"/>
    </w:pPr>
    <w:rPr>
      <w:rFonts w:asciiTheme="minorHAnsi" w:cstheme="minorBidi" w:eastAsiaTheme="minorEastAsia" w:hAnsiTheme="minorHAnsi"/>
      <w:b w:val="1"/>
      <w:bCs w:val="1"/>
    </w:rPr>
  </w:style>
  <w:style w:type="character" w:styleId="AssuntodocomentrioChar" w:customStyle="1">
    <w:name w:val="Assunto do comentário Char"/>
    <w:basedOn w:val="TextodecomentrioChar"/>
    <w:link w:val="Assuntodocomentrio"/>
    <w:rsid w:val="00885032"/>
    <w:rPr>
      <w:rFonts w:asciiTheme="minorHAnsi" w:cstheme="minorBidi" w:eastAsiaTheme="minorEastAsia" w:hAnsiTheme="minorHAnsi"/>
      <w:b w:val="1"/>
      <w:bCs w:val="1"/>
      <w:lang w:eastAsia="pt-BR" w:val="pt-BR"/>
    </w:rPr>
  </w:style>
  <w:style w:type="paragraph" w:styleId="Normal-text" w:customStyle="1">
    <w:name w:val="Normal-text"/>
    <w:basedOn w:val="Normal"/>
    <w:rsid w:val="00885032"/>
    <w:pPr>
      <w:tabs>
        <w:tab w:val="left" w:pos="0"/>
      </w:tabs>
      <w:suppressAutoHyphens w:val="1"/>
      <w:spacing w:after="120" w:before="60"/>
    </w:pPr>
    <w:rPr>
      <w:rFonts w:ascii="Arial" w:hAnsi="Arial"/>
    </w:rPr>
  </w:style>
  <w:style w:type="paragraph" w:styleId="CROMSInstructionalTextBullets" w:customStyle="1">
    <w:name w:val="CROMS_Instructional Text_Bullets"/>
    <w:basedOn w:val="CROMSInstruction"/>
    <w:rsid w:val="00885032"/>
    <w:pPr>
      <w:numPr>
        <w:numId w:val="15"/>
      </w:numPr>
    </w:pPr>
  </w:style>
  <w:style w:type="character" w:styleId="heading2Char" w:customStyle="1">
    <w:name w:val="heading 2 Char"/>
    <w:link w:val="Heading21"/>
    <w:locked w:val="1"/>
    <w:rsid w:val="00885032"/>
    <w:rPr>
      <w:rFonts w:ascii="Calibri" w:cs="Calibri" w:eastAsia="Calibri" w:hAnsi="Calibri"/>
      <w:b w:val="1"/>
      <w:color w:val="4f81bd"/>
      <w:sz w:val="26"/>
      <w:szCs w:val="26"/>
      <w:lang w:eastAsia="pt-BR" w:val="pt-BR"/>
    </w:rPr>
  </w:style>
  <w:style w:type="paragraph" w:styleId="Heading21" w:customStyle="1">
    <w:name w:val="Heading 21"/>
    <w:basedOn w:val="Ttulo2"/>
    <w:link w:val="heading2Char"/>
    <w:qFormat w:val="1"/>
    <w:rsid w:val="00885032"/>
    <w:pPr>
      <w:numPr>
        <w:ilvl w:val="1"/>
        <w:numId w:val="2"/>
      </w:numPr>
      <w:spacing w:before="0"/>
    </w:pPr>
    <w:rPr>
      <w:rFonts w:ascii="Calibri" w:cs="Calibri" w:eastAsia="Calibri" w:hAnsi="Calibri"/>
      <w:b w:val="1"/>
      <w:color w:val="4f81bd"/>
    </w:rPr>
  </w:style>
  <w:style w:type="character" w:styleId="HiperlinkVisitado">
    <w:name w:val="FollowedHyperlink"/>
    <w:basedOn w:val="Fontepargpadro"/>
    <w:unhideWhenUsed w:val="1"/>
    <w:rsid w:val="00885032"/>
    <w:rPr>
      <w:color w:val="8d85ca" w:themeColor="followedHyperlink"/>
      <w:u w:val="single"/>
    </w:rPr>
  </w:style>
  <w:style w:type="paragraph" w:styleId="CROMSTextBullet" w:customStyle="1">
    <w:name w:val="CROMS_Text_Bullet"/>
    <w:basedOn w:val="Commarcadores"/>
    <w:rsid w:val="00885032"/>
    <w:pPr>
      <w:numPr>
        <w:numId w:val="16"/>
      </w:numPr>
      <w:spacing w:after="120" w:line="274" w:lineRule="auto"/>
      <w:contextualSpacing w:val="0"/>
    </w:pPr>
    <w:rPr>
      <w:rFonts w:ascii="Arial" w:hAnsi="Arial"/>
    </w:rPr>
  </w:style>
  <w:style w:type="paragraph" w:styleId="Commarcadores">
    <w:name w:val="List Bullet"/>
    <w:basedOn w:val="Normal"/>
    <w:unhideWhenUsed w:val="1"/>
    <w:rsid w:val="00885032"/>
    <w:pPr>
      <w:contextualSpacing w:val="1"/>
    </w:pPr>
  </w:style>
  <w:style w:type="paragraph" w:styleId="Style3" w:customStyle="1">
    <w:name w:val="Style3"/>
    <w:basedOn w:val="Ttulo3"/>
    <w:autoRedefine w:val="1"/>
    <w:qFormat w:val="1"/>
    <w:rsid w:val="00885032"/>
    <w:pPr>
      <w:numPr>
        <w:ilvl w:val="2"/>
        <w:numId w:val="2"/>
      </w:numPr>
      <w:spacing w:before="0"/>
    </w:pPr>
    <w:rPr>
      <w:rFonts w:ascii="Times New Roman" w:cs="Times New Roman" w:eastAsia="Cambria" w:hAnsi="Times New Roman"/>
      <w:bCs w:val="1"/>
      <w:i w:val="1"/>
      <w:color w:val="auto"/>
      <w:sz w:val="22"/>
      <w:szCs w:val="22"/>
    </w:rPr>
  </w:style>
  <w:style w:type="paragraph" w:styleId="Textodenotaderodap">
    <w:name w:val="footnote text"/>
    <w:basedOn w:val="Normal"/>
    <w:link w:val="TextodenotaderodapChar"/>
    <w:uiPriority w:val="99"/>
    <w:unhideWhenUsed w:val="1"/>
    <w:qFormat w:val="1"/>
    <w:rsid w:val="00885032"/>
    <w:rPr>
      <w:rFonts w:ascii="Arial" w:hAnsi="Arial"/>
    </w:rPr>
  </w:style>
  <w:style w:type="character" w:styleId="TextodenotaderodapChar" w:customStyle="1">
    <w:name w:val="Texto de nota de rodapé Char"/>
    <w:basedOn w:val="Fontepargpadro"/>
    <w:link w:val="Textodenotaderodap"/>
    <w:uiPriority w:val="99"/>
    <w:rsid w:val="00885032"/>
    <w:rPr>
      <w:rFonts w:ascii="Arial" w:eastAsia="Times New Roman" w:hAnsi="Arial"/>
      <w:lang w:eastAsia="pt-BR" w:val="pt-BR"/>
    </w:rPr>
  </w:style>
  <w:style w:type="character" w:styleId="Refdenotaderodap">
    <w:name w:val="footnote reference"/>
    <w:uiPriority w:val="99"/>
    <w:unhideWhenUsed w:val="1"/>
    <w:rsid w:val="00885032"/>
    <w:rPr>
      <w:vertAlign w:val="superscript"/>
    </w:rPr>
  </w:style>
  <w:style w:type="paragraph" w:styleId="C-BodyText" w:customStyle="1">
    <w:name w:val="C-Body Text"/>
    <w:link w:val="C-BodyTextChar"/>
    <w:rsid w:val="00885032"/>
    <w:pPr>
      <w:spacing w:after="120" w:before="120" w:line="280" w:lineRule="atLeast"/>
    </w:pPr>
    <w:rPr>
      <w:rFonts w:eastAsia="Times New Roman"/>
      <w:szCs w:val="20"/>
    </w:rPr>
  </w:style>
  <w:style w:type="paragraph" w:styleId="C-Heading1" w:customStyle="1">
    <w:name w:val="C-Heading 1"/>
    <w:next w:val="C-BodyText"/>
    <w:link w:val="C-Heading1Char"/>
    <w:autoRedefine w:val="1"/>
    <w:rsid w:val="00885032"/>
    <w:pPr>
      <w:keepNext w:val="1"/>
      <w:pageBreakBefore w:val="1"/>
      <w:numPr>
        <w:numId w:val="17"/>
      </w:numPr>
      <w:spacing w:after="120" w:before="480"/>
      <w:outlineLvl w:val="0"/>
    </w:pPr>
    <w:rPr>
      <w:rFonts w:eastAsia="Times New Roman"/>
      <w:b w:val="1"/>
      <w:szCs w:val="20"/>
    </w:rPr>
  </w:style>
  <w:style w:type="paragraph" w:styleId="C-Heading2" w:customStyle="1">
    <w:name w:val="C-Heading 2"/>
    <w:next w:val="C-BodyText"/>
    <w:rsid w:val="00885032"/>
    <w:pPr>
      <w:keepNext w:val="1"/>
      <w:numPr>
        <w:ilvl w:val="1"/>
        <w:numId w:val="17"/>
      </w:numPr>
      <w:spacing w:after="0" w:before="240"/>
      <w:outlineLvl w:val="1"/>
    </w:pPr>
    <w:rPr>
      <w:rFonts w:eastAsia="Times New Roman"/>
      <w:b w:val="1"/>
      <w:szCs w:val="20"/>
    </w:rPr>
  </w:style>
  <w:style w:type="paragraph" w:styleId="C-Heading3" w:customStyle="1">
    <w:name w:val="C-Heading 3"/>
    <w:next w:val="C-BodyText"/>
    <w:rsid w:val="00885032"/>
    <w:pPr>
      <w:keepNext w:val="1"/>
      <w:numPr>
        <w:ilvl w:val="2"/>
        <w:numId w:val="17"/>
      </w:numPr>
      <w:spacing w:after="0" w:before="240"/>
      <w:outlineLvl w:val="2"/>
    </w:pPr>
    <w:rPr>
      <w:rFonts w:eastAsia="Times New Roman"/>
      <w:b w:val="1"/>
      <w:szCs w:val="20"/>
    </w:rPr>
  </w:style>
  <w:style w:type="paragraph" w:styleId="C-Heading4" w:customStyle="1">
    <w:name w:val="C-Heading 4"/>
    <w:next w:val="C-BodyText"/>
    <w:rsid w:val="00885032"/>
    <w:pPr>
      <w:keepNext w:val="1"/>
      <w:numPr>
        <w:ilvl w:val="3"/>
        <w:numId w:val="17"/>
      </w:numPr>
      <w:spacing w:after="0" w:before="240"/>
      <w:outlineLvl w:val="3"/>
    </w:pPr>
    <w:rPr>
      <w:rFonts w:eastAsia="Times New Roman"/>
      <w:b w:val="1"/>
      <w:szCs w:val="20"/>
    </w:rPr>
  </w:style>
  <w:style w:type="paragraph" w:styleId="C-Heading5" w:customStyle="1">
    <w:name w:val="C-Heading 5"/>
    <w:next w:val="C-BodyText"/>
    <w:rsid w:val="00885032"/>
    <w:pPr>
      <w:keepNext w:val="1"/>
      <w:numPr>
        <w:ilvl w:val="4"/>
        <w:numId w:val="17"/>
      </w:numPr>
      <w:spacing w:after="0" w:before="240"/>
      <w:outlineLvl w:val="4"/>
    </w:pPr>
    <w:rPr>
      <w:rFonts w:eastAsia="Times New Roman"/>
      <w:b w:val="1"/>
      <w:szCs w:val="20"/>
    </w:rPr>
  </w:style>
  <w:style w:type="paragraph" w:styleId="C-Heading6" w:customStyle="1">
    <w:name w:val="C-Heading 6"/>
    <w:next w:val="C-BodyText"/>
    <w:rsid w:val="00885032"/>
    <w:pPr>
      <w:keepNext w:val="1"/>
      <w:numPr>
        <w:ilvl w:val="5"/>
        <w:numId w:val="17"/>
      </w:numPr>
      <w:spacing w:after="0" w:before="240"/>
      <w:outlineLvl w:val="5"/>
    </w:pPr>
    <w:rPr>
      <w:rFonts w:eastAsia="Times New Roman"/>
      <w:b w:val="1"/>
      <w:szCs w:val="20"/>
    </w:rPr>
  </w:style>
  <w:style w:type="paragraph" w:styleId="C-BodyTextIndent" w:customStyle="1">
    <w:name w:val="C-Body Text Indent"/>
    <w:rsid w:val="00885032"/>
    <w:pPr>
      <w:spacing w:after="120" w:before="120" w:line="280" w:lineRule="atLeast"/>
      <w:ind w:left="360"/>
    </w:pPr>
    <w:rPr>
      <w:rFonts w:eastAsia="Times New Roman"/>
      <w:szCs w:val="20"/>
    </w:rPr>
  </w:style>
  <w:style w:type="paragraph" w:styleId="C-Bullet" w:customStyle="1">
    <w:name w:val="C-Bullet"/>
    <w:rsid w:val="00885032"/>
    <w:pPr>
      <w:numPr>
        <w:numId w:val="29"/>
      </w:numPr>
      <w:spacing w:after="120" w:before="120" w:line="280" w:lineRule="atLeast"/>
    </w:pPr>
    <w:rPr>
      <w:rFonts w:eastAsia="Times New Roman"/>
      <w:szCs w:val="20"/>
    </w:rPr>
  </w:style>
  <w:style w:type="paragraph" w:styleId="C-BulletIndented" w:customStyle="1">
    <w:name w:val="C-Bullet Indented"/>
    <w:rsid w:val="00885032"/>
    <w:pPr>
      <w:numPr>
        <w:ilvl w:val="1"/>
        <w:numId w:val="29"/>
      </w:numPr>
      <w:spacing w:after="120" w:before="120" w:line="280" w:lineRule="atLeast"/>
    </w:pPr>
    <w:rPr>
      <w:rFonts w:cs="Arial" w:eastAsia="Times New Roman"/>
      <w:szCs w:val="20"/>
    </w:rPr>
  </w:style>
  <w:style w:type="paragraph" w:styleId="C-TableHeader" w:customStyle="1">
    <w:name w:val="C-Table Header"/>
    <w:next w:val="C-TableText"/>
    <w:rsid w:val="00885032"/>
    <w:pPr>
      <w:keepNext w:val="1"/>
      <w:spacing w:after="60" w:before="60"/>
    </w:pPr>
    <w:rPr>
      <w:rFonts w:eastAsia="Times New Roman"/>
      <w:b w:val="1"/>
      <w:sz w:val="20"/>
      <w:szCs w:val="20"/>
    </w:rPr>
  </w:style>
  <w:style w:type="paragraph" w:styleId="C-TableText" w:customStyle="1">
    <w:name w:val="C-Table Text"/>
    <w:rsid w:val="00885032"/>
    <w:pPr>
      <w:spacing w:after="40" w:before="40"/>
    </w:pPr>
    <w:rPr>
      <w:rFonts w:eastAsia="Times New Roman"/>
      <w:sz w:val="20"/>
      <w:szCs w:val="20"/>
    </w:rPr>
  </w:style>
  <w:style w:type="paragraph" w:styleId="C-TableFootnote" w:customStyle="1">
    <w:name w:val="C-Table Footnote"/>
    <w:next w:val="C-BodyText"/>
    <w:rsid w:val="00885032"/>
    <w:pPr>
      <w:tabs>
        <w:tab w:val="left" w:pos="144"/>
      </w:tabs>
      <w:spacing w:after="0"/>
      <w:ind w:left="144" w:hanging="144"/>
    </w:pPr>
    <w:rPr>
      <w:rFonts w:cs="Arial" w:eastAsia="Times New Roman"/>
      <w:sz w:val="20"/>
      <w:szCs w:val="20"/>
    </w:rPr>
  </w:style>
  <w:style w:type="paragraph" w:styleId="ndicedeilustraes">
    <w:name w:val="table of figures"/>
    <w:next w:val="C-BodyText"/>
    <w:rsid w:val="00885032"/>
    <w:pPr>
      <w:tabs>
        <w:tab w:val="left" w:pos="1296"/>
        <w:tab w:val="right" w:leader="dot" w:pos="9360"/>
      </w:tabs>
      <w:spacing w:after="0" w:before="120" w:line="280" w:lineRule="atLeast"/>
      <w:ind w:left="1296" w:hanging="1296"/>
    </w:pPr>
    <w:rPr>
      <w:rFonts w:cs="Arial" w:eastAsia="Times New Roman"/>
      <w:color w:val="0000ff"/>
      <w:sz w:val="22"/>
      <w:szCs w:val="20"/>
    </w:rPr>
  </w:style>
  <w:style w:type="paragraph" w:styleId="C-TOCTitle" w:customStyle="1">
    <w:name w:val="C-TOC Title"/>
    <w:next w:val="C-BodyText"/>
    <w:autoRedefine w:val="1"/>
    <w:rsid w:val="00885032"/>
    <w:pPr>
      <w:spacing w:after="120"/>
      <w:jc w:val="center"/>
    </w:pPr>
    <w:rPr>
      <w:rFonts w:eastAsia="Times New Roman"/>
      <w:b w:val="1"/>
      <w:szCs w:val="28"/>
    </w:rPr>
  </w:style>
  <w:style w:type="paragraph" w:styleId="C-CaptionContinued" w:customStyle="1">
    <w:name w:val="C-Caption Continued"/>
    <w:next w:val="C-BodyText"/>
    <w:rsid w:val="00885032"/>
    <w:pPr>
      <w:keepNext w:val="1"/>
      <w:spacing w:after="120" w:before="120" w:line="280" w:lineRule="atLeast"/>
      <w:ind w:left="1440" w:hanging="1440"/>
    </w:pPr>
    <w:rPr>
      <w:rFonts w:cs="Arial" w:eastAsia="Times New Roman"/>
      <w:b w:val="1"/>
      <w:szCs w:val="20"/>
    </w:rPr>
  </w:style>
  <w:style w:type="paragraph" w:styleId="C-NumberedList" w:customStyle="1">
    <w:name w:val="C-Numbered List"/>
    <w:rsid w:val="00885032"/>
    <w:pPr>
      <w:numPr>
        <w:numId w:val="27"/>
      </w:numPr>
      <w:spacing w:after="120" w:before="120" w:line="280" w:lineRule="atLeast"/>
    </w:pPr>
    <w:rPr>
      <w:rFonts w:eastAsia="Times New Roman"/>
      <w:szCs w:val="20"/>
    </w:rPr>
  </w:style>
  <w:style w:type="paragraph" w:styleId="C-InstructionText" w:customStyle="1">
    <w:name w:val="C-Instruction Text"/>
    <w:rsid w:val="00885032"/>
    <w:pPr>
      <w:spacing w:after="120" w:before="120" w:line="280" w:lineRule="atLeast"/>
    </w:pPr>
    <w:rPr>
      <w:rFonts w:eastAsia="Times New Roman"/>
      <w:vanish w:val="1"/>
      <w:color w:val="ff0000"/>
    </w:rPr>
  </w:style>
  <w:style w:type="paragraph" w:styleId="Ttulodendicedeautoridades">
    <w:name w:val="toa heading"/>
    <w:basedOn w:val="Normal"/>
    <w:next w:val="Normal"/>
    <w:rsid w:val="00885032"/>
    <w:pPr>
      <w:spacing w:before="120"/>
    </w:pPr>
    <w:rPr>
      <w:rFonts w:ascii="Arial" w:hAnsi="Arial" w:eastAsiaTheme="minorHAnsi"/>
      <w:b w:val="1"/>
      <w:bCs w:val="1"/>
      <w:sz w:val="22"/>
    </w:rPr>
  </w:style>
  <w:style w:type="paragraph" w:styleId="C-Title" w:customStyle="1">
    <w:name w:val="C-Title"/>
    <w:next w:val="C-BodyText"/>
    <w:autoRedefine w:val="1"/>
    <w:rsid w:val="00885032"/>
    <w:pPr>
      <w:spacing w:after="120"/>
      <w:jc w:val="center"/>
    </w:pPr>
    <w:rPr>
      <w:rFonts w:eastAsia="Times New Roman"/>
      <w:b w:val="1"/>
      <w:szCs w:val="20"/>
    </w:rPr>
  </w:style>
  <w:style w:type="paragraph" w:styleId="C-Header" w:customStyle="1">
    <w:name w:val="C-Header"/>
    <w:rsid w:val="00885032"/>
    <w:pPr>
      <w:spacing w:after="0"/>
    </w:pPr>
    <w:rPr>
      <w:rFonts w:eastAsia="Times New Roman"/>
      <w:sz w:val="20"/>
      <w:szCs w:val="20"/>
    </w:rPr>
  </w:style>
  <w:style w:type="paragraph" w:styleId="C-Footer" w:customStyle="1">
    <w:name w:val="C-Footer"/>
    <w:rsid w:val="00885032"/>
    <w:pPr>
      <w:spacing w:after="0"/>
    </w:pPr>
    <w:rPr>
      <w:rFonts w:eastAsia="Times New Roman"/>
      <w:sz w:val="20"/>
      <w:szCs w:val="20"/>
    </w:rPr>
  </w:style>
  <w:style w:type="paragraph" w:styleId="C-Heading1non-numbered" w:customStyle="1">
    <w:name w:val="C-Heading 1 (non-numbered)"/>
    <w:basedOn w:val="C-Heading1"/>
    <w:next w:val="C-BodyText"/>
    <w:rsid w:val="00885032"/>
  </w:style>
  <w:style w:type="paragraph" w:styleId="C-Heading2non-numbered" w:customStyle="1">
    <w:name w:val="C-Heading 2 (non-numbered)"/>
    <w:basedOn w:val="C-Heading2"/>
    <w:next w:val="C-BodyText"/>
    <w:rsid w:val="00885032"/>
  </w:style>
  <w:style w:type="paragraph" w:styleId="C-Heading3non-numbered" w:customStyle="1">
    <w:name w:val="C-Heading 3 (non-numbered)"/>
    <w:basedOn w:val="C-Heading3"/>
    <w:next w:val="C-BodyText"/>
    <w:rsid w:val="00885032"/>
  </w:style>
  <w:style w:type="paragraph" w:styleId="C-Heading4non-numbered" w:customStyle="1">
    <w:name w:val="C-Heading 4 (non-numbered)"/>
    <w:basedOn w:val="C-Heading4"/>
    <w:next w:val="C-BodyText"/>
    <w:rsid w:val="00885032"/>
    <w:pPr>
      <w:numPr>
        <w:ilvl w:val="0"/>
        <w:numId w:val="0"/>
      </w:numPr>
      <w:tabs>
        <w:tab w:val="left" w:pos="1080"/>
      </w:tabs>
      <w:ind w:left="1080" w:hanging="1080"/>
    </w:pPr>
  </w:style>
  <w:style w:type="paragraph" w:styleId="C-Heading5non-numbered" w:customStyle="1">
    <w:name w:val="C-Heading 5 (non-numbered)"/>
    <w:basedOn w:val="C-Heading5"/>
    <w:next w:val="C-BodyText"/>
    <w:rsid w:val="00885032"/>
    <w:pPr>
      <w:numPr>
        <w:ilvl w:val="0"/>
        <w:numId w:val="0"/>
      </w:numPr>
      <w:tabs>
        <w:tab w:val="left" w:pos="1080"/>
      </w:tabs>
      <w:ind w:left="1080" w:hanging="1080"/>
    </w:pPr>
  </w:style>
  <w:style w:type="paragraph" w:styleId="C-Heading6non-numbered" w:customStyle="1">
    <w:name w:val="C-Heading 6 (non-numbered)"/>
    <w:basedOn w:val="C-Heading6"/>
    <w:next w:val="C-BodyText"/>
    <w:rsid w:val="00885032"/>
    <w:pPr>
      <w:numPr>
        <w:ilvl w:val="0"/>
        <w:numId w:val="0"/>
      </w:numPr>
      <w:tabs>
        <w:tab w:val="left" w:pos="1080"/>
      </w:tabs>
      <w:ind w:left="1080" w:hanging="1080"/>
    </w:pPr>
  </w:style>
  <w:style w:type="paragraph" w:styleId="C-Heading1nopagebreak" w:customStyle="1">
    <w:name w:val="C-Heading 1 (no page break)"/>
    <w:basedOn w:val="C-Heading1"/>
    <w:next w:val="C-BodyText"/>
    <w:rsid w:val="00885032"/>
  </w:style>
  <w:style w:type="paragraph" w:styleId="C-Heading1nopagebreak0" w:customStyle="1">
    <w:name w:val="C-Heading 1 (no page break"/>
    <w:aliases w:val="non-numbered)"/>
    <w:basedOn w:val="C-Heading1non-numbered"/>
    <w:next w:val="C-BodyText"/>
    <w:rsid w:val="00885032"/>
    <w:pPr>
      <w:pageBreakBefore w:val="0"/>
      <w:numPr>
        <w:numId w:val="0"/>
      </w:numPr>
      <w:tabs>
        <w:tab w:val="left" w:pos="1080"/>
      </w:tabs>
      <w:ind w:left="1080" w:hanging="1080"/>
    </w:pPr>
  </w:style>
  <w:style w:type="character" w:styleId="TecladoHTML">
    <w:name w:val="HTML Keyboard"/>
    <w:rsid w:val="00885032"/>
    <w:rPr>
      <w:rFonts w:ascii="Courier New" w:hAnsi="Courier New"/>
      <w:sz w:val="20"/>
      <w:szCs w:val="20"/>
    </w:rPr>
  </w:style>
  <w:style w:type="paragraph" w:styleId="C-Appendix" w:customStyle="1">
    <w:name w:val="C-Appendix"/>
    <w:next w:val="C-BodyText"/>
    <w:rsid w:val="00885032"/>
    <w:pPr>
      <w:keepNext w:val="1"/>
      <w:pageBreakBefore w:val="1"/>
      <w:numPr>
        <w:numId w:val="18"/>
      </w:numPr>
      <w:spacing w:after="120" w:before="480"/>
      <w:outlineLvl w:val="0"/>
    </w:pPr>
    <w:rPr>
      <w:rFonts w:ascii="Times New Roman Bold" w:eastAsia="Times New Roman" w:hAnsi="Times New Roman Bold"/>
      <w:b w:val="1"/>
      <w:szCs w:val="20"/>
    </w:rPr>
  </w:style>
  <w:style w:type="paragraph" w:styleId="C-PLR-NumberedList" w:customStyle="1">
    <w:name w:val="C-PLR-Numbered List"/>
    <w:rsid w:val="00885032"/>
    <w:pPr>
      <w:numPr>
        <w:numId w:val="23"/>
      </w:numPr>
      <w:spacing w:after="0"/>
    </w:pPr>
    <w:rPr>
      <w:rFonts w:eastAsia="Times New Roman"/>
      <w:sz w:val="16"/>
      <w:szCs w:val="20"/>
    </w:rPr>
  </w:style>
  <w:style w:type="paragraph" w:styleId="C-PLR-BodyText" w:customStyle="1">
    <w:name w:val="C-PLR-Body Text"/>
    <w:rsid w:val="00885032"/>
    <w:pPr>
      <w:spacing w:after="0"/>
    </w:pPr>
    <w:rPr>
      <w:rFonts w:eastAsia="Times New Roman"/>
      <w:sz w:val="16"/>
      <w:szCs w:val="20"/>
    </w:rPr>
  </w:style>
  <w:style w:type="paragraph" w:styleId="C-PLR-BodyTextIndent" w:customStyle="1">
    <w:name w:val="C-PLR-Body Text Indent"/>
    <w:rsid w:val="00885032"/>
    <w:pPr>
      <w:spacing w:after="0"/>
      <w:ind w:left="360"/>
    </w:pPr>
    <w:rPr>
      <w:rFonts w:eastAsia="Times New Roman"/>
      <w:sz w:val="16"/>
      <w:szCs w:val="20"/>
    </w:rPr>
  </w:style>
  <w:style w:type="paragraph" w:styleId="C-PLR-Bullet" w:customStyle="1">
    <w:name w:val="C-PLR-Bullet"/>
    <w:rsid w:val="00885032"/>
    <w:pPr>
      <w:numPr>
        <w:numId w:val="19"/>
      </w:numPr>
      <w:spacing w:after="0"/>
    </w:pPr>
    <w:rPr>
      <w:rFonts w:eastAsia="Times New Roman"/>
      <w:sz w:val="16"/>
      <w:szCs w:val="20"/>
    </w:rPr>
  </w:style>
  <w:style w:type="paragraph" w:styleId="C-PLR-BulletIndented" w:customStyle="1">
    <w:name w:val="C-PLR-Bullet Indented"/>
    <w:rsid w:val="00885032"/>
    <w:pPr>
      <w:numPr>
        <w:numId w:val="20"/>
      </w:numPr>
      <w:spacing w:after="0"/>
    </w:pPr>
    <w:rPr>
      <w:rFonts w:eastAsia="Times New Roman"/>
      <w:sz w:val="16"/>
      <w:szCs w:val="20"/>
    </w:rPr>
  </w:style>
  <w:style w:type="paragraph" w:styleId="C-PLR-Caption" w:customStyle="1">
    <w:name w:val="C-PLR-Caption"/>
    <w:next w:val="C-PLR-BodyText"/>
    <w:rsid w:val="00885032"/>
    <w:pPr>
      <w:keepNext w:val="1"/>
      <w:spacing w:after="0"/>
      <w:ind w:left="360" w:hanging="360"/>
    </w:pPr>
    <w:rPr>
      <w:rFonts w:eastAsia="Times New Roman"/>
      <w:b w:val="1"/>
      <w:sz w:val="16"/>
      <w:szCs w:val="20"/>
    </w:rPr>
  </w:style>
  <w:style w:type="paragraph" w:styleId="C-PLR-Heading1nopagebreaknon-numbered" w:customStyle="1">
    <w:name w:val="C-PLR-Heading 1 (no page break.non-numbered)"/>
    <w:basedOn w:val="C-PLR-Heading1non-numbered"/>
    <w:next w:val="C-PLR-BodyText"/>
    <w:rsid w:val="00885032"/>
  </w:style>
  <w:style w:type="paragraph" w:styleId="C-PLR-Heading2non-numbered" w:customStyle="1">
    <w:name w:val="C-PLR-Heading 2 (non-numbered)"/>
    <w:basedOn w:val="C-PLR-Heading2"/>
    <w:next w:val="C-PLR-BodyText"/>
    <w:rsid w:val="00885032"/>
    <w:pPr>
      <w:numPr>
        <w:ilvl w:val="0"/>
        <w:numId w:val="0"/>
      </w:numPr>
      <w:ind w:left="720" w:hanging="720"/>
    </w:pPr>
  </w:style>
  <w:style w:type="paragraph" w:styleId="C-PLR-TableHeader" w:customStyle="1">
    <w:name w:val="C-PLR-Table Header"/>
    <w:next w:val="C-PLR-TableText"/>
    <w:rsid w:val="00885032"/>
    <w:pPr>
      <w:keepNext w:val="1"/>
      <w:spacing w:after="0"/>
    </w:pPr>
    <w:rPr>
      <w:rFonts w:eastAsia="Times New Roman"/>
      <w:b w:val="1"/>
      <w:sz w:val="16"/>
      <w:szCs w:val="20"/>
    </w:rPr>
  </w:style>
  <w:style w:type="paragraph" w:styleId="C-PLR-TableText" w:customStyle="1">
    <w:name w:val="C-PLR-Table Text"/>
    <w:rsid w:val="00885032"/>
    <w:pPr>
      <w:spacing w:after="0"/>
    </w:pPr>
    <w:rPr>
      <w:rFonts w:eastAsia="Times New Roman"/>
      <w:sz w:val="16"/>
      <w:szCs w:val="20"/>
    </w:rPr>
  </w:style>
  <w:style w:type="paragraph" w:styleId="C-PLR-Title" w:customStyle="1">
    <w:name w:val="C-PLR-Title"/>
    <w:next w:val="C-PLR-BodyText"/>
    <w:rsid w:val="00885032"/>
    <w:pPr>
      <w:spacing w:after="0"/>
      <w:jc w:val="center"/>
    </w:pPr>
    <w:rPr>
      <w:rFonts w:eastAsia="Times New Roman"/>
      <w:b w:val="1"/>
      <w:caps w:val="1"/>
      <w:sz w:val="16"/>
      <w:szCs w:val="20"/>
    </w:rPr>
  </w:style>
  <w:style w:type="paragraph" w:styleId="C-PLR-TOCTitle" w:customStyle="1">
    <w:name w:val="C-PLR-TOC Title"/>
    <w:next w:val="C-PLR-BodyText"/>
    <w:rsid w:val="00885032"/>
    <w:pPr>
      <w:tabs>
        <w:tab w:val="center" w:leader="underscore" w:pos="2520"/>
        <w:tab w:val="right" w:leader="underscore" w:pos="5040"/>
      </w:tabs>
      <w:spacing w:after="0"/>
      <w:jc w:val="center"/>
    </w:pPr>
    <w:rPr>
      <w:rFonts w:eastAsia="Times New Roman"/>
      <w:b w:val="1"/>
      <w:caps w:val="1"/>
      <w:sz w:val="16"/>
      <w:szCs w:val="20"/>
    </w:rPr>
  </w:style>
  <w:style w:type="paragraph" w:styleId="C-PLR-TOC1" w:customStyle="1">
    <w:name w:val="C-PLR-TOC 1"/>
    <w:next w:val="C-PLR-BodyText"/>
    <w:rsid w:val="00885032"/>
    <w:pPr>
      <w:spacing w:after="0"/>
      <w:ind w:left="432" w:hanging="432"/>
    </w:pPr>
    <w:rPr>
      <w:rFonts w:ascii="Times New Roman Bold" w:eastAsia="Times New Roman" w:hAnsi="Times New Roman Bold"/>
      <w:b w:val="1"/>
      <w:caps w:val="1"/>
      <w:color w:val="0000ff"/>
      <w:sz w:val="16"/>
      <w:szCs w:val="20"/>
    </w:rPr>
  </w:style>
  <w:style w:type="paragraph" w:styleId="C-PLR-TOC2" w:customStyle="1">
    <w:name w:val="C-PLR-TOC 2"/>
    <w:basedOn w:val="C-PLR-TOC1"/>
    <w:next w:val="C-PLR-BodyText"/>
    <w:rsid w:val="00885032"/>
  </w:style>
  <w:style w:type="paragraph" w:styleId="C-PLR-TableFootnote" w:customStyle="1">
    <w:name w:val="C-PLR-Table Footnote"/>
    <w:next w:val="C-PLR-BodyText"/>
    <w:rsid w:val="00885032"/>
    <w:pPr>
      <w:tabs>
        <w:tab w:val="left" w:pos="432"/>
      </w:tabs>
      <w:spacing w:after="0"/>
      <w:ind w:left="432" w:hanging="432"/>
    </w:pPr>
    <w:rPr>
      <w:rFonts w:eastAsia="Times New Roman"/>
      <w:sz w:val="16"/>
      <w:szCs w:val="20"/>
    </w:rPr>
  </w:style>
  <w:style w:type="paragraph" w:styleId="C-AlphabeticList" w:customStyle="1">
    <w:name w:val="C-Alphabetic List"/>
    <w:rsid w:val="00885032"/>
    <w:pPr>
      <w:numPr>
        <w:ilvl w:val="1"/>
        <w:numId w:val="27"/>
      </w:numPr>
      <w:spacing w:after="0"/>
    </w:pPr>
    <w:rPr>
      <w:rFonts w:eastAsia="Times New Roman"/>
      <w:szCs w:val="20"/>
    </w:rPr>
  </w:style>
  <w:style w:type="character" w:styleId="C-Hyperlink" w:customStyle="1">
    <w:name w:val="C-Hyperlink"/>
    <w:rsid w:val="00885032"/>
    <w:rPr>
      <w:color w:val="0000ff"/>
    </w:rPr>
  </w:style>
  <w:style w:type="character" w:styleId="C-TableCallout" w:customStyle="1">
    <w:name w:val="C-Table Callout"/>
    <w:rsid w:val="00885032"/>
    <w:rPr>
      <w:rFonts w:ascii="Times New Roman" w:hAnsi="Times New Roman"/>
      <w:dstrike w:val="0"/>
      <w:color w:val="auto"/>
      <w:spacing w:val="0"/>
      <w:w w:val="100"/>
      <w:position w:val="0"/>
      <w:sz w:val="22"/>
      <w:szCs w:val="22"/>
      <w:u w:val="none"/>
      <w:effect w:val="none"/>
      <w:vertAlign w:val="superscript"/>
      <w:em w:val="none"/>
    </w:rPr>
  </w:style>
  <w:style w:type="table" w:styleId="C-Table" w:customStyle="1">
    <w:name w:val="C-Table"/>
    <w:basedOn w:val="Tabelanormal"/>
    <w:rsid w:val="00885032"/>
    <w:pPr>
      <w:spacing w:after="0"/>
    </w:pPr>
    <w:rPr>
      <w:rFonts w:eastAsia="Times New Roman"/>
      <w:sz w:val="20"/>
      <w:szCs w:val="20"/>
    </w:rPr>
    <w:tblPr>
      <w:tblBorders>
        <w:top w:color="auto" w:space="0" w:sz="6" w:val="single"/>
        <w:left w:color="auto" w:space="0" w:sz="6" w:val="single"/>
        <w:bottom w:color="auto" w:space="0" w:sz="6" w:val="single"/>
        <w:right w:color="auto" w:space="0" w:sz="6" w:val="single"/>
        <w:insideH w:color="auto" w:space="0" w:sz="6" w:val="single"/>
        <w:insideV w:color="auto" w:space="0" w:sz="6" w:val="single"/>
      </w:tblBorders>
    </w:tblPr>
    <w:trPr>
      <w:cantSplit w:val="1"/>
    </w:trPr>
  </w:style>
  <w:style w:type="paragraph" w:styleId="C-PLR-AlphabeticList" w:customStyle="1">
    <w:name w:val="C-PLR-Alphabetic List"/>
    <w:rsid w:val="00885032"/>
    <w:pPr>
      <w:numPr>
        <w:numId w:val="22"/>
      </w:numPr>
      <w:spacing w:after="0"/>
    </w:pPr>
    <w:rPr>
      <w:rFonts w:cs="Arial" w:eastAsia="Times New Roman"/>
      <w:sz w:val="16"/>
      <w:szCs w:val="20"/>
    </w:rPr>
  </w:style>
  <w:style w:type="paragraph" w:styleId="C-PLR-CaptionContinued" w:customStyle="1">
    <w:name w:val="C-PLR-Caption Continued"/>
    <w:next w:val="C-PLR-BodyText"/>
    <w:rsid w:val="00885032"/>
    <w:pPr>
      <w:keepNext w:val="1"/>
      <w:spacing w:after="0"/>
      <w:ind w:left="360" w:hanging="360"/>
    </w:pPr>
    <w:rPr>
      <w:rFonts w:ascii="Times New Roman Bold" w:cs="Arial" w:eastAsia="Times New Roman" w:hAnsi="Times New Roman Bold"/>
      <w:b w:val="1"/>
      <w:sz w:val="16"/>
      <w:szCs w:val="20"/>
    </w:rPr>
  </w:style>
  <w:style w:type="paragraph" w:styleId="C-PLR-Heading1" w:customStyle="1">
    <w:name w:val="C-PLR-Heading 1"/>
    <w:next w:val="C-PLR-BodyText"/>
    <w:rsid w:val="00885032"/>
    <w:pPr>
      <w:keepNext w:val="1"/>
      <w:numPr>
        <w:numId w:val="21"/>
      </w:numPr>
      <w:tabs>
        <w:tab w:val="clear" w:pos="1080"/>
        <w:tab w:val="left" w:pos="720"/>
      </w:tabs>
      <w:spacing w:after="0"/>
      <w:ind w:left="720" w:hanging="720"/>
      <w:outlineLvl w:val="0"/>
    </w:pPr>
    <w:rPr>
      <w:rFonts w:ascii="Times New Roman Bold" w:eastAsia="Times New Roman" w:hAnsi="Times New Roman Bold"/>
      <w:caps w:val="1"/>
      <w:sz w:val="16"/>
      <w:szCs w:val="20"/>
    </w:rPr>
  </w:style>
  <w:style w:type="paragraph" w:styleId="C-PLR-Heading1nopagebreak" w:customStyle="1">
    <w:name w:val="C-PLR-Heading 1 (no page break)"/>
    <w:basedOn w:val="C-PLR-Heading1"/>
    <w:next w:val="C-PLR-BodyText"/>
    <w:rsid w:val="00885032"/>
  </w:style>
  <w:style w:type="paragraph" w:styleId="C-PLR-Heading2" w:customStyle="1">
    <w:name w:val="C-PLR-Heading 2"/>
    <w:next w:val="C-PLR-BodyText"/>
    <w:rsid w:val="00885032"/>
    <w:pPr>
      <w:numPr>
        <w:ilvl w:val="1"/>
        <w:numId w:val="21"/>
      </w:numPr>
      <w:tabs>
        <w:tab w:val="clear" w:pos="1080"/>
        <w:tab w:val="left" w:pos="720"/>
      </w:tabs>
      <w:spacing w:after="0"/>
      <w:ind w:left="720" w:hanging="720"/>
      <w:outlineLvl w:val="1"/>
    </w:pPr>
    <w:rPr>
      <w:rFonts w:ascii="Times New Roman Bold" w:cs="Arial" w:eastAsia="Times New Roman" w:hAnsi="Times New Roman Bold"/>
      <w:sz w:val="16"/>
      <w:szCs w:val="20"/>
    </w:rPr>
  </w:style>
  <w:style w:type="paragraph" w:styleId="C-PLR-Heading3" w:customStyle="1">
    <w:name w:val="C-PLR-Heading 3"/>
    <w:next w:val="C-PLR-BodyText"/>
    <w:rsid w:val="00885032"/>
    <w:pPr>
      <w:numPr>
        <w:ilvl w:val="2"/>
        <w:numId w:val="21"/>
      </w:numPr>
      <w:tabs>
        <w:tab w:val="clear" w:pos="1080"/>
        <w:tab w:val="left" w:pos="720"/>
      </w:tabs>
      <w:spacing w:after="0"/>
      <w:ind w:left="720" w:hanging="720"/>
      <w:outlineLvl w:val="2"/>
    </w:pPr>
    <w:rPr>
      <w:rFonts w:ascii="Times New Roman Bold" w:cs="Arial" w:eastAsia="Times New Roman" w:hAnsi="Times New Roman Bold"/>
      <w:sz w:val="16"/>
      <w:szCs w:val="20"/>
    </w:rPr>
  </w:style>
  <w:style w:type="paragraph" w:styleId="C-PLR-Heading3non-numbered" w:customStyle="1">
    <w:name w:val="C-PLR-Heading 3 (non-numbered)"/>
    <w:basedOn w:val="C-PLR-Heading3"/>
    <w:next w:val="C-PLR-BodyText"/>
    <w:rsid w:val="00885032"/>
    <w:pPr>
      <w:numPr>
        <w:ilvl w:val="0"/>
        <w:numId w:val="0"/>
      </w:numPr>
      <w:ind w:left="720" w:hanging="720"/>
    </w:pPr>
  </w:style>
  <w:style w:type="paragraph" w:styleId="C-PLR-Heading4" w:customStyle="1">
    <w:name w:val="C-PLR-Heading 4"/>
    <w:next w:val="C-PLR-BodyText"/>
    <w:rsid w:val="00885032"/>
    <w:pPr>
      <w:numPr>
        <w:ilvl w:val="3"/>
        <w:numId w:val="21"/>
      </w:numPr>
      <w:tabs>
        <w:tab w:val="clear" w:pos="1080"/>
        <w:tab w:val="left" w:pos="720"/>
      </w:tabs>
      <w:spacing w:after="0"/>
      <w:ind w:left="720" w:hanging="720"/>
      <w:outlineLvl w:val="3"/>
    </w:pPr>
    <w:rPr>
      <w:rFonts w:ascii="Times New Roman Bold" w:cs="Arial" w:eastAsia="Times New Roman" w:hAnsi="Times New Roman Bold"/>
      <w:sz w:val="16"/>
      <w:szCs w:val="20"/>
    </w:rPr>
  </w:style>
  <w:style w:type="paragraph" w:styleId="C-PLR-Heading4non-numbered" w:customStyle="1">
    <w:name w:val="C-PLR-Heading 4 (non-numbered)"/>
    <w:basedOn w:val="C-PLR-Heading4"/>
    <w:next w:val="C-PLR-BodyText"/>
    <w:rsid w:val="00885032"/>
    <w:pPr>
      <w:numPr>
        <w:ilvl w:val="0"/>
        <w:numId w:val="0"/>
      </w:numPr>
      <w:ind w:left="720" w:hanging="720"/>
    </w:pPr>
  </w:style>
  <w:style w:type="paragraph" w:styleId="C-PLR-Heading5" w:customStyle="1">
    <w:name w:val="C-PLR-Heading 5"/>
    <w:next w:val="C-PLR-BodyText"/>
    <w:rsid w:val="00885032"/>
    <w:pPr>
      <w:numPr>
        <w:ilvl w:val="4"/>
        <w:numId w:val="21"/>
      </w:numPr>
      <w:tabs>
        <w:tab w:val="clear" w:pos="1080"/>
        <w:tab w:val="left" w:pos="720"/>
      </w:tabs>
      <w:spacing w:after="0"/>
      <w:ind w:left="720" w:hanging="720"/>
      <w:outlineLvl w:val="4"/>
    </w:pPr>
    <w:rPr>
      <w:rFonts w:ascii="Times New Roman Bold" w:cs="Arial" w:eastAsia="Times New Roman" w:hAnsi="Times New Roman Bold"/>
      <w:sz w:val="16"/>
      <w:szCs w:val="20"/>
    </w:rPr>
  </w:style>
  <w:style w:type="paragraph" w:styleId="C-PLR-Heading5non-numbered" w:customStyle="1">
    <w:name w:val="C-PLR-Heading 5 (non-numbered)"/>
    <w:basedOn w:val="C-PLR-Heading5"/>
    <w:next w:val="C-PLR-BodyText"/>
    <w:rsid w:val="00885032"/>
    <w:pPr>
      <w:numPr>
        <w:ilvl w:val="0"/>
        <w:numId w:val="0"/>
      </w:numPr>
      <w:ind w:left="720" w:hanging="720"/>
    </w:pPr>
  </w:style>
  <w:style w:type="paragraph" w:styleId="C-PLR-Heading6" w:customStyle="1">
    <w:name w:val="C-PLR-Heading 6"/>
    <w:next w:val="C-PLR-BodyText"/>
    <w:rsid w:val="00885032"/>
    <w:pPr>
      <w:numPr>
        <w:ilvl w:val="5"/>
        <w:numId w:val="21"/>
      </w:numPr>
      <w:tabs>
        <w:tab w:val="clear" w:pos="1080"/>
        <w:tab w:val="left" w:pos="864"/>
      </w:tabs>
      <w:spacing w:after="0"/>
      <w:ind w:left="864" w:hanging="864"/>
      <w:outlineLvl w:val="5"/>
    </w:pPr>
    <w:rPr>
      <w:rFonts w:ascii="Times New Roman Bold" w:cs="Arial" w:eastAsia="Times New Roman" w:hAnsi="Times New Roman Bold"/>
      <w:sz w:val="16"/>
      <w:szCs w:val="20"/>
    </w:rPr>
  </w:style>
  <w:style w:type="paragraph" w:styleId="C-PLR-Heading6non-numbered" w:customStyle="1">
    <w:name w:val="C-PLR-Heading 6 (non-numbered)"/>
    <w:basedOn w:val="C-PLR-Heading6"/>
    <w:next w:val="C-PLR-BodyText"/>
    <w:rsid w:val="00885032"/>
    <w:pPr>
      <w:numPr>
        <w:ilvl w:val="0"/>
        <w:numId w:val="0"/>
      </w:numPr>
      <w:ind w:left="864" w:hanging="864"/>
    </w:pPr>
  </w:style>
  <w:style w:type="paragraph" w:styleId="C-PLR-InstructionText" w:customStyle="1">
    <w:name w:val="C-PLR-Instruction Text"/>
    <w:rsid w:val="00885032"/>
    <w:pPr>
      <w:spacing w:after="0"/>
    </w:pPr>
    <w:rPr>
      <w:rFonts w:ascii="Times New Roman Bold" w:cs="Arial" w:eastAsia="Times New Roman" w:hAnsi="Times New Roman Bold"/>
      <w:vanish w:val="1"/>
      <w:color w:val="ff0000"/>
      <w:sz w:val="16"/>
      <w:szCs w:val="20"/>
    </w:rPr>
  </w:style>
  <w:style w:type="paragraph" w:styleId="C-PLR-TOC3" w:customStyle="1">
    <w:name w:val="C-PLR-TOC 3"/>
    <w:basedOn w:val="C-PLR-TOC1"/>
    <w:next w:val="C-PLR-BodyText"/>
    <w:rsid w:val="00885032"/>
  </w:style>
  <w:style w:type="paragraph" w:styleId="C-PLR-TOC4" w:customStyle="1">
    <w:name w:val="C-PLR-TOC 4"/>
    <w:basedOn w:val="C-PLR-TOC1"/>
    <w:next w:val="C-PLR-BodyText"/>
    <w:rsid w:val="00885032"/>
  </w:style>
  <w:style w:type="paragraph" w:styleId="Recuodecorpodetexto">
    <w:name w:val="Body Text Indent"/>
    <w:basedOn w:val="Normal"/>
    <w:link w:val="RecuodecorpodetextoChar"/>
    <w:rsid w:val="00885032"/>
    <w:pPr>
      <w:spacing w:after="120"/>
      <w:ind w:left="360"/>
    </w:pPr>
    <w:rPr>
      <w:rFonts w:eastAsiaTheme="minorHAnsi"/>
      <w:sz w:val="22"/>
      <w:szCs w:val="22"/>
    </w:rPr>
  </w:style>
  <w:style w:type="character" w:styleId="RecuodecorpodetextoChar" w:customStyle="1">
    <w:name w:val="Recuo de corpo de texto Char"/>
    <w:basedOn w:val="Fontepargpadro"/>
    <w:link w:val="Recuodecorpodetexto"/>
    <w:rsid w:val="00885032"/>
    <w:rPr>
      <w:sz w:val="22"/>
      <w:szCs w:val="22"/>
      <w:lang w:eastAsia="pt-BR" w:val="pt-BR"/>
    </w:rPr>
  </w:style>
  <w:style w:type="paragraph" w:styleId="Primeirorecuodecorpodetexto2">
    <w:name w:val="Body Text First Indent 2"/>
    <w:basedOn w:val="Recuodecorpodetexto"/>
    <w:link w:val="Primeirorecuodecorpodetexto2Char"/>
    <w:rsid w:val="00885032"/>
    <w:pPr>
      <w:ind w:firstLine="210"/>
    </w:pPr>
  </w:style>
  <w:style w:type="character" w:styleId="Primeirorecuodecorpodetexto2Char" w:customStyle="1">
    <w:name w:val="Primeiro recuo de corpo de texto 2 Char"/>
    <w:basedOn w:val="RecuodecorpodetextoChar"/>
    <w:link w:val="Primeirorecuodecorpodetexto2"/>
    <w:rsid w:val="00885032"/>
    <w:rPr>
      <w:sz w:val="22"/>
      <w:szCs w:val="22"/>
      <w:lang w:eastAsia="pt-BR" w:val="pt-BR"/>
    </w:rPr>
  </w:style>
  <w:style w:type="paragraph" w:styleId="C-PLR-Heading1non-numbered" w:customStyle="1">
    <w:name w:val="C-PLR-Heading 1 (non-numbered)"/>
    <w:basedOn w:val="C-PLR-Heading1"/>
    <w:next w:val="C-PLR-BodyText"/>
    <w:rsid w:val="00885032"/>
    <w:pPr>
      <w:numPr>
        <w:numId w:val="0"/>
      </w:numPr>
      <w:ind w:left="720" w:hanging="720"/>
    </w:pPr>
  </w:style>
  <w:style w:type="paragraph" w:styleId="C-AppendixNumbered" w:customStyle="1">
    <w:name w:val="C-Appendix (Numbered)"/>
    <w:basedOn w:val="C-Appendix"/>
    <w:next w:val="C-BodyText"/>
    <w:rsid w:val="00885032"/>
    <w:pPr>
      <w:numPr>
        <w:numId w:val="24"/>
      </w:numPr>
      <w:tabs>
        <w:tab w:val="left" w:pos="1987"/>
      </w:tabs>
      <w:ind w:left="1987" w:hanging="1987"/>
    </w:pPr>
  </w:style>
  <w:style w:type="numbering" w:styleId="SPNumberedTabs" w:customStyle="1">
    <w:name w:val="SP Numbered Tabs"/>
    <w:rsid w:val="00885032"/>
    <w:pPr>
      <w:numPr>
        <w:numId w:val="25"/>
      </w:numPr>
    </w:pPr>
  </w:style>
  <w:style w:type="numbering" w:styleId="SPBulletTabs" w:customStyle="1">
    <w:name w:val="SP Bullet Tabs"/>
    <w:rsid w:val="00885032"/>
    <w:pPr>
      <w:numPr>
        <w:numId w:val="26"/>
      </w:numPr>
    </w:pPr>
  </w:style>
  <w:style w:type="paragraph" w:styleId="C-Alphabetic" w:customStyle="1">
    <w:name w:val="C-Alphabetic"/>
    <w:basedOn w:val="C-Heading1"/>
    <w:next w:val="C-BodyText"/>
    <w:link w:val="C-AlphabeticChar"/>
    <w:qFormat w:val="1"/>
    <w:rsid w:val="00885032"/>
    <w:pPr>
      <w:numPr>
        <w:numId w:val="28"/>
      </w:numPr>
      <w:tabs>
        <w:tab w:val="left" w:pos="1080"/>
      </w:tabs>
      <w:ind w:left="1080" w:hanging="1080"/>
    </w:pPr>
  </w:style>
  <w:style w:type="character" w:styleId="C-Heading1Char" w:customStyle="1">
    <w:name w:val="C-Heading 1 Char"/>
    <w:link w:val="C-Heading1"/>
    <w:rsid w:val="00885032"/>
    <w:rPr>
      <w:rFonts w:eastAsia="Times New Roman"/>
      <w:b w:val="1"/>
      <w:szCs w:val="20"/>
    </w:rPr>
  </w:style>
  <w:style w:type="character" w:styleId="C-AlphabeticChar" w:customStyle="1">
    <w:name w:val="C-Alphabetic Char"/>
    <w:basedOn w:val="C-Heading1Char"/>
    <w:link w:val="C-Alphabetic"/>
    <w:rsid w:val="00885032"/>
    <w:rPr>
      <w:rFonts w:eastAsia="Times New Roman"/>
      <w:b w:val="1"/>
      <w:szCs w:val="20"/>
    </w:rPr>
  </w:style>
  <w:style w:type="character" w:styleId="C-BodyTextChar" w:customStyle="1">
    <w:name w:val="C-Body Text Char"/>
    <w:basedOn w:val="Fontepargpadro"/>
    <w:link w:val="C-BodyText"/>
    <w:locked w:val="1"/>
    <w:rsid w:val="00885032"/>
    <w:rPr>
      <w:rFonts w:eastAsia="Times New Roman"/>
      <w:szCs w:val="20"/>
    </w:rPr>
  </w:style>
  <w:style w:type="paragraph" w:styleId="Bold" w:customStyle="1">
    <w:name w:val="Bold"/>
    <w:basedOn w:val="Normal"/>
    <w:link w:val="BoldChar"/>
    <w:uiPriority w:val="99"/>
    <w:rsid w:val="00885032"/>
    <w:rPr>
      <w:rFonts w:eastAsiaTheme="minorHAnsi"/>
      <w:b w:val="1"/>
      <w:sz w:val="22"/>
    </w:rPr>
  </w:style>
  <w:style w:type="character" w:styleId="BoldChar" w:customStyle="1">
    <w:name w:val="Bold Char"/>
    <w:basedOn w:val="Fontepargpadro"/>
    <w:link w:val="Bold"/>
    <w:uiPriority w:val="99"/>
    <w:locked w:val="1"/>
    <w:rsid w:val="00885032"/>
    <w:rPr>
      <w:b w:val="1"/>
      <w:sz w:val="22"/>
      <w:lang w:eastAsia="pt-BR" w:val="pt-BR"/>
    </w:rPr>
  </w:style>
  <w:style w:type="paragraph" w:styleId="A-SynopsisTableText" w:customStyle="1">
    <w:name w:val="A-Synopsis Table Text"/>
    <w:rsid w:val="00885032"/>
    <w:pPr>
      <w:spacing w:after="40" w:before="40" w:line="270" w:lineRule="atLeast"/>
    </w:pPr>
    <w:rPr>
      <w:rFonts w:cstheme="minorBidi"/>
      <w:kern w:val="16"/>
      <w:sz w:val="22"/>
    </w:rPr>
  </w:style>
  <w:style w:type="paragraph" w:styleId="A-SynopsisHeading" w:customStyle="1">
    <w:name w:val="A-Synopsis Heading"/>
    <w:basedOn w:val="A-SynopsisTableText"/>
    <w:next w:val="A-SynopsisTableText"/>
    <w:qFormat w:val="1"/>
    <w:rsid w:val="00885032"/>
    <w:rPr>
      <w:b w:val="1"/>
    </w:rPr>
  </w:style>
  <w:style w:type="paragraph" w:styleId="A-SynopsisBullets" w:customStyle="1">
    <w:name w:val="A-Synopsis Bullets"/>
    <w:rsid w:val="00885032"/>
    <w:pPr>
      <w:numPr>
        <w:numId w:val="30"/>
      </w:numPr>
      <w:spacing w:after="80" w:line="270" w:lineRule="atLeast"/>
    </w:pPr>
    <w:rPr>
      <w:rFonts w:cstheme="minorBidi"/>
      <w:kern w:val="16"/>
      <w:sz w:val="20"/>
    </w:rPr>
  </w:style>
  <w:style w:type="paragraph" w:styleId="A-BodyText" w:customStyle="1">
    <w:name w:val="A-Body Text"/>
    <w:qFormat w:val="1"/>
    <w:rsid w:val="00885032"/>
    <w:pPr>
      <w:spacing w:after="180" w:line="270" w:lineRule="atLeast"/>
    </w:pPr>
    <w:rPr>
      <w:rFonts w:cstheme="minorBidi"/>
      <w:kern w:val="16"/>
    </w:rPr>
  </w:style>
  <w:style w:type="paragraph" w:styleId="ARP-Heading1" w:customStyle="1">
    <w:name w:val="ARP-Heading 1"/>
    <w:next w:val="Normal"/>
    <w:rsid w:val="00885032"/>
    <w:pPr>
      <w:keepNext w:val="1"/>
      <w:pageBreakBefore w:val="1"/>
      <w:tabs>
        <w:tab w:val="num" w:pos="1080"/>
      </w:tabs>
      <w:spacing w:before="480"/>
      <w:ind w:left="1080" w:hanging="1080"/>
      <w:outlineLvl w:val="0"/>
    </w:pPr>
    <w:rPr>
      <w:rFonts w:eastAsia="Times New Roman"/>
      <w:b w:val="1"/>
      <w:caps w:val="1"/>
      <w:sz w:val="28"/>
      <w:szCs w:val="20"/>
    </w:rPr>
  </w:style>
  <w:style w:type="paragraph" w:styleId="ARP-Heading2" w:customStyle="1">
    <w:name w:val="ARP-Heading 2"/>
    <w:next w:val="Normal"/>
    <w:rsid w:val="00885032"/>
    <w:pPr>
      <w:keepNext w:val="1"/>
      <w:tabs>
        <w:tab w:val="num" w:pos="1080"/>
      </w:tabs>
      <w:spacing w:before="360"/>
      <w:ind w:left="1080" w:hanging="1080"/>
      <w:outlineLvl w:val="1"/>
    </w:pPr>
    <w:rPr>
      <w:rFonts w:eastAsia="Times New Roman"/>
      <w:b w:val="1"/>
      <w:sz w:val="28"/>
      <w:szCs w:val="20"/>
    </w:rPr>
  </w:style>
  <w:style w:type="paragraph" w:styleId="ARP-Heading3" w:customStyle="1">
    <w:name w:val="ARP-Heading 3"/>
    <w:next w:val="Normal"/>
    <w:rsid w:val="00885032"/>
    <w:pPr>
      <w:keepNext w:val="1"/>
      <w:tabs>
        <w:tab w:val="num" w:pos="1080"/>
      </w:tabs>
      <w:spacing w:after="120" w:before="240"/>
      <w:ind w:left="1080" w:hanging="1080"/>
      <w:outlineLvl w:val="2"/>
    </w:pPr>
    <w:rPr>
      <w:rFonts w:eastAsia="Times New Roman"/>
      <w:b w:val="1"/>
      <w:szCs w:val="20"/>
    </w:rPr>
  </w:style>
  <w:style w:type="paragraph" w:styleId="ARP-Heading4" w:customStyle="1">
    <w:name w:val="ARP-Heading 4"/>
    <w:next w:val="Normal"/>
    <w:rsid w:val="00885032"/>
    <w:pPr>
      <w:keepNext w:val="1"/>
      <w:tabs>
        <w:tab w:val="num" w:pos="1080"/>
      </w:tabs>
      <w:spacing w:after="120" w:before="240"/>
      <w:ind w:left="1080" w:hanging="1080"/>
      <w:outlineLvl w:val="3"/>
    </w:pPr>
    <w:rPr>
      <w:rFonts w:eastAsia="Times New Roman"/>
      <w:b w:val="1"/>
      <w:szCs w:val="20"/>
    </w:rPr>
  </w:style>
  <w:style w:type="paragraph" w:styleId="ARP-Heading5" w:customStyle="1">
    <w:name w:val="ARP-Heading 5"/>
    <w:next w:val="Normal"/>
    <w:rsid w:val="00885032"/>
    <w:pPr>
      <w:keepNext w:val="1"/>
      <w:tabs>
        <w:tab w:val="num" w:pos="1080"/>
      </w:tabs>
      <w:spacing w:after="120" w:before="240"/>
      <w:ind w:left="1080" w:hanging="1080"/>
      <w:outlineLvl w:val="4"/>
    </w:pPr>
    <w:rPr>
      <w:rFonts w:eastAsia="Times New Roman"/>
      <w:b w:val="1"/>
      <w:szCs w:val="20"/>
    </w:rPr>
  </w:style>
  <w:style w:type="paragraph" w:styleId="A-FootnoteSourceLine" w:customStyle="1">
    <w:name w:val="A-Footnote/Source Line"/>
    <w:rsid w:val="00885032"/>
    <w:pPr>
      <w:spacing w:after="280" w:line="240" w:lineRule="exact"/>
      <w:contextualSpacing w:val="1"/>
    </w:pPr>
    <w:rPr>
      <w:rFonts w:cstheme="minorBidi"/>
      <w:kern w:val="16"/>
      <w:sz w:val="20"/>
    </w:rPr>
  </w:style>
  <w:style w:type="character" w:styleId="CrossReferenceBlue" w:customStyle="1">
    <w:name w:val="Cross Reference Blue"/>
    <w:uiPriority w:val="1"/>
    <w:qFormat w:val="1"/>
    <w:rsid w:val="00885032"/>
    <w:rPr>
      <w:color w:val="0000ff"/>
    </w:rPr>
  </w:style>
  <w:style w:type="paragraph" w:styleId="A-ScheduleTableHeading" w:customStyle="1">
    <w:name w:val="A-Schedule Table Heading"/>
    <w:basedOn w:val="Normal"/>
    <w:next w:val="Normal"/>
    <w:qFormat w:val="1"/>
    <w:rsid w:val="00885032"/>
    <w:pPr>
      <w:spacing w:after="20" w:before="20" w:line="180" w:lineRule="atLeast"/>
      <w:contextualSpacing w:val="1"/>
      <w:jc w:val="center"/>
    </w:pPr>
    <w:rPr>
      <w:rFonts w:eastAsiaTheme="minorHAnsi"/>
      <w:b w:val="1"/>
      <w:kern w:val="16"/>
    </w:rPr>
  </w:style>
  <w:style w:type="paragraph" w:styleId="A-ScheduleTableText" w:customStyle="1">
    <w:name w:val="A-Schedule Table Text"/>
    <w:qFormat w:val="1"/>
    <w:rsid w:val="00885032"/>
    <w:pPr>
      <w:spacing w:after="20" w:before="20" w:line="180" w:lineRule="atLeast"/>
      <w:contextualSpacing w:val="1"/>
    </w:pPr>
    <w:rPr>
      <w:rFonts w:cstheme="minorBidi"/>
      <w:kern w:val="16"/>
      <w:sz w:val="18"/>
    </w:rPr>
  </w:style>
  <w:style w:type="character" w:styleId="Cross-referenceBlue" w:customStyle="1">
    <w:name w:val="Cross-reference Blue"/>
    <w:rsid w:val="00885032"/>
    <w:rPr>
      <w:color w:val="0000ff"/>
    </w:rPr>
  </w:style>
  <w:style w:type="paragraph" w:styleId="A-TableText" w:customStyle="1">
    <w:name w:val="A-Table Text"/>
    <w:qFormat w:val="1"/>
    <w:rsid w:val="00885032"/>
    <w:pPr>
      <w:spacing w:after="60" w:before="60" w:line="270" w:lineRule="atLeast"/>
    </w:pPr>
    <w:rPr>
      <w:rFonts w:cstheme="minorBidi"/>
      <w:kern w:val="16"/>
      <w:sz w:val="22"/>
    </w:rPr>
  </w:style>
  <w:style w:type="paragraph" w:styleId="A-TableTopHeadings" w:customStyle="1">
    <w:name w:val="A-Table Top Headings"/>
    <w:rsid w:val="00885032"/>
    <w:pPr>
      <w:keepNext w:val="1"/>
      <w:spacing w:after="40" w:before="80" w:line="270" w:lineRule="atLeast"/>
      <w:jc w:val="center"/>
    </w:pPr>
    <w:rPr>
      <w:rFonts w:cstheme="minorBidi"/>
      <w:b w:val="1"/>
      <w:kern w:val="16"/>
      <w:sz w:val="22"/>
    </w:rPr>
  </w:style>
  <w:style w:type="paragraph" w:styleId="A-BulletLevel1" w:customStyle="1">
    <w:name w:val="A-Bullet Level 1"/>
    <w:qFormat w:val="1"/>
    <w:rsid w:val="00885032"/>
    <w:pPr>
      <w:numPr>
        <w:numId w:val="31"/>
      </w:numPr>
      <w:spacing w:after="80" w:line="270" w:lineRule="atLeast"/>
    </w:pPr>
    <w:rPr>
      <w:rFonts w:cstheme="minorBidi"/>
      <w:kern w:val="16"/>
    </w:rPr>
  </w:style>
  <w:style w:type="paragraph" w:styleId="A-BulletLevel1Last" w:customStyle="1">
    <w:name w:val="A-Bullet Level 1 Last"/>
    <w:basedOn w:val="A-BulletLevel1"/>
    <w:next w:val="A-BodyText"/>
    <w:qFormat w:val="1"/>
    <w:rsid w:val="00885032"/>
    <w:pPr>
      <w:spacing w:after="180"/>
      <w:ind w:left="714" w:hanging="357"/>
    </w:pPr>
  </w:style>
  <w:style w:type="table" w:styleId="I-TIMEANDEVENTSTABLE" w:customStyle="1">
    <w:name w:val="I-TIME AND EVENTS TABLE"/>
    <w:basedOn w:val="Tabelanormal"/>
    <w:uiPriority w:val="99"/>
    <w:rsid w:val="00885032"/>
    <w:pPr>
      <w:spacing w:after="0"/>
      <w:jc w:val="center"/>
    </w:pPr>
    <w:rPr>
      <w:kern w:val="16"/>
      <w:lang w:val="en-CA"/>
    </w:rPr>
    <w:tblPr>
      <w:tblBorders>
        <w:top w:color="333333" w:space="0" w:sz="12" w:val="single"/>
        <w:left w:color="333333" w:space="0" w:sz="12" w:val="single"/>
        <w:bottom w:color="333333" w:space="0" w:sz="12" w:val="single"/>
        <w:right w:color="333333" w:space="0" w:sz="12" w:val="single"/>
        <w:insideH w:color="868686" w:space="0" w:sz="4" w:val="single"/>
      </w:tblBorders>
      <w:tblCellMar>
        <w:left w:w="57.0" w:type="dxa"/>
        <w:right w:w="57.0" w:type="dxa"/>
      </w:tblCellMar>
    </w:tblPr>
    <w:tcPr>
      <w:vAlign w:val="center"/>
    </w:tcPr>
    <w:tblStylePr w:type="firstRow">
      <w:tblPr/>
      <w:tcPr>
        <w:tcBorders>
          <w:top w:color="333333" w:space="0" w:sz="12" w:val="single"/>
          <w:left w:color="333333" w:space="0" w:sz="12" w:val="single"/>
          <w:bottom w:color="333333" w:space="0" w:sz="12" w:val="single"/>
          <w:right w:color="333333" w:space="0" w:sz="12" w:val="single"/>
          <w:insideH w:space="0" w:sz="0" w:val="nil"/>
          <w:insideV w:space="0" w:sz="0" w:val="nil"/>
          <w:tl2br w:space="0" w:sz="0" w:val="nil"/>
          <w:tr2bl w:space="0" w:sz="0" w:val="nil"/>
        </w:tcBorders>
      </w:tcPr>
    </w:tblStylePr>
    <w:tblStylePr w:type="firstCol">
      <w:pPr>
        <w:jc w:val="left"/>
      </w:pPr>
    </w:tblStylePr>
  </w:style>
  <w:style w:type="table" w:styleId="I-TimeandEventsTable0" w:customStyle="1">
    <w:name w:val="I-Time and Events Table"/>
    <w:basedOn w:val="Tabelanormal"/>
    <w:uiPriority w:val="99"/>
    <w:rsid w:val="00885032"/>
    <w:pPr>
      <w:spacing w:after="0"/>
      <w:jc w:val="center"/>
    </w:pPr>
    <w:rPr>
      <w:kern w:val="16"/>
      <w:lang w:val="en-CA"/>
    </w:rPr>
    <w:tblPr>
      <w:tblBorders>
        <w:top w:color="333333" w:space="0" w:sz="12" w:val="single"/>
        <w:left w:color="333333" w:space="0" w:sz="12" w:val="single"/>
        <w:bottom w:color="333333" w:space="0" w:sz="12" w:val="single"/>
        <w:right w:color="333333" w:space="0" w:sz="12" w:val="single"/>
        <w:insideH w:color="868686" w:space="0" w:sz="4" w:val="single"/>
      </w:tblBorders>
      <w:tblCellMar>
        <w:left w:w="57.0" w:type="dxa"/>
        <w:right w:w="57.0" w:type="dxa"/>
      </w:tblCellMar>
    </w:tblPr>
    <w:tcPr>
      <w:vAlign w:val="center"/>
    </w:tcPr>
    <w:tblStylePr w:type="firstRow">
      <w:tblPr/>
      <w:tcPr>
        <w:tcBorders>
          <w:top w:color="333333" w:space="0" w:sz="12" w:val="single"/>
          <w:left w:color="333333" w:space="0" w:sz="12" w:val="single"/>
          <w:bottom w:color="333333" w:space="0" w:sz="12" w:val="single"/>
          <w:right w:color="333333" w:space="0" w:sz="12" w:val="single"/>
          <w:insideH w:space="0" w:sz="0" w:val="nil"/>
          <w:insideV w:space="0" w:sz="0" w:val="nil"/>
          <w:tl2br w:space="0" w:sz="0" w:val="nil"/>
          <w:tr2bl w:space="0" w:sz="0" w:val="nil"/>
        </w:tcBorders>
      </w:tcPr>
    </w:tblStylePr>
    <w:tblStylePr w:type="firstCol">
      <w:pPr>
        <w:jc w:val="left"/>
      </w:pPr>
    </w:tblStylePr>
  </w:style>
  <w:style w:type="paragraph" w:styleId="Numerada">
    <w:name w:val="List Number"/>
    <w:basedOn w:val="Normal"/>
    <w:rsid w:val="00885032"/>
    <w:pPr>
      <w:tabs>
        <w:tab w:val="num" w:pos="360"/>
      </w:tabs>
      <w:spacing w:after="120"/>
      <w:ind w:left="360" w:hanging="360"/>
    </w:pPr>
    <w:rPr>
      <w:rFonts w:eastAsiaTheme="minorHAnsi"/>
      <w:sz w:val="22"/>
      <w:szCs w:val="22"/>
    </w:rPr>
  </w:style>
  <w:style w:type="paragraph" w:styleId="StyleleftJustified" w:customStyle="1">
    <w:name w:val="Style left Justified"/>
    <w:basedOn w:val="Normal"/>
    <w:rsid w:val="00885032"/>
    <w:pPr>
      <w:spacing w:after="120"/>
    </w:pPr>
    <w:rPr>
      <w:rFonts w:eastAsiaTheme="minorHAnsi"/>
      <w:sz w:val="22"/>
      <w:szCs w:val="22"/>
    </w:rPr>
  </w:style>
  <w:style w:type="character" w:styleId="LegendaChar" w:customStyle="1">
    <w:name w:val="Legenda Char"/>
    <w:basedOn w:val="Fontepargpadro"/>
    <w:link w:val="Legenda"/>
    <w:uiPriority w:val="35"/>
    <w:locked w:val="1"/>
    <w:rsid w:val="00885032"/>
    <w:rPr>
      <w:rFonts w:eastAsia="Times New Roman"/>
      <w:b w:val="1"/>
      <w:bCs w:val="1"/>
      <w:color w:val="262e35" w:themeColor="accent1" w:themeShade="0000BF"/>
      <w:sz w:val="16"/>
      <w:szCs w:val="16"/>
      <w:lang w:eastAsia="pt-BR" w:val="pt-BR"/>
    </w:rPr>
  </w:style>
  <w:style w:type="paragraph" w:styleId="PLRDivider" w:customStyle="1">
    <w:name w:val="PLR Divider"/>
    <w:basedOn w:val="C-AlphabeticList"/>
    <w:next w:val="C-PLR-TableFootnote"/>
    <w:uiPriority w:val="99"/>
    <w:rsid w:val="00885032"/>
    <w:pPr>
      <w:numPr>
        <w:numId w:val="32"/>
      </w:numPr>
      <w:pBdr>
        <w:bottom w:color="auto" w:space="1" w:sz="4" w:val="single"/>
      </w:pBdr>
      <w:spacing w:after="120" w:line="276" w:lineRule="auto"/>
    </w:pPr>
    <w:rPr>
      <w:rFonts w:asciiTheme="minorHAnsi" w:cstheme="minorBidi" w:eastAsiaTheme="minorHAnsi" w:hAnsiTheme="minorHAnsi"/>
      <w:b w:val="1"/>
      <w:sz w:val="16"/>
    </w:rPr>
  </w:style>
  <w:style w:type="paragraph" w:styleId="Corpodetexto3">
    <w:name w:val="Body Text 3"/>
    <w:basedOn w:val="Normal"/>
    <w:link w:val="Corpodetexto3Char"/>
    <w:rsid w:val="00885032"/>
    <w:pPr>
      <w:spacing w:after="120"/>
    </w:pPr>
    <w:rPr>
      <w:rFonts w:eastAsiaTheme="minorHAnsi"/>
      <w:sz w:val="16"/>
      <w:szCs w:val="16"/>
    </w:rPr>
  </w:style>
  <w:style w:type="character" w:styleId="Corpodetexto3Char" w:customStyle="1">
    <w:name w:val="Corpo de texto 3 Char"/>
    <w:basedOn w:val="Fontepargpadro"/>
    <w:link w:val="Corpodetexto3"/>
    <w:rsid w:val="00885032"/>
    <w:rPr>
      <w:sz w:val="16"/>
      <w:szCs w:val="16"/>
      <w:lang w:eastAsia="pt-BR" w:val="pt-BR"/>
    </w:rPr>
  </w:style>
  <w:style w:type="paragraph" w:styleId="Reviso">
    <w:name w:val="Revision"/>
    <w:hidden w:val="1"/>
    <w:uiPriority w:val="99"/>
    <w:semiHidden w:val="1"/>
    <w:rsid w:val="00885032"/>
    <w:pPr>
      <w:spacing w:after="0"/>
    </w:pPr>
    <w:rPr>
      <w:rFonts w:cs="Arial" w:eastAsia="Times New Roman"/>
      <w:szCs w:val="20"/>
    </w:rPr>
  </w:style>
  <w:style w:type="paragraph" w:styleId="Textoembloco">
    <w:name w:val="Block Text"/>
    <w:basedOn w:val="Normal"/>
    <w:rsid w:val="00885032"/>
    <w:pPr>
      <w:pBdr>
        <w:top w:color="333e48" w:shadow="1" w:space="10" w:sz="2" w:themeColor="accent1" w:val="single"/>
        <w:left w:color="333e48" w:shadow="1" w:space="10" w:sz="2" w:themeColor="accent1" w:val="single"/>
        <w:bottom w:color="333e48" w:shadow="1" w:space="10" w:sz="2" w:themeColor="accent1" w:val="single"/>
        <w:right w:color="333e48" w:shadow="1" w:space="10" w:sz="2" w:themeColor="accent1" w:val="single"/>
      </w:pBdr>
      <w:ind w:left="1152" w:right="1152"/>
    </w:pPr>
    <w:rPr>
      <w:i w:val="1"/>
      <w:iCs w:val="1"/>
      <w:color w:val="333e48" w:themeColor="accent1"/>
      <w:sz w:val="22"/>
      <w:szCs w:val="22"/>
    </w:rPr>
  </w:style>
  <w:style w:type="paragraph" w:styleId="Primeirorecuodecorpodetexto">
    <w:name w:val="Body Text First Indent"/>
    <w:basedOn w:val="Corpodetexto"/>
    <w:link w:val="PrimeirorecuodecorpodetextoChar"/>
    <w:rsid w:val="00885032"/>
    <w:pPr>
      <w:spacing w:after="0" w:line="276" w:lineRule="auto"/>
      <w:ind w:firstLine="360"/>
    </w:pPr>
    <w:rPr>
      <w:rFonts w:asciiTheme="minorHAnsi" w:cstheme="minorBidi" w:eastAsiaTheme="minorHAnsi" w:hAnsiTheme="minorHAnsi"/>
      <w:sz w:val="22"/>
      <w:szCs w:val="22"/>
    </w:rPr>
  </w:style>
  <w:style w:type="character" w:styleId="PrimeirorecuodecorpodetextoChar" w:customStyle="1">
    <w:name w:val="Primeiro recuo de corpo de texto Char"/>
    <w:basedOn w:val="CorpodetextoChar"/>
    <w:link w:val="Primeirorecuodecorpodetexto"/>
    <w:rsid w:val="00885032"/>
    <w:rPr>
      <w:rFonts w:eastAsia="Times New Roman" w:asciiTheme="minorHAnsi" w:cstheme="minorBidi" w:hAnsiTheme="minorHAnsi"/>
      <w:sz w:val="22"/>
      <w:szCs w:val="22"/>
      <w:lang w:eastAsia="pt-BR" w:val="pt-BR"/>
    </w:rPr>
  </w:style>
  <w:style w:type="paragraph" w:styleId="Recuodecorpodetexto2">
    <w:name w:val="Body Text Indent 2"/>
    <w:basedOn w:val="Normal"/>
    <w:link w:val="Recuodecorpodetexto2Char"/>
    <w:rsid w:val="00885032"/>
    <w:pPr>
      <w:spacing w:after="120" w:line="480" w:lineRule="auto"/>
      <w:ind w:left="360"/>
    </w:pPr>
    <w:rPr>
      <w:rFonts w:eastAsiaTheme="minorHAnsi"/>
      <w:sz w:val="22"/>
      <w:szCs w:val="22"/>
    </w:rPr>
  </w:style>
  <w:style w:type="character" w:styleId="Recuodecorpodetexto2Char" w:customStyle="1">
    <w:name w:val="Recuo de corpo de texto 2 Char"/>
    <w:basedOn w:val="Fontepargpadro"/>
    <w:link w:val="Recuodecorpodetexto2"/>
    <w:rsid w:val="00885032"/>
    <w:rPr>
      <w:sz w:val="22"/>
      <w:szCs w:val="22"/>
      <w:lang w:eastAsia="pt-BR" w:val="pt-BR"/>
    </w:rPr>
  </w:style>
  <w:style w:type="paragraph" w:styleId="Recuodecorpodetexto3">
    <w:name w:val="Body Text Indent 3"/>
    <w:basedOn w:val="Normal"/>
    <w:link w:val="Recuodecorpodetexto3Char"/>
    <w:rsid w:val="00885032"/>
    <w:pPr>
      <w:spacing w:after="120"/>
      <w:ind w:left="360"/>
    </w:pPr>
    <w:rPr>
      <w:rFonts w:eastAsiaTheme="minorHAnsi"/>
      <w:sz w:val="16"/>
      <w:szCs w:val="16"/>
    </w:rPr>
  </w:style>
  <w:style w:type="character" w:styleId="Recuodecorpodetexto3Char" w:customStyle="1">
    <w:name w:val="Recuo de corpo de texto 3 Char"/>
    <w:basedOn w:val="Fontepargpadro"/>
    <w:link w:val="Recuodecorpodetexto3"/>
    <w:rsid w:val="00885032"/>
    <w:rPr>
      <w:sz w:val="16"/>
      <w:szCs w:val="16"/>
      <w:lang w:eastAsia="pt-BR" w:val="pt-BR"/>
    </w:rPr>
  </w:style>
  <w:style w:type="paragraph" w:styleId="Encerramento">
    <w:name w:val="Closing"/>
    <w:basedOn w:val="Normal"/>
    <w:link w:val="EncerramentoChar"/>
    <w:rsid w:val="00885032"/>
    <w:pPr>
      <w:ind w:left="4320"/>
    </w:pPr>
    <w:rPr>
      <w:rFonts w:eastAsiaTheme="minorHAnsi"/>
      <w:sz w:val="22"/>
      <w:szCs w:val="22"/>
    </w:rPr>
  </w:style>
  <w:style w:type="character" w:styleId="EncerramentoChar" w:customStyle="1">
    <w:name w:val="Encerramento Char"/>
    <w:basedOn w:val="Fontepargpadro"/>
    <w:link w:val="Encerramento"/>
    <w:rsid w:val="00885032"/>
    <w:rPr>
      <w:sz w:val="22"/>
      <w:szCs w:val="22"/>
      <w:lang w:eastAsia="pt-BR" w:val="pt-BR"/>
    </w:rPr>
  </w:style>
  <w:style w:type="paragraph" w:styleId="Data">
    <w:name w:val="Date"/>
    <w:basedOn w:val="Normal"/>
    <w:next w:val="Normal"/>
    <w:link w:val="DataChar"/>
    <w:rsid w:val="00885032"/>
    <w:rPr>
      <w:rFonts w:eastAsiaTheme="minorHAnsi"/>
      <w:sz w:val="22"/>
      <w:szCs w:val="22"/>
    </w:rPr>
  </w:style>
  <w:style w:type="character" w:styleId="DataChar" w:customStyle="1">
    <w:name w:val="Data Char"/>
    <w:basedOn w:val="Fontepargpadro"/>
    <w:link w:val="Data"/>
    <w:rsid w:val="00885032"/>
    <w:rPr>
      <w:sz w:val="22"/>
      <w:szCs w:val="22"/>
      <w:lang w:eastAsia="pt-BR" w:val="pt-BR"/>
    </w:rPr>
  </w:style>
  <w:style w:type="paragraph" w:styleId="MapadoDocumento">
    <w:name w:val="Document Map"/>
    <w:basedOn w:val="Normal"/>
    <w:link w:val="MapadoDocumentoChar"/>
    <w:rsid w:val="00885032"/>
    <w:rPr>
      <w:rFonts w:ascii="Tahoma" w:cs="Tahoma" w:hAnsi="Tahoma" w:eastAsiaTheme="minorHAnsi"/>
      <w:sz w:val="16"/>
      <w:szCs w:val="16"/>
    </w:rPr>
  </w:style>
  <w:style w:type="character" w:styleId="MapadoDocumentoChar" w:customStyle="1">
    <w:name w:val="Mapa do Documento Char"/>
    <w:basedOn w:val="Fontepargpadro"/>
    <w:link w:val="MapadoDocumento"/>
    <w:rsid w:val="00885032"/>
    <w:rPr>
      <w:rFonts w:ascii="Tahoma" w:cs="Tahoma" w:hAnsi="Tahoma"/>
      <w:sz w:val="16"/>
      <w:szCs w:val="16"/>
      <w:lang w:eastAsia="pt-BR" w:val="pt-BR"/>
    </w:rPr>
  </w:style>
  <w:style w:type="paragraph" w:styleId="AssinaturadeEmail">
    <w:name w:val="E-mail Signature"/>
    <w:basedOn w:val="Normal"/>
    <w:link w:val="AssinaturadeEmailChar"/>
    <w:rsid w:val="00885032"/>
    <w:rPr>
      <w:rFonts w:eastAsiaTheme="minorHAnsi"/>
      <w:sz w:val="22"/>
      <w:szCs w:val="22"/>
    </w:rPr>
  </w:style>
  <w:style w:type="character" w:styleId="AssinaturadeEmailChar" w:customStyle="1">
    <w:name w:val="Assinatura de Email Char"/>
    <w:basedOn w:val="Fontepargpadro"/>
    <w:link w:val="AssinaturadeEmail"/>
    <w:rsid w:val="00885032"/>
    <w:rPr>
      <w:sz w:val="22"/>
      <w:szCs w:val="22"/>
      <w:lang w:eastAsia="pt-BR" w:val="pt-BR"/>
    </w:rPr>
  </w:style>
  <w:style w:type="paragraph" w:styleId="Textodenotadefim">
    <w:name w:val="endnote text"/>
    <w:basedOn w:val="Normal"/>
    <w:link w:val="TextodenotadefimChar"/>
    <w:rsid w:val="00885032"/>
    <w:rPr>
      <w:rFonts w:eastAsiaTheme="minorHAnsi"/>
      <w:szCs w:val="22"/>
    </w:rPr>
  </w:style>
  <w:style w:type="character" w:styleId="TextodenotadefimChar" w:customStyle="1">
    <w:name w:val="Texto de nota de fim Char"/>
    <w:basedOn w:val="Fontepargpadro"/>
    <w:link w:val="Textodenotadefim"/>
    <w:rsid w:val="00885032"/>
    <w:rPr>
      <w:szCs w:val="22"/>
      <w:lang w:eastAsia="pt-BR" w:val="pt-BR"/>
    </w:rPr>
  </w:style>
  <w:style w:type="paragraph" w:styleId="Destinatrio">
    <w:name w:val="envelope address"/>
    <w:basedOn w:val="Normal"/>
    <w:rsid w:val="00885032"/>
    <w:pPr>
      <w:framePr w:lines="0" w:w="7920" w:h="1980" w:hSpace="180" w:wrap="auto" w:hAnchor="page" w:xAlign="center" w:yAlign="bottom" w:hRule="exact"/>
      <w:ind w:left="2880"/>
    </w:pPr>
    <w:rPr>
      <w:rFonts w:asciiTheme="majorHAnsi" w:cstheme="majorBidi" w:eastAsiaTheme="majorEastAsia" w:hAnsiTheme="majorHAnsi"/>
      <w:sz w:val="22"/>
    </w:rPr>
  </w:style>
  <w:style w:type="paragraph" w:styleId="Remetente">
    <w:name w:val="envelope return"/>
    <w:basedOn w:val="Normal"/>
    <w:rsid w:val="00885032"/>
    <w:rPr>
      <w:rFonts w:asciiTheme="majorHAnsi" w:cstheme="majorBidi" w:eastAsiaTheme="majorEastAsia" w:hAnsiTheme="majorHAnsi"/>
      <w:szCs w:val="22"/>
    </w:rPr>
  </w:style>
  <w:style w:type="paragraph" w:styleId="EndereoHTML">
    <w:name w:val="HTML Address"/>
    <w:basedOn w:val="Normal"/>
    <w:link w:val="EndereoHTMLChar"/>
    <w:rsid w:val="00885032"/>
    <w:rPr>
      <w:rFonts w:eastAsiaTheme="minorHAnsi"/>
      <w:i w:val="1"/>
      <w:iCs w:val="1"/>
      <w:sz w:val="22"/>
      <w:szCs w:val="22"/>
    </w:rPr>
  </w:style>
  <w:style w:type="character" w:styleId="EndereoHTMLChar" w:customStyle="1">
    <w:name w:val="Endereço HTML Char"/>
    <w:basedOn w:val="Fontepargpadro"/>
    <w:link w:val="EndereoHTML"/>
    <w:rsid w:val="00885032"/>
    <w:rPr>
      <w:i w:val="1"/>
      <w:iCs w:val="1"/>
      <w:sz w:val="22"/>
      <w:szCs w:val="22"/>
      <w:lang w:eastAsia="pt-BR" w:val="pt-BR"/>
    </w:rPr>
  </w:style>
  <w:style w:type="paragraph" w:styleId="Pr-formataoHTML">
    <w:name w:val="HTML Preformatted"/>
    <w:basedOn w:val="Normal"/>
    <w:link w:val="Pr-formataoHTMLChar"/>
    <w:rsid w:val="00885032"/>
    <w:rPr>
      <w:rFonts w:ascii="Consolas" w:cs="Consolas" w:hAnsi="Consolas" w:eastAsiaTheme="minorHAnsi"/>
      <w:szCs w:val="22"/>
    </w:rPr>
  </w:style>
  <w:style w:type="character" w:styleId="Pr-formataoHTMLChar" w:customStyle="1">
    <w:name w:val="Pré-formatação HTML Char"/>
    <w:basedOn w:val="Fontepargpadro"/>
    <w:link w:val="Pr-formataoHTML"/>
    <w:rsid w:val="00885032"/>
    <w:rPr>
      <w:rFonts w:ascii="Consolas" w:cs="Consolas" w:hAnsi="Consolas"/>
      <w:szCs w:val="22"/>
      <w:lang w:eastAsia="pt-BR" w:val="pt-BR"/>
    </w:rPr>
  </w:style>
  <w:style w:type="paragraph" w:styleId="Remissivo1">
    <w:name w:val="index 1"/>
    <w:basedOn w:val="Normal"/>
    <w:next w:val="Normal"/>
    <w:autoRedefine w:val="1"/>
    <w:rsid w:val="00885032"/>
    <w:pPr>
      <w:ind w:left="240" w:hanging="240"/>
    </w:pPr>
    <w:rPr>
      <w:rFonts w:eastAsiaTheme="minorHAnsi"/>
      <w:sz w:val="22"/>
      <w:szCs w:val="22"/>
    </w:rPr>
  </w:style>
  <w:style w:type="paragraph" w:styleId="Remissivo2">
    <w:name w:val="index 2"/>
    <w:basedOn w:val="Normal"/>
    <w:next w:val="Normal"/>
    <w:autoRedefine w:val="1"/>
    <w:rsid w:val="00885032"/>
    <w:pPr>
      <w:ind w:left="480" w:hanging="240"/>
    </w:pPr>
    <w:rPr>
      <w:rFonts w:eastAsiaTheme="minorHAnsi"/>
      <w:sz w:val="22"/>
      <w:szCs w:val="22"/>
    </w:rPr>
  </w:style>
  <w:style w:type="paragraph" w:styleId="Remissivo3">
    <w:name w:val="index 3"/>
    <w:basedOn w:val="Normal"/>
    <w:next w:val="Normal"/>
    <w:autoRedefine w:val="1"/>
    <w:rsid w:val="00885032"/>
    <w:pPr>
      <w:ind w:left="720" w:hanging="240"/>
    </w:pPr>
    <w:rPr>
      <w:rFonts w:eastAsiaTheme="minorHAnsi"/>
      <w:sz w:val="22"/>
      <w:szCs w:val="22"/>
    </w:rPr>
  </w:style>
  <w:style w:type="paragraph" w:styleId="Remissivo4">
    <w:name w:val="index 4"/>
    <w:basedOn w:val="Normal"/>
    <w:next w:val="Normal"/>
    <w:autoRedefine w:val="1"/>
    <w:rsid w:val="00885032"/>
    <w:pPr>
      <w:ind w:left="960" w:hanging="240"/>
    </w:pPr>
    <w:rPr>
      <w:rFonts w:eastAsiaTheme="minorHAnsi"/>
      <w:sz w:val="22"/>
      <w:szCs w:val="22"/>
    </w:rPr>
  </w:style>
  <w:style w:type="paragraph" w:styleId="Remissivo5">
    <w:name w:val="index 5"/>
    <w:basedOn w:val="Normal"/>
    <w:next w:val="Normal"/>
    <w:autoRedefine w:val="1"/>
    <w:rsid w:val="00885032"/>
    <w:pPr>
      <w:ind w:left="1200" w:hanging="240"/>
    </w:pPr>
    <w:rPr>
      <w:rFonts w:eastAsiaTheme="minorHAnsi"/>
      <w:sz w:val="22"/>
      <w:szCs w:val="22"/>
    </w:rPr>
  </w:style>
  <w:style w:type="paragraph" w:styleId="Remissivo6">
    <w:name w:val="index 6"/>
    <w:basedOn w:val="Normal"/>
    <w:next w:val="Normal"/>
    <w:autoRedefine w:val="1"/>
    <w:rsid w:val="00885032"/>
    <w:pPr>
      <w:ind w:left="1440" w:hanging="240"/>
    </w:pPr>
    <w:rPr>
      <w:rFonts w:eastAsiaTheme="minorHAnsi"/>
      <w:sz w:val="22"/>
      <w:szCs w:val="22"/>
    </w:rPr>
  </w:style>
  <w:style w:type="paragraph" w:styleId="Remissivo7">
    <w:name w:val="index 7"/>
    <w:basedOn w:val="Normal"/>
    <w:next w:val="Normal"/>
    <w:autoRedefine w:val="1"/>
    <w:rsid w:val="00885032"/>
    <w:pPr>
      <w:ind w:left="1680" w:hanging="240"/>
    </w:pPr>
    <w:rPr>
      <w:rFonts w:eastAsiaTheme="minorHAnsi"/>
      <w:sz w:val="22"/>
      <w:szCs w:val="22"/>
    </w:rPr>
  </w:style>
  <w:style w:type="paragraph" w:styleId="Remissivo8">
    <w:name w:val="index 8"/>
    <w:basedOn w:val="Normal"/>
    <w:next w:val="Normal"/>
    <w:autoRedefine w:val="1"/>
    <w:rsid w:val="00885032"/>
    <w:pPr>
      <w:ind w:left="1920" w:hanging="240"/>
    </w:pPr>
    <w:rPr>
      <w:rFonts w:eastAsiaTheme="minorHAnsi"/>
      <w:sz w:val="22"/>
      <w:szCs w:val="22"/>
    </w:rPr>
  </w:style>
  <w:style w:type="paragraph" w:styleId="Remissivo9">
    <w:name w:val="index 9"/>
    <w:basedOn w:val="Normal"/>
    <w:next w:val="Normal"/>
    <w:autoRedefine w:val="1"/>
    <w:rsid w:val="00885032"/>
    <w:pPr>
      <w:ind w:left="2160" w:hanging="240"/>
    </w:pPr>
    <w:rPr>
      <w:rFonts w:eastAsiaTheme="minorHAnsi"/>
      <w:sz w:val="22"/>
      <w:szCs w:val="22"/>
    </w:rPr>
  </w:style>
  <w:style w:type="paragraph" w:styleId="Ttulodendiceremissivo">
    <w:name w:val="index heading"/>
    <w:basedOn w:val="Normal"/>
    <w:next w:val="Remissivo1"/>
    <w:rsid w:val="00885032"/>
    <w:rPr>
      <w:rFonts w:asciiTheme="majorHAnsi" w:cstheme="majorBidi" w:eastAsiaTheme="majorEastAsia" w:hAnsiTheme="majorHAnsi"/>
      <w:b w:val="1"/>
      <w:bCs w:val="1"/>
      <w:sz w:val="22"/>
      <w:szCs w:val="22"/>
    </w:rPr>
  </w:style>
  <w:style w:type="paragraph" w:styleId="Lista">
    <w:name w:val="List"/>
    <w:basedOn w:val="Normal"/>
    <w:rsid w:val="00885032"/>
    <w:pPr>
      <w:ind w:left="360" w:hanging="360"/>
      <w:contextualSpacing w:val="1"/>
    </w:pPr>
    <w:rPr>
      <w:rFonts w:eastAsiaTheme="minorHAnsi"/>
      <w:sz w:val="22"/>
      <w:szCs w:val="22"/>
    </w:rPr>
  </w:style>
  <w:style w:type="paragraph" w:styleId="Lista2">
    <w:name w:val="List 2"/>
    <w:basedOn w:val="Normal"/>
    <w:rsid w:val="00885032"/>
    <w:pPr>
      <w:ind w:left="720" w:hanging="360"/>
      <w:contextualSpacing w:val="1"/>
    </w:pPr>
    <w:rPr>
      <w:rFonts w:eastAsiaTheme="minorHAnsi"/>
      <w:sz w:val="22"/>
      <w:szCs w:val="22"/>
    </w:rPr>
  </w:style>
  <w:style w:type="paragraph" w:styleId="Lista3">
    <w:name w:val="List 3"/>
    <w:basedOn w:val="Normal"/>
    <w:rsid w:val="00885032"/>
    <w:pPr>
      <w:ind w:left="1080" w:hanging="360"/>
      <w:contextualSpacing w:val="1"/>
    </w:pPr>
    <w:rPr>
      <w:rFonts w:eastAsiaTheme="minorHAnsi"/>
      <w:sz w:val="22"/>
      <w:szCs w:val="22"/>
    </w:rPr>
  </w:style>
  <w:style w:type="paragraph" w:styleId="Lista4">
    <w:name w:val="List 4"/>
    <w:basedOn w:val="Normal"/>
    <w:rsid w:val="00885032"/>
    <w:pPr>
      <w:ind w:left="1440" w:hanging="360"/>
      <w:contextualSpacing w:val="1"/>
    </w:pPr>
    <w:rPr>
      <w:rFonts w:eastAsiaTheme="minorHAnsi"/>
      <w:sz w:val="22"/>
      <w:szCs w:val="22"/>
    </w:rPr>
  </w:style>
  <w:style w:type="paragraph" w:styleId="Lista5">
    <w:name w:val="List 5"/>
    <w:basedOn w:val="Normal"/>
    <w:rsid w:val="00885032"/>
    <w:pPr>
      <w:ind w:left="1800" w:hanging="360"/>
      <w:contextualSpacing w:val="1"/>
    </w:pPr>
    <w:rPr>
      <w:rFonts w:eastAsiaTheme="minorHAnsi"/>
      <w:sz w:val="22"/>
      <w:szCs w:val="22"/>
    </w:rPr>
  </w:style>
  <w:style w:type="paragraph" w:styleId="Commarcadores2">
    <w:name w:val="List Bullet 2"/>
    <w:basedOn w:val="Normal"/>
    <w:rsid w:val="00885032"/>
    <w:pPr>
      <w:tabs>
        <w:tab w:val="num" w:pos="720"/>
      </w:tabs>
      <w:ind w:left="720" w:hanging="360"/>
      <w:contextualSpacing w:val="1"/>
    </w:pPr>
    <w:rPr>
      <w:rFonts w:eastAsiaTheme="minorHAnsi"/>
      <w:sz w:val="22"/>
      <w:szCs w:val="22"/>
    </w:rPr>
  </w:style>
  <w:style w:type="paragraph" w:styleId="Commarcadores3">
    <w:name w:val="List Bullet 3"/>
    <w:basedOn w:val="Normal"/>
    <w:rsid w:val="00885032"/>
    <w:pPr>
      <w:tabs>
        <w:tab w:val="num" w:pos="1080"/>
      </w:tabs>
      <w:ind w:left="1080" w:hanging="360"/>
      <w:contextualSpacing w:val="1"/>
    </w:pPr>
    <w:rPr>
      <w:rFonts w:eastAsiaTheme="minorHAnsi"/>
      <w:sz w:val="22"/>
      <w:szCs w:val="22"/>
    </w:rPr>
  </w:style>
  <w:style w:type="paragraph" w:styleId="Commarcadores4">
    <w:name w:val="List Bullet 4"/>
    <w:basedOn w:val="Normal"/>
    <w:rsid w:val="00885032"/>
    <w:pPr>
      <w:tabs>
        <w:tab w:val="num" w:pos="1440"/>
      </w:tabs>
      <w:ind w:left="1440" w:hanging="360"/>
      <w:contextualSpacing w:val="1"/>
    </w:pPr>
    <w:rPr>
      <w:rFonts w:eastAsiaTheme="minorHAnsi"/>
      <w:sz w:val="22"/>
      <w:szCs w:val="22"/>
    </w:rPr>
  </w:style>
  <w:style w:type="paragraph" w:styleId="Commarcadores5">
    <w:name w:val="List Bullet 5"/>
    <w:basedOn w:val="Normal"/>
    <w:rsid w:val="00885032"/>
    <w:pPr>
      <w:tabs>
        <w:tab w:val="num" w:pos="1800"/>
      </w:tabs>
      <w:ind w:left="1800" w:hanging="360"/>
      <w:contextualSpacing w:val="1"/>
    </w:pPr>
    <w:rPr>
      <w:rFonts w:eastAsiaTheme="minorHAnsi"/>
      <w:sz w:val="22"/>
      <w:szCs w:val="22"/>
    </w:rPr>
  </w:style>
  <w:style w:type="paragraph" w:styleId="Listadecontinuao">
    <w:name w:val="List Continue"/>
    <w:basedOn w:val="Normal"/>
    <w:rsid w:val="00885032"/>
    <w:pPr>
      <w:spacing w:after="120"/>
      <w:ind w:left="360"/>
      <w:contextualSpacing w:val="1"/>
    </w:pPr>
    <w:rPr>
      <w:rFonts w:eastAsiaTheme="minorHAnsi"/>
      <w:sz w:val="22"/>
      <w:szCs w:val="22"/>
    </w:rPr>
  </w:style>
  <w:style w:type="paragraph" w:styleId="Listadecontinuao2">
    <w:name w:val="List Continue 2"/>
    <w:basedOn w:val="Normal"/>
    <w:rsid w:val="00885032"/>
    <w:pPr>
      <w:spacing w:after="120"/>
      <w:ind w:left="720"/>
      <w:contextualSpacing w:val="1"/>
    </w:pPr>
    <w:rPr>
      <w:rFonts w:eastAsiaTheme="minorHAnsi"/>
      <w:sz w:val="22"/>
      <w:szCs w:val="22"/>
    </w:rPr>
  </w:style>
  <w:style w:type="paragraph" w:styleId="Listadecontinuao3">
    <w:name w:val="List Continue 3"/>
    <w:basedOn w:val="Normal"/>
    <w:rsid w:val="00885032"/>
    <w:pPr>
      <w:spacing w:after="120"/>
      <w:ind w:left="1080"/>
      <w:contextualSpacing w:val="1"/>
    </w:pPr>
    <w:rPr>
      <w:rFonts w:eastAsiaTheme="minorHAnsi"/>
      <w:sz w:val="22"/>
      <w:szCs w:val="22"/>
    </w:rPr>
  </w:style>
  <w:style w:type="paragraph" w:styleId="Listadecontinuao4">
    <w:name w:val="List Continue 4"/>
    <w:basedOn w:val="Normal"/>
    <w:rsid w:val="00885032"/>
    <w:pPr>
      <w:spacing w:after="120"/>
      <w:ind w:left="1440"/>
      <w:contextualSpacing w:val="1"/>
    </w:pPr>
    <w:rPr>
      <w:rFonts w:eastAsiaTheme="minorHAnsi"/>
      <w:sz w:val="22"/>
      <w:szCs w:val="22"/>
    </w:rPr>
  </w:style>
  <w:style w:type="paragraph" w:styleId="Listadecontinuao5">
    <w:name w:val="List Continue 5"/>
    <w:basedOn w:val="Normal"/>
    <w:rsid w:val="00885032"/>
    <w:pPr>
      <w:spacing w:after="120"/>
      <w:ind w:left="1800"/>
      <w:contextualSpacing w:val="1"/>
    </w:pPr>
    <w:rPr>
      <w:rFonts w:eastAsiaTheme="minorHAnsi"/>
      <w:sz w:val="22"/>
      <w:szCs w:val="22"/>
    </w:rPr>
  </w:style>
  <w:style w:type="paragraph" w:styleId="Numerada2">
    <w:name w:val="List Number 2"/>
    <w:basedOn w:val="Normal"/>
    <w:rsid w:val="00885032"/>
    <w:pPr>
      <w:tabs>
        <w:tab w:val="num" w:pos="720"/>
      </w:tabs>
      <w:ind w:left="720" w:hanging="360"/>
      <w:contextualSpacing w:val="1"/>
    </w:pPr>
    <w:rPr>
      <w:rFonts w:eastAsiaTheme="minorHAnsi"/>
      <w:sz w:val="22"/>
      <w:szCs w:val="22"/>
    </w:rPr>
  </w:style>
  <w:style w:type="paragraph" w:styleId="Numerada3">
    <w:name w:val="List Number 3"/>
    <w:basedOn w:val="Normal"/>
    <w:rsid w:val="00885032"/>
    <w:pPr>
      <w:tabs>
        <w:tab w:val="num" w:pos="1080"/>
      </w:tabs>
      <w:ind w:left="1080" w:hanging="360"/>
      <w:contextualSpacing w:val="1"/>
    </w:pPr>
    <w:rPr>
      <w:rFonts w:eastAsiaTheme="minorHAnsi"/>
      <w:sz w:val="22"/>
      <w:szCs w:val="22"/>
    </w:rPr>
  </w:style>
  <w:style w:type="paragraph" w:styleId="Numerada4">
    <w:name w:val="List Number 4"/>
    <w:basedOn w:val="Normal"/>
    <w:rsid w:val="00885032"/>
    <w:pPr>
      <w:tabs>
        <w:tab w:val="num" w:pos="1440"/>
      </w:tabs>
      <w:ind w:left="1440" w:hanging="360"/>
      <w:contextualSpacing w:val="1"/>
    </w:pPr>
    <w:rPr>
      <w:rFonts w:eastAsiaTheme="minorHAnsi"/>
      <w:sz w:val="22"/>
      <w:szCs w:val="22"/>
    </w:rPr>
  </w:style>
  <w:style w:type="paragraph" w:styleId="Numerada5">
    <w:name w:val="List Number 5"/>
    <w:basedOn w:val="Normal"/>
    <w:rsid w:val="00885032"/>
    <w:pPr>
      <w:tabs>
        <w:tab w:val="num" w:pos="1800"/>
      </w:tabs>
      <w:ind w:left="1800" w:hanging="360"/>
      <w:contextualSpacing w:val="1"/>
    </w:pPr>
    <w:rPr>
      <w:rFonts w:eastAsiaTheme="minorHAnsi"/>
      <w:sz w:val="22"/>
      <w:szCs w:val="22"/>
    </w:rPr>
  </w:style>
  <w:style w:type="paragraph" w:styleId="Textodemacro">
    <w:name w:val="macro"/>
    <w:link w:val="TextodemacroChar"/>
    <w:rsid w:val="00885032"/>
    <w:pPr>
      <w:tabs>
        <w:tab w:val="left" w:pos="480"/>
        <w:tab w:val="left" w:pos="960"/>
        <w:tab w:val="left" w:pos="1440"/>
        <w:tab w:val="left" w:pos="1920"/>
        <w:tab w:val="left" w:pos="2400"/>
        <w:tab w:val="left" w:pos="2880"/>
        <w:tab w:val="left" w:pos="3360"/>
        <w:tab w:val="left" w:pos="3840"/>
        <w:tab w:val="left" w:pos="4320"/>
      </w:tabs>
      <w:spacing w:after="0"/>
    </w:pPr>
    <w:rPr>
      <w:rFonts w:ascii="Consolas" w:cs="Consolas" w:eastAsia="Times New Roman" w:hAnsi="Consolas"/>
      <w:sz w:val="20"/>
      <w:szCs w:val="20"/>
    </w:rPr>
  </w:style>
  <w:style w:type="character" w:styleId="TextodemacroChar" w:customStyle="1">
    <w:name w:val="Texto de macro Char"/>
    <w:basedOn w:val="Fontepargpadro"/>
    <w:link w:val="Textodemacro"/>
    <w:rsid w:val="00885032"/>
    <w:rPr>
      <w:rFonts w:ascii="Consolas" w:cs="Consolas" w:eastAsia="Times New Roman" w:hAnsi="Consolas"/>
      <w:sz w:val="20"/>
      <w:szCs w:val="20"/>
    </w:rPr>
  </w:style>
  <w:style w:type="paragraph" w:styleId="Cabealhodamensagem">
    <w:name w:val="Message Header"/>
    <w:basedOn w:val="Normal"/>
    <w:link w:val="CabealhodamensagemChar"/>
    <w:rsid w:val="00885032"/>
    <w:pPr>
      <w:pBdr>
        <w:top w:color="auto" w:space="1" w:sz="6" w:val="single"/>
        <w:left w:color="auto" w:space="1" w:sz="6" w:val="single"/>
        <w:bottom w:color="auto" w:space="1" w:sz="6" w:val="single"/>
        <w:right w:color="auto" w:space="1" w:sz="6" w:val="single"/>
      </w:pBdr>
      <w:shd w:color="auto" w:fill="auto" w:val="pct20"/>
      <w:ind w:left="1080" w:hanging="1080"/>
    </w:pPr>
    <w:rPr>
      <w:rFonts w:asciiTheme="majorHAnsi" w:cstheme="majorBidi" w:eastAsiaTheme="majorEastAsia" w:hAnsiTheme="majorHAnsi"/>
      <w:sz w:val="22"/>
    </w:rPr>
  </w:style>
  <w:style w:type="character" w:styleId="CabealhodamensagemChar" w:customStyle="1">
    <w:name w:val="Cabeçalho da mensagem Char"/>
    <w:basedOn w:val="Fontepargpadro"/>
    <w:link w:val="Cabealhodamensagem"/>
    <w:rsid w:val="00885032"/>
    <w:rPr>
      <w:rFonts w:asciiTheme="majorHAnsi" w:cstheme="majorBidi" w:eastAsiaTheme="majorEastAsia" w:hAnsiTheme="majorHAnsi"/>
      <w:sz w:val="22"/>
      <w:shd w:color="auto" w:fill="auto" w:val="pct20"/>
      <w:lang w:eastAsia="pt-BR" w:val="pt-BR"/>
    </w:rPr>
  </w:style>
  <w:style w:type="paragraph" w:styleId="Recuonormal">
    <w:name w:val="Normal Indent"/>
    <w:basedOn w:val="Normal"/>
    <w:rsid w:val="00885032"/>
    <w:pPr>
      <w:ind w:left="720"/>
    </w:pPr>
    <w:rPr>
      <w:rFonts w:eastAsiaTheme="minorHAnsi"/>
      <w:sz w:val="22"/>
      <w:szCs w:val="22"/>
    </w:rPr>
  </w:style>
  <w:style w:type="paragraph" w:styleId="Ttulodanota">
    <w:name w:val="Note Heading"/>
    <w:basedOn w:val="Normal"/>
    <w:next w:val="Normal"/>
    <w:link w:val="TtulodanotaChar"/>
    <w:rsid w:val="00885032"/>
    <w:rPr>
      <w:rFonts w:eastAsiaTheme="minorHAnsi"/>
      <w:sz w:val="22"/>
      <w:szCs w:val="22"/>
    </w:rPr>
  </w:style>
  <w:style w:type="character" w:styleId="TtulodanotaChar" w:customStyle="1">
    <w:name w:val="Título da nota Char"/>
    <w:basedOn w:val="Fontepargpadro"/>
    <w:link w:val="Ttulodanota"/>
    <w:rsid w:val="00885032"/>
    <w:rPr>
      <w:sz w:val="22"/>
      <w:szCs w:val="22"/>
      <w:lang w:eastAsia="pt-BR" w:val="pt-BR"/>
    </w:rPr>
  </w:style>
  <w:style w:type="paragraph" w:styleId="TextosemFormatao">
    <w:name w:val="Plain Text"/>
    <w:basedOn w:val="Normal"/>
    <w:link w:val="TextosemFormataoChar"/>
    <w:rsid w:val="00885032"/>
    <w:rPr>
      <w:rFonts w:ascii="Consolas" w:cs="Consolas" w:hAnsi="Consolas" w:eastAsiaTheme="minorHAnsi"/>
      <w:sz w:val="21"/>
      <w:szCs w:val="21"/>
    </w:rPr>
  </w:style>
  <w:style w:type="character" w:styleId="TextosemFormataoChar" w:customStyle="1">
    <w:name w:val="Texto sem Formatação Char"/>
    <w:basedOn w:val="Fontepargpadro"/>
    <w:link w:val="TextosemFormatao"/>
    <w:rsid w:val="00885032"/>
    <w:rPr>
      <w:rFonts w:ascii="Consolas" w:cs="Consolas" w:hAnsi="Consolas"/>
      <w:sz w:val="21"/>
      <w:szCs w:val="21"/>
      <w:lang w:eastAsia="pt-BR" w:val="pt-BR"/>
    </w:rPr>
  </w:style>
  <w:style w:type="paragraph" w:styleId="Saudao">
    <w:name w:val="Salutation"/>
    <w:basedOn w:val="Normal"/>
    <w:next w:val="Normal"/>
    <w:link w:val="SaudaoChar"/>
    <w:rsid w:val="00885032"/>
    <w:rPr>
      <w:rFonts w:eastAsiaTheme="minorHAnsi"/>
      <w:sz w:val="22"/>
      <w:szCs w:val="22"/>
    </w:rPr>
  </w:style>
  <w:style w:type="character" w:styleId="SaudaoChar" w:customStyle="1">
    <w:name w:val="Saudação Char"/>
    <w:basedOn w:val="Fontepargpadro"/>
    <w:link w:val="Saudao"/>
    <w:rsid w:val="00885032"/>
    <w:rPr>
      <w:sz w:val="22"/>
      <w:szCs w:val="22"/>
      <w:lang w:eastAsia="pt-BR" w:val="pt-BR"/>
    </w:rPr>
  </w:style>
  <w:style w:type="paragraph" w:styleId="Assinatura">
    <w:name w:val="Signature"/>
    <w:basedOn w:val="Normal"/>
    <w:link w:val="AssinaturaChar"/>
    <w:rsid w:val="00885032"/>
    <w:pPr>
      <w:ind w:left="4320"/>
    </w:pPr>
    <w:rPr>
      <w:rFonts w:eastAsiaTheme="minorHAnsi"/>
      <w:sz w:val="22"/>
      <w:szCs w:val="22"/>
    </w:rPr>
  </w:style>
  <w:style w:type="character" w:styleId="AssinaturaChar" w:customStyle="1">
    <w:name w:val="Assinatura Char"/>
    <w:basedOn w:val="Fontepargpadro"/>
    <w:link w:val="Assinatura"/>
    <w:rsid w:val="00885032"/>
    <w:rPr>
      <w:sz w:val="22"/>
      <w:szCs w:val="22"/>
      <w:lang w:eastAsia="pt-BR" w:val="pt-BR"/>
    </w:rPr>
  </w:style>
  <w:style w:type="paragraph" w:styleId="ndicedeautoridades">
    <w:name w:val="table of authorities"/>
    <w:basedOn w:val="Normal"/>
    <w:next w:val="Normal"/>
    <w:rsid w:val="00885032"/>
    <w:pPr>
      <w:ind w:left="240" w:hanging="240"/>
    </w:pPr>
    <w:rPr>
      <w:rFonts w:eastAsiaTheme="minorHAnsi"/>
      <w:sz w:val="22"/>
      <w:szCs w:val="22"/>
    </w:rPr>
  </w:style>
  <w:style w:type="paragraph" w:styleId="Style2" w:customStyle="1">
    <w:name w:val="Style2"/>
    <w:basedOn w:val="Ttulo3"/>
    <w:autoRedefine w:val="1"/>
    <w:qFormat w:val="1"/>
    <w:rsid w:val="00885032"/>
    <w:pPr>
      <w:keepLines w:val="0"/>
      <w:spacing w:after="60" w:before="240"/>
      <w:ind w:left="2160" w:hanging="180"/>
    </w:pPr>
    <w:rPr>
      <w:rFonts w:ascii="Times New Roman" w:cs="Times New Roman" w:eastAsia="Times New Roman" w:hAnsi="Times New Roman"/>
      <w:b w:val="1"/>
      <w:bCs w:val="1"/>
      <w:color w:val="000000"/>
      <w:sz w:val="26"/>
      <w:szCs w:val="26"/>
    </w:rPr>
  </w:style>
  <w:style w:type="paragraph" w:styleId="CPTInstructional" w:customStyle="1">
    <w:name w:val="CPT_Instructional"/>
    <w:basedOn w:val="Normal"/>
    <w:qFormat w:val="1"/>
    <w:rsid w:val="00885032"/>
    <w:pPr>
      <w:spacing w:after="120" w:before="120" w:line="280" w:lineRule="atLeast"/>
    </w:pPr>
    <w:rPr>
      <w:rFonts w:cs="Arial" w:eastAsia="Calibri"/>
      <w:vanish w:val="1"/>
      <w:color w:val="ff0000"/>
      <w:sz w:val="22"/>
    </w:rPr>
  </w:style>
  <w:style w:type="character" w:styleId="hidden1" w:customStyle="1">
    <w:name w:val="hidden1"/>
    <w:basedOn w:val="Fontepargpadro"/>
    <w:rsid w:val="00885032"/>
  </w:style>
  <w:style w:type="paragraph" w:styleId="StyleBodyTextItalic" w:customStyle="1">
    <w:name w:val="Style Body Text + Italic"/>
    <w:basedOn w:val="Corpodetexto"/>
    <w:link w:val="StyleBodyTextItalicChar"/>
    <w:rsid w:val="00885032"/>
    <w:pPr>
      <w:spacing w:before="120" w:line="274" w:lineRule="auto"/>
    </w:pPr>
    <w:rPr>
      <w:rFonts w:ascii="Arial" w:hAnsi="Arial"/>
      <w:iCs w:val="1"/>
    </w:rPr>
  </w:style>
  <w:style w:type="character" w:styleId="StyleBodyTextItalicChar" w:customStyle="1">
    <w:name w:val="Style Body Text + Italic Char"/>
    <w:basedOn w:val="CorpodetextoChar"/>
    <w:link w:val="StyleBodyTextItalic"/>
    <w:rsid w:val="00885032"/>
    <w:rPr>
      <w:rFonts w:ascii="Arial" w:eastAsia="Times New Roman" w:hAnsi="Arial"/>
      <w:iCs w:val="1"/>
      <w:lang w:eastAsia="pt-BR" w:val="pt-BR"/>
    </w:rPr>
  </w:style>
  <w:style w:type="character" w:styleId="Mention1" w:customStyle="1">
    <w:name w:val="Mention1"/>
    <w:basedOn w:val="Fontepargpadro"/>
    <w:uiPriority w:val="99"/>
    <w:semiHidden w:val="1"/>
    <w:unhideWhenUsed w:val="1"/>
    <w:rsid w:val="00885032"/>
    <w:rPr>
      <w:color w:val="2b579a"/>
      <w:shd w:color="auto" w:fill="e6e6e6" w:val="clear"/>
    </w:rPr>
  </w:style>
  <w:style w:type="character" w:styleId="Mention2" w:customStyle="1">
    <w:name w:val="Mention2"/>
    <w:basedOn w:val="Fontepargpadro"/>
    <w:uiPriority w:val="99"/>
    <w:semiHidden w:val="1"/>
    <w:unhideWhenUsed w:val="1"/>
    <w:rsid w:val="00885032"/>
    <w:rPr>
      <w:color w:val="2b579a"/>
      <w:shd w:color="auto" w:fill="e6e6e6" w:val="clear"/>
    </w:rPr>
  </w:style>
  <w:style w:type="character" w:styleId="Mention3" w:customStyle="1">
    <w:name w:val="Mention3"/>
    <w:basedOn w:val="Fontepargpadro"/>
    <w:uiPriority w:val="99"/>
    <w:semiHidden w:val="1"/>
    <w:unhideWhenUsed w:val="1"/>
    <w:rsid w:val="00885032"/>
    <w:rPr>
      <w:color w:val="2b579a"/>
      <w:shd w:color="auto" w:fill="e6e6e6" w:val="clear"/>
    </w:rPr>
  </w:style>
  <w:style w:type="character" w:styleId="Refdenotadefim">
    <w:name w:val="endnote reference"/>
    <w:basedOn w:val="Fontepargpadro"/>
    <w:uiPriority w:val="99"/>
    <w:semiHidden w:val="1"/>
    <w:unhideWhenUsed w:val="1"/>
    <w:rsid w:val="00885032"/>
    <w:rPr>
      <w:vertAlign w:val="superscript"/>
    </w:rPr>
  </w:style>
  <w:style w:type="character" w:styleId="Mention4" w:customStyle="1">
    <w:name w:val="Mention4"/>
    <w:basedOn w:val="Fontepargpadro"/>
    <w:uiPriority w:val="99"/>
    <w:semiHidden w:val="1"/>
    <w:unhideWhenUsed w:val="1"/>
    <w:rsid w:val="00885032"/>
    <w:rPr>
      <w:color w:val="2b579a"/>
      <w:shd w:color="auto" w:fill="e6e6e6" w:val="clear"/>
    </w:rPr>
  </w:style>
  <w:style w:type="character" w:styleId="Title1" w:customStyle="1">
    <w:name w:val="Title1"/>
    <w:basedOn w:val="Fontepargpadro"/>
    <w:rsid w:val="00885032"/>
  </w:style>
  <w:style w:type="character" w:styleId="Mention5" w:customStyle="1">
    <w:name w:val="Mention5"/>
    <w:basedOn w:val="Fontepargpadro"/>
    <w:uiPriority w:val="99"/>
    <w:semiHidden w:val="1"/>
    <w:unhideWhenUsed w:val="1"/>
    <w:rsid w:val="00885032"/>
    <w:rPr>
      <w:color w:val="2b579a"/>
      <w:shd w:color="auto" w:fill="e6e6e6" w:val="clear"/>
    </w:rPr>
  </w:style>
  <w:style w:type="character" w:styleId="markcbmo9gj4v" w:customStyle="1">
    <w:name w:val="markcbmo9gj4v"/>
    <w:basedOn w:val="Fontepargpadro"/>
    <w:rsid w:val="00885032"/>
  </w:style>
  <w:style w:type="table" w:styleId="TabeladeGrade5Escura-nfase11" w:customStyle="1">
    <w:name w:val="Tabela de Grade 5 Escura - Ênfase 11"/>
    <w:basedOn w:val="Tabelanormal"/>
    <w:uiPriority w:val="50"/>
    <w:rsid w:val="00885032"/>
    <w:pPr>
      <w:spacing w:after="0"/>
    </w:pPr>
    <w:rPr>
      <w:rFonts w:asciiTheme="minorHAnsi" w:cstheme="minorBidi" w:hAnsiTheme="minorHAnsi"/>
      <w:sz w:val="22"/>
      <w:szCs w:val="22"/>
      <w:lang w:val="pt-BR"/>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1d8de"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333e48"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333e48"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333e48"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333e48" w:themeFill="accent1" w:val="clear"/>
      </w:tcPr>
    </w:tblStylePr>
    <w:tblStylePr w:type="band1Vert">
      <w:tblPr/>
      <w:tcPr>
        <w:shd w:color="auto" w:fill="a4b2be" w:themeFill="accent1" w:themeFillTint="000066" w:val="clear"/>
      </w:tcPr>
    </w:tblStylePr>
    <w:tblStylePr w:type="band1Horz">
      <w:tblPr/>
      <w:tcPr>
        <w:shd w:color="auto" w:fill="a4b2be" w:themeFill="accent1" w:themeFillTint="000066" w:val="clear"/>
      </w:tcPr>
    </w:tblStylePr>
  </w:style>
  <w:style w:type="table" w:styleId="ListaClara-nfase11" w:customStyle="1">
    <w:name w:val="Lista Clara - Ênfase 11"/>
    <w:basedOn w:val="Tabelanormal"/>
    <w:uiPriority w:val="61"/>
    <w:rsid w:val="005B61ED"/>
    <w:pPr>
      <w:spacing w:after="0"/>
    </w:pPr>
    <w:rPr>
      <w:rFonts w:asciiTheme="minorHAnsi" w:cstheme="minorBidi" w:hAnsiTheme="minorHAnsi"/>
      <w:sz w:val="22"/>
      <w:szCs w:val="22"/>
      <w:lang w:val="pt-BR"/>
    </w:rPr>
    <w:tblPr>
      <w:tblStyleRowBandSize w:val="1"/>
      <w:tblStyleColBandSize w:val="1"/>
      <w:tblBorders>
        <w:top w:color="333e48" w:space="0" w:sz="8" w:themeColor="accent1" w:val="single"/>
        <w:left w:color="333e48" w:space="0" w:sz="8" w:themeColor="accent1" w:val="single"/>
        <w:bottom w:color="333e48" w:space="0" w:sz="8" w:themeColor="accent1" w:val="single"/>
        <w:right w:color="333e48" w:space="0" w:sz="8" w:themeColor="accent1" w:val="single"/>
      </w:tblBorders>
    </w:tblPr>
    <w:tblStylePr w:type="firstRow">
      <w:pPr>
        <w:spacing w:after="0" w:before="0" w:line="240" w:lineRule="auto"/>
      </w:pPr>
      <w:rPr>
        <w:b w:val="1"/>
        <w:bCs w:val="1"/>
        <w:color w:val="ffffff" w:themeColor="background1"/>
      </w:rPr>
      <w:tblPr/>
      <w:tcPr>
        <w:shd w:color="auto" w:fill="333e48" w:themeFill="accent1" w:val="clear"/>
      </w:tcPr>
    </w:tblStylePr>
    <w:tblStylePr w:type="lastRow">
      <w:pPr>
        <w:spacing w:after="0" w:before="0" w:line="240" w:lineRule="auto"/>
      </w:pPr>
      <w:rPr>
        <w:b w:val="1"/>
        <w:bCs w:val="1"/>
      </w:rPr>
      <w:tblPr/>
      <w:tcPr>
        <w:tcBorders>
          <w:top w:color="333e48" w:space="0" w:sz="6" w:themeColor="accent1" w:val="double"/>
          <w:left w:color="333e48" w:space="0" w:sz="8" w:themeColor="accent1" w:val="single"/>
          <w:bottom w:color="333e48" w:space="0" w:sz="8" w:themeColor="accent1" w:val="single"/>
          <w:right w:color="333e48" w:space="0" w:sz="8" w:themeColor="accent1" w:val="single"/>
        </w:tcBorders>
      </w:tcPr>
    </w:tblStylePr>
    <w:tblStylePr w:type="firstCol">
      <w:rPr>
        <w:b w:val="1"/>
        <w:bCs w:val="1"/>
      </w:rPr>
    </w:tblStylePr>
    <w:tblStylePr w:type="lastCol">
      <w:rPr>
        <w:b w:val="1"/>
        <w:bCs w:val="1"/>
      </w:rPr>
    </w:tblStylePr>
    <w:tblStylePr w:type="band1Vert">
      <w:tblPr/>
      <w:tcPr>
        <w:tcBorders>
          <w:top w:color="333e48" w:space="0" w:sz="8" w:themeColor="accent1" w:val="single"/>
          <w:left w:color="333e48" w:space="0" w:sz="8" w:themeColor="accent1" w:val="single"/>
          <w:bottom w:color="333e48" w:space="0" w:sz="8" w:themeColor="accent1" w:val="single"/>
          <w:right w:color="333e48" w:space="0" w:sz="8" w:themeColor="accent1" w:val="single"/>
        </w:tcBorders>
      </w:tcPr>
    </w:tblStylePr>
    <w:tblStylePr w:type="band1Horz">
      <w:tblPr/>
      <w:tcPr>
        <w:tcBorders>
          <w:top w:color="333e48" w:space="0" w:sz="8" w:themeColor="accent1" w:val="single"/>
          <w:left w:color="333e48" w:space="0" w:sz="8" w:themeColor="accent1" w:val="single"/>
          <w:bottom w:color="333e48" w:space="0" w:sz="8" w:themeColor="accent1" w:val="single"/>
          <w:right w:color="333e48" w:space="0" w:sz="8" w:themeColor="accent1" w:val="single"/>
        </w:tcBorders>
      </w:tcPr>
    </w:tblStylePr>
  </w:style>
  <w:style w:type="paragraph" w:styleId="Subtitle">
    <w:name w:val="Subtitle"/>
    <w:basedOn w:val="Normal"/>
    <w:next w:val="Normal"/>
    <w:pPr>
      <w:spacing w:after="1000" w:lineRule="auto"/>
    </w:pPr>
    <w:rPr>
      <w:smallCaps w:val="1"/>
      <w:color w:val="595959"/>
    </w:rPr>
  </w:style>
  <w:style w:type="table" w:styleId="Table1">
    <w:basedOn w:val="TableNormal"/>
    <w:pPr>
      <w:spacing w:after="0" w:before="200" w:lineRule="auto"/>
      <w:jc w:val="center"/>
    </w:pPr>
    <w:rPr>
      <w:rFonts w:ascii="Arial" w:cs="Arial" w:eastAsia="Arial" w:hAnsi="Arial"/>
      <w:sz w:val="22"/>
      <w:szCs w:val="22"/>
    </w:rPr>
    <w:tblPr>
      <w:tblStyleRowBandSize w:val="1"/>
      <w:tblStyleColBandSize w:val="1"/>
      <w:tblCellMar>
        <w:top w:w="0.0" w:type="dxa"/>
        <w:left w:w="115.0" w:type="dxa"/>
        <w:bottom w:w="0.0" w:type="dxa"/>
        <w:right w:w="115.0" w:type="dxa"/>
      </w:tblCellMar>
    </w:tblPr>
    <w:tcPr>
      <w:shd w:fill="d1d8de" w:val="clear"/>
      <w:vAlign w:val="center"/>
    </w:tc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
    <w:basedOn w:val="TableNormal"/>
    <w:pPr>
      <w:spacing w:after="0" w:before="200" w:lineRule="auto"/>
      <w:jc w:val="center"/>
    </w:pPr>
    <w:rPr>
      <w:rFonts w:ascii="Arial" w:cs="Arial" w:eastAsia="Arial" w:hAnsi="Arial"/>
      <w:sz w:val="22"/>
      <w:szCs w:val="22"/>
    </w:rPr>
    <w:tblPr>
      <w:tblStyleRowBandSize w:val="1"/>
      <w:tblStyleColBandSize w:val="1"/>
      <w:tblCellMar>
        <w:top w:w="0.0" w:type="dxa"/>
        <w:left w:w="115.0" w:type="dxa"/>
        <w:bottom w:w="0.0" w:type="dxa"/>
        <w:right w:w="115.0" w:type="dxa"/>
      </w:tblCellMar>
    </w:tblPr>
    <w:tcPr>
      <w:shd w:fill="d1d8de" w:val="clear"/>
      <w:vAlign w:val="center"/>
    </w:tcPr>
  </w:style>
  <w:style w:type="table" w:styleId="Table3">
    <w:basedOn w:val="TableNormal"/>
    <w:pPr>
      <w:spacing w:after="0" w:before="200" w:lineRule="auto"/>
      <w:jc w:val="center"/>
    </w:pPr>
    <w:rPr>
      <w:rFonts w:ascii="Arial" w:cs="Arial" w:eastAsia="Arial" w:hAnsi="Arial"/>
      <w:sz w:val="22"/>
      <w:szCs w:val="22"/>
    </w:rPr>
    <w:tblPr>
      <w:tblStyleRowBandSize w:val="1"/>
      <w:tblStyleColBandSize w:val="1"/>
      <w:tblCellMar>
        <w:top w:w="0.0" w:type="dxa"/>
        <w:left w:w="115.0" w:type="dxa"/>
        <w:bottom w:w="0.0" w:type="dxa"/>
        <w:right w:w="115.0" w:type="dxa"/>
      </w:tblCellMar>
    </w:tblPr>
    <w:tcPr>
      <w:shd w:fill="d1d8de" w:val="clear"/>
      <w:vAlign w:val="center"/>
    </w:tcPr>
  </w:style>
  <w:style w:type="table" w:styleId="Table4">
    <w:basedOn w:val="TableNormal"/>
    <w:pPr>
      <w:spacing w:after="0" w:before="200" w:lineRule="auto"/>
      <w:jc w:val="center"/>
    </w:pPr>
    <w:rPr>
      <w:rFonts w:ascii="Arial" w:cs="Arial" w:eastAsia="Arial" w:hAnsi="Arial"/>
      <w:sz w:val="22"/>
      <w:szCs w:val="22"/>
    </w:rPr>
    <w:tblPr>
      <w:tblStyleRowBandSize w:val="1"/>
      <w:tblStyleColBandSize w:val="1"/>
      <w:tblCellMar>
        <w:top w:w="0.0" w:type="dxa"/>
        <w:left w:w="115.0" w:type="dxa"/>
        <w:bottom w:w="0.0" w:type="dxa"/>
        <w:right w:w="115.0" w:type="dxa"/>
      </w:tblCellMar>
    </w:tblPr>
    <w:tcPr>
      <w:shd w:fill="d1d8de" w:val="clear"/>
      <w:vAlign w:val="center"/>
    </w:tcPr>
    <w:tblStylePr w:type="band1Horz">
      <w:tcPr>
        <w:tcBorders>
          <w:top w:color="333e48" w:space="0" w:sz="8" w:val="single"/>
          <w:left w:color="333e48" w:space="0" w:sz="8" w:val="single"/>
          <w:bottom w:color="333e48" w:space="0" w:sz="8" w:val="single"/>
          <w:right w:color="333e48" w:space="0" w:sz="8" w:val="single"/>
        </w:tcBorders>
      </w:tcPr>
    </w:tblStylePr>
    <w:tblStylePr w:type="band1Vert">
      <w:tcPr>
        <w:tcBorders>
          <w:top w:color="333e48" w:space="0" w:sz="8" w:val="single"/>
          <w:left w:color="333e48" w:space="0" w:sz="8" w:val="single"/>
          <w:bottom w:color="333e48" w:space="0" w:sz="8" w:val="single"/>
          <w:right w:color="333e48" w:space="0" w:sz="8" w:val="single"/>
        </w:tcBorders>
      </w:tcPr>
    </w:tblStylePr>
    <w:tblStylePr w:type="firstCol">
      <w:rPr>
        <w:b w:val="1"/>
      </w:rPr>
    </w:tblStylePr>
    <w:tblStylePr w:type="firstRow">
      <w:pPr>
        <w:spacing w:after="0" w:before="0" w:line="240" w:lineRule="auto"/>
      </w:pPr>
      <w:rPr>
        <w:b w:val="1"/>
        <w:color w:val="ffffff"/>
      </w:rPr>
      <w:tcPr>
        <w:shd w:fill="333e48" w:val="clear"/>
      </w:tcPr>
    </w:tblStylePr>
    <w:tblStylePr w:type="lastCol">
      <w:rPr>
        <w:b w:val="1"/>
      </w:rPr>
    </w:tblStylePr>
    <w:tblStylePr w:type="lastRow">
      <w:pPr>
        <w:spacing w:after="0" w:before="0" w:line="240" w:lineRule="auto"/>
      </w:pPr>
      <w:rPr>
        <w:b w:val="1"/>
      </w:rPr>
      <w:tcPr>
        <w:tcBorders>
          <w:top w:color="333e48" w:space="0" w:sz="6" w:val="single"/>
          <w:left w:color="333e48" w:space="0" w:sz="8" w:val="single"/>
          <w:bottom w:color="333e48" w:space="0" w:sz="8" w:val="single"/>
          <w:right w:color="333e48" w:space="0" w:sz="8" w:val="single"/>
        </w:tcBorders>
      </w:tcPr>
    </w:tblStylePr>
  </w:style>
</w:styles>
</file>

<file path=word/_rels/document.xml.rels><?xml version="1.0" encoding="UTF-8" standalone="yes"?><Relationships xmlns="http://schemas.openxmlformats.org/package/2006/relationships"><Relationship Id="rId40" Type="http://schemas.openxmlformats.org/officeDocument/2006/relationships/image" Target="media/image15.jpg"/><Relationship Id="rId20" Type="http://schemas.openxmlformats.org/officeDocument/2006/relationships/image" Target="media/image2.png"/><Relationship Id="rId42" Type="http://schemas.openxmlformats.org/officeDocument/2006/relationships/image" Target="media/image6.jpg"/><Relationship Id="rId41" Type="http://schemas.openxmlformats.org/officeDocument/2006/relationships/image" Target="media/image19.jpg"/><Relationship Id="rId22" Type="http://schemas.openxmlformats.org/officeDocument/2006/relationships/image" Target="media/image3.png"/><Relationship Id="rId21" Type="http://schemas.openxmlformats.org/officeDocument/2006/relationships/image" Target="media/image4.png"/><Relationship Id="rId24" Type="http://schemas.openxmlformats.org/officeDocument/2006/relationships/header" Target="head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footer" Target="footer1.xml"/><Relationship Id="rId25" Type="http://schemas.openxmlformats.org/officeDocument/2006/relationships/footer" Target="footer2.xml"/><Relationship Id="rId28" Type="http://schemas.openxmlformats.org/officeDocument/2006/relationships/image" Target="media/image26.png"/><Relationship Id="rId27" Type="http://schemas.openxmlformats.org/officeDocument/2006/relationships/hyperlink" Target="mailto:luiz.carvalho@p.ucb.br"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jpg"/><Relationship Id="rId7" Type="http://schemas.openxmlformats.org/officeDocument/2006/relationships/image" Target="media/image33.png"/><Relationship Id="rId8" Type="http://schemas.openxmlformats.org/officeDocument/2006/relationships/image" Target="media/image22.png"/><Relationship Id="rId31" Type="http://schemas.openxmlformats.org/officeDocument/2006/relationships/image" Target="media/image10.jpg"/><Relationship Id="rId30" Type="http://schemas.openxmlformats.org/officeDocument/2006/relationships/image" Target="media/image21.jpg"/><Relationship Id="rId11" Type="http://schemas.openxmlformats.org/officeDocument/2006/relationships/image" Target="media/image30.png"/><Relationship Id="rId33" Type="http://schemas.openxmlformats.org/officeDocument/2006/relationships/image" Target="media/image12.jpg"/><Relationship Id="rId10" Type="http://schemas.openxmlformats.org/officeDocument/2006/relationships/image" Target="media/image28.png"/><Relationship Id="rId32" Type="http://schemas.openxmlformats.org/officeDocument/2006/relationships/image" Target="media/image11.jpg"/><Relationship Id="rId13" Type="http://schemas.openxmlformats.org/officeDocument/2006/relationships/image" Target="media/image31.png"/><Relationship Id="rId35" Type="http://schemas.openxmlformats.org/officeDocument/2006/relationships/image" Target="media/image13.jpg"/><Relationship Id="rId12" Type="http://schemas.openxmlformats.org/officeDocument/2006/relationships/image" Target="media/image25.png"/><Relationship Id="rId34" Type="http://schemas.openxmlformats.org/officeDocument/2006/relationships/image" Target="media/image18.jpg"/><Relationship Id="rId15" Type="http://schemas.openxmlformats.org/officeDocument/2006/relationships/image" Target="media/image23.png"/><Relationship Id="rId37" Type="http://schemas.openxmlformats.org/officeDocument/2006/relationships/image" Target="media/image14.jpg"/><Relationship Id="rId14" Type="http://schemas.openxmlformats.org/officeDocument/2006/relationships/image" Target="media/image27.png"/><Relationship Id="rId36" Type="http://schemas.openxmlformats.org/officeDocument/2006/relationships/image" Target="media/image17.jpg"/><Relationship Id="rId17" Type="http://schemas.openxmlformats.org/officeDocument/2006/relationships/image" Target="media/image24.png"/><Relationship Id="rId39" Type="http://schemas.openxmlformats.org/officeDocument/2006/relationships/image" Target="media/image20.jpg"/><Relationship Id="rId16" Type="http://schemas.openxmlformats.org/officeDocument/2006/relationships/image" Target="media/image29.png"/><Relationship Id="rId38" Type="http://schemas.openxmlformats.org/officeDocument/2006/relationships/image" Target="media/image16.jpg"/><Relationship Id="rId19" Type="http://schemas.openxmlformats.org/officeDocument/2006/relationships/image" Target="media/image5.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rrick">
      <a:dk1>
        <a:sysClr val="windowText" lastClr="000000"/>
      </a:dk1>
      <a:lt1>
        <a:sysClr val="window" lastClr="FFFFFF"/>
      </a:lt1>
      <a:dk2>
        <a:srgbClr val="1F497D"/>
      </a:dk2>
      <a:lt2>
        <a:srgbClr val="6E6E6E"/>
      </a:lt2>
      <a:accent1>
        <a:srgbClr val="333E48"/>
      </a:accent1>
      <a:accent2>
        <a:srgbClr val="B9CE95"/>
      </a:accent2>
      <a:accent3>
        <a:srgbClr val="ACC37E"/>
      </a:accent3>
      <a:accent4>
        <a:srgbClr val="7A9C49"/>
      </a:accent4>
      <a:accent5>
        <a:srgbClr val="6A813B"/>
      </a:accent5>
      <a:accent6>
        <a:srgbClr val="4E5A30"/>
      </a:accent6>
      <a:hlink>
        <a:srgbClr val="0094CA"/>
      </a:hlink>
      <a:folHlink>
        <a:srgbClr val="8D85CA"/>
      </a:folHlink>
    </a:clrScheme>
    <a:fontScheme name="Orrick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F+K7Y/MkA/5iESUVQKle7+WecQ==">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mlk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4AHIhMVFSS2k5YXZsdWZXNEU0eFlaUWZIWnA5SW9meUtHaz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2024-04-03T20:57:00Z</dcterms:created>
  <dc:creator>Merrifield, Alyssa</dc:creator>
</cp:coreProperties>
</file>