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531B7" w14:textId="66440FC1" w:rsidR="00E9755A" w:rsidRPr="00EC6E1D" w:rsidRDefault="00E9755A" w:rsidP="00C5660B">
      <w:pPr>
        <w:pStyle w:val="Heading1"/>
        <w:spacing w:line="480" w:lineRule="auto"/>
        <w:ind w:left="0" w:right="2" w:firstLine="0"/>
        <w:rPr>
          <w:color w:val="000000" w:themeColor="text1"/>
          <w:lang w:val="pt-BR"/>
        </w:rPr>
      </w:pPr>
    </w:p>
    <w:p w14:paraId="023D217A" w14:textId="77777777" w:rsidR="00CD7E88" w:rsidRPr="00EC6E1D" w:rsidRDefault="00CD7E88" w:rsidP="00C5660B">
      <w:pPr>
        <w:spacing w:line="480" w:lineRule="auto"/>
        <w:ind w:right="2"/>
        <w:rPr>
          <w:color w:val="000000" w:themeColor="text1"/>
          <w:lang w:val="pt-BR"/>
        </w:rPr>
      </w:pPr>
    </w:p>
    <w:p w14:paraId="7E39FFD6" w14:textId="34F37E2F" w:rsidR="00CD7E88" w:rsidRPr="00A65B69" w:rsidRDefault="00CD7E88" w:rsidP="00C5660B">
      <w:pPr>
        <w:spacing w:line="480" w:lineRule="auto"/>
        <w:ind w:right="2"/>
        <w:jc w:val="center"/>
        <w:rPr>
          <w:color w:val="000000" w:themeColor="text1"/>
          <w:lang w:val="pt-BR"/>
        </w:rPr>
      </w:pPr>
      <w:r w:rsidRPr="00A65B69">
        <w:rPr>
          <w:b/>
          <w:bCs/>
          <w:color w:val="000000" w:themeColor="text1"/>
          <w:lang w:val="pt-BR"/>
        </w:rPr>
        <w:t xml:space="preserve">HIPÓXIA INTERMITENTE </w:t>
      </w:r>
      <w:r w:rsidR="0015140C" w:rsidRPr="00A65B69">
        <w:rPr>
          <w:b/>
          <w:bCs/>
          <w:color w:val="000000" w:themeColor="text1"/>
          <w:lang w:val="pt-BR"/>
        </w:rPr>
        <w:t>NA DOENÇA DE PARKINSON</w:t>
      </w:r>
      <w:r w:rsidR="00222C2A" w:rsidRPr="00A65B69">
        <w:rPr>
          <w:b/>
          <w:bCs/>
          <w:color w:val="000000" w:themeColor="text1"/>
          <w:lang w:val="pt-BR"/>
        </w:rPr>
        <w:t xml:space="preserve">: </w:t>
      </w:r>
      <w:r w:rsidR="0045523D" w:rsidRPr="00A65B69">
        <w:rPr>
          <w:b/>
          <w:bCs/>
          <w:color w:val="000000" w:themeColor="text1"/>
          <w:lang w:val="pt-BR"/>
        </w:rPr>
        <w:t>EFEITO AGUDO</w:t>
      </w:r>
      <w:r w:rsidRPr="00A65B69">
        <w:rPr>
          <w:b/>
          <w:bCs/>
          <w:color w:val="000000" w:themeColor="text1"/>
          <w:lang w:val="pt-BR"/>
        </w:rPr>
        <w:t xml:space="preserve"> NA </w:t>
      </w:r>
      <w:r w:rsidR="00DA3D97" w:rsidRPr="00A65B69">
        <w:rPr>
          <w:b/>
          <w:bCs/>
          <w:color w:val="000000" w:themeColor="text1"/>
          <w:lang w:val="pt-BR"/>
        </w:rPr>
        <w:t>LOCOMOÇÃO</w:t>
      </w:r>
      <w:r w:rsidR="00D0146E" w:rsidRPr="00A65B69">
        <w:rPr>
          <w:b/>
          <w:bCs/>
          <w:color w:val="000000" w:themeColor="text1"/>
          <w:lang w:val="pt-BR"/>
        </w:rPr>
        <w:t xml:space="preserve">, </w:t>
      </w:r>
      <w:r w:rsidR="00DA3D97" w:rsidRPr="00A65B69">
        <w:rPr>
          <w:b/>
          <w:bCs/>
          <w:color w:val="000000" w:themeColor="text1"/>
          <w:lang w:val="pt-BR"/>
        </w:rPr>
        <w:t xml:space="preserve">NA </w:t>
      </w:r>
      <w:r w:rsidRPr="00A65B69">
        <w:rPr>
          <w:b/>
          <w:bCs/>
          <w:color w:val="000000" w:themeColor="text1"/>
          <w:lang w:val="pt-BR"/>
        </w:rPr>
        <w:t xml:space="preserve">QUALIDADE DO SONO E </w:t>
      </w:r>
      <w:r w:rsidR="00DA3D97" w:rsidRPr="00A65B69">
        <w:rPr>
          <w:b/>
          <w:bCs/>
          <w:color w:val="000000" w:themeColor="text1"/>
          <w:lang w:val="pt-BR"/>
        </w:rPr>
        <w:t xml:space="preserve">NOS </w:t>
      </w:r>
      <w:r w:rsidRPr="00A65B69">
        <w:rPr>
          <w:b/>
          <w:bCs/>
          <w:color w:val="000000" w:themeColor="text1"/>
          <w:lang w:val="pt-BR"/>
        </w:rPr>
        <w:t xml:space="preserve">BIOMARCADORES SANGUÍNEOS </w:t>
      </w:r>
    </w:p>
    <w:p w14:paraId="4EE0517F" w14:textId="77777777" w:rsidR="00950ACF" w:rsidRPr="00A65B69" w:rsidRDefault="00950ACF" w:rsidP="00C5660B">
      <w:pPr>
        <w:spacing w:line="480" w:lineRule="auto"/>
        <w:ind w:right="2"/>
        <w:rPr>
          <w:color w:val="000000" w:themeColor="text1"/>
          <w:lang w:val="pt-BR"/>
        </w:rPr>
      </w:pPr>
    </w:p>
    <w:p w14:paraId="1BC660E1" w14:textId="77777777" w:rsidR="007F7419" w:rsidRPr="00A65B69" w:rsidRDefault="00CD7E88" w:rsidP="007F7419">
      <w:pPr>
        <w:spacing w:line="360" w:lineRule="auto"/>
        <w:ind w:right="2"/>
        <w:jc w:val="center"/>
        <w:rPr>
          <w:b/>
          <w:bCs/>
          <w:color w:val="000000" w:themeColor="text1"/>
          <w:lang w:val="pt-BR"/>
        </w:rPr>
      </w:pPr>
      <w:r w:rsidRPr="00A65B69">
        <w:rPr>
          <w:b/>
          <w:bCs/>
          <w:color w:val="000000" w:themeColor="text1"/>
          <w:u w:val="single"/>
          <w:lang w:val="pt-BR"/>
        </w:rPr>
        <w:t>Aluno</w:t>
      </w:r>
      <w:r w:rsidRPr="00A65B69">
        <w:rPr>
          <w:b/>
          <w:bCs/>
          <w:color w:val="000000" w:themeColor="text1"/>
          <w:u w:val="single"/>
          <w:lang w:val="pt-BR"/>
        </w:rPr>
        <w:br/>
      </w:r>
      <w:r w:rsidRPr="00A65B69">
        <w:rPr>
          <w:b/>
          <w:bCs/>
          <w:color w:val="000000" w:themeColor="text1"/>
          <w:lang w:val="pt-BR"/>
        </w:rPr>
        <w:t xml:space="preserve">Murilo Henrique Faria </w:t>
      </w:r>
    </w:p>
    <w:p w14:paraId="581679D8" w14:textId="461E844D" w:rsidR="00CD7E88" w:rsidRPr="00A65B69" w:rsidRDefault="00CD7E88" w:rsidP="007F7419">
      <w:pPr>
        <w:spacing w:line="360" w:lineRule="auto"/>
        <w:ind w:right="2"/>
        <w:jc w:val="center"/>
        <w:rPr>
          <w:color w:val="000000" w:themeColor="text1"/>
          <w:lang w:val="pt-BR"/>
        </w:rPr>
      </w:pPr>
      <w:r w:rsidRPr="00A65B69">
        <w:rPr>
          <w:color w:val="000000" w:themeColor="text1"/>
          <w:lang w:val="pt-BR"/>
        </w:rPr>
        <w:t xml:space="preserve">(Mestrando em </w:t>
      </w:r>
      <w:r w:rsidR="00DA3D97" w:rsidRPr="00A65B69">
        <w:rPr>
          <w:color w:val="000000" w:themeColor="text1"/>
          <w:lang w:val="pt-BR"/>
        </w:rPr>
        <w:t>Ciências do Movimento</w:t>
      </w:r>
      <w:r w:rsidRPr="00A65B69">
        <w:rPr>
          <w:color w:val="000000" w:themeColor="text1"/>
          <w:lang w:val="pt-BR"/>
        </w:rPr>
        <w:t xml:space="preserve"> – UNESP</w:t>
      </w:r>
      <w:r w:rsidR="00950ACF" w:rsidRPr="00A65B69">
        <w:rPr>
          <w:color w:val="000000" w:themeColor="text1"/>
          <w:lang w:val="pt-BR"/>
        </w:rPr>
        <w:t xml:space="preserve"> - Bauru</w:t>
      </w:r>
      <w:r w:rsidRPr="00A65B69">
        <w:rPr>
          <w:color w:val="000000" w:themeColor="text1"/>
          <w:lang w:val="pt-BR"/>
        </w:rPr>
        <w:t>) </w:t>
      </w:r>
    </w:p>
    <w:p w14:paraId="46DC1BF5" w14:textId="77777777" w:rsidR="007F7419" w:rsidRPr="00A65B69" w:rsidRDefault="00CD7E88" w:rsidP="007F7419">
      <w:pPr>
        <w:spacing w:line="360" w:lineRule="auto"/>
        <w:ind w:right="2"/>
        <w:jc w:val="center"/>
        <w:rPr>
          <w:b/>
          <w:bCs/>
          <w:color w:val="000000" w:themeColor="text1"/>
          <w:lang w:val="pt-BR"/>
        </w:rPr>
      </w:pPr>
      <w:r w:rsidRPr="00A65B69">
        <w:rPr>
          <w:b/>
          <w:bCs/>
          <w:color w:val="000000" w:themeColor="text1"/>
          <w:u w:val="single"/>
          <w:lang w:val="pt-BR"/>
        </w:rPr>
        <w:t>Orientador</w:t>
      </w:r>
      <w:r w:rsidRPr="00A65B69">
        <w:rPr>
          <w:b/>
          <w:bCs/>
          <w:color w:val="000000" w:themeColor="text1"/>
          <w:lang w:val="pt-BR"/>
        </w:rPr>
        <w:br/>
        <w:t xml:space="preserve">Prof. Dr. Fabio Augusto Barbieri </w:t>
      </w:r>
    </w:p>
    <w:p w14:paraId="714D42CF" w14:textId="247F6897" w:rsidR="00CD7E88" w:rsidRPr="00A65B69" w:rsidRDefault="00CD7E88" w:rsidP="007F7419">
      <w:pPr>
        <w:spacing w:line="360" w:lineRule="auto"/>
        <w:ind w:right="2"/>
        <w:jc w:val="center"/>
        <w:rPr>
          <w:color w:val="000000" w:themeColor="text1"/>
          <w:lang w:val="pt-BR"/>
        </w:rPr>
      </w:pPr>
      <w:r w:rsidRPr="00A65B69">
        <w:rPr>
          <w:color w:val="000000" w:themeColor="text1"/>
          <w:lang w:val="pt-BR"/>
        </w:rPr>
        <w:t>(</w:t>
      </w:r>
      <w:r w:rsidR="00DA3D97" w:rsidRPr="00A65B69">
        <w:rPr>
          <w:color w:val="000000" w:themeColor="text1"/>
          <w:lang w:val="pt-BR"/>
        </w:rPr>
        <w:t xml:space="preserve">UNESP – FC - Departamento de </w:t>
      </w:r>
      <w:r w:rsidRPr="00A65B69">
        <w:rPr>
          <w:color w:val="000000" w:themeColor="text1"/>
          <w:lang w:val="pt-BR"/>
        </w:rPr>
        <w:t>Educação Física – Bauru) </w:t>
      </w:r>
    </w:p>
    <w:p w14:paraId="6A2E4402" w14:textId="406AF3DD" w:rsidR="007F7419" w:rsidRPr="00A65B69" w:rsidRDefault="007F7419" w:rsidP="007F7419">
      <w:pPr>
        <w:spacing w:line="360" w:lineRule="auto"/>
        <w:ind w:right="2"/>
        <w:jc w:val="center"/>
        <w:rPr>
          <w:b/>
          <w:bCs/>
          <w:color w:val="000000" w:themeColor="text1"/>
          <w:u w:val="single"/>
          <w:lang w:val="pt-BR"/>
        </w:rPr>
      </w:pPr>
      <w:r w:rsidRPr="00A65B69">
        <w:rPr>
          <w:b/>
          <w:bCs/>
          <w:color w:val="000000" w:themeColor="text1"/>
          <w:u w:val="single"/>
          <w:lang w:val="pt-BR"/>
        </w:rPr>
        <w:t>Coorientador</w:t>
      </w:r>
    </w:p>
    <w:p w14:paraId="1E9C7B29" w14:textId="77777777" w:rsidR="007F7419" w:rsidRPr="00A65B69" w:rsidRDefault="007F7419" w:rsidP="007F7419">
      <w:pPr>
        <w:spacing w:line="360" w:lineRule="auto"/>
        <w:ind w:right="2"/>
        <w:jc w:val="center"/>
        <w:rPr>
          <w:b/>
          <w:bCs/>
          <w:color w:val="000000" w:themeColor="text1"/>
          <w:lang w:val="pt-BR"/>
        </w:rPr>
      </w:pPr>
      <w:r w:rsidRPr="00A65B69">
        <w:rPr>
          <w:b/>
          <w:bCs/>
          <w:color w:val="000000" w:themeColor="text1"/>
          <w:lang w:val="pt-BR"/>
        </w:rPr>
        <w:t xml:space="preserve">Prof. Dr. Carlos Augusto Kalva Filho </w:t>
      </w:r>
    </w:p>
    <w:p w14:paraId="2281B0FB" w14:textId="05295B34" w:rsidR="007F7419" w:rsidRPr="00A65B69" w:rsidRDefault="007F7419" w:rsidP="007F7419">
      <w:pPr>
        <w:spacing w:line="360" w:lineRule="auto"/>
        <w:ind w:right="2"/>
        <w:jc w:val="center"/>
        <w:rPr>
          <w:color w:val="000000" w:themeColor="text1"/>
          <w:lang w:val="pt-BR"/>
        </w:rPr>
      </w:pPr>
      <w:r w:rsidRPr="00A65B69">
        <w:rPr>
          <w:color w:val="000000" w:themeColor="text1"/>
          <w:lang w:val="pt-BR"/>
        </w:rPr>
        <w:t>(Pós-doutorado, UNESP – FC – Departamento de Educação Física – Bauru)</w:t>
      </w:r>
    </w:p>
    <w:p w14:paraId="3C08FC41" w14:textId="65DE168C" w:rsidR="00CD7E88" w:rsidRPr="00A65B69" w:rsidRDefault="00CD7E88" w:rsidP="00C5660B">
      <w:pPr>
        <w:spacing w:line="480" w:lineRule="auto"/>
        <w:ind w:right="2"/>
        <w:rPr>
          <w:color w:val="000000" w:themeColor="text1"/>
          <w:lang w:val="pt-BR"/>
        </w:rPr>
      </w:pPr>
    </w:p>
    <w:p w14:paraId="1413F219" w14:textId="77777777" w:rsidR="00950ACF" w:rsidRPr="00A65B69" w:rsidRDefault="00950ACF" w:rsidP="00C5660B">
      <w:pPr>
        <w:spacing w:line="480" w:lineRule="auto"/>
        <w:ind w:right="2"/>
        <w:rPr>
          <w:color w:val="000000" w:themeColor="text1"/>
          <w:lang w:val="pt-BR"/>
        </w:rPr>
      </w:pPr>
    </w:p>
    <w:p w14:paraId="3FC22999" w14:textId="77777777" w:rsidR="00CD7E88" w:rsidRPr="00A65B69" w:rsidRDefault="00CD7E88" w:rsidP="00C5660B">
      <w:pPr>
        <w:spacing w:line="480" w:lineRule="auto"/>
        <w:ind w:right="2"/>
        <w:jc w:val="center"/>
        <w:rPr>
          <w:color w:val="000000" w:themeColor="text1"/>
          <w:u w:val="single"/>
        </w:rPr>
      </w:pPr>
      <w:r w:rsidRPr="00A65B69">
        <w:rPr>
          <w:b/>
          <w:bCs/>
          <w:color w:val="000000" w:themeColor="text1"/>
          <w:u w:val="single"/>
        </w:rPr>
        <w:t>Equipe </w:t>
      </w:r>
    </w:p>
    <w:p w14:paraId="72818354" w14:textId="77777777" w:rsidR="007F7419" w:rsidRPr="00A65B69" w:rsidRDefault="00922802" w:rsidP="00447787">
      <w:pPr>
        <w:ind w:right="2"/>
        <w:jc w:val="center"/>
        <w:rPr>
          <w:color w:val="000000" w:themeColor="text1"/>
        </w:rPr>
      </w:pPr>
      <w:r w:rsidRPr="00A65B69">
        <w:rPr>
          <w:color w:val="000000" w:themeColor="text1"/>
        </w:rPr>
        <w:t xml:space="preserve">Dr. Christian </w:t>
      </w:r>
      <w:proofErr w:type="spellStart"/>
      <w:r w:rsidRPr="00A65B69">
        <w:rPr>
          <w:color w:val="000000" w:themeColor="text1"/>
        </w:rPr>
        <w:t>Schlenstedt</w:t>
      </w:r>
      <w:proofErr w:type="spellEnd"/>
      <w:r w:rsidRPr="00A65B69">
        <w:rPr>
          <w:color w:val="000000" w:themeColor="text1"/>
        </w:rPr>
        <w:t xml:space="preserve"> </w:t>
      </w:r>
    </w:p>
    <w:p w14:paraId="13DC7FBD" w14:textId="78A1CEA5" w:rsidR="00922802" w:rsidRPr="00A65B69" w:rsidRDefault="00922802" w:rsidP="00447787">
      <w:pPr>
        <w:ind w:right="2"/>
        <w:jc w:val="center"/>
        <w:rPr>
          <w:color w:val="000000" w:themeColor="text1"/>
        </w:rPr>
      </w:pPr>
      <w:r w:rsidRPr="00A65B69">
        <w:rPr>
          <w:color w:val="000000" w:themeColor="text1"/>
        </w:rPr>
        <w:t xml:space="preserve">(University of Applied Sciences and Medical University – </w:t>
      </w:r>
      <w:proofErr w:type="spellStart"/>
      <w:r w:rsidRPr="00A65B69">
        <w:rPr>
          <w:color w:val="000000" w:themeColor="text1"/>
        </w:rPr>
        <w:t>Hamburgo</w:t>
      </w:r>
      <w:proofErr w:type="spellEnd"/>
      <w:r w:rsidRPr="00A65B69">
        <w:rPr>
          <w:color w:val="000000" w:themeColor="text1"/>
        </w:rPr>
        <w:t xml:space="preserve"> – </w:t>
      </w:r>
      <w:proofErr w:type="spellStart"/>
      <w:r w:rsidRPr="00A65B69">
        <w:rPr>
          <w:color w:val="000000" w:themeColor="text1"/>
        </w:rPr>
        <w:t>Alemanha</w:t>
      </w:r>
      <w:proofErr w:type="spellEnd"/>
      <w:r w:rsidRPr="00A65B69">
        <w:rPr>
          <w:color w:val="000000" w:themeColor="text1"/>
        </w:rPr>
        <w:t>)</w:t>
      </w:r>
    </w:p>
    <w:p w14:paraId="008C4FB3" w14:textId="77777777" w:rsidR="007F7419" w:rsidRPr="00A65B69" w:rsidRDefault="00950ACF" w:rsidP="00950ACF">
      <w:pPr>
        <w:ind w:right="2"/>
        <w:jc w:val="center"/>
        <w:rPr>
          <w:color w:val="000000" w:themeColor="text1"/>
          <w:lang w:val="pt-BR"/>
        </w:rPr>
      </w:pPr>
      <w:r w:rsidRPr="00A65B69">
        <w:rPr>
          <w:color w:val="000000" w:themeColor="text1"/>
          <w:lang w:val="pt-BR"/>
        </w:rPr>
        <w:t xml:space="preserve">Dr. Marcelo </w:t>
      </w:r>
      <w:proofErr w:type="spellStart"/>
      <w:r w:rsidRPr="00A65B69">
        <w:rPr>
          <w:color w:val="000000" w:themeColor="text1"/>
          <w:lang w:val="pt-BR"/>
        </w:rPr>
        <w:t>Papoti</w:t>
      </w:r>
      <w:proofErr w:type="spellEnd"/>
      <w:r w:rsidRPr="00A65B69">
        <w:rPr>
          <w:color w:val="000000" w:themeColor="text1"/>
          <w:lang w:val="pt-BR"/>
        </w:rPr>
        <w:t xml:space="preserve"> </w:t>
      </w:r>
    </w:p>
    <w:p w14:paraId="20F65384" w14:textId="6D98233A" w:rsidR="00950ACF" w:rsidRPr="00A65B69" w:rsidRDefault="00950ACF" w:rsidP="00950ACF">
      <w:pPr>
        <w:ind w:right="2"/>
        <w:jc w:val="center"/>
        <w:rPr>
          <w:color w:val="000000" w:themeColor="text1"/>
          <w:lang w:val="pt-BR"/>
        </w:rPr>
      </w:pPr>
      <w:r w:rsidRPr="00A65B69">
        <w:rPr>
          <w:color w:val="000000" w:themeColor="text1"/>
          <w:lang w:val="pt-BR"/>
        </w:rPr>
        <w:t>(USP - Escola de Educação Física e Esporte de Ribeirão Preto – Ribeirão Preto)</w:t>
      </w:r>
    </w:p>
    <w:p w14:paraId="4D134D92" w14:textId="77777777" w:rsidR="007F7419" w:rsidRPr="00A65B69" w:rsidRDefault="00D86A30" w:rsidP="00447787">
      <w:pPr>
        <w:ind w:right="2"/>
        <w:jc w:val="center"/>
        <w:rPr>
          <w:color w:val="000000" w:themeColor="text1"/>
          <w:lang w:val="pt-BR"/>
        </w:rPr>
      </w:pPr>
      <w:r w:rsidRPr="00A65B69">
        <w:rPr>
          <w:color w:val="000000" w:themeColor="text1"/>
          <w:lang w:val="pt-BR"/>
        </w:rPr>
        <w:t xml:space="preserve">Dra. Marcela de Oliveira </w:t>
      </w:r>
    </w:p>
    <w:p w14:paraId="5A8035E0" w14:textId="21DA4199" w:rsidR="00D86A30" w:rsidRPr="00A65B69" w:rsidRDefault="00D86A30" w:rsidP="00447787">
      <w:pPr>
        <w:ind w:right="2"/>
        <w:jc w:val="center"/>
        <w:rPr>
          <w:color w:val="000000" w:themeColor="text1"/>
          <w:lang w:val="pt-BR"/>
        </w:rPr>
      </w:pPr>
      <w:r w:rsidRPr="00A65B69">
        <w:rPr>
          <w:color w:val="000000" w:themeColor="text1"/>
          <w:lang w:val="pt-BR"/>
        </w:rPr>
        <w:t>(</w:t>
      </w:r>
      <w:r w:rsidR="00BA497C" w:rsidRPr="00A65B69">
        <w:rPr>
          <w:color w:val="000000" w:themeColor="text1"/>
          <w:lang w:val="pt-BR"/>
        </w:rPr>
        <w:t>p</w:t>
      </w:r>
      <w:r w:rsidR="00950ACF" w:rsidRPr="00A65B69">
        <w:rPr>
          <w:color w:val="000000" w:themeColor="text1"/>
          <w:lang w:val="pt-BR"/>
        </w:rPr>
        <w:t xml:space="preserve">ós-doutoranda Departamento de Física - </w:t>
      </w:r>
      <w:r w:rsidRPr="00A65B69">
        <w:rPr>
          <w:color w:val="000000" w:themeColor="text1"/>
          <w:lang w:val="pt-BR"/>
        </w:rPr>
        <w:t>UNESP – Bauru)</w:t>
      </w:r>
    </w:p>
    <w:p w14:paraId="539B3534" w14:textId="77777777" w:rsidR="007F7419" w:rsidRPr="00A65B69" w:rsidRDefault="00950ACF" w:rsidP="00447787">
      <w:pPr>
        <w:ind w:right="2"/>
        <w:jc w:val="center"/>
        <w:rPr>
          <w:color w:val="000000" w:themeColor="text1"/>
          <w:lang w:val="pt-BR"/>
        </w:rPr>
      </w:pPr>
      <w:r w:rsidRPr="00A65B69">
        <w:rPr>
          <w:color w:val="000000" w:themeColor="text1"/>
          <w:lang w:val="pt-BR"/>
        </w:rPr>
        <w:t>Ms</w:t>
      </w:r>
      <w:r w:rsidR="006302C8" w:rsidRPr="00A65B69">
        <w:rPr>
          <w:color w:val="000000" w:themeColor="text1"/>
          <w:lang w:val="pt-BR"/>
        </w:rPr>
        <w:t xml:space="preserve">. </w:t>
      </w:r>
      <w:r w:rsidR="00011C4D" w:rsidRPr="00A65B69">
        <w:rPr>
          <w:color w:val="000000" w:themeColor="text1"/>
          <w:lang w:val="pt-BR"/>
        </w:rPr>
        <w:t xml:space="preserve">Aline Prieto Silveira </w:t>
      </w:r>
      <w:proofErr w:type="spellStart"/>
      <w:r w:rsidR="00011C4D" w:rsidRPr="00A65B69">
        <w:rPr>
          <w:color w:val="000000" w:themeColor="text1"/>
          <w:lang w:val="pt-BR"/>
        </w:rPr>
        <w:t>Ciola</w:t>
      </w:r>
      <w:proofErr w:type="spellEnd"/>
      <w:r w:rsidR="00011C4D" w:rsidRPr="00A65B69">
        <w:rPr>
          <w:color w:val="000000" w:themeColor="text1"/>
          <w:lang w:val="pt-BR"/>
        </w:rPr>
        <w:t xml:space="preserve"> </w:t>
      </w:r>
    </w:p>
    <w:p w14:paraId="1A8514B3" w14:textId="7893A7D9" w:rsidR="00011C4D" w:rsidRPr="00A65B69" w:rsidRDefault="00011C4D" w:rsidP="00447787">
      <w:pPr>
        <w:ind w:right="2"/>
        <w:jc w:val="center"/>
        <w:rPr>
          <w:color w:val="000000" w:themeColor="text1"/>
          <w:lang w:val="pt-BR"/>
        </w:rPr>
      </w:pPr>
      <w:r w:rsidRPr="00A65B69">
        <w:rPr>
          <w:color w:val="000000" w:themeColor="text1"/>
          <w:lang w:val="pt-BR"/>
        </w:rPr>
        <w:t>(</w:t>
      </w:r>
      <w:r w:rsidR="00950ACF" w:rsidRPr="00A65B69">
        <w:rPr>
          <w:color w:val="000000" w:themeColor="text1"/>
          <w:lang w:val="pt-BR"/>
        </w:rPr>
        <w:t>doutorand</w:t>
      </w:r>
      <w:r w:rsidR="00BA497C" w:rsidRPr="00A65B69">
        <w:rPr>
          <w:color w:val="000000" w:themeColor="text1"/>
          <w:lang w:val="pt-BR"/>
        </w:rPr>
        <w:t>a</w:t>
      </w:r>
      <w:r w:rsidR="00950ACF" w:rsidRPr="00A65B69">
        <w:rPr>
          <w:color w:val="000000" w:themeColor="text1"/>
          <w:lang w:val="pt-BR"/>
        </w:rPr>
        <w:t xml:space="preserve"> em Ciências do Movimento - </w:t>
      </w:r>
      <w:r w:rsidRPr="00A65B69">
        <w:rPr>
          <w:color w:val="000000" w:themeColor="text1"/>
          <w:lang w:val="pt-BR"/>
        </w:rPr>
        <w:t>UNESP – Bauru)</w:t>
      </w:r>
    </w:p>
    <w:p w14:paraId="35263B0C" w14:textId="4A472CAF" w:rsidR="00222C2A" w:rsidRPr="00A65B69" w:rsidRDefault="00222C2A" w:rsidP="00C5660B">
      <w:pPr>
        <w:spacing w:line="480" w:lineRule="auto"/>
        <w:ind w:right="2"/>
        <w:rPr>
          <w:color w:val="000000" w:themeColor="text1"/>
          <w:lang w:val="pt-BR"/>
        </w:rPr>
      </w:pPr>
    </w:p>
    <w:p w14:paraId="278A1329" w14:textId="77777777" w:rsidR="00950ACF" w:rsidRPr="00A65B69" w:rsidRDefault="00950ACF" w:rsidP="00C5660B">
      <w:pPr>
        <w:spacing w:line="480" w:lineRule="auto"/>
        <w:ind w:right="2"/>
        <w:rPr>
          <w:color w:val="000000" w:themeColor="text1"/>
          <w:lang w:val="pt-BR"/>
        </w:rPr>
      </w:pPr>
    </w:p>
    <w:p w14:paraId="245AF37B" w14:textId="77777777" w:rsidR="00DD2E49" w:rsidRPr="00A65B69" w:rsidRDefault="00CD7E88" w:rsidP="00C5660B">
      <w:pPr>
        <w:spacing w:line="480" w:lineRule="auto"/>
        <w:ind w:right="2"/>
        <w:jc w:val="center"/>
        <w:rPr>
          <w:b/>
          <w:bCs/>
          <w:color w:val="000000" w:themeColor="text1"/>
          <w:lang w:val="pt-BR"/>
        </w:rPr>
        <w:sectPr w:rsidR="00DD2E49" w:rsidRPr="00A65B69" w:rsidSect="00222C2A">
          <w:headerReference w:type="even" r:id="rId8"/>
          <w:headerReference w:type="default" r:id="rId9"/>
          <w:footerReference w:type="default" r:id="rId10"/>
          <w:headerReference w:type="first" r:id="rId11"/>
          <w:pgSz w:w="11910" w:h="16840"/>
          <w:pgMar w:top="1134" w:right="1134" w:bottom="1134" w:left="1418" w:header="720" w:footer="720" w:gutter="0"/>
          <w:cols w:space="720"/>
          <w:titlePg/>
          <w:docGrid w:linePitch="299"/>
        </w:sectPr>
      </w:pPr>
      <w:r w:rsidRPr="00A65B69">
        <w:rPr>
          <w:b/>
          <w:bCs/>
          <w:color w:val="000000" w:themeColor="text1"/>
          <w:lang w:val="pt-BR"/>
        </w:rPr>
        <w:t>Bauru – 2022</w:t>
      </w:r>
    </w:p>
    <w:p w14:paraId="5FB3DE7E" w14:textId="2992D8AE" w:rsidR="000D214D" w:rsidRPr="00A65B69" w:rsidRDefault="000D214D" w:rsidP="00C5660B">
      <w:pPr>
        <w:spacing w:line="480" w:lineRule="auto"/>
        <w:ind w:right="2"/>
        <w:jc w:val="center"/>
        <w:rPr>
          <w:b/>
          <w:bCs/>
          <w:color w:val="000000" w:themeColor="text1"/>
          <w:sz w:val="22"/>
          <w:szCs w:val="22"/>
          <w:lang w:val="pt-BR"/>
        </w:rPr>
      </w:pPr>
      <w:r w:rsidRPr="00A65B69">
        <w:rPr>
          <w:b/>
          <w:bCs/>
          <w:color w:val="000000" w:themeColor="text1"/>
          <w:sz w:val="22"/>
          <w:szCs w:val="22"/>
          <w:lang w:val="pt-BR"/>
        </w:rPr>
        <w:lastRenderedPageBreak/>
        <w:t xml:space="preserve">Hipóxia Intermitente na Doença de Parkinson: Efeito Agudo na </w:t>
      </w:r>
      <w:r w:rsidR="00DA3D97" w:rsidRPr="00A65B69">
        <w:rPr>
          <w:b/>
          <w:bCs/>
          <w:color w:val="000000" w:themeColor="text1"/>
          <w:sz w:val="22"/>
          <w:szCs w:val="22"/>
          <w:lang w:val="pt-BR"/>
        </w:rPr>
        <w:t>Locomoção</w:t>
      </w:r>
      <w:r w:rsidRPr="00A65B69">
        <w:rPr>
          <w:b/>
          <w:bCs/>
          <w:color w:val="000000" w:themeColor="text1"/>
          <w:sz w:val="22"/>
          <w:szCs w:val="22"/>
          <w:lang w:val="pt-BR"/>
        </w:rPr>
        <w:t xml:space="preserve">, </w:t>
      </w:r>
      <w:r w:rsidR="00DA3D97" w:rsidRPr="00A65B69">
        <w:rPr>
          <w:b/>
          <w:bCs/>
          <w:color w:val="000000" w:themeColor="text1"/>
          <w:sz w:val="22"/>
          <w:szCs w:val="22"/>
          <w:lang w:val="pt-BR"/>
        </w:rPr>
        <w:t xml:space="preserve">na </w:t>
      </w:r>
      <w:r w:rsidRPr="00A65B69">
        <w:rPr>
          <w:b/>
          <w:bCs/>
          <w:color w:val="000000" w:themeColor="text1"/>
          <w:sz w:val="22"/>
          <w:szCs w:val="22"/>
          <w:lang w:val="pt-BR"/>
        </w:rPr>
        <w:t xml:space="preserve">Qualidade do Sono e </w:t>
      </w:r>
      <w:r w:rsidR="00DA3D97" w:rsidRPr="00A65B69">
        <w:rPr>
          <w:b/>
          <w:bCs/>
          <w:color w:val="000000" w:themeColor="text1"/>
          <w:sz w:val="22"/>
          <w:szCs w:val="22"/>
          <w:lang w:val="pt-BR"/>
        </w:rPr>
        <w:t xml:space="preserve">nos </w:t>
      </w:r>
      <w:r w:rsidRPr="00A65B69">
        <w:rPr>
          <w:b/>
          <w:bCs/>
          <w:color w:val="000000" w:themeColor="text1"/>
          <w:sz w:val="22"/>
          <w:szCs w:val="22"/>
          <w:lang w:val="pt-BR"/>
        </w:rPr>
        <w:t xml:space="preserve">Biomarcadores Sanguíneos </w:t>
      </w:r>
    </w:p>
    <w:p w14:paraId="17ED7890" w14:textId="77777777" w:rsidR="00CD7E88" w:rsidRPr="00A65B69" w:rsidRDefault="00CD7E88" w:rsidP="00C5660B">
      <w:pPr>
        <w:spacing w:line="480" w:lineRule="auto"/>
        <w:ind w:right="2"/>
        <w:rPr>
          <w:color w:val="000000" w:themeColor="text1"/>
          <w:sz w:val="22"/>
          <w:szCs w:val="22"/>
          <w:lang w:val="pt-BR"/>
        </w:rPr>
      </w:pPr>
    </w:p>
    <w:p w14:paraId="0C36FA64" w14:textId="27F3DE8C" w:rsidR="00CD7E88" w:rsidRPr="00A65B69" w:rsidRDefault="00CD7E88" w:rsidP="00C5660B">
      <w:pPr>
        <w:spacing w:line="480" w:lineRule="auto"/>
        <w:ind w:right="2"/>
        <w:rPr>
          <w:color w:val="000000" w:themeColor="text1"/>
          <w:sz w:val="22"/>
          <w:szCs w:val="22"/>
          <w:lang w:val="pt-BR"/>
        </w:rPr>
      </w:pPr>
      <w:r w:rsidRPr="00A65B69">
        <w:rPr>
          <w:b/>
          <w:bCs/>
          <w:color w:val="000000" w:themeColor="text1"/>
          <w:sz w:val="22"/>
          <w:szCs w:val="22"/>
          <w:lang w:val="pt-BR"/>
        </w:rPr>
        <w:t xml:space="preserve">Aluno: </w:t>
      </w:r>
      <w:r w:rsidRPr="00A65B69">
        <w:rPr>
          <w:color w:val="000000" w:themeColor="text1"/>
          <w:sz w:val="22"/>
          <w:szCs w:val="22"/>
          <w:lang w:val="pt-BR"/>
        </w:rPr>
        <w:t>Murilo Henrique Faria (</w:t>
      </w:r>
      <w:r w:rsidR="00222C2A" w:rsidRPr="00A65B69">
        <w:rPr>
          <w:color w:val="000000" w:themeColor="text1"/>
          <w:sz w:val="22"/>
          <w:szCs w:val="22"/>
          <w:lang w:val="pt-BR"/>
        </w:rPr>
        <w:t xml:space="preserve">Mestrando </w:t>
      </w:r>
      <w:r w:rsidRPr="00A65B69">
        <w:rPr>
          <w:color w:val="000000" w:themeColor="text1"/>
          <w:sz w:val="22"/>
          <w:szCs w:val="22"/>
          <w:lang w:val="pt-BR"/>
        </w:rPr>
        <w:t xml:space="preserve">em </w:t>
      </w:r>
      <w:r w:rsidR="00950ACF" w:rsidRPr="00A65B69">
        <w:rPr>
          <w:color w:val="000000" w:themeColor="text1"/>
          <w:sz w:val="22"/>
          <w:szCs w:val="22"/>
          <w:lang w:val="pt-BR"/>
        </w:rPr>
        <w:t>Ciências do Movimento</w:t>
      </w:r>
      <w:r w:rsidRPr="00A65B69">
        <w:rPr>
          <w:color w:val="000000" w:themeColor="text1"/>
          <w:sz w:val="22"/>
          <w:szCs w:val="22"/>
          <w:lang w:val="pt-BR"/>
        </w:rPr>
        <w:t xml:space="preserve"> – UNESP</w:t>
      </w:r>
      <w:r w:rsidR="00950ACF" w:rsidRPr="00A65B69">
        <w:rPr>
          <w:color w:val="000000" w:themeColor="text1"/>
          <w:sz w:val="22"/>
          <w:szCs w:val="22"/>
          <w:lang w:val="pt-BR"/>
        </w:rPr>
        <w:t xml:space="preserve"> - Bauru</w:t>
      </w:r>
      <w:r w:rsidRPr="00A65B69">
        <w:rPr>
          <w:color w:val="000000" w:themeColor="text1"/>
          <w:sz w:val="22"/>
          <w:szCs w:val="22"/>
          <w:lang w:val="pt-BR"/>
        </w:rPr>
        <w:t>) </w:t>
      </w:r>
    </w:p>
    <w:p w14:paraId="34308C25" w14:textId="77777777" w:rsidR="00CD7E88" w:rsidRPr="00A65B69" w:rsidRDefault="00CD7E88" w:rsidP="00C5660B">
      <w:pPr>
        <w:spacing w:line="480" w:lineRule="auto"/>
        <w:ind w:right="2"/>
        <w:rPr>
          <w:color w:val="000000" w:themeColor="text1"/>
          <w:sz w:val="22"/>
          <w:szCs w:val="22"/>
          <w:lang w:val="pt-BR"/>
        </w:rPr>
      </w:pPr>
      <w:r w:rsidRPr="00A65B69">
        <w:rPr>
          <w:b/>
          <w:bCs/>
          <w:color w:val="000000" w:themeColor="text1"/>
          <w:sz w:val="22"/>
          <w:szCs w:val="22"/>
          <w:lang w:val="pt-BR"/>
        </w:rPr>
        <w:t xml:space="preserve">Orientador: </w:t>
      </w:r>
      <w:r w:rsidRPr="00A65B69">
        <w:rPr>
          <w:color w:val="000000" w:themeColor="text1"/>
          <w:sz w:val="22"/>
          <w:szCs w:val="22"/>
          <w:lang w:val="pt-BR"/>
        </w:rPr>
        <w:t>Prof. Dr. Fabio Augusto Barbieri (FC - EF - UNESP – Bauru)</w:t>
      </w:r>
    </w:p>
    <w:p w14:paraId="2EFE9324" w14:textId="77777777" w:rsidR="00CD7E88" w:rsidRPr="00A65B69" w:rsidRDefault="00CD7E88" w:rsidP="00C5660B">
      <w:pPr>
        <w:pStyle w:val="Heading1"/>
        <w:spacing w:line="480" w:lineRule="auto"/>
        <w:ind w:left="0" w:right="2" w:firstLine="0"/>
        <w:rPr>
          <w:color w:val="000000" w:themeColor="text1"/>
          <w:lang w:val="pt-BR"/>
        </w:rPr>
      </w:pPr>
    </w:p>
    <w:p w14:paraId="17A6379D" w14:textId="47129583" w:rsidR="00E9755A" w:rsidRPr="00A65B69" w:rsidRDefault="00E9755A" w:rsidP="006702B9">
      <w:pPr>
        <w:pStyle w:val="Heading1"/>
        <w:spacing w:line="480" w:lineRule="auto"/>
        <w:ind w:left="0" w:right="2" w:firstLine="0"/>
        <w:rPr>
          <w:color w:val="000000" w:themeColor="text1"/>
          <w:sz w:val="22"/>
          <w:szCs w:val="22"/>
          <w:lang w:val="pt-BR"/>
        </w:rPr>
      </w:pPr>
      <w:r w:rsidRPr="00A65B69">
        <w:rPr>
          <w:color w:val="000000" w:themeColor="text1"/>
          <w:sz w:val="22"/>
          <w:szCs w:val="22"/>
          <w:lang w:val="pt-BR"/>
        </w:rPr>
        <w:t>Resumo</w:t>
      </w:r>
    </w:p>
    <w:p w14:paraId="4FA698FE" w14:textId="077595C4" w:rsidR="00E63A32" w:rsidRPr="00A65B69" w:rsidRDefault="00E63A32" w:rsidP="00B87953">
      <w:pPr>
        <w:spacing w:line="360" w:lineRule="auto"/>
        <w:jc w:val="both"/>
        <w:rPr>
          <w:color w:val="000000" w:themeColor="text1"/>
          <w:sz w:val="22"/>
          <w:szCs w:val="22"/>
          <w:lang w:val="pt-BR"/>
        </w:rPr>
      </w:pPr>
      <w:r w:rsidRPr="00A65B69">
        <w:rPr>
          <w:color w:val="000000" w:themeColor="text1"/>
          <w:sz w:val="22"/>
          <w:szCs w:val="22"/>
          <w:lang w:val="pt-BR"/>
        </w:rPr>
        <w:t xml:space="preserve">A doença de Parkinson (DP) é caracterizada por disfunções motoras, como a marcha, e não motoras, como o sono e metabolismo, que impactam a qualidade de vida. Desta forma, determinar intervenções que otimizem o tratamento da DP é essencial para amenizar os efeitos destas disfunções e a progressão da doença. Entretanto, </w:t>
      </w:r>
      <w:r w:rsidRPr="00A65B69">
        <w:rPr>
          <w:bCs/>
          <w:color w:val="000000" w:themeColor="text1"/>
          <w:sz w:val="22"/>
          <w:szCs w:val="22"/>
          <w:lang w:val="pt-BR"/>
        </w:rPr>
        <w:t xml:space="preserve">lacunas importantes são observadas na literatura relacionadas </w:t>
      </w:r>
      <w:r w:rsidR="003D15D9" w:rsidRPr="00A65B69">
        <w:rPr>
          <w:bCs/>
          <w:color w:val="000000" w:themeColor="text1"/>
          <w:sz w:val="22"/>
          <w:szCs w:val="22"/>
          <w:lang w:val="pt-BR"/>
        </w:rPr>
        <w:t>a</w:t>
      </w:r>
      <w:r w:rsidRPr="00A65B69">
        <w:rPr>
          <w:bCs/>
          <w:color w:val="000000" w:themeColor="text1"/>
          <w:sz w:val="22"/>
          <w:szCs w:val="22"/>
          <w:lang w:val="pt-BR"/>
        </w:rPr>
        <w:t xml:space="preserve"> intervenções eficientes que não tenham efeitos colaterais, como </w:t>
      </w:r>
      <w:r w:rsidR="003D15D9" w:rsidRPr="00A65B69">
        <w:rPr>
          <w:bCs/>
          <w:color w:val="000000" w:themeColor="text1"/>
          <w:sz w:val="22"/>
          <w:szCs w:val="22"/>
          <w:lang w:val="pt-BR"/>
        </w:rPr>
        <w:t>ocorre n</w:t>
      </w:r>
      <w:r w:rsidRPr="00A65B69">
        <w:rPr>
          <w:bCs/>
          <w:color w:val="000000" w:themeColor="text1"/>
          <w:sz w:val="22"/>
          <w:szCs w:val="22"/>
          <w:lang w:val="pt-BR"/>
        </w:rPr>
        <w:t xml:space="preserve">o tratamento medicamentoso. </w:t>
      </w:r>
      <w:r w:rsidRPr="00A65B69">
        <w:rPr>
          <w:color w:val="000000" w:themeColor="text1"/>
          <w:sz w:val="22"/>
          <w:szCs w:val="22"/>
          <w:lang w:val="pt-BR"/>
        </w:rPr>
        <w:t>A hipóxia normobárica intermitente (HI)</w:t>
      </w:r>
      <w:r w:rsidR="003D15D9" w:rsidRPr="00A65B69">
        <w:rPr>
          <w:color w:val="000000" w:themeColor="text1"/>
          <w:sz w:val="22"/>
          <w:szCs w:val="22"/>
          <w:lang w:val="pt-BR"/>
        </w:rPr>
        <w:t xml:space="preserve">, apesar de pouco estudada na </w:t>
      </w:r>
      <w:r w:rsidR="006702B9" w:rsidRPr="00A65B69">
        <w:rPr>
          <w:color w:val="000000" w:themeColor="text1"/>
          <w:sz w:val="22"/>
          <w:szCs w:val="22"/>
          <w:lang w:val="pt-BR"/>
        </w:rPr>
        <w:t>DP, tem</w:t>
      </w:r>
      <w:r w:rsidRPr="00A65B69">
        <w:rPr>
          <w:color w:val="000000" w:themeColor="text1"/>
          <w:sz w:val="22"/>
          <w:szCs w:val="22"/>
          <w:lang w:val="pt-BR"/>
        </w:rPr>
        <w:t xml:space="preserve"> ganhado visibilidade nos últimos anos</w:t>
      </w:r>
      <w:r w:rsidR="003D15D9" w:rsidRPr="00A65B69">
        <w:rPr>
          <w:color w:val="000000" w:themeColor="text1"/>
          <w:sz w:val="22"/>
          <w:szCs w:val="22"/>
          <w:lang w:val="pt-BR"/>
        </w:rPr>
        <w:t>, revelando melhora na sensibilidade sistêmica e nos sintomas motores e não motores</w:t>
      </w:r>
      <w:r w:rsidR="00BD1BEC" w:rsidRPr="00A65B69">
        <w:rPr>
          <w:color w:val="000000" w:themeColor="text1"/>
          <w:sz w:val="22"/>
          <w:szCs w:val="22"/>
          <w:lang w:val="pt-BR"/>
        </w:rPr>
        <w:t>.</w:t>
      </w:r>
      <w:r w:rsidRPr="00A65B69">
        <w:rPr>
          <w:color w:val="000000" w:themeColor="text1"/>
          <w:sz w:val="22"/>
          <w:szCs w:val="22"/>
          <w:lang w:val="pt-BR"/>
        </w:rPr>
        <w:t xml:space="preserve"> </w:t>
      </w:r>
      <w:r w:rsidR="00BD1BEC" w:rsidRPr="00A65B69">
        <w:rPr>
          <w:color w:val="000000" w:themeColor="text1"/>
          <w:sz w:val="22"/>
          <w:szCs w:val="22"/>
          <w:lang w:val="pt-BR"/>
        </w:rPr>
        <w:t xml:space="preserve">Esta intervenção tem revelado efeitos positivos na homeostase do ferro e função mitocondrial, as quais são essenciais para a sobrevivência neural, </w:t>
      </w:r>
      <w:r w:rsidRPr="00A65B69">
        <w:rPr>
          <w:bCs/>
          <w:color w:val="000000" w:themeColor="text1"/>
          <w:sz w:val="22"/>
          <w:szCs w:val="22"/>
          <w:lang w:val="pt-BR"/>
        </w:rPr>
        <w:t>podendo ser uma estratégia promissora para melhorar a marcha, o sono e o metabolismo de pessoas com DP</w:t>
      </w:r>
      <w:r w:rsidR="00BD1BEC" w:rsidRPr="00A65B69">
        <w:rPr>
          <w:bCs/>
          <w:color w:val="000000" w:themeColor="text1"/>
          <w:sz w:val="22"/>
          <w:szCs w:val="22"/>
          <w:lang w:val="pt-BR"/>
        </w:rPr>
        <w:t xml:space="preserve">. Entretanto, ela necessita de mais testes experimentais. </w:t>
      </w:r>
      <w:r w:rsidRPr="00A65B69">
        <w:rPr>
          <w:color w:val="000000" w:themeColor="text1"/>
          <w:sz w:val="22"/>
          <w:szCs w:val="22"/>
          <w:lang w:val="pt-BR"/>
        </w:rPr>
        <w:t xml:space="preserve">Sendo assim, o objetivo deste projeto de pesquisa é investigar as adaptações agudas induzidas pela HI na marcha, na qualidade do sono e nos biomarcadores sanguíneos em pessoas com DP. Dois estudos serão realizados: i) revisão sistemática: o corpo de conhecimento sobre as respostas induzidas pela exposição a hipóxia em pessoas com DP será revisado; </w:t>
      </w:r>
      <w:proofErr w:type="spellStart"/>
      <w:r w:rsidRPr="00A65B69">
        <w:rPr>
          <w:color w:val="000000" w:themeColor="text1"/>
          <w:sz w:val="22"/>
          <w:szCs w:val="22"/>
          <w:lang w:val="pt-BR"/>
        </w:rPr>
        <w:t>ii</w:t>
      </w:r>
      <w:proofErr w:type="spellEnd"/>
      <w:r w:rsidRPr="00A65B69">
        <w:rPr>
          <w:color w:val="000000" w:themeColor="text1"/>
          <w:sz w:val="22"/>
          <w:szCs w:val="22"/>
          <w:lang w:val="pt-BR"/>
        </w:rPr>
        <w:t>) estudo experimental: pessoas com DP e neurologicamente sadias realizarão duas condições de disponibilidade de oxigênio: HI</w:t>
      </w:r>
      <w:r w:rsidR="00BD1BEC" w:rsidRPr="00A65B69">
        <w:rPr>
          <w:color w:val="000000" w:themeColor="text1"/>
          <w:sz w:val="22"/>
          <w:szCs w:val="22"/>
          <w:lang w:val="pt-BR"/>
        </w:rPr>
        <w:t xml:space="preserve"> -</w:t>
      </w:r>
      <w:r w:rsidRPr="00A65B69">
        <w:rPr>
          <w:color w:val="000000" w:themeColor="text1"/>
          <w:sz w:val="22"/>
          <w:szCs w:val="22"/>
          <w:lang w:val="pt-BR"/>
        </w:rPr>
        <w:t xml:space="preserve"> </w:t>
      </w:r>
      <w:r w:rsidR="00BD1BEC" w:rsidRPr="00A65B69">
        <w:rPr>
          <w:color w:val="000000" w:themeColor="text1"/>
          <w:sz w:val="22"/>
          <w:szCs w:val="22"/>
          <w:lang w:val="pt-BR"/>
        </w:rPr>
        <w:t xml:space="preserve">a concentração de oxigênio irá alternar: 5min em hipóxia e 5min em </w:t>
      </w:r>
      <w:proofErr w:type="spellStart"/>
      <w:r w:rsidR="00BD1BEC" w:rsidRPr="00A65B69">
        <w:rPr>
          <w:color w:val="000000" w:themeColor="text1"/>
          <w:sz w:val="22"/>
          <w:szCs w:val="22"/>
          <w:lang w:val="pt-BR"/>
        </w:rPr>
        <w:t>normóxia</w:t>
      </w:r>
      <w:proofErr w:type="spellEnd"/>
      <w:r w:rsidR="00BD1BEC" w:rsidRPr="00A65B69">
        <w:rPr>
          <w:color w:val="000000" w:themeColor="text1"/>
          <w:sz w:val="22"/>
          <w:szCs w:val="22"/>
          <w:lang w:val="pt-BR"/>
        </w:rPr>
        <w:t xml:space="preserve">; </w:t>
      </w:r>
      <w:r w:rsidRPr="00A65B69">
        <w:rPr>
          <w:color w:val="000000" w:themeColor="text1"/>
          <w:sz w:val="22"/>
          <w:szCs w:val="22"/>
          <w:lang w:val="pt-BR"/>
        </w:rPr>
        <w:t xml:space="preserve">e </w:t>
      </w:r>
      <w:proofErr w:type="spellStart"/>
      <w:r w:rsidRPr="00A65B69">
        <w:rPr>
          <w:color w:val="000000" w:themeColor="text1"/>
          <w:sz w:val="22"/>
          <w:szCs w:val="22"/>
          <w:lang w:val="pt-BR"/>
        </w:rPr>
        <w:t>normóxia</w:t>
      </w:r>
      <w:proofErr w:type="spellEnd"/>
      <w:r w:rsidR="00BD1BEC" w:rsidRPr="00A65B69">
        <w:rPr>
          <w:color w:val="000000" w:themeColor="text1"/>
          <w:sz w:val="22"/>
          <w:szCs w:val="22"/>
          <w:lang w:val="pt-BR"/>
        </w:rPr>
        <w:t xml:space="preserve"> - </w:t>
      </w:r>
      <w:r w:rsidRPr="00A65B69">
        <w:rPr>
          <w:color w:val="000000" w:themeColor="text1"/>
          <w:sz w:val="22"/>
          <w:szCs w:val="22"/>
          <w:lang w:val="pt-BR"/>
        </w:rPr>
        <w:t xml:space="preserve">não haverá alteração na concentração de oxigênio (total de 35min em ambas as condições). A marcha (parâmetros cinemáticos e musculares), a qualidade do sono (através do </w:t>
      </w:r>
      <w:proofErr w:type="spellStart"/>
      <w:r w:rsidRPr="00A65B69">
        <w:rPr>
          <w:color w:val="000000" w:themeColor="text1"/>
          <w:sz w:val="22"/>
          <w:szCs w:val="22"/>
          <w:lang w:val="pt-BR"/>
        </w:rPr>
        <w:t>actígrafo</w:t>
      </w:r>
      <w:proofErr w:type="spellEnd"/>
      <w:r w:rsidRPr="00A65B69">
        <w:rPr>
          <w:color w:val="000000" w:themeColor="text1"/>
          <w:sz w:val="22"/>
          <w:szCs w:val="22"/>
          <w:lang w:val="pt-BR"/>
        </w:rPr>
        <w:t xml:space="preserve"> e questionários) e os biomarcadores sanguíneos (concentração de BDNF, IL-6 e ferro) serão avaliados antes, imediatamente após e 24 h após as condições. Com isso, esperamos contribuir significativamente para aplicação da HI em programas de reabilitação para pessoas com DP.</w:t>
      </w:r>
    </w:p>
    <w:p w14:paraId="414F881D" w14:textId="77777777" w:rsidR="00B87953" w:rsidRPr="00A65B69" w:rsidRDefault="00B87953" w:rsidP="00B87953">
      <w:pPr>
        <w:spacing w:line="360" w:lineRule="auto"/>
        <w:jc w:val="both"/>
        <w:rPr>
          <w:color w:val="000000" w:themeColor="text1"/>
          <w:sz w:val="22"/>
          <w:szCs w:val="22"/>
          <w:lang w:val="pt-BR"/>
        </w:rPr>
      </w:pPr>
    </w:p>
    <w:p w14:paraId="7210C408" w14:textId="6A0E92FD" w:rsidR="00B87953" w:rsidRPr="00A65B69" w:rsidRDefault="00B87953" w:rsidP="00B87953">
      <w:pPr>
        <w:spacing w:line="360" w:lineRule="auto"/>
        <w:jc w:val="both"/>
        <w:rPr>
          <w:color w:val="000000" w:themeColor="text1"/>
          <w:sz w:val="22"/>
          <w:szCs w:val="22"/>
          <w:lang w:val="pt-BR"/>
        </w:rPr>
      </w:pPr>
      <w:r w:rsidRPr="00A65B69">
        <w:rPr>
          <w:b/>
          <w:bCs/>
          <w:color w:val="000000" w:themeColor="text1"/>
          <w:sz w:val="22"/>
          <w:szCs w:val="22"/>
          <w:lang w:val="pt-BR"/>
        </w:rPr>
        <w:t xml:space="preserve">Palavras-chave: </w:t>
      </w:r>
      <w:r w:rsidRPr="00A65B69">
        <w:rPr>
          <w:color w:val="000000" w:themeColor="text1"/>
          <w:sz w:val="22"/>
          <w:szCs w:val="22"/>
          <w:lang w:val="pt-BR"/>
        </w:rPr>
        <w:t xml:space="preserve">Marcha, </w:t>
      </w:r>
      <w:r w:rsidR="00F210C6" w:rsidRPr="00A65B69">
        <w:rPr>
          <w:color w:val="000000" w:themeColor="text1"/>
          <w:sz w:val="22"/>
          <w:szCs w:val="22"/>
          <w:lang w:val="pt-BR"/>
        </w:rPr>
        <w:t xml:space="preserve">randomização, duplo-cego, </w:t>
      </w:r>
      <w:r w:rsidR="00C4385F" w:rsidRPr="00A65B69">
        <w:rPr>
          <w:color w:val="000000" w:themeColor="text1"/>
          <w:sz w:val="22"/>
          <w:szCs w:val="22"/>
          <w:lang w:val="pt-BR"/>
        </w:rPr>
        <w:t>respostas agudas.</w:t>
      </w:r>
    </w:p>
    <w:p w14:paraId="7A7DB6C8" w14:textId="77777777" w:rsidR="003D15D9" w:rsidRPr="00A65B69" w:rsidRDefault="003D15D9">
      <w:pPr>
        <w:widowControl w:val="0"/>
        <w:autoSpaceDE w:val="0"/>
        <w:autoSpaceDN w:val="0"/>
        <w:rPr>
          <w:b/>
          <w:bCs/>
          <w:color w:val="000000" w:themeColor="text1"/>
          <w:lang w:val="pt-BR"/>
        </w:rPr>
      </w:pPr>
      <w:r w:rsidRPr="00A65B69">
        <w:rPr>
          <w:color w:val="000000" w:themeColor="text1"/>
          <w:lang w:val="pt-BR"/>
        </w:rPr>
        <w:br w:type="page"/>
      </w:r>
    </w:p>
    <w:p w14:paraId="3DEC2395" w14:textId="2BEF119F" w:rsidR="00254F8D" w:rsidRPr="00A65B69" w:rsidRDefault="00254F8D" w:rsidP="00254F8D">
      <w:pPr>
        <w:pStyle w:val="Heading1"/>
        <w:spacing w:line="480" w:lineRule="auto"/>
        <w:ind w:left="0" w:right="2" w:firstLine="0"/>
        <w:jc w:val="center"/>
        <w:rPr>
          <w:color w:val="000000" w:themeColor="text1"/>
        </w:rPr>
      </w:pPr>
      <w:r w:rsidRPr="00A65B69">
        <w:rPr>
          <w:color w:val="000000" w:themeColor="text1"/>
        </w:rPr>
        <w:lastRenderedPageBreak/>
        <w:t>Intermittent hypoxia in Parkinson's disease: Acute effect on locomotion, sleep quality and blood biomarkers</w:t>
      </w:r>
    </w:p>
    <w:p w14:paraId="6E8E44D0" w14:textId="1E83B60F" w:rsidR="00E9755A" w:rsidRPr="00A65B69" w:rsidRDefault="00E9755A" w:rsidP="008605BC">
      <w:pPr>
        <w:pStyle w:val="Heading1"/>
        <w:spacing w:line="360" w:lineRule="auto"/>
        <w:ind w:left="0" w:right="2" w:firstLine="0"/>
        <w:rPr>
          <w:color w:val="000000" w:themeColor="text1"/>
        </w:rPr>
      </w:pPr>
      <w:r w:rsidRPr="00A65B69">
        <w:rPr>
          <w:color w:val="000000" w:themeColor="text1"/>
        </w:rPr>
        <w:t>Abstract</w:t>
      </w:r>
    </w:p>
    <w:p w14:paraId="40901F69" w14:textId="37DA8882" w:rsidR="00C92873" w:rsidRPr="00A65B69" w:rsidRDefault="00C92873" w:rsidP="008605BC">
      <w:pPr>
        <w:pStyle w:val="Heading1"/>
        <w:spacing w:line="360" w:lineRule="auto"/>
        <w:ind w:left="0" w:firstLine="0"/>
        <w:rPr>
          <w:b w:val="0"/>
          <w:bCs w:val="0"/>
          <w:sz w:val="22"/>
          <w:szCs w:val="22"/>
        </w:rPr>
      </w:pPr>
      <w:r w:rsidRPr="00A65B69">
        <w:rPr>
          <w:b w:val="0"/>
          <w:bCs w:val="0"/>
          <w:sz w:val="22"/>
          <w:szCs w:val="22"/>
        </w:rPr>
        <w:t xml:space="preserve">Parkinson's disease (PD) is characterized by motor dysfunctions, such as gait, and non-motor dysfunctions, such as sleep and metabolism, which impact the quality of life. Thus, determining interventions that optimize the treatment of PD is essential to alleviate the effects of these disorders and the disease progression. However, important gaps are observed in the literature related to efficient interventions that do not have adverse effects, such as drug treatment. Intermittent </w:t>
      </w:r>
      <w:proofErr w:type="spellStart"/>
      <w:r w:rsidRPr="00A65B69">
        <w:rPr>
          <w:b w:val="0"/>
          <w:bCs w:val="0"/>
          <w:sz w:val="22"/>
          <w:szCs w:val="22"/>
        </w:rPr>
        <w:t>normobaric</w:t>
      </w:r>
      <w:proofErr w:type="spellEnd"/>
      <w:r w:rsidRPr="00A65B69">
        <w:rPr>
          <w:b w:val="0"/>
          <w:bCs w:val="0"/>
          <w:sz w:val="22"/>
          <w:szCs w:val="22"/>
        </w:rPr>
        <w:t xml:space="preserve"> hypoxia (IH)</w:t>
      </w:r>
      <w:r w:rsidR="00C64258" w:rsidRPr="00A65B69">
        <w:rPr>
          <w:b w:val="0"/>
          <w:bCs w:val="0"/>
          <w:sz w:val="22"/>
          <w:szCs w:val="22"/>
        </w:rPr>
        <w:t>,</w:t>
      </w:r>
      <w:r w:rsidR="00C64258" w:rsidRPr="00A65B69">
        <w:t xml:space="preserve"> </w:t>
      </w:r>
      <w:r w:rsidR="00C64258" w:rsidRPr="00A65B69">
        <w:rPr>
          <w:b w:val="0"/>
          <w:bCs w:val="0"/>
          <w:sz w:val="22"/>
          <w:szCs w:val="22"/>
        </w:rPr>
        <w:t>although little studied in PD</w:t>
      </w:r>
      <w:r w:rsidRPr="00A65B69">
        <w:rPr>
          <w:b w:val="0"/>
          <w:bCs w:val="0"/>
          <w:sz w:val="22"/>
          <w:szCs w:val="22"/>
        </w:rPr>
        <w:t xml:space="preserve"> has gained visibility in recent years</w:t>
      </w:r>
      <w:r w:rsidR="00C64258" w:rsidRPr="00A65B69">
        <w:rPr>
          <w:b w:val="0"/>
          <w:bCs w:val="0"/>
          <w:sz w:val="22"/>
          <w:szCs w:val="22"/>
        </w:rPr>
        <w:t>,</w:t>
      </w:r>
      <w:r w:rsidRPr="00A65B69">
        <w:rPr>
          <w:b w:val="0"/>
          <w:bCs w:val="0"/>
          <w:sz w:val="22"/>
          <w:szCs w:val="22"/>
        </w:rPr>
        <w:t xml:space="preserve"> </w:t>
      </w:r>
      <w:r w:rsidR="00C64258" w:rsidRPr="00A65B69">
        <w:rPr>
          <w:b w:val="0"/>
          <w:bCs w:val="0"/>
          <w:sz w:val="22"/>
          <w:szCs w:val="22"/>
        </w:rPr>
        <w:t>revealing improvement in systemic sensitivity and motor and non-motor symptoms</w:t>
      </w:r>
      <w:r w:rsidR="00FE7712" w:rsidRPr="00A65B69">
        <w:rPr>
          <w:b w:val="0"/>
          <w:bCs w:val="0"/>
          <w:sz w:val="22"/>
          <w:szCs w:val="22"/>
        </w:rPr>
        <w:t>.</w:t>
      </w:r>
      <w:r w:rsidR="00C64258" w:rsidRPr="00A65B69">
        <w:rPr>
          <w:b w:val="0"/>
          <w:bCs w:val="0"/>
          <w:sz w:val="22"/>
          <w:szCs w:val="22"/>
        </w:rPr>
        <w:t xml:space="preserve"> </w:t>
      </w:r>
      <w:r w:rsidR="00FE7712" w:rsidRPr="00A65B69">
        <w:rPr>
          <w:b w:val="0"/>
          <w:bCs w:val="0"/>
          <w:sz w:val="22"/>
          <w:szCs w:val="22"/>
        </w:rPr>
        <w:t>This</w:t>
      </w:r>
      <w:r w:rsidR="00C64258" w:rsidRPr="00A65B69">
        <w:rPr>
          <w:b w:val="0"/>
          <w:bCs w:val="0"/>
          <w:sz w:val="22"/>
          <w:szCs w:val="22"/>
        </w:rPr>
        <w:t xml:space="preserve"> intervention has shown positive effects on iron homeostasis and mitochondrial function, which are essential for neural survival, may be a promising strategy to improve gait, sleep and metabolism in people with PD</w:t>
      </w:r>
      <w:r w:rsidRPr="00A65B69">
        <w:rPr>
          <w:b w:val="0"/>
          <w:bCs w:val="0"/>
          <w:sz w:val="22"/>
          <w:szCs w:val="22"/>
        </w:rPr>
        <w:t xml:space="preserve">. Therefore, </w:t>
      </w:r>
      <w:r w:rsidR="00F86AF2" w:rsidRPr="00A65B69">
        <w:rPr>
          <w:b w:val="0"/>
          <w:bCs w:val="0"/>
          <w:sz w:val="22"/>
          <w:szCs w:val="22"/>
        </w:rPr>
        <w:t>the objective of this research project is to investigate</w:t>
      </w:r>
      <w:r w:rsidR="00F86AF2" w:rsidRPr="00A65B69" w:rsidDel="00F86AF2">
        <w:rPr>
          <w:b w:val="0"/>
          <w:bCs w:val="0"/>
          <w:sz w:val="22"/>
          <w:szCs w:val="22"/>
        </w:rPr>
        <w:t xml:space="preserve"> </w:t>
      </w:r>
      <w:r w:rsidRPr="00A65B69">
        <w:rPr>
          <w:b w:val="0"/>
          <w:bCs w:val="0"/>
          <w:sz w:val="22"/>
          <w:szCs w:val="22"/>
        </w:rPr>
        <w:t xml:space="preserve">the </w:t>
      </w:r>
      <w:r w:rsidR="00F86AF2" w:rsidRPr="00A65B69">
        <w:rPr>
          <w:b w:val="0"/>
          <w:bCs w:val="0"/>
          <w:sz w:val="22"/>
          <w:szCs w:val="22"/>
        </w:rPr>
        <w:t xml:space="preserve">acute </w:t>
      </w:r>
      <w:r w:rsidRPr="00A65B69">
        <w:rPr>
          <w:b w:val="0"/>
          <w:bCs w:val="0"/>
          <w:sz w:val="22"/>
          <w:szCs w:val="22"/>
        </w:rPr>
        <w:t xml:space="preserve">adaptations induced by IH on gait, sleep quality, and blood biomarkers in people with PD. Two studies will be carried out: </w:t>
      </w:r>
      <w:proofErr w:type="spellStart"/>
      <w:r w:rsidRPr="00A65B69">
        <w:rPr>
          <w:b w:val="0"/>
          <w:bCs w:val="0"/>
          <w:sz w:val="22"/>
          <w:szCs w:val="22"/>
        </w:rPr>
        <w:t>i</w:t>
      </w:r>
      <w:proofErr w:type="spellEnd"/>
      <w:r w:rsidRPr="00A65B69">
        <w:rPr>
          <w:b w:val="0"/>
          <w:bCs w:val="0"/>
          <w:sz w:val="22"/>
          <w:szCs w:val="22"/>
        </w:rPr>
        <w:t>) systematic review: the body of knowledge about the responses induced by exposure to hypoxia in people with PD will be reviewed; ii) experimental study: people with PD and neurologically healthy will perform two conditions of oxygen availability: IH</w:t>
      </w:r>
      <w:r w:rsidR="00F86AF2" w:rsidRPr="00A65B69">
        <w:rPr>
          <w:b w:val="0"/>
          <w:bCs w:val="0"/>
          <w:sz w:val="22"/>
          <w:szCs w:val="22"/>
        </w:rPr>
        <w:t xml:space="preserve"> - the oxygen concentration will alternate: 5min in hypoxia and 5min in </w:t>
      </w:r>
      <w:proofErr w:type="spellStart"/>
      <w:r w:rsidR="00F86AF2" w:rsidRPr="00A65B69">
        <w:rPr>
          <w:b w:val="0"/>
          <w:bCs w:val="0"/>
          <w:sz w:val="22"/>
          <w:szCs w:val="22"/>
        </w:rPr>
        <w:t>normoxia</w:t>
      </w:r>
      <w:proofErr w:type="spellEnd"/>
      <w:r w:rsidR="00F86AF2" w:rsidRPr="00A65B69">
        <w:rPr>
          <w:b w:val="0"/>
          <w:bCs w:val="0"/>
          <w:sz w:val="22"/>
          <w:szCs w:val="22"/>
        </w:rPr>
        <w:t>;</w:t>
      </w:r>
      <w:r w:rsidRPr="00A65B69">
        <w:rPr>
          <w:b w:val="0"/>
          <w:bCs w:val="0"/>
          <w:sz w:val="22"/>
          <w:szCs w:val="22"/>
        </w:rPr>
        <w:t xml:space="preserve"> and </w:t>
      </w:r>
      <w:proofErr w:type="spellStart"/>
      <w:r w:rsidRPr="00A65B69">
        <w:rPr>
          <w:b w:val="0"/>
          <w:bCs w:val="0"/>
          <w:sz w:val="22"/>
          <w:szCs w:val="22"/>
        </w:rPr>
        <w:t>normoxia</w:t>
      </w:r>
      <w:proofErr w:type="spellEnd"/>
      <w:r w:rsidR="00F86AF2" w:rsidRPr="00A65B69">
        <w:rPr>
          <w:b w:val="0"/>
          <w:bCs w:val="0"/>
          <w:sz w:val="22"/>
          <w:szCs w:val="22"/>
        </w:rPr>
        <w:t xml:space="preserve"> - there will be no change in oxygen concentration (total of 35min under both conditions)</w:t>
      </w:r>
      <w:r w:rsidRPr="00A65B69">
        <w:rPr>
          <w:b w:val="0"/>
          <w:bCs w:val="0"/>
          <w:sz w:val="22"/>
          <w:szCs w:val="22"/>
        </w:rPr>
        <w:t>. Gait (kinematic and muscle parameters), sleep quality (through actigraphy and questionnaires), and blood biomarkers (BDNF, IL-6, and iron concentration) will be evaluated before, immediately after and 24 h after the conditions. Therefore, we hope to significantly contribute to the application of IH in rehabilitation programs for people with PD.</w:t>
      </w:r>
    </w:p>
    <w:p w14:paraId="63FE0D57" w14:textId="77777777" w:rsidR="00E9755A" w:rsidRPr="00A65B69" w:rsidRDefault="00E9755A" w:rsidP="008605BC">
      <w:pPr>
        <w:pStyle w:val="Heading1"/>
        <w:spacing w:line="360" w:lineRule="auto"/>
        <w:ind w:left="0" w:right="2" w:firstLine="0"/>
        <w:rPr>
          <w:color w:val="000000" w:themeColor="text1"/>
          <w:sz w:val="22"/>
          <w:szCs w:val="22"/>
        </w:rPr>
      </w:pPr>
    </w:p>
    <w:p w14:paraId="14BDBFBF" w14:textId="29152D9B" w:rsidR="00E9755A" w:rsidRPr="00A65B69" w:rsidRDefault="008605BC" w:rsidP="008605BC">
      <w:pPr>
        <w:pStyle w:val="Heading1"/>
        <w:spacing w:line="360" w:lineRule="auto"/>
        <w:ind w:left="0" w:right="2" w:firstLine="0"/>
        <w:rPr>
          <w:color w:val="000000" w:themeColor="text1"/>
        </w:rPr>
      </w:pPr>
      <w:r w:rsidRPr="00A65B69">
        <w:rPr>
          <w:color w:val="000000" w:themeColor="text1"/>
        </w:rPr>
        <w:t xml:space="preserve">Keywords: </w:t>
      </w:r>
      <w:r w:rsidRPr="00A65B69">
        <w:rPr>
          <w:b w:val="0"/>
          <w:bCs w:val="0"/>
          <w:color w:val="000000" w:themeColor="text1"/>
        </w:rPr>
        <w:t>Gait, randomization, double-blind, acute responses.</w:t>
      </w:r>
    </w:p>
    <w:p w14:paraId="7D51BA52" w14:textId="0CD7F710" w:rsidR="00E9755A" w:rsidRPr="00A65B69" w:rsidRDefault="00E9755A" w:rsidP="00C5660B">
      <w:pPr>
        <w:pStyle w:val="Heading1"/>
        <w:spacing w:line="480" w:lineRule="auto"/>
        <w:ind w:left="0" w:right="2" w:firstLine="0"/>
        <w:rPr>
          <w:color w:val="000000" w:themeColor="text1"/>
        </w:rPr>
      </w:pPr>
    </w:p>
    <w:p w14:paraId="542DCA66" w14:textId="7BBA7D9F" w:rsidR="00262F09" w:rsidRPr="00A65B69" w:rsidRDefault="00262F09" w:rsidP="00C5660B">
      <w:pPr>
        <w:pStyle w:val="Heading1"/>
        <w:spacing w:line="480" w:lineRule="auto"/>
        <w:ind w:left="0" w:right="2" w:firstLine="0"/>
        <w:rPr>
          <w:color w:val="000000" w:themeColor="text1"/>
        </w:rPr>
      </w:pPr>
    </w:p>
    <w:p w14:paraId="3C724369" w14:textId="77777777" w:rsidR="00262F09" w:rsidRPr="00A65B69" w:rsidRDefault="00262F09" w:rsidP="00C5660B">
      <w:pPr>
        <w:pStyle w:val="Heading1"/>
        <w:spacing w:line="480" w:lineRule="auto"/>
        <w:ind w:left="0" w:right="2" w:firstLine="0"/>
        <w:rPr>
          <w:color w:val="000000" w:themeColor="text1"/>
        </w:rPr>
      </w:pPr>
    </w:p>
    <w:p w14:paraId="36CC4467" w14:textId="10DF5327" w:rsidR="00E9755A" w:rsidRPr="00A65B69" w:rsidRDefault="00E9755A" w:rsidP="00C5660B">
      <w:pPr>
        <w:pStyle w:val="Heading1"/>
        <w:spacing w:line="480" w:lineRule="auto"/>
        <w:ind w:left="0" w:right="2" w:firstLine="0"/>
        <w:rPr>
          <w:color w:val="000000" w:themeColor="text1"/>
        </w:rPr>
      </w:pPr>
    </w:p>
    <w:p w14:paraId="354D5B3B" w14:textId="77777777" w:rsidR="00E9755A" w:rsidRPr="00A65B69" w:rsidRDefault="00E9755A" w:rsidP="00C5660B">
      <w:pPr>
        <w:pStyle w:val="Heading1"/>
        <w:spacing w:line="480" w:lineRule="auto"/>
        <w:ind w:left="0" w:right="2" w:firstLine="0"/>
        <w:rPr>
          <w:color w:val="000000" w:themeColor="text1"/>
        </w:rPr>
      </w:pPr>
    </w:p>
    <w:p w14:paraId="3F312A9C" w14:textId="77777777" w:rsidR="008605BC" w:rsidRPr="00A65B69" w:rsidRDefault="008605BC" w:rsidP="00C5660B">
      <w:pPr>
        <w:pStyle w:val="Heading1"/>
        <w:spacing w:line="480" w:lineRule="auto"/>
        <w:ind w:left="0" w:right="2" w:firstLine="0"/>
        <w:rPr>
          <w:color w:val="000000" w:themeColor="text1"/>
        </w:rPr>
      </w:pPr>
    </w:p>
    <w:p w14:paraId="16271EE3" w14:textId="77777777" w:rsidR="008605BC" w:rsidRPr="00A65B69" w:rsidRDefault="008605BC" w:rsidP="00C5660B">
      <w:pPr>
        <w:pStyle w:val="Heading1"/>
        <w:spacing w:line="480" w:lineRule="auto"/>
        <w:ind w:left="0" w:right="2" w:firstLine="0"/>
        <w:rPr>
          <w:color w:val="000000" w:themeColor="text1"/>
        </w:rPr>
      </w:pPr>
    </w:p>
    <w:p w14:paraId="125276AD" w14:textId="77777777" w:rsidR="008605BC" w:rsidRPr="00A65B69" w:rsidRDefault="008605BC" w:rsidP="00C5660B">
      <w:pPr>
        <w:pStyle w:val="Heading1"/>
        <w:spacing w:line="480" w:lineRule="auto"/>
        <w:ind w:left="0" w:right="2" w:firstLine="0"/>
        <w:rPr>
          <w:color w:val="000000" w:themeColor="text1"/>
        </w:rPr>
      </w:pPr>
    </w:p>
    <w:p w14:paraId="00091B7C" w14:textId="77777777" w:rsidR="008605BC" w:rsidRPr="00A65B69" w:rsidRDefault="008605BC" w:rsidP="00C5660B">
      <w:pPr>
        <w:pStyle w:val="Heading1"/>
        <w:spacing w:line="480" w:lineRule="auto"/>
        <w:ind w:left="0" w:right="2" w:firstLine="0"/>
        <w:rPr>
          <w:color w:val="000000" w:themeColor="text1"/>
        </w:rPr>
      </w:pPr>
    </w:p>
    <w:p w14:paraId="2095F42C" w14:textId="77777777" w:rsidR="008605BC" w:rsidRPr="00A65B69" w:rsidRDefault="008605BC" w:rsidP="00C5660B">
      <w:pPr>
        <w:pStyle w:val="Heading1"/>
        <w:spacing w:line="480" w:lineRule="auto"/>
        <w:ind w:left="0" w:right="2" w:firstLine="0"/>
        <w:rPr>
          <w:color w:val="000000" w:themeColor="text1"/>
        </w:rPr>
      </w:pPr>
    </w:p>
    <w:p w14:paraId="17DAD055" w14:textId="0FE0941A" w:rsidR="0039003A" w:rsidRPr="00A65B69" w:rsidRDefault="008755A4">
      <w:pPr>
        <w:pStyle w:val="Heading1"/>
        <w:numPr>
          <w:ilvl w:val="0"/>
          <w:numId w:val="1"/>
        </w:numPr>
        <w:tabs>
          <w:tab w:val="left" w:pos="349"/>
        </w:tabs>
        <w:spacing w:line="480" w:lineRule="auto"/>
        <w:ind w:left="0" w:right="2" w:firstLine="0"/>
        <w:rPr>
          <w:color w:val="000000" w:themeColor="text1"/>
          <w:sz w:val="23"/>
          <w:szCs w:val="23"/>
          <w:lang w:val="pt-BR"/>
        </w:rPr>
      </w:pPr>
      <w:r w:rsidRPr="00A65B69">
        <w:rPr>
          <w:color w:val="000000" w:themeColor="text1"/>
          <w:sz w:val="23"/>
          <w:szCs w:val="23"/>
          <w:lang w:val="pt-BR"/>
        </w:rPr>
        <w:lastRenderedPageBreak/>
        <w:t>I</w:t>
      </w:r>
      <w:r w:rsidR="00CD7E88" w:rsidRPr="00A65B69">
        <w:rPr>
          <w:color w:val="000000" w:themeColor="text1"/>
          <w:sz w:val="23"/>
          <w:szCs w:val="23"/>
          <w:lang w:val="pt-BR"/>
        </w:rPr>
        <w:t>ntrodução e justificativa</w:t>
      </w:r>
    </w:p>
    <w:p w14:paraId="33A213BB" w14:textId="02F95A4E" w:rsidR="008F18BC" w:rsidRPr="00A65B69" w:rsidRDefault="00B271EE" w:rsidP="00DE5B0F">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 xml:space="preserve">Otimizar o tratamento da doença de Parkinson (DP) é essencial para </w:t>
      </w:r>
      <w:r w:rsidR="00EE6F0A" w:rsidRPr="00A65B69">
        <w:rPr>
          <w:color w:val="000000" w:themeColor="text1"/>
          <w:sz w:val="23"/>
          <w:szCs w:val="23"/>
          <w:lang w:val="pt-BR"/>
        </w:rPr>
        <w:t>amenizar</w:t>
      </w:r>
      <w:r w:rsidRPr="00A65B69">
        <w:rPr>
          <w:color w:val="000000" w:themeColor="text1"/>
          <w:sz w:val="23"/>
          <w:szCs w:val="23"/>
          <w:lang w:val="pt-BR"/>
        </w:rPr>
        <w:t xml:space="preserve"> </w:t>
      </w:r>
      <w:r w:rsidR="00FB2848" w:rsidRPr="00A65B69">
        <w:rPr>
          <w:color w:val="000000" w:themeColor="text1"/>
          <w:sz w:val="23"/>
          <w:szCs w:val="23"/>
          <w:lang w:val="pt-BR"/>
        </w:rPr>
        <w:t>os efeitos motores (e.g., marcha) e não-motores (</w:t>
      </w:r>
      <w:r w:rsidR="00A4397F" w:rsidRPr="00A65B69">
        <w:rPr>
          <w:color w:val="000000" w:themeColor="text1"/>
          <w:sz w:val="23"/>
          <w:szCs w:val="23"/>
          <w:lang w:val="pt-BR"/>
        </w:rPr>
        <w:t xml:space="preserve">e.g., distúrbios do </w:t>
      </w:r>
      <w:r w:rsidR="00FB2848" w:rsidRPr="00A65B69">
        <w:rPr>
          <w:color w:val="000000" w:themeColor="text1"/>
          <w:sz w:val="23"/>
          <w:szCs w:val="23"/>
          <w:lang w:val="pt-BR"/>
        </w:rPr>
        <w:t>sono</w:t>
      </w:r>
      <w:r w:rsidR="00A4397F" w:rsidRPr="00A65B69">
        <w:rPr>
          <w:color w:val="000000" w:themeColor="text1"/>
          <w:sz w:val="23"/>
          <w:szCs w:val="23"/>
          <w:lang w:val="pt-BR"/>
        </w:rPr>
        <w:t xml:space="preserve"> e no metabolismo</w:t>
      </w:r>
      <w:r w:rsidR="00FB2848" w:rsidRPr="00A65B69">
        <w:rPr>
          <w:color w:val="000000" w:themeColor="text1"/>
          <w:sz w:val="23"/>
          <w:szCs w:val="23"/>
          <w:lang w:val="pt-BR"/>
        </w:rPr>
        <w:t>)</w:t>
      </w:r>
      <w:r w:rsidRPr="00A65B69">
        <w:rPr>
          <w:color w:val="000000" w:themeColor="text1"/>
          <w:sz w:val="23"/>
          <w:szCs w:val="23"/>
          <w:lang w:val="pt-BR"/>
        </w:rPr>
        <w:t xml:space="preserve"> </w:t>
      </w:r>
      <w:r w:rsidR="008F18BC" w:rsidRPr="00A65B69">
        <w:rPr>
          <w:color w:val="000000" w:themeColor="text1"/>
          <w:sz w:val="23"/>
          <w:szCs w:val="23"/>
          <w:lang w:val="pt-BR"/>
        </w:rPr>
        <w:t>causados pela doença</w:t>
      </w:r>
      <w:r w:rsidR="00EE6F0A" w:rsidRPr="00A65B69">
        <w:rPr>
          <w:color w:val="000000" w:themeColor="text1"/>
          <w:sz w:val="23"/>
          <w:szCs w:val="23"/>
          <w:lang w:val="pt-BR"/>
        </w:rPr>
        <w:t xml:space="preserve"> e diminuir sua progressão</w:t>
      </w:r>
      <w:r w:rsidR="008F18BC" w:rsidRPr="00A65B69">
        <w:rPr>
          <w:color w:val="000000" w:themeColor="text1"/>
          <w:sz w:val="23"/>
          <w:szCs w:val="23"/>
          <w:lang w:val="pt-BR"/>
        </w:rPr>
        <w:t xml:space="preserve">. </w:t>
      </w:r>
      <w:r w:rsidR="00246702" w:rsidRPr="00A65B69">
        <w:rPr>
          <w:color w:val="000000" w:themeColor="text1"/>
          <w:sz w:val="23"/>
          <w:szCs w:val="23"/>
          <w:lang w:val="pt-BR"/>
        </w:rPr>
        <w:t>Como já conhecido, a DP acomete</w:t>
      </w:r>
      <w:r w:rsidR="003C5714" w:rsidRPr="00A65B69">
        <w:rPr>
          <w:color w:val="000000" w:themeColor="text1"/>
          <w:sz w:val="23"/>
          <w:szCs w:val="23"/>
          <w:lang w:val="pt-BR"/>
        </w:rPr>
        <w:t xml:space="preserve"> 1-2 a cada 1000 indivíduos </w:t>
      </w:r>
      <w:r w:rsidR="00A112DE" w:rsidRPr="00A65B69">
        <w:rPr>
          <w:color w:val="000000" w:themeColor="text1"/>
          <w:sz w:val="23"/>
          <w:szCs w:val="23"/>
          <w:lang w:val="pt-BR"/>
        </w:rPr>
        <w:fldChar w:fldCharType="begin" w:fldLock="1"/>
      </w:r>
      <w:r w:rsidR="008C2A9B" w:rsidRPr="00A65B69">
        <w:rPr>
          <w:color w:val="000000" w:themeColor="text1"/>
          <w:sz w:val="23"/>
          <w:szCs w:val="23"/>
          <w:lang w:val="pt-BR"/>
        </w:rPr>
        <w:instrText>ADDIN CSL_CITATION {"citationItems":[{"id":"ITEM-1","itemData":{"author":[{"dropping-particle":"","family":"TYSNES","given":"O. B","non-dropping-particle":"","parse-names":false,"suffix":""},{"dropping-particle":"","family":"STORSTEIN","given":"A","non-dropping-particle":"","parse-names":false,"suffix":""}],"container-title":". Journal of Neural Transmission","id":"ITEM-1","issue":"8","issued":{"date-parts":[["2017"]]},"page":"901–905","title":"Epidemiology of Parkinson’s disease","type":"article-journal","volume":"124"},"uris":["http://www.mendeley.com/documents/?uuid=19eda6f9-4050-4f38-b9a3-851a9ded492c"]}],"mendeley":{"formattedCitation":"(TYSNES; STORSTEIN, 2017)","manualFormatting":"(TYSNES et al., 2017)","plainTextFormattedCitation":"(TYSNES; STORSTEIN, 2017)","previouslyFormattedCitation":"(TYSNES; STORSTEIN, 2017)"},"properties":{"noteIndex":0},"schema":"https://github.com/citation-style-language/schema/raw/master/csl-citation.json"}</w:instrText>
      </w:r>
      <w:r w:rsidR="00A112DE" w:rsidRPr="00A65B69">
        <w:rPr>
          <w:color w:val="000000" w:themeColor="text1"/>
          <w:sz w:val="23"/>
          <w:szCs w:val="23"/>
          <w:lang w:val="pt-BR"/>
        </w:rPr>
        <w:fldChar w:fldCharType="separate"/>
      </w:r>
      <w:r w:rsidR="00A112DE" w:rsidRPr="00A65B69">
        <w:rPr>
          <w:noProof/>
          <w:color w:val="000000" w:themeColor="text1"/>
          <w:sz w:val="23"/>
          <w:szCs w:val="23"/>
          <w:lang w:val="pt-BR"/>
        </w:rPr>
        <w:t>(TYSNES</w:t>
      </w:r>
      <w:r w:rsidR="008C2A9B" w:rsidRPr="00A65B69">
        <w:rPr>
          <w:noProof/>
          <w:color w:val="000000" w:themeColor="text1"/>
          <w:sz w:val="23"/>
          <w:szCs w:val="23"/>
          <w:lang w:val="pt-BR"/>
        </w:rPr>
        <w:t xml:space="preserve"> et al.,</w:t>
      </w:r>
      <w:r w:rsidR="00A112DE" w:rsidRPr="00A65B69">
        <w:rPr>
          <w:noProof/>
          <w:color w:val="000000" w:themeColor="text1"/>
          <w:sz w:val="23"/>
          <w:szCs w:val="23"/>
          <w:lang w:val="pt-BR"/>
        </w:rPr>
        <w:t xml:space="preserve"> 2017)</w:t>
      </w:r>
      <w:r w:rsidR="00A112DE" w:rsidRPr="00A65B69">
        <w:rPr>
          <w:color w:val="000000" w:themeColor="text1"/>
          <w:sz w:val="23"/>
          <w:szCs w:val="23"/>
          <w:lang w:val="pt-BR"/>
        </w:rPr>
        <w:fldChar w:fldCharType="end"/>
      </w:r>
      <w:r w:rsidR="003C5714" w:rsidRPr="00A65B69">
        <w:rPr>
          <w:color w:val="000000" w:themeColor="text1"/>
          <w:sz w:val="23"/>
          <w:szCs w:val="23"/>
          <w:lang w:val="pt-BR"/>
        </w:rPr>
        <w:t>, assumindo o posto de segunda doença neurodegenerativa mais comum do mundo</w:t>
      </w:r>
      <w:r w:rsidR="00246702" w:rsidRPr="00A65B69">
        <w:rPr>
          <w:color w:val="000000" w:themeColor="text1"/>
          <w:sz w:val="23"/>
          <w:szCs w:val="23"/>
          <w:lang w:val="pt-BR"/>
        </w:rPr>
        <w:t xml:space="preserve">. </w:t>
      </w:r>
      <w:r w:rsidR="00297E92" w:rsidRPr="00A65B69">
        <w:rPr>
          <w:color w:val="000000" w:themeColor="text1"/>
          <w:sz w:val="23"/>
          <w:szCs w:val="23"/>
          <w:lang w:val="pt-BR"/>
        </w:rPr>
        <w:t>A DP é c</w:t>
      </w:r>
      <w:r w:rsidR="00246702" w:rsidRPr="00A65B69">
        <w:rPr>
          <w:color w:val="000000" w:themeColor="text1"/>
          <w:sz w:val="23"/>
          <w:szCs w:val="23"/>
          <w:lang w:val="pt-BR"/>
        </w:rPr>
        <w:t>aracterizada por disfunções neurológic</w:t>
      </w:r>
      <w:r w:rsidR="00F423F8" w:rsidRPr="00A65B69">
        <w:rPr>
          <w:color w:val="000000" w:themeColor="text1"/>
          <w:sz w:val="23"/>
          <w:szCs w:val="23"/>
          <w:lang w:val="pt-BR"/>
        </w:rPr>
        <w:t>a</w:t>
      </w:r>
      <w:r w:rsidR="00246702" w:rsidRPr="00A65B69">
        <w:rPr>
          <w:color w:val="000000" w:themeColor="text1"/>
          <w:sz w:val="23"/>
          <w:szCs w:val="23"/>
          <w:lang w:val="pt-BR"/>
        </w:rPr>
        <w:t>s que podem resultar em comprometimentos motores</w:t>
      </w:r>
      <w:r w:rsidR="003C3ADC" w:rsidRPr="00A65B69">
        <w:rPr>
          <w:color w:val="000000" w:themeColor="text1"/>
          <w:sz w:val="23"/>
          <w:szCs w:val="23"/>
          <w:lang w:val="pt-BR"/>
        </w:rPr>
        <w:t xml:space="preserve"> (e.g.,</w:t>
      </w:r>
      <w:r w:rsidR="00246702" w:rsidRPr="00A65B69">
        <w:rPr>
          <w:color w:val="000000" w:themeColor="text1"/>
          <w:sz w:val="23"/>
          <w:szCs w:val="23"/>
          <w:lang w:val="pt-BR"/>
        </w:rPr>
        <w:t xml:space="preserve"> rigidez muscular, instabilidade postural, tremor de repouso e bradicinesia</w:t>
      </w:r>
      <w:r w:rsidR="005900FF" w:rsidRPr="00A65B69">
        <w:rPr>
          <w:color w:val="000000" w:themeColor="text1"/>
          <w:sz w:val="23"/>
          <w:szCs w:val="23"/>
          <w:lang w:val="pt-BR"/>
        </w:rPr>
        <w:t>)</w:t>
      </w:r>
      <w:r w:rsidR="00246702" w:rsidRPr="00A65B69">
        <w:rPr>
          <w:color w:val="000000" w:themeColor="text1"/>
          <w:sz w:val="23"/>
          <w:szCs w:val="23"/>
          <w:lang w:val="pt-BR"/>
        </w:rPr>
        <w:t xml:space="preserve">. </w:t>
      </w:r>
      <w:r w:rsidR="008F18BC" w:rsidRPr="00A65B69">
        <w:rPr>
          <w:color w:val="000000" w:themeColor="text1"/>
          <w:sz w:val="23"/>
          <w:szCs w:val="23"/>
          <w:lang w:val="pt-BR"/>
        </w:rPr>
        <w:t>Estas características</w:t>
      </w:r>
      <w:r w:rsidR="00EE6F0A" w:rsidRPr="00A65B69">
        <w:rPr>
          <w:color w:val="000000" w:themeColor="text1"/>
          <w:sz w:val="23"/>
          <w:szCs w:val="23"/>
          <w:lang w:val="pt-BR"/>
        </w:rPr>
        <w:t xml:space="preserve"> da DP </w:t>
      </w:r>
      <w:r w:rsidR="00E906A1" w:rsidRPr="00A65B69">
        <w:rPr>
          <w:color w:val="000000" w:themeColor="text1"/>
          <w:sz w:val="23"/>
          <w:szCs w:val="23"/>
          <w:lang w:val="pt-BR"/>
        </w:rPr>
        <w:t>induzem</w:t>
      </w:r>
      <w:r w:rsidR="00EE6F0A" w:rsidRPr="00A65B69">
        <w:rPr>
          <w:color w:val="000000" w:themeColor="text1"/>
          <w:sz w:val="23"/>
          <w:szCs w:val="23"/>
          <w:lang w:val="pt-BR"/>
        </w:rPr>
        <w:t xml:space="preserve"> </w:t>
      </w:r>
      <w:r w:rsidR="008F18BC" w:rsidRPr="00A65B69">
        <w:rPr>
          <w:color w:val="000000" w:themeColor="text1"/>
          <w:sz w:val="23"/>
          <w:szCs w:val="23"/>
          <w:lang w:val="pt-BR"/>
        </w:rPr>
        <w:t xml:space="preserve">menores índices de equilíbrio </w:t>
      </w:r>
      <w:r w:rsidR="00FD5CA6" w:rsidRPr="00A65B69">
        <w:rPr>
          <w:color w:val="000000" w:themeColor="text1"/>
          <w:sz w:val="23"/>
          <w:szCs w:val="23"/>
          <w:lang w:val="pt-BR"/>
        </w:rPr>
        <w:fldChar w:fldCharType="begin" w:fldLock="1"/>
      </w:r>
      <w:r w:rsidR="00FD5CA6" w:rsidRPr="00A65B69">
        <w:rPr>
          <w:color w:val="000000" w:themeColor="text1"/>
          <w:sz w:val="23"/>
          <w:szCs w:val="23"/>
          <w:lang w:val="pt-BR"/>
        </w:rPr>
        <w:instrText>ADDIN CSL_CITATION {"citationItems":[{"id":"ITEM-1","itemData":{"author":[{"dropping-particle":"de","family":"Sant","given":"Cíntia Ribeiro","non-dropping-particle":"","parse-names":false,"suffix":""},{"dropping-particle":"de","family":"Oliveira","given":"Sheila Gemelli","non-dropping-particle":"","parse-names":false,"suffix":""},{"dropping-particle":"da","family":"Rosa","given":"Emerson Luis","non-dropping-particle":"","parse-names":false,"suffix":""},{"dropping-particle":"","family":"Joice Sandri","given":"Mirian Durante","non-dropping-particle":"","parse-names":false,"suffix":""},{"dropping-particle":"","family":"Posser","given":"Simone Regina","non-dropping-particle":"","parse-names":false,"suffix":""}],"container-title":"Revista Brasileira de Ciências do Envelhecimento Humano","id":"ITEM-1","issue":"1","issued":{"date-parts":[["2008"]]},"page":"80-89","title":"Abordagem fisioterapêutica na doença de Parkinson","type":"article-journal","volume":"5"},"uris":["http://www.mendeley.com/documents/?uuid=6814cb1e-d716-431d-a4a1-6765cda0915a"]},{"id":"ITEM-2","itemData":{"abstract":"We have reviewed the clinical and pathological diagno- ses of 143 cases of parkinsonism seen by neurologists associated with the movement disorders service at The National Hospital for Neurology and Neurosurgery in London who came to neuropathological examination at the United Kingdom Parkinson's Disease Society Brain Research Centre, over a 10-year period between 1990 and the end of 1999. Seventy-three (47 male, 26 female) cases were diagnosed as having idiopathic Parkinson's disease (IPD) and 70 (42 male, 28 female) as having another parkinsonian syndrome. The positive predictive value of the clinical diagnosis for the whole group was 85.3%, with 122 cases correctly clinically diagnosed. The positive predictive value of the clinical diagnosis of IPD was extremely high, at 98.6% (72 out of 73), while for the other parkinsonian syndromes it was 71.4% (50 out of 70). The positive predictive values of a clinical diagnosis of multiple system atrophy (MSA) and pro- gressive supranuclear palsy (PSP) were 85.7 (30 out of 35) and 80% (16 out of 20), respectively. The sensitivity for IPD was 91.1%, due to seven false-negative cases, with 72 of the 79 pathologically established cases being diagnosed in life. For MSA, the sensitivity was 88.2% (30 out of 34), and for PSP it was 84.2% (16 out of 19). The diagnostic accuracy for IPD, MSA and PSP was higher than most previous prospective clinicopathologi- cal series and studies using the retrospective application of clinical diagnostic criteria. The seven false-negative cases of IPD suggest a broader clinical picture of dis- ease than previously thought acceptable. This study implies that neurologists with particular expertise in the ®eld of movement disorders may be using a method of pattern recognition for diagnosis which goes beyond that inherent in any formal set of diagnostic criteria.","author":[{"dropping-particle":"","family":"Hughes","given":"Andrew J","non-dropping-particle":"","parse-names":false,"suffix":""},{"dropping-particle":"","family":"Daniel","given":"Susan E","non-dropping-particle":"","parse-names":false,"suffix":""},{"dropping-particle":"","family":"Ben-Shlomo","given":"Yoav","non-dropping-particle":"","parse-names":false,"suffix":""},{"dropping-particle":"","family":"Lees","given":"Andrew J","non-dropping-particle":"","parse-names":false,"suffix":""}],"container-title":"Brain","id":"ITEM-2","issue":"4","issued":{"date-parts":[["2002"]]},"page":"861-870","title":"The accuracy of diagnosis of parkinsonian syndromes in a specialist movement disorder service","type":"article-journal","volume":"125"},"uris":["http://www.mendeley.com/documents/?uuid=667be6d4-cb5e-4056-9bf4-938dadeb8330"]}],"mendeley":{"formattedCitation":"(HUGHES et al., 2002; SANT et al., 2008)","plainTextFormattedCitation":"(HUGHES et al., 2002; SANT et al., 2008)","previouslyFormattedCitation":"(HUGHES et al., 2002; SANT et al., 2008)"},"properties":{"noteIndex":0},"schema":"https://github.com/citation-style-language/schema/raw/master/csl-citation.json"}</w:instrText>
      </w:r>
      <w:r w:rsidR="00FD5CA6" w:rsidRPr="00A65B69">
        <w:rPr>
          <w:color w:val="000000" w:themeColor="text1"/>
          <w:sz w:val="23"/>
          <w:szCs w:val="23"/>
          <w:lang w:val="pt-BR"/>
        </w:rPr>
        <w:fldChar w:fldCharType="separate"/>
      </w:r>
      <w:r w:rsidR="00FD5CA6" w:rsidRPr="00A65B69">
        <w:rPr>
          <w:noProof/>
          <w:color w:val="000000" w:themeColor="text1"/>
          <w:sz w:val="23"/>
          <w:szCs w:val="23"/>
          <w:lang w:val="pt-BR"/>
        </w:rPr>
        <w:t>(HUGHES et al., 2002; SANT et al., 2008)</w:t>
      </w:r>
      <w:r w:rsidR="00FD5CA6" w:rsidRPr="00A65B69">
        <w:rPr>
          <w:color w:val="000000" w:themeColor="text1"/>
          <w:sz w:val="23"/>
          <w:szCs w:val="23"/>
          <w:lang w:val="pt-BR"/>
        </w:rPr>
        <w:fldChar w:fldCharType="end"/>
      </w:r>
      <w:r w:rsidR="008F18BC" w:rsidRPr="00A65B69">
        <w:rPr>
          <w:color w:val="000000" w:themeColor="text1"/>
          <w:sz w:val="23"/>
          <w:szCs w:val="23"/>
          <w:lang w:val="pt-BR"/>
        </w:rPr>
        <w:t xml:space="preserve"> e alterações durante a marcha, </w:t>
      </w:r>
      <w:r w:rsidR="00297E92" w:rsidRPr="00A65B69">
        <w:rPr>
          <w:color w:val="000000" w:themeColor="text1"/>
          <w:sz w:val="23"/>
          <w:szCs w:val="23"/>
          <w:lang w:val="pt-BR"/>
        </w:rPr>
        <w:t xml:space="preserve">resultando em </w:t>
      </w:r>
      <w:r w:rsidR="008F18BC" w:rsidRPr="00A65B69">
        <w:rPr>
          <w:color w:val="000000" w:themeColor="text1"/>
          <w:sz w:val="23"/>
          <w:szCs w:val="23"/>
          <w:lang w:val="pt-BR"/>
        </w:rPr>
        <w:t xml:space="preserve">menor comprimento </w:t>
      </w:r>
      <w:r w:rsidR="00EE6F0A" w:rsidRPr="00A65B69">
        <w:rPr>
          <w:color w:val="000000" w:themeColor="text1"/>
          <w:sz w:val="23"/>
          <w:szCs w:val="23"/>
          <w:lang w:val="pt-BR"/>
        </w:rPr>
        <w:t xml:space="preserve">e velocidade </w:t>
      </w:r>
      <w:r w:rsidR="008F18BC" w:rsidRPr="00A65B69">
        <w:rPr>
          <w:color w:val="000000" w:themeColor="text1"/>
          <w:sz w:val="23"/>
          <w:szCs w:val="23"/>
          <w:lang w:val="pt-BR"/>
        </w:rPr>
        <w:t>de passo</w:t>
      </w:r>
      <w:r w:rsidR="00817419" w:rsidRPr="00A65B69">
        <w:rPr>
          <w:color w:val="000000" w:themeColor="text1"/>
          <w:sz w:val="23"/>
          <w:szCs w:val="23"/>
          <w:lang w:val="pt-BR"/>
        </w:rPr>
        <w:t xml:space="preserve"> </w:t>
      </w:r>
      <w:r w:rsidR="00817419" w:rsidRPr="00A65B69">
        <w:rPr>
          <w:color w:val="000000" w:themeColor="text1"/>
          <w:sz w:val="23"/>
          <w:szCs w:val="23"/>
          <w:lang w:val="pt-BR"/>
        </w:rPr>
        <w:fldChar w:fldCharType="begin" w:fldLock="1"/>
      </w:r>
      <w:r w:rsidR="009A6E52" w:rsidRPr="00A65B69">
        <w:rPr>
          <w:color w:val="000000" w:themeColor="text1"/>
          <w:sz w:val="23"/>
          <w:szCs w:val="23"/>
          <w:lang w:val="pt-BR"/>
        </w:rPr>
        <w:instrText>ADDIN CSL_CITATION {"citationItems":[{"id":"ITEM-1","itemData":{"DOI":"10.1016/j.humov.2009.09.006","ISSN":"01679457","PMID":"19962206","abstract":"This study investigates the effects of Parkinson's disease (PD) on foot trajectories and spatiotemporal gait adaptations when approaching and stepping over a ground-based obstacle. Twenty people with mild-moderate PD and 20 age and sex matched controls walked 10 steps at their preferred speed along a walkway and stepped over an obstacle (height 10% of leg length × 600 mm × 10 mm). Control participants also performed trials at the same speed and step length as their matched PD participant. People with PD approached and stepped over the obstacle slower and with smaller steps, but had a similar foot clearance. Those with PD were also more likely to step on the obstacle because they did not place their foot close enough to the front of the obstacle before crossing it to accommodate for their reduced step length. During the lead limb crossing step, people with PD increased their step width, whereas controls maintained a narrow step width. These findings indicate that people with PD have difficulty lengthening their step over the obstacle rather than increasing foot height. Increasing step width is a possible compensation strategy used to overcome postural instability during obstacle crossing in those with PD. © 2009 Elsevier B.V.","author":[{"dropping-particle":"","family":"Galna","given":"Brook","non-dropping-particle":"","parse-names":false,"suffix":""},{"dropping-particle":"","family":"Murphy","given":"Anna T.","non-dropping-particle":"","parse-names":false,"suffix":""},{"dropping-particle":"","family":"Morris","given":"Meg E.","non-dropping-particle":"","parse-names":false,"suffix":""}],"container-title":"Human Movement Science","id":"ITEM-1","issue":"5","issued":{"date-parts":[["2010"]]},"page":"843-852","publisher":"Elsevier B.V.","title":"Obstacle crossing in people with Parkinson's disease: Foot clearance and spatiotemporal deficits","type":"article-journal","volume":"29"},"uris":["http://www.mendeley.com/documents/?uuid=b7705d38-4148-44fa-8bf7-877e54211b46"]},{"id":"ITEM-2","itemData":{"DOI":"10.1016/j.gaitpost.2009.09.011","ISBN":"0966-6362","ISSN":"09666362","PMID":"19854057","abstract":"The aim of this study was to compare the locomotor behavior of people with Parkinson's disease (PD) and healthy older adults during obstacle negotiation, both in the approaching and crossing phases. Twelve people with idiopathic PD, with mild to moderate disease, and 12 healthy individuals (CG) walked across an 8 m pathway for three obstacle conditions: no obstacle, low obstacle and high obstacle. Each performed five trials for each obstacle condition. Performance was more disturbed for the high obstacle than the low obstacle. During the approach phase, people with PD demonstrated shorter stride length (F1,22= 8.55, P = 0.008) and greater stride duration (F1,22= 7.371, P = 0.013) than controls. Those with PD also increased their stance phase durations (F1,22= 7.426, P = 0.012) for both obstacle conditions, while the CG maintained comparable step durations for all conditions. For the crossing phase, people with PD demonstrated shorter step length (F1,22= 9.699, P = 0.005) over the obstacle. Leading limbs were closer to the obstacle, before and after crossing. Thus PD hypokinesia compromises the approach and crossing phases of obstacle negotiation. © 2009 Elsevier B.V. All rights reserved.","author":[{"dropping-particle":"","family":"Vitório","given":"Rodrigo","non-dropping-particle":"","parse-names":false,"suffix":""},{"dropping-particle":"","family":"Pieruccini-Faria","given":"Frederico","non-dropping-particle":"","parse-names":false,"suffix":""},{"dropping-particle":"","family":"Stella","given":"Florindo","non-dropping-particle":"","parse-names":false,"suffix":""},{"dropping-particle":"","family":"Gobbi","given":"Sebastião","non-dropping-particle":"","parse-names":false,"suffix":""},{"dropping-particle":"","family":"Gobbi","given":"Lilian Teresa Bucken","non-dropping-particle":"","parse-names":false,"suffix":""}],"container-title":"Gait and Posture","id":"ITEM-2","issue":"1","issued":{"date-parts":[["2010"]]},"page":"143-146","title":"Effects of obstacle height on obstacle crossing in mild Parkinson's disease","type":"article-journal","volume":"31"},"uris":["http://www.mendeley.com/documents/?uuid=18d7369f-ba2a-453e-a651-dfc8e4dac85a"]}],"mendeley":{"formattedCitation":"(GALNA; MURPHY; MORRIS, 2010; VITÓRIO et al., 2010)","manualFormatting":"(GALNA et al., 2010; VITÓRIO et al., 2010)","plainTextFormattedCitation":"(GALNA; MURPHY; MORRIS, 2010; VITÓRIO et al., 2010)","previouslyFormattedCitation":"(GALNA; MURPHY; MORRIS, 2010; VITÓRIO et al., 2010)"},"properties":{"noteIndex":0},"schema":"https://github.com/citation-style-language/schema/raw/master/csl-citation.json"}</w:instrText>
      </w:r>
      <w:r w:rsidR="00817419" w:rsidRPr="00A65B69">
        <w:rPr>
          <w:color w:val="000000" w:themeColor="text1"/>
          <w:sz w:val="23"/>
          <w:szCs w:val="23"/>
          <w:lang w:val="pt-BR"/>
        </w:rPr>
        <w:fldChar w:fldCharType="separate"/>
      </w:r>
      <w:r w:rsidR="004E1E10" w:rsidRPr="00A65B69">
        <w:rPr>
          <w:noProof/>
          <w:color w:val="000000" w:themeColor="text1"/>
          <w:sz w:val="23"/>
          <w:szCs w:val="23"/>
          <w:lang w:val="pt-BR"/>
        </w:rPr>
        <w:t>(GALNA</w:t>
      </w:r>
      <w:r w:rsidR="006B7BF1" w:rsidRPr="00A65B69">
        <w:rPr>
          <w:noProof/>
          <w:color w:val="000000" w:themeColor="text1"/>
          <w:sz w:val="23"/>
          <w:szCs w:val="23"/>
          <w:lang w:val="pt-BR"/>
        </w:rPr>
        <w:t xml:space="preserve"> et al.,</w:t>
      </w:r>
      <w:r w:rsidR="004E1E10" w:rsidRPr="00A65B69">
        <w:rPr>
          <w:noProof/>
          <w:color w:val="000000" w:themeColor="text1"/>
          <w:sz w:val="23"/>
          <w:szCs w:val="23"/>
          <w:lang w:val="pt-BR"/>
        </w:rPr>
        <w:t xml:space="preserve"> 2010; VITÓRIO et al., 2010)</w:t>
      </w:r>
      <w:r w:rsidR="00817419" w:rsidRPr="00A65B69">
        <w:rPr>
          <w:color w:val="000000" w:themeColor="text1"/>
          <w:sz w:val="23"/>
          <w:szCs w:val="23"/>
          <w:lang w:val="pt-BR"/>
        </w:rPr>
        <w:fldChar w:fldCharType="end"/>
      </w:r>
      <w:r w:rsidR="00AE671A" w:rsidRPr="00A65B69">
        <w:rPr>
          <w:color w:val="000000" w:themeColor="text1"/>
          <w:sz w:val="23"/>
          <w:szCs w:val="23"/>
          <w:lang w:val="pt-BR"/>
        </w:rPr>
        <w:t xml:space="preserve">, </w:t>
      </w:r>
      <w:r w:rsidR="00297E92" w:rsidRPr="00A65B69">
        <w:rPr>
          <w:color w:val="000000" w:themeColor="text1"/>
          <w:sz w:val="23"/>
          <w:szCs w:val="23"/>
          <w:lang w:val="pt-BR"/>
        </w:rPr>
        <w:t>maior</w:t>
      </w:r>
      <w:r w:rsidR="00AE671A" w:rsidRPr="00A65B69">
        <w:rPr>
          <w:color w:val="000000" w:themeColor="text1"/>
          <w:sz w:val="23"/>
          <w:szCs w:val="23"/>
          <w:lang w:val="pt-BR"/>
        </w:rPr>
        <w:t xml:space="preserve"> duração do passo</w:t>
      </w:r>
      <w:r w:rsidR="00FD5CA6" w:rsidRPr="00A65B69">
        <w:rPr>
          <w:color w:val="000000" w:themeColor="text1"/>
          <w:sz w:val="23"/>
          <w:szCs w:val="23"/>
          <w:lang w:val="pt-BR"/>
        </w:rPr>
        <w:t xml:space="preserve"> </w:t>
      </w:r>
      <w:r w:rsidR="00FD5CA6" w:rsidRPr="00A65B69">
        <w:rPr>
          <w:color w:val="000000" w:themeColor="text1"/>
          <w:sz w:val="23"/>
          <w:szCs w:val="23"/>
          <w:lang w:val="pt-BR"/>
        </w:rPr>
        <w:fldChar w:fldCharType="begin" w:fldLock="1"/>
      </w:r>
      <w:r w:rsidR="00817419" w:rsidRPr="00A65B69">
        <w:rPr>
          <w:color w:val="000000" w:themeColor="text1"/>
          <w:sz w:val="23"/>
          <w:szCs w:val="23"/>
          <w:lang w:val="pt-BR"/>
        </w:rPr>
        <w:instrText>ADDIN CSL_CITATION {"citationItems":[{"id":"ITEM-1","itemData":{"DOI":"10.1080/00222895.2016.1271303","ISSN":"19401027","PMID":"28632105","abstract":"The authors' aim was to investigate gait asymmetry of crossing step during obstacle avoidance while walking in people with Parkinson's disease (PD) under and without the effects of dopaminergic medication. Thirteen individuals with PD and 13 neurologically healthy individuals performed 5 trials of unobstructed gait and 10 trials of obstacle crossing during gait (5 trials with each leg) and spatiotemporal parameters were analyzed. Obstacle crossing increased step duration of the crossing step for the most-affected or nondominant limb compared to the crossing step with the least-affected or dominant limb. Individuals with PD without the effects of medication increased step duration for the step with the least-affected limb compared to the step with the most-affected limb during obstacle crossing.","author":[{"dropping-particle":"","family":"Barbieri","given":"Fabio Augusto","non-dropping-particle":"","parse-names":false,"suffix":""},{"dropping-particle":"","family":"Simieli","given":"Lucas","non-dropping-particle":"","parse-names":false,"suffix":""},{"dropping-particle":"","family":"Orcioli-Silva","given":"Diego","non-dropping-particle":"","parse-names":false,"suffix":""},{"dropping-particle":"","family":"Baptista","given":"André Macari","non-dropping-particle":"","parse-names":false,"suffix":""},{"dropping-particle":"","family":"Pestana","given":"Mayara Borkowske","non-dropping-particle":"","parse-names":false,"suffix":""},{"dropping-particle":"","family":"Beretta","given":"Victor Spiandor","non-dropping-particle":"","parse-names":false,"suffix":""},{"dropping-particle":"Dos","family":"Santos","given":"Paulo Cezar Rocha","non-dropping-particle":"","parse-names":false,"suffix":""},{"dropping-particle":"","family":"Gobbi","given":"Lilian Teresa Bucken","non-dropping-particle":"","parse-names":false,"suffix":""}],"container-title":"Journal of Motor Behavior","id":"ITEM-1","issue":"1","issued":{"date-parts":[["2018"]]},"page":"17-25","title":"Obstacle Avoidance Increases Asymmetry of Crossing Step in Individuals With Parkinson's Disease and Neurologically Healthy Individuals","type":"article-journal","volume":"50"},"uris":["http://www.mendeley.com/documents/?uuid=02f1b7da-b7c4-4d40-963a-8a8d6d4c9212"]},{"id":"ITEM-2","itemData":{"DOI":"10.1002/mds.23450","ISSN":"08853185","PMID":"21462258","abstract":"Background: Independence of certain gait characteristics from dopamine replacement therapies highlights its complex pathophysiology in Parkinson's disease (PD). We explored the effect of two different cue strategies on gait characteristics in relation to their response to dopaminergic medications. Patients and Methods: Fifty people with PD (age 69.22 ± 6.6 years) were studied. Participants walked with and without cues presented in a randomized order. Cue strategies were: (1) internal cue (attention to increase step length) and (2) external cue (auditory cue with instruction to take large step to the beat). Testing was carried out two times at home (on and off medication). Gait was measured using a Stride Analyzer (B&amp;L Engineering). Gait outcomes were walking speed, stride length, step frequency, and coefficient of variation (CV) of stride time and double limb support duration (DLS). Results: Walking speed, stride length, and stride time CV improved on dopaminergic medications, whereas step frequency and DLS CV did not. Internal and external cues increased stride time and walking speed (on and off dopaminergic medications). Only the external cue significantly improved stride time CV and DLS CV, whereas the internal cue had no effect (on and off dopaminergic medications). Conclusions: Internal and external cues selectively modify gait characteristics in relation to the type of gait disturbance and its dopa-responsiveness. Although internal (attention) and external cues target dopaminergic gait dysfunction (stride length), only external cues target stride to stride fluctuations in gait. Despite an overlap with dopaminergic pathways, external cues may effectively address nondopaminergic gait dysfunction and potentially increase mobility and reduce gait instability and falls. © 2010 Movement Disorder Society.","author":[{"dropping-particle":"","family":"Rochester","given":"Lynn","non-dropping-particle":"","parse-names":false,"suffix":""},{"dropping-particle":"","family":"Baker","given":"Katherine","non-dropping-particle":"","parse-names":false,"suffix":""},{"dropping-particle":"","family":"Nieuwboer","given":"Alice","non-dropping-particle":"","parse-names":false,"suffix":""},{"dropping-particle":"","family":"Burn","given":"David","non-dropping-particle":"","parse-names":false,"suffix":""}],"container-title":"Movement Disorders","id":"ITEM-2","issue":"3","issued":{"date-parts":[["2011"]]},"page":"430-435","title":"Targeting dopa-sensitive and dopa-resistant gait dysfunction in Parkinson's disease: Selective responses to internal and external cues","type":"article-journal","volume":"26"},"uris":["http://www.mendeley.com/documents/?uuid=8c96fa6e-1826-4118-91e3-a8871991c432"]}],"mendeley":{"formattedCitation":"(BARBIERI et al., 2018a; ROCHESTER et al., 2011)","plainTextFormattedCitation":"(BARBIERI et al., 2018a; ROCHESTER et al., 2011)","previouslyFormattedCitation":"(BARBIERI et al., 2018a; ROCHESTER et al., 2011)"},"properties":{"noteIndex":0},"schema":"https://github.com/citation-style-language/schema/raw/master/csl-citation.json"}</w:instrText>
      </w:r>
      <w:r w:rsidR="00FD5CA6" w:rsidRPr="00A65B69">
        <w:rPr>
          <w:color w:val="000000" w:themeColor="text1"/>
          <w:sz w:val="23"/>
          <w:szCs w:val="23"/>
          <w:lang w:val="pt-BR"/>
        </w:rPr>
        <w:fldChar w:fldCharType="separate"/>
      </w:r>
      <w:r w:rsidR="00805AFB" w:rsidRPr="00A65B69">
        <w:rPr>
          <w:noProof/>
          <w:color w:val="000000" w:themeColor="text1"/>
          <w:sz w:val="23"/>
          <w:szCs w:val="23"/>
          <w:lang w:val="pt-BR"/>
        </w:rPr>
        <w:t>(BARBIERI et al., 2018a; ROCHESTER et al., 2011)</w:t>
      </w:r>
      <w:r w:rsidR="00FD5CA6" w:rsidRPr="00A65B69">
        <w:rPr>
          <w:color w:val="000000" w:themeColor="text1"/>
          <w:sz w:val="23"/>
          <w:szCs w:val="23"/>
          <w:lang w:val="pt-BR"/>
        </w:rPr>
        <w:fldChar w:fldCharType="end"/>
      </w:r>
      <w:r w:rsidR="00297E92" w:rsidRPr="00A65B69">
        <w:rPr>
          <w:color w:val="000000" w:themeColor="text1"/>
          <w:sz w:val="23"/>
          <w:szCs w:val="23"/>
          <w:lang w:val="pt-BR"/>
        </w:rPr>
        <w:t>, pior</w:t>
      </w:r>
      <w:r w:rsidR="008F18BC" w:rsidRPr="00A65B69">
        <w:rPr>
          <w:color w:val="000000" w:themeColor="text1"/>
          <w:sz w:val="23"/>
          <w:szCs w:val="23"/>
          <w:lang w:val="pt-BR"/>
        </w:rPr>
        <w:t xml:space="preserve"> estabilidade dinâmica</w:t>
      </w:r>
      <w:r w:rsidR="00805AFB" w:rsidRPr="00A65B69">
        <w:rPr>
          <w:color w:val="000000" w:themeColor="text1"/>
          <w:sz w:val="23"/>
          <w:szCs w:val="23"/>
          <w:lang w:val="pt-BR"/>
        </w:rPr>
        <w:t xml:space="preserve"> </w:t>
      </w:r>
      <w:r w:rsidR="009A6E52" w:rsidRPr="00A65B69">
        <w:rPr>
          <w:color w:val="000000" w:themeColor="text1"/>
          <w:sz w:val="23"/>
          <w:szCs w:val="23"/>
          <w:lang w:val="pt-BR"/>
        </w:rPr>
        <w:fldChar w:fldCharType="begin" w:fldLock="1"/>
      </w:r>
      <w:r w:rsidR="0032778A" w:rsidRPr="00A65B69">
        <w:rPr>
          <w:color w:val="000000" w:themeColor="text1"/>
          <w:sz w:val="23"/>
          <w:szCs w:val="23"/>
          <w:lang w:val="pt-BR"/>
        </w:rPr>
        <w:instrText>ADDIN CSL_CITATION {"citationItems":[{"id":"ITEM-1","itemData":{"DOI":"10.1002/mds.26269","ISSN":"15318257","PMID":"26095928","abstract":"Background: The effects of levodopa on balance and gait function in people with Parkinson's disease (PD) is controversial. This study compared the relative responsiveness to l-dopa on six domains of balance and gait: postural sway in stance; gait pace; dynamic stability; gait initiation; arm swing; and turning in people with mild and severe PD, with and without dyskinesia. Methods: We studied 104 subjects with idiopathic PD (H &amp; Y II [n=52] and III-IV [n=52]) and 64 age-matched controls. Subjects performed a mobility task in the practical off state and on l-dopa: standing quietly for 30 seconds, initiating gait, walking 7 meters, and turning 180 degrees. Thirty-four measures of mobility were computed from inertial sensors. Standardized response means were used to determine relative responsiveness to l-dopa. Results: The largest improvements with l-dopa were found for arm swing and pace-related gait measures. Gait dynamic stability was unaffected by PD and not responsive to l-dopa. l-dopa reduced turning duration, but only in subjects with severe PD. In contrast to gait, postural sway in quiet standing increased with l-dopa, especially in the more severely affected subjects. The increase in postural sway, as well as decrease in turning duration and exaggerated arm swing with l-dopa was observed only for subjects with dyskinesia at the time of testing. Conclusions: The observed spectrum of l-dopa responsiveness in balance and gait measures suggests that multiple neural circuits control balance and gait. Many of the negative effects of l-dopa may be directly or indirectly caused by dyskinesia.","author":[{"dropping-particle":"","family":"Curtze","given":"Carolin","non-dropping-particle":"","parse-names":false,"suffix":""},{"dropping-particle":"","family":"Nutt","given":"John G.","non-dropping-particle":"","parse-names":false,"suffix":""},{"dropping-particle":"","family":"Carlson-Kuhta","given":"Patricia","non-dropping-particle":"","parse-names":false,"suffix":""},{"dropping-particle":"","family":"Mancini","given":"Martina","non-dropping-particle":"","parse-names":false,"suffix":""},{"dropping-particle":"","family":"Horak","given":"Fay B.","non-dropping-particle":"","parse-names":false,"suffix":""}],"container-title":"Movement Disorders","id":"ITEM-1","issue":"10","issued":{"date-parts":[["2015"]]},"page":"1361-1370","title":"Levodopa Is a Double-Edged Sword for Balance and Gait in People With Parkinson's Disease","type":"article-journal","volume":"30"},"uris":["http://www.mendeley.com/documents/?uuid=284950cf-1445-4cce-96fe-837d42386b07"]}],"mendeley":{"formattedCitation":"(CURTZE et al., 2015)","plainTextFormattedCitation":"(CURTZE et al., 2015)","previouslyFormattedCitation":"(CURTZE et al., 2015)"},"properties":{"noteIndex":0},"schema":"https://github.com/citation-style-language/schema/raw/master/csl-citation.json"}</w:instrText>
      </w:r>
      <w:r w:rsidR="009A6E52" w:rsidRPr="00A65B69">
        <w:rPr>
          <w:color w:val="000000" w:themeColor="text1"/>
          <w:sz w:val="23"/>
          <w:szCs w:val="23"/>
          <w:lang w:val="pt-BR"/>
        </w:rPr>
        <w:fldChar w:fldCharType="separate"/>
      </w:r>
      <w:r w:rsidR="009A6E52" w:rsidRPr="00A65B69">
        <w:rPr>
          <w:noProof/>
          <w:color w:val="000000" w:themeColor="text1"/>
          <w:sz w:val="23"/>
          <w:szCs w:val="23"/>
          <w:lang w:val="pt-BR"/>
        </w:rPr>
        <w:t>(CURTZE et al., 2015)</w:t>
      </w:r>
      <w:r w:rsidR="009A6E52" w:rsidRPr="00A65B69">
        <w:rPr>
          <w:color w:val="000000" w:themeColor="text1"/>
          <w:sz w:val="23"/>
          <w:szCs w:val="23"/>
          <w:lang w:val="pt-BR"/>
        </w:rPr>
        <w:fldChar w:fldCharType="end"/>
      </w:r>
      <w:r w:rsidR="00F9539B" w:rsidRPr="00A65B69">
        <w:rPr>
          <w:color w:val="000000" w:themeColor="text1"/>
          <w:sz w:val="23"/>
          <w:szCs w:val="23"/>
          <w:lang w:val="pt-BR"/>
        </w:rPr>
        <w:t xml:space="preserve">, </w:t>
      </w:r>
      <w:r w:rsidR="00C73D18" w:rsidRPr="00A65B69">
        <w:rPr>
          <w:color w:val="000000" w:themeColor="text1"/>
          <w:sz w:val="23"/>
          <w:szCs w:val="23"/>
          <w:lang w:val="pt-BR"/>
        </w:rPr>
        <w:t xml:space="preserve">o que é acompanhado por </w:t>
      </w:r>
      <w:r w:rsidR="008F18BC" w:rsidRPr="00A65B69">
        <w:rPr>
          <w:color w:val="000000" w:themeColor="text1"/>
          <w:sz w:val="23"/>
          <w:szCs w:val="23"/>
          <w:lang w:val="pt-BR"/>
        </w:rPr>
        <w:t>menor</w:t>
      </w:r>
      <w:r w:rsidR="00C73D18" w:rsidRPr="00A65B69">
        <w:rPr>
          <w:color w:val="000000" w:themeColor="text1"/>
          <w:sz w:val="23"/>
          <w:szCs w:val="23"/>
          <w:lang w:val="pt-BR"/>
        </w:rPr>
        <w:t>es</w:t>
      </w:r>
      <w:r w:rsidR="008F18BC" w:rsidRPr="00A65B69">
        <w:rPr>
          <w:color w:val="000000" w:themeColor="text1"/>
          <w:sz w:val="23"/>
          <w:szCs w:val="23"/>
          <w:lang w:val="pt-BR"/>
        </w:rPr>
        <w:t xml:space="preserve"> ativaç</w:t>
      </w:r>
      <w:r w:rsidR="00C73D18" w:rsidRPr="00A65B69">
        <w:rPr>
          <w:color w:val="000000" w:themeColor="text1"/>
          <w:sz w:val="23"/>
          <w:szCs w:val="23"/>
          <w:lang w:val="pt-BR"/>
        </w:rPr>
        <w:t>ões</w:t>
      </w:r>
      <w:r w:rsidR="008F18BC" w:rsidRPr="00A65B69">
        <w:rPr>
          <w:color w:val="000000" w:themeColor="text1"/>
          <w:sz w:val="23"/>
          <w:szCs w:val="23"/>
          <w:lang w:val="pt-BR"/>
        </w:rPr>
        <w:t xml:space="preserve"> do </w:t>
      </w:r>
      <w:r w:rsidR="008C2A9B" w:rsidRPr="00A65B69">
        <w:rPr>
          <w:color w:val="000000" w:themeColor="text1"/>
          <w:sz w:val="23"/>
          <w:szCs w:val="23"/>
          <w:lang w:val="pt-BR"/>
        </w:rPr>
        <w:t>gastrocnêmico</w:t>
      </w:r>
      <w:r w:rsidR="00E40946" w:rsidRPr="00A65B69">
        <w:rPr>
          <w:color w:val="000000" w:themeColor="text1"/>
          <w:sz w:val="23"/>
          <w:szCs w:val="23"/>
          <w:lang w:val="pt-BR"/>
        </w:rPr>
        <w:t xml:space="preserve"> durante a fase de balanço e do tibial anterior durante o balanço </w:t>
      </w:r>
      <w:r w:rsidR="00FD5CA6" w:rsidRPr="00A65B69">
        <w:rPr>
          <w:color w:val="000000" w:themeColor="text1"/>
          <w:sz w:val="23"/>
          <w:szCs w:val="23"/>
          <w:lang w:val="pt-BR"/>
        </w:rPr>
        <w:fldChar w:fldCharType="begin" w:fldLock="1"/>
      </w:r>
      <w:r w:rsidR="007D0867" w:rsidRPr="00A65B69">
        <w:rPr>
          <w:color w:val="000000" w:themeColor="text1"/>
          <w:sz w:val="23"/>
          <w:szCs w:val="23"/>
          <w:lang w:val="pt-BR"/>
        </w:rPr>
        <w:instrText>ADDIN CSL_CITATION {"citationItems":[{"id":"ITEM-1","itemData":{"DOI":"10.1155/2015/390512","ISSN":"20420080","abstract":"This study aims to evaluate the change in gait spatiotemporal parameters in subjects with Parkinson's disease (PD) before and after Automated Mechanical Peripheral Stimulation (AMPS) treatment. Thirty-five subjects with PD and 35 healthy age-matched subjects took part in this study. A dedicated medical device (Gondola) was used to administer the AMPS. All patients with PD were treated in off levodopa phase and their gait performances were evaluated by an inertial measurement system before and after the intervention. The one-way ANOVA for repeated measures was performed to assess the differences between pre- and post-AMPS and the one-way ANOVA to assess the differences between PD patients and the control group. Spearman's correlations assessed the associations between patients with PD clinical status (H&amp;Y) and the percentage of improvement of the gait variables after AMPS (α &lt; 0.05 for all tests). The PD group had an improvement of 14.85% in the stride length; 14.77% in the gait velocity; and 29.91% in the gait propulsion. The correlation results showed that the higher the H&amp;Y classification, the higher the stride length percentage of improvement. The treatment based on AMPS intervention seems to induce a better performance in the gait pattern of PD patients, mainly in intermediate and advanced stages of the condition.","author":[{"dropping-particle":"","family":"Kleiner","given":"Ana","non-dropping-particle":"","parse-names":false,"suffix":""},{"dropping-particle":"","family":"Galli","given":"Manuela","non-dropping-particle":"","parse-names":false,"suffix":""},{"dropping-particle":"","family":"Gaglione","given":"Maria","non-dropping-particle":"","parse-names":false,"suffix":""},{"dropping-particle":"","family":"Hildebrand","given":"Daniela","non-dropping-particle":"","parse-names":false,"suffix":""},{"dropping-particle":"","family":"Sale","given":"Patrizio","non-dropping-particle":"","parse-names":false,"suffix":""},{"dropping-particle":"","family":"Albertini","given":"Giorgio","non-dropping-particle":"","parse-names":false,"suffix":""},{"dropping-particle":"","family":"Stocchi","given":"Fabrizio","non-dropping-particle":"","parse-names":false,"suffix":""},{"dropping-particle":"","family":"Pandis","given":"Maria Francesca","non-dropping-particle":"De","parse-names":false,"suffix":""}],"container-title":"Parkinson's Disease","id":"ITEM-1","issued":{"date-parts":[["2015"]]},"title":"The Parkinsonian Gait Spatiotemporal Parameters Quantified by a Single Inertial Sensor before and after Automated Mechanical Peripheral Stimulation Treatment","type":"article-journal","volume":"2015"},"uris":["http://www.mendeley.com/documents/?uuid=9a1ec46c-3ae1-441d-b36f-5c016a6f4156"]},{"id":"ITEM-2","itemData":{"DOI":"10.1016/j.rbce.2016.07.003","ISSN":"21793255","abstract":"The purpose of this review was to analyze the biomechanical aspects of walking in individuals with Parkinson's disease (PD), as well as to examine the effects of intervention on gait pattern of PD. We carried out a bibliographic search on electronic databases SciELO and PubMed, using the following words: human locomotion, biomechanics, pathologic gait e Parkinson's disease, in national and international scientific journals. The main alterations on walking biomechanics are related to spatiotemporal parameters, lower stride length and dynamical stability, as well as reduced electromyographic activation on propulsion muscles and lower self‐selected speed. These outcomes seem to be important targets in walking training protocols for rehabilitation of gait in PD.","author":[{"dropping-particle":"","family":"Monteiro","given":"Elren Passos","non-dropping-particle":"","parse-names":false,"suffix":""},{"dropping-particle":"","family":"Wild","given":"Lúcia Bartmann","non-dropping-particle":"","parse-names":false,"suffix":""},{"dropping-particle":"","family":"Martinez","given":"Flávia Gomes","non-dropping-particle":"","parse-names":false,"suffix":""},{"dropping-particle":"","family":"Pagnussat","given":"Aline de Souza","non-dropping-particle":"","parse-names":false,"suffix":""},{"dropping-particle":"","family":"Peyré‐Tartaruga","given":"Leonardo A.","non-dropping-particle":"","parse-names":false,"suffix":""}],"container-title":"Revista Brasileira de Ciencias do Esporte","id":"ITEM-2","issue":"4","issued":{"date-parts":[["2017"]]},"page":"450-457","title":"Aspectos biomecânicos da locomoção de pessoas com doença de Parkinson: revisão narrativa","type":"article-journal","volume":"39"},"uris":["http://www.mendeley.com/documents/?uuid=1c901495-d4ed-4d9b-a0c6-782670067c6d"]},{"id":"ITEM-3","itemData":{"DOI":"10.3390/s19040948","ISSN":"14248220","PMID":"30813411","abstract":"We propose a wearable sensor system for automatic, continuous and ubiquitous analysis of Freezing of Gait (FOG), in patients affected by Parkinson’s disease. FOG is an unpredictable gait disorder with different clinical manifestations, as the trembling and the shuffling-like phenotypes, whose underlying pathophysiology is not fully understood yet. Typical trembling-like subtype features are lack of postural adaptation and abrupt trunk inclination, which in general can increase the fall probability. The targets of this work are detecting the FOG episodes, distinguishing the phenotype and analyzing the muscle activity during and outside FOG, toward a deeper insight in the disorder pathophysiology and the assessment of the fall risk associated to the FOG subtype. To this aim, gyroscopes and surface electromyography integrated in wearable devices sense simultaneously movements and action potentials of antagonist leg muscles. Dedicated algorithms allow the timely detection of the FOG episode and, for the first time, the automatic distinction of the FOG phenotypes, which can enable associating a fall risk to the subtype. Thanks to the possibility of detecting muscles contractions and stretching exactly during FOG, a deeper insight into the pathophysiological underpinnings of the different phenotypes can be achieved, which is an innovative approach with respect to the state of art.","author":[{"dropping-particle":"","family":"Mazzetta","given":"Ivan","non-dropping-particle":"","parse-names":false,"suffix":""},{"dropping-particle":"","family":"Zampogna","given":"Alessandro","non-dropping-particle":"","parse-names":false,"suffix":""},{"dropping-particle":"","family":"Suppa","given":"Antonio","non-dropping-particle":"","parse-names":false,"suffix":""},{"dropping-particle":"","family":"Gumiero","given":"Alessandro","non-dropping-particle":"","parse-names":false,"suffix":""},{"dropping-particle":"","family":"Pessione","given":"Marco","non-dropping-particle":"","parse-names":false,"suffix":""},{"dropping-particle":"","family":"Irrera","given":"Fernanda","non-dropping-particle":"","parse-names":false,"suffix":""}],"container-title":"Sensors (Switzerland)","id":"ITEM-3","issue":"4","issued":{"date-parts":[["2019"]]},"title":"Wearable sensors system for an improved analysis of freezing of gait in Parkinson’s disease using electromyography and inertial signals","type":"article-journal","volume":"19"},"uris":["http://www.mendeley.com/documents/?uuid=2b22bd14-a6d4-4bfe-b2f1-3743f3b5ec09"]}],"mendeley":{"formattedCitation":"(KLEINER et al., 2015; MAZZETTA et al., 2019; MONTEIRO et al., 2017)","plainTextFormattedCitation":"(KLEINER et al., 2015; MAZZETTA et al., 2019; MONTEIRO et al., 2017)","previouslyFormattedCitation":"(KLEINER et al., 2015; MAZZETTA et al., 2019; MONTEIRO et al., 2017)"},"properties":{"noteIndex":0},"schema":"https://github.com/citation-style-language/schema/raw/master/csl-citation.json"}</w:instrText>
      </w:r>
      <w:r w:rsidR="00FD5CA6" w:rsidRPr="00A65B69">
        <w:rPr>
          <w:color w:val="000000" w:themeColor="text1"/>
          <w:sz w:val="23"/>
          <w:szCs w:val="23"/>
          <w:lang w:val="pt-BR"/>
        </w:rPr>
        <w:fldChar w:fldCharType="separate"/>
      </w:r>
      <w:r w:rsidR="00FD5CA6" w:rsidRPr="00A65B69">
        <w:rPr>
          <w:noProof/>
          <w:color w:val="000000" w:themeColor="text1"/>
          <w:sz w:val="23"/>
          <w:szCs w:val="23"/>
          <w:lang w:val="pt-BR"/>
        </w:rPr>
        <w:t>(KLEINER et al., 2015; MAZZETTA et al., 2019; MONTEIRO et al., 2017)</w:t>
      </w:r>
      <w:r w:rsidR="00FD5CA6" w:rsidRPr="00A65B69">
        <w:rPr>
          <w:color w:val="000000" w:themeColor="text1"/>
          <w:sz w:val="23"/>
          <w:szCs w:val="23"/>
          <w:lang w:val="pt-BR"/>
        </w:rPr>
        <w:fldChar w:fldCharType="end"/>
      </w:r>
      <w:r w:rsidR="00FD5CA6" w:rsidRPr="00A65B69">
        <w:rPr>
          <w:color w:val="000000" w:themeColor="text1"/>
          <w:sz w:val="23"/>
          <w:szCs w:val="23"/>
          <w:lang w:val="pt-BR"/>
        </w:rPr>
        <w:t xml:space="preserve">. </w:t>
      </w:r>
      <w:r w:rsidR="008F18BC" w:rsidRPr="00A65B69">
        <w:rPr>
          <w:color w:val="000000" w:themeColor="text1"/>
          <w:sz w:val="23"/>
          <w:szCs w:val="23"/>
          <w:lang w:val="pt-BR"/>
        </w:rPr>
        <w:t xml:space="preserve">Considerando que </w:t>
      </w:r>
      <w:r w:rsidR="00B176ED" w:rsidRPr="00A65B69">
        <w:rPr>
          <w:color w:val="000000" w:themeColor="text1"/>
          <w:sz w:val="23"/>
          <w:szCs w:val="23"/>
          <w:lang w:val="pt-BR"/>
        </w:rPr>
        <w:t>es</w:t>
      </w:r>
      <w:r w:rsidR="00297E92" w:rsidRPr="00A65B69">
        <w:rPr>
          <w:color w:val="000000" w:themeColor="text1"/>
          <w:sz w:val="23"/>
          <w:szCs w:val="23"/>
          <w:lang w:val="pt-BR"/>
        </w:rPr>
        <w:t>tas alterações na marcha</w:t>
      </w:r>
      <w:r w:rsidR="008F18BC" w:rsidRPr="00A65B69">
        <w:rPr>
          <w:color w:val="000000" w:themeColor="text1"/>
          <w:sz w:val="23"/>
          <w:szCs w:val="23"/>
          <w:lang w:val="pt-BR"/>
        </w:rPr>
        <w:t xml:space="preserve"> podem aumentar o risco de quedas</w:t>
      </w:r>
      <w:r w:rsidR="00FD5CA6" w:rsidRPr="00A65B69">
        <w:rPr>
          <w:color w:val="000000" w:themeColor="text1"/>
          <w:sz w:val="23"/>
          <w:szCs w:val="23"/>
          <w:lang w:val="pt-BR"/>
        </w:rPr>
        <w:t xml:space="preserve"> </w:t>
      </w:r>
      <w:r w:rsidR="007D0867" w:rsidRPr="00A65B69">
        <w:rPr>
          <w:color w:val="000000" w:themeColor="text1"/>
          <w:sz w:val="23"/>
          <w:szCs w:val="23"/>
          <w:lang w:val="pt-BR"/>
        </w:rPr>
        <w:fldChar w:fldCharType="begin" w:fldLock="1"/>
      </w:r>
      <w:r w:rsidR="007D0867" w:rsidRPr="00A65B69">
        <w:rPr>
          <w:color w:val="000000" w:themeColor="text1"/>
          <w:sz w:val="23"/>
          <w:szCs w:val="23"/>
          <w:lang w:val="pt-BR"/>
        </w:rPr>
        <w:instrText>ADDIN CSL_CITATION {"citationItems":[{"id":"ITEM-1","itemData":{"DOI":"10.1002/mds.27195","ISSN":"15318257","PMID":"29067726","abstract":"Falls are a major determinant of poor quality of life, immobilization, and reduced life expectancy in people affected by Parkinson's disease (PD) and in older adults more generally. Although many questions remain, recent research has advanced the understanding of this complex problem. The goal of this review is to condense new knowledge of falls in PD from prodromal to advanced disease, taking into account risk factors, assessment, and classification as well as treatment. The fundamental steps of clinical and research-based approaches to falls are described, namely, the identification of fall risk factors, clinical and instrumental methods to evaluate and classify fall risk, and the latest evidence to reduce or delay falls in PD. We summarize recent developments, the direction in which the field should be heading, and what can be recommended at this stage. We also provide a practical algorithm for clinicians.© 2017 International Parkinson and Movement Disorder Society.","author":[{"dropping-particle":"","family":"Fasano","given":"Alfonso","non-dropping-particle":"","parse-names":false,"suffix":""},{"dropping-particle":"","family":"Canning","given":"Colleen G.","non-dropping-particle":"","parse-names":false,"suffix":""},{"dropping-particle":"","family":"Hausdorff","given":"Jeffrey M.","non-dropping-particle":"","parse-names":false,"suffix":""},{"dropping-particle":"","family":"Lord","given":"Sue","non-dropping-particle":"","parse-names":false,"suffix":""},{"dropping-particle":"","family":"Rochester","given":"Lynn","non-dropping-particle":"","parse-names":false,"suffix":""}],"container-title":"Movement Disorders","id":"ITEM-1","issue":"11","issued":{"date-parts":[["2017"]]},"page":"1524-1536","title":"Falls in Parkinson's disease: A complex and evolving picture","type":"article-journal","volume":"32"},"uris":["http://www.mendeley.com/documents/?uuid=8ceceed3-67f4-46ad-9376-79805b0d5f54"]}],"mendeley":{"formattedCitation":"(FASANO et al., 2017)","plainTextFormattedCitation":"(FASANO et al., 2017)","previouslyFormattedCitation":"(FASANO et al., 2017)"},"properties":{"noteIndex":0},"schema":"https://github.com/citation-style-language/schema/raw/master/csl-citation.json"}</w:instrText>
      </w:r>
      <w:r w:rsidR="007D0867" w:rsidRPr="00A65B69">
        <w:rPr>
          <w:color w:val="000000" w:themeColor="text1"/>
          <w:sz w:val="23"/>
          <w:szCs w:val="23"/>
          <w:lang w:val="pt-BR"/>
        </w:rPr>
        <w:fldChar w:fldCharType="separate"/>
      </w:r>
      <w:r w:rsidR="007D0867" w:rsidRPr="00A65B69">
        <w:rPr>
          <w:noProof/>
          <w:color w:val="000000" w:themeColor="text1"/>
          <w:sz w:val="23"/>
          <w:szCs w:val="23"/>
          <w:lang w:val="pt-BR"/>
        </w:rPr>
        <w:t>(FASANO et al., 2017)</w:t>
      </w:r>
      <w:r w:rsidR="007D0867" w:rsidRPr="00A65B69">
        <w:rPr>
          <w:color w:val="000000" w:themeColor="text1"/>
          <w:sz w:val="23"/>
          <w:szCs w:val="23"/>
          <w:lang w:val="pt-BR"/>
        </w:rPr>
        <w:fldChar w:fldCharType="end"/>
      </w:r>
      <w:r w:rsidR="008F18BC" w:rsidRPr="00A65B69">
        <w:rPr>
          <w:color w:val="000000" w:themeColor="text1"/>
          <w:sz w:val="23"/>
          <w:szCs w:val="23"/>
          <w:lang w:val="pt-BR"/>
        </w:rPr>
        <w:t xml:space="preserve">, é crescente o número de pesquisas empenhadas em atenuar estes distúrbios. </w:t>
      </w:r>
    </w:p>
    <w:p w14:paraId="24EC5C19" w14:textId="1C5AA7A4" w:rsidR="0020751A" w:rsidRPr="00A65B69" w:rsidRDefault="00FC2D9F" w:rsidP="00447787">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A</w:t>
      </w:r>
      <w:r w:rsidR="003F06C2" w:rsidRPr="00A65B69">
        <w:rPr>
          <w:color w:val="000000" w:themeColor="text1"/>
          <w:sz w:val="23"/>
          <w:szCs w:val="23"/>
          <w:lang w:val="pt-BR"/>
        </w:rPr>
        <w:t>lém dos comprometimentos motores, a</w:t>
      </w:r>
      <w:r w:rsidRPr="00A65B69">
        <w:rPr>
          <w:color w:val="000000" w:themeColor="text1"/>
          <w:sz w:val="23"/>
          <w:szCs w:val="23"/>
          <w:lang w:val="pt-BR"/>
        </w:rPr>
        <w:t>proximadamente 95% das pessoas com DP apresentam acometimentos não motores</w:t>
      </w:r>
      <w:r w:rsidR="007D0867" w:rsidRPr="00A65B69">
        <w:rPr>
          <w:color w:val="000000" w:themeColor="text1"/>
          <w:sz w:val="23"/>
          <w:szCs w:val="23"/>
          <w:lang w:val="pt-BR"/>
        </w:rPr>
        <w:t xml:space="preserve"> </w:t>
      </w:r>
      <w:r w:rsidR="007D0867" w:rsidRPr="00A65B69">
        <w:rPr>
          <w:color w:val="000000" w:themeColor="text1"/>
          <w:sz w:val="23"/>
          <w:szCs w:val="23"/>
          <w:lang w:val="pt-BR"/>
        </w:rPr>
        <w:fldChar w:fldCharType="begin" w:fldLock="1"/>
      </w:r>
      <w:r w:rsidR="00B95E31" w:rsidRPr="00A65B69">
        <w:rPr>
          <w:color w:val="000000" w:themeColor="text1"/>
          <w:sz w:val="23"/>
          <w:szCs w:val="23"/>
          <w:lang w:val="pt-BR"/>
        </w:rPr>
        <w:instrText>ADDIN CSL_CITATION {"citationItems":[{"id":"ITEM-1","itemData":{"DOI":"10.1111/jan.13694","ISSN":"13652648","abstract":"Aim: To determine the effectiveness of non-pharmacological therapies for sleep disturbances in people with Parkinson's disease (PD). Background: Sleep disturbances, which are common in people with PD, may diminish their quality of life. Non-pharmacological therapies are preferred over pharmacological therapies for improving sleep quality, owing to fewer adverse effects. Design: Systematic literature review. Data sources: A systematic search of eight databases and hand searching was conducted for papers published between 1 January 2000 – 1 January 2016. Review methods: The Cochrane methods were followed. Risk of bias was assessed using the Cochrane Collaboration Risk of Bias Tool. Results: Eight studies were identified for data extraction. Therapeutic domains included physical exercise, cognitive behavioural and complementary interventions. Therapies in four of the eight studies significantly improved sleep quality and the unified PD rating scale score. Other studies showed no clear effects on sleep (N = 1), limited effects on sleep (N = 1) or effects in both the intervention and control groups, indicating that the intervention had no distinctive effects (N = 2). Conclusions: The non-pharmacological intervention types and sleep-related measured outcomes were heterogeneous. Most therapies had inconsistent effects on sleep. The insufficient evidence for non-pharmacological treatments seems related to the unique motor-associated clinical features of PD, which restrict the use of physical exercise therapy, or to individual “wearing-off” periods, which limit group therapy. Further studies on non-pharmacological therapies are required to identify the best interventions for improving sleep quality in people with PD.","author":[{"dropping-particle":"","family":"Lee","given":"Ju Hee","non-dropping-particle":"","parse-names":false,"suffix":""},{"dropping-particle":"","family":"Kim","given":"Yonji","non-dropping-particle":"","parse-names":false,"suffix":""},{"dropping-particle":"","family":"Kim","given":"Yie Lin","non-dropping-particle":"","parse-names":false,"suffix":""}],"container-title":"Journal of Advanced Nursing","id":"ITEM-1","issue":"8","issued":{"date-parts":[["2018"]]},"page":"1741-1751","title":"Non-pharmacological therapies for sleep disturbances in people with Parkinson's disease: A systematic review","type":"article-journal","volume":"74"},"uris":["http://www.mendeley.com/documents/?uuid=c5bb4727-8b2b-4afb-b78d-46a460de3023"]}],"mendeley":{"formattedCitation":"(LEE; KIM; KIM, 2018)","manualFormatting":"(LEE et al., 2018)","plainTextFormattedCitation":"(LEE; KIM; KIM, 2018)","previouslyFormattedCitation":"(LEE; KIM; KIM, 2018)"},"properties":{"noteIndex":0},"schema":"https://github.com/citation-style-language/schema/raw/master/csl-citation.json"}</w:instrText>
      </w:r>
      <w:r w:rsidR="007D0867" w:rsidRPr="00A65B69">
        <w:rPr>
          <w:color w:val="000000" w:themeColor="text1"/>
          <w:sz w:val="23"/>
          <w:szCs w:val="23"/>
          <w:lang w:val="pt-BR"/>
        </w:rPr>
        <w:fldChar w:fldCharType="separate"/>
      </w:r>
      <w:r w:rsidR="007D0867" w:rsidRPr="00A65B69">
        <w:rPr>
          <w:noProof/>
          <w:color w:val="000000" w:themeColor="text1"/>
          <w:sz w:val="23"/>
          <w:szCs w:val="23"/>
          <w:lang w:val="pt-BR"/>
        </w:rPr>
        <w:t>(LEE et al., 2018)</w:t>
      </w:r>
      <w:r w:rsidR="007D0867" w:rsidRPr="00A65B69">
        <w:rPr>
          <w:color w:val="000000" w:themeColor="text1"/>
          <w:sz w:val="23"/>
          <w:szCs w:val="23"/>
          <w:lang w:val="pt-BR"/>
        </w:rPr>
        <w:fldChar w:fldCharType="end"/>
      </w:r>
      <w:r w:rsidR="0012606C" w:rsidRPr="00A65B69">
        <w:rPr>
          <w:color w:val="000000" w:themeColor="text1"/>
          <w:sz w:val="23"/>
          <w:szCs w:val="23"/>
          <w:lang w:val="pt-BR"/>
        </w:rPr>
        <w:t>. Dentre estes</w:t>
      </w:r>
      <w:r w:rsidR="009F0639" w:rsidRPr="00A65B69">
        <w:rPr>
          <w:color w:val="000000" w:themeColor="text1"/>
          <w:sz w:val="23"/>
          <w:szCs w:val="23"/>
          <w:lang w:val="pt-BR"/>
        </w:rPr>
        <w:t xml:space="preserve"> acometimentos Destacam-se os</w:t>
      </w:r>
      <w:r w:rsidRPr="00A65B69">
        <w:rPr>
          <w:color w:val="000000" w:themeColor="text1"/>
          <w:sz w:val="23"/>
          <w:szCs w:val="23"/>
          <w:lang w:val="pt-BR"/>
        </w:rPr>
        <w:t xml:space="preserve"> </w:t>
      </w:r>
      <w:r w:rsidR="009F0639" w:rsidRPr="00A65B69">
        <w:rPr>
          <w:color w:val="000000" w:themeColor="text1"/>
          <w:sz w:val="23"/>
          <w:szCs w:val="23"/>
          <w:lang w:val="pt-BR"/>
        </w:rPr>
        <w:t>d</w:t>
      </w:r>
      <w:r w:rsidR="008F18BC" w:rsidRPr="00A65B69">
        <w:rPr>
          <w:color w:val="000000" w:themeColor="text1"/>
          <w:sz w:val="23"/>
          <w:szCs w:val="23"/>
          <w:lang w:val="pt-BR"/>
        </w:rPr>
        <w:t>istúrbios relacionados ao sono</w:t>
      </w:r>
      <w:r w:rsidR="009F0639" w:rsidRPr="00A65B69">
        <w:rPr>
          <w:color w:val="000000" w:themeColor="text1"/>
          <w:sz w:val="23"/>
          <w:szCs w:val="23"/>
          <w:lang w:val="pt-BR"/>
        </w:rPr>
        <w:t xml:space="preserve">, principalmente por </w:t>
      </w:r>
      <w:r w:rsidR="008F18BC" w:rsidRPr="00A65B69">
        <w:rPr>
          <w:color w:val="000000" w:themeColor="text1"/>
          <w:sz w:val="23"/>
          <w:szCs w:val="23"/>
          <w:lang w:val="pt-BR"/>
        </w:rPr>
        <w:t xml:space="preserve">estarem associados a maiores incidências de dependência funcional </w:t>
      </w:r>
      <w:r w:rsidR="007D0867" w:rsidRPr="00A65B69">
        <w:rPr>
          <w:color w:val="000000" w:themeColor="text1"/>
          <w:sz w:val="23"/>
          <w:szCs w:val="23"/>
          <w:lang w:val="pt-BR"/>
        </w:rPr>
        <w:fldChar w:fldCharType="begin" w:fldLock="1"/>
      </w:r>
      <w:r w:rsidR="007D0867" w:rsidRPr="00A65B69">
        <w:rPr>
          <w:color w:val="000000" w:themeColor="text1"/>
          <w:sz w:val="23"/>
          <w:szCs w:val="23"/>
          <w:lang w:val="pt-BR"/>
        </w:rPr>
        <w:instrText>ADDIN CSL_CITATION {"citationItems":[{"id":"ITEM-1","itemData":{"DOI":"10.1016/j.parkreldis.2019.07.025","ISSN":"18735126","PMID":"31371182","abstract":"Objective: To determine whether non-motor symptoms predict the development of functional dependency in Parkinson's disease (PD). Methods: This study using the PPMI data included 405 patients with newly diagnosed PD without functional dependency at baseline visit. We collected baseline demographic and clinical data. Non-motor symptoms were measured using well-validated instruments covering neuropsychiatric, sleep-related, olfactory, and autonomic symptoms. The development of dependency was defined to be present if a Schwab and England (S&amp;E) score of less than 80% at any time point remained during the rest of the follow-up. Cox proportional-hazards regression analyses were performed to identify predictors of dependency. To further validate our findings, additional analysis was performed using an S&amp;E cut-off of 60%. Results: Over a 5-year follow-up period, 61 patients became functionally dependent. The cumulative incidence of dependency was 17% at the 5-year follow-up. Among the non-motor variables, only the REM sleep behavior disorder (RBD) screening questionnaire (RBDSQ) score was associated with the development of dependency. The bradykinesia subscore also predicted dependency. However, when using a cut-off score of 60% or below, the RBDSQ score but not the bradykinesia subscore increased the risk of dependency. The RBDSQ score was further inserted as a dichotomous variable in the multivariable Cox model. The presence of RBD was a significant predictor of dependency for both S&amp;E cut-off scores. Conclusion: The presence of RBD in early PD patients was associated with an increased risk of functional dependency. This finding supports the notion that RBD portends poor prognosis in PD.","author":[{"dropping-particle":"","family":"Kim","given":"Ryul","non-dropping-particle":"","parse-names":false,"suffix":""},{"dropping-particle":"","family":"Yoo","given":"Dallah","non-dropping-particle":"","parse-names":false,"suffix":""},{"dropping-particle":"","family":"Im","given":"Jin Hee","non-dropping-particle":"","parse-names":false,"suffix":""},{"dropping-particle":"","family":"Kim","given":"Han Joon","non-dropping-particle":"","parse-names":false,"suffix":""},{"dropping-particle":"","family":"Jeon","given":"Beomseok","non-dropping-particle":"","parse-names":false,"suffix":""}],"container-title":"Parkinsonism and Related Disorders","id":"ITEM-1","issue":"July 2010","issued":{"date-parts":[["2019"]]},"page":"138-142","publisher":"Elsevier","title":"REM sleep behavior disorder predicts functional dependency in early Parkinson's disease","type":"article-journal","volume":"66"},"uris":["http://www.mendeley.com/documents/?uuid=9c71b157-e478-40e7-83bc-b52bc8c1fef2"]}],"mendeley":{"formattedCitation":"(KIM et al., 2019)","plainTextFormattedCitation":"(KIM et al., 2019)","previouslyFormattedCitation":"(KIM et al., 2019)"},"properties":{"noteIndex":0},"schema":"https://github.com/citation-style-language/schema/raw/master/csl-citation.json"}</w:instrText>
      </w:r>
      <w:r w:rsidR="007D0867" w:rsidRPr="00A65B69">
        <w:rPr>
          <w:color w:val="000000" w:themeColor="text1"/>
          <w:sz w:val="23"/>
          <w:szCs w:val="23"/>
          <w:lang w:val="pt-BR"/>
        </w:rPr>
        <w:fldChar w:fldCharType="separate"/>
      </w:r>
      <w:r w:rsidR="007D0867" w:rsidRPr="00A65B69">
        <w:rPr>
          <w:noProof/>
          <w:color w:val="000000" w:themeColor="text1"/>
          <w:sz w:val="23"/>
          <w:szCs w:val="23"/>
          <w:lang w:val="pt-BR"/>
        </w:rPr>
        <w:t>(KIM et al., 2019)</w:t>
      </w:r>
      <w:r w:rsidR="007D0867" w:rsidRPr="00A65B69">
        <w:rPr>
          <w:color w:val="000000" w:themeColor="text1"/>
          <w:sz w:val="23"/>
          <w:szCs w:val="23"/>
          <w:lang w:val="pt-BR"/>
        </w:rPr>
        <w:fldChar w:fldCharType="end"/>
      </w:r>
      <w:r w:rsidR="008F18BC" w:rsidRPr="00A65B69">
        <w:rPr>
          <w:color w:val="000000" w:themeColor="text1"/>
          <w:sz w:val="23"/>
          <w:szCs w:val="23"/>
          <w:lang w:val="pt-BR"/>
        </w:rPr>
        <w:t xml:space="preserve">, demência </w:t>
      </w:r>
      <w:r w:rsidR="007D0867" w:rsidRPr="00A65B69">
        <w:rPr>
          <w:color w:val="000000" w:themeColor="text1"/>
          <w:sz w:val="23"/>
          <w:szCs w:val="23"/>
          <w:lang w:val="pt-BR"/>
        </w:rPr>
        <w:fldChar w:fldCharType="begin" w:fldLock="1"/>
      </w:r>
      <w:r w:rsidR="007D0867" w:rsidRPr="00A65B69">
        <w:rPr>
          <w:color w:val="000000" w:themeColor="text1"/>
          <w:sz w:val="23"/>
          <w:szCs w:val="23"/>
          <w:lang w:val="pt-BR"/>
        </w:rPr>
        <w:instrText>ADDIN CSL_CITATION {"citationItems":[{"id":"ITEM-1","itemData":{"DOI":"10.1002/mds.24939","ISSN":"08853185","PMID":"22322798","abstract":"One of the most devastating nonmotor manifestations of PD is dementia. There are few established predictors of dementia in PD. In numerous cross-sectional studies, patients with rapid eye movement (REM) sleep behavior disorder (RBD) have increased cognitive impairment on neuropsychological testing, but no prospective studies have assessed whether RBD can predict Parkinson's dementia. PD patients who were free of dementia were enrolled in a prospective follow-up of a previously published cross-sectional study. All patients had a polysomnogram at baseline. Over a mean 4-year follow-up, the incidence of dementia was assessed in those with or without RBD at baseline using regression analysis, adjusting for age, sex, disease duration, and follow-up duration. Of 61 eligible patients, 45 (74%) were assessed and 42 were included in a full analysis. Twenty-seven patients had baseline RBD, and 15 did not. Four years after the initial evaluation, 48% with RBD developed dementia, compared to 0% of those without (P-adjusted = 0.014). All 13 patients who developed dementia had mild cognitive impairment on baseline examination. Baseline REM sleep atonia loss predicted development of dementia (% tonic REM = 73.2 ± 26.7 with dementia, 40.8 ± 34.5 without; P = 0.029). RBD at baseline also predicted the new development of hallucinations and cognitive fluctuations. In this prospective study, RBD was associated with increased risk of dementia. This indicates that RBD may be a marker of a relatively diffuse, complex subtype of PD. © 2012 Movement Disorder Society.","author":[{"dropping-particle":"","family":"Postuma","given":"Ronald B.","non-dropping-particle":"","parse-names":false,"suffix":""},{"dropping-particle":"","family":"Bertrand","given":"Josie Anne","non-dropping-particle":"","parse-names":false,"suffix":""},{"dropping-particle":"","family":"Montplaisir","given":"Jacques","non-dropping-particle":"","parse-names":false,"suffix":""},{"dropping-particle":"","family":"Desjardins","given":"Catherine","non-dropping-particle":"","parse-names":false,"suffix":""},{"dropping-particle":"","family":"Vendette","given":"Mélanie","non-dropping-particle":"","parse-names":false,"suffix":""},{"dropping-particle":"","family":"Rios Romenets","given":"Silvia","non-dropping-particle":"","parse-names":false,"suffix":""},{"dropping-particle":"","family":"Panisset","given":"Michel","non-dropping-particle":"","parse-names":false,"suffix":""},{"dropping-particle":"","family":"Gagnon","given":"Jean François","non-dropping-particle":"","parse-names":false,"suffix":""}],"container-title":"Movement Disorders","id":"ITEM-1","issue":"6","issued":{"date-parts":[["2012"]]},"page":"720-726","title":"Rapid eye movement sleep behavior disorder and risk of dementia in Parkinson's disease: A prospective study","type":"article-journal","volume":"27"},"uris":["http://www.mendeley.com/documents/?uuid=f1d17ba0-12e8-4ea1-a36d-eb7f473f1d1b"]}],"mendeley":{"formattedCitation":"(POSTUMA et al., 2012)","plainTextFormattedCitation":"(POSTUMA et al., 2012)","previouslyFormattedCitation":"(POSTUMA et al., 2012)"},"properties":{"noteIndex":0},"schema":"https://github.com/citation-style-language/schema/raw/master/csl-citation.json"}</w:instrText>
      </w:r>
      <w:r w:rsidR="007D0867" w:rsidRPr="00A65B69">
        <w:rPr>
          <w:color w:val="000000" w:themeColor="text1"/>
          <w:sz w:val="23"/>
          <w:szCs w:val="23"/>
          <w:lang w:val="pt-BR"/>
        </w:rPr>
        <w:fldChar w:fldCharType="separate"/>
      </w:r>
      <w:r w:rsidR="007D0867" w:rsidRPr="00A65B69">
        <w:rPr>
          <w:noProof/>
          <w:color w:val="000000" w:themeColor="text1"/>
          <w:sz w:val="23"/>
          <w:szCs w:val="23"/>
          <w:lang w:val="pt-BR"/>
        </w:rPr>
        <w:t>(POSTUMA et al., 2012)</w:t>
      </w:r>
      <w:r w:rsidR="007D0867" w:rsidRPr="00A65B69">
        <w:rPr>
          <w:color w:val="000000" w:themeColor="text1"/>
          <w:sz w:val="23"/>
          <w:szCs w:val="23"/>
          <w:lang w:val="pt-BR"/>
        </w:rPr>
        <w:fldChar w:fldCharType="end"/>
      </w:r>
      <w:r w:rsidR="008F18BC" w:rsidRPr="00A65B69">
        <w:rPr>
          <w:color w:val="000000" w:themeColor="text1"/>
          <w:sz w:val="23"/>
          <w:szCs w:val="23"/>
          <w:lang w:val="pt-BR"/>
        </w:rPr>
        <w:t xml:space="preserve"> e problemas psicológicos </w:t>
      </w:r>
      <w:r w:rsidR="007D0867" w:rsidRPr="00A65B69">
        <w:rPr>
          <w:color w:val="000000" w:themeColor="text1"/>
          <w:sz w:val="23"/>
          <w:szCs w:val="23"/>
          <w:lang w:val="pt-BR"/>
        </w:rPr>
        <w:fldChar w:fldCharType="begin" w:fldLock="1"/>
      </w:r>
      <w:r w:rsidR="00B95E31" w:rsidRPr="00A65B69">
        <w:rPr>
          <w:color w:val="000000" w:themeColor="text1"/>
          <w:sz w:val="23"/>
          <w:szCs w:val="23"/>
          <w:lang w:val="pt-BR"/>
        </w:rPr>
        <w:instrText>ADDIN CSL_CITATION {"citationItems":[{"id":"ITEM-1","itemData":{"DOI":"10.1111/jan.13694","ISSN":"13652648","abstract":"Aim: To determine the effectiveness of non-pharmacological therapies for sleep disturbances in people with Parkinson's disease (PD). Background: Sleep disturbances, which are common in people with PD, may diminish their quality of life. Non-pharmacological therapies are preferred over pharmacological therapies for improving sleep quality, owing to fewer adverse effects. Design: Systematic literature review. Data sources: A systematic search of eight databases and hand searching was conducted for papers published between 1 January 2000 – 1 January 2016. Review methods: The Cochrane methods were followed. Risk of bias was assessed using the Cochrane Collaboration Risk of Bias Tool. Results: Eight studies were identified for data extraction. Therapeutic domains included physical exercise, cognitive behavioural and complementary interventions. Therapies in four of the eight studies significantly improved sleep quality and the unified PD rating scale score. Other studies showed no clear effects on sleep (N = 1), limited effects on sleep (N = 1) or effects in both the intervention and control groups, indicating that the intervention had no distinctive effects (N = 2). Conclusions: The non-pharmacological intervention types and sleep-related measured outcomes were heterogeneous. Most therapies had inconsistent effects on sleep. The insufficient evidence for non-pharmacological treatments seems related to the unique motor-associated clinical features of PD, which restrict the use of physical exercise therapy, or to individual “wearing-off” periods, which limit group therapy. Further studies on non-pharmacological therapies are required to identify the best interventions for improving sleep quality in people with PD.","author":[{"dropping-particle":"","family":"Lee","given":"Ju Hee","non-dropping-particle":"","parse-names":false,"suffix":""},{"dropping-particle":"","family":"Kim","given":"Yonji","non-dropping-particle":"","parse-names":false,"suffix":""},{"dropping-particle":"","family":"Kim","given":"Yie Lin","non-dropping-particle":"","parse-names":false,"suffix":""}],"container-title":"Journal of Advanced Nursing","id":"ITEM-1","issue":"8","issued":{"date-parts":[["2018"]]},"page":"1741-1751","title":"Non-pharmacological therapies for sleep disturbances in people with Parkinson's disease: A systematic review","type":"article-journal","volume":"74"},"uris":["http://www.mendeley.com/documents/?uuid=c5bb4727-8b2b-4afb-b78d-46a460de3023"]}],"mendeley":{"formattedCitation":"(LEE; KIM; KIM, 2018)","manualFormatting":"(LEE et al., 2018)","plainTextFormattedCitation":"(LEE; KIM; KIM, 2018)","previouslyFormattedCitation":"(LEE; KIM; KIM, 2018)"},"properties":{"noteIndex":0},"schema":"https://github.com/citation-style-language/schema/raw/master/csl-citation.json"}</w:instrText>
      </w:r>
      <w:r w:rsidR="007D0867" w:rsidRPr="00A65B69">
        <w:rPr>
          <w:color w:val="000000" w:themeColor="text1"/>
          <w:sz w:val="23"/>
          <w:szCs w:val="23"/>
          <w:lang w:val="pt-BR"/>
        </w:rPr>
        <w:fldChar w:fldCharType="separate"/>
      </w:r>
      <w:r w:rsidR="007D0867" w:rsidRPr="00A65B69">
        <w:rPr>
          <w:noProof/>
          <w:color w:val="000000" w:themeColor="text1"/>
          <w:sz w:val="23"/>
          <w:szCs w:val="23"/>
          <w:lang w:val="pt-BR"/>
        </w:rPr>
        <w:t>(LEE et al., 2018)</w:t>
      </w:r>
      <w:r w:rsidR="007D0867" w:rsidRPr="00A65B69">
        <w:rPr>
          <w:color w:val="000000" w:themeColor="text1"/>
          <w:sz w:val="23"/>
          <w:szCs w:val="23"/>
          <w:lang w:val="pt-BR"/>
        </w:rPr>
        <w:fldChar w:fldCharType="end"/>
      </w:r>
      <w:r w:rsidR="008F18BC" w:rsidRPr="00A65B69">
        <w:rPr>
          <w:color w:val="000000" w:themeColor="text1"/>
          <w:sz w:val="23"/>
          <w:szCs w:val="23"/>
          <w:lang w:val="pt-BR"/>
        </w:rPr>
        <w:t xml:space="preserve">. </w:t>
      </w:r>
      <w:r w:rsidR="003E729C" w:rsidRPr="00A65B69">
        <w:rPr>
          <w:color w:val="000000" w:themeColor="text1"/>
          <w:sz w:val="23"/>
          <w:szCs w:val="23"/>
          <w:lang w:val="pt-BR"/>
        </w:rPr>
        <w:t>O</w:t>
      </w:r>
      <w:r w:rsidR="008C2A9B" w:rsidRPr="00A65B69">
        <w:rPr>
          <w:color w:val="000000" w:themeColor="text1"/>
          <w:sz w:val="23"/>
          <w:szCs w:val="23"/>
          <w:lang w:val="pt-BR"/>
        </w:rPr>
        <w:t>s</w:t>
      </w:r>
      <w:r w:rsidR="003E729C" w:rsidRPr="00A65B69">
        <w:rPr>
          <w:color w:val="000000" w:themeColor="text1"/>
          <w:sz w:val="23"/>
          <w:szCs w:val="23"/>
          <w:lang w:val="pt-BR"/>
        </w:rPr>
        <w:t xml:space="preserve"> sintomas</w:t>
      </w:r>
      <w:r w:rsidR="008C2A9B" w:rsidRPr="00A65B69">
        <w:rPr>
          <w:color w:val="000000" w:themeColor="text1"/>
          <w:sz w:val="23"/>
          <w:szCs w:val="23"/>
          <w:lang w:val="pt-BR"/>
        </w:rPr>
        <w:t xml:space="preserve"> </w:t>
      </w:r>
      <w:r w:rsidR="00EC2B6F" w:rsidRPr="00A65B69">
        <w:rPr>
          <w:color w:val="000000" w:themeColor="text1"/>
          <w:sz w:val="23"/>
          <w:szCs w:val="23"/>
          <w:lang w:val="pt-BR"/>
        </w:rPr>
        <w:t>mais comuns</w:t>
      </w:r>
      <w:r w:rsidR="003E729C" w:rsidRPr="00A65B69">
        <w:rPr>
          <w:color w:val="000000" w:themeColor="text1"/>
          <w:sz w:val="23"/>
          <w:szCs w:val="23"/>
          <w:lang w:val="pt-BR"/>
        </w:rPr>
        <w:t xml:space="preserve"> relacionados ao distúrbio do sono são</w:t>
      </w:r>
      <w:r w:rsidR="00EC2B6F" w:rsidRPr="00A65B69">
        <w:rPr>
          <w:color w:val="000000" w:themeColor="text1"/>
          <w:sz w:val="23"/>
          <w:szCs w:val="23"/>
          <w:lang w:val="pt-BR"/>
        </w:rPr>
        <w:t xml:space="preserve"> insônia</w:t>
      </w:r>
      <w:r w:rsidR="00D94C67" w:rsidRPr="00A65B69">
        <w:rPr>
          <w:color w:val="000000" w:themeColor="text1"/>
          <w:sz w:val="23"/>
          <w:szCs w:val="23"/>
          <w:lang w:val="pt-BR"/>
        </w:rPr>
        <w:t xml:space="preserve"> </w:t>
      </w:r>
      <w:r w:rsidR="00B95E31" w:rsidRPr="00A65B69">
        <w:rPr>
          <w:color w:val="000000" w:themeColor="text1"/>
          <w:sz w:val="23"/>
          <w:szCs w:val="23"/>
          <w:lang w:val="pt-BR"/>
        </w:rPr>
        <w:fldChar w:fldCharType="begin" w:fldLock="1"/>
      </w:r>
      <w:r w:rsidR="008C2A9B" w:rsidRPr="00A65B69">
        <w:rPr>
          <w:color w:val="000000" w:themeColor="text1"/>
          <w:sz w:val="23"/>
          <w:szCs w:val="23"/>
          <w:lang w:val="pt-BR"/>
        </w:rPr>
        <w:instrText>ADDIN CSL_CITATION {"citationItems":[{"id":"ITEM-1","itemData":{"author":[{"dropping-particle":"","family":"Gobbi","given":"Lilian Teresa Buken","non-dropping-particle":"","parse-names":false,"suffix":""},{"dropping-particle":"","family":"Barbieri","given":"Fabio Augusto","non-dropping-particle":"","parse-names":false,"suffix":""},{"dropping-particle":"","family":"Vitório","given":"Rodrigo","non-dropping-particle":"","parse-names":false,"suffix":""}],"container-title":"Editora CRV","id":"ITEM-1","issued":{"date-parts":[["2014"]]},"title":"Doença de Parkinson e Exercício Físico","type":"article-journal"},"uris":["http://www.mendeley.com/documents/?uuid=2a29ec37-bfde-41f1-bb29-039538417a83"]}],"mendeley":{"formattedCitation":"(GOBBI; BARBIERI; VITÓRIO, 2014)","manualFormatting":"(GOBBI et al., 2014)","plainTextFormattedCitation":"(GOBBI; BARBIERI; VITÓRIO, 2014)","previouslyFormattedCitation":"(GOBBI; BARBIERI; VITÓRIO, 2014)"},"properties":{"noteIndex":0},"schema":"https://github.com/citation-style-language/schema/raw/master/csl-citation.json"}</w:instrText>
      </w:r>
      <w:r w:rsidR="00B95E31" w:rsidRPr="00A65B69">
        <w:rPr>
          <w:color w:val="000000" w:themeColor="text1"/>
          <w:sz w:val="23"/>
          <w:szCs w:val="23"/>
          <w:lang w:val="pt-BR"/>
        </w:rPr>
        <w:fldChar w:fldCharType="separate"/>
      </w:r>
      <w:r w:rsidR="00B95E31" w:rsidRPr="00A65B69">
        <w:rPr>
          <w:noProof/>
          <w:color w:val="000000" w:themeColor="text1"/>
          <w:sz w:val="23"/>
          <w:szCs w:val="23"/>
          <w:lang w:val="pt-BR"/>
        </w:rPr>
        <w:t>(GOBBI</w:t>
      </w:r>
      <w:r w:rsidR="008C2A9B" w:rsidRPr="00A65B69">
        <w:rPr>
          <w:noProof/>
          <w:color w:val="000000" w:themeColor="text1"/>
          <w:sz w:val="23"/>
          <w:szCs w:val="23"/>
          <w:lang w:val="pt-BR"/>
        </w:rPr>
        <w:t xml:space="preserve"> et al.,</w:t>
      </w:r>
      <w:r w:rsidR="00B95E31" w:rsidRPr="00A65B69">
        <w:rPr>
          <w:noProof/>
          <w:color w:val="000000" w:themeColor="text1"/>
          <w:sz w:val="23"/>
          <w:szCs w:val="23"/>
          <w:lang w:val="pt-BR"/>
        </w:rPr>
        <w:t xml:space="preserve"> 2014)</w:t>
      </w:r>
      <w:r w:rsidR="00B95E31" w:rsidRPr="00A65B69">
        <w:rPr>
          <w:color w:val="000000" w:themeColor="text1"/>
          <w:sz w:val="23"/>
          <w:szCs w:val="23"/>
          <w:lang w:val="pt-BR"/>
        </w:rPr>
        <w:fldChar w:fldCharType="end"/>
      </w:r>
      <w:r w:rsidR="00EC2B6F" w:rsidRPr="00A65B69">
        <w:rPr>
          <w:color w:val="000000" w:themeColor="text1"/>
          <w:sz w:val="23"/>
          <w:szCs w:val="23"/>
          <w:lang w:val="pt-BR"/>
        </w:rPr>
        <w:t>, sonolência diurna excessiva</w:t>
      </w:r>
      <w:r w:rsidR="008908E1" w:rsidRPr="00A65B69">
        <w:rPr>
          <w:color w:val="000000" w:themeColor="text1"/>
          <w:sz w:val="23"/>
          <w:szCs w:val="23"/>
          <w:lang w:val="pt-BR"/>
        </w:rPr>
        <w:t xml:space="preserve"> </w:t>
      </w:r>
      <w:r w:rsidR="00B95E31" w:rsidRPr="00A65B69">
        <w:rPr>
          <w:color w:val="000000" w:themeColor="text1"/>
          <w:sz w:val="23"/>
          <w:szCs w:val="23"/>
          <w:lang w:val="pt-BR"/>
        </w:rPr>
        <w:fldChar w:fldCharType="begin" w:fldLock="1"/>
      </w:r>
      <w:r w:rsidR="00B95E31" w:rsidRPr="00A65B69">
        <w:rPr>
          <w:color w:val="000000" w:themeColor="text1"/>
          <w:sz w:val="23"/>
          <w:szCs w:val="23"/>
          <w:lang w:val="pt-BR"/>
        </w:rPr>
        <w:instrText>ADDIN CSL_CITATION {"citationItems":[{"id":"ITEM-1","itemData":{"DOI":"https://doi.org/10.1016/j.jsmc.2008.06.001","ISSN":"1556-407X","abstract":"The sleep disturbances observed in Parkinson's disease (PD) and other parkinsonian disorders cover a wide range. The nighttime sleep disturbances include sleep fragmentation caused by recurrent PD symptoms, sleep apnea, restless legs syndrome, periodic limb movements during sleep, and rapid eye movement sleep behavior disorder. Excessive daytime sleepiness may result from these nocturnal sleep disturbances, be caused by the medications used to treat PD, or be intrinsic to PD itself. Treatment of sleep disturbances in PD is complex and often requires multiple therapeutic strategies.","author":[{"dropping-particle":"","family":"Comella","given":"Cynthia L","non-dropping-particle":"","parse-names":false,"suffix":""}],"container-title":"Sleep Medicine Clinics","id":"ITEM-1","issue":"3","issued":{"date-parts":[["2008"]]},"page":"325-335","title":"Sleep Disorders in Parkinson's Disease","type":"article-journal","volume":"3"},"uris":["http://www.mendeley.com/documents/?uuid=f018a3b5-36ae-4c87-94ed-0fb7f9cbb4cf"]}],"mendeley":{"formattedCitation":"(COMELLA, 2008)","plainTextFormattedCitation":"(COMELLA, 2008)","previouslyFormattedCitation":"(COMELLA, 2008)"},"properties":{"noteIndex":0},"schema":"https://github.com/citation-style-language/schema/raw/master/csl-citation.json"}</w:instrText>
      </w:r>
      <w:r w:rsidR="00B95E31" w:rsidRPr="00A65B69">
        <w:rPr>
          <w:color w:val="000000" w:themeColor="text1"/>
          <w:sz w:val="23"/>
          <w:szCs w:val="23"/>
          <w:lang w:val="pt-BR"/>
        </w:rPr>
        <w:fldChar w:fldCharType="separate"/>
      </w:r>
      <w:r w:rsidR="00B95E31" w:rsidRPr="00A65B69">
        <w:rPr>
          <w:noProof/>
          <w:color w:val="000000" w:themeColor="text1"/>
          <w:sz w:val="23"/>
          <w:szCs w:val="23"/>
          <w:lang w:val="pt-BR"/>
        </w:rPr>
        <w:t>(COMELLA, 2008)</w:t>
      </w:r>
      <w:r w:rsidR="00B95E31" w:rsidRPr="00A65B69">
        <w:rPr>
          <w:color w:val="000000" w:themeColor="text1"/>
          <w:sz w:val="23"/>
          <w:szCs w:val="23"/>
          <w:lang w:val="pt-BR"/>
        </w:rPr>
        <w:fldChar w:fldCharType="end"/>
      </w:r>
      <w:r w:rsidR="008C2A9B" w:rsidRPr="00A65B69">
        <w:rPr>
          <w:color w:val="000000" w:themeColor="text1"/>
          <w:sz w:val="23"/>
          <w:szCs w:val="23"/>
          <w:lang w:val="pt-BR"/>
        </w:rPr>
        <w:t>,</w:t>
      </w:r>
      <w:r w:rsidR="00EC2B6F" w:rsidRPr="00A65B69">
        <w:rPr>
          <w:color w:val="000000" w:themeColor="text1"/>
          <w:sz w:val="23"/>
          <w:szCs w:val="23"/>
          <w:lang w:val="pt-BR"/>
        </w:rPr>
        <w:t xml:space="preserve"> síndrome das perna</w:t>
      </w:r>
      <w:r w:rsidR="00D94C67" w:rsidRPr="00A65B69">
        <w:rPr>
          <w:color w:val="000000" w:themeColor="text1"/>
          <w:sz w:val="23"/>
          <w:szCs w:val="23"/>
          <w:lang w:val="pt-BR"/>
        </w:rPr>
        <w:t>s</w:t>
      </w:r>
      <w:r w:rsidR="00EC2B6F" w:rsidRPr="00A65B69">
        <w:rPr>
          <w:color w:val="000000" w:themeColor="text1"/>
          <w:sz w:val="23"/>
          <w:szCs w:val="23"/>
          <w:lang w:val="pt-BR"/>
        </w:rPr>
        <w:t xml:space="preserve"> inquietas</w:t>
      </w:r>
      <w:r w:rsidR="008908E1" w:rsidRPr="00A65B69">
        <w:rPr>
          <w:color w:val="000000" w:themeColor="text1"/>
          <w:sz w:val="23"/>
          <w:szCs w:val="23"/>
          <w:lang w:val="pt-BR"/>
        </w:rPr>
        <w:t xml:space="preserve"> </w:t>
      </w:r>
      <w:r w:rsidR="00B95E31" w:rsidRPr="00A65B69">
        <w:rPr>
          <w:color w:val="000000" w:themeColor="text1"/>
          <w:sz w:val="23"/>
          <w:szCs w:val="23"/>
          <w:lang w:val="pt-BR"/>
        </w:rPr>
        <w:fldChar w:fldCharType="begin" w:fldLock="1"/>
      </w:r>
      <w:r w:rsidR="00B95E31" w:rsidRPr="00A65B69">
        <w:rPr>
          <w:color w:val="000000" w:themeColor="text1"/>
          <w:sz w:val="23"/>
          <w:szCs w:val="23"/>
          <w:lang w:val="pt-BR"/>
        </w:rPr>
        <w:instrText>ADDIN CSL_CITATION {"citationItems":[{"id":"ITEM-1","itemData":{"DOI":"https://doi.org/10.1016/j.jsmc.2008.06.001","ISSN":"1556-407X","abstract":"The sleep disturbances observed in Parkinson's disease (PD) and other parkinsonian disorders cover a wide range. The nighttime sleep disturbances include sleep fragmentation caused by recurrent PD symptoms, sleep apnea, restless legs syndrome, periodic limb movements during sleep, and rapid eye movement sleep behavior disorder. Excessive daytime sleepiness may result from these nocturnal sleep disturbances, be caused by the medications used to treat PD, or be intrinsic to PD itself. Treatment of sleep disturbances in PD is complex and often requires multiple therapeutic strategies.","author":[{"dropping-particle":"","family":"Comella","given":"Cynthia L","non-dropping-particle":"","parse-names":false,"suffix":""}],"container-title":"Sleep Medicine Clinics","id":"ITEM-1","issue":"3","issued":{"date-parts":[["2008"]]},"page":"325-335","title":"Sleep Disorders in Parkinson's Disease","type":"article-journal","volume":"3"},"uris":["http://www.mendeley.com/documents/?uuid=f018a3b5-36ae-4c87-94ed-0fb7f9cbb4cf"]},{"id":"ITEM-2","itemData":{"DOI":"10.1186/s40734-015-0020-9","abstract":"BACKGROUND: Sleep disturbances are among the most common non-motor symptoms of Parkinson's disease (PD), greatly interfering with daily activities and diminishing life quality. Pharmacological treatments have not been satisfactory because of side effects and interactions with anti-parkinsonian drugs. While studies have shown that regular exercise improves sleep quality in normal aging, there is no definitive evidence in PD. METHODS: In a retrospective study, we determined whether an intense physical and multidisciplinary exercise program improves sleep quality in a large group of patients with PD. We analyzed the scores of PD Sleep Scale (PDSS), which was administered twice, 28 days apart, to two groups of patients with PD of comparable age, gender, disease duration and pharmacological treatment. The control group (49 patients) did not receive rehabilitation, The treated group (89 patients) underwent a 28-day multidisciplinary intensive rehabilitation program (three one-hour daily sessions comprising cardiovascular warm-up, relaxation, muscle-stretching, balance and gait training, occupational therapy to improve daily living activities). RESULTS: At enrolment, control and treated groups had similar UPDRS and PDSS scores. At re-test, 28 days later, UPDRS and total PDSS scores improved in the treated (p &lt; 0.0001) but not in the control group. In particular, the treated group showed significant improvement in PDSS scores for sleep quality, motor symptoms and daytime somnolence. The control group did not show improvement for any item. CONCLUSIONS: These results suggest that multidisciplinary intensive rehabilitation treatment may have a positive impact on many aspects of sleep in PD.","author":[{"dropping-particle":"","family":"Frazzitta","given":"Giuseppe","non-dropping-particle":"","parse-names":false,"suffix":""},{"dropping-particle":"","family":"Maestri","given":"Roberto","non-dropping-particle":"","parse-names":false,"suffix":""},{"dropping-particle":"","family":"Ferrazzoli","given":"Davide","non-dropping-particle":"","parse-names":false,"suffix":""},{"dropping-particle":"","family":"Riboldazzi","given":"Giulio","non-dropping-particle":"","parse-names":false,"suffix":""},{"dropping-particle":"","family":"Bera","given":"Rossana","non-dropping-particle":"","parse-names":false,"suffix":""},{"dropping-particle":"","family":"Fontanesi","given":"Cecilia","non-dropping-particle":"","parse-names":false,"suffix":""},{"dropping-particle":"","family":"Rossi","given":"Roger P","non-dropping-particle":"","parse-names":false,"suffix":""},{"dropping-particle":"","family":"Pezzoli","given":"Gianni","non-dropping-particle":"","parse-names":false,"suffix":""},{"dropping-particle":"","family":"Ghilardi","given":"Maria F","non-dropping-particle":"","parse-names":false,"suffix":""}],"container-title":"Journal of Clinical Movement Disorders","id":"ITEM-2","issue":"1","issued":{"date-parts":[["2015"]]},"page":"4-11","title":"Multidisciplinary intensive rehabilitation treatment improves sleep quality in Parkinson’s disease","type":"article-journal","volume":"2"},"uris":["http://www.mendeley.com/documents/?uuid=3aa1edbc-e671-4d49-b75c-15435a911274"]}],"mendeley":{"formattedCitation":"(COMELLA, 2008; FRAZZITTA et al., 2015)","plainTextFormattedCitation":"(COMELLA, 2008; FRAZZITTA et al., 2015)","previouslyFormattedCitation":"(COMELLA, 2008; FRAZZITTA et al., 2015)"},"properties":{"noteIndex":0},"schema":"https://github.com/citation-style-language/schema/raw/master/csl-citation.json"}</w:instrText>
      </w:r>
      <w:r w:rsidR="00B95E31" w:rsidRPr="00A65B69">
        <w:rPr>
          <w:color w:val="000000" w:themeColor="text1"/>
          <w:sz w:val="23"/>
          <w:szCs w:val="23"/>
          <w:lang w:val="pt-BR"/>
        </w:rPr>
        <w:fldChar w:fldCharType="separate"/>
      </w:r>
      <w:r w:rsidR="00B95E31" w:rsidRPr="00A65B69">
        <w:rPr>
          <w:noProof/>
          <w:color w:val="000000" w:themeColor="text1"/>
          <w:sz w:val="23"/>
          <w:szCs w:val="23"/>
          <w:lang w:val="pt-BR"/>
        </w:rPr>
        <w:t>(COMELLA, 2008; FRAZZITTA et al., 2015)</w:t>
      </w:r>
      <w:r w:rsidR="00B95E31" w:rsidRPr="00A65B69">
        <w:rPr>
          <w:color w:val="000000" w:themeColor="text1"/>
          <w:sz w:val="23"/>
          <w:szCs w:val="23"/>
          <w:lang w:val="pt-BR"/>
        </w:rPr>
        <w:fldChar w:fldCharType="end"/>
      </w:r>
      <w:r w:rsidR="00EC2B6F" w:rsidRPr="00A65B69">
        <w:rPr>
          <w:color w:val="000000" w:themeColor="text1"/>
          <w:sz w:val="23"/>
          <w:szCs w:val="23"/>
          <w:lang w:val="pt-BR"/>
        </w:rPr>
        <w:t xml:space="preserve"> e </w:t>
      </w:r>
      <w:r w:rsidR="000614A4" w:rsidRPr="00A65B69">
        <w:rPr>
          <w:color w:val="000000" w:themeColor="text1"/>
          <w:sz w:val="23"/>
          <w:szCs w:val="23"/>
          <w:lang w:val="pt-BR"/>
        </w:rPr>
        <w:t>distúrbio de comportamento do sono REM</w:t>
      </w:r>
      <w:r w:rsidR="00D94C67" w:rsidRPr="00A65B69">
        <w:rPr>
          <w:color w:val="000000" w:themeColor="text1"/>
          <w:sz w:val="23"/>
          <w:szCs w:val="23"/>
          <w:lang w:val="pt-BR"/>
        </w:rPr>
        <w:t xml:space="preserve"> </w:t>
      </w:r>
      <w:r w:rsidR="008908E1" w:rsidRPr="00A65B69">
        <w:rPr>
          <w:color w:val="000000" w:themeColor="text1"/>
          <w:sz w:val="23"/>
          <w:szCs w:val="23"/>
          <w:lang w:val="pt-BR"/>
        </w:rPr>
        <w:t>(</w:t>
      </w:r>
      <w:proofErr w:type="spellStart"/>
      <w:r w:rsidR="008908E1" w:rsidRPr="00A65B69">
        <w:rPr>
          <w:color w:val="000000" w:themeColor="text1"/>
          <w:sz w:val="23"/>
          <w:szCs w:val="23"/>
          <w:lang w:val="pt-BR"/>
        </w:rPr>
        <w:t>i.e</w:t>
      </w:r>
      <w:proofErr w:type="spellEnd"/>
      <w:r w:rsidR="008908E1" w:rsidRPr="00A65B69">
        <w:rPr>
          <w:color w:val="000000" w:themeColor="text1"/>
          <w:sz w:val="23"/>
          <w:szCs w:val="23"/>
          <w:lang w:val="pt-BR"/>
        </w:rPr>
        <w:t>, caracterizado pela perda de atonia e ativação muscular</w:t>
      </w:r>
      <w:r w:rsidR="00C92873" w:rsidRPr="00A65B69">
        <w:rPr>
          <w:color w:val="000000" w:themeColor="text1"/>
          <w:sz w:val="23"/>
          <w:szCs w:val="23"/>
          <w:lang w:val="pt-BR"/>
        </w:rPr>
        <w:t xml:space="preserve"> desta área</w:t>
      </w:r>
      <w:r w:rsidR="008908E1" w:rsidRPr="00A65B69">
        <w:rPr>
          <w:color w:val="000000" w:themeColor="text1"/>
          <w:sz w:val="23"/>
          <w:szCs w:val="23"/>
          <w:lang w:val="pt-BR"/>
        </w:rPr>
        <w:t xml:space="preserve">) </w:t>
      </w:r>
      <w:r w:rsidR="00B95E31"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{"citationItems":[{"id":"ITEM-1","itemData":{"DOI":"10.1007/s00415-008-5006-1","ISSN":"0340-5354 (Print)","PMID":"18787880","abstract":"Non motor symptoms (NMS) of PD are a key determinant of health, quality of life  and societal cost of PD. Contrary to common perception, many NMS of PD occur early in PD and some may even predate the diagnosis of PD which is based on motor signs. These include olfactory deficit, sleep problems such as REM behaviour disorder, contipation and the more recently described male erectile dysfunction. The non motor quesionnaire (NMSQuest) and the recently validated NMS scale allow falgging and quantification of NMS of PD and therefore are important tools to comprehensively assess symptom load in PD.","author":[{"dropping-particle":"","family":"Chaudhuri","given":"K Ray","non-dropping-particle":"","parse-names":false,"suffix":""},{"dropping-particle":"","family":"Naidu","given":"Yogini","non-dropping-particle":"","parse-names":false,"suffix":""}],"container-title":"Journal of neurology","id":"ITEM-1","issued":{"date-parts":[["2008","9"]]},"language":"eng","page":"33-38","publisher-place":"Germany","title":"Early Parkinson's disease and non-motor issues.","type":"article-journal","volume":"255 Suppl "},"uris":["http://www.mendeley.com/documents/?uuid=153d6b59-83f9-43af-b380-fdfea3b2ed16"]}],"mendeley":{"formattedCitation":"(CHAUDHURI; NAIDU, 2008)","manualFormatting":"(CHAUDHURI et al., 2008)","plainTextFormattedCitation":"(CHAUDHURI; NAIDU, 2008)","previouslyFormattedCitation":"(CHAUDHURI; NAIDU, 2008)"},"properties":{"noteIndex":0},"schema":"https://github.com/citation-style-language/schema/raw/master/csl-citation.json"}</w:instrText>
      </w:r>
      <w:r w:rsidR="00B95E31" w:rsidRPr="00A65B69">
        <w:rPr>
          <w:color w:val="000000" w:themeColor="text1"/>
          <w:sz w:val="23"/>
          <w:szCs w:val="23"/>
          <w:lang w:val="pt-BR"/>
        </w:rPr>
        <w:fldChar w:fldCharType="separate"/>
      </w:r>
      <w:r w:rsidR="00B95E31" w:rsidRPr="00A65B69">
        <w:rPr>
          <w:noProof/>
          <w:color w:val="000000" w:themeColor="text1"/>
          <w:sz w:val="23"/>
          <w:szCs w:val="23"/>
          <w:lang w:val="pt-BR"/>
        </w:rPr>
        <w:t>(CHAUDHURI</w:t>
      </w:r>
      <w:r w:rsidR="008C2A9B" w:rsidRPr="00A65B69">
        <w:rPr>
          <w:noProof/>
          <w:color w:val="000000" w:themeColor="text1"/>
          <w:sz w:val="23"/>
          <w:szCs w:val="23"/>
          <w:lang w:val="pt-BR"/>
        </w:rPr>
        <w:t xml:space="preserve"> et al.,</w:t>
      </w:r>
      <w:r w:rsidR="00B95E31" w:rsidRPr="00A65B69">
        <w:rPr>
          <w:noProof/>
          <w:color w:val="000000" w:themeColor="text1"/>
          <w:sz w:val="23"/>
          <w:szCs w:val="23"/>
          <w:lang w:val="pt-BR"/>
        </w:rPr>
        <w:t xml:space="preserve"> 2008)</w:t>
      </w:r>
      <w:r w:rsidR="00B95E31" w:rsidRPr="00A65B69">
        <w:rPr>
          <w:color w:val="000000" w:themeColor="text1"/>
          <w:sz w:val="23"/>
          <w:szCs w:val="23"/>
          <w:lang w:val="pt-BR"/>
        </w:rPr>
        <w:fldChar w:fldCharType="end"/>
      </w:r>
      <w:r w:rsidR="00EC2B6F" w:rsidRPr="00A65B69">
        <w:rPr>
          <w:color w:val="000000" w:themeColor="text1"/>
          <w:sz w:val="23"/>
          <w:szCs w:val="23"/>
          <w:lang w:val="pt-BR"/>
        </w:rPr>
        <w:t xml:space="preserve">. </w:t>
      </w:r>
      <w:r w:rsidR="00C92873" w:rsidRPr="00A65B69">
        <w:rPr>
          <w:color w:val="000000" w:themeColor="text1"/>
          <w:sz w:val="23"/>
          <w:szCs w:val="23"/>
          <w:lang w:val="pt-BR"/>
        </w:rPr>
        <w:t xml:space="preserve">Além disso, apesar de essencial, o uso do medicamento dopaminérgico pode resultar em distúrbios do sono </w:t>
      </w:r>
      <w:r w:rsidR="00B95E31" w:rsidRPr="00A65B69">
        <w:rPr>
          <w:color w:val="000000" w:themeColor="text1"/>
          <w:sz w:val="23"/>
          <w:szCs w:val="23"/>
          <w:lang w:val="pt-BR"/>
        </w:rPr>
        <w:fldChar w:fldCharType="begin" w:fldLock="1"/>
      </w:r>
      <w:r w:rsidR="00C813DE" w:rsidRPr="00A65B69">
        <w:rPr>
          <w:color w:val="000000" w:themeColor="text1"/>
          <w:sz w:val="23"/>
          <w:szCs w:val="23"/>
          <w:lang w:val="pt-BR"/>
        </w:rPr>
        <w:instrText>ADDIN CSL_CITATION {"citationItems":[{"id":"ITEM-1","itemData":{"DOI":"10.1186/s40734-015-0020-9","abstract":"BACKGROUND: Sleep disturbances are among the most common non-motor symptoms of Parkinson's disease (PD), greatly interfering with daily activities and diminishing life quality. Pharmacological treatments have not been satisfactory because of side effects and interactions with anti-parkinsonian drugs. While studies have shown that regular exercise improves sleep quality in normal aging, there is no definitive evidence in PD. METHODS: In a retrospective study, we determined whether an intense physical and multidisciplinary exercise program improves sleep quality in a large group of patients with PD. We analyzed the scores of PD Sleep Scale (PDSS), which was administered twice, 28 days apart, to two groups of patients with PD of comparable age, gender, disease duration and pharmacological treatment. The control group (49 patients) did not receive rehabilitation, The treated group (89 patients) underwent a 28-day multidisciplinary intensive rehabilitation program (three one-hour daily sessions comprising cardiovascular warm-up, relaxation, muscle-stretching, balance and gait training, occupational therapy to improve daily living activities). RESULTS: At enrolment, control and treated groups had similar UPDRS and PDSS scores. At re-test, 28 days later, UPDRS and total PDSS scores improved in the treated (p &lt; 0.0001) but not in the control group. In particular, the treated group showed significant improvement in PDSS scores for sleep quality, motor symptoms and daytime somnolence. The control group did not show improvement for any item. CONCLUSIONS: These results suggest that multidisciplinary intensive rehabilitation treatment may have a positive impact on many aspects of sleep in PD.","author":[{"dropping-particle":"","family":"Frazzitta","given":"Giuseppe","non-dropping-particle":"","parse-names":false,"suffix":""},{"dropping-particle":"","family":"Maestri","given":"Roberto","non-dropping-particle":"","parse-names":false,"suffix":""},{"dropping-particle":"","family":"Ferrazzoli","given":"Davide","non-dropping-particle":"","parse-names":false,"suffix":""},{"dropping-particle":"","family":"Riboldazzi","given":"Giulio","non-dropping-particle":"","parse-names":false,"suffix":""},{"dropping-particle":"","family":"Bera","given":"Rossana","non-dropping-particle":"","parse-names":false,"suffix":""},{"dropping-particle":"","family":"Fontanesi","given":"Cecilia","non-dropping-particle":"","parse-names":false,"suffix":""},{"dropping-particle":"","family":"Rossi","given":"Roger P","non-dropping-particle":"","parse-names":false,"suffix":""},{"dropping-particle":"","family":"Pezzoli","given":"Gianni","non-dropping-particle":"","parse-names":false,"suffix":""},{"dropping-particle":"","family":"Ghilardi","given":"Maria F","non-dropping-particle":"","parse-names":false,"suffix":""}],"container-title":"Journal of Clinical Movement Disorders","id":"ITEM-1","issue":"1","issued":{"date-parts":[["2015"]]},"page":"4-11","title":"Multidisciplinary intensive rehabilitation treatment improves sleep quality in Parkinson’s disease","type":"article-journal","volume":"2"},"uris":["http://www.mendeley.com/documents/?uuid=3aa1edbc-e671-4d49-b75c-15435a911274"]}],"mendeley":{"formattedCitation":"(FRAZZITTA et al., 2015)","plainTextFormattedCitation":"(FRAZZITTA et al., 2015)","previouslyFormattedCitation":"(FRAZZITTA et al., 2015)"},"properties":{"noteIndex":0},"schema":"https://github.com/citation-style-language/schema/raw/master/csl-citation.json"}</w:instrText>
      </w:r>
      <w:r w:rsidR="00B95E31" w:rsidRPr="00A65B69">
        <w:rPr>
          <w:color w:val="000000" w:themeColor="text1"/>
          <w:sz w:val="23"/>
          <w:szCs w:val="23"/>
          <w:lang w:val="pt-BR"/>
        </w:rPr>
        <w:fldChar w:fldCharType="separate"/>
      </w:r>
      <w:r w:rsidR="00B95E31" w:rsidRPr="00A65B69">
        <w:rPr>
          <w:noProof/>
          <w:color w:val="000000" w:themeColor="text1"/>
          <w:sz w:val="23"/>
          <w:szCs w:val="23"/>
          <w:lang w:val="pt-BR"/>
        </w:rPr>
        <w:t>(FRAZZITTA et al., 2015)</w:t>
      </w:r>
      <w:r w:rsidR="00B95E31" w:rsidRPr="00A65B69">
        <w:rPr>
          <w:color w:val="000000" w:themeColor="text1"/>
          <w:sz w:val="23"/>
          <w:szCs w:val="23"/>
          <w:lang w:val="pt-BR"/>
        </w:rPr>
        <w:fldChar w:fldCharType="end"/>
      </w:r>
      <w:r w:rsidR="00C92873" w:rsidRPr="00A65B69">
        <w:rPr>
          <w:color w:val="000000" w:themeColor="text1"/>
          <w:sz w:val="23"/>
          <w:szCs w:val="23"/>
          <w:lang w:val="pt-BR"/>
        </w:rPr>
        <w:t xml:space="preserve">. </w:t>
      </w:r>
      <w:r w:rsidR="008F18BC" w:rsidRPr="00A65B69">
        <w:rPr>
          <w:color w:val="000000" w:themeColor="text1"/>
          <w:sz w:val="23"/>
          <w:szCs w:val="23"/>
          <w:lang w:val="pt-BR"/>
        </w:rPr>
        <w:t xml:space="preserve">Assim, considerando que o período de sono é essencial para a plasticidade neural e propicia diversas vantagens de ordem cognitiva e fisiológica </w:t>
      </w:r>
      <w:r w:rsidR="00C813DE" w:rsidRPr="00A65B69">
        <w:rPr>
          <w:color w:val="000000" w:themeColor="text1"/>
          <w:sz w:val="23"/>
          <w:szCs w:val="23"/>
          <w:lang w:val="pt-BR"/>
        </w:rPr>
        <w:fldChar w:fldCharType="begin" w:fldLock="1"/>
      </w:r>
      <w:r w:rsidR="008C2A9B" w:rsidRPr="00A65B69">
        <w:rPr>
          <w:color w:val="000000" w:themeColor="text1"/>
          <w:sz w:val="23"/>
          <w:szCs w:val="23"/>
          <w:lang w:val="pt-BR"/>
        </w:rPr>
        <w:instrText>ADDIN CSL_CITATION {"citationItems":[{"id":"ITEM-1","itemData":{"DOI":"10.3934/Neuroscience.2016.1.67","ISSN":"23737972","abstract":"Sleep is a complex physiological process that is regulated globally, regionally, and locally by both cellular and molecular mechanisms. It occurs to some extent in all animals, although sleep expression in lower animals may be co-extensive with rest. Sleep regulation plays an intrinsic part in many behavioral and physiological functions. Currently, all researchers agree there is no single physiological role sleep serves. Nevertheless, it is quite evident that sleep is essential for many vital functions including development, energy conservation, brain waste clearance, modulation of immune responses, cognition, performance, vigilance, disease, and psychological state. This review details the physiological processes involved in sleep regulation and the possible functions that sleep may serve. This description of the brain circuitry, cell types, and molecules involved in sleep regulation is intended to further the reader's understanding of the functions of sleep.","author":[{"dropping-particle":"","family":"Zielinski","given":"Mark R.","non-dropping-particle":"","parse-names":false,"suffix":""},{"dropping-particle":"","family":"McKenna","given":"James T.","non-dropping-particle":"","parse-names":false,"suffix":""},{"dropping-particle":"","family":"McCarley","given":"Robert W.","non-dropping-particle":"","parse-names":false,"suffix":""}],"container-title":"AIMS Neuroscience","id":"ITEM-1","issue":"1","issued":{"date-parts":[["2016"]]},"page":"67-104","title":"Functions and mechanisms of sleep","type":"article-journal","volume":"3"},"uris":["http://www.mendeley.com/documents/?uuid=72ee8a6f-7d29-4e08-b218-60f8bc8dde55"]}],"mendeley":{"formattedCitation":"(ZIELINSKI; MCKENNA; MCCARLEY, 2016)","manualFormatting":"(ZIELINSKI et al., 2016)","plainTextFormattedCitation":"(ZIELINSKI; MCKENNA; MCCARLEY, 2016)","previouslyFormattedCitation":"(ZIELINSKI; MCKENNA; MCCARLEY, 2016)"},"properties":{"noteIndex":0},"schema":"https://github.com/citation-style-language/schema/raw/master/csl-citation.json"}</w:instrText>
      </w:r>
      <w:r w:rsidR="00C813DE" w:rsidRPr="00A65B69">
        <w:rPr>
          <w:color w:val="000000" w:themeColor="text1"/>
          <w:sz w:val="23"/>
          <w:szCs w:val="23"/>
          <w:lang w:val="pt-BR"/>
        </w:rPr>
        <w:fldChar w:fldCharType="separate"/>
      </w:r>
      <w:r w:rsidR="00C813DE" w:rsidRPr="00A65B69">
        <w:rPr>
          <w:noProof/>
          <w:color w:val="000000" w:themeColor="text1"/>
          <w:sz w:val="23"/>
          <w:szCs w:val="23"/>
          <w:lang w:val="pt-BR"/>
        </w:rPr>
        <w:t>(ZIELINSKI</w:t>
      </w:r>
      <w:r w:rsidR="008C2A9B" w:rsidRPr="00A65B69">
        <w:rPr>
          <w:noProof/>
          <w:color w:val="000000" w:themeColor="text1"/>
          <w:sz w:val="23"/>
          <w:szCs w:val="23"/>
          <w:lang w:val="pt-BR"/>
        </w:rPr>
        <w:t xml:space="preserve"> et al.,</w:t>
      </w:r>
      <w:r w:rsidR="00C813DE" w:rsidRPr="00A65B69">
        <w:rPr>
          <w:noProof/>
          <w:color w:val="000000" w:themeColor="text1"/>
          <w:sz w:val="23"/>
          <w:szCs w:val="23"/>
          <w:lang w:val="pt-BR"/>
        </w:rPr>
        <w:t xml:space="preserve"> 2016)</w:t>
      </w:r>
      <w:r w:rsidR="00C813DE" w:rsidRPr="00A65B69">
        <w:rPr>
          <w:color w:val="000000" w:themeColor="text1"/>
          <w:sz w:val="23"/>
          <w:szCs w:val="23"/>
          <w:lang w:val="pt-BR"/>
        </w:rPr>
        <w:fldChar w:fldCharType="end"/>
      </w:r>
      <w:r w:rsidR="008F18BC" w:rsidRPr="00A65B69">
        <w:rPr>
          <w:color w:val="000000" w:themeColor="text1"/>
          <w:sz w:val="23"/>
          <w:szCs w:val="23"/>
          <w:lang w:val="pt-BR"/>
        </w:rPr>
        <w:t xml:space="preserve">, melhorar a qualidade do sono das pessoas com DP também é um aspecto que vem chamando </w:t>
      </w:r>
      <w:r w:rsidR="008F18BC" w:rsidRPr="00A65B69">
        <w:rPr>
          <w:color w:val="000000" w:themeColor="text1"/>
          <w:sz w:val="23"/>
          <w:szCs w:val="23"/>
          <w:lang w:val="pt-BR"/>
        </w:rPr>
        <w:lastRenderedPageBreak/>
        <w:t xml:space="preserve">atenção da comunidade científica </w:t>
      </w:r>
      <w:r w:rsidR="00C813DE" w:rsidRPr="00A65B69">
        <w:rPr>
          <w:color w:val="000000" w:themeColor="text1"/>
          <w:sz w:val="23"/>
          <w:szCs w:val="23"/>
          <w:lang w:val="pt-BR"/>
        </w:rPr>
        <w:fldChar w:fldCharType="begin" w:fldLock="1"/>
      </w:r>
      <w:r w:rsidR="00333009" w:rsidRPr="00A65B69">
        <w:rPr>
          <w:color w:val="000000" w:themeColor="text1"/>
          <w:sz w:val="23"/>
          <w:szCs w:val="23"/>
          <w:lang w:val="pt-BR"/>
        </w:rPr>
        <w:instrText>ADDIN CSL_CITATION {"citationItems":[{"id":"ITEM-1","itemData":{"DOI":"10.3389/fnagi.2016.00114","ISSN":"16634365","abstract":"Sleep is an indispensable normal physiology of the human body fundamental for healthy functioning. It has been observed that Parkinson's disease (PD) not only exhibits motor symptoms, but also non-motor symptoms such as metabolic irregularities, altered olfaction, cardiovascular dysfunction, gastrointestinal complications and especially sleep disorders which is the focus of this review. A good understanding and knowledge of the different brain structures involved and how they function in the development of sleep disorders should be well comprehended in order to treat and alleviate these symptoms and enhance quality of life for PD patients. Therefore it is vital that the normal functioning of the body in relation to sleep is well understood before proceeding on to the pathophysiology of PD correlating to its symptoms. Suitable treatment can then be administered toward enhancing the quality of life of these patients, perhaps even discovering the cause for this disease.","author":[{"dropping-particle":"","family":"French","given":"Isobel T.","non-dropping-particle":"","parse-names":false,"suffix":""},{"dropping-particle":"","family":"Muthusamy","given":"Kalai A.","non-dropping-particle":"","parse-names":false,"suffix":""}],"container-title":"Frontiers in Aging Neuroscience","id":"ITEM-1","issue":"MAY","issued":{"date-parts":[["2016"]]},"page":"1-17","title":"A review of sleep and its disorders in patients with Parkinson's disease in relation to various brain structures","type":"article-journal","volume":"8"},"uris":["http://www.mendeley.com/documents/?uuid=d7a2de51-34ee-4175-9292-6c4b706fa584"]},{"id":"ITEM-2","itemData":{"DOI":"10.1038/nrneurol.2011.107","ISSN":"17594758","PMID":"21750523","abstract":"Parkinson disease (PD) is a neurodegenerative disorder characterized by progressive motor and nonmotor impairments. These impairments incline many patients towards a sedentary lifestyle, which has many deleterious consequences. Accumulating evidence suggests that patients with PD might benefit from physical activity and exercise in a number of ways, from general improvements in health to disease-specific effects and, potentially, disease-modifying effects (suggested by animal data). Many issues remain to be addressed, including the need to perform clinical trials to demonstrate these presumed benefits of physical activity and exercise in patients with PD. These trials must also address safety issues, such as an increased risk of falls and cardiovascular complications in more-active patients. Identifying ways to induce a sustained behavioral change, using specifically tailored programs that address potential barriers such as depression, apathy and postural instability, may lead to an improved quality of life in individuals with PD. © 2011 Macmillan Publishers Limited. All rights reserved.","author":[{"dropping-particle":"","family":"Speelman","given":"Arlène D.","non-dropping-particle":"","parse-names":false,"suffix":""},{"dropping-particle":"","family":"Warrenburg","given":"Bart P.","non-dropping-particle":"Van De","parse-names":false,"suffix":""},{"dropping-particle":"","family":"Nimwegen","given":"Marlies","non-dropping-particle":"Van","parse-names":false,"suffix":""},{"dropping-particle":"","family":"Petzinger","given":"Giselle M.","non-dropping-particle":"","parse-names":false,"suffix":""},{"dropping-particle":"","family":"Munneke","given":"Marten","non-dropping-particle":"","parse-names":false,"suffix":""},{"dropping-particle":"","family":"Bloem","given":"Bastiaan R.","non-dropping-particle":"","parse-names":false,"suffix":""}],"container-title":"Nature Reviews Neurology","id":"ITEM-2","issue":"9","issued":{"date-parts":[["2011"]]},"page":"528-534","publisher":"Nature Publishing Group","title":"How might physical activity benefit patients with Parkinson disease?","type":"article-journal","volume":"7"},"uris":["http://www.mendeley.com/documents/?uuid=a9b4d5d0-2f75-4d76-9e6c-339f799e138d"]},{"id":"ITEM-3","itemData":{"DOI":"10.1016/bs.irn.2017.05.037","ISSN":"21625514","PMID":"28805568","abstract":"The use of complementary and alternative medicine (CAM) therapy in nonmotor symptoms (NMS) for Parkinson disease (PD) is growing worldwide. Well-performed, systematic evidence-based research is largely lacking in this area and many studies include various forms of CAM with small patient numbers and a lack of standardization of the approaches studied. Taichi, Qigong, dance, yoga, mindfulness, acupuncture, and other CAM therapies are reviewed and there is some evidence for the following: Taichi in sleep and PDQ39; dance in cognition, apathy, and a mild trend to improved fatigue; yoga in PDQ39; and acupuncture in depression, PDQ39, and sleep. Exercise including occupational therapy (OT) and physical therapy (PT) has been studied in motor symptoms of PD and balance but only with small studies with a mounting evidence base for use of exercise in NMS of PD including PDQ39, sleep, fatigue, depression, and some subsets of cognition. Studies of OT and PT largely show some benefit to depression, apathy, and anxiety. Sustainability of an improvement has not been shown given short duration of follow up. Finding optimal control groups and blind for these interventions is also an issue. This is a very important area of study since patients want to be self-empowered and they want guidance on which form of exercise is the best. Additionally, evidence for PT and OT in NMS would give added weight to get these interventions covered through medical insurance.","author":[{"dropping-particle":"","family":"Subramanian","given":"Indu","non-dropping-particle":"","parse-names":false,"suffix":""}],"container-title":"International Review of Neurobiology","edition":"1","id":"ITEM-3","issued":{"date-parts":[["2017"]]},"number-of-pages":"1163-1188","publisher":"Elsevier Inc.","title":"Complementary and Alternative Medicine and Exercise in Nonmotor Symptoms of Parkinson's Disease","type":"book","volume":"134"},"uris":["http://www.mendeley.com/documents/?uuid=ece6db38-d474-4a5f-a3b6-ef75f1095193"]}],"mendeley":{"formattedCitation":"(FRENCH; MUTHUSAMY, 2016; SPEELMAN et al., 2011; SUBRAMANIAN, 2017)","manualFormatting":"(FRENCH et al 2016; SPEELMAN et al., 2011; SUBRAMANIAN, 2017)","plainTextFormattedCitation":"(FRENCH; MUTHUSAMY, 2016; SPEELMAN et al., 2011; SUBRAMANIAN, 2017)","previouslyFormattedCitation":"(FRENCH; MUTHUSAMY, 2016; SPEELMAN et al., 2011; SUBRAMANIAN, 2017)"},"properties":{"noteIndex":0},"schema":"https://github.com/citation-style-language/schema/raw/master/csl-citation.json"}</w:instrText>
      </w:r>
      <w:r w:rsidR="00C813DE" w:rsidRPr="00A65B69">
        <w:rPr>
          <w:color w:val="000000" w:themeColor="text1"/>
          <w:sz w:val="23"/>
          <w:szCs w:val="23"/>
          <w:lang w:val="pt-BR"/>
        </w:rPr>
        <w:fldChar w:fldCharType="separate"/>
      </w:r>
      <w:r w:rsidR="00FF4342" w:rsidRPr="00A65B69">
        <w:rPr>
          <w:noProof/>
          <w:color w:val="000000" w:themeColor="text1"/>
          <w:sz w:val="23"/>
          <w:szCs w:val="23"/>
          <w:lang w:val="pt-BR"/>
        </w:rPr>
        <w:t>(FRENCH</w:t>
      </w:r>
      <w:r w:rsidR="00251A6A" w:rsidRPr="00A65B69">
        <w:rPr>
          <w:noProof/>
          <w:color w:val="000000" w:themeColor="text1"/>
          <w:sz w:val="23"/>
          <w:szCs w:val="23"/>
          <w:lang w:val="pt-BR"/>
        </w:rPr>
        <w:t xml:space="preserve"> et al</w:t>
      </w:r>
      <w:r w:rsidR="00FF4342" w:rsidRPr="00A65B69">
        <w:rPr>
          <w:noProof/>
          <w:color w:val="000000" w:themeColor="text1"/>
          <w:sz w:val="23"/>
          <w:szCs w:val="23"/>
          <w:lang w:val="pt-BR"/>
        </w:rPr>
        <w:t xml:space="preserve"> 2016; SPEELMAN et al., 2011; SUBRAMANIAN, 2017)</w:t>
      </w:r>
      <w:r w:rsidR="00C813DE" w:rsidRPr="00A65B69">
        <w:rPr>
          <w:color w:val="000000" w:themeColor="text1"/>
          <w:sz w:val="23"/>
          <w:szCs w:val="23"/>
          <w:lang w:val="pt-BR"/>
        </w:rPr>
        <w:fldChar w:fldCharType="end"/>
      </w:r>
      <w:r w:rsidR="008F18BC" w:rsidRPr="00A65B69">
        <w:rPr>
          <w:color w:val="000000" w:themeColor="text1"/>
          <w:sz w:val="23"/>
          <w:szCs w:val="23"/>
          <w:lang w:val="pt-BR"/>
        </w:rPr>
        <w:t xml:space="preserve">. </w:t>
      </w:r>
    </w:p>
    <w:p w14:paraId="7EA40267" w14:textId="7722EB7C" w:rsidR="008F18BC" w:rsidRPr="00A65B69" w:rsidRDefault="0020751A" w:rsidP="00447787">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 xml:space="preserve">Embora </w:t>
      </w:r>
      <w:r w:rsidR="0009695F" w:rsidRPr="00A65B69">
        <w:rPr>
          <w:color w:val="000000" w:themeColor="text1"/>
          <w:sz w:val="23"/>
          <w:szCs w:val="23"/>
          <w:lang w:val="pt-BR"/>
        </w:rPr>
        <w:t xml:space="preserve">os fatores desencadeantes </w:t>
      </w:r>
      <w:r w:rsidR="00C6436A" w:rsidRPr="00A65B69">
        <w:rPr>
          <w:color w:val="000000" w:themeColor="text1"/>
          <w:sz w:val="23"/>
          <w:szCs w:val="23"/>
          <w:lang w:val="pt-BR"/>
        </w:rPr>
        <w:t>da doença de Parkinson ainda seja</w:t>
      </w:r>
      <w:r w:rsidR="0009695F" w:rsidRPr="00A65B69">
        <w:rPr>
          <w:color w:val="000000" w:themeColor="text1"/>
          <w:sz w:val="23"/>
          <w:szCs w:val="23"/>
          <w:lang w:val="pt-BR"/>
        </w:rPr>
        <w:t>m</w:t>
      </w:r>
      <w:r w:rsidR="00C6436A" w:rsidRPr="00A65B69">
        <w:rPr>
          <w:color w:val="000000" w:themeColor="text1"/>
          <w:sz w:val="23"/>
          <w:szCs w:val="23"/>
          <w:lang w:val="pt-BR"/>
        </w:rPr>
        <w:t xml:space="preserve"> muito discutid</w:t>
      </w:r>
      <w:r w:rsidR="0009695F" w:rsidRPr="00A65B69">
        <w:rPr>
          <w:color w:val="000000" w:themeColor="text1"/>
          <w:sz w:val="23"/>
          <w:szCs w:val="23"/>
          <w:lang w:val="pt-BR"/>
        </w:rPr>
        <w:t>os</w:t>
      </w:r>
      <w:r w:rsidR="00C6436A" w:rsidRPr="00A65B69">
        <w:rPr>
          <w:color w:val="000000" w:themeColor="text1"/>
          <w:sz w:val="23"/>
          <w:szCs w:val="23"/>
          <w:lang w:val="pt-BR"/>
        </w:rPr>
        <w:t xml:space="preserve">, </w:t>
      </w:r>
      <w:r w:rsidR="008F18BC" w:rsidRPr="00A65B69">
        <w:rPr>
          <w:color w:val="000000" w:themeColor="text1"/>
          <w:sz w:val="23"/>
          <w:szCs w:val="23"/>
          <w:lang w:val="pt-BR"/>
        </w:rPr>
        <w:t xml:space="preserve">déficits no metabolismo/homeostase do ferro têm sido </w:t>
      </w:r>
      <w:r w:rsidR="00C6436A" w:rsidRPr="00A65B69">
        <w:rPr>
          <w:color w:val="000000" w:themeColor="text1"/>
          <w:sz w:val="23"/>
          <w:szCs w:val="23"/>
          <w:lang w:val="pt-BR"/>
        </w:rPr>
        <w:t xml:space="preserve">considerados </w:t>
      </w:r>
      <w:r w:rsidR="0009695F" w:rsidRPr="00A65B69">
        <w:rPr>
          <w:color w:val="000000" w:themeColor="text1"/>
          <w:sz w:val="23"/>
          <w:szCs w:val="23"/>
          <w:lang w:val="pt-BR"/>
        </w:rPr>
        <w:t>marcadores</w:t>
      </w:r>
      <w:r w:rsidR="0009695F" w:rsidRPr="00A65B69">
        <w:rPr>
          <w:i/>
          <w:iCs/>
          <w:color w:val="000000" w:themeColor="text1"/>
          <w:sz w:val="23"/>
          <w:szCs w:val="23"/>
          <w:lang w:val="pt-BR"/>
        </w:rPr>
        <w:t xml:space="preserve"> </w:t>
      </w:r>
      <w:r w:rsidR="005F082E" w:rsidRPr="00A65B69">
        <w:rPr>
          <w:color w:val="000000" w:themeColor="text1"/>
          <w:sz w:val="23"/>
          <w:szCs w:val="23"/>
          <w:lang w:val="pt-BR"/>
        </w:rPr>
        <w:t xml:space="preserve">importantes </w:t>
      </w:r>
      <w:r w:rsidR="00C6436A" w:rsidRPr="00A65B69">
        <w:rPr>
          <w:color w:val="000000" w:themeColor="text1"/>
          <w:sz w:val="23"/>
          <w:szCs w:val="23"/>
          <w:lang w:val="pt-BR"/>
        </w:rPr>
        <w:t xml:space="preserve">para </w:t>
      </w:r>
      <w:r w:rsidR="008F18BC" w:rsidRPr="00A65B69">
        <w:rPr>
          <w:color w:val="000000" w:themeColor="text1"/>
          <w:sz w:val="23"/>
          <w:szCs w:val="23"/>
          <w:lang w:val="pt-BR"/>
        </w:rPr>
        <w:t xml:space="preserve">a patogênese da DP. Estudos recentes indicaram </w:t>
      </w:r>
      <w:r w:rsidR="000F3770" w:rsidRPr="00A65B69">
        <w:rPr>
          <w:color w:val="000000" w:themeColor="text1"/>
          <w:sz w:val="23"/>
          <w:szCs w:val="23"/>
          <w:lang w:val="pt-BR"/>
        </w:rPr>
        <w:t>que pessoas</w:t>
      </w:r>
      <w:r w:rsidR="008F18BC" w:rsidRPr="00A65B69">
        <w:rPr>
          <w:color w:val="000000" w:themeColor="text1"/>
          <w:sz w:val="23"/>
          <w:szCs w:val="23"/>
          <w:lang w:val="pt-BR"/>
        </w:rPr>
        <w:t xml:space="preserve"> com </w:t>
      </w:r>
      <w:r w:rsidR="00B176ED" w:rsidRPr="00A65B69">
        <w:rPr>
          <w:color w:val="000000" w:themeColor="text1"/>
          <w:sz w:val="23"/>
          <w:szCs w:val="23"/>
          <w:lang w:val="pt-BR"/>
        </w:rPr>
        <w:t>DP</w:t>
      </w:r>
      <w:r w:rsidR="008F18BC" w:rsidRPr="00A65B69">
        <w:rPr>
          <w:color w:val="000000" w:themeColor="text1"/>
          <w:sz w:val="23"/>
          <w:szCs w:val="23"/>
          <w:lang w:val="pt-BR"/>
        </w:rPr>
        <w:t xml:space="preserve"> apresentam</w:t>
      </w:r>
      <w:r w:rsidR="0093715A" w:rsidRPr="00A65B69">
        <w:rPr>
          <w:color w:val="000000" w:themeColor="text1"/>
          <w:sz w:val="23"/>
          <w:szCs w:val="23"/>
          <w:lang w:val="pt-BR"/>
        </w:rPr>
        <w:t xml:space="preserve"> </w:t>
      </w:r>
      <w:r w:rsidR="008F18BC" w:rsidRPr="00A65B69">
        <w:rPr>
          <w:color w:val="000000" w:themeColor="text1"/>
          <w:sz w:val="23"/>
          <w:szCs w:val="23"/>
          <w:lang w:val="pt-BR"/>
        </w:rPr>
        <w:t>diminuição da concentração de ferro circulante no sangue</w:t>
      </w:r>
      <w:r w:rsidR="00C813DE" w:rsidRPr="00A65B69">
        <w:rPr>
          <w:color w:val="000000" w:themeColor="text1"/>
          <w:sz w:val="23"/>
          <w:szCs w:val="23"/>
          <w:lang w:val="pt-BR"/>
        </w:rPr>
        <w:t xml:space="preserve"> </w:t>
      </w:r>
      <w:r w:rsidR="001758FD" w:rsidRPr="00A65B69">
        <w:rPr>
          <w:color w:val="000000" w:themeColor="text1"/>
          <w:sz w:val="23"/>
          <w:szCs w:val="23"/>
          <w:lang w:val="pt-BR"/>
        </w:rPr>
        <w:fldChar w:fldCharType="begin" w:fldLock="1"/>
      </w:r>
      <w:r w:rsidR="001758FD" w:rsidRPr="00A65B69">
        <w:rPr>
          <w:color w:val="000000" w:themeColor="text1"/>
          <w:sz w:val="23"/>
          <w:szCs w:val="23"/>
          <w:lang w:val="pt-BR"/>
        </w:rPr>
        <w:instrText>ADDIN CSL_CITATION {"citationItems":[{"id":"ITEM-1","itemData":{"DOI":"10.1016/j.jns.2017.04.035.Brain","abstract":"Tobacco use is the leading preventable cause of death worldwide and a major risk factor for cardiovascular disease (CVD). Both prevention of smoking initiation among youth and smoking cessation among established smokers are key for reducing smoking prevalence and the associated negative health consequences. Proven tobacco cessation treatment includes pharmacotherapy and behavioral support, which are most effective when provided together. First-line medications (varenicline, bupropion, and nicotine replacement) are effective and safe for patients with CVD. Clinicians who care for patients with CVD should give as high a priority to treating tobacco use as to managing other CVD risk factors. Broader tobacco control efforts to raise tobacco taxes, adopt smoke-free laws, conduct mass media campaigns, and restrict tobacco marketing enhance clinicians’ actions working with individual smokers. Condensed","author":[{"dropping-particle":"","family":"Costa-Mallen","given":"Paola","non-dropping-particle":"","parse-names":false,"suffix":""},{"dropping-particle":"","family":"Gatenby","given":"Christopher","non-dropping-particle":"","parse-names":false,"suffix":""},{"dropping-particle":"","family":"Friend","given":"Sally","non-dropping-particle":"","parse-names":false,"suffix":""},{"dropping-particle":"","family":"Maravilla","given":"Kenneth R.","non-dropping-particle":"","parse-names":false,"suffix":""},{"dropping-particle":"","family":"Hu","given":"Shu- Ching","non-dropping-particle":"","parse-names":false,"suffix":""},{"dropping-particle":"","family":"Cain","given":"Kevin C.","non-dropping-particle":"","parse-names":false,"suffix":""},{"dropping-particle":"","family":"Agarwale","given":"Pinky","non-dropping-particle":"","parse-names":false,"suffix":""},{"dropping-particle":"","family":"Anzai","given":"Yoshimi","non-dropping-particle":"","parse-names":false,"suffix":""}],"container-title":"J Neurol Sci","id":"ITEM-1","issue":"23","issued":{"date-parts":[["2018"]]},"page":"2964-2979","title":"Brain Iron Concentrations in Regions of Interest and Relation with Serum Iron Levels in Parkinson Disease","type":"article-journal","volume":"72"},"uris":["http://www.mendeley.com/documents/?uuid=1e992335-cb4d-41ea-b13b-29c180bd5032"]},{"id":"ITEM-2","itemData":{"DOI":"10.1016/j.neulet.2018.07.004","ISSN":"18727972","PMID":"29981876","abstract":"Accumulating evidence suggests that iron metabolism may be involved in the pathophysiology of Parkinson's disease (PD), and particularly in motor phenotype. This investigation aimed to examine plasma iron metabolism related indicators in patients with tremor-dominant phenotype of PD and determine less invasive, potential markers from plasma, which could partially reflect pathophysiological mechanisms of the brain. Seventy-six PD patients were recruited and thirty-three of them were classified into the tremor-dominant PD (TD-PD) group and forty-three into the non-tremor dominant PD (NT-PD) group, as determined by clinical characteristics. Plasma iron, ceruloplasmin, transferrin and ferritin levels were measured using Beckman Coulter AU biochemical assays, immune transmission turbidimetry method, scatter turbidimetry method and chemiluminescence method, respectively. Spearman's correlation analysis and multiple linear regression analysis were used for further study. Compared to healthy controls, TD-PD patients exhibited lower plasma iron level (p = 0.006) and higher transferrin level (p &lt; 0.001). Plasma transferrin level was much higher in the TD-PD as compared to NT-PD (p = 0.003). Furthermore, plasma transferrin level was positively correlated with the severity of tremor in TD-PD (r = 0.358, p = 0.041). Multiple linear regression further demonstrated significant associations of plasma transferrin level with severity of tremor in TD-PD (regression coefficient = 0.253, P = 0.016), independently from other confounding factors. The elevated plasma transferrin level, combining with decreased plasma iron level might be given considerable weight in the recognition of parkinsonian tremor.","author":[{"dropping-particle":"","family":"Si","given":"Qian Qian","non-dropping-particle":"","parse-names":false,"suffix":""},{"dropping-particle":"","family":"Yuan","given":"Yong Sheng","non-dropping-particle":"","parse-names":false,"suffix":""},{"dropping-particle":"","family":"Zhi","given":"Yan","non-dropping-particle":"","parse-names":false,"suffix":""},{"dropping-particle":"","family":"Tong","given":"Qing","non-dropping-particle":"","parse-names":false,"suffix":""},{"dropping-particle":"","family":"Zhang","given":"Li","non-dropping-particle":"","parse-names":false,"suffix":""},{"dropping-particle":"","family":"Zhang","given":"Kezhong","non-dropping-particle":"","parse-names":false,"suffix":""}],"container-title":"Neuroscience Letters","id":"ITEM-2","issue":"300","issued":{"date-parts":[["2018"]]},"page":"42-46","publisher":"Elsevier","title":"Plasma transferrin level correlates with the tremor-dominant phenotype of Parkinson's disease","type":"article-journal","volume":"684"},"uris":["http://www.mendeley.com/documents/?uuid=1c06a445-5dca-43aa-8ee1-e4e083d31504"]},{"id":"ITEM-3","itemData":{"DOI":"10.1007/s00702-018-1889-x","ISBN":"0123456789","ISSN":"14351463","PMID":"29748849","abstract":"Despite a growing body of evidence suggests that abnormal iron metabolism plays an important role in the pathogenesis of Parkinson’s disease (PD), few studies explored its role in non-motor symptoms (NMS) of PD. The present study aimed to investigate the relationship between abnormal iron metabolism and NMS of PD. Seventy PD patients and 64 healthy controls were consecutively recruited to compare serum iron, ceruloplasmin, ferritin, and transferrin levels. We evaluated five classic NMS, including depression, anxiety, pain, sleep disorder, and autonomic dysfunction in PD patients using the Hamilton Depression Scale (HAMD), the Hamilton Anxiety Scale (HAMA), the short form of the McGill Pain Questionnaire, the Pittsburgh Sleep Quality Index and the Scale for Outcomes in Parkinson’s disease for Autonomic Symptoms, respectively. Hierarchical multiple regression analysis was used to investigate the correlations between abnormal iron metabolism and NMS. No differences in serum ceruloplasmin and ferritin levels were examined between PD patients and healthy controls, but we observed significantly decreased serum iron levels and increased serum transferrin levels in PD patients in comparison with healthy controls. After eliminating confounding factors, HAMD scores and HAMA scores were both negatively correlated with serum iron levels and positively correlated with serum transferrin levels. In summary, abnormal iron metabolism might play a crucial role in the pathogenesis of depression and anxiety in PD. Serums levels of iron and transferrin could be peripheral markers for depression and anxiety in PD.","author":[{"dropping-particle":"","family":"Xu","given":"Wu","non-dropping-particle":"","parse-names":false,"suffix":""},{"dropping-particle":"","family":"Zhi","given":"Yan","non-dropping-particle":"","parse-names":false,"suffix":""},{"dropping-particle":"","family":"Yuan","given":"Yongsheng","non-dropping-particle":"","parse-names":false,"suffix":""},{"dropping-particle":"","family":"Zhang","given":"Bingfeng","non-dropping-particle":"","parse-names":false,"suffix":""},{"dropping-particle":"","family":"Shen","given":"Yuting","non-dropping-particle":"","parse-names":false,"suffix":""},{"dropping-particle":"","family":"Zhang","given":"Hui","non-dropping-particle":"","parse-names":false,"suffix":""},{"dropping-particle":"","family":"Zhang","given":"Kezhong","non-dropping-particle":"","parse-names":false,"suffix":""},{"dropping-particle":"","family":"Xu","given":"Yun","non-dropping-particle":"","parse-names":false,"suffix":""}],"container-title":"Journal of Neural Transmission","id":"ITEM-3","issue":"7","issued":{"date-parts":[["2018"]]},"page":"1027-1032","title":"Correlations between abnormal iron metabolism and non-motor symptoms in Parkinson’s disease","type":"article-journal","volume":"125"},"uris":["http://www.mendeley.com/documents/?uuid=d887b17b-0869-40b3-9b18-7e95ab62362f"]}],"mendeley":{"formattedCitation":"(COSTA-MALLEN et al., 2018; SI et al., 2018; XU et al., 2018)","plainTextFormattedCitation":"(COSTA-MALLEN et al., 2018; SI et al., 2018; XU et al., 2018)","previouslyFormattedCitation":"(COSTA-MALLEN et al., 2018; SI et al., 2018; XU et al., 2018)"},"properties":{"noteIndex":0},"schema":"https://github.com/citation-style-language/schema/raw/master/csl-citation.json"}</w:instrText>
      </w:r>
      <w:r w:rsidR="001758FD" w:rsidRPr="00A65B69">
        <w:rPr>
          <w:color w:val="000000" w:themeColor="text1"/>
          <w:sz w:val="23"/>
          <w:szCs w:val="23"/>
          <w:lang w:val="pt-BR"/>
        </w:rPr>
        <w:fldChar w:fldCharType="separate"/>
      </w:r>
      <w:r w:rsidR="001758FD" w:rsidRPr="00A65B69">
        <w:rPr>
          <w:noProof/>
          <w:color w:val="000000" w:themeColor="text1"/>
          <w:sz w:val="23"/>
          <w:szCs w:val="23"/>
          <w:lang w:val="pt-BR"/>
        </w:rPr>
        <w:t>(COSTA-MALLEN et al., 2018; SI et al., 2018; XU et al., 2018)</w:t>
      </w:r>
      <w:r w:rsidR="001758FD" w:rsidRPr="00A65B69">
        <w:rPr>
          <w:color w:val="000000" w:themeColor="text1"/>
          <w:sz w:val="23"/>
          <w:szCs w:val="23"/>
          <w:lang w:val="pt-BR"/>
        </w:rPr>
        <w:fldChar w:fldCharType="end"/>
      </w:r>
      <w:r w:rsidR="008F18BC" w:rsidRPr="00A65B69">
        <w:rPr>
          <w:color w:val="000000" w:themeColor="text1"/>
          <w:sz w:val="23"/>
          <w:szCs w:val="23"/>
          <w:lang w:val="pt-BR"/>
        </w:rPr>
        <w:t>,</w:t>
      </w:r>
      <w:r w:rsidR="0093715A" w:rsidRPr="00A65B69">
        <w:rPr>
          <w:color w:val="000000" w:themeColor="text1"/>
          <w:sz w:val="23"/>
          <w:szCs w:val="23"/>
          <w:lang w:val="pt-BR"/>
        </w:rPr>
        <w:t xml:space="preserve"> o que é acompanhado pelo</w:t>
      </w:r>
      <w:r w:rsidR="008F18BC" w:rsidRPr="00A65B69">
        <w:rPr>
          <w:color w:val="000000" w:themeColor="text1"/>
          <w:sz w:val="23"/>
          <w:szCs w:val="23"/>
          <w:lang w:val="pt-BR"/>
        </w:rPr>
        <w:t xml:space="preserve"> aumento na concentração de ferro nos </w:t>
      </w:r>
      <w:r w:rsidR="006D2059" w:rsidRPr="00A65B69">
        <w:rPr>
          <w:color w:val="000000" w:themeColor="text1"/>
          <w:sz w:val="23"/>
          <w:szCs w:val="23"/>
          <w:lang w:val="pt-BR"/>
        </w:rPr>
        <w:t>núcleos</w:t>
      </w:r>
      <w:r w:rsidR="008F18BC" w:rsidRPr="00A65B69">
        <w:rPr>
          <w:color w:val="000000" w:themeColor="text1"/>
          <w:sz w:val="23"/>
          <w:szCs w:val="23"/>
          <w:lang w:val="pt-BR"/>
        </w:rPr>
        <w:t xml:space="preserve"> da base (i.e., putâmen, globo pálido, núcleo rubro, núcleo caudado) e</w:t>
      </w:r>
      <w:r w:rsidR="00B176ED" w:rsidRPr="00A65B69">
        <w:rPr>
          <w:color w:val="000000" w:themeColor="text1"/>
          <w:sz w:val="23"/>
          <w:szCs w:val="23"/>
          <w:lang w:val="pt-BR"/>
        </w:rPr>
        <w:t xml:space="preserve"> na</w:t>
      </w:r>
      <w:r w:rsidR="008F18BC" w:rsidRPr="00A65B69">
        <w:rPr>
          <w:color w:val="000000" w:themeColor="text1"/>
          <w:sz w:val="23"/>
          <w:szCs w:val="23"/>
          <w:lang w:val="pt-BR"/>
        </w:rPr>
        <w:t xml:space="preserve"> substância negra</w:t>
      </w:r>
      <w:r w:rsidR="001758FD" w:rsidRPr="00A65B69">
        <w:rPr>
          <w:color w:val="000000" w:themeColor="text1"/>
          <w:sz w:val="23"/>
          <w:szCs w:val="23"/>
          <w:lang w:val="pt-BR"/>
        </w:rPr>
        <w:t xml:space="preserve"> </w:t>
      </w:r>
      <w:r w:rsidR="001758FD" w:rsidRPr="00A65B69">
        <w:rPr>
          <w:color w:val="000000" w:themeColor="text1"/>
          <w:sz w:val="23"/>
          <w:szCs w:val="23"/>
          <w:lang w:val="pt-BR"/>
        </w:rPr>
        <w:fldChar w:fldCharType="begin" w:fldLock="1"/>
      </w:r>
      <w:r w:rsidR="00407D22" w:rsidRPr="00A65B69">
        <w:rPr>
          <w:color w:val="000000" w:themeColor="text1"/>
          <w:sz w:val="23"/>
          <w:szCs w:val="23"/>
          <w:lang w:val="pt-BR"/>
        </w:rPr>
        <w:instrText>ADDIN CSL_CITATION {"citationItems":[{"id":"ITEM-1","itemData":{"DOI":"10.1523/JNEUROSCI.1907-15.2016","ISSN":"15292401","PMID":"26758829","abstract":"Disruption of iron homeostasis as a consequence of aging is thought to cause iron levels to increase, potentially promoting oxidative cellular damage. Therefore, understanding how this process evolves through the lifespan could offer insights into both the aging process and the development of aging-related neurodegenerative brain diseases. This work aimed to map, in vivo for the first time with an unbiased whole-brain approach, age-related iron changes using quantitative susceptibility mapping (QSM)—a new postprocessed MRI contrast mechanism. To this end, a full QSM standardization routine was devised and a cohort of N = 116 healthy adults (20–79 years of age) was studied. The whole-brain and ROI analyses confirmed that the propensity of brain cells to accumulate excessive iron as a function of aging largely depends on their exact anatomical location. Whereas only patchy signs of iron scavenging were observed in white matter, strong, bilateral, and confluent QSM–age associations were identified in several deep-brain nuclei—chiefly the striatum and midbrain—and across motor, premotor, posterior insular, superior prefrontal, and cerebellar cortices. The validity of QSM as a suitable in vivo imaging technique with which to monitor iron dysregulation in the human brain was demonstrated by confirming age-related increases in several subcortical nuclei that are known to accumulate iron with age. The study indicated that, in addition to these structures, there is a predilection for iron accumulation in the frontal lobes, which when combined with the subcortical findings, suggests that iron accumulation with age predominantly affects brain regions concerned with motor/output functions.","author":[{"dropping-particle":"","family":"Acosta-Cabronero","given":"Julio","non-dropping-particle":"","parse-names":false,"suffix":""},{"dropping-particle":"","family":"Betts","given":"Matthew J.","non-dropping-particle":"","parse-names":false,"suffix":""},{"dropping-particle":"","family":"Cardenas-Blanco","given":"Arturo","non-dropping-particle":"","parse-names":false,"suffix":""},{"dropping-particle":"","family":"Yang","given":"Shan","non-dropping-particle":"","parse-names":false,"suffix":""},{"dropping-particle":"","family":"Nestor","given":"Peter J.","non-dropping-particle":"","parse-names":false,"suffix":""}],"container-title":"Journal of Neuroscience","id":"ITEM-1","issue":"2","issued":{"date-parts":[["2016"]]},"page":"364-374","title":"In vivo MRI mapping of brain iron deposition across the adult lifespan","type":"article-journal","volume":"36"},"uris":["http://www.mendeley.com/documents/?uuid=c49c4a48-597b-4983-8458-8d14a8d49ea0"]},{"id":"ITEM-2","itemData":{"DOI":"10.1186/s12868-019-0505-9","ISSN":"14712202","PMID":"31117957","abstract":"Background: Patients with Parkinson's disease (PD) have elevated levels of brain iron, especially in the nigrostriatal dopaminergic system. The purpose of this study was to evaluate the iron deposition in the substantia nigra (SN) and other deep gray matter nuclei of PD patients using quantitative susceptibility mapping (QSM) and its clinical relationship, and to explore whether there is a gradient of iron deposition pattern in globus pallidus (GP)-fascicula nigrale (FN)-SN pathway. Methods: Thirty-three PD patients and 26 age- and sex-matched healthy volunteers (HVs) were included in this study. Subjects underwent brain MRI and constructed QSM data. The differences in iron accumulation in the deep gray matter nuclei of the subjects were compared, including the PD group and the control group, the early-stage PD (EPD) group and the late-stage PD (LPD) group. The iron deposition pattern of the GP-FN-SN pathway was analyzed. Results: The PD group showed increased susceptibility values in the FN, substantia nigra pars compacta (SNc), internal globus pallidus (GPi), red nucleus (RN), putamen and caudate nucleus compared with the HV group (P &lt; 0.05). In both PD and HV group, iron deposition along the GP-FN-SN pathway did not show an increasing gradient pattern. The SNc, substantia nigra pars reticulata (SNr) and RN showed significantly increased susceptibility values in the LPD patients compared with the EPD patients. Conclusion: PD is closely related to iron deposition in the SNc. The condition of PD patients is related to the SNc and the SNr. There is not an increasing iron deposition gradient along the GP-FN-SN pathway. The source and mechanism of iron deposition in the SN need to be further explored, as does the relationship between the iron deposition in the RN and PD.","author":[{"dropping-particle":"","family":"Chen","given":"Qiqi","non-dropping-particle":"","parse-names":false,"suffix":""},{"dropping-particle":"","family":"Chen","given":"Yiting","non-dropping-particle":"","parse-names":false,"suffix":""},{"dropping-particle":"","family":"Zhang","given":"Yue","non-dropping-particle":"","parse-names":false,"suffix":""},{"dropping-particle":"","family":"Wang","given":"Furu","non-dropping-particle":"","parse-names":false,"suffix":""},{"dropping-particle":"","family":"Yu","given":"Hongchang","non-dropping-particle":"","parse-names":false,"suffix":""},{"dropping-particle":"","family":"Zhang","given":"Caiyuan","non-dropping-particle":"","parse-names":false,"suffix":""},{"dropping-particle":"","family":"Jiang","given":"Zhen","non-dropping-particle":"","parse-names":false,"suffix":""},{"dropping-particle":"","family":"Luo","given":"Weifeng","non-dropping-particle":"","parse-names":false,"suffix":""}],"container-title":"BMC Neuroscience","id":"ITEM-2","issue":"1","issued":{"date-parts":[["2019"]]},"page":"1-8","publisher":"BioMed Central","title":"Iron deposition in Parkinson's disease by quantitative susceptibility mapping","type":"article-journal","volume":"20"},"uris":["http://www.mendeley.com/documents/?uuid=eea58541-7004-41f0-a76a-42859eac7bed"]},{"id":"ITEM-3","itemData":{"DOI":"10.1002/jmri.25434","ISSN":"15222586","PMID":"27545971","abstract":"Purpose: Because the roles of striatal-thalamo-cortical and cerebello-thalamo-cortical circuits in the heterogeneous motor impairments of Parkinson's disease (PD) are becoming recognized, this study was designed to investigate the relationships between regional iron in the cardinal subcortical nuclei in these circuits and the different motor impairments. Materials and Methods: Sixty-two PD patients and 40 normal subjects were included and accepted for Enhanced T2-Star Weighted Angiography Scanning (3.0T). According to the Unified Parkinson's Disease Rating Scale, patients were divided into tremor-dominant (PD-TD) and akinetic/rigid-dominant groups (PD-AR). The intergroup differences of magnetic susceptibility in those cardinal nuclei were measured. Correlation analyses between magnetic susceptibility and motor impairments were performed in all patients. Results: Nigral magnetic susceptibility significantly increased for each PD group compared with controls (P &lt; 0.001 for PD-TD; P = 0.001 for PD-AR). Magnetic susceptibility in the dentate nucleus (DN) and red nucleus (RN) for the PD-TD patients were significantly increased compared with controls (P &lt; 0.001 and P = 0.004, respectively). Magnetic susceptibility in these regions was also significantly correlated with tremor severity (r = 0.444, P = 0.001 for DN; r = 0.418, P = 0.001 for RN). Significant correlation between caudate magnetic susceptibility and akinetic/rigid severity were observed (r = –0.322, P = 0.015). Conclusion: This study provides evidence that nigral iron accumulation is a common characteristic in PD, while iron accumulation in the DN and RN is correlated with tremor symptoms. Our data also indicate that caudate iron content may be a potential marker for akinetic/rigid progression. Level of Evidence: 3. J. MAGN. RESON. IMAGING 2017;45:1335–1342.","author":[{"dropping-particle":"","family":"Guan","given":"Xiaojun","non-dropping-particle":"","parse-names":false,"suffix":""},{"dropping-particle":"","family":"Xuan","given":"Min","non-dropping-particle":"","parse-names":false,"suffix":""},{"dropping-particle":"","family":"Gu","given":"Quanquan","non-dropping-particle":"","parse-names":false,"suffix":""},{"dropping-particle":"","family":"Xu","given":"Xiaojun","non-dropping-particle":"","parse-names":false,"suffix":""},{"dropping-particle":"","family":"Huang","given":"Peiyu","non-dropping-particle":"","parse-names":false,"suffix":""},{"dropping-particle":"","family":"Wang","given":"Nian","non-dropping-particle":"","parse-names":false,"suffix":""},{"dropping-particle":"","family":"Shen","given":"Zhujing","non-dropping-particle":"","parse-names":false,"suffix":""},{"dropping-particle":"","family":"Xu","given":"Jingjing","non-dropping-particle":"","parse-names":false,"suffix":""},{"dropping-particle":"","family":"Luo","given":"Wei","non-dropping-particle":"","parse-names":false,"suffix":""},{"dropping-particle":"","family":"Zhang","given":"Minming","non-dropping-particle":"","parse-names":false,"suffix":""}],"container-title":"Journal of Magnetic Resonance Imaging","id":"ITEM-3","issue":"5","issued":{"date-parts":[["2017"]]},"page":"1335-1342","title":"Influence of regional iron on the motor impairments of Parkinson's disease: A quantitative susceptibility mapping study","type":"article-journal","volume":"45"},"uris":["http://www.mendeley.com/documents/?uuid=b059fcb8-d725-4ce9-9996-797e470c5a2b"]},{"id":"ITEM-4","itemData":{"DOI":"10.1038/srep36669","ISSN":"20452322","PMID":"27827408","abstract":"Brain iron levels in patients of Parkinson's disease (PD) are usually measured in postmortem samples or by MRI imaging including R2</w:instrText>
      </w:r>
      <w:r w:rsidR="00407D22" w:rsidRPr="00A65B69">
        <w:rPr>
          <w:rFonts w:ascii="Cambria Math" w:hAnsi="Cambria Math" w:cs="Cambria Math"/>
          <w:color w:val="000000" w:themeColor="text1"/>
          <w:sz w:val="23"/>
          <w:szCs w:val="23"/>
          <w:lang w:val="pt-BR"/>
        </w:rPr>
        <w:instrText>∗</w:instrText>
      </w:r>
      <w:r w:rsidR="00407D22" w:rsidRPr="00A65B69">
        <w:rPr>
          <w:color w:val="000000" w:themeColor="text1"/>
          <w:sz w:val="23"/>
          <w:szCs w:val="23"/>
          <w:lang w:val="pt-BR"/>
        </w:rPr>
        <w:instrText xml:space="preserve"> and SWI. In this study we performed a meta-analysis to understand PD-associated iron changes in various brain regions, and to evaluate the accuracy of MRI detections comparing with postmortem results. Databases including Medline, Web of Science, CENTRAL and Embase were searched up to 19th November 2015. Ten brain regions were identified for analysis based on data extracted from thirty-three-articles. An increase in iron levels in substantia nigra of PD patients by postmortem, R2</w:instrText>
      </w:r>
      <w:r w:rsidR="00407D22" w:rsidRPr="00A65B69">
        <w:rPr>
          <w:rFonts w:ascii="Cambria Math" w:hAnsi="Cambria Math" w:cs="Cambria Math"/>
          <w:color w:val="000000" w:themeColor="text1"/>
          <w:sz w:val="23"/>
          <w:szCs w:val="23"/>
          <w:lang w:val="pt-BR"/>
        </w:rPr>
        <w:instrText>∗</w:instrText>
      </w:r>
      <w:r w:rsidR="00407D22" w:rsidRPr="00A65B69">
        <w:rPr>
          <w:color w:val="000000" w:themeColor="text1"/>
          <w:sz w:val="23"/>
          <w:szCs w:val="23"/>
          <w:lang w:val="pt-BR"/>
        </w:rPr>
        <w:instrText xml:space="preserve"> or SWI measurements was observed. The postmortem and SWI measurements also suggested significant iron accumulation in putamen. Increased iron deposition was found in red nucleus as determined by both R2</w:instrText>
      </w:r>
      <w:r w:rsidR="00407D22" w:rsidRPr="00A65B69">
        <w:rPr>
          <w:rFonts w:ascii="Cambria Math" w:hAnsi="Cambria Math" w:cs="Cambria Math"/>
          <w:color w:val="000000" w:themeColor="text1"/>
          <w:sz w:val="23"/>
          <w:szCs w:val="23"/>
          <w:lang w:val="pt-BR"/>
        </w:rPr>
        <w:instrText>∗</w:instrText>
      </w:r>
      <w:r w:rsidR="00407D22" w:rsidRPr="00A65B69">
        <w:rPr>
          <w:color w:val="000000" w:themeColor="text1"/>
          <w:sz w:val="23"/>
          <w:szCs w:val="23"/>
          <w:lang w:val="pt-BR"/>
        </w:rPr>
        <w:instrText xml:space="preserve"> and SWI, whereas no data were available in postmortem samples. Based on SWI, iron levels were increased significantly in the nucleus caudatus and globus pallidus. Of note, the analysis might be biased towards advanced disease and that the precise stage at which regions become involved could not be ascertained. Our analysis provides an overview of iron deposition in multiple brain regions of PD patients, and a comparison of outcomes from different methods detecting levels of iron.","author":[{"dropping-particle":"","family":"Wang","given":"Jian Yong","non-dropping-particle":"","parse-names":false,"suffix":""},{"dropping-particle":"","family":"Zhuang","given":"Qing Qing","non-dropping-particle":"","parse-names":false,"suffix":""},{"dropping-particle":"","family":"Zhu","given":"Lan Bing","non-dropping-particle":"","parse-names":false,"suffix":""},{"dropping-particle":"","family":"Zhu","given":"Hui","non-dropping-particle":"","parse-names":false,"suffix":""},{"dropping-particle":"","family":"Li","given":"Ting","non-dropping-particle":"","parse-names":false</w:instrText>
      </w:r>
      <w:r w:rsidR="00407D22" w:rsidRPr="00A65B69">
        <w:rPr>
          <w:color w:val="000000" w:themeColor="text1"/>
          <w:sz w:val="23"/>
          <w:szCs w:val="23"/>
        </w:rPr>
        <w:instrText>,"suffix":""},{"dropping-particle":"","family":"Li","given":"Rui","non-dropping-particle":"","parse-names":false,"suffix":""},{"dropping-particle":"","family":"Chen","given":"Song Fang","non-dropping-particle":"","parse-names":false,"suffix":""},{"dropping-particle":"","family":"Huang","given":"Chen Ping","non-dropping-particle":"","parse-names":false,"suffix":""},{"dropping-particle":"","family":"Zhang","given":"Xiong","non-dropping-particle":"","parse-names":false,"suffix":""},{"dropping-particle":"","family":"Zhu","given":"Jian Hong","non-dropping-particle":"","parse-names":false,"suffix":""}],"container-title":"Scientific Reports","id":"ITEM-4","issue":"November","issued":{"date-parts":[["2016"]]},"page":"1-13","publisher":"Nature Publishing Group","title":"Meta-analysis of brain iron levels of Parkinson's disease patients determined by postmortem and MRI measurements","type":"article-journal","volume":"6"},"uris":["http://www.mendeley.com/documents/?uuid=c53b72ac-fee6-4688-8700-c30cabccecf9"]}],"mendeley":{"formattedCitation":"(ACOSTA-CABRONERO et al., 2016; CHEN et al., 2019; GUAN et al., 2017; WANG et al., 2016)","plainTextFormattedCitation":"(ACOSTA-CABRONERO et al., 2016; CHEN et al., 2019; GUAN et al., 2017; WANG et al., 2016)","previouslyFormattedCitation":"(ACOSTA-CABRONERO et al., 2016; CHEN et al., 2019; GUAN et al., 2017; WANG et al., 2016)"},"properties":{"noteIndex":0},"schema":"https://github.com/citation-style-language/schema/raw/master/csl-citation.json"}</w:instrText>
      </w:r>
      <w:r w:rsidR="001758FD" w:rsidRPr="00A65B69">
        <w:rPr>
          <w:color w:val="000000" w:themeColor="text1"/>
          <w:sz w:val="23"/>
          <w:szCs w:val="23"/>
          <w:lang w:val="pt-BR"/>
        </w:rPr>
        <w:fldChar w:fldCharType="separate"/>
      </w:r>
      <w:r w:rsidR="001758FD" w:rsidRPr="00A65B69">
        <w:rPr>
          <w:noProof/>
          <w:color w:val="000000" w:themeColor="text1"/>
          <w:sz w:val="23"/>
          <w:szCs w:val="23"/>
        </w:rPr>
        <w:t>(ACOSTA-CABRONERO et al., 2016; CHEN et al., 2019; GUAN et al., 2017; WANG et al., 2016)</w:t>
      </w:r>
      <w:r w:rsidR="001758FD" w:rsidRPr="00A65B69">
        <w:rPr>
          <w:color w:val="000000" w:themeColor="text1"/>
          <w:sz w:val="23"/>
          <w:szCs w:val="23"/>
          <w:lang w:val="pt-BR"/>
        </w:rPr>
        <w:fldChar w:fldCharType="end"/>
      </w:r>
      <w:r w:rsidR="008F18BC" w:rsidRPr="00A65B69">
        <w:rPr>
          <w:color w:val="000000" w:themeColor="text1"/>
          <w:sz w:val="23"/>
          <w:szCs w:val="23"/>
        </w:rPr>
        <w:t xml:space="preserve">. </w:t>
      </w:r>
      <w:r w:rsidR="00CC2F47" w:rsidRPr="00A65B69">
        <w:rPr>
          <w:color w:val="000000" w:themeColor="text1"/>
          <w:sz w:val="23"/>
          <w:szCs w:val="23"/>
          <w:lang w:val="pt-BR"/>
        </w:rPr>
        <w:t xml:space="preserve">A </w:t>
      </w:r>
      <w:r w:rsidR="008F18BC" w:rsidRPr="00A65B69">
        <w:rPr>
          <w:color w:val="000000" w:themeColor="text1"/>
          <w:sz w:val="23"/>
          <w:szCs w:val="23"/>
          <w:lang w:val="pt-BR"/>
        </w:rPr>
        <w:t xml:space="preserve"> redistribuição de ferro</w:t>
      </w:r>
      <w:r w:rsidR="007355AC" w:rsidRPr="00A65B69">
        <w:rPr>
          <w:color w:val="000000" w:themeColor="text1"/>
          <w:sz w:val="23"/>
          <w:szCs w:val="23"/>
          <w:lang w:val="pt-BR"/>
        </w:rPr>
        <w:t>, da corrente sanguínea</w:t>
      </w:r>
      <w:r w:rsidR="008F18BC" w:rsidRPr="00A65B69">
        <w:rPr>
          <w:color w:val="000000" w:themeColor="text1"/>
          <w:sz w:val="23"/>
          <w:szCs w:val="23"/>
          <w:lang w:val="pt-BR"/>
        </w:rPr>
        <w:t xml:space="preserve"> preferencialmente para a região dos gânglios da base e substância negra</w:t>
      </w:r>
      <w:r w:rsidR="0075573E"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407D22" w:rsidRPr="00A65B69">
        <w:rPr>
          <w:color w:val="000000" w:themeColor="text1"/>
          <w:sz w:val="23"/>
          <w:szCs w:val="23"/>
          <w:lang w:val="pt-BR"/>
        </w:rPr>
        <w:instrText>ADDIN CSL_CITATION {"citationItems":[{"id":"ITEM-1","itemData":{"DOI":"10.1016/j.jns.2017.04.035.Brain","abstract":"Tobacco use is the leading preventable cause of death worldwide and a major risk factor for cardiovascular disease (CVD). Both prevention of smoking initiation among youth and smoking cessation among established smokers are key for reducing smoking prevalence and the associated negative health consequences. Proven tobacco cessation treatment includes pharmacotherapy and behavioral support, which are most effective when provided together. First-line medications (varenicline, bupropion, and nicotine replacement) are effective and safe for patients with CVD. Clinicians who care for patients with CVD should give as high a priority to treating tobacco use as to managing other CVD risk factors. Broader tobacco control efforts to raise tobacco taxes, adopt smoke-free laws, conduct mass media campaigns, and restrict tobacco marketing enhance clinicians’ actions working with individual smokers. Condensed","author":[{"dropping-particle":"","family":"Costa-Mallen","given":"Paola","non-dropping-particle":"","parse-names":false,"suffix":""},{"dropping-particle":"","family":"Gatenby","given":"Christopher","non-dropping-particle":"","parse-names":false,"suffix":""},{"dropping-particle":"","family":"Friend","given":"Sally","non-dropping-particle":"","parse-names":false,"suffix":""},{"dropping-particle":"","family":"Maravilla","given":"Kenneth R.","non-dropping-particle":"","parse-names":false,"suffix":""},{"dropping-particle":"","family":"Hu","given":"Shu- Ching","non-dropping-particle":"","parse-names":false,"suffix":""},{"dropping-particle":"","family":"Cain","given":"Kevin C.","non-dropping-particle":"","parse-names":false,"suffix":""},{"dropping-particle":"","family":"Agarwale","given":"Pinky","non-dropping-particle":"","parse-names":false,"suffix":""},{"dropping-particle":"","family":"Anzai","given":"Yoshimi","non-dropping-particle":"","parse-names":false,"suffix":""}],"container-title":"J Neurol Sci","id":"ITEM-1","issue":"23","issued":{"date-parts":[["2018"]]},"page":"2964-2979","title":"Brain Iron Concentrations in Regions of Interest and Relation with Serum Iron Levels in Parkinson Disease","type":"article-journal","volume":"72"},"uris":["http://www.mendeley.com/documents/?uuid=1e992335-cb4d-41ea-b13b-29c180bd5032"]}],"mendeley":{"formattedCitation":"(COSTA-MALLEN et al., 2018)","plainTextFormattedCitation":"(COSTA-MALLEN et al., 2018)","previouslyFormattedCitation":"(COSTA-MALLEN et al., 2018)"},"properties":{"noteIndex":0},"schema":"https://github.com/citation-style-language/schema/raw/master/csl-citation.json"}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(COSTA-MALLEN et al., 2018)</w:t>
      </w:r>
      <w:r w:rsidR="00407D22" w:rsidRPr="00A65B69">
        <w:rPr>
          <w:color w:val="000000" w:themeColor="text1"/>
          <w:sz w:val="23"/>
          <w:szCs w:val="23"/>
          <w:lang w:val="pt-BR"/>
        </w:rPr>
        <w:fldChar w:fldCharType="end"/>
      </w:r>
      <w:r w:rsidR="004715AE" w:rsidRPr="00A65B69">
        <w:rPr>
          <w:color w:val="000000" w:themeColor="text1"/>
          <w:sz w:val="23"/>
          <w:szCs w:val="23"/>
          <w:lang w:val="pt-BR"/>
        </w:rPr>
        <w:t xml:space="preserve">, </w:t>
      </w:r>
      <w:r w:rsidR="00BF4177" w:rsidRPr="00A65B69">
        <w:rPr>
          <w:color w:val="000000" w:themeColor="text1"/>
          <w:sz w:val="23"/>
          <w:szCs w:val="23"/>
          <w:lang w:val="pt-BR"/>
        </w:rPr>
        <w:t xml:space="preserve">pode </w:t>
      </w:r>
      <w:r w:rsidR="00793BCF" w:rsidRPr="00A65B69">
        <w:rPr>
          <w:color w:val="000000" w:themeColor="text1"/>
          <w:sz w:val="23"/>
          <w:szCs w:val="23"/>
          <w:lang w:val="pt-BR"/>
        </w:rPr>
        <w:t>induz</w:t>
      </w:r>
      <w:r w:rsidR="00BF4177" w:rsidRPr="00A65B69">
        <w:rPr>
          <w:color w:val="000000" w:themeColor="text1"/>
          <w:sz w:val="23"/>
          <w:szCs w:val="23"/>
          <w:lang w:val="pt-BR"/>
        </w:rPr>
        <w:t>ir</w:t>
      </w:r>
      <w:r w:rsidR="00793BCF" w:rsidRPr="00A65B69">
        <w:rPr>
          <w:color w:val="000000" w:themeColor="text1"/>
          <w:sz w:val="23"/>
          <w:szCs w:val="23"/>
          <w:lang w:val="pt-BR"/>
        </w:rPr>
        <w:t xml:space="preserve"> acúmulos de </w:t>
      </w:r>
      <w:r w:rsidR="002D638E" w:rsidRPr="00A65B69">
        <w:rPr>
          <w:color w:val="000000" w:themeColor="text1"/>
          <w:sz w:val="23"/>
          <w:szCs w:val="23"/>
          <w:lang w:val="pt-BR"/>
        </w:rPr>
        <w:t>α-</w:t>
      </w:r>
      <w:proofErr w:type="spellStart"/>
      <w:r w:rsidR="002D638E" w:rsidRPr="00A65B69">
        <w:rPr>
          <w:color w:val="000000" w:themeColor="text1"/>
          <w:sz w:val="23"/>
          <w:szCs w:val="23"/>
          <w:lang w:val="pt-BR"/>
        </w:rPr>
        <w:t>sinucleína</w:t>
      </w:r>
      <w:proofErr w:type="spellEnd"/>
      <w:r w:rsidR="009834FC" w:rsidRPr="00A65B69">
        <w:rPr>
          <w:color w:val="000000" w:themeColor="text1"/>
          <w:sz w:val="23"/>
          <w:szCs w:val="23"/>
          <w:lang w:val="pt-BR"/>
        </w:rPr>
        <w:t xml:space="preserve"> e</w:t>
      </w:r>
      <w:r w:rsidR="005F3358" w:rsidRPr="00A65B69">
        <w:rPr>
          <w:color w:val="000000" w:themeColor="text1"/>
          <w:sz w:val="23"/>
          <w:szCs w:val="23"/>
          <w:lang w:val="pt-BR"/>
        </w:rPr>
        <w:t>, consequentemente,</w:t>
      </w:r>
      <w:r w:rsidR="00096C1C" w:rsidRPr="00A65B69">
        <w:rPr>
          <w:color w:val="000000" w:themeColor="text1"/>
          <w:sz w:val="23"/>
          <w:szCs w:val="23"/>
          <w:lang w:val="pt-BR"/>
        </w:rPr>
        <w:t xml:space="preserve"> diminuir</w:t>
      </w:r>
      <w:r w:rsidR="005F3358" w:rsidRPr="00A65B69">
        <w:rPr>
          <w:color w:val="000000" w:themeColor="text1"/>
          <w:sz w:val="23"/>
          <w:szCs w:val="23"/>
          <w:lang w:val="pt-BR"/>
        </w:rPr>
        <w:t xml:space="preserve"> </w:t>
      </w:r>
      <w:r w:rsidR="009834FC" w:rsidRPr="00A65B69">
        <w:rPr>
          <w:color w:val="000000" w:themeColor="text1"/>
          <w:sz w:val="23"/>
          <w:szCs w:val="23"/>
          <w:lang w:val="pt-BR"/>
        </w:rPr>
        <w:t>o metabolismo neuronal</w:t>
      </w:r>
      <w:r w:rsidR="008F18BC" w:rsidRPr="00A65B69">
        <w:rPr>
          <w:color w:val="000000" w:themeColor="text1"/>
          <w:sz w:val="23"/>
          <w:szCs w:val="23"/>
          <w:lang w:val="pt-BR"/>
        </w:rPr>
        <w:t>. Estudos anteriores mostraram correlaç</w:t>
      </w:r>
      <w:r w:rsidR="00AF77FC" w:rsidRPr="00A65B69">
        <w:rPr>
          <w:color w:val="000000" w:themeColor="text1"/>
          <w:sz w:val="23"/>
          <w:szCs w:val="23"/>
          <w:lang w:val="pt-BR"/>
        </w:rPr>
        <w:t>ões significativas</w:t>
      </w:r>
      <w:r w:rsidR="008F18BC" w:rsidRPr="00A65B69">
        <w:rPr>
          <w:color w:val="000000" w:themeColor="text1"/>
          <w:sz w:val="23"/>
          <w:szCs w:val="23"/>
          <w:lang w:val="pt-BR"/>
        </w:rPr>
        <w:t xml:space="preserve"> entre o</w:t>
      </w:r>
      <w:r w:rsidR="00DD0881" w:rsidRPr="00A65B69">
        <w:rPr>
          <w:color w:val="000000" w:themeColor="text1"/>
          <w:sz w:val="23"/>
          <w:szCs w:val="23"/>
          <w:lang w:val="pt-BR"/>
        </w:rPr>
        <w:t xml:space="preserve"> </w:t>
      </w:r>
      <w:r w:rsidR="00287028" w:rsidRPr="00A65B69">
        <w:rPr>
          <w:color w:val="000000" w:themeColor="text1"/>
          <w:sz w:val="23"/>
          <w:szCs w:val="23"/>
          <w:lang w:val="pt-BR"/>
        </w:rPr>
        <w:t>estágio</w:t>
      </w:r>
      <w:r w:rsidR="004430E4" w:rsidRPr="00A65B69">
        <w:rPr>
          <w:color w:val="000000" w:themeColor="text1"/>
          <w:sz w:val="23"/>
          <w:szCs w:val="23"/>
          <w:lang w:val="pt-BR"/>
        </w:rPr>
        <w:t>/sintomas</w:t>
      </w:r>
      <w:r w:rsidR="001535F6" w:rsidRPr="00A65B69">
        <w:rPr>
          <w:color w:val="000000" w:themeColor="text1"/>
          <w:sz w:val="23"/>
          <w:szCs w:val="23"/>
          <w:lang w:val="pt-BR"/>
        </w:rPr>
        <w:t xml:space="preserve"> em pessoas com DP</w:t>
      </w:r>
      <w:r w:rsidR="00287028" w:rsidRPr="00A65B69">
        <w:rPr>
          <w:color w:val="000000" w:themeColor="text1"/>
          <w:sz w:val="23"/>
          <w:szCs w:val="23"/>
          <w:lang w:val="pt-BR"/>
        </w:rPr>
        <w:t xml:space="preserve"> </w:t>
      </w:r>
      <w:r w:rsidR="004430E4" w:rsidRPr="00A65B69">
        <w:rPr>
          <w:color w:val="000000" w:themeColor="text1"/>
          <w:sz w:val="23"/>
          <w:szCs w:val="23"/>
          <w:lang w:val="pt-BR"/>
        </w:rPr>
        <w:t xml:space="preserve"> e </w:t>
      </w:r>
      <w:r w:rsidR="008F18BC" w:rsidRPr="00A65B69">
        <w:rPr>
          <w:color w:val="000000" w:themeColor="text1"/>
          <w:sz w:val="23"/>
          <w:szCs w:val="23"/>
          <w:lang w:val="pt-BR"/>
        </w:rPr>
        <w:t>o acúmulo</w:t>
      </w:r>
      <w:r w:rsidR="001535F6" w:rsidRPr="00A65B69">
        <w:rPr>
          <w:color w:val="000000" w:themeColor="text1"/>
          <w:sz w:val="23"/>
          <w:szCs w:val="23"/>
          <w:lang w:val="pt-BR"/>
        </w:rPr>
        <w:t>/</w:t>
      </w:r>
      <w:r w:rsidR="008F18BC" w:rsidRPr="00A65B69">
        <w:rPr>
          <w:color w:val="000000" w:themeColor="text1"/>
          <w:sz w:val="23"/>
          <w:szCs w:val="23"/>
          <w:lang w:val="pt-BR"/>
        </w:rPr>
        <w:t>redução de ferro na substância negra e no sangue, respectivamente</w:t>
      </w:r>
      <w:r w:rsidR="003E729C"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8C2A9B" w:rsidRPr="00A65B69">
        <w:rPr>
          <w:color w:val="000000" w:themeColor="text1"/>
          <w:sz w:val="23"/>
          <w:szCs w:val="23"/>
          <w:lang w:val="pt-BR"/>
        </w:rPr>
        <w:instrText>ADDIN CSL_CITATION {"citationItems":[{"id":"ITEM-1","itemData":{"DOI":"10.1007/s00702-020-02149-3","ISBN":"0123456789","ISSN":"14351463","PMID":"32025811","abstract":"While the initial causes of Parkinson’s disease (PD) are not clearly defined, iron deposition has long been implicated in the pathogenesis of PD. The substantia nigra of PD patients, where the selective loss of dopaminergic neurons occurs, show a fairly selective and significant elevation in iron contents. However, the question remains whether iron deposition represents the initiation cause or merely the consequence of nigral degeneration. Here, we describe existing findings regarding the interaction of iron with neuromelanin and alpha synuclein, the iron deposition in experimental animal model of PD and sporadic and familial PD patients, and the treatment option involving the use of iron chelators for targeting the aberration of iron level in brain. This review may provide us a better understanding of the role of iron in PD to address the question of cause or consequence.","author":[{"dropping-particle":"","family":"Mochizuki","given":"Hideki","non-dropping-particle":"","parse-names":false,"suffix":""},{"dropping-particle":"","family":"Choong","given":"Chi Jing","non-dropping-particle":"","parse-names":false,"suffix":""},{"dropping-particle":"","family":"Baba","given":"Kousuke","non-dropping-particle":"","parse-names":false,"suffix":""}],"container-title":"Journal of Neural Transmission","id":"ITEM-1","issue":"2","issued":{"date-parts":[["2020"]]},"page":"181-187","publisher":"Springer Vienna","title":"Parkinson’s disease and iron","type":"article-journal","volume":"127"},"uris":["http://www.mendeley.com/documents/?uuid=5c0a8ff6-7646-4b12-b721-750efc4fc41e"]},{"id":"ITEM-2","itemData":{"DOI":"10.1016/j.jns.2017.09.033","ISSN":"18785883","PMID":"29111022","abstract":"Background and purpose The objective of this work was to investigate whether patients with and without freezing of gait (FOG) in Parkinson's disease (PD) have differences in iron accumulation in substantia nigra using R2* relaxometry. Materials and methods This study included seventeen PD patients with FOG [FOG (+)], equal number of age and gender matched patients without FOG [FOG (−)] and 34 healthy controls (HC). T2* images were obtained from a 3-Tesla MRI system using multi-echo sequence. R2* values were extracted from Substantia Nigra (SN) and red nucleus and were compared among the three groups and correlated with clinical findings. Results R2* values were increased in PD group as a whole compared to HC in rostral and caudal segments of Substantia Nigra pars compacta (SNc) and in Substantia Nigra pars reticulata (SNr) but not in red nucleus. Within PD subgroups, FOG (+) group had increased iron accumulation in SNc compared to FOG (−) and HC. FOG score positively correlated with R2* values in the caudal region of SNc in FOG (+) group. Conclusions Our study reveals higher nigral iron content in FOG (+) compared to FOG (−) and HCs. In addition, we observed positive correlation of FOG score with iron accumulation in SNc. Results of this study emphasize possible role of higher nigral iron content in the pathogenesis of FOG in PD.","author":[{"dropping-particle":"","family":"Naduthota","given":"Rajini M.","non-dropping-particle":"","parse-names":false,"suffix":""},{"dropping-particle":"","family":"Honnedevasthana","given":"Arush Arun","non-dropping-particle":"","parse-names":false,"suffix":""},{"dropping-particle":"","family":"Lenka","given":"Abhishek","non-dropping-particle":"","parse-names":false,"suffix":""},{"dropping-particle":"","family":"Saini","given":"Jitender","non-dropping-particle":"","parse-names":false,"suffix":""},{"dropping-particle":"","family":"Geethanath","given":"Sairam","non-dropping-particle":"","parse-names":false,"suffix":""},{"dropping-particle":"","family":"Bharath","given":"Rose Dawn","non-dropping-particle":"","parse-names":false,"suffix":""},{"dropping-particle":"","family":"Christopher","given":"Rita","non-dropping-particle":"","parse-names":false,"suffix":""},{"dropping-particle":"","family":"Yadav","given":"Ravi","non-dropping-particle":"","parse-names":false,"suffix":""},{"dropping-particle":"","family":"Gupta","given":"Arun Kumar","non-dropping-particle":"","parse-names":false,"suffix":""},{"dropping-particle":"","family":"Pal","given":"Pramod Kumar","non-dropping-particle":"","parse-names":false,"suffix":""}],"container-title":"Journal of the Neurological Sciences","id":"ITEM-2","issue":"August","issued":{"date-parts":[["2017"]]},"page":"61-65","publisher":"Elsevier","title":"Association of freezing of gait with nigral iron accumulation in patients with Parkinson's disease","type":"article-journal","volume":"382"},"uris":["http://www.mendeley.com/documents/?uuid=8dc99c4e-5c7a-4927-be3f-5f130b01039a"]},{"id":"ITEM-3","itemData":{"DOI":"10.1007/s00702-018-1889-x","ISBN":"0123456789","ISSN":"14351463","PMID":"29748849","abstract":"Despite a growing body of evidence suggests that abnormal iron metabolism plays an important role in the pathogenesis of Parkinson’s disease (PD), few studies explored its role in non-motor symptoms (NMS) of PD. The present study aimed to investigate the relationship between abnormal iron metabolism and NMS of PD. Seventy PD patients and 64 healthy controls were consecutively recruited to compare serum iron, ceruloplasmin, ferritin, and transferrin levels. We evaluated five classic NMS, including depression, anxiety, pain, sleep disorder, and autonomic dysfunction in PD patients using the Hamilton Depression Scale (HAMD), the Hamilton Anxiety Scale (HAMA), the short form of the McGill Pain Questionnaire, the Pittsburgh Sleep Quality Index and the Scale for Outcomes in Parkinson’s disease for Autonomic Symptoms, respectively. Hierarchical multiple regression analysis was used to investigate the correlations between abnormal iron metabolism and NMS. No differences in serum ceruloplasmin and ferritin levels were examined between PD patients and healthy controls, but we observed significantly decreased serum iron levels and increased serum transferrin levels in PD patients in comparison with healthy controls. After eliminating confounding factors, HAMD scores and HAMA scores were both negatively correlated with serum iron levels and positively correlated with serum transferrin levels. In summary, abnormal iron metabolism might play a crucial role in the pathogenesis of depression and anxiety in PD. Serums levels of iron and transferrin could be peripheral markers for depression and anxiety in PD.","author":[{"dropping-particle":"","family":"Xu","given":"Wu","non-dropping-particle":"","parse-names":false,"suffix":""},{"dropping-particle":"","family":"Zhi","given":"Yan","non-dropping-particle":"","parse-names":false,"suffix":""},{"dropping-particle":"","family":"Yuan","given":"Yongsheng","non-dropping-particle":"","parse-names":false,"suffix":""},{"dropping-particle":"","family":"Zhang","given":"Bingfeng","non-dropping-particle":"","parse-names":false,"suffix":""},{"dropping-particle":"","family":"Shen","given":"Yuting","non-dropping-particle":"","parse-names":false,"suffix":""},{"dropping-particle":"","family":"Zhang","given":"Hui","non-dropping-particle":"","parse-names":false,"suffix":""},{"dropping-particle":"","family":"Zhang","given":"Kezhong","non-dropping-particle":"","parse-names":false,"suffix":""},{"dropping-particle":"","family":"Xu","given":"Yun","non-dropping-particle":"","parse-names":false,"suffix":""}],"container-title":"Journal of Neural Transmission","id":"ITEM-3","issue":"7","issued":{"date-parts":[["2018"]]},"page":"1027-1032","title":"Correlations between abnormal iron metabolism and non-motor symptoms in Parkinson’s disease","type":"article-journal","volume":"125"},"uris":["http://www.mendeley.com/documents/?uuid=d887b17b-0869-40b3-9b18-7e95ab62362f"]}],"mendeley":{"formattedCitation":"(MOCHIZUKI; CHOONG; BABA, 2020; NADUTHOTA et al., 2017; XU et al., 2018)","manualFormatting":"(MOCHIZUKI et al., 2020; NADUTHOTA et al., 2017; XU et al., 2018)","plainTextFormattedCitation":"(MOCHIZUKI; CHOONG; BABA, 2020; NADUTHOTA et al., 2017; XU et al., 2018)","previouslyFormattedCitation":"(MOCHIZUKI; CHOONG; BABA, 2020; NADUTHOTA et al., 2017; XU et al., 2018)"},"properties":{"noteIndex":0},"schema":"https://github.com/citation-style-language/schema/raw/master/csl-citation.json"}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(MOCHIZUKI</w:t>
      </w:r>
      <w:r w:rsidR="008C2A9B" w:rsidRPr="00A65B69">
        <w:rPr>
          <w:noProof/>
          <w:color w:val="000000" w:themeColor="text1"/>
          <w:sz w:val="23"/>
          <w:szCs w:val="23"/>
          <w:lang w:val="pt-BR"/>
        </w:rPr>
        <w:t xml:space="preserve"> et al., </w:t>
      </w:r>
      <w:r w:rsidR="00407D22" w:rsidRPr="00A65B69">
        <w:rPr>
          <w:noProof/>
          <w:color w:val="000000" w:themeColor="text1"/>
          <w:sz w:val="23"/>
          <w:szCs w:val="23"/>
          <w:lang w:val="pt-BR"/>
        </w:rPr>
        <w:t>2020; NADUTHOTA et al., 2017; XU et al., 2018)</w:t>
      </w:r>
      <w:r w:rsidR="00407D22" w:rsidRPr="00A65B69">
        <w:rPr>
          <w:color w:val="000000" w:themeColor="text1"/>
          <w:sz w:val="23"/>
          <w:szCs w:val="23"/>
          <w:lang w:val="pt-BR"/>
        </w:rPr>
        <w:fldChar w:fldCharType="end"/>
      </w:r>
      <w:r w:rsidR="008F18BC" w:rsidRPr="00A65B69">
        <w:rPr>
          <w:color w:val="000000" w:themeColor="text1"/>
          <w:sz w:val="23"/>
          <w:szCs w:val="23"/>
          <w:lang w:val="pt-BR"/>
        </w:rPr>
        <w:t xml:space="preserve">. Além disso, a maior concentração de ferro na parte caudal da substância negra compacta, </w:t>
      </w:r>
      <w:r w:rsidR="00F47014" w:rsidRPr="00A65B69">
        <w:rPr>
          <w:color w:val="000000" w:themeColor="text1"/>
          <w:sz w:val="23"/>
          <w:szCs w:val="23"/>
          <w:lang w:val="pt-BR"/>
        </w:rPr>
        <w:t xml:space="preserve">a </w:t>
      </w:r>
      <w:r w:rsidR="008F18BC" w:rsidRPr="00A65B69">
        <w:rPr>
          <w:color w:val="000000" w:themeColor="text1"/>
          <w:sz w:val="23"/>
          <w:szCs w:val="23"/>
          <w:lang w:val="pt-BR"/>
        </w:rPr>
        <w:t xml:space="preserve">qual tem projeções para o putâmen, foi relacionada com congelamento da marcha </w:t>
      </w:r>
      <w:r w:rsidR="000F3770" w:rsidRPr="00A65B69">
        <w:rPr>
          <w:color w:val="000000" w:themeColor="text1"/>
          <w:sz w:val="23"/>
          <w:szCs w:val="23"/>
          <w:lang w:val="pt-BR"/>
        </w:rPr>
        <w:t>em pessoas com</w:t>
      </w:r>
      <w:r w:rsidR="008F18BC" w:rsidRPr="00A65B69">
        <w:rPr>
          <w:color w:val="000000" w:themeColor="text1"/>
          <w:sz w:val="23"/>
          <w:szCs w:val="23"/>
          <w:lang w:val="pt-BR"/>
        </w:rPr>
        <w:t xml:space="preserve"> DP</w:t>
      </w:r>
      <w:r w:rsidR="003E7AD8" w:rsidRPr="00A65B69">
        <w:rPr>
          <w:color w:val="000000" w:themeColor="text1"/>
          <w:sz w:val="23"/>
          <w:szCs w:val="23"/>
          <w:lang w:val="pt-BR"/>
        </w:rPr>
        <w:t>, um dos sintomas mais debilitantes da doença</w:t>
      </w:r>
      <w:r w:rsidR="00407D22"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407D22" w:rsidRPr="00A65B69">
        <w:rPr>
          <w:color w:val="000000" w:themeColor="text1"/>
          <w:sz w:val="23"/>
          <w:szCs w:val="23"/>
          <w:lang w:val="pt-BR"/>
        </w:rPr>
        <w:instrText>ADDIN CSL_CITATION {"citationItems":[{"id":"ITEM-1","itemData":{"DOI":"10.1016/j.jns.2017.09.033","ISSN":"18785883","PMID":"29111022","abstract":"Background and purpose The objective of this work was to investigate whether patients with and without freezing of gait (FOG) in Parkinson's disease (PD) have differences in iron accumulation in substantia nigra using R2* relaxometry. Materials and methods This study included seventeen PD patients with FOG [FOG (+)], equal number of age and gender matched patients without FOG [FOG (−)] and 34 healthy controls (HC). T2* images were obtained from a 3-Tesla MRI system using multi-echo sequence. R2* values were extracted from Substantia Nigra (SN) and red nucleus and were compared among the three groups and correlated with clinical findings. Results R2* values were increased in PD group as a whole compared to HC in rostral and caudal segments of Substantia Nigra pars compacta (SNc) and in Substantia Nigra pars reticulata (SNr) but not in red nucleus. Within PD subgroups, FOG (+) group had increased iron accumulation in SNc compared to FOG (−) and HC. FOG score positively correlated with R2* values in the caudal region of SNc in FOG (+) group. Conclusions Our study reveals higher nigral iron content in FOG (+) compared to FOG (−) and HCs. In addition, we observed positive correlation of FOG score with iron accumulation in SNc. Results of this study emphasize possible role of higher nigral iron content in the pathogenesis of FOG in PD.","author":[{"dropping-particle":"","family":"Naduthota","given":"Rajini M.","non-dropping-particle":"","parse-names":false,"suffix":""},{"dropping-particle":"","family":"Honnedevasthana","given":"Arush Arun","non-dropping-particle":"","parse-names":false,"suffix":""},{"dropping-particle":"","family":"Lenka","given":"Abhishek","non-dropping-particle":"","parse-names":false,"suffix":""},{"dropping-particle":"","family":"Saini","given":"Jitender","non-dropping-particle":"","parse-names":false,"suffix":""},{"dropping-particle":"","family":"Geethanath","given":"Sairam","non-dropping-particle":"","parse-names":false,"suffix":""},{"dropping-particle":"","family":"Bharath","given":"Rose Dawn","non-dropping-particle":"","parse-names":false,"suffix":""},{"dropping-particle":"","family":"Christopher","given":"Rita","non-dropping-particle":"","parse-names":false,"suffix":""},{"dropping-particle":"","family":"Yadav","given":"Ravi","non-dropping-particle":"","parse-names":false,"suffix":""},{"dropping-particle":"","family":"Gupta","given":"Arun Kumar","non-dropping-particle":"","parse-names":false,"suffix":""},{"dropping-particle":"","family":"Pal","given":"Pramod Kumar","non-dropping-particle":"","parse-names":false,"suffix":""}],"container-title":"Journal of the Neurological Sciences","id":"ITEM-1","issue":"August","issued":{"date-parts":[["2017"]]},"page":"61-65","publisher":"Elsevier","title":"Association of freezing of gait with nigral iron accumulation in patients with Parkinson's disease","type":"article-journal","volume":"382"},"uris":["http://www.mendeley.com/documents/?uuid=8dc99c4e-5c7a-4927-be3f-5f130b01039a"]}],"mendeley":{"formattedCitation":"(NADUTHOTA et al., 2017)","plainTextFormattedCitation":"(NADUTHOTA et al., 2017)","previouslyFormattedCitation":"(NADUTHOTA et al., 2017)"},"properties":{"noteIndex":0},"schema":"https://github.com/citation-style-language/schema/raw/master/csl-citation.json"}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(NADUTHOTA et al., 2017)</w:t>
      </w:r>
      <w:r w:rsidR="00407D22" w:rsidRPr="00A65B69">
        <w:rPr>
          <w:color w:val="000000" w:themeColor="text1"/>
          <w:sz w:val="23"/>
          <w:szCs w:val="23"/>
          <w:lang w:val="pt-BR"/>
        </w:rPr>
        <w:fldChar w:fldCharType="end"/>
      </w:r>
      <w:r w:rsidR="008F18BC" w:rsidRPr="00A65B69">
        <w:rPr>
          <w:color w:val="000000" w:themeColor="text1"/>
          <w:sz w:val="23"/>
          <w:szCs w:val="23"/>
          <w:lang w:val="pt-BR"/>
        </w:rPr>
        <w:t xml:space="preserve">. Desta forma, os </w:t>
      </w:r>
      <w:r w:rsidR="003E7AD8" w:rsidRPr="00A65B69">
        <w:rPr>
          <w:color w:val="000000" w:themeColor="text1"/>
          <w:sz w:val="23"/>
          <w:szCs w:val="23"/>
          <w:lang w:val="pt-BR"/>
        </w:rPr>
        <w:t xml:space="preserve">distúrbios </w:t>
      </w:r>
      <w:r w:rsidR="00B602AE" w:rsidRPr="00A65B69">
        <w:rPr>
          <w:color w:val="000000" w:themeColor="text1"/>
          <w:sz w:val="23"/>
          <w:szCs w:val="23"/>
          <w:lang w:val="pt-BR"/>
        </w:rPr>
        <w:t xml:space="preserve">na homeostase do </w:t>
      </w:r>
      <w:r w:rsidR="008F18BC" w:rsidRPr="00A65B69">
        <w:rPr>
          <w:color w:val="000000" w:themeColor="text1"/>
          <w:sz w:val="23"/>
          <w:szCs w:val="23"/>
          <w:lang w:val="pt-BR"/>
        </w:rPr>
        <w:t>ferro parecem estar relacionados a locomoção desta população</w:t>
      </w:r>
      <w:r w:rsidR="00F11A3D" w:rsidRPr="00A65B69">
        <w:rPr>
          <w:color w:val="000000" w:themeColor="text1"/>
          <w:sz w:val="23"/>
          <w:szCs w:val="23"/>
          <w:lang w:val="pt-BR"/>
        </w:rPr>
        <w:t xml:space="preserve">, indicando que </w:t>
      </w:r>
      <w:r w:rsidR="000F3770" w:rsidRPr="00A65B69">
        <w:rPr>
          <w:color w:val="000000" w:themeColor="text1"/>
          <w:sz w:val="23"/>
          <w:szCs w:val="23"/>
          <w:lang w:val="pt-BR"/>
        </w:rPr>
        <w:t xml:space="preserve">estratégias eficientes </w:t>
      </w:r>
      <w:r w:rsidR="002418F6" w:rsidRPr="00A65B69">
        <w:rPr>
          <w:color w:val="000000" w:themeColor="text1"/>
          <w:sz w:val="23"/>
          <w:szCs w:val="23"/>
          <w:lang w:val="pt-BR"/>
        </w:rPr>
        <w:t xml:space="preserve">para melhorar a distribuição deste íon podem ser incluídas </w:t>
      </w:r>
      <w:r w:rsidR="000F3770" w:rsidRPr="00A65B69">
        <w:rPr>
          <w:color w:val="000000" w:themeColor="text1"/>
          <w:sz w:val="23"/>
          <w:szCs w:val="23"/>
          <w:lang w:val="pt-BR"/>
        </w:rPr>
        <w:t>no tratamento</w:t>
      </w:r>
      <w:r w:rsidR="002418F6" w:rsidRPr="00A65B69">
        <w:rPr>
          <w:color w:val="000000" w:themeColor="text1"/>
          <w:sz w:val="23"/>
          <w:szCs w:val="23"/>
          <w:lang w:val="pt-BR"/>
        </w:rPr>
        <w:t xml:space="preserve"> de pessoas com DP</w:t>
      </w:r>
      <w:r w:rsidR="008F18BC" w:rsidRPr="00A65B69">
        <w:rPr>
          <w:color w:val="000000" w:themeColor="text1"/>
          <w:sz w:val="23"/>
          <w:szCs w:val="23"/>
          <w:lang w:val="pt-BR"/>
        </w:rPr>
        <w:t>.</w:t>
      </w:r>
    </w:p>
    <w:p w14:paraId="28E45BEB" w14:textId="0CDBB6AB" w:rsidR="00486656" w:rsidRPr="00A65B69" w:rsidRDefault="00246702" w:rsidP="00E50F70">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Sabe-se que a medicação dopaminérgica é a principal forma de tratamento da DP. Apesar da medicação ser capaz de melhorar os sintomas motores e não-motores</w:t>
      </w:r>
      <w:r w:rsidR="00407D22"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8C2A9B" w:rsidRPr="00A65B69">
        <w:rPr>
          <w:color w:val="000000" w:themeColor="text1"/>
          <w:sz w:val="23"/>
          <w:szCs w:val="23"/>
          <w:lang w:val="pt-BR"/>
        </w:rPr>
        <w:instrText>ADDIN CSL_CITATION {"citationItems":[{"id":"ITEM-1","itemData":{"DOI":"10.1002/mds.22062","ISSN":"08853185","PMID":"18781672","abstract":"The basal ganglia (BG) are a highly organized network, where different parts are activated for specific functions and circumstances. The BG are involved in movement control, as well as associative learning, planning, working memory, and emotion. We concentrate on the \"motor circuit\" because it is the best understood anatomically and physiologically, and because Parkinson's disease is mainly thought to be a movement disorder. Normal function of the BG requires fine tuning of neuronal excitability within each nucleus to determine the exact degree of movement facilitation or inhibition at any given moment. This is mediated by the complex organization of the striatum, where the excitability of medium spiny neurons is controlled by several pre-and postsynaptic mechanisms as well as interneuron activity, and secured by several recurrent or internal BG circuits. The motor circuit of the BG has two entry points, the striatum and the subthalamic nucleus (STN), and an output, the globus pallidus pars interna (GPi), which connects to the cortex via the motor thalamus. Neuronal afferents coding for a given movement or task project to the BG by two different systems: (1) Direct disynaptic projections to the GPi via the striatum and STN. (2) Indirect trisynaptic projections to the GPi via the globus pallidus pars externa (GPe). Corticostriatal afferents primarily act to inhibit medium spiny neurons in the \"indirect circuit\" and facilitate neurons in the \"direct circuit.\" The GPe is in a pivotal position to regulate the motor output of the BG. Dopamine finely tunes striatal input as well as neuronal striatal activity, and modulates GPe, GPi, and STN activity. Dopaminergic depletion in Parkinson's disease disrupts the corticostriatal balance leading to increased activity the indirect circuit and reduced activity in the direct circuit. The precise chain of events leading to increased STN activity is not completely understood, but impaired dopaminergic regulation of the GPe, GPi, and STN may be involved. The parkinsonian state is characterized by disruption of the internal balance of the BG leading to hyperactivity in the two main entry points of the network (striatum and STN) and excessive inhibitory output from the GPi. Replacement therapy with standard levodopa creates a further imbalance, producing an abnormal pattern of neuronal discharge and synchronization of neuronal firing that sustain the \"off\" and \"on with dyskinesia\" states. The effect of levodopa is robust b…","author":[{"dropping-particle":"","family":"Obeso","given":"Jose A.","non-dropping-particle":"","parse-names":false,"suffix":""},{"dropping-particle":"","family":"Rodríguez-Oroz","given":"Maria Cruz","non-dropping-particle":"","parse-names":false,"suffix":""},{"dropping-particle":"","family":"Benitez-Temino","given":"Beatriz","non-dropping-particle":"","parse-names":false,"suffix":""},{"dropping-particle":"","family":"Blesa","given":"Francisco J.","non-dropping-particle":"","parse-names":false,"suffix":""},{"dropping-particle":"","family":"Guridi","given":"Jorge","non-dropping-particle":"","parse-names":false,"suffix":""},{"dropping-particle":"","family":"Marin","given":"Concepció","non-dropping-particle":"","parse-names":false,"suffix":""},{"dropping-particle":"","family":"Rodriguez","given":"Manuel","non-dropping-particle":"","parse-names":false,"suffix":""}],"container-title":"Movement Disorders","id":"ITEM-1","issue":"SUPPL. 3","issued":{"date-parts":[["2008"]]},"page":"548-559","title":"Functional organization of the basal ganglia: Therapeutic implications for Parkinson's disease","type":"article-journal","volume":"23"},"uris":["http://www.mendeley.com/documents/?uuid=34dddecd-9ed7-4ad2-a82c-bd46a5d4dc5f"]},{"id":"ITEM-2","itemData":{"DOI":"10.1002/mds.27216","ISSN":"15318257","PMID":"29178365","abstract":"Levodopa is the most effective antiparkinsonian agent, but chronic treatment is associated with the development of motor complications in the majority of patients with PD. Recent scientific and clinical advances are improving this situation. Long-term, double-blind studies demonstrate that dose is an important risk factor for the development of both motor fluctuations and dyskinesia, and suggest that it is best to use low doses of l-dopa when possible. Inhaled l-dopa and sublingual apomorphine are now being developed as rescue therapies that permit rapid and predictable reversal of off periods. Finally, substantial evidence suggests that motor complications are related to the nonphysiological restoration of brain dopamine with intermittent oral doses of standard l-dopa. Double-blind studies demonstrate significant clinical benefits with continuous intraintestinal infusion of l-dopa. New approaches that provide continuous plasma l-dopa levels without the need for a surgical procedure are currently being investigated. Finally, the development of an oral long-acting form of l-dopa that provides continuous plasma l-dopa levels is actively being pursued. Collectively, these approaches offer the potential to considerably reduce and even prevent the disability associated with l-dopa-induced motor complications. © 2017 International Parkinson and Movement Disorder Society.","author":[{"dropping-particle":"","family":"Olanow","given":"C. Warren","non-dropping-particle":"","parse-names":false,"suffix":""},{"dropping-particle":"","family":"Stocchi","given":"Fabrizio","non-dropping-particle":"","parse-names":false,"suffix":""}],"container-title":"Movement Disorders","id":"ITEM-2","issue":"6","issued":{"date-parts":[["2018"]]},"page":"859-866","title":"Levodopa: A new look at an old friend","type":"article-journal","volume":"33"},"uris":["http://www.mendeley.com/documents/?uuid=9a3dec9f-76d7-4056-8a39-d6b2511dd172"]}],"mendeley":{"formattedCitation":"(OBESO et al., 2008; OLANOW; STOCCHI, 2018)","manualFormatting":"(OBESO et al., 2008; OLANOW et al., 2018)","plainTextFormattedCitation":"(OBESO et al., 2008; OLANOW; STOCCHI, 2018)","previouslyFormattedCitation":"(OBESO et al., 2008; OLANOW; STOCCHI, 2018)"},"properties":{"noteIndex":0},"schema":"https://github.com/citation-style-language/schema/raw/master/csl-citation.json"}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(OBESO et al., 2008; OLANOW</w:t>
      </w:r>
      <w:r w:rsidR="008C2A9B" w:rsidRPr="00A65B69">
        <w:rPr>
          <w:noProof/>
          <w:color w:val="000000" w:themeColor="text1"/>
          <w:sz w:val="23"/>
          <w:szCs w:val="23"/>
          <w:lang w:val="pt-BR"/>
        </w:rPr>
        <w:t xml:space="preserve"> et al.,</w:t>
      </w:r>
      <w:r w:rsidR="00407D22" w:rsidRPr="00A65B69">
        <w:rPr>
          <w:noProof/>
          <w:color w:val="000000" w:themeColor="text1"/>
          <w:sz w:val="23"/>
          <w:szCs w:val="23"/>
          <w:lang w:val="pt-BR"/>
        </w:rPr>
        <w:t xml:space="preserve"> 2018)</w:t>
      </w:r>
      <w:r w:rsidR="00407D22" w:rsidRPr="00A65B69">
        <w:rPr>
          <w:color w:val="000000" w:themeColor="text1"/>
          <w:sz w:val="23"/>
          <w:szCs w:val="23"/>
          <w:lang w:val="pt-BR"/>
        </w:rPr>
        <w:fldChar w:fldCharType="end"/>
      </w:r>
      <w:r w:rsidRPr="00A65B69">
        <w:rPr>
          <w:color w:val="000000" w:themeColor="text1"/>
          <w:sz w:val="23"/>
          <w:szCs w:val="23"/>
          <w:lang w:val="pt-BR"/>
        </w:rPr>
        <w:t>, com o tempo, o efeito da medicação dopaminérgica diminui gradualmente e efeitos colaterais (discinesias) começam a ocorrer</w:t>
      </w:r>
      <w:r w:rsidR="00407D22"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{"citationItems":[{"id":"ITEM-1","itemData":{"DOI":"10.1002/mds.22062","ISSN":"08853185","PMID":"18781672","abstract":"The basal ganglia (BG) are a highly organized network, where different parts are activated for specific functions and circumstances. The BG are involved in movement control, as well as associative learning, planning, working memory, and emotion. We concentrate on the \"motor circuit\" because it is the best understood anatomically and physiologically, and because Parkinson's disease is mainly thought to be a movement disorder. Normal function of the BG requires fine tuning of neuronal excitability within each nucleus to determine the exact degree of movement facilitation or inhibition at any given moment. This is mediated by the complex organization of the striatum, where the excitability of medium spiny neurons is controlled by several pre-and postsynaptic mechanisms as well as interneuron activity, and secured by several recurrent or internal BG circuits. The motor circuit of the BG has two entry points, the striatum and the subthalamic nucleus (STN), and an output, the globus pallidus pars interna (GPi), which connects to the cortex via the motor thalamus. Neuronal afferents coding for a given movement or task project to the BG by two different systems: (1) Direct disynaptic projections to the GPi via the striatum and STN. (2) Indirect trisynaptic projections to the GPi via the globus pallidus pars externa (GPe). Corticostriatal afferents primarily act to inhibit medium spiny neurons in the \"indirect circuit\" and facilitate neurons in the \"direct circuit.\" The GPe is in a pivotal position to regulate the motor output of the BG. Dopamine finely tunes striatal input as well as neuronal striatal activity, and modulates GPe, GPi, and STN activity. Dopaminergic depletion in Parkinson's disease disrupts the corticostriatal balance leading to increased activity the indirect circuit and reduced activity in the direct circuit. The precise chain of events leading to increased STN activity is not completely understood, but impaired dopaminergic regulation of the GPe, GPi, and STN may be involved. The parkinsonian state is characterized by disruption of the internal balance of the BG leading to hyperactivity in the two main entry points of the network (striatum and STN) and excessive inhibitory output from the GPi. Replacement therapy with standard levodopa creates a further imbalance, producing an abnormal pattern of neuronal discharge and synchronization of neuronal firing that sustain the \"off\" and \"on with dyskinesia\" states. The effect of levodopa is robust b…","author":[{"dropping-particle":"","family":"Obeso","given":"Jose A.","non-dropping-particle":"","parse-names":false,"suffix":""},{"dropping-particle":"","family":"Rodríguez-Oroz","given":"Maria Cruz","non-dropping-particle":"","parse-names":false,"suffix":""},{"dropping-particle":"","family":"Benitez-Temino","given":"Beatriz","non-dropping-particle":"","parse-names":false,"suffix":""},{"dropping-particle":"","family":"Blesa","given":"Francisco J.","non-dropping-particle":"","parse-names":false,"suffix":""},{"dropping-particle":"","family":"Guridi","given":"Jorge","non-dropping-particle":"","parse-names":false,"suffix":""},{"dropping-particle":"","family":"Marin","given":"Concepció","non-dropping-particle":"","parse-names":false,"suffix":""},{"dropping-particle":"","family":"Rodriguez","given":"Manuel","non-dropping-particle":"","parse-names":false,"suffix":""}],"container-title":"Movement Disorders","id":"ITEM-1","issue":"SUPPL. 3","issued":{"date-parts":[["2008"]]},"page":"548-559","title":"Functional organization of the basal ganglia: Therapeutic implications for Parkinson's disease","type":"article-journal","volume":"23"},"uris":["http://www.mendeley.com/documents/?uuid=34dddecd-9ed7-4ad2-a82c-bd46a5d4dc5f"]},{"id":"ITEM-2","itemData":{"DOI":"10.1002/mds.27216","ISSN":"15318257","PMID":"29178365","abstract":"Levodopa is the most effective antiparkinsonian agent, but chronic treatment is associated with the development of motor complications in the majority of patients with PD. Recent scientific and clinical advances are improving this situation. Long-term, double-blind studies demonstrate that dose is an important risk factor for the development of both motor fluctuations and dyskinesia, and suggest that it is best to use low doses of l-dopa when possible. Inhaled l-dopa and sublingual apomorphine are now being developed as rescue therapies that permit rapid and predictable reversal of off periods. Finally, substantial evidence suggests that motor complications are related to the nonphysiological restoration of brain dopamine with intermittent oral doses of standard l-dopa. Double-blind studies demonstrate significant clinical benefits with continuous intraintestinal infusion of l-dopa. New approaches that provide continuous plasma l-dopa levels without the need for a surgical procedure are currently being investigated. Finally, the development of an oral long-acting form of l-dopa that provides continuous plasma l-dopa levels is actively being pursued. Collectively, these approaches offer the potential to considerably reduce and even prevent the disability associated with l-dopa-induced motor complications. © 2017 International Parkinson and Movement Disorder Society.","author":[{"dropping-particle":"","family":"Olanow","given":"C. Warren","non-dropping-particle":"","parse-names":false,"suffix":""},{"dropping-particle":"","family":"Stocchi","given":"Fabrizio","non-dropping-particle":"","parse-names":false,"suffix":""}],"container-title":"Movement Disorders","id":"ITEM-2","issue":"6","issued":{"date-parts":[["2018"]]},"page":"859-866","title":"Levodopa: A new look at an old friend","type":"article-journal","volume":"33"},"uris":["http://www.mendeley.com/documents/?uuid=9a3dec9f-76d7-4056-8a39-d6b2511dd172"]}],"mendeley":{"formattedCitation":"(OBESO et al., 2008; OLANOW; STOCCHI, 2018)","manualFormatting":"(OBESO et al., 2008; OLANOW et al., 2018)","plainTextFormattedCitation":"(OBESO et al., 2008; OLANOW; STOCCHI, 2018)","previouslyFormattedCitation":"(OBESO et al., 2008; OLANOW; STOCCHI, 2018)"},"properties":{"noteIndex":0},"schema":"https://github.com/citation-style-language/schema/raw/master/csl-citation.json"}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(OBESO et al., 2008; OLANOW</w:t>
      </w:r>
      <w:r w:rsidR="008C2A9B" w:rsidRPr="00A65B69">
        <w:rPr>
          <w:noProof/>
          <w:color w:val="000000" w:themeColor="text1"/>
          <w:sz w:val="23"/>
          <w:szCs w:val="23"/>
          <w:lang w:val="pt-BR"/>
        </w:rPr>
        <w:t xml:space="preserve"> et al.,</w:t>
      </w:r>
      <w:r w:rsidR="00407D22" w:rsidRPr="00A65B69">
        <w:rPr>
          <w:noProof/>
          <w:color w:val="000000" w:themeColor="text1"/>
          <w:sz w:val="23"/>
          <w:szCs w:val="23"/>
          <w:lang w:val="pt-BR"/>
        </w:rPr>
        <w:t xml:space="preserve"> 2018)</w:t>
      </w:r>
      <w:r w:rsidR="00407D22" w:rsidRPr="00A65B69">
        <w:rPr>
          <w:color w:val="000000" w:themeColor="text1"/>
          <w:sz w:val="23"/>
          <w:szCs w:val="23"/>
          <w:lang w:val="pt-BR"/>
        </w:rPr>
        <w:fldChar w:fldCharType="end"/>
      </w:r>
      <w:r w:rsidRPr="00A65B69">
        <w:rPr>
          <w:color w:val="000000" w:themeColor="text1"/>
          <w:sz w:val="23"/>
          <w:szCs w:val="23"/>
          <w:lang w:val="pt-BR"/>
        </w:rPr>
        <w:t xml:space="preserve">. </w:t>
      </w:r>
      <w:r w:rsidR="003E729C" w:rsidRPr="00A65B69">
        <w:rPr>
          <w:color w:val="000000" w:themeColor="text1"/>
          <w:sz w:val="23"/>
          <w:szCs w:val="23"/>
          <w:lang w:val="pt-BR"/>
        </w:rPr>
        <w:t>Além disso</w:t>
      </w:r>
      <w:r w:rsidRPr="00A65B69">
        <w:rPr>
          <w:color w:val="000000" w:themeColor="text1"/>
          <w:sz w:val="23"/>
          <w:szCs w:val="23"/>
          <w:lang w:val="pt-BR"/>
        </w:rPr>
        <w:t>, várias características do controle motor (e.g., cadência</w:t>
      </w:r>
      <w:r w:rsidR="00FF4342" w:rsidRPr="00A65B69">
        <w:rPr>
          <w:color w:val="000000" w:themeColor="text1"/>
          <w:sz w:val="23"/>
          <w:szCs w:val="23"/>
          <w:lang w:val="pt-BR"/>
        </w:rPr>
        <w:t xml:space="preserve"> </w:t>
      </w:r>
      <w:r w:rsidR="00FF4342" w:rsidRPr="00A65B69">
        <w:rPr>
          <w:color w:val="000000" w:themeColor="text1"/>
          <w:sz w:val="23"/>
          <w:szCs w:val="23"/>
          <w:lang w:val="pt-BR"/>
        </w:rPr>
        <w:fldChar w:fldCharType="begin" w:fldLock="1"/>
      </w:r>
      <w:r w:rsidR="00805AFB" w:rsidRPr="00A65B69">
        <w:rPr>
          <w:color w:val="000000" w:themeColor="text1"/>
          <w:sz w:val="23"/>
          <w:szCs w:val="23"/>
          <w:lang w:val="pt-BR"/>
        </w:rPr>
        <w:instrText>ADDIN CSL_CITATION {"citationItems":[{"id":"ITEM-1","itemData":{"DOI":"10.1002/mds.23450","ISSN":"08853185","PMID":"21462258","abstract":"Background: Independence of certain gait characteristics from dopamine replacement therapies highlights its complex pathophysiology in Parkinson's disease (PD). We explored the effect of two different cue strategies on gait characteristics in relation to their response to dopaminergic medications. Patients and Methods: Fifty people with PD (age 69.22 ± 6.6 years) were studied. Participants walked with and without cues presented in a randomized order. Cue strategies were: (1) internal cue (attention to increase step length) and (2) external cue (auditory cue with instruction to take large step to the beat). Testing was carried out two times at home (on and off medication). Gait was measured using a Stride Analyzer (B&amp;L Engineering). Gait outcomes were walking speed, stride length, step frequency, and coefficient of variation (CV) of stride time and double limb support duration (DLS). Results: Walking speed, stride length, and stride time CV improved on dopaminergic medications, whereas step frequency and DLS CV did not. Internal and external cues increased stride time and walking speed (on and off dopaminergic medications). Only the external cue significantly improved stride time CV and DLS CV, whereas the internal cue had no effect (on and off dopaminergic medications). Conclusions: Internal and external cues selectively modify gait characteristics in relation to the type of gait disturbance and its dopa-responsiveness. Although internal (attention) and external cues target dopaminergic gait dysfunction (stride length), only external cues target stride to stride fluctuations in gait. Despite an overlap with dopaminergic pathways, external cues may effectively address nondopaminergic gait dysfunction and potentially increase mobility and reduce gait instability and falls. © 2010 Movement Disorder Society.","author":[{"dropping-particle":"","family":"Rochester","given":"Lynn","non-dropping-particle":"","parse-names":false,"suffix":""},{"dropping-particle":"","family":"Baker","given":"Katherine","non-dropping-particle":"","parse-names":false,"suffix":""},{"dropping-particle":"","family":"Nieuwboer","given":"Alice","non-dropping-particle":"","parse-names":false,"suffix":""},{"dropping-particle":"","family":"Burn","given":"David","non-dropping-particle":"","parse-names":false,"suffix":""}],"container-title":"Movement Disorders","id":"ITEM-1","issue":"3","issued":{"date-parts":[["2011"]]},"page":"430-435","title":"Targeting dopa-sensitive and dopa-resistant gait dysfunction in Parkinson's disease: Selective responses to internal and external cues","type":"article-journal","volume":"26"},"uris":["http://www.mendeley.com/documents/?uuid=8c96fa6e-1826-4118-91e3-a8871991c432"]}],"mendeley":{"formattedCitation":"(ROCHESTER et al., 2011)","plainTextFormattedCitation":"(ROCHESTER et al., 2011)","previouslyFormattedCitation":"(ROCHESTER et al., 2011)"},"properties":{"noteIndex":0},"schema":"https://github.com/citation-style-language/schema/raw/master/csl-citation.json"}</w:instrText>
      </w:r>
      <w:r w:rsidR="00FF4342" w:rsidRPr="00A65B69">
        <w:rPr>
          <w:color w:val="000000" w:themeColor="text1"/>
          <w:sz w:val="23"/>
          <w:szCs w:val="23"/>
          <w:lang w:val="pt-BR"/>
        </w:rPr>
        <w:fldChar w:fldCharType="separate"/>
      </w:r>
      <w:r w:rsidR="00FF4342" w:rsidRPr="00A65B69">
        <w:rPr>
          <w:noProof/>
          <w:color w:val="000000" w:themeColor="text1"/>
          <w:sz w:val="23"/>
          <w:szCs w:val="23"/>
          <w:lang w:val="pt-BR"/>
        </w:rPr>
        <w:t>(ROCHESTER et al., 2011)</w:t>
      </w:r>
      <w:r w:rsidR="00FF4342" w:rsidRPr="00A65B69">
        <w:rPr>
          <w:color w:val="000000" w:themeColor="text1"/>
          <w:sz w:val="23"/>
          <w:szCs w:val="23"/>
          <w:lang w:val="pt-BR"/>
        </w:rPr>
        <w:fldChar w:fldCharType="end"/>
      </w:r>
      <w:r w:rsidRPr="00A65B69">
        <w:rPr>
          <w:color w:val="000000" w:themeColor="text1"/>
          <w:sz w:val="23"/>
          <w:szCs w:val="23"/>
          <w:lang w:val="pt-BR"/>
        </w:rPr>
        <w:t xml:space="preserve"> e adaptações posturais</w:t>
      </w:r>
      <w:r w:rsidR="00407D22"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407D22" w:rsidRPr="00A65B69">
        <w:rPr>
          <w:color w:val="000000" w:themeColor="text1"/>
          <w:sz w:val="23"/>
          <w:szCs w:val="23"/>
          <w:lang w:val="pt-BR"/>
        </w:rPr>
        <w:instrText>ADDIN CSL_CITATION {"citationItems":[{"id":"ITEM-1","itemData":{"DOI":"10.1002/mds.26269","ISSN":"15318257","PMID":"26095928","abstract":"Background: The effects of levodopa on balance and gait function in people with Parkinson's disease (PD) is controversial. This study compared the relative responsiveness to l-dopa on six domains of balance and gait: postural sway in stance; gait pace; dynamic stability; gait initiation; arm swing; and turning in people with mild and severe PD, with and without dyskinesia. Methods: We studied 104 subjects with idiopathic PD (H &amp; Y II [n=52] and III-IV [n=52]) and 64 age-matched controls. Subjects performed a mobility task in the practical off state and on l-dopa: standing quietly for 30 seconds, initiating gait, walking 7 meters, and turning 180 degrees. Thirty-four measures of mobility were computed from inertial sensors. Standardized response means were used to determine relative responsiveness to l-dopa. Results: The largest improvements with l-dopa were found for arm swing and pace-related gait measures. Gait dynamic stability was unaffected by PD and not responsive to l-dopa. l-dopa reduced turning duration, but only in subjects with severe PD. In contrast to gait, postural sway in quiet standing increased with l-dopa, especially in the more severely affected subjects. The increase in postural sway, as well as decrease in turning duration and exaggerated arm swing with l-dopa was observed only for subjects with dyskinesia at the time of testing. Conclusions: The observed spectrum of l-dopa responsiveness in balance and gait measures suggests that multiple neural circuits control balance and gait. Many of the negative effects of l-dopa may be directly or indirectly caused by dyskinesia.","author":[{"dropping-particle":"","family":"Curtze","given":"Carolin","non-dropping-particle":"","parse-names":false,"suffix":""},{"dropping-particle":"","family":"Nutt","given":"John G.","non-dropping-particle":"","parse-names":false,"suffix":""},{"dropping-particle":"","family":"Carlson-Kuhta","given":"Patricia","non-dropping-particle":"","parse-names":false,"suffix":""},{"dropping-particle":"","family":"Mancini","given":"Martina","non-dropping-particle":"","parse-names":false,"suffix":""},{"dropping-particle":"","family":"Horak","given":"Fay B.","non-dropping-particle":"","parse-names":false,"suffix":""}],"container-title":"Movement Disorders","id":"ITEM-1","issue":"10","issued":{"date-parts":[["2015"]]},"page":"1361-1370","title":"Levodopa Is a Double-Edged Sword for Balance and Gait in People With Parkinson's Disease","type":"article-journal","volume":"30"},"uris":["http://www.mendeley.com/documents/?uuid=284950cf-1445-4cce-96fe-837d42386b07"]}],"mendeley":{"formattedCitation":"(CURTZE et al., 2015)","plainTextFormattedCitation":"(CURTZE et al., 2015)","previouslyFormattedCitation":"(CURTZE et al., 2015)"},"properties":{"noteIndex":0},"schema":"https://github.com/citation-style-language/schema/raw/master/csl-citation.json"}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(CURTZE et al., 2015)</w:t>
      </w:r>
      <w:r w:rsidR="00407D22" w:rsidRPr="00A65B69">
        <w:rPr>
          <w:color w:val="000000" w:themeColor="text1"/>
          <w:sz w:val="23"/>
          <w:szCs w:val="23"/>
          <w:lang w:val="pt-BR"/>
        </w:rPr>
        <w:fldChar w:fldCharType="end"/>
      </w:r>
      <w:r w:rsidRPr="00A65B69">
        <w:rPr>
          <w:color w:val="000000" w:themeColor="text1"/>
          <w:sz w:val="23"/>
          <w:szCs w:val="23"/>
          <w:lang w:val="pt-BR"/>
        </w:rPr>
        <w:t xml:space="preserve">) e não-motores (e.g., </w:t>
      </w:r>
      <w:r w:rsidR="004640AF" w:rsidRPr="00A65B69">
        <w:rPr>
          <w:color w:val="000000" w:themeColor="text1"/>
          <w:sz w:val="23"/>
          <w:szCs w:val="23"/>
          <w:lang w:val="pt-BR"/>
        </w:rPr>
        <w:t>distúrbios do sono</w:t>
      </w:r>
      <w:r w:rsidR="00407D22" w:rsidRPr="00A65B69">
        <w:rPr>
          <w:color w:val="000000" w:themeColor="text1"/>
          <w:sz w:val="23"/>
          <w:szCs w:val="23"/>
          <w:lang w:val="pt-BR"/>
        </w:rPr>
        <w:t xml:space="preserve"> </w:t>
      </w:r>
      <w:r w:rsidR="00407D22" w:rsidRPr="00A65B69">
        <w:rPr>
          <w:color w:val="000000" w:themeColor="text1"/>
          <w:sz w:val="23"/>
          <w:szCs w:val="23"/>
          <w:lang w:val="pt-BR"/>
        </w:rPr>
        <w:fldChar w:fldCharType="begin" w:fldLock="1"/>
      </w:r>
      <w:r w:rsidR="00407D22" w:rsidRPr="00A65B69">
        <w:rPr>
          <w:color w:val="000000" w:themeColor="text1"/>
          <w:sz w:val="23"/>
          <w:szCs w:val="23"/>
          <w:lang w:val="pt-BR"/>
        </w:rPr>
        <w:instrText>ADDIN CSL_CITATION {"citationItems":[{"id":"ITEM-1","itemData":{"DOI":"10.1186/s40734-015-0020-9","abstract":"BACKGROUND: Sleep disturbances are among the most common non-motor symptoms of Parkinson's disease (PD), greatly interfering with daily activities and diminishing life quality. Pharmacological treatments have not been satisfactory because of side effects and interactions with anti-parkinsonian drugs. While studies have shown that regular exercise improves sleep quality in normal aging, there is no definitive evidence in PD. METHODS: In a retrospective study, we determined whether an intense physical and multidisciplinary exercise program improves sleep quality in a large group of patients with PD. We analyzed the scores of PD Sleep Scale (PDSS), which was administered twice, 28 days apart, to two groups of patients with PD of comparable age, gender, disease duration and pharmacological treatment. The control group (49 patients) did not receive rehabilitation, The treated group (89 patients) underwent a 28-day multidisciplinary intensive rehabilitation program (three one-hour daily sessions comprising cardiovascular warm-up, relaxation, muscle-stretching, balance and gait training, occupational therapy to improve daily living activities). RESULTS: At enrolment, control and treated groups had similar UPDRS and PDSS scores. At re-test, 28 days later, UPDRS and total PDSS scores improved in the treated (p &lt; 0.0001) but not in the control group. In particular, the treated group showed significant improvement in PDSS scores for sleep quality, motor symptoms and daytime somnolence. The control group did not show improvement for any item. CONCLUSIONS: These results suggest that multidisciplinary intensive rehabilitation treatment may have a positive impact on many aspects of sleep in PD.","author":[{"dropping-particle":"","family":"Frazzitta","given":"Giuseppe","non-dropping-particle":"","parse-names":false,"suffix":""},{"dropping-particle":"","family":"Maestri","given":"Roberto","non-dropping-particle":"","parse-names":false,"suffix":""},{"dropping-particle":"","family":"Ferrazzoli","given":"Davide","non-dropping-particle":"","parse-names":false,"suffix":""},{"dropping-particle":"","family":"Riboldazzi","given":"Giulio","non-dropping-particle":"","parse-names":false,"suffix":""},{"dropping-particle":"","family":"Bera","given":"Rossana","non-dropping-particle":"","parse-names":false,"suffix":""},{"dropping-particle":"","family":"Fontanesi","given":"Cecilia","non-dropping-particle":"","parse-names":false,"suffix":""},{"dropping-particle":"","family":"Rossi","given":"Roger P","non-dropping-particle":"","parse-names":false,"suffix":""},{"dropping-particle":"","family":"Pezzoli","given":"Gianni","non-dropping-particle":"","parse-names":false,"suffix":""},{"dropping-particle":"","family":"Ghilardi","given":"Maria F","non-dropping-particle":"","parse-names":false,"suffix":""}],"container-title":"Journal of Clinical Movement Disorders","id":"ITEM-1","issue":"1","issued":{"date-parts":[["2015"]]},"page":"4-11","title":"Multidisciplinary intensive rehabilitation treatment improves sleep quality in Parkinson’s disease","type":"article-journal","volume":"2"},"uris":["http://www.mendeley.com/documents/?uuid=3aa1edbc-e671-4d49-b75c-15435a911274"]}],"mendeley":{"formattedCitation":"(FRAZZITTA et al., 2015)","plainTextFormattedCitation":"(FRAZZITTA et al., 2015)","previouslyFormattedCitation":"(FRAZZITTA et al., 2015)"},"properties":{"noteIndex":0},"schema":"https://github.com/citation-style-language/schema/raw/master/csl-citation.json"}</w:instrText>
      </w:r>
      <w:r w:rsidR="00407D22" w:rsidRPr="00A65B69">
        <w:rPr>
          <w:color w:val="000000" w:themeColor="text1"/>
          <w:sz w:val="23"/>
          <w:szCs w:val="23"/>
          <w:lang w:val="pt-BR"/>
        </w:rPr>
        <w:fldChar w:fldCharType="separate"/>
      </w:r>
      <w:r w:rsidR="00407D22" w:rsidRPr="00A65B69">
        <w:rPr>
          <w:noProof/>
          <w:color w:val="000000" w:themeColor="text1"/>
          <w:sz w:val="23"/>
          <w:szCs w:val="23"/>
          <w:lang w:val="pt-BR"/>
        </w:rPr>
        <w:t>(FRAZZITTA et al., 2015)</w:t>
      </w:r>
      <w:r w:rsidR="00407D22" w:rsidRPr="00A65B69">
        <w:rPr>
          <w:color w:val="000000" w:themeColor="text1"/>
          <w:sz w:val="23"/>
          <w:szCs w:val="23"/>
          <w:lang w:val="pt-BR"/>
        </w:rPr>
        <w:fldChar w:fldCharType="end"/>
      </w:r>
      <w:r w:rsidRPr="00A65B69">
        <w:rPr>
          <w:color w:val="000000" w:themeColor="text1"/>
          <w:sz w:val="23"/>
          <w:szCs w:val="23"/>
          <w:lang w:val="pt-BR"/>
        </w:rPr>
        <w:t>) são resistentes à terapia farmacológica</w:t>
      </w:r>
      <w:r w:rsidR="004640AF" w:rsidRPr="00A65B69">
        <w:rPr>
          <w:color w:val="000000" w:themeColor="text1"/>
          <w:sz w:val="23"/>
          <w:szCs w:val="23"/>
          <w:lang w:val="pt-BR"/>
        </w:rPr>
        <w:t>.</w:t>
      </w:r>
      <w:r w:rsidRPr="00A65B69">
        <w:rPr>
          <w:color w:val="000000" w:themeColor="text1"/>
          <w:sz w:val="23"/>
          <w:szCs w:val="23"/>
          <w:lang w:val="pt-BR"/>
        </w:rPr>
        <w:t xml:space="preserve"> </w:t>
      </w:r>
      <w:r w:rsidR="000F3770" w:rsidRPr="00A65B69">
        <w:rPr>
          <w:color w:val="000000" w:themeColor="text1"/>
          <w:sz w:val="23"/>
          <w:szCs w:val="23"/>
          <w:lang w:val="pt-BR"/>
        </w:rPr>
        <w:t xml:space="preserve">Ainda, a medicação dopaminérgica não age nas mudanças no metabolismo causados pela DP </w:t>
      </w:r>
      <w:r w:rsidR="00DA0696" w:rsidRPr="00A65B69">
        <w:rPr>
          <w:color w:val="000000" w:themeColor="text1"/>
          <w:sz w:val="23"/>
          <w:szCs w:val="23"/>
          <w:lang w:val="pt-BR"/>
        </w:rPr>
        <w:fldChar w:fldCharType="begin" w:fldLock="1"/>
      </w:r>
      <w:r w:rsidR="00DA0696" w:rsidRPr="00A65B69">
        <w:rPr>
          <w:color w:val="000000" w:themeColor="text1"/>
          <w:sz w:val="23"/>
          <w:szCs w:val="23"/>
          <w:lang w:val="pt-BR"/>
        </w:rPr>
        <w:instrText>ADDIN CSL_CITATION {"citationItems":[{"id":"ITEM-1","itemData":{"DOI":"10.1523/JNEUROSCI.1907-15.2016","ISSN":"15292401","PMID":"26758829","abstract":"Disruption of iron homeostasis as a consequence of aging is thought to cause iron levels to increase, potentially promoting oxidative cellular damage. Therefore, understanding how this process evolves through the lifespan could offer insights into both the aging process and the development of aging-related neurodegenerative brain diseases. This work aimed to map, in vivo for the first time with an unbiased whole-brain approach, age-related iron changes using quantitative susceptibility mapping (QSM)—a new postprocessed MRI contrast mechanism. To this end, a full QSM standardization routine was devised and a cohort of N = 116 healthy adults (20–79 years of age) was studied. The whole-brain and ROI analyses confirmed that the propensity of brain cells to accumulate excessive iron as a function of aging largely depends on their exact anatomical location. Whereas only patchy signs of iron scavenging were observed in white matter, strong, bilateral, and confluent QSM–age associations were identified in several deep-brain nuclei—chiefly the striatum and midbrain—and across motor, premotor, posterior insular, superior prefrontal, and cerebellar cortices. The validity of QSM as a suitable in vivo imaging technique with which to monitor iron dysregulation in the human brain was demonstrated by confirming age-related increases in several subcortical nuclei that are known to accumulate iron with age. The study indicated that, in addition to these structures, there is a predilection for iron accumulation in the frontal lobes, which when combined with the subcortical findings, suggests that iron accumulation with age predominantly affects brain regions concerned with motor/output functions.","author":[{"dropping-particle":"","family":"Acosta-Cabronero","given":"Julio","non-dropping-particle":"","parse-names":false,"suffix":""},{"dropping-particle":"","family":"Betts","given":"Matthew J.","non-dropping-particle":"","parse-names":false,"suffix":""},{"dropping-particle":"","family":"Cardenas-Blanco","given":"Arturo","non-dropping-particle":"","parse-names":false,"suffix":""},{"dropping-particle":"","family":"Yang","given":"Shan","non-dropping-particle":"","parse-names":false,"suffix":""},{"dropping-particle":"","family":"Nestor","given":"Peter J.","non-dropping-particle":"","parse-names":false,"suffix":""}],"container-title":"Journal of Neuroscience","id":"ITEM-1","issue":"2","issued":{"date-parts":[["2016"]]},"page":"364-374","title":"In vivo MRI mapping of brain iron deposition across the adult lifespan","type":"article-journal","volume":"36"},"uris":["http://www.mendeley.com/documents/?uuid=c49c4a48-597b-4983-8458-8d14a8d49ea0"]},{"id":"ITEM-2","itemData":{"DOI":"10.1186/s12868-019-0505-9","ISSN":"14712202","PMID":"31117957","abstract":"Background: Patients with Parkinson's disease (PD) have elevated levels of brain iron, especially in the nigrostriatal dopaminergic system. The purpose of this study was to evaluate the iron deposition in the substantia nigra (SN) and other deep gray matter nuclei of PD patients using quantitative susceptibility mapping (QSM) and its clinical relationship, and to explore whether there is a gradient of iron deposition pattern in globus pallidus (GP)-fascicula nigrale (FN)-SN pathway. Methods: Thirty-three PD patients and 26 age- and sex-matched healthy volunteers (HVs) were included in this study. Subjects underwent brain MRI and constructed QSM data. The differences in iron accumulation in the deep gray matter nuclei of the subjects were compared, including the PD group and the control group, the early-stage PD (EPD) group and the late-stage PD (LPD) group. The iron deposition pattern of the GP-FN-SN pathway was analyzed. Results: The PD group showed increased susceptibility values in the FN, substantia nigra pars compacta (SNc), internal globus pallidus (GPi), red nucleus (RN), putamen and caudate nucleus compared with the HV group (P &lt; 0.05). In both PD and HV group, iron deposition along the GP-FN-SN pathway did not show an increasing gradient pattern. The SNc, substantia nigra pars reticulata (SNr) and RN showed significantly increased susceptibility values in the LPD patients compared with the EPD patients. Conclusion: PD is closely related to iron deposition in the SNc. The condition of PD patients is related to the SNc and the SNr. There is not an increasing iron deposition gradient along the GP-FN-SN pathway. The source and mechanism of iron deposition in the SN need to be further explored, as does the relationship between the iron deposition in the RN and PD.","author":[{"dropping-particle":"","family":"Chen","given":"Qiqi","non-dropping-particle":"","parse-names":false,"suffix":""},{"dropping-particle":"","family":"Chen","given":"Yiting","non-dropping-particle":"","parse-names":false,"suffix":""},{"dropping-particle":"","family":"Zhang","given":"Yue","non-dropping-particle":"","parse-names":false,"suffix":""},{"dropping-particle":"","family":"Wang","given":"Furu","non-dropping-particle":"","parse-names":false,"suffix":""},{"dropping-particle":"","family":"Yu","given":"Hongchang","non-dropping-particle":"","parse-names":false,"suffix":""},{"dropping-particle":"","family":"Zhang","given":"Caiyuan","non-dropping-particle":"","parse-names":false,"suffix":""},{"dropping-particle":"","family":"Jiang","given":"Zhen","non-dropping-particle":"","parse-names":false,"suffix":""},{"dropping-particle":"","family":"Luo","given":"Weifeng","non-dropping-particle":"","parse-names":false,"suffix":""}],"container-title":"BMC Neuroscience","id":"ITEM-2","issue":"1","issued":{"date-parts":[["2019"]]},"page":"1-8","publisher":"BioMed Central","title":"Iron deposition in Parkinson's disease by quantitative susceptibility mapping","type":"article-journal","volume":"20"},"uris":["http://www.mendeley.com/documents/?uuid=eea58541-7004-41f0-a76a-42859eac7bed"]},{"id":"ITEM-3","itemData":{"DOI":"10.1002/jmri.25434","ISSN":"15222586","PMID":"27545971","abstract":"Purpose: Because the roles of striatal-thalamo-cortical and cerebello-thalamo-cortical circuits in the heterogeneous motor impairments of Parkinson's disease (PD) are becoming recognized, this study was designed to investigate the relationships between regional iron in the cardinal subcortical nuclei in these circuits and the different motor impairments. Materials and Methods: Sixty-two PD patients and 40 normal subjects were included and accepted for Enhanced T2-Star Weighted Angiography Scanning (3.0T). According to the Unified Parkinson's Disease Rating Scale, patients were divided into tremor-dominant (PD-TD) and akinetic/rigid-dominant groups (PD-AR). The intergroup differences of magnetic susceptibility in those cardinal nuclei were measured. Correlation analyses between magnetic susceptibility and motor impairments were performed in all patients. Results: Nigral magnetic susceptibility significantly increased for each PD group compared with controls (P &lt; 0.001 for PD-TD; P = 0.001 for PD-AR). Magnetic susceptibility in the dentate nucleus (DN) and red nucleus (RN) for the PD-TD patients were significantly increased compared with controls (P &lt; 0.001 and P = 0.004, respectively). Magnetic susceptibility in these regions was also significantly correlated with tremor severity (r = 0.444, P = 0.001 for DN; r = 0.418, P = 0.001 for RN). Significant correlation between caudate magnetic susceptibility and akinetic/rigid severity were observed (r = –0.322, P = 0.015). Conclusion: This study provides evidence that nigral iron accumulation is a common characteristic in PD, while iron accumulation in the DN and RN is correlated with tremor symptoms. Our data also indicate that caudate iron content may be a potential marker for akinetic/rigid progression. Level of Evidence: 3. J. MAGN. RESON. IMAGING 2017;45:1335–1342.","author":[{"dropping-particle":"","family":"Guan","given":"Xiaojun","non-dropping-particle":"","parse-names":false,"suffix":""},{"dropping-particle":"","family":"Xuan","given":"Min","non-dropping-particle":"","parse-names":false,"suffix":""},{"dropping-particle":"","family":"Gu","given":"Quanquan","non-dropping-particle":"","parse-names":false,"suffix":""},{"dropping-particle":"","family":"Xu","given":"Xiaojun","non-dropping-particle":"","parse-names":false,"suffix":""},{"dropping-particle":"","family":"Huang","given":"Peiyu","non-dropping-particle":"","parse-names":false,"suffix":""},{"dropping-particle":"","family":"Wang","given":"Nian","non-dropping-particle":"","parse-names":false,"suffix":""},{"dropping-particle":"","family":"Shen","given":"Zhujing","non-dropping-particle":"","parse-names":false,"suffix":""},{"dropping-particle":"","family":"Xu","given":"Jingjing","non-dropping-particle":"","parse-names":false,"suffix":""},{"dropping-particle":"","family":"Luo","given":"Wei","non-dropping-particle":"","parse-names":false,"suffix":""},{"dropping-particle":"","family":"Zhang","given":"Minming","non-dropping-particle":"","parse-names":false,"suffix":""}],"container-title":"Journal of Magnetic Resonance Imaging","id":"ITEM-3","issue":"5","issued":{"date-parts":[["2017"]]},"page":"1335-1342","title":"Influence of regional iron on the motor impairments of Parkinson's disease: A quantitative susceptibility mapping study","type":"article-journal","volume":"45"},"uris":["http://www.mendeley.com/documents/?uuid=b059fcb8-d725-4ce9-9996-797e470c5a2b"]},{"id":"ITEM-4","itemData":{"DOI":"10.1038/srep36669","ISSN":"20452322","PMID":"27827408","abstract":"Brain iron levels in patients of Parkinson's disease (PD) are usually measured in postmortem samples or by MRI imaging including R2</w:instrText>
      </w:r>
      <w:r w:rsidR="00DA0696" w:rsidRPr="00A65B69">
        <w:rPr>
          <w:rFonts w:ascii="Cambria Math" w:hAnsi="Cambria Math" w:cs="Cambria Math"/>
          <w:color w:val="000000" w:themeColor="text1"/>
          <w:sz w:val="23"/>
          <w:szCs w:val="23"/>
          <w:lang w:val="pt-BR"/>
        </w:rPr>
        <w:instrText>∗</w:instrText>
      </w:r>
      <w:r w:rsidR="00DA0696" w:rsidRPr="00A65B69">
        <w:rPr>
          <w:color w:val="000000" w:themeColor="text1"/>
          <w:sz w:val="23"/>
          <w:szCs w:val="23"/>
          <w:lang w:val="pt-BR"/>
        </w:rPr>
        <w:instrText xml:space="preserve"> and SWI. In this study we performed a meta-analysis to understand PD-associated iron changes in various brain regions, and to evaluate the accuracy of MRI detections comparing with postmortem results. Databases including Medline, Web of Science, CENTRAL and Embase were searched up to 19th November 2015. Ten brain regions were identified for analysis based on data extracted from thirty-three-articles. An increase in iron levels in substantia nigra of PD patients by postmortem, R2</w:instrText>
      </w:r>
      <w:r w:rsidR="00DA0696" w:rsidRPr="00A65B69">
        <w:rPr>
          <w:rFonts w:ascii="Cambria Math" w:hAnsi="Cambria Math" w:cs="Cambria Math"/>
          <w:color w:val="000000" w:themeColor="text1"/>
          <w:sz w:val="23"/>
          <w:szCs w:val="23"/>
          <w:lang w:val="pt-BR"/>
        </w:rPr>
        <w:instrText>∗</w:instrText>
      </w:r>
      <w:r w:rsidR="00DA0696" w:rsidRPr="00A65B69">
        <w:rPr>
          <w:color w:val="000000" w:themeColor="text1"/>
          <w:sz w:val="23"/>
          <w:szCs w:val="23"/>
          <w:lang w:val="pt-BR"/>
        </w:rPr>
        <w:instrText xml:space="preserve"> or SWI measurements was observed. The postmortem and SWI measurements also suggested significant iron accumulation in putamen. Increased iron deposition was found in red nucleus as determined by both R2</w:instrText>
      </w:r>
      <w:r w:rsidR="00DA0696" w:rsidRPr="00A65B69">
        <w:rPr>
          <w:rFonts w:ascii="Cambria Math" w:hAnsi="Cambria Math" w:cs="Cambria Math"/>
          <w:color w:val="000000" w:themeColor="text1"/>
          <w:sz w:val="23"/>
          <w:szCs w:val="23"/>
          <w:lang w:val="pt-BR"/>
        </w:rPr>
        <w:instrText>∗</w:instrText>
      </w:r>
      <w:r w:rsidR="00DA0696" w:rsidRPr="00A65B69">
        <w:rPr>
          <w:color w:val="000000" w:themeColor="text1"/>
          <w:sz w:val="23"/>
          <w:szCs w:val="23"/>
          <w:lang w:val="pt-BR"/>
        </w:rPr>
        <w:instrText xml:space="preserve"> and SWI, whereas no data were available in postmortem samples. Based on SWI, iron levels were increased significantly in the nucleus caudatus and globus pallidus. Of note, the analysis might be biased towards advanced disease and that the precise stage at which regions become involved could not be ascertained. Our analysis provides an overview of iron deposition in multiple brain regions of PD patients, and a comparison of outcomes from different methods detecting levels of iron.","author":[{"dropping-particle":"","family":"Wang","given":"Jian Yong","non-dropping-particle":"","parse-names":false,"suffix":""},{"dropping-particle":"","family":"Zhuang","given":"Qing Qing","non-dropping-particle":"","parse-names":false,"suffix":""},{"dropping-particle":"","family":"Zhu","given":"Lan Bing","non-dropping-particle":"","parse-names":false,"suffix":""},{"dropping-particle":"","family":"Zhu","given":"Hui","non-dropping-particle":"","parse-names":false,"suffix":""},{"dropping-particle":"","family":"Li","given":"Ting","non-dropping-particle":"","parse-names":false,"suffix":""},{"dropping-particle":"","family":"Li","given":"Rui","non-dropping-particle":"","parse-names":false,"suffix":""},{"dropping-particle":"","family":"Chen","given":"Song Fang","non-dropping-particle":"","parse-names":false,"suffix":""},{"dropping-particle":"","family":"Huang","given":"Chen Ping","non-dropping-particle":"","parse-names":false,"suffix":""},{"dropping-particle":"","family":"Zhang","given":"Xiong","non-dropping-particle":"","parse-names":false,"suffix":""},{"dropping-particle":"","family":"Zhu","given":"Jian Hong","non-dropping-particle":"","parse-names":false,"suffix":""}],"container-title":"Scientific Reports","id":"ITEM-4","issue":"November","issued":{"date-parts":[["2016"]]},"page":"1-13","publisher":"Nature Publishing Group","title":"Meta-analysis of brain iron levels of Parkinson's disease patients determined by postmortem and MRI measurements","type":"article-journal","volume":"6"},"uris":["http://www.mendeley.com/documents/?uuid=c53b72ac-fee6-4688-8700-c30cabccecf9"]}],"mendeley":{"formattedCitation":"(ACOSTA-CABRONERO et al., 2016; CHEN et al., 2019; GUAN et al., 2017; WANG et al., 2016)","plainTextFormattedCitation":"(ACOSTA-CABRONERO et al., 2016; CHEN et al., 2019; GUAN et al., 2017; WANG et al., 2016)","previouslyFormattedCitation":"(ACOSTA-CABRONERO et al., 2016; CHEN et al., 2019; GUAN et al., 2017; WANG et al., 2016)"},"properties":{"noteIndex":0},"schema":"https://github.com/citation-style-language/schema/raw/master/csl-citation.json"}</w:instrText>
      </w:r>
      <w:r w:rsidR="00DA0696" w:rsidRPr="00A65B69">
        <w:rPr>
          <w:color w:val="000000" w:themeColor="text1"/>
          <w:sz w:val="23"/>
          <w:szCs w:val="23"/>
          <w:lang w:val="pt-BR"/>
        </w:rPr>
        <w:fldChar w:fldCharType="separate"/>
      </w:r>
      <w:r w:rsidR="00DA0696" w:rsidRPr="00A65B69">
        <w:rPr>
          <w:noProof/>
          <w:color w:val="000000" w:themeColor="text1"/>
          <w:sz w:val="23"/>
          <w:szCs w:val="23"/>
          <w:lang w:val="pt-BR"/>
        </w:rPr>
        <w:t xml:space="preserve">(ACOSTA-CABRONERO et al., 2016; CHEN et al., 2019; GUAN et </w:t>
      </w:r>
      <w:r w:rsidR="00DA0696" w:rsidRPr="00A65B69">
        <w:rPr>
          <w:noProof/>
          <w:color w:val="000000" w:themeColor="text1"/>
          <w:sz w:val="23"/>
          <w:szCs w:val="23"/>
          <w:lang w:val="pt-BR"/>
        </w:rPr>
        <w:lastRenderedPageBreak/>
        <w:t>al., 2017; WANG et al., 2016)</w:t>
      </w:r>
      <w:r w:rsidR="00DA0696" w:rsidRPr="00A65B69">
        <w:rPr>
          <w:color w:val="000000" w:themeColor="text1"/>
          <w:sz w:val="23"/>
          <w:szCs w:val="23"/>
          <w:lang w:val="pt-BR"/>
        </w:rPr>
        <w:fldChar w:fldCharType="end"/>
      </w:r>
      <w:r w:rsidR="00013162" w:rsidRPr="00A65B69">
        <w:rPr>
          <w:color w:val="000000" w:themeColor="text1"/>
          <w:sz w:val="23"/>
          <w:szCs w:val="23"/>
          <w:lang w:val="pt-BR"/>
        </w:rPr>
        <w:t xml:space="preserve"> e sua influência sobre a homeostase do ferro ainda é desconhecida</w:t>
      </w:r>
      <w:r w:rsidR="000F3770" w:rsidRPr="00A65B69">
        <w:rPr>
          <w:color w:val="000000" w:themeColor="text1"/>
          <w:sz w:val="23"/>
          <w:szCs w:val="23"/>
          <w:lang w:val="pt-BR"/>
        </w:rPr>
        <w:t xml:space="preserve">. </w:t>
      </w:r>
      <w:r w:rsidRPr="00A65B69">
        <w:rPr>
          <w:color w:val="000000" w:themeColor="text1"/>
          <w:sz w:val="23"/>
          <w:szCs w:val="23"/>
          <w:lang w:val="pt-BR"/>
        </w:rPr>
        <w:t>Desta forma, d</w:t>
      </w:r>
      <w:r w:rsidR="00B271EE" w:rsidRPr="00A65B69">
        <w:rPr>
          <w:color w:val="000000" w:themeColor="text1"/>
          <w:sz w:val="23"/>
          <w:szCs w:val="23"/>
          <w:lang w:val="pt-BR"/>
        </w:rPr>
        <w:t xml:space="preserve">eterminar </w:t>
      </w:r>
      <w:r w:rsidR="00486656" w:rsidRPr="00A65B69">
        <w:rPr>
          <w:color w:val="000000" w:themeColor="text1"/>
          <w:sz w:val="23"/>
          <w:szCs w:val="23"/>
          <w:lang w:val="pt-BR"/>
        </w:rPr>
        <w:t>estratégias</w:t>
      </w:r>
      <w:r w:rsidR="00B271EE" w:rsidRPr="00A65B69">
        <w:rPr>
          <w:color w:val="000000" w:themeColor="text1"/>
          <w:sz w:val="23"/>
          <w:szCs w:val="23"/>
          <w:lang w:val="pt-BR"/>
        </w:rPr>
        <w:t xml:space="preserve"> complementares que não tenham efeitos colaterais duradouros</w:t>
      </w:r>
      <w:r w:rsidR="007433C9" w:rsidRPr="00A65B69">
        <w:rPr>
          <w:color w:val="000000" w:themeColor="text1"/>
          <w:sz w:val="23"/>
          <w:szCs w:val="23"/>
          <w:lang w:val="pt-BR"/>
        </w:rPr>
        <w:t xml:space="preserve"> e que possam </w:t>
      </w:r>
      <w:r w:rsidR="00681DD8" w:rsidRPr="00A65B69">
        <w:rPr>
          <w:color w:val="000000" w:themeColor="text1"/>
          <w:sz w:val="23"/>
          <w:szCs w:val="23"/>
          <w:lang w:val="pt-BR"/>
        </w:rPr>
        <w:t>influenciar n</w:t>
      </w:r>
      <w:r w:rsidR="007433C9" w:rsidRPr="00A65B69">
        <w:rPr>
          <w:color w:val="000000" w:themeColor="text1"/>
          <w:sz w:val="23"/>
          <w:szCs w:val="23"/>
          <w:lang w:val="pt-BR"/>
        </w:rPr>
        <w:t>a progressão da DP</w:t>
      </w:r>
      <w:r w:rsidR="00E50F70" w:rsidRPr="00A65B69">
        <w:rPr>
          <w:color w:val="000000" w:themeColor="text1"/>
          <w:sz w:val="23"/>
          <w:szCs w:val="23"/>
          <w:lang w:val="pt-BR"/>
        </w:rPr>
        <w:t xml:space="preserve"> –</w:t>
      </w:r>
      <w:r w:rsidR="000F3770" w:rsidRPr="00A65B69">
        <w:rPr>
          <w:color w:val="000000" w:themeColor="text1"/>
          <w:sz w:val="23"/>
          <w:szCs w:val="23"/>
          <w:lang w:val="pt-BR"/>
        </w:rPr>
        <w:t xml:space="preserve"> reduzi</w:t>
      </w:r>
      <w:r w:rsidR="00681DD8" w:rsidRPr="00A65B69">
        <w:rPr>
          <w:color w:val="000000" w:themeColor="text1"/>
          <w:sz w:val="23"/>
          <w:szCs w:val="23"/>
          <w:lang w:val="pt-BR"/>
        </w:rPr>
        <w:t>ndo</w:t>
      </w:r>
      <w:r w:rsidR="000F3770" w:rsidRPr="00A65B69">
        <w:rPr>
          <w:color w:val="000000" w:themeColor="text1"/>
          <w:sz w:val="23"/>
          <w:szCs w:val="23"/>
          <w:lang w:val="pt-BR"/>
        </w:rPr>
        <w:t xml:space="preserve"> os efeitos motores e não-motores e alivia</w:t>
      </w:r>
      <w:r w:rsidR="00681DD8" w:rsidRPr="00A65B69">
        <w:rPr>
          <w:color w:val="000000" w:themeColor="text1"/>
          <w:sz w:val="23"/>
          <w:szCs w:val="23"/>
          <w:lang w:val="pt-BR"/>
        </w:rPr>
        <w:t>ndo</w:t>
      </w:r>
      <w:r w:rsidR="000F3770" w:rsidRPr="00A65B69">
        <w:rPr>
          <w:color w:val="000000" w:themeColor="text1"/>
          <w:sz w:val="23"/>
          <w:szCs w:val="23"/>
          <w:lang w:val="pt-BR"/>
        </w:rPr>
        <w:t xml:space="preserve"> as mudanças metabólicas</w:t>
      </w:r>
      <w:r w:rsidR="00E50F70" w:rsidRPr="00A65B69">
        <w:rPr>
          <w:color w:val="000000" w:themeColor="text1"/>
          <w:sz w:val="23"/>
          <w:szCs w:val="23"/>
          <w:lang w:val="pt-BR"/>
        </w:rPr>
        <w:t xml:space="preserve"> como a homeostase do ferro – são </w:t>
      </w:r>
      <w:r w:rsidR="00B271EE" w:rsidRPr="00A65B69">
        <w:rPr>
          <w:color w:val="000000" w:themeColor="text1"/>
          <w:sz w:val="23"/>
          <w:szCs w:val="23"/>
          <w:lang w:val="pt-BR"/>
        </w:rPr>
        <w:t>importante</w:t>
      </w:r>
      <w:r w:rsidR="00E50F70" w:rsidRPr="00A65B69">
        <w:rPr>
          <w:color w:val="000000" w:themeColor="text1"/>
          <w:sz w:val="23"/>
          <w:szCs w:val="23"/>
          <w:lang w:val="pt-BR"/>
        </w:rPr>
        <w:t>s</w:t>
      </w:r>
      <w:r w:rsidR="00B271EE" w:rsidRPr="00A65B69">
        <w:rPr>
          <w:color w:val="000000" w:themeColor="text1"/>
          <w:sz w:val="23"/>
          <w:szCs w:val="23"/>
          <w:lang w:val="pt-BR"/>
        </w:rPr>
        <w:t xml:space="preserve"> para o tratamento da DP. </w:t>
      </w:r>
    </w:p>
    <w:p w14:paraId="7F778E87" w14:textId="3C1EFE3F" w:rsidR="00486656" w:rsidRPr="00A65B69" w:rsidRDefault="00486656" w:rsidP="00E50F70">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 xml:space="preserve">Dentre as estratégias, a estabilização do fator 1-alfa induzível por hipóxia (HIF-1α) </w:t>
      </w:r>
      <w:r w:rsidR="000A7C86" w:rsidRPr="00A65B69">
        <w:rPr>
          <w:color w:val="000000" w:themeColor="text1"/>
          <w:sz w:val="23"/>
          <w:szCs w:val="23"/>
          <w:lang w:val="pt-BR"/>
        </w:rPr>
        <w:t>tem sido investigada como tratamento auxiliar para pessoas com DP. E</w:t>
      </w:r>
      <w:r w:rsidRPr="00A65B69">
        <w:rPr>
          <w:color w:val="000000" w:themeColor="text1"/>
          <w:sz w:val="23"/>
          <w:szCs w:val="23"/>
          <w:lang w:val="pt-BR"/>
        </w:rPr>
        <w:t xml:space="preserve">mbora os principais estudos sobre esta temática tenham sido realizados em modelo animal, mecanismos importantes </w:t>
      </w:r>
      <w:r w:rsidR="000A7C86" w:rsidRPr="00A65B69">
        <w:rPr>
          <w:color w:val="000000" w:themeColor="text1"/>
          <w:sz w:val="23"/>
          <w:szCs w:val="23"/>
          <w:lang w:val="pt-BR"/>
        </w:rPr>
        <w:t xml:space="preserve">desencadeados pela ativação HIF-1α </w:t>
      </w:r>
      <w:r w:rsidRPr="00A65B69">
        <w:rPr>
          <w:color w:val="000000" w:themeColor="text1"/>
          <w:sz w:val="23"/>
          <w:szCs w:val="23"/>
          <w:lang w:val="pt-BR"/>
        </w:rPr>
        <w:t>foram demonstrados</w:t>
      </w:r>
      <w:r w:rsidR="000A7C86" w:rsidRPr="00A65B69">
        <w:rPr>
          <w:color w:val="000000" w:themeColor="text1"/>
          <w:sz w:val="23"/>
          <w:szCs w:val="23"/>
          <w:lang w:val="pt-BR"/>
        </w:rPr>
        <w:t xml:space="preserve"> </w:t>
      </w:r>
      <w:r w:rsidRPr="00A65B69">
        <w:rPr>
          <w:color w:val="000000" w:themeColor="text1"/>
          <w:sz w:val="23"/>
          <w:szCs w:val="23"/>
          <w:lang w:val="pt-BR"/>
        </w:rPr>
        <w:fldChar w:fldCharType="begin" w:fldLock="1"/>
      </w:r>
      <w:r w:rsidRPr="00A65B69">
        <w:rPr>
          <w:color w:val="000000" w:themeColor="text1"/>
          <w:sz w:val="23"/>
          <w:szCs w:val="23"/>
          <w:lang w:val="pt-BR"/>
        </w:rPr>
        <w:instrText>ADDIN CSL_CITATION {"citationItems":[{"id":"ITEM-1","itemData":{"DOI":"10.5772/66089","abstract":"Abstract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Keywords:","author":[{"dropping-particle":"","family":"Bhatia","given":"Deepak","non-dropping-particle":"","parse-names":false,"suffix":""},{"dropping-particle":"","family":"Ardekani","given":"Mohammad Sanaei","non-dropping-particle":"","parse-names":false,"suffix":""},{"dropping-particle":"","family":"Shi","given":"Qiwen","non-dropping-particle":"","parse-names":false,"suffix":""},{"dropping-particle":"","family":"Movafagh","given":"Shahrzad","non-dropping-particle":"","parse-names":false,"suffix":""}],"container-title":"Hypoxia and Human Diseases","id":"ITEM-1","issued":{"date-parts":[["2017"]]},"title":"Hypoxia and its Emerging Therapeutics in Neurodegenerative, Inflammatory and Renal Diseases","type":"article-journal"},"uris":["http://www.mendeley.com/documents/?uuid=6a398337-5216-4aab-9ba6-577cffb94fcf"]},{"id":"ITEM-2","itemData":{"DOI":"10.1111/j.1471-4159.2009.06443.x","ISSN":"00223042","PMID":"19845827","abstract":"Neurodegenerative diseases, generally characterized by a progressive deterioration in the structure and function of the brain, represent one of the world's major unsolved health problems. Therefore, it is urgent to discover therapeutic targets for the design of effective strategies for the treatment of these diseases. Recent findings demonstrated that the induction of the hypoxia signaling pathway with the concomitant stabilization and transcriptional activation of the transcription factor hypoxia-inducible factor 1 (HIF-1) could mediate neuroprotective events. It has been shown that HIF-1 triggers the expression of genes involved in oxygen transport, glycolytic metabolism, angiogenesis, cell survival, apoptosis, and others processes that can interfere with cell survival. Here, we discuss the current knowledge pertaining to the regulation of HIF signaling pathway. The potential neuroprotective role of HIF-1 induction in cerebral ischemic stroke and Alzheimer's, Parkinson's, and Huntington's diseases will be also discussed. The elucidation of the mechanisms involved in HIF-1-mediated neuroprotection could be important for the development of effective therapies to mitigate or prevent neurodegenerative diseases. © 2009 International Society for Neurochemistry.","author":[{"dropping-particle":"","family":"Correia","given":"Sónia C.","non-dropping-particle":"","parse-names":false,"suffix":""},{"dropping-particle":"","family":"Moreira","given":"Paula I.","non-dropping-particle":"","parse-names":false,"suffix":""}],"container-title":"Journal of Neurochemistry","id":"ITEM-2","issue":"1","issued":{"date-parts":[["2010"]]},"page":"1-12","title":"Hypoxia-inducible factor 1: A new hope to counteract neurodegeneration?","type":"article-journal","volume":"112"},"uris":["http://www.mendeley.com/documents/?uuid=888e5ea6-7a1c-4d8d-bee4-2d5399454125"]},{"id":"ITEM-3","itemData":{"DOI":"10.4062/biomolther.2019.119","ISSN":"20054483","abstract":"In the neurovascular unit, the neuronal and vascular systems communicate with each other. O2 and nutrients, reaching endothelial cells (ECs) through the blood stream, spread into neighboring cells, such as neural stem cells, and neurons. The proper function of neural circuits in adults requires sufficient O2 and glucose for their metabolic demands through angiogenesis. In a central nervous system (CNS) injury, such as glioma, Parkinson’s disease, and Alzheimer’s disease, damaged ECs can contribute to tissue hypoxia and to the consequent disruption of neuronal functions and accelerated neurodegeneration. This review discusses the current evidence regarding the contribution of oxygen deprivation to CNS injury, with an emphasis on hypoxia-inducible factor (HIF)-mediated pathways and Notch signaling. Additionally, it focuses on adult neurological functions and angiogenesis, as well as pathological conditions in the CNS. Furthermore, the functional interplay between HIFs and Notch is demonstrated in pathophysiological conditions.","author":[{"dropping-particle":"","family":"Kim","given":"Seunghee","non-dropping-particle":"","parse-names":false,"suffix":""},{"dropping-particle":"","family":"Lee","given":"Minjae","non-dropping-particle":"","parse-names":false,"suffix":""},{"dropping-particle":"","family":"Choi","given":"Yoon Kyung","non-dropping-particle":"","parse-names":false,"suffix":""}],"container-title":"Biomolecules and Therapeutics","id":"ITEM-3","issue":"1","issued":{"date-parts":[["2020"]]},"page":"45-57","title":"The role of a neurovascular signaling pathway involving hypoxia-inducible factor and notch in the function of the central nervous system","type":"article-journal","volume":"28"},"uris":["http://www.mendeley.com/documents/?uuid=9f74b1d0-4578-43f8-9fcf-016fe63249b1"]},{"id":"ITEM-4","itemData":{"DOI":"10.2174/092986711797200426","ISBN":"1785864521","ISSN":"09298673","PMID":"21861815","abstract":"Hypoxia inducible factor-1 (HIF-1) is a transcriptional factor responsible for cellular and tissue adaption to low oxygen tension. HIF-1, a heterodimer consisting of a constitutively expressed β subunit and an oxygen-regulated α subunit, regulates a series of genes that participate in angiogenesis, iron metabolism, glucose metabolism, and cell proliferation/survival. The activity of HIF-1 is controlled by post-translational modifications on different amino acid residues of its subunits, mainly the alpha subunit. Besides in ischemic stroke (see review [1]), emerging evidence has revealed that HIF-1 activity and expression of its down-stream genes, such as vascular endothelial growth factor and erythropoietin, are altered in a range of neurodegenerative diseases. At the same time, experimental and clinical evidence has demonstrated that regulating HIF-1 might ameliorate the cellular and tissue damage in the neurodegenerative diseases. These new findings suggest HIF-1 as a potential medicinal target for the neurodegenerative diseases. This review focuses on HIF-1α protein modifications and HIF-1's potential neuroprotective roles in Alzheimer's (AD), Parkinson's (PD), Huntington's diseases (HD), and amyotrophic lateral sclerosis (ALS).","author":[{"dropping-particle":"","family":"Zhang","given":"Z.","non-dropping-particle":"","parse-names":false,"suffix":""},{"dropping-particle":"","family":"Yan","given":"J.","non-dropping-particle":"","parse-names":false,"suffix":""},{"dropping-particle":"","family":"Chang","given":"Y.","non-dropping-particle":"","parse-names":false,"suffix":""},{"dropping-particle":"","family":"ShiDu Yan","given":"S.","non-dropping-particle":"","parse-names":false,"suffix":""},{"dropping-particle":"","family":"Shi","given":"H.","non-dropping-particle":"","parse-names":false,"suffix":""}],"container-title":"Current Medicinal Chemistry","id":"ITEM-4","issue":"28","issued":{"date-parts":[["2011"]]},"page":"4335-4343","title":"Hypoxia Inducible Factor-1 as a Target for Neurodegenerative Diseases","type":"article-journal","volume":"18"},"uris":["http://www.mendeley.com/documents/?uuid=8e50ab1e-f3f2-4638-9a1b-722dc32bd526"]}],"mendeley":{"formattedCitation":"(BHATIA et al., 2017; CORREIA; MOREIRA, 2010; KIM; LEE; CHOI, 2020; ZHANG et al., 2011)","manualFormatting":"(BHATIA et al., 2017; CORREIA et al., 2010; KIM et al., 2020; ZHANG et al., 2011)","plainTextFormattedCitation":"(BHATIA et al., 2017; CORREIA; MOREIRA, 2010; KIM; LEE; CHOI, 2020; ZHANG et al., 2011)","previouslyFormattedCitation":"(BHATIA et al., 2017; CORREIA; MOREIRA, 2010; KIM; LEE; CHOI, 2020; ZHANG et al., 2011)"},"properties":{"noteIndex":0},"schema":"https://github.com/citation-style-language/schema/raw/master/csl-citation.json"}</w:instrText>
      </w:r>
      <w:r w:rsidRPr="00A65B69">
        <w:rPr>
          <w:color w:val="000000" w:themeColor="text1"/>
          <w:sz w:val="23"/>
          <w:szCs w:val="23"/>
          <w:lang w:val="pt-BR"/>
        </w:rPr>
        <w:fldChar w:fldCharType="separate"/>
      </w:r>
      <w:r w:rsidRPr="00A65B69">
        <w:rPr>
          <w:noProof/>
          <w:color w:val="000000" w:themeColor="text1"/>
          <w:sz w:val="23"/>
          <w:szCs w:val="23"/>
          <w:lang w:val="pt-BR"/>
        </w:rPr>
        <w:t>(BHATIA et al., 2017; CORREIA et al., 2010; KIM et al., 2020; ZHANG et al., 2011)</w:t>
      </w:r>
      <w:r w:rsidRPr="00A65B69">
        <w:rPr>
          <w:color w:val="000000" w:themeColor="text1"/>
          <w:sz w:val="23"/>
          <w:szCs w:val="23"/>
          <w:lang w:val="pt-BR"/>
        </w:rPr>
        <w:fldChar w:fldCharType="end"/>
      </w:r>
      <w:r w:rsidRPr="00A65B69">
        <w:rPr>
          <w:color w:val="000000" w:themeColor="text1"/>
          <w:sz w:val="23"/>
          <w:szCs w:val="23"/>
          <w:lang w:val="pt-BR"/>
        </w:rPr>
        <w:t xml:space="preserve">. </w:t>
      </w:r>
      <w:r w:rsidR="000A7C86" w:rsidRPr="00A65B69">
        <w:rPr>
          <w:color w:val="000000" w:themeColor="text1"/>
          <w:sz w:val="23"/>
          <w:szCs w:val="23"/>
          <w:lang w:val="pt-BR"/>
        </w:rPr>
        <w:t>Especificamente</w:t>
      </w:r>
      <w:r w:rsidRPr="00A65B69">
        <w:rPr>
          <w:color w:val="000000" w:themeColor="text1"/>
          <w:sz w:val="23"/>
          <w:szCs w:val="23"/>
          <w:lang w:val="pt-BR"/>
        </w:rPr>
        <w:t xml:space="preserve">, </w:t>
      </w:r>
      <w:r w:rsidR="000A7C86" w:rsidRPr="00A65B69">
        <w:rPr>
          <w:color w:val="000000" w:themeColor="text1"/>
          <w:sz w:val="23"/>
          <w:szCs w:val="23"/>
          <w:lang w:val="pt-BR"/>
        </w:rPr>
        <w:t xml:space="preserve"> foram demonstradas </w:t>
      </w:r>
      <w:r w:rsidRPr="00A65B69">
        <w:rPr>
          <w:color w:val="000000" w:themeColor="text1"/>
          <w:sz w:val="23"/>
          <w:szCs w:val="23"/>
          <w:lang w:val="pt-BR"/>
        </w:rPr>
        <w:t>melhora</w:t>
      </w:r>
      <w:r w:rsidR="000A7C86" w:rsidRPr="00A65B69">
        <w:rPr>
          <w:color w:val="000000" w:themeColor="text1"/>
          <w:sz w:val="23"/>
          <w:szCs w:val="23"/>
          <w:lang w:val="pt-BR"/>
        </w:rPr>
        <w:t>s</w:t>
      </w:r>
      <w:r w:rsidRPr="00A65B69">
        <w:rPr>
          <w:color w:val="000000" w:themeColor="text1"/>
          <w:sz w:val="23"/>
          <w:szCs w:val="23"/>
          <w:lang w:val="pt-BR"/>
        </w:rPr>
        <w:t xml:space="preserve"> </w:t>
      </w:r>
      <w:r w:rsidR="000A7C86" w:rsidRPr="00A65B69">
        <w:rPr>
          <w:color w:val="000000" w:themeColor="text1"/>
          <w:sz w:val="23"/>
          <w:szCs w:val="23"/>
          <w:lang w:val="pt-BR"/>
        </w:rPr>
        <w:t>n</w:t>
      </w:r>
      <w:r w:rsidRPr="00A65B69">
        <w:rPr>
          <w:color w:val="000000" w:themeColor="text1"/>
          <w:sz w:val="23"/>
          <w:szCs w:val="23"/>
          <w:lang w:val="pt-BR"/>
        </w:rPr>
        <w:t xml:space="preserve">a homeostase do ferro, da função mitocondrial, das defesas antioxidantes, da captação e utilização da glicose e um aumento da vascularização, fatores essenciais para a sobrevivência neuronal </w:t>
      </w:r>
      <w:r w:rsidRPr="00A65B69">
        <w:rPr>
          <w:color w:val="000000" w:themeColor="text1"/>
          <w:sz w:val="23"/>
          <w:szCs w:val="23"/>
          <w:lang w:val="pt-BR"/>
        </w:rPr>
        <w:fldChar w:fldCharType="begin" w:fldLock="1"/>
      </w:r>
      <w:r w:rsidRPr="00A65B69">
        <w:rPr>
          <w:color w:val="000000" w:themeColor="text1"/>
          <w:sz w:val="23"/>
          <w:szCs w:val="23"/>
          <w:lang w:val="pt-BR"/>
        </w:rPr>
        <w:instrText>ADDIN CSL_CITATION {"citationItems":[{"id":"ITEM-1","itemData":{"DOI":"10.5772/66089","abstract":"Abstract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Keywords:","author":[{"dropping-particle":"","family":"Bhatia","given":"Deepak","non-dropping-particle":"","parse-names":false,"suffix":""},{"dropping-particle":"","family":"Ardekani","given":"Mohammad Sanaei","non-dropping-particle":"","parse-names":false,"suffix":""},{"dropping-particle":"","family":"Shi","given":"Qiwen","non-dropping-particle":"","parse-names":false,"suffix":""},{"dropping-particle":"","family":"Movafagh","given":"Shahrzad","non-dropping-particle":"","parse-names":false,"suffix":""}],"container-title":"Hypoxia and Human Diseases","id":"ITEM-1","issued":{"date-parts":[["2017"]]},"title":"Hypoxia and its Emerging Therapeutics in Neurodegenerative, Inflammatory and Renal Diseases","type":"article-journal"},"uris":["http://www.mendeley.com/documents/?uuid=6a398337-5216-4aab-9ba6-577cffb94fcf"]},{"id":"ITEM-2","itemData":{"DOI":"10.1111/j.1471-4159.2009.06443.x","ISSN":"00223042","PMID":"19845827","abstract":"Neurodegenerative diseases, generally characterized by a progressive deterioration in the structure and function of the brain, represent one of the world's major unsolved health problems. Therefore, it is urgent to discover therapeutic targets for the design of effective strategies for the treatment of these diseases. Recent findings demonstrated that the induction of the hypoxia signaling pathway with the concomitant stabilization and transcriptional activation of the transcription factor hypoxia-inducible factor 1 (HIF-1) could mediate neuroprotective events. It has been shown that HIF-1 triggers the expression of genes involved in oxygen transport, glycolytic metabolism, angiogenesis, cell survival, apoptosis, and others processes that can interfere with cell survival. Here, we discuss the current knowledge pertaining to the regulation of HIF signaling pathway. The potential neuroprotective role of HIF-1 induction in cerebral ischemic stroke and Alzheimer's, Parkinson's, and Huntington's diseases will be also discussed. The elucidation of the mechanisms involved in HIF-1-mediated neuroprotection could be important for the development of effective therapies to mitigate or prevent neurodegenerative diseases. © 2009 International Society for Neurochemistry.","author":[{"dropping-particle":"","family":"Correia","given":"Sónia C.","non-dropping-particle":"","parse-names":false,"suffix":""},{"dropping-particle":"","family":"Moreira","given":"Paula I.","non-dropping-particle":"","parse-names":false,"suffix":""}],"container-title":"Journal of Neurochemistry","id":"ITEM-2","issue":"1","issued":{"date-parts":[["2010"]]},"page":"1-12","title":"Hypoxia-inducible factor 1: A new hope to counteract neurodegeneration?","type":"article-journal","volume":"112"},"uris":["http://www.mendeley.com/documents/?uuid=888e5ea6-7a1c-4d8d-bee4-2d5399454125"]},{"id":"ITEM-3","itemData":{"DOI":"10.2174/092986711797200426","ISBN":"1785864521","ISSN":"09298673","PMID":"21861815","abstract":"Hypoxia inducible factor-1 (HIF-1) is a transcriptional factor responsible for cellular and tissue adaption to low oxygen tension. HIF-1, a heterodimer consisting of a constitutively expressed β subunit and an oxygen-regulated α subunit, regulates a series of genes that participate in angiogenesis, iron metabolism, glucose metabolism, and cell proliferation/survival. The activity of HIF-1 is controlled by post-translational modifications on different amino acid residues of its subunits, mainly the alpha subunit. Besides in ischemic stroke (see review [1]), emerging evidence has revealed that HIF-1 activity and expression of its down-stream genes, such as vascular endothelial growth factor and erythropoietin, are altered in a range of neurodegenerative diseases. At the same time, experimental and clinical evidence has demonstrated that regulating HIF-1 might ameliorate the cellular and tissue damage in the neurodegenerative diseases. These new findings suggest HIF-1 as a potential medicinal target for the neurodegenerative diseases. This review focuses on HIF-1α protein modifications and HIF-1's potential neuroprotective roles in Alzheimer's (AD), Parkinson's (PD), Huntington's diseases (HD), and amyotrophic lateral sclerosis (ALS).","author":[{"dropping-particle":"","family":"Zhang","given":"Z.","non-dropping-particle":"","parse-names":false,"suffix":""},{"dropping-particle":"","family":"Yan","given":"J.","non-dropping-particle":"","parse-names":false,"suffix":""},{"dropping-particle":"","family":"Chang","given":"Y.","non-dropping-particle":"","parse-names":false,"suffix":""},{"dropping-particle":"","family":"ShiDu Yan","given":"S.","non-dropping-particle":"","parse-names":false,"suffix":""},{"dropping-particle":"","family":"Shi","given":"H.","non-dropping-particle":"","parse-names":false,"suffix":""}],"container-title":"Current Medicinal Chemistry","id":"ITEM-3","issue":"28","issued":{"date-parts":[["2011"]]},"page":"4335-4343","title":"Hypoxia Inducible Factor-1 as a Target for Neurodegenerative Diseases","type":"article-journal","volume":"18"},"uris":["http://www.mendeley.com/documents/?uuid=8e50ab1e-f3f2-4638-9a1b-722dc32bd526"]}],"mendeley":{"formattedCitation":"(BHATIA et al., 2017; CORREIA; MOREIRA, 2010; ZHANG et al., 2011)","manualFormatting":"(BHATIA et al., 2017; CORREIA et al., 2010; ZHANG et al., 2011)","plainTextFormattedCitation":"(BHATIA et al., 2017; CORREIA; MOREIRA, 2010; ZHANG et al., 2011)","previouslyFormattedCitation":"(BHATIA et al., 2017; CORREIA; MOREIRA, 2010; ZHANG et al., 2011)"},"properties":{"noteIndex":0},"schema":"https://github.com/citation-style-language/schema/raw/master/csl-citation.json"}</w:instrText>
      </w:r>
      <w:r w:rsidRPr="00A65B69">
        <w:rPr>
          <w:color w:val="000000" w:themeColor="text1"/>
          <w:sz w:val="23"/>
          <w:szCs w:val="23"/>
          <w:lang w:val="pt-BR"/>
        </w:rPr>
        <w:fldChar w:fldCharType="separate"/>
      </w:r>
      <w:r w:rsidRPr="00A65B69">
        <w:rPr>
          <w:noProof/>
          <w:color w:val="000000" w:themeColor="text1"/>
          <w:sz w:val="23"/>
          <w:szCs w:val="23"/>
          <w:lang w:val="pt-BR"/>
        </w:rPr>
        <w:t>(BHATIA et al., 2017; CORREIA et al., 2010; ZHANG et al., 2011)</w:t>
      </w:r>
      <w:r w:rsidRPr="00A65B69">
        <w:rPr>
          <w:color w:val="000000" w:themeColor="text1"/>
          <w:sz w:val="23"/>
          <w:szCs w:val="23"/>
          <w:lang w:val="pt-BR"/>
        </w:rPr>
        <w:fldChar w:fldCharType="end"/>
      </w:r>
      <w:r w:rsidRPr="00A65B69">
        <w:rPr>
          <w:color w:val="000000" w:themeColor="text1"/>
          <w:sz w:val="23"/>
          <w:szCs w:val="23"/>
          <w:lang w:val="pt-BR"/>
        </w:rPr>
        <w:t>.</w:t>
      </w:r>
      <w:r w:rsidR="004B4AFA" w:rsidRPr="00A65B69">
        <w:rPr>
          <w:color w:val="000000" w:themeColor="text1"/>
          <w:sz w:val="23"/>
          <w:szCs w:val="23"/>
          <w:lang w:val="pt-BR"/>
        </w:rPr>
        <w:t xml:space="preserve"> A</w:t>
      </w:r>
      <w:r w:rsidRPr="00A65B69">
        <w:rPr>
          <w:color w:val="000000" w:themeColor="text1"/>
          <w:sz w:val="23"/>
          <w:szCs w:val="23"/>
          <w:lang w:val="pt-BR"/>
        </w:rPr>
        <w:t xml:space="preserve"> estabilização do HIF-1α pode ocorrer </w:t>
      </w:r>
      <w:r w:rsidR="004B4AFA" w:rsidRPr="00A65B69">
        <w:rPr>
          <w:color w:val="000000" w:themeColor="text1"/>
          <w:sz w:val="23"/>
          <w:szCs w:val="23"/>
          <w:lang w:val="pt-BR"/>
        </w:rPr>
        <w:t xml:space="preserve">através da </w:t>
      </w:r>
      <w:r w:rsidR="000A7C86" w:rsidRPr="00A65B69">
        <w:rPr>
          <w:color w:val="000000" w:themeColor="text1"/>
          <w:sz w:val="23"/>
          <w:szCs w:val="23"/>
          <w:lang w:val="pt-BR"/>
        </w:rPr>
        <w:t xml:space="preserve">administração de fármacos conhecidos como quelantes de ferro ou pela exposição ao </w:t>
      </w:r>
      <w:r w:rsidR="004B4AFA" w:rsidRPr="00A65B69">
        <w:rPr>
          <w:color w:val="000000" w:themeColor="text1"/>
          <w:sz w:val="23"/>
          <w:szCs w:val="23"/>
          <w:lang w:val="pt-BR"/>
        </w:rPr>
        <w:t>ambiente de hipóxia.</w:t>
      </w:r>
      <w:r w:rsidRPr="00A65B69">
        <w:rPr>
          <w:color w:val="000000" w:themeColor="text1"/>
          <w:sz w:val="23"/>
          <w:szCs w:val="23"/>
          <w:lang w:val="pt-BR"/>
        </w:rPr>
        <w:t xml:space="preserve"> </w:t>
      </w:r>
    </w:p>
    <w:p w14:paraId="14DDA3E9" w14:textId="1978033D" w:rsidR="00EE7C6E" w:rsidRPr="00A65B69" w:rsidRDefault="000A7C86" w:rsidP="00C5660B">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 xml:space="preserve">Os </w:t>
      </w:r>
      <w:r w:rsidR="005D08C6" w:rsidRPr="00A65B69">
        <w:rPr>
          <w:color w:val="000000" w:themeColor="text1"/>
          <w:sz w:val="23"/>
          <w:szCs w:val="23"/>
          <w:lang w:val="pt-BR"/>
        </w:rPr>
        <w:t xml:space="preserve">quelantes de ferro </w:t>
      </w:r>
      <w:r w:rsidRPr="00A65B69">
        <w:rPr>
          <w:color w:val="000000" w:themeColor="text1"/>
          <w:sz w:val="23"/>
          <w:szCs w:val="23"/>
          <w:lang w:val="pt-BR"/>
        </w:rPr>
        <w:t xml:space="preserve">possuem a </w:t>
      </w:r>
      <w:r w:rsidR="00B371C7" w:rsidRPr="00A65B69">
        <w:rPr>
          <w:color w:val="000000" w:themeColor="text1"/>
          <w:sz w:val="23"/>
          <w:szCs w:val="23"/>
          <w:lang w:val="pt-BR"/>
        </w:rPr>
        <w:t xml:space="preserve">capacidade de extrair o ferro </w:t>
      </w:r>
      <w:proofErr w:type="spellStart"/>
      <w:r w:rsidR="00B371C7" w:rsidRPr="00A65B69">
        <w:rPr>
          <w:color w:val="000000" w:themeColor="text1"/>
          <w:sz w:val="23"/>
          <w:szCs w:val="23"/>
          <w:lang w:val="pt-BR"/>
        </w:rPr>
        <w:t>quelatado</w:t>
      </w:r>
      <w:proofErr w:type="spellEnd"/>
      <w:r w:rsidR="00B371C7" w:rsidRPr="00A65B69">
        <w:rPr>
          <w:color w:val="000000" w:themeColor="text1"/>
          <w:sz w:val="23"/>
          <w:szCs w:val="23"/>
          <w:lang w:val="pt-BR"/>
        </w:rPr>
        <w:t xml:space="preserve"> do local de acúmulo e transferi-lo para a </w:t>
      </w:r>
      <w:proofErr w:type="spellStart"/>
      <w:r w:rsidR="00B371C7" w:rsidRPr="00A65B69">
        <w:rPr>
          <w:color w:val="000000" w:themeColor="text1"/>
          <w:sz w:val="23"/>
          <w:szCs w:val="23"/>
          <w:lang w:val="pt-BR"/>
        </w:rPr>
        <w:t>transferrina</w:t>
      </w:r>
      <w:proofErr w:type="spellEnd"/>
      <w:r w:rsidR="00B371C7" w:rsidRPr="00A65B69">
        <w:rPr>
          <w:color w:val="000000" w:themeColor="text1"/>
          <w:sz w:val="23"/>
          <w:szCs w:val="23"/>
          <w:lang w:val="pt-BR"/>
        </w:rPr>
        <w:t xml:space="preserve"> circulante </w:t>
      </w:r>
      <w:r w:rsidR="00BD6F32"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{"citationItems":[{"id":"ITEM-1","itemData":{"DOI":"10.1016/j.jtemb.2014.12.012","ISSN":"1878-3252 (Electronic)","PMID":"25716300","abstract":"This review will summarise the current state of our knowledge concerning the  involvement of iron in various neurological diseases and the potential of therapy with iron chelators to retard the progression of the disease. We first discuss briefly the role of metal ions in brain function before outlining the way by which transition metal ions, such as iron and copper, can initiate neurodegeneration through the generation of reactive oxygen and nitrogen species. This results in protein misfolding, amyloid production and formation of insoluble protein aggregates which are contained within inclusion bodies. This will activate microglia leading to neuroinflammation. Neuroinflammation plays an important role in the progression of the neurodegenerative diseases, with activated microglia releasing pro-inflammatory cytokines leading to cellular cell loss. The evidence for metal involvement in Parkinson's and Alzheimer's disease as well as Friedreich's ataxia and multiple sclerosis will be presented. Preliminary results from trials of iron chelation therapy in these neurodegenerative diseases will be reviewed.","author":[{"dropping-particle":"","family":"Ward","given":"Roberta J","non-dropping-particle":"","parse-names":false,"suffix":""},{"dropping-particle":"","family":"Dexter","given":"David T","non-dropping-particle":"","parse-names":false,"suffix":""},{"dropping-particle":"","family":"Crichton","given":"Robert R","non-dropping-particle":"","parse-names":false,"suffix":""}],"container-title":"Journal of trace elements in medicine and biology : organ of the Society for  Minerals and Trace Elements (GMS)","id":"ITEM-1","issued":{"date-parts":[["2015"]]},"language":"eng","page":"267-273","publisher-place":"Germany","title":"Neurodegenerative diseases and therapeutic strategies using iron chelators.","type":"article-journal","volume":"31"},"uris":["http://www.mendeley.com/documents/?uuid=5f47bf51-a725-4a24-8945-20a0affb7256"]},{"id":"ITEM-2","itemData":{"DOI":"10.1152/ajpcell.00054.2007","ISSN":"0363-6143 (Print)","PMID":"17670894","abstract":"Non-transferrin-bound iron, commonly found in the plasma of iron-overloaded  individuals, permeates into cells via pathways independent of the transferrin receptor. This may lead to excessive cellular accumulation of labile iron followed by oxidative damage and eventually organ failure. Mitochondria are the principal destination of iron in cells and a primary site of prooxidant generation, yet their mode of acquisition of iron is poorly understood. Using fluorescent probes sensitive to iron or to reactive oxygen species, targeted to cytosol and/or to mitochondria, we traced the ingress of labile iron into these compartments by fluorescence microscopy and quantitative fluorimetry. We observed that 1) penetration of non-transferrin-bound iron into the cytosol and subsequently into mitochondria occurs with barely detectable delay and 2) loading of the cytosol with high-affinity iron-binding chelators does not abrogate iron uptake into mitochondria. Therefore, a fraction of non-transferrin-bound iron acquired by cells reaches the mitochondria in a nonlabile form. The physiological role of occluded iron transfer might be to confer cells with a \"safe and efficient cytosolic iron corridor\" to mitochondria. However, such a mechanism might be deleterious in iron-overload conditions, because it could lead to surplus accumulation of iron in these critical organelles.","author":[{"dropping-particle":"","family":"Shvartsman","given":"Maya","non-dropping-particle":"","parse-names":false,"suffix":""},{"dropping-particle":"","family":"Kikkeri","given":"Raghavendra","non-dropping-particle":"","parse-names":false,"suffix":""},{"dropping-particle":"","family":"Shanzer","given":"Abraham","non-dropping-particle":"","parse-names":false,"suffix":""},{"dropping-particle":"","family":"Cabantchik","given":"Z Ioav","non-dropping-particle":"","parse-names":false,"suffix":""}],"container-title":"American journal of physiology. Cell physiology","id":"ITEM-2","issue":"4","issued":{"date-parts":[["2007","10"]]},"language":"eng","page":"C1383-94","publisher-place":"United States","title":"Non-transferrin-bound iron reaches mitochondria by a chelator-inaccessible  mechanism: biological and clinical implications.","type":"article-journal","volume":"293"},"uris":["http://www.mendeley.com/documents/?uuid=042e50d2-549b-41a7-9258-b1368485cf4f"]}],"mendeley":{"formattedCitation":"(SHVARTSMAN et al., 2007; WARD; DEXTER; CRICHTON, 2015)","plainTextFormattedCitation":"(SHVARTSMAN et al., 2007; WARD; DEXTER; CRICHTON, 2015)","previouslyFormattedCitation":"(SHVARTSMAN et al., 2007; WARD; DEXTER; CRICHTON, 2015)"},"properties":{"noteIndex":0},"schema":"https://github.com/citation-style-language/schema/raw/master/csl-citation.json"}</w:instrText>
      </w:r>
      <w:r w:rsidR="00BD6F32" w:rsidRPr="00A65B69">
        <w:rPr>
          <w:color w:val="000000" w:themeColor="text1"/>
          <w:sz w:val="23"/>
          <w:szCs w:val="23"/>
          <w:lang w:val="pt-BR"/>
        </w:rPr>
        <w:fldChar w:fldCharType="separate"/>
      </w:r>
      <w:r w:rsidR="00BD6F32" w:rsidRPr="00A65B69">
        <w:rPr>
          <w:noProof/>
          <w:color w:val="000000" w:themeColor="text1"/>
          <w:sz w:val="23"/>
          <w:szCs w:val="23"/>
          <w:lang w:val="pt-BR"/>
        </w:rPr>
        <w:t>(SHVARTSMAN et al., 2007; WARD; DEXTER; CRICHTON, 2015)</w:t>
      </w:r>
      <w:r w:rsidR="00BD6F32" w:rsidRPr="00A65B69">
        <w:rPr>
          <w:color w:val="000000" w:themeColor="text1"/>
          <w:sz w:val="23"/>
          <w:szCs w:val="23"/>
          <w:lang w:val="pt-BR"/>
        </w:rPr>
        <w:fldChar w:fldCharType="end"/>
      </w:r>
      <w:r w:rsidR="00B371C7" w:rsidRPr="00A65B69">
        <w:rPr>
          <w:color w:val="000000" w:themeColor="text1"/>
          <w:sz w:val="23"/>
          <w:szCs w:val="23"/>
          <w:lang w:val="pt-BR"/>
        </w:rPr>
        <w:t xml:space="preserve">, favorecendo a sobrevivência neuronal. </w:t>
      </w:r>
      <w:r w:rsidR="005D08C6" w:rsidRPr="00A65B69">
        <w:rPr>
          <w:color w:val="000000" w:themeColor="text1"/>
          <w:sz w:val="23"/>
          <w:szCs w:val="23"/>
          <w:lang w:val="pt-BR"/>
        </w:rPr>
        <w:t xml:space="preserve">Diversos quelantes de ferro apresentaram resultados </w:t>
      </w:r>
      <w:r w:rsidRPr="00A65B69">
        <w:rPr>
          <w:color w:val="000000" w:themeColor="text1"/>
          <w:sz w:val="23"/>
          <w:szCs w:val="23"/>
          <w:lang w:val="pt-BR"/>
        </w:rPr>
        <w:t>promissores em regiões específicas e sabidamente afetadas pela DP</w:t>
      </w:r>
      <w:r w:rsidR="00636397" w:rsidRPr="00A65B69">
        <w:rPr>
          <w:color w:val="000000" w:themeColor="text1"/>
          <w:sz w:val="23"/>
          <w:szCs w:val="23"/>
          <w:lang w:val="pt-BR"/>
        </w:rPr>
        <w:t xml:space="preserve">. </w:t>
      </w:r>
      <w:r w:rsidR="007B2739" w:rsidRPr="00A65B69">
        <w:rPr>
          <w:color w:val="000000" w:themeColor="text1"/>
          <w:sz w:val="23"/>
          <w:szCs w:val="23"/>
          <w:lang w:val="pt-BR"/>
        </w:rPr>
        <w:t xml:space="preserve">Neste sentido, </w:t>
      </w:r>
      <w:r w:rsidR="00E31B2E"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{"citationItems":[{"id":"ITEM-1","itemData":{"DOI":"10.1089/ars.2013.5593","ISSN":"1557-7716 (Electronic)","PMID":"24251381","abstract":"AIMS: The pathophysiological role of iron in Parkinson's disease (PD) was  assessed by a chelation strategy aimed at reducing oxidative damage associated with regional iron deposition without affecting circulating metals. Translational cell and animal models provided concept proofs and a delayed-start (DS) treatment paradigm, the basis for preliminary clinical assessments. RESULTS: For translational studies, we assessed the effect of oxidative insults in mice systemically prechelated with deferiprone (DFP) by following motor functions, striatal dopamine (HPLC and MRI-PET), and brain iron deposition (relaxation-R2*-MRI) aided by spectroscopic measurements of neuronal labile iron (with fluorescence-sensitive iron sensors) and oxidative damage by markers of protein, lipid, and DNA modification. DFP significantly reduced labile iron and biological damage in oxidation-stressed cells and animals, improving motor functions while raising striatal dopamine. For a pilot, double-blind, placebo-controlled randomized clinical trial, early-stage Parkinson's patients on stabilized dopamine regimens enrolled in a 12-month single-center study with DFP (30 mg/kg/day). Based on a 6-month DS paradigm, early-start patients (n=19) compared to DS patients (n=18) (37/40 completed) responded significantly earlier and sustainably to treatment in both substantia nigra iron deposits (R2* MRI) and Unified Parkinson's Disease Rating Scale motor indicators of disease progression (p&lt;0.03 and p&lt;0.04, respectively). Apart from three rapidly resolved neutropenia cases, safety was maintained throughout the trial. INNOVATION: A moderate iron chelation regimen that avoids changes in systemic iron levels may constitute a novel therapeutic modality for PD. CONCLUSIONS: The therapeutic features of a chelation modality established in translational models and in pilot clinical trials warrant comprehensive evaluation of symptomatic and/or disease-modifying potential of chelation in PD.","author":[{"dropping-particle":"","family":"Devos","given":"David","non-dropping-particle":"","parse-names":false,"suffix":""},{"dropping-particle":"","family":"Moreau","given":"Caroline","non-dropping-particle":"","parse-names":false,"suffix":""},{"dropping-particle":"","family":"Devedjian","given":"Jean Christophe","non-dropping-particle":"","parse-names":false,"suffix":""},{"dropping-particle":"","family":"Kluza","given":"Jérome","non-dropping-particle":"","parse-names":false,"suffix":""},{"dropping-particle":"","family":"Petrault","given":"Maud","non-dropping-particle":"","parse-names":false,"suffix":""},{"dropping-particle":"","family":"Laloux","given":"Charlotte","non-dropping-particle":"","parse-names":false,"suffix":""},{"dropping-particle":"","family":"Jonneaux","given":"Aurélie","non-dropping-particle":"","parse-names":false,"suffix":""},{"dropping-particle":"","family":"Ryckewaert","given":"Gilles","non-dropping-particle":"","parse-names":false,"suffix":""},{"dropping-particle":"","family":"Garçon","given":"Guillaume","non-dropping-particle":"","parse-names":false,"suffix":""},{"dropping-particle":"","family":"Rouaix","given":"Nathalie","non-dropping-particle":"","parse-names":false,"suffix":""},{"dropping-particle":"","family":"Duhamel","given":"Alain","non-dropping-particle":"","parse-names":false,"suffix":""},{"dropping-particle":"","family":"Jissendi","given":"Patrice","non-dropping-particle":"","parse-names":false,"suffix":""},{"dropping-particle":"","family":"Dujardin","given":"Kathy","non-dropping-particle":"","parse-names":false,"suffix":""},{"dropping-particle":"","family":"Auger","given":"Florent","non-dropping-particle":"","parse-names":false,"suffix":""},{"dropping-particle":"","family":"Ravasi","given":"Laura","non-dropping-particle":"","parse-names":false,"suffix":""},{"dropping-particle":"","family":"Hopes","given":"Lucie","non-dropping-particle":"","parse-names":false,"suffix":""},{"dropping-particle":"","family":"Grolez","given":"Guillaume","non-dropping-particle":"","parse-names":false,"suffix":""},{"dropping-particle":"","family":"Firdaus","given":"Wance","non-dropping-particle":"","parse-names":false,"suffix":""},{"dropping-particle":"","family":"Sablonnière","given":"Bernard","non-dropping-particle":"","parse-names":false,"suffix":""},{"dropping-particle":"","family":"Strubi-Vuillaume","given":"Isabelle","non-dropping-particle":"","parse-names":false,"suffix":""},{"dropping-particle":"","family":"Zahr","given":"Noel","non-dropping-particle":"","parse-names":false,"suffix":""},{"dropping-particle":"","family":"Destée","given":"Alain","non-dropping-particle":"","parse-names":false,"suffix":""},{"dropping-particle":"","family":"Corvol","given":"Jean-Christophe","non-dropping-particle":"","parse-names":false,"suffix":""},{"dropping-particle":"","family":"Pöltl","given":"Dominik","non-dropping-particle":"","parse-names":false,"suffix":""},{"dropping-particle":"","family":"Leist","given":"Marcel","non-dropping-particle":"","parse-names":false,"suffix":""},{"dropping-particle":"","family":"Rose","given":"Christian","non-dropping-particle":"","parse-names":false,"suffix":""},{"dropping-particle":"","family":"Defebvre","given":"Luc","non-dropping-particle":"","parse-names":false,"suffix":""},{"dropping-particle":"","family":"Marchetti","given":"Philippe","non-dropping-particle":"","parse-names":false,"suffix":""},{"dropping-particle":"","family":"Cabantchik","given":"Z Ioav","non-dropping-particle":"","parse-names":false,"suffix":""},{"dropping-particle":"","family":"Bordet","given":"Régis","non-dropping-particle":"","parse-names":false,"suffix":""}],"container-title":"Antioxidants &amp; redox signaling","id":"ITEM-1","issue":"2","issued":{"date-parts":[["2014","7"]]},"language":"eng","page":"195-210","publisher-place":"United States","title":"Targeting chelatable iron as a therapeutic modality in Parkinson's disease.","type":"article-journal","volume":"21"},"uris":["http://www.mendeley.com/documents/?uuid=907c0ce3-8e06-4f60-b09d-526608c4a298"]}],"mendeley":{"formattedCitation":"(DEVOS et al., 2014)","manualFormatting":"Devos e colaboradores  (2014)","plainTextFormattedCitation":"(DEVOS et al., 2014)","previouslyFormattedCitation":"(DEVOS et al., 2014)"},"properties":{"noteIndex":0},"schema":"https://github.com/citation-style-language/schema/raw/master/csl-citation.json"}</w:instrText>
      </w:r>
      <w:r w:rsidR="00E31B2E" w:rsidRPr="00A65B69">
        <w:rPr>
          <w:color w:val="000000" w:themeColor="text1"/>
          <w:sz w:val="23"/>
          <w:szCs w:val="23"/>
          <w:lang w:val="pt-BR"/>
        </w:rPr>
        <w:fldChar w:fldCharType="separate"/>
      </w:r>
      <w:r w:rsidR="00E31B2E" w:rsidRPr="00A65B69">
        <w:rPr>
          <w:noProof/>
          <w:color w:val="000000" w:themeColor="text1"/>
          <w:sz w:val="23"/>
          <w:szCs w:val="23"/>
          <w:lang w:val="pt-BR"/>
        </w:rPr>
        <w:t>Devos e colaboradores  (2014)</w:t>
      </w:r>
      <w:r w:rsidR="00E31B2E" w:rsidRPr="00A65B69">
        <w:rPr>
          <w:color w:val="000000" w:themeColor="text1"/>
          <w:sz w:val="23"/>
          <w:szCs w:val="23"/>
          <w:lang w:val="pt-BR"/>
        </w:rPr>
        <w:fldChar w:fldCharType="end"/>
      </w:r>
      <w:r w:rsidR="005D08C6" w:rsidRPr="00A65B69">
        <w:rPr>
          <w:color w:val="000000" w:themeColor="text1"/>
          <w:sz w:val="23"/>
          <w:szCs w:val="23"/>
          <w:lang w:val="pt-BR"/>
        </w:rPr>
        <w:t xml:space="preserve">, identificaram que a administração de </w:t>
      </w:r>
      <w:proofErr w:type="spellStart"/>
      <w:r w:rsidR="005D08C6" w:rsidRPr="00A65B69">
        <w:rPr>
          <w:color w:val="000000" w:themeColor="text1"/>
          <w:sz w:val="23"/>
          <w:szCs w:val="23"/>
          <w:lang w:val="pt-BR"/>
        </w:rPr>
        <w:t>deferiprona</w:t>
      </w:r>
      <w:proofErr w:type="spellEnd"/>
      <w:r w:rsidR="007B2739" w:rsidRPr="00A65B69">
        <w:rPr>
          <w:color w:val="000000" w:themeColor="text1"/>
          <w:sz w:val="23"/>
          <w:szCs w:val="23"/>
          <w:lang w:val="pt-BR"/>
        </w:rPr>
        <w:t xml:space="preserve"> </w:t>
      </w:r>
      <w:r w:rsidR="005D08C6" w:rsidRPr="00A65B69">
        <w:rPr>
          <w:color w:val="000000" w:themeColor="text1"/>
          <w:sz w:val="23"/>
          <w:szCs w:val="23"/>
          <w:lang w:val="pt-BR"/>
        </w:rPr>
        <w:t xml:space="preserve">durante seis meses, foi capaz de reduzir a concentração de ferro na substância negra. Outro estudo, com a administração da </w:t>
      </w:r>
      <w:proofErr w:type="spellStart"/>
      <w:r w:rsidR="005D08C6" w:rsidRPr="00A65B69">
        <w:rPr>
          <w:color w:val="000000" w:themeColor="text1"/>
          <w:sz w:val="23"/>
          <w:szCs w:val="23"/>
          <w:lang w:val="pt-BR"/>
        </w:rPr>
        <w:t>deferiprona</w:t>
      </w:r>
      <w:proofErr w:type="spellEnd"/>
      <w:r w:rsidR="005D08C6" w:rsidRPr="00A65B69">
        <w:rPr>
          <w:color w:val="000000" w:themeColor="text1"/>
          <w:sz w:val="23"/>
          <w:szCs w:val="23"/>
          <w:lang w:val="pt-BR"/>
        </w:rPr>
        <w:t xml:space="preserve"> por 6 meses demonstrou redução no conteúdo de ferro do núcleo dentado e caudado em comparação com o placebo. No entanto, não houve redução na substância negra e isso não refletiu na melhora significativa nos escores da UPDRS parte motora e na qualidade de vida dessa população </w:t>
      </w:r>
      <w:r w:rsidR="00E31B2E"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{"citationItems":[{"id":"ITEM-1","itemData":{"DOI":"10.1038/s41598-017-01402-2","ISSN":"2045-2322 (Electronic)","PMID":"28469157","abstract":"Parkinson's disease (PD) is associated with increased iron levels in the  substantia nigra (SNc). This study evaluated whether the iron chelator, deferiprone, is well tolerated, able to chelate iron from various brain regions and improve PD symptomology. In a randomised double-blind, placebo controlled trial, 22 early onset PD patients, were administered deferiprone, 10 or 15 mg/kg BID or placebo, for 6 months. Patients were evaluated for PD severity, cognitive function, depression rating and quality of life. Iron concentrations were assessed in the substantia nigra (SNc), dentate and caudate nucleus, red nucleus, putamen and globus pallidus by T2* MRI at baseline and after 3 and 6 months of treatment. Deferiprone therapy was well tolerated and was associated with a reduced dentate and caudate nucleus iron content compared to placebo. Reductions in iron content of the SNc occurred in only 3 patients, with no changes being detected in the putamen or globus pallidus. Although 30 mg/kg deferiprone treated patients showed a trend for improvement in motor-UPDRS scores and quality of life, this did not reach significance. Cognitive function and mood were not adversely affected by deferiprone therapy. Such data supports more extensive clinical trials into the potential benefits of iron chelation in PD.","author":[{"dropping-particle":"","family":"Martin-Bastida","given":"Antonio","non-dropping-particle":"","parse-names":false,"suffix":""},{"dropping-particle":"","family":"Ward","given":"Roberta J","non-dropping-particle":"","parse-names":false,"suffix":""},{"dropping-particle":"","family":"Newbould","given":"Rexford","non-dropping-particle":"","parse-names":false,"suffix":""},{"dropping-particle":"","family":"Piccini","given":"Paola","non-dropping-particle":"","parse-names":false,"suffix":""},{"dropping-particle":"","family":"Sharp","given":"David","non-dropping-particle":"","parse-names":false,"suffix":""},{"dropping-particle":"","family":"Kabba","given":"Christina","non-dropping-particle":"","parse-names":false,"suffix":""},{"dropping-particle":"","family":"Patel","given":"Maneesh C","non-dropping-particle":"","parse-names":false,"suffix":""},{"dropping-particle":"","family":"Spino","given":"Michael","non-dropping-particle":"","parse-names":false,"suffix":""},{"dropping-particle":"","family":"Connelly","given":"John","non-dropping-particle":"","parse-names":false,"suffix":""},{"dropping-particle":"","family":"Tricta","given":"Fernando","non-dropping-particle":"","parse-names":false,"suffix":""},{"dropping-particle":"","family":"Crichton","given":"Robert R","non-dropping-particle":"","parse-names":false,"suffix":""},{"dropping-particle":"","family":"Dexter","given":"David T","non-dropping-particle":"","parse-names":false,"suffix":""}],"container-title":"Scientific reports","id":"ITEM-1","issue":"1","issued":{"date-parts":[["2017","5"]]},"language":"eng","page":"1398","publisher-place":"England","title":"Brain iron chelation by deferiprone in a phase 2 randomised double-blinded  placebo controlled clinical trial in Parkinson's disease.","type":"article-journal","volume":"7"},"uris":["http://www.mendeley.com/documents/?uuid=5ddffa29-5231-4577-9c66-fb01f4b39c93"]}],"mendeley":{"formattedCitation":"(MARTIN-BASTIDA et al., 2017)","plainTextFormattedCitation":"(MARTIN-BASTIDA et al., 2017)","previouslyFormattedCitation":"(MARTIN-BASTIDA et al., 2017)"},"properties":{"noteIndex":0},"schema":"https://github.com/citation-style-language/schema/raw/master/csl-citation.json"}</w:instrText>
      </w:r>
      <w:r w:rsidR="00E31B2E" w:rsidRPr="00A65B69">
        <w:rPr>
          <w:color w:val="000000" w:themeColor="text1"/>
          <w:sz w:val="23"/>
          <w:szCs w:val="23"/>
          <w:lang w:val="pt-BR"/>
        </w:rPr>
        <w:fldChar w:fldCharType="separate"/>
      </w:r>
      <w:r w:rsidR="00E31B2E" w:rsidRPr="00A65B69">
        <w:rPr>
          <w:noProof/>
          <w:color w:val="000000" w:themeColor="text1"/>
          <w:sz w:val="23"/>
          <w:szCs w:val="23"/>
          <w:lang w:val="pt-BR"/>
        </w:rPr>
        <w:t>(MARTIN-BASTIDA et al., 2017)</w:t>
      </w:r>
      <w:r w:rsidR="00E31B2E" w:rsidRPr="00A65B69">
        <w:rPr>
          <w:color w:val="000000" w:themeColor="text1"/>
          <w:sz w:val="23"/>
          <w:szCs w:val="23"/>
          <w:lang w:val="pt-BR"/>
        </w:rPr>
        <w:fldChar w:fldCharType="end"/>
      </w:r>
      <w:r w:rsidR="005D08C6" w:rsidRPr="00A65B69">
        <w:rPr>
          <w:color w:val="000000" w:themeColor="text1"/>
          <w:sz w:val="23"/>
          <w:szCs w:val="23"/>
          <w:lang w:val="pt-BR"/>
        </w:rPr>
        <w:t xml:space="preserve">. </w:t>
      </w:r>
      <w:r w:rsidR="007B2739" w:rsidRPr="00A65B69">
        <w:rPr>
          <w:color w:val="000000" w:themeColor="text1"/>
          <w:sz w:val="23"/>
          <w:szCs w:val="23"/>
          <w:lang w:val="pt-BR"/>
        </w:rPr>
        <w:t>Assim</w:t>
      </w:r>
      <w:r w:rsidR="005D08C6" w:rsidRPr="00A65B69">
        <w:rPr>
          <w:color w:val="000000" w:themeColor="text1"/>
          <w:sz w:val="23"/>
          <w:szCs w:val="23"/>
          <w:lang w:val="pt-BR"/>
        </w:rPr>
        <w:t xml:space="preserve">, apesar de prevenir a </w:t>
      </w:r>
      <w:r w:rsidR="000E3D52" w:rsidRPr="00A65B69">
        <w:rPr>
          <w:color w:val="000000" w:themeColor="text1"/>
          <w:sz w:val="23"/>
          <w:szCs w:val="23"/>
          <w:lang w:val="pt-BR"/>
        </w:rPr>
        <w:t>neurotoxicidade</w:t>
      </w:r>
      <w:r w:rsidR="005D08C6" w:rsidRPr="00A65B69">
        <w:rPr>
          <w:color w:val="000000" w:themeColor="text1"/>
          <w:sz w:val="23"/>
          <w:szCs w:val="23"/>
          <w:lang w:val="pt-BR"/>
        </w:rPr>
        <w:t xml:space="preserve">, alguns quelantes podem ter seu </w:t>
      </w:r>
      <w:r w:rsidR="00284EED" w:rsidRPr="00A65B69">
        <w:rPr>
          <w:color w:val="000000" w:themeColor="text1"/>
          <w:sz w:val="23"/>
          <w:szCs w:val="23"/>
          <w:lang w:val="pt-BR"/>
        </w:rPr>
        <w:t xml:space="preserve">efeito </w:t>
      </w:r>
      <w:r w:rsidR="007B2739" w:rsidRPr="00A65B69">
        <w:rPr>
          <w:color w:val="000000" w:themeColor="text1"/>
          <w:sz w:val="23"/>
          <w:szCs w:val="23"/>
          <w:lang w:val="pt-BR"/>
        </w:rPr>
        <w:t>atenuado ao longo do tratamento</w:t>
      </w:r>
      <w:r w:rsidR="005D08C6" w:rsidRPr="00A65B69">
        <w:rPr>
          <w:color w:val="000000" w:themeColor="text1"/>
          <w:sz w:val="23"/>
          <w:szCs w:val="23"/>
          <w:lang w:val="pt-BR"/>
        </w:rPr>
        <w:t xml:space="preserve">. Além disso, podem apresentar alta </w:t>
      </w:r>
      <w:r w:rsidR="000E3D52" w:rsidRPr="00A65B69">
        <w:rPr>
          <w:color w:val="000000" w:themeColor="text1"/>
          <w:sz w:val="23"/>
          <w:szCs w:val="23"/>
          <w:lang w:val="pt-BR"/>
        </w:rPr>
        <w:t>toxicidade</w:t>
      </w:r>
      <w:r w:rsidR="005D08C6" w:rsidRPr="00A65B69">
        <w:rPr>
          <w:color w:val="000000" w:themeColor="text1"/>
          <w:sz w:val="23"/>
          <w:szCs w:val="23"/>
          <w:lang w:val="pt-BR"/>
        </w:rPr>
        <w:t xml:space="preserve">, como é o caso do </w:t>
      </w:r>
      <w:proofErr w:type="spellStart"/>
      <w:r w:rsidR="005D08C6" w:rsidRPr="00A65B69">
        <w:rPr>
          <w:color w:val="000000" w:themeColor="text1"/>
          <w:sz w:val="23"/>
          <w:szCs w:val="23"/>
          <w:lang w:val="pt-BR"/>
        </w:rPr>
        <w:t>clioquinol</w:t>
      </w:r>
      <w:proofErr w:type="spellEnd"/>
      <w:r w:rsidR="005D08C6" w:rsidRPr="00A65B69">
        <w:rPr>
          <w:color w:val="000000" w:themeColor="text1"/>
          <w:sz w:val="23"/>
          <w:szCs w:val="23"/>
          <w:lang w:val="pt-BR"/>
        </w:rPr>
        <w:t xml:space="preserve"> </w:t>
      </w:r>
      <w:r w:rsidR="00E31B2E"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{"citationItems":[{"id":"ITEM-1","itemData":{"DOI":"10.1016/s0896-6273(03)00126-0","ISSN":"0896-6273 (Print)","PMID":"12670420","abstract":"Studies on postmortem brains from Parkinson's patients reveal elevated iron in  the substantia nigra (SN). Selective cell death in this brain region is associated with oxidative stress, which may be exacerbated by the presence of excess iron. Whether iron plays a causative role in cell death, however, is controversial. Here, we explore the effects of iron chelation via either transgenic expression of the iron binding protein ferritin or oral administration of the bioavailable metal chelator clioquinol (CQ) on susceptibility to the Parkinson's-inducing agent 1-methyl-4-phenyl-1,2,3,6-tetrapyridine (MPTP). Reduction in reactive iron by either genetic or pharmacological means was found to be well tolerated in animals in our studies and to result in protection against the toxin, suggesting that iron chelation may be an effective therapy for prevention and treatment of the disease.","author":[{"dropping-particle":"","family":"Kaur","given":"Deepinder","non-dropping-particle":"","parse-names":false,"suffix":""},{"dropping-particle":"","family":"Yantiri","given":"Ferda","non-dropping-particle":"","parse-names":false,"suffix":""},{"dropping-particle":"","family":"Rajagopalan","given":"Subramanian","non-dropping-particle":"","parse-names":false,"suffix":""},{"dropping-particle":"","family":"Kumar","given":"Jyothi","non-dropping-particle":"","parse-names":false,"suffix":""},{"dropping-particle":"","family":"Mo","given":"Jun Qin","non-dropping-particle":"","parse-names":false,"suffix":""},{"dropping-particle":"","family":"Boonplueang","given":"Rapee","non-dropping-particle":"","parse-names":false,"suffix":""},{"dropping-particle":"","family":"Viswanath","given":"Veena","non-dropping-particle":"","parse-names":false,"suffix":""},{"dropping-particle":"","family":"Jacobs","given":"Russell","non-dropping-particle":"","parse-names":false,"suffix":""},{"dropping-particle":"","family":"Yang","given":"Lichuan","non-dropping-particle":"","parse-names":false,"suffix":""},{"dropping-particle":"","family":"Beal","given":"M Flint","non-dropping-particle":"","parse-names":false,"suffix":""},{"dropping-particle":"","family":"DiMonte","given":"Dino","non-dropping-particle":"","parse-names":false,"suffix":""},{"dropping-particle":"","family":"Volitaskis","given":"Irene","non-dropping-particle":"","parse-names":false,"suffix":""},{"dropping-particle":"","family":"Ellerby","given":"Lisa","non-dropping-particle":"","parse-names":false,"suffix":""},{"dropping-particle":"","family":"Cherny","given":"Robert A","non-dropping-particle":"","parse-names":false,"suffix":""},{"dropping-particle":"","family":"Bush","given":"Ashley I","non-dropping-particle":"","parse-names":false,"suffix":""},{"dropping-particle":"","family":"Andersen","given":"Julie K","non-dropping-particle":"","parse-names":false,"suffix":""}],"container-title":"Neuron","id":"ITEM-1","issue":"6","issued":{"date-parts":[["2003","3"]]},"language":"eng","page":"899-909","publisher-place":"United States","title":"Genetic or pharmacological iron chelation prevents MPTP-induced neurotoxicity in  vivo: a novel therapy for Parkinson's disease.","type":"article-journal","volume":"37"},"uris":["http://www.mendeley.com/documents/?uuid=f2e42398-b778-462b-9257-973d61dfc399"]}],"mendeley":{"formattedCitation":"(KAUR et al., 2003)","plainTextFormattedCitation":"(KAUR et al., 2003)","previouslyFormattedCitation":"(KAUR et al., 2003)"},"properties":{"noteIndex":0},"schema":"https://github.com/citation-style-language/schema/raw/master/csl-citation.json"}</w:instrText>
      </w:r>
      <w:r w:rsidR="00E31B2E" w:rsidRPr="00A65B69">
        <w:rPr>
          <w:color w:val="000000" w:themeColor="text1"/>
          <w:sz w:val="23"/>
          <w:szCs w:val="23"/>
          <w:lang w:val="pt-BR"/>
        </w:rPr>
        <w:fldChar w:fldCharType="separate"/>
      </w:r>
      <w:r w:rsidR="00E31B2E" w:rsidRPr="00A65B69">
        <w:rPr>
          <w:noProof/>
          <w:color w:val="000000" w:themeColor="text1"/>
          <w:sz w:val="23"/>
          <w:szCs w:val="23"/>
          <w:lang w:val="pt-BR"/>
        </w:rPr>
        <w:t>(KAUR et al., 2003)</w:t>
      </w:r>
      <w:r w:rsidR="00E31B2E" w:rsidRPr="00A65B69">
        <w:rPr>
          <w:color w:val="000000" w:themeColor="text1"/>
          <w:sz w:val="23"/>
          <w:szCs w:val="23"/>
          <w:lang w:val="pt-BR"/>
        </w:rPr>
        <w:fldChar w:fldCharType="end"/>
      </w:r>
      <w:r w:rsidR="005D08C6" w:rsidRPr="00A65B69">
        <w:rPr>
          <w:color w:val="000000" w:themeColor="text1"/>
          <w:sz w:val="23"/>
          <w:szCs w:val="23"/>
          <w:lang w:val="pt-BR"/>
        </w:rPr>
        <w:t>, que necessita ser cuidadosamente controlado.</w:t>
      </w:r>
      <w:r w:rsidR="00EE7C6E" w:rsidRPr="00A65B69">
        <w:rPr>
          <w:color w:val="000000" w:themeColor="text1"/>
          <w:sz w:val="23"/>
          <w:szCs w:val="23"/>
          <w:lang w:val="pt-BR"/>
        </w:rPr>
        <w:t xml:space="preserve"> Desse modo, embora a utilização </w:t>
      </w:r>
      <w:r w:rsidR="00EE0171" w:rsidRPr="00A65B69">
        <w:rPr>
          <w:color w:val="000000" w:themeColor="text1"/>
          <w:sz w:val="23"/>
          <w:szCs w:val="23"/>
          <w:lang w:val="pt-BR"/>
        </w:rPr>
        <w:t xml:space="preserve">de medicamentos </w:t>
      </w:r>
      <w:r w:rsidR="00C32DA4" w:rsidRPr="00A65B69">
        <w:rPr>
          <w:color w:val="000000" w:themeColor="text1"/>
          <w:sz w:val="23"/>
          <w:szCs w:val="23"/>
          <w:lang w:val="pt-BR"/>
        </w:rPr>
        <w:t xml:space="preserve">que induzem </w:t>
      </w:r>
      <w:r w:rsidR="00EE7C6E" w:rsidRPr="00A65B69">
        <w:rPr>
          <w:color w:val="000000" w:themeColor="text1"/>
          <w:sz w:val="23"/>
          <w:szCs w:val="23"/>
          <w:lang w:val="pt-BR"/>
        </w:rPr>
        <w:t xml:space="preserve">os quelantes seja promissora, mais estudos </w:t>
      </w:r>
      <w:r w:rsidR="00845E6D" w:rsidRPr="00A65B69">
        <w:rPr>
          <w:color w:val="000000" w:themeColor="text1"/>
          <w:sz w:val="23"/>
          <w:szCs w:val="23"/>
          <w:lang w:val="pt-BR"/>
        </w:rPr>
        <w:t xml:space="preserve">devem ser conduzidos para que sua eficácia e segurança sejam comprovadas. </w:t>
      </w:r>
    </w:p>
    <w:p w14:paraId="7372AC43" w14:textId="4B207B43" w:rsidR="00D52664" w:rsidRPr="00A65B69" w:rsidRDefault="007B2739" w:rsidP="00C5660B">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lastRenderedPageBreak/>
        <w:t xml:space="preserve">Outra forma de estabilização do HIF-1α que pode ser benéfica para o tratamento de pessoas com DP é </w:t>
      </w:r>
      <w:r w:rsidR="00D71050" w:rsidRPr="00A65B69">
        <w:rPr>
          <w:color w:val="000000" w:themeColor="text1"/>
          <w:sz w:val="23"/>
          <w:szCs w:val="23"/>
          <w:lang w:val="pt-BR"/>
        </w:rPr>
        <w:t xml:space="preserve"> a </w:t>
      </w:r>
      <w:r w:rsidR="008A5832" w:rsidRPr="00A65B69">
        <w:rPr>
          <w:color w:val="000000" w:themeColor="text1"/>
          <w:sz w:val="23"/>
          <w:szCs w:val="23"/>
          <w:lang w:val="pt-BR"/>
        </w:rPr>
        <w:t xml:space="preserve">exposição ao ambiente de </w:t>
      </w:r>
      <w:r w:rsidR="00B271EE" w:rsidRPr="00A65B69">
        <w:rPr>
          <w:color w:val="000000" w:themeColor="text1"/>
          <w:sz w:val="23"/>
          <w:szCs w:val="23"/>
          <w:lang w:val="pt-BR"/>
        </w:rPr>
        <w:t xml:space="preserve">hipóxia </w:t>
      </w:r>
      <w:r w:rsidR="007433C9" w:rsidRPr="00A65B69">
        <w:rPr>
          <w:color w:val="000000" w:themeColor="text1"/>
          <w:sz w:val="23"/>
          <w:szCs w:val="23"/>
          <w:lang w:val="pt-BR"/>
        </w:rPr>
        <w:t>(indisponibilidade proposital de oxigênio para os tecidos</w:t>
      </w:r>
      <w:r w:rsidR="00FF4342" w:rsidRPr="00A65B69">
        <w:rPr>
          <w:color w:val="000000" w:themeColor="text1"/>
          <w:sz w:val="23"/>
          <w:szCs w:val="23"/>
          <w:lang w:val="pt-BR"/>
        </w:rPr>
        <w:t>)</w:t>
      </w:r>
      <w:r w:rsidR="00DA0696" w:rsidRPr="00A65B69">
        <w:rPr>
          <w:color w:val="000000" w:themeColor="text1"/>
          <w:sz w:val="23"/>
          <w:szCs w:val="23"/>
          <w:lang w:val="pt-BR"/>
        </w:rPr>
        <w:t xml:space="preserve"> </w:t>
      </w:r>
      <w:r w:rsidR="00DA0696" w:rsidRPr="00A65B69">
        <w:rPr>
          <w:color w:val="000000" w:themeColor="text1"/>
          <w:sz w:val="23"/>
          <w:szCs w:val="23"/>
          <w:lang w:val="pt-BR"/>
        </w:rPr>
        <w:fldChar w:fldCharType="begin" w:fldLock="1"/>
      </w:r>
      <w:r w:rsidR="00DA0696" w:rsidRPr="00A65B69">
        <w:rPr>
          <w:color w:val="000000" w:themeColor="text1"/>
          <w:sz w:val="23"/>
          <w:szCs w:val="23"/>
          <w:lang w:val="pt-BR"/>
        </w:rPr>
        <w:instrText>ADDIN CSL_CITATION {"citationItems":[{"id":"ITEM-1","itemData":{"DOI":"10.3389/fendo.2016.00116","ISSN":"16642392","abstract":"Adipose tissue metabolism and circulation play an important role in human health. It is well-known that adipose tissue mass is increased in response to excess caloric intake leading to obesity and further to local hypoxia and inflammatory signaling. Acute exercise increases blood supply to adipose tissue and mobilization of fat stores for energy. However, acute exercise during systemic hypoxia reduces subcutaneous blood flow in healthy young subjects, but the response in overweight or obese subjects remains to be investigated. Emerging evidence also indicates that exercise training during hypoxic exposure may provide additive benefits with respect to many traditional cardiovascular risk factors as compared to exercise performed in normoxia, but unfavorable effects of hypoxia have also been documented. These topics will be covered in this brief review dealing with hypoxia and adipose tissue physiology.","author":[{"dropping-particle":"","family":"Heinonen","given":"Ilkka H.A.","non-dropping-particle":"","parse-names":false,"suffix":""},{"dropping-particle":"","family":"Boushel","given":"Robert","non-dropping-particle":"","parse-names":false,"suffix":""},{"dropping-particle":"","family":"Kalliokoski","given":"Kari K.","non-dropping-particle":"","parse-names":false,"suffix":""}],"container-title":"Frontiers in Endocrinology","id":"ITEM-1","issue":"AUG","issued":{"date-parts":[["2016"]]},"page":"1-6","title":"The circulatory and metabolic responses to hypoxia in humans - with special reference to adipose tissue physiology and obesity","type":"article-journal","volume":"7"},"uris":["http://www.mendeley.com/documents/?uuid=c6a32c03-50d1-43f5-95b2-05aa7ca4e24c"]}],"mendeley":{"formattedCitation":"(HEINONEN; BOUSHEL; KALLIOKOSKI, 2016)","manualFormatting":"(HEINONEN et al., 2016)","plainTextFormattedCitation":"(HEINONEN; BOUSHEL; KALLIOKOSKI, 2016)","previouslyFormattedCitation":"(HEINONEN; BOUSHEL; KALLIOKOSKI, 2016)"},"properties":{"noteIndex":0},"schema":"https://github.com/citation-style-language/schema/raw/master/csl-citation.json"}</w:instrText>
      </w:r>
      <w:r w:rsidR="00DA0696" w:rsidRPr="00A65B69">
        <w:rPr>
          <w:color w:val="000000" w:themeColor="text1"/>
          <w:sz w:val="23"/>
          <w:szCs w:val="23"/>
          <w:lang w:val="pt-BR"/>
        </w:rPr>
        <w:fldChar w:fldCharType="separate"/>
      </w:r>
      <w:r w:rsidR="00DA0696" w:rsidRPr="00A65B69">
        <w:rPr>
          <w:noProof/>
          <w:color w:val="000000" w:themeColor="text1"/>
          <w:sz w:val="23"/>
          <w:szCs w:val="23"/>
          <w:lang w:val="pt-BR"/>
        </w:rPr>
        <w:t>(HEINONEN et al., 2016)</w:t>
      </w:r>
      <w:r w:rsidR="00DA0696" w:rsidRPr="00A65B69">
        <w:rPr>
          <w:color w:val="000000" w:themeColor="text1"/>
          <w:sz w:val="23"/>
          <w:szCs w:val="23"/>
          <w:lang w:val="pt-BR"/>
        </w:rPr>
        <w:fldChar w:fldCharType="end"/>
      </w:r>
      <w:r w:rsidR="00503BE0" w:rsidRPr="00A65B69">
        <w:rPr>
          <w:color w:val="000000" w:themeColor="text1"/>
          <w:sz w:val="23"/>
          <w:szCs w:val="23"/>
          <w:lang w:val="pt-BR"/>
        </w:rPr>
        <w:t xml:space="preserve">. Estudos </w:t>
      </w:r>
      <w:r w:rsidR="008002D1" w:rsidRPr="00A65B69">
        <w:rPr>
          <w:color w:val="000000" w:themeColor="text1"/>
          <w:sz w:val="23"/>
          <w:szCs w:val="23"/>
          <w:lang w:val="pt-BR"/>
        </w:rPr>
        <w:t xml:space="preserve">anteriores demonstraram que a hipóxia pode </w:t>
      </w:r>
      <w:r w:rsidR="00503BE0" w:rsidRPr="00A65B69">
        <w:rPr>
          <w:color w:val="000000" w:themeColor="text1"/>
          <w:sz w:val="23"/>
          <w:szCs w:val="23"/>
          <w:lang w:val="pt-BR"/>
        </w:rPr>
        <w:t xml:space="preserve">melhorar os sintomas motores </w:t>
      </w:r>
      <w:r w:rsidR="00F20C5D" w:rsidRPr="00A65B69">
        <w:rPr>
          <w:color w:val="000000" w:themeColor="text1"/>
          <w:sz w:val="23"/>
          <w:szCs w:val="23"/>
          <w:lang w:val="pt-BR"/>
        </w:rPr>
        <w:t xml:space="preserve">e </w:t>
      </w:r>
      <w:r w:rsidR="00503BE0" w:rsidRPr="00A65B69">
        <w:rPr>
          <w:color w:val="000000" w:themeColor="text1"/>
          <w:sz w:val="23"/>
          <w:szCs w:val="23"/>
          <w:lang w:val="pt-BR"/>
        </w:rPr>
        <w:t>não-motores</w:t>
      </w:r>
      <w:r w:rsidR="008002D1" w:rsidRPr="00A65B69">
        <w:rPr>
          <w:color w:val="000000" w:themeColor="text1"/>
          <w:sz w:val="23"/>
          <w:szCs w:val="23"/>
          <w:lang w:val="pt-BR"/>
        </w:rPr>
        <w:t xml:space="preserve">, após </w:t>
      </w:r>
      <w:r w:rsidR="00FA6679" w:rsidRPr="00A65B69">
        <w:rPr>
          <w:color w:val="000000" w:themeColor="text1"/>
          <w:sz w:val="23"/>
          <w:szCs w:val="23"/>
          <w:lang w:val="pt-BR"/>
        </w:rPr>
        <w:t>períodos relativamente curtos de exposição</w:t>
      </w:r>
      <w:r w:rsidR="00503BE0" w:rsidRPr="00A65B69">
        <w:rPr>
          <w:color w:val="000000" w:themeColor="text1"/>
          <w:sz w:val="23"/>
          <w:szCs w:val="23"/>
          <w:lang w:val="pt-BR"/>
        </w:rPr>
        <w:t xml:space="preserve"> </w:t>
      </w:r>
      <w:r w:rsidR="00FA6679" w:rsidRPr="00A65B69">
        <w:rPr>
          <w:color w:val="000000" w:themeColor="text1"/>
          <w:sz w:val="23"/>
          <w:szCs w:val="23"/>
          <w:lang w:val="pt-BR"/>
        </w:rPr>
        <w:t xml:space="preserve">(e.g., </w:t>
      </w:r>
      <w:r w:rsidR="001E6090" w:rsidRPr="00A65B69">
        <w:rPr>
          <w:color w:val="000000" w:themeColor="text1"/>
          <w:sz w:val="23"/>
          <w:szCs w:val="23"/>
          <w:lang w:val="pt-BR"/>
        </w:rPr>
        <w:t>7</w:t>
      </w:r>
      <w:r w:rsidR="00FA6679" w:rsidRPr="00A65B69">
        <w:rPr>
          <w:color w:val="000000" w:themeColor="text1"/>
          <w:sz w:val="23"/>
          <w:szCs w:val="23"/>
          <w:lang w:val="pt-BR"/>
        </w:rPr>
        <w:t xml:space="preserve"> dias) </w:t>
      </w:r>
      <w:r w:rsidR="00DA0696"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{"citationItems":[{"id":"ITEM-1","itemData":{"DOI":"10.1046/j.1440-1800.2001.00089.x","ISSN":"13207881","PMID":"11882200","abstract":"This study elucidates environmental influences on lived illness experiences. For two consecutive years, persons with Parkinson's disease (PD) participated in 1 week of daily walking in the Swedish mountains. Daily, low-intensive walking that is free of intense effort or time pressures associated with group interaction characterized the week. Participants were interviewed 3 months after the mountain stay regarding experiences in the mountains, daily living, and how their experience in the mountains influenced their daily living after returning home. A phenomenological method was used for data analysis. Results point to the close connection between mind, body, and environment. The connection becomes highlighted when people are afflicted with sickness, such as PD, which causes impaired control of body language, impaired voluntary mobility, and lowered energy levels. The results also show how a social context in an environment with suitable physical challenges led to a change in individuals' perceptions of the manageability of their experienced sicknesses. These results provide a deepened understanding of how individuals with PD experience illness, its influences on daily life, and how a suitable environment opens opportunities for managing daily issues.","author":[{"dropping-particle":"","family":"Sunvisson","given":"Helena","non-dropping-particle":"","parse-names":false,"suffix":""},{"dropping-particle":"","family":"Ekman","given":"Sirkka Liisa","non-dropping-particle":"","parse-names":false,"suffix":""}],"container-title":"Nursing Inquiry","id":"ITEM-1","issue":"1","issued":{"date-parts":[["2001"]]},"page":"41-50","title":"Environmental influences on the experiences of people with Parkinson's disease","type":"article-journal","volume":"8"},"uris":["http://www.mendeley.com/documents/?uuid=373a4730-8c43-4c6e-9154-e369b9fae423"]},{"id":"ITEM-2","itemData":{"DOI":"10.1097/01376517-199708000-00007","ISSN":"08880395","PMID":"9307929","abstract":"For one week in autumn, over a period of three consecutive years, a total of 12 persons with Parkinson's disease (PD) participated in daily walks of about 4 kilometers in a mountain area in Sweden in order to train rhythm, balance and coordination on the soft heaths. These persons were 60-78 years of age and had been found to be between stage 1 and stage 3 on the Hoehn and Yahr Staging Scale. The aim of the study was to find out whether a week of daily walks in the Swedish mountains would affect the motor performance of persons with PD, objectively and quantitatively assessed by a computer-assisted, opto-electronic movement analysis program, the Posturo-Locomotor-Manual (PLM) test. As compared with those before the journey, the results showed improved motor performance both immediately after the walking week and also at 3 but not 6 months later. The first year of participation showed the most pronounced improvements. The results demonstrate a long-lasting improvement in decreased movement time, indicating enhanced general motor performance and also an improved simultaneous index (SI), indicating a possible effect on the central nervous system. These findings, along with participants' narratives about what they did after returning home, may be indicative of strengthened self-confidence.","author":[{"dropping-particle":"","family":"Sunvisson","given":"H.","non-dropping-particle":"","parse-names":false,"suffix":""},{"dropping-particle":"","family":"Lökk","given":"J.","non-dropping-particle":"","parse-names":false,"suffix":""},{"dropping-particle":"","family":"Ericson","given":"K.","non-dropping-particle":"","parse-names":false,"suffix":""},{"dropping-particle":"","family":"Winblad","given":"B.","non-dropping-particle":"","parse-names":false,"suffix":""},{"dropping-particle":"","family":"Ekman","given":"S. L.","non-dropping-particle":"","parse-names":false,"suffix":""}],"container-title":"The Journal of neuroscience nursing : journal of the American Association of Neuroscience Nurses","id":"ITEM-2","issue":"4","issued":{"date-parts":[["1997"]]},"page":"255-260","title":"Changes in motor performance in persons with Parkinson's disease after exercise in a mountain area.","type":"article","volume":"29"},"uris":["http://www.mendeley.com/documents/?uuid=4171cbe7-e5f5-4d8d-b47d-1abd5c718931"]},{"id":"ITEM-3","itemData":{"DOI":"10.1016/S0167-4943(00)00062-5","ISSN":"01674943","abstract":"Persons suffering from Parkinson's disease (PD) show variable motor manifestations such as gait dysfunction and hypokinesia as well as psychosocial manifestations like emotional and social impairment. In order to assess short- and midterm impact on PD persons from a comprehensive training concept, we launched a study with daily walks in the Swedish mountains during 1 summer week. The 3-6 km daily walking tours in hilly terrain were combined with lectures about the disease and self-training, social intercourse and a general encouraging atmosphere brought about by three accompanying leaders. The participants stayed in a mountain pension during the week. Nineteen mild to moderate PD persons volunteered and were assessed before (0 weeks), immediately after (1 week), and 4 months later (18 weeks) by a self-reporting questionnaire containing four subscales. These covered the domains PD symptoms, systemic symptoms, emotional functioning, and social functioning. There was a general improvement in PD scores at 1 week compared to baseline. This was not sustained at the 18-week follow-up. We postulate the results were due to a combination of information, professional guidance, exercise in hilly terrain with environmental visual cues, social interaction, and comparison with the others. Further research should aim at pinpointing the most essential components to achieve short- as well as midterm improvements. We believe there is a need to focus on patients' self-reported health to a greater extent than today in order to complement traditional rehabilitation and training outcome measures. (C) 2000 Elsevier Science Ireland Ltd.","author":[{"dropping-particle":"","family":"Lökk","given":"Johan","non-dropping-particle":"","parse-names":false,"suffix":""}],"container-title":"Archives of Gerontology and Geriatrics","id":"ITEM-3","issue":"1","issued":{"date-parts":[["2000"]]},"page":"19-25","title":"The effects of mountain exercise in Parkinsonian persons - A preliminary study","type":"article-journal","volume":"31"},"uris":["http://www.mendeley.com/documents/?uuid=d2c70176-2671-4b3a-8165-e391567da38d"]}],"mendeley":{"formattedCitation":"(LÖKK, 2000; SUNVISSON et al., 1997; SUNVISSON; EKMAN, 2001)","plainTextFormattedCitation":"(LÖKK, 2000; SUNVISSON et al., 1997; SUNVISSON; EKMAN, 2001)","previouslyFormattedCitation":"(LÖKK, 2000; SUNVISSON et al., 1997; SUNVISSON; EKMAN, 2001)"},"properties":{"noteIndex":0},"schema":"https://github.com/citation-style-language/schema/raw/master/csl-citation.json"}</w:instrText>
      </w:r>
      <w:r w:rsidR="00DA0696" w:rsidRPr="00A65B69">
        <w:rPr>
          <w:color w:val="000000" w:themeColor="text1"/>
          <w:sz w:val="23"/>
          <w:szCs w:val="23"/>
          <w:lang w:val="pt-BR"/>
        </w:rPr>
        <w:fldChar w:fldCharType="separate"/>
      </w:r>
      <w:r w:rsidR="00E31B2E" w:rsidRPr="00A65B69">
        <w:rPr>
          <w:noProof/>
          <w:color w:val="000000" w:themeColor="text1"/>
          <w:sz w:val="23"/>
          <w:szCs w:val="23"/>
          <w:lang w:val="pt-BR"/>
        </w:rPr>
        <w:t>(LÖKK, 2000; SUNVISSON et al., 1997; SUNVISSON; EKMAN, 2001)</w:t>
      </w:r>
      <w:r w:rsidR="00DA0696" w:rsidRPr="00A65B69">
        <w:rPr>
          <w:color w:val="000000" w:themeColor="text1"/>
          <w:sz w:val="23"/>
          <w:szCs w:val="23"/>
          <w:lang w:val="pt-BR"/>
        </w:rPr>
        <w:fldChar w:fldCharType="end"/>
      </w:r>
      <w:r w:rsidR="0098042E" w:rsidRPr="00A65B69">
        <w:rPr>
          <w:color w:val="000000" w:themeColor="text1"/>
          <w:sz w:val="23"/>
          <w:szCs w:val="23"/>
          <w:lang w:val="pt-BR"/>
        </w:rPr>
        <w:t xml:space="preserve">. </w:t>
      </w:r>
      <w:r w:rsidR="00191B1E" w:rsidRPr="00A65B69">
        <w:rPr>
          <w:color w:val="000000" w:themeColor="text1"/>
          <w:sz w:val="23"/>
          <w:szCs w:val="23"/>
          <w:lang w:val="pt-BR"/>
        </w:rPr>
        <w:t xml:space="preserve"> Além destes efeitos sobre sintomas </w:t>
      </w:r>
      <w:r w:rsidR="002F2D3C" w:rsidRPr="00A65B69">
        <w:rPr>
          <w:color w:val="000000" w:themeColor="text1"/>
          <w:sz w:val="23"/>
          <w:szCs w:val="23"/>
          <w:lang w:val="pt-BR"/>
        </w:rPr>
        <w:t xml:space="preserve">estabelecidos da DP, </w:t>
      </w:r>
      <w:r w:rsidR="006112B0" w:rsidRPr="00A65B69">
        <w:rPr>
          <w:color w:val="000000" w:themeColor="text1"/>
          <w:sz w:val="23"/>
          <w:szCs w:val="23"/>
          <w:lang w:val="pt-BR"/>
        </w:rPr>
        <w:t xml:space="preserve">é possível que a exposição ao ambiente de hipóxia seja </w:t>
      </w:r>
      <w:r w:rsidR="00636397" w:rsidRPr="00A65B69">
        <w:rPr>
          <w:color w:val="000000" w:themeColor="text1"/>
          <w:sz w:val="23"/>
          <w:szCs w:val="23"/>
          <w:lang w:val="pt-BR"/>
        </w:rPr>
        <w:t>benéfica</w:t>
      </w:r>
      <w:r w:rsidR="006112B0" w:rsidRPr="00A65B69">
        <w:rPr>
          <w:color w:val="000000" w:themeColor="text1"/>
          <w:sz w:val="23"/>
          <w:szCs w:val="23"/>
          <w:lang w:val="pt-BR"/>
        </w:rPr>
        <w:t xml:space="preserve"> para a homeostase do ferro </w:t>
      </w:r>
      <w:r w:rsidR="00E97FDC" w:rsidRPr="00A65B69">
        <w:rPr>
          <w:color w:val="000000" w:themeColor="text1"/>
          <w:sz w:val="23"/>
          <w:szCs w:val="23"/>
          <w:lang w:val="pt-BR"/>
        </w:rPr>
        <w:t>nesta população</w:t>
      </w:r>
      <w:r w:rsidRPr="00A65B69">
        <w:rPr>
          <w:color w:val="000000" w:themeColor="text1"/>
          <w:sz w:val="23"/>
          <w:szCs w:val="23"/>
          <w:lang w:val="pt-BR"/>
        </w:rPr>
        <w:t>. Neste sentido</w:t>
      </w:r>
      <w:r w:rsidR="00B371C7" w:rsidRPr="00A65B69">
        <w:rPr>
          <w:color w:val="000000" w:themeColor="text1"/>
          <w:sz w:val="23"/>
          <w:szCs w:val="23"/>
          <w:lang w:val="pt-BR"/>
        </w:rPr>
        <w:t xml:space="preserve">, </w:t>
      </w:r>
      <w:r w:rsidRPr="00A65B69">
        <w:rPr>
          <w:color w:val="000000" w:themeColor="text1"/>
          <w:sz w:val="23"/>
          <w:szCs w:val="23"/>
          <w:lang w:val="pt-BR"/>
        </w:rPr>
        <w:t xml:space="preserve">estudos anteriores em modelo animal demonstraram que </w:t>
      </w:r>
      <w:r w:rsidR="00B371C7" w:rsidRPr="00A65B69">
        <w:rPr>
          <w:color w:val="000000" w:themeColor="text1"/>
          <w:sz w:val="23"/>
          <w:szCs w:val="23"/>
          <w:lang w:val="pt-BR"/>
        </w:rPr>
        <w:t xml:space="preserve">a estabilização do HIF-1α decorrente do ambiente de hipoxia </w:t>
      </w:r>
      <w:r w:rsidRPr="00A65B69">
        <w:rPr>
          <w:color w:val="000000" w:themeColor="text1"/>
          <w:sz w:val="23"/>
          <w:szCs w:val="23"/>
          <w:lang w:val="pt-BR"/>
        </w:rPr>
        <w:t xml:space="preserve">induziu um aumento na concentração de </w:t>
      </w:r>
      <w:r w:rsidR="00B371C7" w:rsidRPr="00A65B69">
        <w:rPr>
          <w:color w:val="000000" w:themeColor="text1"/>
          <w:sz w:val="23"/>
          <w:szCs w:val="23"/>
          <w:lang w:val="pt-BR"/>
        </w:rPr>
        <w:t>v</w:t>
      </w:r>
      <w:r w:rsidRPr="00A65B69">
        <w:rPr>
          <w:color w:val="000000" w:themeColor="text1"/>
          <w:sz w:val="23"/>
          <w:szCs w:val="23"/>
          <w:lang w:val="pt-BR"/>
        </w:rPr>
        <w:t>á</w:t>
      </w:r>
      <w:r w:rsidR="00B371C7" w:rsidRPr="00A65B69">
        <w:rPr>
          <w:color w:val="000000" w:themeColor="text1"/>
          <w:sz w:val="23"/>
          <w:szCs w:val="23"/>
          <w:lang w:val="pt-BR"/>
        </w:rPr>
        <w:t xml:space="preserve">rias proteínas envolvidas no efluxo de ferro </w:t>
      </w:r>
      <w:r w:rsidR="00E31B2E" w:rsidRPr="00A65B69">
        <w:rPr>
          <w:color w:val="000000" w:themeColor="text1"/>
          <w:sz w:val="23"/>
          <w:szCs w:val="23"/>
          <w:lang w:val="pt-BR"/>
        </w:rPr>
        <w:fldChar w:fldCharType="begin" w:fldLock="1"/>
      </w:r>
      <w:r w:rsidR="00E31B2E" w:rsidRPr="00A65B69">
        <w:rPr>
          <w:color w:val="000000" w:themeColor="text1"/>
          <w:sz w:val="23"/>
          <w:szCs w:val="23"/>
          <w:lang w:val="pt-BR"/>
        </w:rPr>
        <w:instrText>ADDIN CSL_CITATION {"citationItems":[{"id":"ITEM-1","itemData":{"DOI":"10.1074/jbc.M109.000638","ISSN":"1083-351X (Electronic)","PMID":"19679656","abstract":"Hypoxia-inducible factor (HIF) plays an important role in cell survival by  regulating iron, antioxidant defense, and mitochondrial function. Pharmacological inhibitors of the iron-dependent enzyme class prolyl hydroxylases (PHD), which target alpha subunits of HIF proteins for degradation, have recently been demonstrated to alleviate neurodegeneration associated with stroke and hypoxic-ischemic injuries. Here we report that inhibition of PHD by 3,4-dihydroxybenzoate (DHB) protects against 1-methyl-4-phenyl-1,2,3,6-tetrahydropyridine (MPTP)-induced nigral dopaminergic cell loss and up-regulates HIF-1alpha within these neurons. Elevations in mRNA and protein levels of HIF-dependent genes heme oxygenase-1 (Ho-1) and manganese superoxide dismutase (Mnsod) following DHB pretreatment alone are also maintained in the presence of MPTP. MPTP-induced reductions in ferroportin and elevations in nigral and striatal iron levels were reverted to levels comparable with that of untreated controls with DHB pretreatment. Reductions in pyruvate dehydrogenase mRNA and activity resulting from MPTP were also found to be attenuated by DHB. In vitro, the HIF pathway was activated in N27 cells grown at 3% oxygen treated with either PHD inhibitors or an iron chelator. Concordant with our in vivo data, the MPP(+)-elicited increase in total iron as well as decreases in cell viability were attenuated in the presence of DHB. Taken together, these data suggest that protection against MPTP neurotoxicity may be mediated by alterations in iron homeostasis and defense against oxidative stress and mitochondrial dysfunction brought about by cellular HIF-1alpha induction. This study provides novel data extending the possible therapeutic utility of HIF induction to a Parkinson disease model of neurodegeneration, which may prove beneficial not only in this disorder itself but also in other diseases associated with metal-induced oxidative stress.","author":[{"dropping-particle":"","family":"Lee","given":"Donna W","non-dropping-particle":"","parse-names":false,"suffix":""},{"dropping-particle":"","family":"Rajagopalan","given":"Subramanian","non-dropping-particle":"","parse-names":false,"suffix":""},{"dropping-particle":"","family":"Siddiq","given":"Ambreena","non-dropping-particle":"","parse-names":false,"suffix":""},{"dropping-particle":"","family":"Gwiazda","given":"Roberto","non-dropping-particle":"","parse-names":false,"suffix":""},{"dropping-particle":"","family":"Yang","given":"Lichuan","non-dropping-particle":"","parse-names":false,"suffix":""},{"dropping-particle":"","family":"Beal","given":"M Flint","non-dropping-particle":"","parse-names":false,"suffix":""},{"dropping-particle":"","family":"Ratan","given":"Rajiv R","non-dropping-particle":"","parse-names":false,"suffix":""},{"dropping-particle":"","family":"Andersen","given":"Julie K","non-dropping-particle":"","parse-names":false,"suffix":""}],"container-title":"The Journal of biological chemistry","id":"ITEM-1","issue":"42","issued":{"date-parts":[["2009","10"]]},"language":"eng","page":"29065-29076","publisher-place":"United States","title":"Inhibition of prolyl hydroxylase protects against  1-methyl-4-phenyl-1,2,3,6-tetrahydropyridine-induced neurotoxicity: model for the potential involvement of the hypoxia-inducible factor pathway in Parkinson disease.","type":"article-journal","volume":"284"},"uris":["http://www.mendeley.com/documents/?uuid=2decbfee-c4d6-449f-ae7f-357d685dc1cf"]}],"mendeley":{"formattedCitation":"(LEE et al., 2009)","plainTextFormattedCitation":"(LEE et al., 2009)","previouslyFormattedCitation":"(LEE et al., 2009)"},"properties":{"noteIndex":0},"schema":"https://github.com/citation-style-language/schema/raw/master/csl-citation.json"}</w:instrText>
      </w:r>
      <w:r w:rsidR="00E31B2E" w:rsidRPr="00A65B69">
        <w:rPr>
          <w:color w:val="000000" w:themeColor="text1"/>
          <w:sz w:val="23"/>
          <w:szCs w:val="23"/>
          <w:lang w:val="pt-BR"/>
        </w:rPr>
        <w:fldChar w:fldCharType="separate"/>
      </w:r>
      <w:r w:rsidR="00E31B2E" w:rsidRPr="00A65B69">
        <w:rPr>
          <w:noProof/>
          <w:color w:val="000000" w:themeColor="text1"/>
          <w:sz w:val="23"/>
          <w:szCs w:val="23"/>
          <w:lang w:val="pt-BR"/>
        </w:rPr>
        <w:t>(LEE et al., 2009)</w:t>
      </w:r>
      <w:r w:rsidR="00E31B2E" w:rsidRPr="00A65B69">
        <w:rPr>
          <w:color w:val="000000" w:themeColor="text1"/>
          <w:sz w:val="23"/>
          <w:szCs w:val="23"/>
          <w:lang w:val="pt-BR"/>
        </w:rPr>
        <w:fldChar w:fldCharType="end"/>
      </w:r>
      <w:r w:rsidR="00B371C7" w:rsidRPr="00A65B69">
        <w:rPr>
          <w:color w:val="000000" w:themeColor="text1"/>
          <w:sz w:val="23"/>
          <w:szCs w:val="23"/>
          <w:lang w:val="pt-BR"/>
        </w:rPr>
        <w:t>.</w:t>
      </w:r>
      <w:r w:rsidRPr="00A65B69">
        <w:rPr>
          <w:color w:val="000000" w:themeColor="text1"/>
          <w:sz w:val="23"/>
          <w:szCs w:val="23"/>
          <w:lang w:val="pt-BR"/>
        </w:rPr>
        <w:t xml:space="preserve"> </w:t>
      </w:r>
      <w:r w:rsidR="00DE3EEC" w:rsidRPr="00A65B69">
        <w:rPr>
          <w:color w:val="000000" w:themeColor="text1"/>
          <w:sz w:val="23"/>
          <w:szCs w:val="23"/>
          <w:lang w:val="pt-BR"/>
        </w:rPr>
        <w:t>Como</w:t>
      </w:r>
      <w:r w:rsidR="0098042E" w:rsidRPr="00A65B69">
        <w:rPr>
          <w:color w:val="000000" w:themeColor="text1"/>
          <w:sz w:val="23"/>
          <w:szCs w:val="23"/>
          <w:lang w:val="pt-BR"/>
        </w:rPr>
        <w:t xml:space="preserve"> o metabolismo do ferro está diretamente relacionado ao acúmulo de α-</w:t>
      </w:r>
      <w:proofErr w:type="spellStart"/>
      <w:r w:rsidR="0098042E" w:rsidRPr="00A65B69">
        <w:rPr>
          <w:color w:val="000000" w:themeColor="text1"/>
          <w:sz w:val="23"/>
          <w:szCs w:val="23"/>
          <w:lang w:val="pt-BR"/>
        </w:rPr>
        <w:t>sinucleína</w:t>
      </w:r>
      <w:proofErr w:type="spellEnd"/>
      <w:r w:rsidR="003F25DC" w:rsidRPr="00A65B69">
        <w:rPr>
          <w:color w:val="000000" w:themeColor="text1"/>
          <w:sz w:val="23"/>
          <w:szCs w:val="23"/>
          <w:lang w:val="pt-BR"/>
        </w:rPr>
        <w:t xml:space="preserve"> </w:t>
      </w:r>
      <w:r w:rsidR="00E31B2E" w:rsidRPr="00A65B69">
        <w:rPr>
          <w:sz w:val="23"/>
          <w:szCs w:val="23"/>
          <w:lang w:val="pt-BR"/>
        </w:rPr>
        <w:fldChar w:fldCharType="begin" w:fldLock="1"/>
      </w:r>
      <w:r w:rsidR="00CF7A48" w:rsidRPr="00A65B69">
        <w:rPr>
          <w:sz w:val="23"/>
          <w:szCs w:val="23"/>
          <w:lang w:val="pt-BR"/>
        </w:rPr>
        <w:instrText>ADDIN CSL_CITATION {"citationItems":[{"id":"ITEM-1","itemData":{"DOI":"10.1007/s00702-020-02149-3","ISBN":"0123456789","ISSN":"14351463","PMID":"32025811","abstract":"While the initial causes of Parkinson’s disease (PD) are not clearly defined, iron deposition has long been implicated in the pathogenesis of PD. The substantia nigra of PD patients, where the selective loss of dopaminergic neurons occurs, show a fairly selective and significant elevation in iron contents. However, the question remains whether iron deposition represents the initiation cause or merely the consequence of nigral degeneration. Here, we describe existing findings regarding the interaction of iron with neuromelanin and alpha synuclein, the iron deposition in experimental animal model of PD and sporadic and familial PD patients, and the treatment option involving the use of iron chelators for targeting the aberration of iron level in brain. This review may provide us a better understanding of the role of iron in PD to address the question of cause or consequence.","author":[{"dropping-particle":"","family":"Mochizuki","given":"Hideki","non-dropping-particle":"","parse-names":false,"suffix":""},{"dropping-particle":"","family":"Choong","given":"Chi Jing","non-dropping-particle":"","parse-names":false,"suffix":""},{"dropping-particle":"","family":"Baba","given":"Kousuke","non-dropping-particle":"","parse-names":false,"suffix":""}],"container-title":"Journal of Neural Transmission","id":"ITEM-1","issue":"2","issued":{"date-parts":[["2020"]]},"page":"181-187","publisher":"Springer Vienna","title":"Parkinson’s disease and iron","type":"article-journal","volume":"127"},"uris":["http://www.mendeley.com/documents/?uuid=5c0a8ff6-7646-4b12-b721-750efc4fc41e"]}],"mendeley":{"formattedCitation":"(MOCHIZUKI; CHOONG; BABA, 2020)","manualFormatting":"(MOCHIZUKI et al., 2020)","plainTextFormattedCitation":"(MOCHIZUKI; CHOONG; BABA, 2020)","previouslyFormattedCitation":"(MOCHIZUKI; CHOONG; BABA, 2020)"},"properties":{"noteIndex":0},"schema":"https://github.com/citation-style-language/schema/raw/master/csl-citation.json"}</w:instrText>
      </w:r>
      <w:r w:rsidR="00E31B2E" w:rsidRPr="00A65B69">
        <w:rPr>
          <w:sz w:val="23"/>
          <w:szCs w:val="23"/>
          <w:lang w:val="pt-BR"/>
        </w:rPr>
        <w:fldChar w:fldCharType="separate"/>
      </w:r>
      <w:r w:rsidR="00E31B2E" w:rsidRPr="00A65B69">
        <w:rPr>
          <w:noProof/>
          <w:sz w:val="23"/>
          <w:szCs w:val="23"/>
          <w:lang w:val="pt-BR"/>
        </w:rPr>
        <w:t>(MOCHIZUKI</w:t>
      </w:r>
      <w:r w:rsidR="00CF7A48" w:rsidRPr="00A65B69">
        <w:rPr>
          <w:noProof/>
          <w:sz w:val="23"/>
          <w:szCs w:val="23"/>
          <w:lang w:val="pt-BR"/>
        </w:rPr>
        <w:t xml:space="preserve"> et al.,</w:t>
      </w:r>
      <w:r w:rsidR="00E31B2E" w:rsidRPr="00A65B69">
        <w:rPr>
          <w:noProof/>
          <w:sz w:val="23"/>
          <w:szCs w:val="23"/>
          <w:lang w:val="pt-BR"/>
        </w:rPr>
        <w:t xml:space="preserve"> 2020)</w:t>
      </w:r>
      <w:r w:rsidR="00E31B2E" w:rsidRPr="00A65B69">
        <w:rPr>
          <w:sz w:val="23"/>
          <w:szCs w:val="23"/>
          <w:lang w:val="pt-BR"/>
        </w:rPr>
        <w:fldChar w:fldCharType="end"/>
      </w:r>
      <w:r w:rsidR="00DE3EEC" w:rsidRPr="00A65B69">
        <w:rPr>
          <w:color w:val="000000" w:themeColor="text1"/>
          <w:sz w:val="23"/>
          <w:szCs w:val="23"/>
          <w:lang w:val="pt-BR"/>
        </w:rPr>
        <w:t>, a redução de ferro no cérebro pode</w:t>
      </w:r>
      <w:r w:rsidR="0098042E" w:rsidRPr="00A65B69">
        <w:rPr>
          <w:color w:val="000000" w:themeColor="text1"/>
          <w:sz w:val="23"/>
          <w:szCs w:val="23"/>
          <w:lang w:val="pt-BR"/>
        </w:rPr>
        <w:t xml:space="preserve"> reduzir a progressão da DP</w:t>
      </w:r>
      <w:r w:rsidR="00B64A79" w:rsidRPr="00A65B69">
        <w:rPr>
          <w:color w:val="000000" w:themeColor="text1"/>
          <w:sz w:val="23"/>
          <w:szCs w:val="23"/>
          <w:lang w:val="pt-BR"/>
        </w:rPr>
        <w:t xml:space="preserve"> </w:t>
      </w:r>
      <w:r w:rsidR="00517231" w:rsidRPr="00A65B69">
        <w:rPr>
          <w:color w:val="000000" w:themeColor="text1"/>
          <w:sz w:val="23"/>
          <w:szCs w:val="23"/>
          <w:lang w:val="pt-BR"/>
        </w:rPr>
        <w:fldChar w:fldCharType="begin" w:fldLock="1"/>
      </w:r>
      <w:r w:rsidR="00BD6F32" w:rsidRPr="00A65B69">
        <w:rPr>
          <w:color w:val="000000" w:themeColor="text1"/>
          <w:sz w:val="23"/>
          <w:szCs w:val="23"/>
          <w:lang w:val="pt-BR"/>
        </w:rPr>
        <w:instrText>ADDIN CSL_CITATION {"citationItems":[{"id":"ITEM-1","itemData":{"DOI":"10.1007/978-1-4471-2906-6_12","ISBN":"978-1-4471-2906-6","abstract":"Parkinson’s disease (PD) is a common neurodegenerative disease which is characterized by a progressive degeneration of dopaminergic neurons in the midbrain. A most reliable mechanism causing the apoptosis in dopaminergic structures of the brain during aging and Parkinson’s disease is the activation of oxidative stress. Until now, effective means for the prevention of dopaminergic neurons degeneration and for the retention of damaged neurons functioning is still lacking. A promising way to slacken the pace of degenerative processes during aging and PD could be the adaptation to intermittent hypoxia. Such adaptation strengthens dopamine (DA) synthesis and release at peripheral chemoreceptors in carotid bodies and activates tyrosine hydroxylase – a rate-limiting enzyme for catecholamine synthesis. In this chapter, we examined three groups of rats: adult, old, and old rats with experimental DA deficiency. It was revealed that there was an asymmetry of dopamine distribution between the right and left striatum of adult rats. Prevalent quantity of dopamine was concentrated in right hemisphere. During aging DA, production decreased in the examined structures mainly in right hemisphere of the striatum, so its distribution asymmetry diminished. In PD animals, this decrease was much more expressed and led to practically total abolishment of quantitative difference between right and left hemispheres. Two-week course of intermittent hypoxia training (IHT, five cycles of 15-min exposures to 12% O2 followed by 15-min room air breathing per day) increased dopamine synthesis in old and experimental PD animals, especially in the right striatum, restored partially the asymmetry of DA distribution between brain hemispheres. IHT also decreased the intensity of lipid peroxidation. Increased plasma antioxidant activity positively correlated with increased DA concentration in the striatum. Therefore, IHT could serve as a good perspective means for the deceleration of aging and prevention/treatment of Parkinson’s disease.","author":[{"dropping-particle":"","family":"Belikova","given":"Maria V;","non-dropping-particle":"","parse-names":false,"suffix":""},{"dropping-particle":"","family":"Kolesnikova","given":"Evgenia E;","non-dropping-particle":"","parse-names":false,"suffix":""},{"dropping-particle":"V","family":"Serebrovskaya","given":"Tatiana","non-dropping-particle":"","parse-names":false,"suffix":""}],"editor":[{"dropping-particle":"","family":"Xi","given":"Lei","non-dropping-particle":"","parse-names":false,"suffix":""},{"dropping-particle":"V","family":"Serebrovskaya","given":"Tatiana","non-dropping-particle":"","parse-names":false,"suffix":""}],"id":"ITEM-1","issued":{"date-parts":[["2012"]]},"page":"147-153","publisher":"Springer London","publisher-place":"London","title":"Intermittent Hypoxia and Experimental Parkinson’s Disease BT - Intermittent Hypoxia and Human Diseases","type":"chapter"},"uris":["http://www.mendeley.com/documents/?uuid=a4dc478f-1114-4677-a218-53a058c43eef"]},{"id":"ITEM-2","itemData":{"DOI":"10.1097/MOH.0000000000000494","ISBN":"0000000000000","ISSN":"15317048","PMID":"30855332","abstract":"Purpose of reviewThis review outlines recent discoveries on the crosstalk between oxygen metabolism and iron homeostasis, focusing on the role of HIF-2 (hypoxia inducible factor-2) in the regulation of iron metabolism under physiopathological conditions.Recent findingsThe importance of the hepcidin/ferroportin axis in the modulation of intestinal HIF-2 to regulate iron absorption has been recently highlighted. Latest advances also reveal a direct titration of the bone morphogenetic proteins by the erythroferrone contributing to liver hepcidin suppression to increase iron availability. Iron is recycled thanks to erythrophagocytosis of senescent erythrocytes by macrophages. Hemolysis is frequent in sickle cell anemia, leading to increased erythrophagocytosis responsible of the macrophage polarization shift. New findings assessed the effects of hemolysis on macrophage polarization in the tumor microenvironment.SummaryHypoxia signaling links erythropoiesis with iron homeostasis. The use of HIF stabilizing or inhibiting drugs are promising therapeutic approaches in iron-associated diseases.","author":[{"dropping-particle":"","family":"Renassia","given":"Cyril","non-dropping-particle":"","parse-names":false,"suffix":""},{"dropping-particle":"","family":"Peyssonnaux","given":"Carole","non-dropping-particle":"","parse-names":false,"suffix":""}],"container-title":"Current Opinion in Hematology","id":"ITEM-2","issue":"3","issued":{"date-parts":[["2019"]]},"page":"125-130","title":"New insights into the links between hypoxia and iron homeostasis","type":"article-journal","volume":"26"},"uris":["http://www.mendeley.com/documents/?uuid=4d7af7e8-9ae5-43fb-9ad6-bd4687d9a3ca"]},{"id":"ITEM-3","itemData":{"DOI":"10.2174/092986711797200426","ISBN":"1785864521","ISSN":"09298673","PMID":"21861815","abstract":"Hypoxia inducible factor-1 (HIF-1) is a transcriptional factor responsible for cellular and tissue adaption to low oxygen tension. HIF-1, a heterodimer consisting of a constitutively expressed β subunit and an oxygen-regulated α subunit, regulates a series of genes that participate in angiogenesis, iron metabolism, glucose metabolism, and cell proliferation/survival. The activity of HIF-1 is controlled by post-translational modifications on different amino acid residues of its subunits, mainly the alpha subunit. Besides in ischemic stroke (see review [1]), emerging evidence has revealed that HIF-1 activity and expression of its down-stream genes, such as vascular endothelial growth factor and erythropoietin, are altered in a range of neurodegenerative diseases. At the same time, experimental and clinical evidence has demonstrated that regulating HIF-1 might ameliorate the cellular and tissue damage in the neurodegenerative diseases. These new findings suggest HIF-1 as a potential medicinal target for the neurodegenerative diseases. This review focuses on HIF-1α protein modifications and HIF-1's potential neuroprotective roles in Alzheimer's (AD), Parkinson's (PD), Huntington's diseases (HD), and amyotrophic lateral sclerosis (ALS).","author":[{"dropping-particle":"","family":"Zhang","given":"Z.","non-dropping-particle":"","parse-names":false,"suffix":""},{"dropping-particle":"","family":"Yan","given":"J.","non-dropping-particle":"","parse-names":false,"suffix":""},{"dropping-particle":"","family":"Chang","given":"Y.","non-dropping-particle":"","parse-names":false,"suffix":""},{"dropping-particle":"","family":"ShiDu Yan","given":"S.","non-dropping-particle":"","parse-names":false,"suffix":""},{"dropping-particle":"","family":"Shi","given":"H.","non-dropping-particle":"","parse-names":false,"suffix":""}],"container-title":"Current Medicinal Chemistry","id":"ITEM-3","issue":"28","issued":{"date-parts":[["2011"]]},"page":"4335-4343","title":"Hypoxia Inducible Factor-1 as a Target for Neurodegenerative Diseases","type":"article-journal","volume":"18"},"uris":["http://www.mendeley.com/documents/?uuid=8e50ab1e-f3f2-4638-9a1b-722dc32bd526"]}],"mendeley":{"formattedCitation":"(BELIKOVA; KOLESNIKOVA; SEREBROVSKAYA, 2012; RENASSIA; PEYSSONNAUX, 2019; ZHANG et al., 2011)","manualFormatting":"(BELIKOVA et al., 2012; RENASSIA et al., 2019; ZHANG et al., 2011)","plainTextFormattedCitation":"(BELIKOVA; KOLESNIKOVA; SEREBROVSKAYA, 2012; RENASSIA; PEYSSONNAUX, 2019; ZHANG et al., 2011)","previouslyFormattedCitation":"(BELIKOVA; KOLESNIKOVA; SEREBROVSKAYA, 2012; RENASSIA; PEYSSONNAUX, 2019; ZHANG et al., 2011)"},"properties":{"noteIndex":0},"schema":"https://github.com/citation-style-language/schema/raw/master/csl-citation.json"}</w:instrText>
      </w:r>
      <w:r w:rsidR="00517231" w:rsidRPr="00A65B69">
        <w:rPr>
          <w:color w:val="000000" w:themeColor="text1"/>
          <w:sz w:val="23"/>
          <w:szCs w:val="23"/>
          <w:lang w:val="pt-BR"/>
        </w:rPr>
        <w:fldChar w:fldCharType="separate"/>
      </w:r>
      <w:r w:rsidR="00517231" w:rsidRPr="00A65B69">
        <w:rPr>
          <w:noProof/>
          <w:color w:val="000000" w:themeColor="text1"/>
          <w:sz w:val="23"/>
          <w:szCs w:val="23"/>
          <w:lang w:val="pt-BR"/>
        </w:rPr>
        <w:t>(BELIKOVA et al., 2012; RENASSIA</w:t>
      </w:r>
      <w:r w:rsidR="00610715" w:rsidRPr="00A65B69">
        <w:rPr>
          <w:noProof/>
          <w:color w:val="000000" w:themeColor="text1"/>
          <w:sz w:val="23"/>
          <w:szCs w:val="23"/>
          <w:lang w:val="pt-BR"/>
        </w:rPr>
        <w:t xml:space="preserve"> et al., </w:t>
      </w:r>
      <w:r w:rsidR="00517231" w:rsidRPr="00A65B69">
        <w:rPr>
          <w:noProof/>
          <w:color w:val="000000" w:themeColor="text1"/>
          <w:sz w:val="23"/>
          <w:szCs w:val="23"/>
          <w:lang w:val="pt-BR"/>
        </w:rPr>
        <w:t>2019; ZHANG et al., 2011)</w:t>
      </w:r>
      <w:r w:rsidR="00517231" w:rsidRPr="00A65B69">
        <w:rPr>
          <w:color w:val="000000" w:themeColor="text1"/>
          <w:sz w:val="23"/>
          <w:szCs w:val="23"/>
          <w:lang w:val="pt-BR"/>
        </w:rPr>
        <w:fldChar w:fldCharType="end"/>
      </w:r>
      <w:r w:rsidR="0098042E" w:rsidRPr="00A65B69">
        <w:rPr>
          <w:color w:val="000000" w:themeColor="text1"/>
          <w:sz w:val="23"/>
          <w:szCs w:val="23"/>
          <w:lang w:val="pt-BR"/>
        </w:rPr>
        <w:t>.</w:t>
      </w:r>
      <w:r w:rsidR="00B371C7" w:rsidRPr="00A65B69">
        <w:rPr>
          <w:color w:val="000000" w:themeColor="text1"/>
          <w:sz w:val="23"/>
          <w:szCs w:val="23"/>
          <w:lang w:val="pt-BR"/>
        </w:rPr>
        <w:t xml:space="preserve"> Neste sentido, </w:t>
      </w:r>
      <w:r w:rsidR="00B0248E" w:rsidRPr="00A65B69">
        <w:rPr>
          <w:color w:val="000000" w:themeColor="text1"/>
          <w:sz w:val="23"/>
          <w:szCs w:val="23"/>
          <w:lang w:val="pt-BR"/>
        </w:rPr>
        <w:t xml:space="preserve">considerando a distribuição de ferro característica desta patologia, </w:t>
      </w:r>
      <w:r w:rsidR="00B371C7" w:rsidRPr="00A65B69">
        <w:rPr>
          <w:color w:val="000000" w:themeColor="text1"/>
          <w:sz w:val="23"/>
          <w:szCs w:val="23"/>
          <w:lang w:val="pt-BR"/>
        </w:rPr>
        <w:t xml:space="preserve">é provável que o efluxo </w:t>
      </w:r>
      <w:r w:rsidR="00B0248E" w:rsidRPr="00A65B69">
        <w:rPr>
          <w:color w:val="000000" w:themeColor="text1"/>
          <w:sz w:val="23"/>
          <w:szCs w:val="23"/>
          <w:lang w:val="pt-BR"/>
        </w:rPr>
        <w:t xml:space="preserve">deste íon </w:t>
      </w:r>
      <w:r w:rsidR="00B371C7" w:rsidRPr="00A65B69">
        <w:rPr>
          <w:color w:val="000000" w:themeColor="text1"/>
          <w:sz w:val="23"/>
          <w:szCs w:val="23"/>
          <w:lang w:val="pt-BR"/>
        </w:rPr>
        <w:t xml:space="preserve">ocorra </w:t>
      </w:r>
      <w:r w:rsidR="00406759" w:rsidRPr="00A65B69">
        <w:rPr>
          <w:color w:val="000000" w:themeColor="text1"/>
          <w:sz w:val="23"/>
          <w:szCs w:val="23"/>
          <w:lang w:val="pt-BR"/>
        </w:rPr>
        <w:t>em maior proporção na</w:t>
      </w:r>
      <w:r w:rsidR="00B371C7" w:rsidRPr="00A65B69">
        <w:rPr>
          <w:color w:val="000000" w:themeColor="text1"/>
          <w:sz w:val="23"/>
          <w:szCs w:val="23"/>
          <w:lang w:val="pt-BR"/>
        </w:rPr>
        <w:t xml:space="preserve"> DP </w:t>
      </w:r>
      <w:r w:rsidR="00406759" w:rsidRPr="00A65B69">
        <w:rPr>
          <w:color w:val="000000" w:themeColor="text1"/>
          <w:sz w:val="23"/>
          <w:szCs w:val="23"/>
          <w:lang w:val="pt-BR"/>
        </w:rPr>
        <w:t>quando comparados a</w:t>
      </w:r>
      <w:r w:rsidR="00B371C7" w:rsidRPr="00A65B69">
        <w:rPr>
          <w:color w:val="000000" w:themeColor="text1"/>
          <w:sz w:val="23"/>
          <w:szCs w:val="23"/>
          <w:lang w:val="pt-BR"/>
        </w:rPr>
        <w:t xml:space="preserve"> pessoas neu</w:t>
      </w:r>
      <w:r w:rsidRPr="00A65B69">
        <w:rPr>
          <w:color w:val="000000" w:themeColor="text1"/>
          <w:sz w:val="23"/>
          <w:szCs w:val="23"/>
          <w:lang w:val="pt-BR"/>
        </w:rPr>
        <w:t>r</w:t>
      </w:r>
      <w:r w:rsidR="00B371C7" w:rsidRPr="00A65B69">
        <w:rPr>
          <w:color w:val="000000" w:themeColor="text1"/>
          <w:sz w:val="23"/>
          <w:szCs w:val="23"/>
          <w:lang w:val="pt-BR"/>
        </w:rPr>
        <w:t>ologicamente</w:t>
      </w:r>
      <w:r w:rsidRPr="00A65B69">
        <w:rPr>
          <w:color w:val="000000" w:themeColor="text1"/>
          <w:sz w:val="23"/>
          <w:szCs w:val="23"/>
          <w:lang w:val="pt-BR"/>
        </w:rPr>
        <w:t xml:space="preserve"> saudáveis</w:t>
      </w:r>
      <w:r w:rsidR="00406759" w:rsidRPr="00A65B69">
        <w:rPr>
          <w:color w:val="000000" w:themeColor="text1"/>
          <w:sz w:val="23"/>
          <w:szCs w:val="23"/>
          <w:lang w:val="pt-BR"/>
        </w:rPr>
        <w:t>.</w:t>
      </w:r>
      <w:r w:rsidR="00B371C7" w:rsidRPr="00A65B69">
        <w:rPr>
          <w:color w:val="000000" w:themeColor="text1"/>
          <w:sz w:val="23"/>
          <w:szCs w:val="23"/>
          <w:lang w:val="pt-BR"/>
        </w:rPr>
        <w:t xml:space="preserve"> </w:t>
      </w:r>
      <w:r w:rsidRPr="00A65B69">
        <w:rPr>
          <w:color w:val="000000" w:themeColor="text1"/>
          <w:sz w:val="23"/>
          <w:szCs w:val="23"/>
          <w:lang w:val="pt-BR"/>
        </w:rPr>
        <w:t xml:space="preserve">Entretanto, esta hipótese deve ser confirmada experimentalmente em pessoas com DP.   </w:t>
      </w:r>
    </w:p>
    <w:p w14:paraId="241AD7F9" w14:textId="4AD0BE78" w:rsidR="00472341" w:rsidRPr="00A65B69" w:rsidRDefault="00532CBA" w:rsidP="00284EED">
      <w:pPr>
        <w:pStyle w:val="BodyText"/>
        <w:spacing w:before="0" w:line="480" w:lineRule="auto"/>
        <w:ind w:left="0" w:right="2" w:firstLine="720"/>
        <w:rPr>
          <w:sz w:val="23"/>
          <w:szCs w:val="23"/>
          <w:lang w:val="pt-BR"/>
        </w:rPr>
      </w:pPr>
      <w:r w:rsidRPr="00A65B69">
        <w:rPr>
          <w:color w:val="000000" w:themeColor="text1"/>
          <w:sz w:val="23"/>
          <w:szCs w:val="23"/>
          <w:lang w:val="pt-BR"/>
        </w:rPr>
        <w:t>Neste sentido, apesar da literatura ser incipiente quanto aos benefícios da hipóxia, é tido que uma exposição baixa ou moderada</w:t>
      </w:r>
      <w:r w:rsidR="00926887" w:rsidRPr="00A65B69">
        <w:rPr>
          <w:color w:val="000000" w:themeColor="text1"/>
          <w:sz w:val="23"/>
          <w:szCs w:val="23"/>
          <w:lang w:val="pt-BR"/>
        </w:rPr>
        <w:t xml:space="preserve"> aplicada de maneira </w:t>
      </w:r>
      <w:r w:rsidRPr="00A65B69">
        <w:rPr>
          <w:color w:val="000000" w:themeColor="text1"/>
          <w:sz w:val="23"/>
          <w:szCs w:val="23"/>
          <w:lang w:val="pt-BR"/>
        </w:rPr>
        <w:t xml:space="preserve">intermitente </w:t>
      </w:r>
      <w:r w:rsidR="00926887" w:rsidRPr="00A65B69">
        <w:rPr>
          <w:color w:val="000000" w:themeColor="text1"/>
          <w:sz w:val="23"/>
          <w:szCs w:val="23"/>
          <w:lang w:val="pt-BR"/>
        </w:rPr>
        <w:t xml:space="preserve">(curtos períodos </w:t>
      </w:r>
      <w:r w:rsidR="00A91498" w:rsidRPr="00A65B69">
        <w:rPr>
          <w:color w:val="000000" w:themeColor="text1"/>
          <w:sz w:val="23"/>
          <w:szCs w:val="23"/>
          <w:lang w:val="pt-BR"/>
        </w:rPr>
        <w:t xml:space="preserve">de hipóxia separados por períodos em </w:t>
      </w:r>
      <w:proofErr w:type="spellStart"/>
      <w:r w:rsidR="00A91498" w:rsidRPr="00A65B69">
        <w:rPr>
          <w:color w:val="000000" w:themeColor="text1"/>
          <w:sz w:val="23"/>
          <w:szCs w:val="23"/>
          <w:lang w:val="pt-BR"/>
        </w:rPr>
        <w:t>normóxia</w:t>
      </w:r>
      <w:proofErr w:type="spellEnd"/>
      <w:r w:rsidR="00A91498" w:rsidRPr="00A65B69">
        <w:rPr>
          <w:color w:val="000000" w:themeColor="text1"/>
          <w:sz w:val="23"/>
          <w:szCs w:val="23"/>
          <w:lang w:val="pt-BR"/>
        </w:rPr>
        <w:t xml:space="preserve">) </w:t>
      </w:r>
      <w:r w:rsidRPr="00A65B69">
        <w:rPr>
          <w:color w:val="000000" w:themeColor="text1"/>
          <w:sz w:val="23"/>
          <w:szCs w:val="23"/>
          <w:lang w:val="pt-BR"/>
        </w:rPr>
        <w:t xml:space="preserve">é segura para </w:t>
      </w:r>
      <w:r w:rsidR="00A91498" w:rsidRPr="00A65B69">
        <w:rPr>
          <w:color w:val="000000" w:themeColor="text1"/>
          <w:sz w:val="23"/>
          <w:szCs w:val="23"/>
          <w:lang w:val="pt-BR"/>
        </w:rPr>
        <w:t>pessoas com DP</w:t>
      </w:r>
      <w:r w:rsidRPr="00A65B69">
        <w:rPr>
          <w:color w:val="000000" w:themeColor="text1"/>
          <w:sz w:val="23"/>
          <w:szCs w:val="23"/>
          <w:lang w:val="pt-BR"/>
        </w:rPr>
        <w:t>. Contudo, a dose necessária ainda não está clara</w:t>
      </w:r>
      <w:r w:rsidR="00B371C7" w:rsidRPr="00A65B69">
        <w:rPr>
          <w:color w:val="000000" w:themeColor="text1"/>
          <w:sz w:val="23"/>
          <w:szCs w:val="23"/>
          <w:lang w:val="pt-BR"/>
        </w:rPr>
        <w:t>.</w:t>
      </w:r>
      <w:r w:rsidR="00284EED" w:rsidRPr="00A65B69">
        <w:rPr>
          <w:color w:val="000000" w:themeColor="text1"/>
          <w:sz w:val="23"/>
          <w:szCs w:val="23"/>
          <w:lang w:val="pt-BR"/>
        </w:rPr>
        <w:t xml:space="preserve"> </w:t>
      </w:r>
      <w:r w:rsidR="00472341" w:rsidRPr="00A65B69">
        <w:rPr>
          <w:sz w:val="23"/>
          <w:szCs w:val="23"/>
          <w:lang w:val="pt-BR"/>
        </w:rPr>
        <w:t>A magnitude da hipóxia pode ser modulada pelo aumento da altitude, sendo classificada em baixa (500 – 2000</w:t>
      </w:r>
      <w:r w:rsidR="0007687B" w:rsidRPr="00A65B69">
        <w:rPr>
          <w:sz w:val="23"/>
          <w:szCs w:val="23"/>
          <w:lang w:val="pt-BR"/>
        </w:rPr>
        <w:t xml:space="preserve"> </w:t>
      </w:r>
      <w:r w:rsidR="00472341" w:rsidRPr="00A65B69">
        <w:rPr>
          <w:sz w:val="23"/>
          <w:szCs w:val="23"/>
          <w:lang w:val="pt-BR"/>
        </w:rPr>
        <w:t xml:space="preserve">m), moderada (2000 – 3000 m), alta (3000 – 5500 m) e extrema (&gt; 5500 m), o que determina uma queda progressiva na pressão atmosférica e na saturação sanguínea de oxigênio </w:t>
      </w:r>
      <w:r w:rsidR="00E00F5D" w:rsidRPr="00A65B69">
        <w:rPr>
          <w:sz w:val="23"/>
          <w:szCs w:val="23"/>
          <w:lang w:val="pt-BR"/>
        </w:rPr>
        <w:fldChar w:fldCharType="begin" w:fldLock="1"/>
      </w:r>
      <w:r w:rsidR="008C2A9B" w:rsidRPr="00A65B69">
        <w:rPr>
          <w:sz w:val="23"/>
          <w:szCs w:val="23"/>
          <w:lang w:val="pt-BR"/>
        </w:rPr>
        <w:instrText>ADDIN CSL_CITATION {"citationItems":[{"id":"ITEM-1","itemData":{"DOI":"10.1111/j.1600-0838.2008.00827.x","ISSN":"16000838","PMID":"18665947","abstract":"The key elements in acclimatization aim at securing the oxygen supply to tissues and organs of the body with an optimal oxygen tension of the arterial blood. In acute exposure, ventilation and heart rate are elevated with a minimum reduction in stroke volume. In addition, plasma volume is reduced over 24-48 h to improve the oxygen-carrying capacity of the blood, and is further improved during a prolonged sojourn at altitude through an enhanced erythropoiesis and larger Hb mass, allowing for a partial or full restoration of the blood volume and arterial oxygen content. Most of these adaptations are observed from quite low altitudes [approximately 1000 m above sea level (m a.s.l.)] and become prominent from 2000 m a.s.l. At these higher altitudes additional adaptations occur, one being a reduction in the maximal heart rate response and consequently a lower peak cardiac output. Thus, in spite of a normalization of the arterial oxygen content after 4 or more weeks at altitude, the peak oxygen uptake reached after a long acclimatization period is essentially unaltered compared with acute exposure. What is gained is a more complete oxygenation of the blood in the lungs, i.e. SaO(2) is increased. The alteration at the muscle level at altitude is minor and so is the effect on the metabolism, although it is debated whether a possible reduction in blood lactate accumulation occurs during exercise at altitude. Transient acute mountain sickness (headache, anorexia, and nausea) is present in 10-30% of subjects at altitudes between 2500 and 3000 m a.s.l. Pulmonary edema is rarely seen below 3000 m a.s.l. and brain edema is not seen below 4000 m a.s.l. It is possible to travel to altitudes of 2500-3000 m a.s.l., wait for 2 days, and then gradually start to train. At higher altitudes, one should consider a staged ascent (average ascent rate 300 m/day above 2000 m a.s.l.), primarily in order to sleep and feel well, and minimize the risk of mountain sickness. A new classification of altitude levels based on the effects on performance and well-being is proposed and an overview given over the various modalities using hypoxia and altitude for improvement of performance.","author":[{"dropping-particle":"","family":"Bärtsch","given":"P.","non-dropping-particle":"","parse-names":false,"suffix":""},{"dropping-particle":"","family":"Saltin","given":"B.","non-dropping-particle":"","parse-names":false,"suffix":""}],"container-title":"Scandinavian journal of medicine &amp; science in sports","id":"ITEM-1","issued":{"date-parts":[["2008"]]},"page":"1-10","title":"General introduction to altitude adaptation and mountain sickness.","type":"article-journal","volume":"18 Suppl 1"},"uris":["http://www.mendeley.com/documents/?uuid=09f6c6a3-9190-47c3-a6a0-8345eba949ac"]}],"mendeley":{"formattedCitation":"(BÄRTSCH; SALTIN, 2008)","manualFormatting":"(BÄRTSCH et al., 2008)","plainTextFormattedCitation":"(BÄRTSCH; SALTIN, 2008)","previouslyFormattedCitation":"(BÄRTSCH; SALTIN, 2008)"},"properties":{"noteIndex":0},"schema":"https://github.com/citation-style-language/schema/raw/master/csl-citation.json"}</w:instrText>
      </w:r>
      <w:r w:rsidR="00E00F5D" w:rsidRPr="00A65B69">
        <w:rPr>
          <w:sz w:val="23"/>
          <w:szCs w:val="23"/>
          <w:lang w:val="pt-BR"/>
        </w:rPr>
        <w:fldChar w:fldCharType="separate"/>
      </w:r>
      <w:r w:rsidR="00E00F5D" w:rsidRPr="00A65B69">
        <w:rPr>
          <w:noProof/>
          <w:sz w:val="23"/>
          <w:szCs w:val="23"/>
          <w:lang w:val="pt-BR"/>
        </w:rPr>
        <w:t>(BÄRTSCH</w:t>
      </w:r>
      <w:r w:rsidR="008C2A9B" w:rsidRPr="00A65B69">
        <w:rPr>
          <w:noProof/>
          <w:sz w:val="23"/>
          <w:szCs w:val="23"/>
          <w:lang w:val="pt-BR"/>
        </w:rPr>
        <w:t xml:space="preserve"> et al.,</w:t>
      </w:r>
      <w:r w:rsidR="00E00F5D" w:rsidRPr="00A65B69">
        <w:rPr>
          <w:noProof/>
          <w:sz w:val="23"/>
          <w:szCs w:val="23"/>
          <w:lang w:val="pt-BR"/>
        </w:rPr>
        <w:t xml:space="preserve"> 2008)</w:t>
      </w:r>
      <w:r w:rsidR="00E00F5D" w:rsidRPr="00A65B69">
        <w:rPr>
          <w:sz w:val="23"/>
          <w:szCs w:val="23"/>
          <w:lang w:val="pt-BR"/>
        </w:rPr>
        <w:fldChar w:fldCharType="end"/>
      </w:r>
      <w:r w:rsidR="00472341" w:rsidRPr="00A65B69">
        <w:rPr>
          <w:sz w:val="23"/>
          <w:szCs w:val="23"/>
          <w:lang w:val="pt-BR"/>
        </w:rPr>
        <w:t xml:space="preserve"> (i.e., hipóxia </w:t>
      </w:r>
      <w:proofErr w:type="spellStart"/>
      <w:r w:rsidR="00472341" w:rsidRPr="00A65B69">
        <w:rPr>
          <w:sz w:val="23"/>
          <w:szCs w:val="23"/>
          <w:lang w:val="pt-BR"/>
        </w:rPr>
        <w:t>hipobárica</w:t>
      </w:r>
      <w:proofErr w:type="spellEnd"/>
      <w:r w:rsidR="00472341" w:rsidRPr="00A65B69">
        <w:rPr>
          <w:sz w:val="23"/>
          <w:szCs w:val="23"/>
          <w:lang w:val="pt-BR"/>
        </w:rPr>
        <w:t>). Entretanto, a exposição prolongada ao ambiente de hipóxia (i.e., &gt; 9 h e nos primeiros 2-3 dias em altitudes moderadas ou altas) pode causar desconfortos transitórios nos primeiros dias – principalmente nos primeiros três dias em pessoas sem aclimatação – que são conhecidos como “mal agudo da montanha”</w:t>
      </w:r>
      <w:r w:rsidR="00E00F5D" w:rsidRPr="00A65B69">
        <w:rPr>
          <w:sz w:val="23"/>
          <w:szCs w:val="23"/>
          <w:lang w:val="pt-BR"/>
        </w:rPr>
        <w:t xml:space="preserve"> </w:t>
      </w:r>
      <w:r w:rsidR="00E00F5D" w:rsidRPr="00A65B69">
        <w:rPr>
          <w:sz w:val="23"/>
          <w:szCs w:val="23"/>
          <w:lang w:val="pt-BR"/>
        </w:rPr>
        <w:fldChar w:fldCharType="begin" w:fldLock="1"/>
      </w:r>
      <w:r w:rsidR="008C2A9B" w:rsidRPr="00A65B69">
        <w:rPr>
          <w:sz w:val="23"/>
          <w:szCs w:val="23"/>
          <w:lang w:val="pt-BR"/>
        </w:rPr>
        <w:instrText>ADDIN CSL_CITATION {"citationItems":[{"id":"ITEM-1","itemData":{"DOI":"10.1111/j.1600-0838.2008.00827.x","ISSN":"16000838","PMID":"18665947","abstract":"The key elements in acclimatization aim at securing the oxygen supply to tissues and organs of the body with an optimal oxygen tension of the arterial blood. In acute exposure, ventilation and heart rate are elevated with a minimum reduction in stroke volume. In addition, plasma volume is reduced over 24-48 h to improve the oxygen-carrying capacity of the blood, and is further improved during a prolonged sojourn at altitude through an enhanced erythropoiesis and larger Hb mass, allowing for a partial or full restoration of the blood volume and arterial oxygen content. Most of these adaptations are observed from quite low altitudes [approximately 1000 m above sea level (m a.s.l.)] and become prominent from 2000 m a.s.l. At these higher altitudes additional adaptations occur, one being a reduction in the maximal heart rate response and consequently a lower peak cardiac output. Thus, in spite of a normalization of the arterial oxygen content after 4 or more weeks at altitude, the peak oxygen uptake reached after a long acclimatization period is essentially unaltered compared with acute exposure. What is gained is a more complete oxygenation of the blood in the lungs, i.e. SaO(2) is increased. The alteration at the muscle level at altitude is minor and so is the effect on the metabolism, although it is debated whether a possible reduction in blood lactate accumulation occurs during exercise at altitude. Transient acute mountain sickness (headache, anorexia, and nausea) is present in 10-30% of subjects at altitudes between 2500 and 3000 m a.s.l. Pulmonary edema is rarely seen below 3000 m a.s.l. and brain edema is not seen below 4000 m a.s.l. It is possible to travel to altitudes of 2500-3000 m a.s.l., wait for 2 days, and then gradually start to train. At higher altitudes, one should consider a staged ascent (average ascent rate 300 m/day above 2000 m a.s.l.), primarily in order to sleep and feel well, and minimize the risk of mountain sickness. A new classification of altitude levels based on the effects on performance and well-being is proposed and an overview given over the various modalities using hypoxia and altitude for improvement of performance.","author":[{"dropping-particle":"","family":"Bärtsch","given":"P.","non-dropping-particle":"","parse-names":false,"suffix":""},{"dropping-particle":"","family":"Saltin","given":"B.","non-dropping-particle":"","parse-names":false,"suffix":""}],"container-title":"Scandinavian journal of medicine &amp; science in sports","id":"ITEM-1","issued":{"date-parts":[["2008"]]},"page":"1-10","title":"General introduction to altitude adaptation and mountain sickness.","type":"article-journal","volume":"18 Suppl 1"},"uris":["http://www.mendeley.com/documents/?uuid=09f6c6a3-9190-47c3-a6a0-8345eba949ac"]},{"id":"ITEM-2","itemData":{"DOI":"10.1186/s40779-020-00283-3","ISBN":"1900025728","ISSN":"20549369","PMID":"33148321","abstract":"Background: Acute mountain sickness (AMS) is the mildest form of acute altitude illnesses, and consists of non-specific symptoms when unacclimatized persons ascend to elevation of ≥2500 m. Risk factors of AMS include: the altitude, individual susceptibility, ascending rate and degree of pre-acclimatization. In the current study, we examined whether physiological response at low altitude could predict the development of AMS. Methods: A total of 111 healthy adult healthy volunteers participated in this trial; and 99 (67 men and 32 women) completed the entire study protocol. Subjects were asked to complete a 9-min exercise program using a mechanically braked bicycle ergometer at low altitude (500 m). Heart rate, blood pressure (BP) and pulse oxygen saturation (SpO2) were recorded prior to and during the last minute of exercise. The ascent from 500 m to 4100 m was completed in 2 days. AMS was defined as ≥3 points in a 4-item Lake Louise Score, with at least one point from headache wat 6–8 h after the ascent. Results: Among the 99 assessable subjects, 47 (23 men and 24 women) developed AMS at 4100 m. In comparison to the subjects without AMS, those who developed AMS had lower proportion of men (48.9% vs. 84.6%, P &lt; 0.001), height (168.4 ± 5.9 vs. 171.3 ± 6.1 cm, P = 0.019), weight (62.0 ± 10.0 vs. 66.7 ± 8.6 kg, P = 0.014) and proportion of smokers (23.4% vs. 51.9%, P = 0.004). Multivariate regression analysis revealed the following independent risks for AMS: female sex (odds ratio (OR) =6.32, P &lt; 0.001), SpO2 change upon exercise at low altitude (OR = 0.63, P = 0.002) and systolic BP change after the ascent (OR = 0.96, P = 0.029). Women had larger reduction in SpO2 after the ascent, higher AMS percentage and absolute AMS score. Larger reduction of SpO2 after exercise was associated with both AMS incidence (P = 0.001) and AMS score (P &lt; 0.001) in men but not in women. Conclusions: Larger SpO2 reduction after exercise at low altitude was an independent risk for AMS upon ascent. Such an association was more robust in men than in women. Trial registration: Chinese Clinical Trial Registration, ChiCTR1900025728. Registered 6 September 2019.","author":[{"dropping-particle":"","family":"Shen","given":"Yang","non-dropping-particle":"","parse-names":false,"suffix":""},{"dropping-particle":"","family":"Yang","given":"Yuan Qi","non-dropping-particle":"","parse-names":false,"suffix":""},{"dropping-particle":"","family":"Liu","given":"Chuan","non-dropping-particle":"","parse-names":false,"suffix":""},{"dropping-particle":"","family":"Yang","given":"Jie","non-dropping-particle":"","parse-names":false,"suffix":""},{"dropping-particle":"","family":"Zhang","given":"Ji Hang","non-dropping-particle":"","parse-names":false,"suffix":""},{"dropping-particle":"","family":"Jin","given":"Jun","non-dropping-particle":"","parse-names":false,"suffix":""},{"dropping-particle":"","family":"Tan","given":"Hu","non-dropping-particle":"","parse-names":false,"suffix":""},{"dropping-particle":"","family":"Yuan","given":"Fang Zheng Yuan","non-dropping-particle":"","parse-names":false,"suffix":""},{"dropping-particle":"Bin","family":"Ke","given":"Jing","non-dropping-particle":"","parse-names":false,"suffix":""},{"dropping-particle":"","family":"He","given":"Chun Yan","non-dropping-particle":"","parse-names":false,"suffix":""},{"dropping-particle":"","family":"Zhang","given":"Lai Ping","non-dropping-particle":"","parse-names":false,"suffix":""},{"dropping-particle":"","family":"Zhang","given":"Chen","non-dropping-particle":"","parse-names":false,"suffix":""},{"dropping-particle":"","family":"Yu","given":"Jie","non-dropping-particle":"","parse-names":false,"suffix":""},{"dropping-particle":"","family":"Huang","given":"Lan","non-dropping-particle":"","parse-names":false,"suffix":""}],"container-title":"Military Medical Research","id":"ITEM-2","issue":"1","issued":{"date-parts":[["2020"]]},"page":"1-9","publisher":"Military Medical Research","title":"Association between physiological responses after exercise at low altitude and acute mountain sickness upon ascent is sex-dependent","type":"article-journal","volume":"7"},"uris":["http://www.mendeley.com/documents/?uuid=f071a2cf-f6e8-4f23-a39e-0084076cba35"]}],"mendeley":{"formattedCitation":"(BÄRTSCH; SALTIN, 2008; SHEN et al., 2020)","manualFormatting":"(BÄRTSCH et al., 2008; SHEN et al., 2020)","plainTextFormattedCitation":"(BÄRTSCH; SALTIN, 2008; SHEN et al., 2020)","previouslyFormattedCitation":"(BÄRTSCH; SALTIN, 2008; SHEN et al., 2020)"},"properties":{"noteIndex":0},"schema":"https://github.com/citation-style-language/schema/raw/master/csl-citation.json"}</w:instrText>
      </w:r>
      <w:r w:rsidR="00E00F5D" w:rsidRPr="00A65B69">
        <w:rPr>
          <w:sz w:val="23"/>
          <w:szCs w:val="23"/>
          <w:lang w:val="pt-BR"/>
        </w:rPr>
        <w:fldChar w:fldCharType="separate"/>
      </w:r>
      <w:r w:rsidR="00E00F5D" w:rsidRPr="00A65B69">
        <w:rPr>
          <w:noProof/>
          <w:sz w:val="23"/>
          <w:szCs w:val="23"/>
          <w:lang w:val="pt-BR"/>
        </w:rPr>
        <w:t>(BÄRTSCH</w:t>
      </w:r>
      <w:r w:rsidR="008C2A9B" w:rsidRPr="00A65B69">
        <w:rPr>
          <w:noProof/>
          <w:sz w:val="23"/>
          <w:szCs w:val="23"/>
          <w:lang w:val="pt-BR"/>
        </w:rPr>
        <w:t xml:space="preserve"> et al., </w:t>
      </w:r>
      <w:r w:rsidR="00E00F5D" w:rsidRPr="00A65B69">
        <w:rPr>
          <w:noProof/>
          <w:sz w:val="23"/>
          <w:szCs w:val="23"/>
          <w:lang w:val="pt-BR"/>
        </w:rPr>
        <w:t>2008; SHEN et al., 2020)</w:t>
      </w:r>
      <w:r w:rsidR="00E00F5D" w:rsidRPr="00A65B69">
        <w:rPr>
          <w:sz w:val="23"/>
          <w:szCs w:val="23"/>
          <w:lang w:val="pt-BR"/>
        </w:rPr>
        <w:fldChar w:fldCharType="end"/>
      </w:r>
      <w:r w:rsidR="00472341" w:rsidRPr="00A65B69">
        <w:rPr>
          <w:sz w:val="23"/>
          <w:szCs w:val="23"/>
          <w:lang w:val="pt-BR"/>
        </w:rPr>
        <w:t>. Além disso, o deslocamento para áreas de montanha não é acessível para a maioria da população, limitando sua utilização na prática, sobretudo para pessoas que sofrem de alguma patologia.</w:t>
      </w:r>
      <w:r w:rsidR="00E619C2" w:rsidRPr="00A65B69">
        <w:rPr>
          <w:sz w:val="23"/>
          <w:szCs w:val="23"/>
          <w:lang w:val="pt-BR"/>
        </w:rPr>
        <w:t xml:space="preserve"> </w:t>
      </w:r>
      <w:r w:rsidR="00F46955" w:rsidRPr="00A65B69">
        <w:rPr>
          <w:sz w:val="23"/>
          <w:szCs w:val="23"/>
          <w:lang w:val="pt-BR"/>
        </w:rPr>
        <w:t>A</w:t>
      </w:r>
      <w:r w:rsidR="00472341" w:rsidRPr="00A65B69">
        <w:rPr>
          <w:sz w:val="23"/>
          <w:szCs w:val="23"/>
          <w:lang w:val="pt-BR"/>
        </w:rPr>
        <w:t xml:space="preserve"> </w:t>
      </w:r>
      <w:r w:rsidR="00472341" w:rsidRPr="00A65B69">
        <w:rPr>
          <w:sz w:val="23"/>
          <w:szCs w:val="23"/>
          <w:lang w:val="pt-BR"/>
        </w:rPr>
        <w:lastRenderedPageBreak/>
        <w:t xml:space="preserve">evolução tecnológica permitiu a utilização da hipóxia normobárica, aumentando substancialmente a aplicabilidade deste paradigma para populações que necessitam de cuidados especiais. Dentre as formas de aplicação, destaca-se a hipóxia </w:t>
      </w:r>
      <w:r w:rsidR="00661DBB" w:rsidRPr="00A65B69">
        <w:rPr>
          <w:sz w:val="23"/>
          <w:szCs w:val="23"/>
          <w:lang w:val="pt-BR"/>
        </w:rPr>
        <w:t xml:space="preserve">normobárica </w:t>
      </w:r>
      <w:r w:rsidR="00472341" w:rsidRPr="00A65B69">
        <w:rPr>
          <w:sz w:val="23"/>
          <w:szCs w:val="23"/>
          <w:lang w:val="pt-BR"/>
        </w:rPr>
        <w:t>intermitent</w:t>
      </w:r>
      <w:r w:rsidR="00661DBB" w:rsidRPr="00A65B69">
        <w:rPr>
          <w:sz w:val="23"/>
          <w:szCs w:val="23"/>
          <w:lang w:val="pt-BR"/>
        </w:rPr>
        <w:t>e</w:t>
      </w:r>
      <w:r w:rsidR="00472341" w:rsidRPr="00A65B69">
        <w:rPr>
          <w:sz w:val="23"/>
          <w:szCs w:val="23"/>
          <w:lang w:val="pt-BR"/>
        </w:rPr>
        <w:t xml:space="preserve"> (HI</w:t>
      </w:r>
      <w:r w:rsidR="00661DBB" w:rsidRPr="00A65B69">
        <w:rPr>
          <w:sz w:val="23"/>
          <w:szCs w:val="23"/>
          <w:lang w:val="pt-BR"/>
        </w:rPr>
        <w:t>)</w:t>
      </w:r>
      <w:r w:rsidR="00472341" w:rsidRPr="00A65B69">
        <w:rPr>
          <w:sz w:val="23"/>
          <w:szCs w:val="23"/>
          <w:lang w:val="pt-BR"/>
        </w:rPr>
        <w:t xml:space="preserve"> caracterizada por curtos períodos de restrição de oxigênio separados por períodos de respiração em </w:t>
      </w:r>
      <w:proofErr w:type="spellStart"/>
      <w:r w:rsidR="00472341" w:rsidRPr="00A65B69">
        <w:rPr>
          <w:sz w:val="23"/>
          <w:szCs w:val="23"/>
          <w:lang w:val="pt-BR"/>
        </w:rPr>
        <w:t>normóxia</w:t>
      </w:r>
      <w:proofErr w:type="spellEnd"/>
      <w:r w:rsidR="00E00F5D" w:rsidRPr="00A65B69">
        <w:rPr>
          <w:sz w:val="23"/>
          <w:szCs w:val="23"/>
          <w:lang w:val="pt-BR"/>
        </w:rPr>
        <w:t xml:space="preserve"> </w:t>
      </w:r>
      <w:r w:rsidR="00604834" w:rsidRPr="00A65B69">
        <w:rPr>
          <w:sz w:val="23"/>
          <w:szCs w:val="23"/>
          <w:lang w:val="pt-BR"/>
        </w:rPr>
        <w:fldChar w:fldCharType="begin" w:fldLock="1"/>
      </w:r>
      <w:r w:rsidR="00604834" w:rsidRPr="00A65B69">
        <w:rPr>
          <w:sz w:val="23"/>
          <w:szCs w:val="23"/>
          <w:lang w:val="pt-BR"/>
        </w:rPr>
        <w:instrText>ADDIN CSL_CITATION {"citationItems":[{"id":"ITEM-1","itemData":{"ISBN":"9781608761272","author":[{"dropping-particle":"","family":"Xi","given":"Lei","non-dropping-particle":"","parse-names":false,"suffix":""},{"dropping-particle":"","family":"Serebrovskaya","given":"T","non-dropping-particle":"","parse-names":false,"suffix":""}],"id":"ITEM-1","issued":{"date-parts":[["2009","1","1"]]},"title":"Intermittent hypoxia: From molecular mechanisms to clinical applications","type":"book"},"uris":["http://www.mendeley.com/documents/?uuid=a9fc3b0d-1cbd-47c3-a6a2-2a68349f4174"]}],"mendeley":{"formattedCitation":"(XI; SEREBROVSKAYA, 2009)","manualFormatting":"(SEREBROVSKAYA et al., 2009)","plainTextFormattedCitation":"(XI; SEREBROVSKAYA, 2009)","previouslyFormattedCitation":"(XI; SEREBROVSKAYA, 2009)"},"properties":{"noteIndex":0},"schema":"https://github.com/citation-style-language/schema/raw/master/csl-citation.json"}</w:instrText>
      </w:r>
      <w:r w:rsidR="00604834" w:rsidRPr="00A65B69">
        <w:rPr>
          <w:sz w:val="23"/>
          <w:szCs w:val="23"/>
          <w:lang w:val="pt-BR"/>
        </w:rPr>
        <w:fldChar w:fldCharType="separate"/>
      </w:r>
      <w:r w:rsidR="00604834" w:rsidRPr="00A65B69">
        <w:rPr>
          <w:noProof/>
          <w:sz w:val="23"/>
          <w:szCs w:val="23"/>
          <w:lang w:val="pt-BR"/>
        </w:rPr>
        <w:t>(SEREBROVSKAYA et al., 2009)</w:t>
      </w:r>
      <w:r w:rsidR="00604834" w:rsidRPr="00A65B69">
        <w:rPr>
          <w:sz w:val="23"/>
          <w:szCs w:val="23"/>
          <w:lang w:val="pt-BR"/>
        </w:rPr>
        <w:fldChar w:fldCharType="end"/>
      </w:r>
      <w:r w:rsidR="00472341" w:rsidRPr="00A65B69">
        <w:rPr>
          <w:sz w:val="23"/>
          <w:szCs w:val="23"/>
          <w:lang w:val="pt-BR"/>
        </w:rPr>
        <w:t>. Embora resultados triviais ou negativos também sejam encontrados quando uma dose excessiva de hipóxia é administrada</w:t>
      </w:r>
      <w:r w:rsidR="00986195" w:rsidRPr="00A65B69">
        <w:rPr>
          <w:sz w:val="23"/>
          <w:szCs w:val="23"/>
          <w:lang w:val="pt-BR"/>
        </w:rPr>
        <w:t xml:space="preserve"> (2 – 8% de O</w:t>
      </w:r>
      <w:r w:rsidR="00986195" w:rsidRPr="00A65B69">
        <w:rPr>
          <w:sz w:val="23"/>
          <w:szCs w:val="23"/>
          <w:vertAlign w:val="subscript"/>
          <w:lang w:val="pt-BR"/>
        </w:rPr>
        <w:t>2</w:t>
      </w:r>
      <w:r w:rsidR="00986195" w:rsidRPr="00A65B69">
        <w:rPr>
          <w:sz w:val="23"/>
          <w:szCs w:val="23"/>
          <w:lang w:val="pt-BR"/>
        </w:rPr>
        <w:t xml:space="preserve"> inspirado)</w:t>
      </w:r>
      <w:r w:rsidR="00472341" w:rsidRPr="00A65B69">
        <w:rPr>
          <w:sz w:val="23"/>
          <w:szCs w:val="23"/>
          <w:lang w:val="pt-BR"/>
        </w:rPr>
        <w:t>, sessões com até 15 exposições utilizando moderadas restrições de oxigênio (9 – 16% de O</w:t>
      </w:r>
      <w:r w:rsidR="00472341" w:rsidRPr="00A65B69">
        <w:rPr>
          <w:sz w:val="23"/>
          <w:szCs w:val="23"/>
          <w:vertAlign w:val="subscript"/>
          <w:lang w:val="pt-BR"/>
        </w:rPr>
        <w:t>2</w:t>
      </w:r>
      <w:r w:rsidR="00472341" w:rsidRPr="00A65B69">
        <w:rPr>
          <w:sz w:val="23"/>
          <w:szCs w:val="23"/>
          <w:lang w:val="pt-BR"/>
        </w:rPr>
        <w:t xml:space="preserve"> inspirado) induzem respostas benéficas em variáveis fisiológicas, metabólicas e cognitivas (para mais detalhes ver</w:t>
      </w:r>
      <w:r w:rsidR="005900FF" w:rsidRPr="00A65B69">
        <w:rPr>
          <w:sz w:val="23"/>
          <w:szCs w:val="23"/>
          <w:lang w:val="pt-BR"/>
        </w:rPr>
        <w:t xml:space="preserve">: </w:t>
      </w:r>
      <w:r w:rsidR="00604834" w:rsidRPr="00A65B69">
        <w:rPr>
          <w:sz w:val="23"/>
          <w:szCs w:val="23"/>
          <w:lang w:val="pt-BR"/>
        </w:rPr>
        <w:fldChar w:fldCharType="begin" w:fldLock="1"/>
      </w:r>
      <w:r w:rsidR="00604834" w:rsidRPr="00A65B69">
        <w:rPr>
          <w:sz w:val="23"/>
          <w:szCs w:val="23"/>
          <w:lang w:val="pt-BR"/>
        </w:rPr>
        <w:instrText>ADDIN CSL_CITATION {"citationItems":[{"id":"ITEM-1","itemData":{"DOI":"10.1152/ajpregu.00208.2014","ISSN":"15221490","PMID":"25231353","abstract":"Intermittent hypoxia (IH) has been the subject of considerable research in recent years, and triggers a bewildering array of both detrimental and beneficial effects in multiple physiological systems. Here, we review the extensive literature concerning IH and its impact on the respiratory, cardiovascular, immune, metabolic, bone, and nervous systems. One major goal is to define relevant IH characteristics leading to safe, protective, and/or therapeutic effects vs. pathogenesis. To understand the impact of IH, it is essential to define critical characteristics of the IH protocol under investigation, including potentially the severity of hypoxia within episodes, the duration of hypoxic episodes, the number of hypoxic episodes per day, the pattern of presentation across time (e.g., within vs. consecutive vs. alternating days), and the cumulative time of exposure. Not surprisingly, severe/chronic IH protocols tend to be pathogenic, whereas any beneficial effects are more likely to arise from modest/acute IH exposures. Features of the IH protocol most highly associated with beneficial vs. pathogenic outcomes include the level of hypoxemia within episodes and the number of episodes per day. Modest hypoxia (9–16% inspired O2) and low cycle numbers (3–15 episodes per day) most often lead to beneficial effects without pathology, whereas severe hypoxia (2–8% inspired O2) and more episodes per day (48–2,400 episodes/day) elicit progressively greater pathology. Accumulating evidence suggests that “low dose” IH (modest hypoxia, few episodes) may be a simple, safe, and effective treatment with considerable therapeutic potential for multiple clinical disorders.","author":[{"dropping-particle":"","family":"Navarrete-Opazo","given":"Angela","non-dropping-particle":"","parse-names":false,"suffix":""},{"dropping-particle":"","family":"Mitchell","given":"Gordon S.","non-dropping-particle":"","parse-names":false,"suffix":""}],"container-title":"American Journal of Physiology - Regulatory Integrative and Comparative Physiology","id":"ITEM-1","issue":"10","issued":{"date-parts":[["2014"]]},"page":"R1181-R1197","title":"Therapeutic potential of intermittent hypoxia: A matter of dose","type":"article-journal","volume":"307"},"uris":["http://www.mendeley.com/documents/?uuid=d5f834c9-e605-42e1-99e9-3939fcaf47ab"]}],"mendeley":{"formattedCitation":"(NAVARRETE-OPAZO; MITCHELL, 2014)","manualFormatting":"(NAVARRETE-OPAZO et al., 2014)","plainTextFormattedCitation":"(NAVARRETE-OPAZO; MITCHELL, 2014)","previouslyFormattedCitation":"(NAVARRETE-OPAZO; MITCHELL, 2014)"},"properties":{"noteIndex":0},"schema":"https://github.com/citation-style-language/schema/raw/master/csl-citation.json"}</w:instrText>
      </w:r>
      <w:r w:rsidR="00604834" w:rsidRPr="00A65B69">
        <w:rPr>
          <w:sz w:val="23"/>
          <w:szCs w:val="23"/>
          <w:lang w:val="pt-BR"/>
        </w:rPr>
        <w:fldChar w:fldCharType="separate"/>
      </w:r>
      <w:r w:rsidR="00604834" w:rsidRPr="00A65B69">
        <w:rPr>
          <w:noProof/>
          <w:sz w:val="23"/>
          <w:szCs w:val="23"/>
          <w:lang w:val="pt-BR"/>
        </w:rPr>
        <w:t>(NAVARRETE-OPAZO et al., 2014)</w:t>
      </w:r>
      <w:r w:rsidR="00604834" w:rsidRPr="00A65B69">
        <w:rPr>
          <w:sz w:val="23"/>
          <w:szCs w:val="23"/>
          <w:lang w:val="pt-BR"/>
        </w:rPr>
        <w:fldChar w:fldCharType="end"/>
      </w:r>
      <w:r w:rsidR="00472341" w:rsidRPr="00A65B69">
        <w:rPr>
          <w:sz w:val="23"/>
          <w:szCs w:val="23"/>
          <w:lang w:val="pt-BR"/>
        </w:rPr>
        <w:t>). Interessantemente, os estudos têm demonstrado que a HI é uma estratégia promissora para melhorar os sintomas de diferentes doenças cardiovasculares, respiratórias e neurodegenerativas</w:t>
      </w:r>
      <w:r w:rsidR="00604834" w:rsidRPr="00A65B69">
        <w:rPr>
          <w:sz w:val="23"/>
          <w:szCs w:val="23"/>
          <w:lang w:val="pt-BR"/>
        </w:rPr>
        <w:t xml:space="preserve"> </w:t>
      </w:r>
      <w:r w:rsidR="00604834" w:rsidRPr="00A65B69">
        <w:rPr>
          <w:sz w:val="23"/>
          <w:szCs w:val="23"/>
          <w:lang w:val="pt-BR"/>
        </w:rPr>
        <w:fldChar w:fldCharType="begin" w:fldLock="1"/>
      </w:r>
      <w:r w:rsidR="00604834" w:rsidRPr="00A65B69">
        <w:rPr>
          <w:sz w:val="23"/>
          <w:szCs w:val="23"/>
          <w:lang w:val="pt-BR"/>
        </w:rPr>
        <w:instrText>ADDIN CSL_CITATION {"citationItems":[{"id":"ITEM-1","itemData":{"DOI":"10.1152/ajpregu.00208.2014","ISSN":"15221490","PMID":"25231353","abstract":"Intermittent hypoxia (IH) has been the subject of considerable research in recent years, and triggers a bewildering array of both detrimental and beneficial effects in multiple physiological systems. Here, we review the extensive literature concerning IH and its impact on the respiratory, cardiovascular, immune, metabolic, bone, and nervous systems. One major goal is to define relevant IH characteristics leading to safe, protective, and/or therapeutic effects vs. pathogenesis. To understand the impact of IH, it is essential to define critical characteristics of the IH protocol under investigation, including potentially the severity of hypoxia within episodes, the duration of hypoxic episodes, the number of hypoxic episodes per day, the pattern of presentation across time (e.g., within vs. consecutive vs. alternating days), and the cumulative time of exposure. Not surprisingly, severe/chronic IH protocols tend to be pathogenic, whereas any beneficial effects are more likely to arise from modest/acute IH exposures. Features of the IH protocol most highly associated with beneficial vs. pathogenic outcomes include the level of hypoxemia within episodes and the number of episodes per day. Modest hypoxia (9–16% inspired O2) and low cycle numbers (3–15 episodes per day) most often lead to beneficial effects without pathology, whereas severe hypoxia (2–8% inspired O2) and more episodes per day (48–2,400 episodes/day) elicit progressively greater pathology. Accumulating evidence suggests that “low dose” IH (modest hypoxia, few episodes) may be a simple, safe, and effective treatment with considerable therapeutic potential for multiple clinical disorders.","author":[{"dropping-particle":"","family":"Navarrete-Opazo","given":"Angela","non-dropping-particle":"","parse-names":false,"suffix":""},{"dropping-particle":"","family":"Mitchell","given":"Gordon S.","non-dropping-particle":"","parse-names":false,"suffix":""}],"container-title":"American Journal of Physiology - Regulatory Integrative and Comparative Physiology","id":"ITEM-1","issue":"10","issued":{"date-parts":[["2014"]]},"page":"R1181-R1197","title":"Therapeutic potential of intermittent hypoxia: A matter of dose","type":"article-journal","volume":"307"},"uris":["http://www.mendeley.com/documents/?uuid=d5f834c9-e605-42e1-99e9-3939fcaf47ab"]}],"mendeley":{"formattedCitation":"(NAVARRETE-OPAZO; MITCHELL, 2014)","manualFormatting":"(NAVARRETE-OPAZO et al., 2014)","plainTextFormattedCitation":"(NAVARRETE-OPAZO; MITCHELL, 2014)","previouslyFormattedCitation":"(NAVARRETE-OPAZO; MITCHELL, 2014)"},"properties":{"noteIndex":0},"schema":"https://github.com/citation-style-language/schema/raw/master/csl-citation.json"}</w:instrText>
      </w:r>
      <w:r w:rsidR="00604834" w:rsidRPr="00A65B69">
        <w:rPr>
          <w:sz w:val="23"/>
          <w:szCs w:val="23"/>
          <w:lang w:val="pt-BR"/>
        </w:rPr>
        <w:fldChar w:fldCharType="separate"/>
      </w:r>
      <w:r w:rsidR="00604834" w:rsidRPr="00A65B69">
        <w:rPr>
          <w:noProof/>
          <w:sz w:val="23"/>
          <w:szCs w:val="23"/>
          <w:lang w:val="pt-BR"/>
        </w:rPr>
        <w:t>(NAVARRETE-OPAZO et al., 2014)</w:t>
      </w:r>
      <w:r w:rsidR="00604834" w:rsidRPr="00A65B69">
        <w:rPr>
          <w:sz w:val="23"/>
          <w:szCs w:val="23"/>
          <w:lang w:val="pt-BR"/>
        </w:rPr>
        <w:fldChar w:fldCharType="end"/>
      </w:r>
      <w:r w:rsidR="00B64A79" w:rsidRPr="00A65B69">
        <w:rPr>
          <w:sz w:val="23"/>
          <w:szCs w:val="23"/>
          <w:lang w:val="pt-BR"/>
        </w:rPr>
        <w:t xml:space="preserve"> </w:t>
      </w:r>
      <w:r w:rsidR="00B64A79" w:rsidRPr="00A65B69">
        <w:rPr>
          <w:sz w:val="23"/>
          <w:szCs w:val="23"/>
          <w:lang w:val="pt-BR"/>
        </w:rPr>
        <w:fldChar w:fldCharType="begin" w:fldLock="1"/>
      </w:r>
      <w:r w:rsidR="00B64A79" w:rsidRPr="00A65B69">
        <w:rPr>
          <w:sz w:val="23"/>
          <w:szCs w:val="23"/>
          <w:lang w:val="pt-BR"/>
        </w:rPr>
        <w:instrText>ADDIN CSL_CITATION {"citationItems":[{"id":"ITEM-1","itemData":{"DOI":"10.1007/s40279-017-0733-z","ISSN":"11792035","PMID":"28451905","abstract":"Many sport competitions, typically involving the completion of single- (e.g. track-and-field or track cycling events) and multiple-sprint exercises (e.g. team and racquet sports, cycling races), are staged at terrestrial altitudes ranging from 1000 to 2500 m. Our aim was to comprehensively review the current knowledge on the responses to either acute or chronic altitude exposure relevant to single and multiple sprints. Performance of a single sprint is generally not negatively affected by acute exposure to simulated altitude (i.e. normobaric hypoxia) because an enhanced anaerobic energy release compensates for the reduced aerobic adenosine triphosphate production. Conversely, the reduction in air density in terrestrial altitude (i.e. hypobaric hypoxia) leads to an improved sprinting performance when aerodynamic drag is a limiting factor. With the repetition of maximal efforts, however, repeated-sprint ability is more altered (i.e. with earlier and larger performance decrements) at high altitudes (&gt;3000–3600 m or inspired fraction of oxygen &lt;14.4–13.3%) compared with either normoxia or low-to-moderate altitudes (&lt;3000 m or inspired fraction of oxygen &gt;14.4%). Traditionally, altitude training camps involve chronic exposure to low-to-moderate terrestrial altitudes (&lt;3000 m or inspired fraction of oxygen &gt;14.4%) for inducing haematological adaptations. However, beneficial effects on sprint performance after such altitude interventions are still debated. Recently, innovative ‘live low-train high’ methods, in isolation or in combination with hypoxic residence, have emerged with the belief that up-regulated non-haematological peripheral adaptations may further improve performance of multiple sprints compared with similar normoxic interventions.","author":[{"dropping-particle":"","family":"Girard","given":"Olivier","non-dropping-particle":"","parse-names":false,"suffix":""},{"dropping-particle":"","family":"Brocherie","given":"Franck","non-dropping-particle":"","parse-names":false,"suffix":""},{"dropping-particle":"","family":"Millet","given":"Grégoire P.","non-dropping-particle":"","parse-names":false,"suffix":""}],"container-title":"Sports Medicine","id":"ITEM-1","issue":"10","issued":{"date-parts":[["2017"]]},"page":"1931-1949","title":"Effects of Altitude/Hypoxia on Single- and Multiple-Sprint Performance: A Comprehensive Review","type":"article-journal","volume":"47"},"uris":["http://www.mendeley.com/documents/?uuid=fd88f875-ceac-44f9-93b9-c079229ed372"]},{"id":"ITEM-2","itemData":{"DOI":"10.1159/000029224","ISSN":"0025-7931 (Print)","PMID":"9523365","abstract":"Ventilatory responses to isocapnic, progressive hypoxic rebreathing (HVR), in  supine and sitting positions, lung ventilation and gas exchange while breathing air and during 5 min of breathing 11% O2 in N2 were studied in 12 healthy young (20-28 years), 5 old (57-73 years) male subjects, and in 7 male patients with Parkinson's disease (PD) aged 55-67 years. The piecewise linear approximation technique was used for evaluation of the ventilatory response curves, which allowed a separate analysis of slopes during minor and severe hypoxia. It has been shown that body position affected HVR. In the range of PETO2 from 60 to 35 mm Hg, the ventilatory response in the sitting position was higher than supine: in young persons by 43%, in healthy old persons by 76%, and in the PD patients by 211%. No significant differences in HVR to minor hypoxia (PETO2 from 100 to 60 mm Hg) were found in the 3 groups. During severe hypoxia (PETO2 from 60 to 35 mm Hg) the slope of minute ventilation versus O2 was 4.6 (supine) and 2.6 (sitting) times greater in healthy old men than PD patients' slopes. PD patients compared to old controls had 32% lower alveolar ventilation, 10% lower PETO2 and 15% elevation of PETCO2 while breathing air; similar differences were found while the patients were breathing 11% O2. The reduced alveolar ventilation under severe hypoxia in patients with PD could not be attributed to mechanical restriction of lung function. We suggest that the discrepancy in HVR under minor and severe hypoxia results from dysfunction in chemoreception associated with Parkinsonism.","author":[{"dropping-particle":"","family":"Serebrovskaya","given":"T","non-dropping-particle":"","parse-names":false,"suffix":""},{"dropping-particle":"","family":"Karaban","given":"I","non-dropping-particle":"","parse-names":false,"suffix":""},{"dropping-particle":"","family":"Mankovskaya","given":"I","non-dropping-particle":"","parse-names":false,"suffix":""},{"dropping-particle":"","family":"Bernardi","given":"L","non-dropping-particle":"","parse-names":false,"suffix":""},{"dropping-particle":"","family":"Passino","given":"C","non-dropping-particle":"","parse-names":false,"suffix":""},{"dropping-particle":"","family":"Appenzeller","given":"O","non-dropping-particle":"","parse-names":false,"suffix":""}],"container-title":"Respiration; international review of thoracic diseases","id":"ITEM-2","issue":"1","issued":{"date-parts":[["1998"]]},"language":"eng","page":"28-33","publisher-place":"Switzerland","title":"Hypoxic ventilatory responses and gas exchange in patients with Parkinson's  disease.","type":"article-journal","volume":"65"},"uris":["http://www.mendeley.com/documents/?uuid=4a14c8a2-acc3-419f-bac7-4dfddd983379"]},{"id":"ITEM-3","itemData":{"DOI":"10.1046/j.1440-1800.2001.00089.x","ISSN":"13207881","PMID":"11882200","abstract":"This study elucidates environmental influences on lived illness experiences. For two consecutive years, persons with Parkinson's disease (PD) participated in 1 week of daily walking in the Swedish mountains. Daily, low-intensive walking that is free of intense effort or time pressures associated with group interaction characterized the week. Participants were interviewed 3 months after the mountain stay regarding experiences in the mountains, daily living, and how their experience in the mountains influenced their daily living after returning home. A phenomenological method was used for data analysis. Results point to the close connection between mind, body, and environment. The connection becomes highlighted when people are afflicted with sickness, such as PD, which causes impaired control of body language, impaired voluntary mobility, and lowered energy levels. The results also show how a social context in an environment with suitable physical challenges led to a change in individuals' perceptions of the manageability of their experienced sicknesses. These results provide a deepened understanding of how individuals with PD experience illness, its influences on daily life, and how a suitable environment opens opportunities for managing daily issues.","author":[{"dropping-particle":"","family":"Sunvisson","given":"Helena","non-dropping-particle":"","parse-names":false,"suffix":""},{"dropping-particle":"","family":"Ekman","given":"Sirkka Liisa","non-dropping-particle":"","parse-names":false,"suffix":""}],"container-title":"Nursing Inquiry","id":"ITEM-3","issue":"1","issued":{"date-parts":[["2001"]]},"page":"41-50","title":"Environmental influences on the experiences of people with Parkinson's disease","type":"article-journal","volume":"8"},"uris":["http://www.mendeley.com/documents/?uuid=373a4730-8c43-4c6e-9154-e369b9fae423"]}],"mendeley":{"formattedCitation":"(GIRARD; BROCHERIE; MILLET, 2017; SEREBROVSKAYA et al., 1998; SUNVISSON; EKMAN, 2001)","manualFormatting":"(GIRARD et al., 2017; SUNVISSON et al., 2001)","plainTextFormattedCitation":"(GIRARD; BROCHERIE; MILLET, 2017; SEREBROVSKAYA et al., 1998; SUNVISSON; EKMAN, 2001)","previouslyFormattedCitation":"(GIRARD; BROCHERIE; MILLET, 2017; SEREBROVSKAYA et al., 1998; SUNVISSON; EKMAN, 2001)"},"properties":{"noteIndex":0},"schema":"https://github.com/citation-style-language/schema/raw/master/csl-citation.json"}</w:instrText>
      </w:r>
      <w:r w:rsidR="00B64A79" w:rsidRPr="00A65B69">
        <w:rPr>
          <w:sz w:val="23"/>
          <w:szCs w:val="23"/>
          <w:lang w:val="pt-BR"/>
        </w:rPr>
        <w:fldChar w:fldCharType="separate"/>
      </w:r>
      <w:r w:rsidR="00B64A79" w:rsidRPr="00A65B69">
        <w:rPr>
          <w:noProof/>
          <w:sz w:val="23"/>
          <w:szCs w:val="23"/>
          <w:lang w:val="pt-BR"/>
        </w:rPr>
        <w:t>(GIRARD et al., 2017; SUNVISSON et al., 2001)</w:t>
      </w:r>
      <w:r w:rsidR="00B64A79" w:rsidRPr="00A65B69">
        <w:rPr>
          <w:sz w:val="23"/>
          <w:szCs w:val="23"/>
          <w:lang w:val="pt-BR"/>
        </w:rPr>
        <w:fldChar w:fldCharType="end"/>
      </w:r>
      <w:r w:rsidR="00B64A79" w:rsidRPr="00A65B69">
        <w:rPr>
          <w:sz w:val="23"/>
          <w:szCs w:val="23"/>
          <w:lang w:val="pt-BR"/>
        </w:rPr>
        <w:t>.</w:t>
      </w:r>
    </w:p>
    <w:p w14:paraId="34DC3D34" w14:textId="7D41B244" w:rsidR="00472341" w:rsidRPr="00A65B69" w:rsidRDefault="00472341" w:rsidP="00447787">
      <w:pPr>
        <w:spacing w:line="480" w:lineRule="auto"/>
        <w:ind w:firstLine="720"/>
        <w:jc w:val="both"/>
        <w:rPr>
          <w:color w:val="000000" w:themeColor="text1"/>
          <w:sz w:val="23"/>
          <w:szCs w:val="23"/>
          <w:lang w:val="pt-BR"/>
        </w:rPr>
      </w:pPr>
      <w:r w:rsidRPr="00A65B69">
        <w:rPr>
          <w:color w:val="000000" w:themeColor="text1"/>
          <w:sz w:val="23"/>
          <w:szCs w:val="23"/>
          <w:lang w:val="pt-BR"/>
        </w:rPr>
        <w:t xml:space="preserve">Embora os efeitos positivos da hipóxia em </w:t>
      </w:r>
      <w:r w:rsidR="003C033F" w:rsidRPr="00A65B69">
        <w:rPr>
          <w:color w:val="000000" w:themeColor="text1"/>
          <w:sz w:val="23"/>
          <w:szCs w:val="23"/>
          <w:lang w:val="pt-BR"/>
        </w:rPr>
        <w:t xml:space="preserve">pacientes </w:t>
      </w:r>
      <w:r w:rsidRPr="00A65B69">
        <w:rPr>
          <w:color w:val="000000" w:themeColor="text1"/>
          <w:sz w:val="23"/>
          <w:szCs w:val="23"/>
          <w:lang w:val="pt-BR"/>
        </w:rPr>
        <w:t>com DP tenham sido demonstrados a mais de 20 anos</w:t>
      </w:r>
      <w:r w:rsidR="00986195" w:rsidRPr="00A65B69">
        <w:rPr>
          <w:color w:val="000000" w:themeColor="text1"/>
          <w:sz w:val="23"/>
          <w:szCs w:val="23"/>
          <w:lang w:val="pt-BR"/>
        </w:rPr>
        <w:t xml:space="preserve"> no</w:t>
      </w:r>
      <w:r w:rsidR="004B31D6" w:rsidRPr="00A65B69">
        <w:rPr>
          <w:color w:val="000000" w:themeColor="text1"/>
          <w:sz w:val="23"/>
          <w:szCs w:val="23"/>
          <w:lang w:val="pt-BR"/>
        </w:rPr>
        <w:t>s</w:t>
      </w:r>
      <w:r w:rsidR="00986195" w:rsidRPr="00A65B69">
        <w:rPr>
          <w:color w:val="000000" w:themeColor="text1"/>
          <w:sz w:val="23"/>
          <w:szCs w:val="23"/>
          <w:lang w:val="pt-BR"/>
        </w:rPr>
        <w:t xml:space="preserve"> sintomas motores</w:t>
      </w:r>
      <w:r w:rsidR="00604834" w:rsidRPr="00A65B69">
        <w:rPr>
          <w:color w:val="000000" w:themeColor="text1"/>
          <w:sz w:val="23"/>
          <w:szCs w:val="23"/>
          <w:lang w:val="pt-BR"/>
        </w:rPr>
        <w:t xml:space="preserve"> </w:t>
      </w:r>
      <w:r w:rsidR="00604834" w:rsidRPr="00A65B69">
        <w:rPr>
          <w:color w:val="000000" w:themeColor="text1"/>
          <w:sz w:val="23"/>
          <w:szCs w:val="23"/>
          <w:lang w:val="pt-BR"/>
        </w:rPr>
        <w:fldChar w:fldCharType="begin" w:fldLock="1"/>
      </w:r>
      <w:r w:rsidR="008D4307" w:rsidRPr="00A65B69">
        <w:rPr>
          <w:color w:val="000000" w:themeColor="text1"/>
          <w:sz w:val="23"/>
          <w:szCs w:val="23"/>
          <w:lang w:val="pt-BR"/>
        </w:rPr>
        <w:instrText>ADDIN CSL_CITATION {"citationItems":[{"id":"ITEM-1","itemData":{"DOI":"10.1097/01376517-199708000-00007","ISSN":"08880395","PMID":"9307929","abstract":"For one week in autumn, over a period of three consecutive years, a total of 12 persons with Parkinson's disease (PD) participated in daily walks of about 4 kilometers in a mountain area in Sweden in order to train rhythm, balance and coordination on the soft heaths. These persons were 60-78 years of age and had been found to be between stage 1 and stage 3 on the Hoehn and Yahr Staging Scale. The aim of the study was to find out whether a week of daily walks in the Swedish mountains would affect the motor performance of persons with PD, objectively and quantitatively assessed by a computer-assisted, opto-electronic movement analysis program, the Posturo-Locomotor-Manual (PLM) test. As compared with those before the journey, the results showed improved motor performance both immediately after the walking week and also at 3 but not 6 months later. The first year of participation showed the most pronounced improvements. The results demonstrate a long-lasting improvement in decreased movement time, indicating enhanced general motor performance and also an improved simultaneous index (SI), indicating a possible effect on the central nervous system. These findings, along with participants' narratives about what they did after returning home, may be indicative of strengthened self-confidence.","author":[{"dropping-particle":"","family":"Sunvisson","given":"H.","non-dropping-particle":"","parse-names":false,"suffix":""},{"dropping-particle":"","family":"Lökk","given":"J.","non-dropping-particle":"","parse-names":false,"suffix":""},{"dropping-particle":"","family":"Ericson","given":"K.","non-dropping-particle":"","parse-names":false,"suffix":""},{"dropping-particle":"","family":"Winblad","given":"B.","non-dropping-particle":"","parse-names":false,"suffix":""},{"dropping-particle":"","family":"Ekman","given":"S. L.","non-dropping-particle":"","parse-names":false,"suffix":""}],"container-title":"The Journal of neuroscience nursing : journal of the American Association of Neuroscience Nurses","id":"ITEM-1","issue":"4","issued":{"date-parts":[["1997"]]},"page":"255-260","title":"Changes in motor performance in persons with Parkinson's disease after exercise in a mountain area.","type":"article","volume":"29"},"uris":["http://www.mendeley.com/documents/?uuid=4171cbe7-e5f5-4d8d-b47d-1abd5c718931"]}],"mendeley":{"formattedCitation":"(SUNVISSON et al., 1997)","plainTextFormattedCitation":"(SUNVISSON et al., 1997)","previouslyFormattedCitation":"(SUNVISSON et al., 1997)"},"properties":{"noteIndex":0},"schema":"https://github.com/citation-style-language/schema/raw/master/csl-citation.json"}</w:instrText>
      </w:r>
      <w:r w:rsidR="00604834" w:rsidRPr="00A65B69">
        <w:rPr>
          <w:color w:val="000000" w:themeColor="text1"/>
          <w:sz w:val="23"/>
          <w:szCs w:val="23"/>
          <w:lang w:val="pt-BR"/>
        </w:rPr>
        <w:fldChar w:fldCharType="separate"/>
      </w:r>
      <w:r w:rsidR="00604834" w:rsidRPr="00A65B69">
        <w:rPr>
          <w:noProof/>
          <w:color w:val="000000" w:themeColor="text1"/>
          <w:sz w:val="23"/>
          <w:szCs w:val="23"/>
          <w:lang w:val="pt-BR"/>
        </w:rPr>
        <w:t>(SUNVISSON et al., 1997)</w:t>
      </w:r>
      <w:r w:rsidR="00604834" w:rsidRPr="00A65B69">
        <w:rPr>
          <w:color w:val="000000" w:themeColor="text1"/>
          <w:sz w:val="23"/>
          <w:szCs w:val="23"/>
          <w:lang w:val="pt-BR"/>
        </w:rPr>
        <w:fldChar w:fldCharType="end"/>
      </w:r>
      <w:r w:rsidR="00986195" w:rsidRPr="00A65B69">
        <w:rPr>
          <w:color w:val="000000" w:themeColor="text1"/>
          <w:sz w:val="23"/>
          <w:szCs w:val="23"/>
          <w:lang w:val="pt-BR"/>
        </w:rPr>
        <w:t xml:space="preserve"> e não motores na DP (LOKK et al., 2000; SUNVISSON et al., 2001)</w:t>
      </w:r>
      <w:r w:rsidR="00604834" w:rsidRPr="00A65B69">
        <w:rPr>
          <w:color w:val="000000" w:themeColor="text1"/>
          <w:sz w:val="23"/>
          <w:szCs w:val="23"/>
          <w:lang w:val="pt-BR"/>
        </w:rPr>
        <w:t>,</w:t>
      </w:r>
      <w:r w:rsidRPr="00A65B69">
        <w:rPr>
          <w:color w:val="000000" w:themeColor="text1"/>
          <w:sz w:val="23"/>
          <w:szCs w:val="23"/>
          <w:lang w:val="pt-BR"/>
        </w:rPr>
        <w:t xml:space="preserve"> primeiramente utilizando elevadas altitudes, o corpo de conhecimento sobre esta estratégia ainda é incipiente. </w:t>
      </w:r>
      <w:r w:rsidR="00A36CC0" w:rsidRPr="00A65B69">
        <w:rPr>
          <w:color w:val="000000" w:themeColor="text1"/>
          <w:sz w:val="23"/>
          <w:szCs w:val="23"/>
          <w:lang w:val="pt-BR"/>
        </w:rPr>
        <w:t>Além disso, apesar de não refletir o estado real da progressão da DP</w:t>
      </w:r>
      <w:r w:rsidR="00EB119F" w:rsidRPr="00A65B69">
        <w:rPr>
          <w:color w:val="000000" w:themeColor="text1"/>
          <w:sz w:val="23"/>
          <w:szCs w:val="23"/>
          <w:lang w:val="pt-BR"/>
        </w:rPr>
        <w:t xml:space="preserve"> devido a utilização de modelos estáticos causados por neurotoxicidade</w:t>
      </w:r>
      <w:r w:rsidRPr="00A65B69">
        <w:rPr>
          <w:color w:val="000000" w:themeColor="text1"/>
          <w:sz w:val="23"/>
          <w:szCs w:val="23"/>
          <w:lang w:val="pt-BR"/>
        </w:rPr>
        <w:t xml:space="preserve">, </w:t>
      </w:r>
      <w:proofErr w:type="spellStart"/>
      <w:r w:rsidRPr="00A65B69">
        <w:rPr>
          <w:color w:val="000000" w:themeColor="text1"/>
          <w:sz w:val="23"/>
          <w:szCs w:val="23"/>
          <w:lang w:val="pt-BR"/>
        </w:rPr>
        <w:t>Belikova</w:t>
      </w:r>
      <w:proofErr w:type="spellEnd"/>
      <w:r w:rsidRPr="00A65B69">
        <w:rPr>
          <w:color w:val="000000" w:themeColor="text1"/>
          <w:sz w:val="23"/>
          <w:szCs w:val="23"/>
          <w:lang w:val="pt-BR"/>
        </w:rPr>
        <w:t xml:space="preserve"> e colaboradores </w:t>
      </w:r>
      <w:r w:rsidR="00A91716" w:rsidRPr="00A65B69">
        <w:rPr>
          <w:color w:val="000000" w:themeColor="text1"/>
          <w:sz w:val="23"/>
          <w:szCs w:val="23"/>
          <w:lang w:val="pt-BR"/>
        </w:rPr>
        <w:t>(</w:t>
      </w:r>
      <w:r w:rsidR="008D4307" w:rsidRPr="00A65B69">
        <w:rPr>
          <w:color w:val="000000" w:themeColor="text1"/>
          <w:sz w:val="23"/>
          <w:szCs w:val="23"/>
          <w:lang w:val="pt-BR"/>
        </w:rPr>
        <w:t>2012</w:t>
      </w:r>
      <w:r w:rsidR="00A91716" w:rsidRPr="00A65B69">
        <w:rPr>
          <w:color w:val="000000" w:themeColor="text1"/>
          <w:sz w:val="23"/>
          <w:szCs w:val="23"/>
          <w:lang w:val="pt-BR"/>
        </w:rPr>
        <w:t>)</w:t>
      </w:r>
      <w:r w:rsidRPr="00A65B69">
        <w:rPr>
          <w:color w:val="000000" w:themeColor="text1"/>
          <w:sz w:val="23"/>
          <w:szCs w:val="23"/>
          <w:lang w:val="pt-BR"/>
        </w:rPr>
        <w:t xml:space="preserve"> demonstraram que a utilização da HI (5x15 min separados por 15 min de </w:t>
      </w:r>
      <w:proofErr w:type="spellStart"/>
      <w:r w:rsidRPr="00A65B69">
        <w:rPr>
          <w:color w:val="000000" w:themeColor="text1"/>
          <w:sz w:val="23"/>
          <w:szCs w:val="23"/>
          <w:lang w:val="pt-BR"/>
        </w:rPr>
        <w:t>normóxia</w:t>
      </w:r>
      <w:proofErr w:type="spellEnd"/>
      <w:r w:rsidRPr="00A65B69">
        <w:rPr>
          <w:color w:val="000000" w:themeColor="text1"/>
          <w:sz w:val="23"/>
          <w:szCs w:val="23"/>
          <w:lang w:val="pt-BR"/>
        </w:rPr>
        <w:t xml:space="preserve"> por duas semanas), aument</w:t>
      </w:r>
      <w:r w:rsidR="00661DBB" w:rsidRPr="00A65B69">
        <w:rPr>
          <w:color w:val="000000" w:themeColor="text1"/>
          <w:sz w:val="23"/>
          <w:szCs w:val="23"/>
          <w:lang w:val="pt-BR"/>
        </w:rPr>
        <w:t>a</w:t>
      </w:r>
      <w:r w:rsidRPr="00A65B69">
        <w:rPr>
          <w:color w:val="000000" w:themeColor="text1"/>
          <w:sz w:val="23"/>
          <w:szCs w:val="23"/>
          <w:lang w:val="pt-BR"/>
        </w:rPr>
        <w:t xml:space="preserve"> a produção de dopamina, diminuindo significativamente a diferença deste neurotransmissor entre os hemisférios cerebrais em ratos com DP. Assim, estes autores concluíram que a exposição a hipóxia pode desacelerar a evolução desta patologia em modelo animal. </w:t>
      </w:r>
      <w:r w:rsidR="009228B5" w:rsidRPr="00A65B69">
        <w:rPr>
          <w:color w:val="000000" w:themeColor="text1"/>
          <w:sz w:val="23"/>
          <w:szCs w:val="23"/>
          <w:lang w:val="pt-BR"/>
        </w:rPr>
        <w:t>Ainda nesta linha</w:t>
      </w:r>
      <w:r w:rsidRPr="00A65B69">
        <w:rPr>
          <w:color w:val="000000" w:themeColor="text1"/>
          <w:sz w:val="23"/>
          <w:szCs w:val="23"/>
          <w:lang w:val="pt-BR"/>
        </w:rPr>
        <w:t xml:space="preserve">, várias revisões concluíram que a utilização da hipóxia é uma alternativa promissora para a melhora do quadro em </w:t>
      </w:r>
      <w:r w:rsidR="00EB72CE" w:rsidRPr="00A65B69">
        <w:rPr>
          <w:color w:val="000000" w:themeColor="text1"/>
          <w:sz w:val="23"/>
          <w:szCs w:val="23"/>
          <w:lang w:val="pt-BR"/>
        </w:rPr>
        <w:t xml:space="preserve">outras </w:t>
      </w:r>
      <w:r w:rsidRPr="00A65B69">
        <w:rPr>
          <w:color w:val="000000" w:themeColor="text1"/>
          <w:sz w:val="23"/>
          <w:szCs w:val="23"/>
          <w:lang w:val="pt-BR"/>
        </w:rPr>
        <w:t>doenças neurodegenerati</w:t>
      </w:r>
      <w:r w:rsidR="00FF4342" w:rsidRPr="00A65B69">
        <w:rPr>
          <w:color w:val="000000" w:themeColor="text1"/>
          <w:sz w:val="23"/>
          <w:szCs w:val="23"/>
          <w:lang w:val="pt-BR"/>
        </w:rPr>
        <w:t>vas</w:t>
      </w:r>
      <w:r w:rsidR="00D14D55" w:rsidRPr="00A65B69">
        <w:rPr>
          <w:color w:val="000000" w:themeColor="text1"/>
          <w:sz w:val="23"/>
          <w:szCs w:val="23"/>
          <w:lang w:val="pt-BR"/>
        </w:rPr>
        <w:t>, como</w:t>
      </w:r>
      <w:r w:rsidR="00FF4342" w:rsidRPr="00A65B69">
        <w:rPr>
          <w:color w:val="000000" w:themeColor="text1"/>
          <w:sz w:val="23"/>
          <w:szCs w:val="23"/>
          <w:lang w:val="pt-BR"/>
        </w:rPr>
        <w:t>:</w:t>
      </w:r>
      <w:r w:rsidR="00D14D55" w:rsidRPr="00A65B69">
        <w:rPr>
          <w:color w:val="000000" w:themeColor="text1"/>
          <w:sz w:val="23"/>
          <w:szCs w:val="23"/>
          <w:lang w:val="pt-BR"/>
        </w:rPr>
        <w:t xml:space="preserve"> </w:t>
      </w:r>
      <w:r w:rsidR="00FF4342" w:rsidRPr="00A65B69">
        <w:rPr>
          <w:color w:val="000000" w:themeColor="text1"/>
          <w:sz w:val="23"/>
          <w:szCs w:val="23"/>
          <w:lang w:val="pt-BR"/>
        </w:rPr>
        <w:t xml:space="preserve">esclerose lateral amiotrófica, </w:t>
      </w:r>
      <w:r w:rsidR="00A321DB" w:rsidRPr="00A65B69">
        <w:rPr>
          <w:color w:val="000000" w:themeColor="text1"/>
          <w:sz w:val="23"/>
          <w:szCs w:val="23"/>
          <w:lang w:val="pt-BR"/>
        </w:rPr>
        <w:t>Alzheimer</w:t>
      </w:r>
      <w:r w:rsidR="00013B2D" w:rsidRPr="00A65B69">
        <w:rPr>
          <w:color w:val="000000" w:themeColor="text1"/>
          <w:sz w:val="23"/>
          <w:szCs w:val="23"/>
          <w:lang w:val="pt-BR"/>
        </w:rPr>
        <w:t xml:space="preserve"> e</w:t>
      </w:r>
      <w:r w:rsidR="00A321DB" w:rsidRPr="00A65B69">
        <w:rPr>
          <w:color w:val="000000" w:themeColor="text1"/>
          <w:sz w:val="23"/>
          <w:szCs w:val="23"/>
          <w:lang w:val="pt-BR"/>
        </w:rPr>
        <w:t xml:space="preserve"> doença de Parkinson</w:t>
      </w:r>
      <w:r w:rsidR="008D4307" w:rsidRPr="00A65B69">
        <w:rPr>
          <w:color w:val="000000" w:themeColor="text1"/>
          <w:sz w:val="23"/>
          <w:szCs w:val="23"/>
          <w:lang w:val="pt-BR"/>
        </w:rPr>
        <w:t xml:space="preserve"> </w:t>
      </w:r>
      <w:r w:rsidR="007B0A9C" w:rsidRPr="00A65B69">
        <w:rPr>
          <w:color w:val="000000" w:themeColor="text1"/>
          <w:sz w:val="23"/>
          <w:szCs w:val="23"/>
          <w:lang w:val="pt-BR"/>
        </w:rPr>
        <w:fldChar w:fldCharType="begin" w:fldLock="1"/>
      </w:r>
      <w:r w:rsidR="007B0A9C" w:rsidRPr="00A65B69">
        <w:rPr>
          <w:color w:val="000000" w:themeColor="text1"/>
          <w:sz w:val="23"/>
          <w:szCs w:val="23"/>
          <w:lang w:val="pt-BR"/>
        </w:rPr>
        <w:instrText>ADDIN CSL_CITATION {"citationItems":[{"id":"ITEM-1","itemData":{"DOI":"10.5772/66089","abstract":"Abstract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Keywords:","author":[{"dropping-particle":"","family":"Bhatia","given":"Deepak","non-dropping-particle":"","parse-names":false,"suffix":""},{"dropping-particle":"","family":"Ardekani","given":"Mohammad Sanaei","non-dropping-particle":"","parse-names":false,"suffix":""},{"dropping-particle":"","family":"Shi","given":"Qiwen","non-dropping-particle":"","parse-names":false,"suffix":""},{"dropping-particle":"","family":"Movafagh","given":"Shahrzad","non-dropping-particle":"","parse-names":false,"suffix":""}],"container-title":"Hypoxia and Human Diseases","id":"ITEM-1","issued":{"date-parts":[["2017"]]},"title":"Hypoxia and its Emerging Therapeutics in Neurodegenerative, Inflammatory and Renal Diseases","type":"article-journal"},"uris":["http://www.mendeley.com/documents/?uuid=6a398337-5216-4aab-9ba6-577cffb94fcf"]},{"id":"ITEM-2","itemData":{"DOI":"10.4062/biomolther.2019.119","ISSN":"20054483","abstract":"In the neurovascular unit, the neuronal and vascular systems communicate with each other. O2 and nutrients, reaching endothelial cells (ECs) through the blood stream, spread into neighboring cells, such as neural stem cells, and neurons. The proper function of neural circuits in adults requires sufficient O2 and glucose for their metabolic demands through angiogenesis. In a central nervous system (CNS) injury, such as glioma, Parkinson’s disease, and Alzheimer’s disease, damaged ECs can contribute to tissue hypoxia and to the consequent disruption of neuronal functions and accelerated neurodegeneration. This review discusses the current evidence regarding the contribution of oxygen deprivation to CNS injury, with an emphasis on hypoxia-inducible factor (HIF)-mediated pathways and Notch signaling. Additionally, it focuses on adult neurological functions and angiogenesis, as well as pathological conditions in the CNS. Furthermore, the functional interplay between HIFs and Notch is demonstrated in pathophysiological conditions.","author":[{"dropping-particle":"","family":"Kim","given":"Seunghee","non-dropping-particle":"","parse-names":false,"suffix":""},{"dropping-particle":"","family":"Lee","given":"Minjae","non-dropping-particle":"","parse-names":false,"suffix":""},{"dropping-particle":"","family":"Choi","given":"Yoon Kyung","non-dropping-particle":"","parse-names":false,"suffix":""}],"container-title":"Biomolecules and Therapeutics","id":"ITEM-2","issue":"1","issued":{"date-parts":[["2020"]]},"page":"45-57","title":"The role of a neurovascular signaling pathway involving hypoxia-inducible factor and notch in the function of the central nervous system","type":"article-journal","volume":"28"},"uris":["http://www.mendeley.com/documents/?uuid=9f74b1d0-4578-43f8-9fcf-016fe63249b1"]}],"mendeley":{"formattedCitation":"(BHATIA et al., 2017; KIM; LEE; CHOI, 2020)","manualFormatting":"(BHATIA et al., 2017; KIM et al., 2020)","plainTextFormattedCitation":"(BHATIA et al., 2017; KIM; LEE; CHOI, 2020)","previouslyFormattedCitation":"(BHATIA et al., 2017; KIM; LEE; CHOI, 2020)"},"properties":{"noteIndex":0},"schema":"https://github.com/citation-style-language/schema/raw/master/csl-citation.json"}</w:instrText>
      </w:r>
      <w:r w:rsidR="007B0A9C" w:rsidRPr="00A65B69">
        <w:rPr>
          <w:color w:val="000000" w:themeColor="text1"/>
          <w:sz w:val="23"/>
          <w:szCs w:val="23"/>
          <w:lang w:val="pt-BR"/>
        </w:rPr>
        <w:fldChar w:fldCharType="separate"/>
      </w:r>
      <w:r w:rsidR="007B0A9C" w:rsidRPr="00A65B69">
        <w:rPr>
          <w:noProof/>
          <w:color w:val="000000" w:themeColor="text1"/>
          <w:sz w:val="23"/>
          <w:szCs w:val="23"/>
          <w:lang w:val="pt-BR"/>
        </w:rPr>
        <w:t>(BHATIA et al., 2017; KIM et al., 2020)</w:t>
      </w:r>
      <w:r w:rsidR="007B0A9C" w:rsidRPr="00A65B69">
        <w:rPr>
          <w:color w:val="000000" w:themeColor="text1"/>
          <w:sz w:val="23"/>
          <w:szCs w:val="23"/>
          <w:lang w:val="pt-BR"/>
        </w:rPr>
        <w:fldChar w:fldCharType="end"/>
      </w:r>
      <w:r w:rsidR="008D4307" w:rsidRPr="00A65B69">
        <w:rPr>
          <w:color w:val="000000" w:themeColor="text1"/>
          <w:sz w:val="23"/>
          <w:szCs w:val="23"/>
          <w:lang w:val="pt-BR"/>
        </w:rPr>
        <w:t>.</w:t>
      </w:r>
    </w:p>
    <w:p w14:paraId="520F5D28" w14:textId="2FBC3B7A" w:rsidR="00F81C7D" w:rsidRPr="00A65B69" w:rsidRDefault="00472341" w:rsidP="00F81C7D">
      <w:pPr>
        <w:spacing w:line="480" w:lineRule="auto"/>
        <w:ind w:firstLine="720"/>
        <w:jc w:val="both"/>
        <w:rPr>
          <w:color w:val="000000" w:themeColor="text1"/>
          <w:sz w:val="23"/>
          <w:szCs w:val="23"/>
          <w:lang w:val="pt-BR"/>
        </w:rPr>
      </w:pPr>
      <w:r w:rsidRPr="00A65B69">
        <w:rPr>
          <w:color w:val="000000" w:themeColor="text1"/>
          <w:sz w:val="23"/>
          <w:szCs w:val="23"/>
          <w:lang w:val="pt-BR"/>
        </w:rPr>
        <w:t xml:space="preserve">Em humanos, destacam-se as pesquisas realizadas pelo grupo da Profa. </w:t>
      </w:r>
      <w:proofErr w:type="spellStart"/>
      <w:r w:rsidRPr="00A65B69">
        <w:rPr>
          <w:color w:val="000000" w:themeColor="text1"/>
          <w:sz w:val="23"/>
          <w:szCs w:val="23"/>
          <w:lang w:val="pt-BR"/>
        </w:rPr>
        <w:t>Tetiana</w:t>
      </w:r>
      <w:proofErr w:type="spellEnd"/>
      <w:r w:rsidRPr="00A65B69">
        <w:rPr>
          <w:color w:val="000000" w:themeColor="text1"/>
          <w:sz w:val="23"/>
          <w:szCs w:val="23"/>
          <w:lang w:val="pt-BR"/>
        </w:rPr>
        <w:t xml:space="preserve"> V. </w:t>
      </w:r>
      <w:proofErr w:type="spellStart"/>
      <w:r w:rsidRPr="00A65B69">
        <w:rPr>
          <w:color w:val="000000" w:themeColor="text1"/>
          <w:sz w:val="23"/>
          <w:szCs w:val="23"/>
          <w:lang w:val="pt-BR"/>
        </w:rPr>
        <w:t>Serebrovska</w:t>
      </w:r>
      <w:proofErr w:type="spellEnd"/>
      <w:r w:rsidRPr="00A65B69">
        <w:rPr>
          <w:color w:val="000000" w:themeColor="text1"/>
          <w:sz w:val="23"/>
          <w:szCs w:val="23"/>
          <w:lang w:val="pt-BR"/>
        </w:rPr>
        <w:t xml:space="preserve">, do Instituto de Fisiologia de </w:t>
      </w:r>
      <w:proofErr w:type="spellStart"/>
      <w:r w:rsidRPr="00A65B69">
        <w:rPr>
          <w:color w:val="000000" w:themeColor="text1"/>
          <w:sz w:val="23"/>
          <w:szCs w:val="23"/>
          <w:lang w:val="pt-BR"/>
        </w:rPr>
        <w:t>Bogomoletz</w:t>
      </w:r>
      <w:proofErr w:type="spellEnd"/>
      <w:r w:rsidRPr="00A65B69">
        <w:rPr>
          <w:color w:val="000000" w:themeColor="text1"/>
          <w:sz w:val="23"/>
          <w:szCs w:val="23"/>
          <w:lang w:val="pt-BR"/>
        </w:rPr>
        <w:t xml:space="preserve">, em Kiev na Ucrânia, sendo que os primeiros resultados deste grupo demonstraram que </w:t>
      </w:r>
      <w:r w:rsidR="003C033F" w:rsidRPr="00A65B69">
        <w:rPr>
          <w:color w:val="000000" w:themeColor="text1"/>
          <w:sz w:val="23"/>
          <w:szCs w:val="23"/>
          <w:lang w:val="pt-BR"/>
        </w:rPr>
        <w:t>p</w:t>
      </w:r>
      <w:r w:rsidR="00E86C06" w:rsidRPr="00A65B69">
        <w:rPr>
          <w:color w:val="000000" w:themeColor="text1"/>
          <w:sz w:val="23"/>
          <w:szCs w:val="23"/>
          <w:lang w:val="pt-BR"/>
        </w:rPr>
        <w:t>essoas</w:t>
      </w:r>
      <w:r w:rsidR="003C033F" w:rsidRPr="00A65B69">
        <w:rPr>
          <w:color w:val="000000" w:themeColor="text1"/>
          <w:sz w:val="23"/>
          <w:szCs w:val="23"/>
          <w:lang w:val="pt-BR"/>
        </w:rPr>
        <w:t xml:space="preserve"> </w:t>
      </w:r>
      <w:r w:rsidRPr="00A65B69">
        <w:rPr>
          <w:color w:val="000000" w:themeColor="text1"/>
          <w:sz w:val="23"/>
          <w:szCs w:val="23"/>
          <w:lang w:val="pt-BR"/>
        </w:rPr>
        <w:t xml:space="preserve">com DP apresentam uma menor responsividade </w:t>
      </w:r>
      <w:r w:rsidRPr="00A65B69">
        <w:rPr>
          <w:color w:val="000000" w:themeColor="text1"/>
          <w:sz w:val="23"/>
          <w:szCs w:val="23"/>
          <w:lang w:val="pt-BR"/>
        </w:rPr>
        <w:lastRenderedPageBreak/>
        <w:t>ventilatória ao ambiente de hipóxia, o que está relacionado a sensibilidade insuficiente dos quimiorreceptores periféricos desta população</w:t>
      </w:r>
      <w:r w:rsidR="007B0A9C" w:rsidRPr="00A65B69">
        <w:rPr>
          <w:color w:val="000000" w:themeColor="text1"/>
          <w:sz w:val="23"/>
          <w:szCs w:val="23"/>
          <w:lang w:val="pt-BR"/>
        </w:rPr>
        <w:t xml:space="preserve"> </w:t>
      </w:r>
      <w:r w:rsidR="007B0A9C" w:rsidRPr="00A65B69">
        <w:rPr>
          <w:color w:val="000000" w:themeColor="text1"/>
          <w:sz w:val="23"/>
          <w:szCs w:val="23"/>
          <w:lang w:val="pt-BR"/>
        </w:rPr>
        <w:fldChar w:fldCharType="begin" w:fldLock="1"/>
      </w:r>
      <w:r w:rsidR="00252BF6" w:rsidRPr="00A65B69">
        <w:rPr>
          <w:color w:val="000000" w:themeColor="text1"/>
          <w:sz w:val="23"/>
          <w:szCs w:val="23"/>
          <w:lang w:val="pt-BR"/>
        </w:rPr>
        <w:instrText>ADDIN CSL_CITATION {"citationItems":[{"id":"ITEM-1","itemData":{"DOI":"10.1159/000029224","ISSN":"0025-7931 (Print)","PMID":"9523365","abstract":"Ventilatory responses to isocapnic, progressive hypoxic rebreathing (HVR), in  supine and sitting positions, lung ventilation and gas exchange while breathing air and during 5 min of breathing 11% O2 in N2 were studied in 12 healthy young (20-28 years), 5 old (57-73 years) male subjects, and in 7 male patients with Parkinson's disease (PD) aged 55-67 years. The piecewise linear approximation technique was used for evaluation of the ventilatory response curves, which allowed a separate analysis of slopes during minor and severe hypoxia. It has been shown that body position affected HVR. In the range of PETO2 from 60 to 35 mm Hg, the ventilatory response in the sitting position was higher than supine: in young persons by 43%, in healthy old persons by 76%, and in the PD patients by 211%. No significant differences in HVR to minor hypoxia (PETO2 from 100 to 60 mm Hg) were found in the 3 groups. During severe hypoxia (PETO2 from 60 to 35 mm Hg) the slope of minute ventilation versus O2 was 4.6 (supine) and 2.6 (sitting) times greater in healthy old men than PD patients' slopes. PD patients compared to old controls had 32% lower alveolar ventilation, 10% lower PETO2 and 15% elevation of PETCO2 while breathing air; similar differences were found while the patients were breathing 11% O2. The reduced alveolar ventilation under severe hypoxia in patients with PD could not be attributed to mechanical restriction of lung function. We suggest that the discrepancy in HVR under minor and severe hypoxia results from dysfunction in chemoreception associated with Parkinsonism.","author":[{"dropping-particle":"","family":"Serebrovskaya","given":"T","non-dropping-particle":"","parse-names":false,"suffix":""},{"dropping-particle":"","family":"Karaban","given":"I","non-dropping-particle":"","parse-names":false,"suffix":""},{"dropping-particle":"","family":"Mankovskaya","given":"I","non-dropping-particle":"","parse-names":false,"suffix":""},{"dropping-particle":"","family":"Bernardi","given":"L","non-dropping-particle":"","parse-names":false,"suffix":""},{"dropping-particle":"","family":"Passino","given":"C","non-dropping-particle":"","parse-names":false,"suffix":""},{"dropping-particle":"","family":"Appenzeller","given":"O","non-dropping-particle":"","parse-names":false,"suffix":""}],"container-title":"Respiration; international review of thoracic diseases","id":"ITEM-1","issue":"1","issued":{"date-parts":[["1998"]]},"language":"eng","page":"28-33","publisher-place":"Switzerland","title":"Hypoxic ventilatory responses and gas exchange in patients with Parkinson's  disease.","type":"article-journal","volume":"65"},"uris":["http://www.mendeley.com/documents/?uuid=4a14c8a2-acc3-419f-bac7-4dfddd983379"]}],"mendeley":{"formattedCitation":"(SEREBROVSKAYA et al., 1998)","plainTextFormattedCitation":"(SEREBROVSKAYA et al., 1998)","previouslyFormattedCitation":"(SEREBROVSKAYA et al., 1998)"},"properties":{"noteIndex":0},"schema":"https://github.com/citation-style-language/schema/raw/master/csl-citation.json"}</w:instrText>
      </w:r>
      <w:r w:rsidR="007B0A9C" w:rsidRPr="00A65B69">
        <w:rPr>
          <w:color w:val="000000" w:themeColor="text1"/>
          <w:sz w:val="23"/>
          <w:szCs w:val="23"/>
          <w:lang w:val="pt-BR"/>
        </w:rPr>
        <w:fldChar w:fldCharType="separate"/>
      </w:r>
      <w:r w:rsidR="007B0A9C" w:rsidRPr="00A65B69">
        <w:rPr>
          <w:noProof/>
          <w:color w:val="000000" w:themeColor="text1"/>
          <w:sz w:val="23"/>
          <w:szCs w:val="23"/>
          <w:lang w:val="pt-BR"/>
        </w:rPr>
        <w:t>(SEREBROVSKAYA et al., 1998)</w:t>
      </w:r>
      <w:r w:rsidR="007B0A9C" w:rsidRPr="00A65B69">
        <w:rPr>
          <w:color w:val="000000" w:themeColor="text1"/>
          <w:sz w:val="23"/>
          <w:szCs w:val="23"/>
          <w:lang w:val="pt-BR"/>
        </w:rPr>
        <w:fldChar w:fldCharType="end"/>
      </w:r>
      <w:r w:rsidR="007B0A9C" w:rsidRPr="00A65B69">
        <w:rPr>
          <w:color w:val="000000" w:themeColor="text1"/>
          <w:sz w:val="23"/>
          <w:szCs w:val="23"/>
          <w:lang w:val="pt-BR"/>
        </w:rPr>
        <w:t>.</w:t>
      </w:r>
      <w:r w:rsidRPr="00A65B69">
        <w:rPr>
          <w:color w:val="000000" w:themeColor="text1"/>
          <w:sz w:val="23"/>
          <w:szCs w:val="23"/>
          <w:lang w:val="pt-BR"/>
        </w:rPr>
        <w:t xml:space="preserve"> Os estudos subsequentes mostraram que a utilização da HI reverte este quadro, melhorando a sensibilidade sistêmica destes indivíduos a uma menor oferta de oxigêni</w:t>
      </w:r>
      <w:r w:rsidR="007B0A9C" w:rsidRPr="00A65B69">
        <w:rPr>
          <w:color w:val="000000" w:themeColor="text1"/>
          <w:sz w:val="23"/>
          <w:szCs w:val="23"/>
          <w:lang w:val="pt-BR"/>
        </w:rPr>
        <w:t xml:space="preserve">o </w:t>
      </w:r>
      <w:r w:rsidR="00252BF6" w:rsidRPr="00A65B69">
        <w:rPr>
          <w:color w:val="000000" w:themeColor="text1"/>
          <w:sz w:val="23"/>
          <w:szCs w:val="23"/>
          <w:lang w:val="pt-BR"/>
        </w:rPr>
        <w:fldChar w:fldCharType="begin" w:fldLock="1"/>
      </w:r>
      <w:r w:rsidR="003E6EFD" w:rsidRPr="00A65B69">
        <w:rPr>
          <w:color w:val="000000" w:themeColor="text1"/>
          <w:sz w:val="23"/>
          <w:szCs w:val="23"/>
          <w:lang w:val="pt-BR"/>
        </w:rPr>
        <w:instrText>ADDIN CSL_CITATION {"citationItems":[{"id":"ITEM-1","itemData":{"DOI":"10.1007/s11062-012-9261-5","ISBN":"1106201292615","ISSN":"00902977","abstract":"Using a polarographic technique, we studied the peculiarities of energy metabolism in neurons of the rat brainstem structures related to normal physiological aging. Experiments were carried out under in vitro conditions on mitochondrial (MCh) suspensions prepared from the brainstem cells of young and old rats. In addition, we examined, using the same technique, the parameters of oxidative phosphorylation in analogous MCh suspension under conditions of experimental MCh dysfunction induced by single systemic injection of rotenone into young animals. In the case where we used a succinate + rotenone mixture as the substrate for oxidation, the intensity of ADP-stimulated respiration (V3) in preparations from brainstem neurons of old animals was significantly smaller (against the background of a decrease in the efficacy of respiration control, V3/V4). If a mixture glutamate + malate was used as the substrate for oxidation, the V3 and the efficacy of phosphorylation (ADP/O) decreased significantly. The experimental MCh dysfunction resulted in the lowering of practically all parameters of oxidation and phosphorylation under conditions of oxidation of glutamate + malate, as well as V3, V3/V4, and ADP/O, in the case where we used succinate + rotenone as the substrate for oxidation. Less expressed changes in the recorded indices upon oxidation of succinate + rotenone were indicative of activation of the succinate oxidase pathway; this preserved the electrotransport function of the respiratory chain in the MCh on a certain level and the ability of the latter to provide oxidative phosphorylation. © 2012 Springer Science+Business Media, Inc.","author":[{"dropping-particle":"","family":"Kolesnikova","given":"E. É","non-dropping-particle":"","parse-names":false,"suffix":""},{"dropping-particle":"","family":"Nosar'","given":"V. I.","non-dropping-particle":"","parse-names":false,"suffix":""},{"dropping-particle":"","family":"Man'kovskaya","given":"I. N.","non-dropping-particle":"","parse-names":false,"suffix":""},{"dropping-particle":"V.","family":"Serebrovskaya","given":"T.","non-dropping-particle":"","parse-names":false,"suffix":""}],"container-title":"Neurophysiology","id":"ITEM-1","issue":"1","issued":{"date-parts":[["2012"]]},"page":"14-19","title":"Aging- and experimental mitochondrial dysfunction-related modifications of energy metabolism in brainstem neurons","type":"article-journal","volume":"44"},"uris":["http://www.mendeley.com/documents/?uuid=f7c0f6d5-13af-4e0c-a16c-74b139bc9ccb"]}],"mendeley":{"formattedCitation":"(KOLESNIKOVA et al., 2012)","plainTextFormattedCitation":"(KOLESNIKOVA et al., 2012)","previouslyFormattedCitation":"(KOLESNIKOVA et al., 2012)"},"properties":{"noteIndex":0},"schema":"https://github.com/citation-style-language/schema/raw/master/csl-citation.json"}</w:instrText>
      </w:r>
      <w:r w:rsidR="00252BF6" w:rsidRPr="00A65B69">
        <w:rPr>
          <w:color w:val="000000" w:themeColor="text1"/>
          <w:sz w:val="23"/>
          <w:szCs w:val="23"/>
          <w:lang w:val="pt-BR"/>
        </w:rPr>
        <w:fldChar w:fldCharType="separate"/>
      </w:r>
      <w:r w:rsidR="00252BF6" w:rsidRPr="00A65B69">
        <w:rPr>
          <w:noProof/>
          <w:color w:val="000000" w:themeColor="text1"/>
          <w:sz w:val="23"/>
          <w:szCs w:val="23"/>
          <w:lang w:val="pt-BR"/>
        </w:rPr>
        <w:t>(KOLESNIKOVA et al., 2012)</w:t>
      </w:r>
      <w:r w:rsidR="00252BF6" w:rsidRPr="00A65B69">
        <w:rPr>
          <w:color w:val="000000" w:themeColor="text1"/>
          <w:sz w:val="23"/>
          <w:szCs w:val="23"/>
          <w:lang w:val="pt-BR"/>
        </w:rPr>
        <w:fldChar w:fldCharType="end"/>
      </w:r>
      <w:r w:rsidR="00D14D55" w:rsidRPr="00A65B69">
        <w:rPr>
          <w:color w:val="000000" w:themeColor="text1"/>
          <w:sz w:val="23"/>
          <w:szCs w:val="23"/>
          <w:lang w:val="pt-BR"/>
        </w:rPr>
        <w:t>.</w:t>
      </w:r>
      <w:r w:rsidRPr="00A65B69">
        <w:rPr>
          <w:color w:val="000000" w:themeColor="text1"/>
          <w:sz w:val="23"/>
          <w:szCs w:val="23"/>
          <w:lang w:val="pt-BR"/>
        </w:rPr>
        <w:t xml:space="preserve"> Além destes resultados relacionados a capacidade respiratória, outros pesquisadores demonstraram </w:t>
      </w:r>
      <w:r w:rsidR="004D17F3" w:rsidRPr="00A65B69">
        <w:rPr>
          <w:color w:val="000000" w:themeColor="text1"/>
          <w:sz w:val="23"/>
          <w:szCs w:val="23"/>
          <w:lang w:val="pt-BR"/>
        </w:rPr>
        <w:t xml:space="preserve">que </w:t>
      </w:r>
      <w:r w:rsidRPr="00A65B69">
        <w:rPr>
          <w:color w:val="000000" w:themeColor="text1"/>
          <w:sz w:val="23"/>
          <w:szCs w:val="23"/>
          <w:lang w:val="pt-BR"/>
        </w:rPr>
        <w:t xml:space="preserve">a exposição a hipóxia melhora os sinais/sintomas e a qualidade de vida de </w:t>
      </w:r>
      <w:r w:rsidR="003C033F" w:rsidRPr="00A65B69">
        <w:rPr>
          <w:color w:val="000000" w:themeColor="text1"/>
          <w:sz w:val="23"/>
          <w:szCs w:val="23"/>
          <w:lang w:val="pt-BR"/>
        </w:rPr>
        <w:t>p</w:t>
      </w:r>
      <w:r w:rsidR="00E86C06" w:rsidRPr="00A65B69">
        <w:rPr>
          <w:color w:val="000000" w:themeColor="text1"/>
          <w:sz w:val="23"/>
          <w:szCs w:val="23"/>
          <w:lang w:val="pt-BR"/>
        </w:rPr>
        <w:t>essoas</w:t>
      </w:r>
      <w:r w:rsidR="003C033F" w:rsidRPr="00A65B69">
        <w:rPr>
          <w:color w:val="000000" w:themeColor="text1"/>
          <w:sz w:val="23"/>
          <w:szCs w:val="23"/>
          <w:lang w:val="pt-BR"/>
        </w:rPr>
        <w:t xml:space="preserve"> </w:t>
      </w:r>
      <w:r w:rsidRPr="00A65B69">
        <w:rPr>
          <w:color w:val="000000" w:themeColor="text1"/>
          <w:sz w:val="23"/>
          <w:szCs w:val="23"/>
          <w:lang w:val="pt-BR"/>
        </w:rPr>
        <w:t>com DP</w:t>
      </w:r>
      <w:r w:rsidR="003E6EFD" w:rsidRPr="00A65B69">
        <w:rPr>
          <w:color w:val="000000" w:themeColor="text1"/>
          <w:sz w:val="23"/>
          <w:szCs w:val="23"/>
          <w:lang w:val="pt-BR"/>
        </w:rPr>
        <w:t xml:space="preserve"> </w:t>
      </w:r>
      <w:r w:rsidR="003E6EFD"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{"citationItems":[{"id":"ITEM-1","itemData":{"DOI":"10.1016/S0167-4943(00)00062-5","ISSN":"01674943","abstract":"Persons suffering from Parkinson's disease (PD) show variable motor manifestations such as gait dysfunction and hypokinesia as well as psychosocial manifestations like emotional and social impairment. In order to assess short- and midterm impact on PD persons from a comprehensive training concept, we launched a study with daily walks in the Swedish mountains during 1 summer week. The 3-6 km daily walking tours in hilly terrain were combined with lectures about the disease and self-training, social intercourse and a general encouraging atmosphere brought about by three accompanying leaders. The participants stayed in a mountain pension during the week. Nineteen mild to moderate PD persons volunteered and were assessed before (0 weeks), immediately after (1 week), and 4 months later (18 weeks) by a self-reporting questionnaire containing four subscales. These covered the domains PD symptoms, systemic symptoms, emotional functioning, and social functioning. There was a general improvement in PD scores at 1 week compared to baseline. This was not sustained at the 18-week follow-up. We postulate the results were due to a combination of information, professional guidance, exercise in hilly terrain with environmental visual cues, social interaction, and comparison with the others. Further research should aim at pinpointing the most essential components to achieve short- as well as midterm improvements. We believe there is a need to focus on patients' self-reported health to a greater extent than today in order to complement traditional rehabilitation and training outcome measures. (C) 2000 Elsevier Science Ireland Ltd.","author":[{"dropping-particle":"","family":"Lökk","given":"Johan","non-dropping-particle":"","parse-names":false,"suffix":""}],"container-title":"Archives of Gerontology and Geriatrics","id":"ITEM-1","issue":"1","issued":{"date-parts":[["2000"]]},"page":"19-25","title":"The effects of mountain exercise in Parkinsonian persons - A preliminary study","type":"article-journal","volume":"31"},"uris":["http://www.mendeley.com/documents/?uuid=d2c70176-2671-4b3a-8165-e391567da38d"]},{"id":"ITEM-2","itemData":{"DOI":"10.1046/j.1440-1800.2001.00089.x","ISSN":"13207881","PMID":"11882200","abstract":"This study elucidates environmental influences on lived illness experiences. For two consecutive years, persons with Parkinson's disease (PD) participated in 1 week of daily walking in the Swedish mountains. Daily, low-intensive walking that is free of intense effort or time pressures associated with group interaction characterized the week. Participants were interviewed 3 months after the mountain stay regarding experiences in the mountains, daily living, and how their experience in the mountains influenced their daily living after returning home. A phenomenological method was used for data analysis. Results point to the close connection between mind, body, and environment. The connection becomes highlighted when people are afflicted with sickness, such as PD, which causes impaired control of body language, impaired voluntary mobility, and lowered energy levels. The results also show how a social context in an environment with suitable physical challenges led to a change in individuals' perceptions of the manageability of their experienced sicknesses. These results provide a deepened understanding of how individuals with PD experience illness, its influences on daily life, and how a suitable environment opens opportunities for managing daily issues.","author":[{"dropping-particle":"","family":"Sunvisson","given":"Helena","non-dropping-particle":"","parse-names":false,"suffix":""},{"dropping-particle":"","family":"Ekman","given":"Sirkka Liisa","non-dropping-particle":"","parse-names":false,"suffix":""}],"container-title":"Nursing Inquiry","id":"ITEM-2","issue":"1","issued":{"date-parts":[["2001"]]},"page":"41-50","title":"Environmental influences on the experiences of people with Parkinson's disease","type":"article-journal","volume":"8"},"uris":["http://www.mendeley.com/documents/?uuid=373a4730-8c43-4c6e-9154-e369b9fae423"]}],"mendeley":{"formattedCitation":"(LÖKK, 2000; SUNVISSON; EKMAN, 2001)","manualFormatting":"(LÖKK, 2000; SUNVISSON et al., 2001)","plainTextFormattedCitation":"(LÖKK, 2000; SUNVISSON; EKMAN, 2001)","previouslyFormattedCitation":"(LÖKK, 2000; SUNVISSON; EKMAN, 2001)"},"properties":{"noteIndex":0},"schema":"https://github.com/citation-style-language/schema/raw/master/csl-citation.json"}</w:instrText>
      </w:r>
      <w:r w:rsidR="003E6EFD" w:rsidRPr="00A65B69">
        <w:rPr>
          <w:color w:val="000000" w:themeColor="text1"/>
          <w:sz w:val="23"/>
          <w:szCs w:val="23"/>
          <w:lang w:val="pt-BR"/>
        </w:rPr>
        <w:fldChar w:fldCharType="separate"/>
      </w:r>
      <w:r w:rsidR="003E6EFD" w:rsidRPr="00A65B69">
        <w:rPr>
          <w:noProof/>
          <w:color w:val="000000" w:themeColor="text1"/>
          <w:sz w:val="23"/>
          <w:szCs w:val="23"/>
          <w:lang w:val="pt-BR"/>
        </w:rPr>
        <w:t>(LÖKK, 2000; SUNVISSON</w:t>
      </w:r>
      <w:r w:rsidR="00610715" w:rsidRPr="00A65B69">
        <w:rPr>
          <w:noProof/>
          <w:color w:val="000000" w:themeColor="text1"/>
          <w:sz w:val="23"/>
          <w:szCs w:val="23"/>
          <w:lang w:val="pt-BR"/>
        </w:rPr>
        <w:t xml:space="preserve"> et al.,</w:t>
      </w:r>
      <w:r w:rsidR="003E6EFD" w:rsidRPr="00A65B69">
        <w:rPr>
          <w:noProof/>
          <w:color w:val="000000" w:themeColor="text1"/>
          <w:sz w:val="23"/>
          <w:szCs w:val="23"/>
          <w:lang w:val="pt-BR"/>
        </w:rPr>
        <w:t xml:space="preserve"> 2001)</w:t>
      </w:r>
      <w:r w:rsidR="003E6EFD" w:rsidRPr="00A65B69">
        <w:rPr>
          <w:color w:val="000000" w:themeColor="text1"/>
          <w:sz w:val="23"/>
          <w:szCs w:val="23"/>
          <w:lang w:val="pt-BR"/>
        </w:rPr>
        <w:fldChar w:fldCharType="end"/>
      </w:r>
      <w:r w:rsidRPr="00A65B69">
        <w:rPr>
          <w:color w:val="000000" w:themeColor="text1"/>
          <w:sz w:val="23"/>
          <w:szCs w:val="23"/>
          <w:lang w:val="pt-BR"/>
        </w:rPr>
        <w:t xml:space="preserve">. </w:t>
      </w:r>
      <w:r w:rsidR="00906C4E" w:rsidRPr="00A65B69">
        <w:rPr>
          <w:color w:val="000000" w:themeColor="text1"/>
          <w:sz w:val="23"/>
          <w:szCs w:val="23"/>
          <w:lang w:val="pt-BR"/>
        </w:rPr>
        <w:t xml:space="preserve">Por fim, </w:t>
      </w:r>
      <w:proofErr w:type="spellStart"/>
      <w:r w:rsidR="00906C4E" w:rsidRPr="00A65B69">
        <w:rPr>
          <w:color w:val="000000" w:themeColor="text1"/>
          <w:sz w:val="23"/>
          <w:szCs w:val="23"/>
          <w:lang w:val="pt-BR"/>
        </w:rPr>
        <w:t>Sunvison</w:t>
      </w:r>
      <w:proofErr w:type="spellEnd"/>
      <w:r w:rsidR="00906C4E" w:rsidRPr="00A65B69">
        <w:rPr>
          <w:color w:val="000000" w:themeColor="text1"/>
          <w:sz w:val="23"/>
          <w:szCs w:val="23"/>
          <w:lang w:val="pt-BR"/>
        </w:rPr>
        <w:t xml:space="preserve"> et al</w:t>
      </w:r>
      <w:r w:rsidR="003E6EFD" w:rsidRPr="00A65B69">
        <w:rPr>
          <w:color w:val="000000" w:themeColor="text1"/>
          <w:sz w:val="23"/>
          <w:szCs w:val="23"/>
          <w:lang w:val="pt-BR"/>
        </w:rPr>
        <w:t xml:space="preserve">. (1997) </w:t>
      </w:r>
      <w:r w:rsidR="00906C4E" w:rsidRPr="00A65B69">
        <w:rPr>
          <w:color w:val="000000" w:themeColor="text1"/>
          <w:sz w:val="23"/>
          <w:szCs w:val="23"/>
          <w:lang w:val="pt-BR"/>
        </w:rPr>
        <w:t xml:space="preserve">demonstraram que a capacidade funcional em pessoas com DP pode ser melhorada após uma semana de exposição contínua a hipóxia, demonstrando que </w:t>
      </w:r>
      <w:r w:rsidR="005F480B" w:rsidRPr="00A65B69">
        <w:rPr>
          <w:color w:val="000000" w:themeColor="text1"/>
          <w:sz w:val="23"/>
          <w:szCs w:val="23"/>
          <w:lang w:val="pt-BR"/>
        </w:rPr>
        <w:t xml:space="preserve">a </w:t>
      </w:r>
      <w:r w:rsidR="00906C4E" w:rsidRPr="00A65B69">
        <w:rPr>
          <w:color w:val="000000" w:themeColor="text1"/>
          <w:sz w:val="23"/>
          <w:szCs w:val="23"/>
          <w:lang w:val="pt-BR"/>
        </w:rPr>
        <w:t>estratégia parece ser “tempo eficiente” nesta população.</w:t>
      </w:r>
      <w:r w:rsidR="00F81C7D" w:rsidRPr="00A65B69">
        <w:rPr>
          <w:color w:val="000000" w:themeColor="text1"/>
          <w:sz w:val="23"/>
          <w:szCs w:val="23"/>
          <w:lang w:val="pt-BR"/>
        </w:rPr>
        <w:t xml:space="preserve"> </w:t>
      </w:r>
      <w:r w:rsidR="00870117" w:rsidRPr="00A65B69">
        <w:rPr>
          <w:color w:val="000000" w:themeColor="text1"/>
          <w:sz w:val="23"/>
          <w:szCs w:val="23"/>
          <w:lang w:val="pt-BR"/>
        </w:rPr>
        <w:t xml:space="preserve">Ainda, </w:t>
      </w:r>
      <w:r w:rsidR="00D14D55" w:rsidRPr="00A65B69">
        <w:rPr>
          <w:color w:val="000000" w:themeColor="text1"/>
          <w:sz w:val="23"/>
          <w:szCs w:val="23"/>
          <w:lang w:val="pt-BR"/>
        </w:rPr>
        <w:t>a hipóxia moderada apresentou mudanças positivas na ativação do tibial anterior durante a marcha</w:t>
      </w:r>
      <w:r w:rsidR="00A36CC0" w:rsidRPr="00A65B69">
        <w:rPr>
          <w:color w:val="000000" w:themeColor="text1"/>
          <w:sz w:val="23"/>
          <w:szCs w:val="23"/>
          <w:lang w:val="pt-BR"/>
        </w:rPr>
        <w:t xml:space="preserve"> em jovens</w:t>
      </w:r>
      <w:r w:rsidR="00D14D55" w:rsidRPr="00A65B69">
        <w:rPr>
          <w:color w:val="000000" w:themeColor="text1"/>
          <w:sz w:val="23"/>
          <w:szCs w:val="23"/>
          <w:lang w:val="pt-BR"/>
        </w:rPr>
        <w:t xml:space="preserve"> </w:t>
      </w:r>
      <w:r w:rsidR="003C3ADC"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{"citationItems":[{"id":"ITEM-1","itemData":{"DOI":"10.3390/s19040948","ISSN":"14248220","PMID":"30813411","abstract":"We propose a wearable sensor system for automatic, continuous and ubiquitous analysis of Freezing of Gait (FOG), in patients affected by Parkinson’s disease. FOG is an unpredictable gait disorder with different clinical manifestations, as the trembling and the shuffling-like phenotypes, whose underlying pathophysiology is not fully understood yet. Typical trembling-like subtype features are lack of postural adaptation and abrupt trunk inclination, which in general can increase the fall probability. The targets of this work are detecting the FOG episodes, distinguishing the phenotype and analyzing the muscle activity during and outside FOG, toward a deeper insight in the disorder pathophysiology and the assessment of the fall risk associated to the FOG subtype. To this aim, gyroscopes and surface electromyography integrated in wearable devices sense simultaneously movements and action potentials of antagonist leg muscles. Dedicated algorithms allow the timely detection of the FOG episode and, for the first time, the automatic distinction of the FOG phenotypes, which can enable associating a fall risk to the subtype. Thanks to the possibility of detecting muscles contractions and stretching exactly during FOG, a deeper insight into the pathophysiological underpinnings of the different phenotypes can be achieved, which is an innovative approach with respect to the state of art.","author":[{"dropping-particle":"","family":"Mazzetta","given":"Ivan","non-dropping-particle":"","parse-names":false,"suffix":""},{"dropping-particle":"","family":"Zampogna","given":"Alessandro","non-dropping-particle":"","parse-names":false,"suffix":""},{"dropping-particle":"","family":"Suppa","given":"Antonio","non-dropping-particle":"","parse-names":false,"suffix":""},{"dropping-particle":"","family":"Gumiero","given":"Alessandro","non-dropping-particle":"","parse-names":false,"suffix":""},{"dropping-particle":"","family":"Pessione","given":"Marco","non-dropping-particle":"","parse-names":false,"suffix":""},{"dropping-particle":"","family":"Irrera","given":"Fernanda","non-dropping-particle":"","parse-names":false,"suffix":""}],"container-title":"Sensors (Switzerland)","id":"ITEM-1","issue":"4","issued":{"date-parts":[["2019"]]},"title":"Wearable sensors system for an improved analysis of freezing of gait in Parkinson’s disease using electromyography and inertial signals","type":"article-journal","volume":"19"},"uris":["http://www.mendeley.com/documents/?uuid=2b22bd14-a6d4-4bfe-b2f1-3743f3b5ec09"]},{"id":"ITEM-2","itemData":{"DOI":"10.1371/journal.pone.0173816","ISBN":"1111111111","ISSN":"19326203","PMID":"28301525","abstract":"Energy cost of transport per unit distance (CoT; J·kg-1·km-1) displays a U-shaped fashion in walking and a linear fashion in running as a function of gait speed (v; km·h-1). There exists an intersection between U-shaped and linear CoT-v relationships, being termed energetically optimal transition speed (EOTS; km·h-1). Combined effects of gradient and moderate normobaric hypoxia (15.0% O2) were investigated when walking and running at the EOTS in fifteen young males. The CoT values were determined at eight walking speeds (2.4-7.3 km·h-1) and four running speeds (7.3-9.4 km·h-1) on level and gradient slopes (-5%) at normoxia and hypoxia. Since an alteration of tibialis anterior (TA) activity has been known as a trigger for gait transition, electromyogram was recorded from TA and its antagonists (gastrocnemius medialis (GM) and gastrocnemius lateralis (GL)) for about 30 steps during walking and running corresponding to the individual EOTS in each experimental condition. Mean power frequency (MPF; Hz) of each muscle was quantified to evaluate alterations of muscle fiber recruitment pattern. The EOTS was not significantly different between normoxia and hypoxia on any slopes (ranging from 7.412 to 7.679 km·h-1 at normoxia and 7.516 to 7.678 km·h-1 at hypoxia) due to upward shifts (enhanced metabolic rate) of both U-shaped and linear CoT-v relationships at hypoxia. GM, but not GL, activated more when switching from walking to running on level and gentle downhill slopes. Significant decreases in the muscular activity and/or MPF were observed only in the TA when switching the gait pattern. Taken together, the EOTS was not slowed by moderate hypoxia in the population of this study. Muscular activities of lower leg extremities and those muscle fiber recruitment patterns are dependent on the gradient when walking and running at the EOTS.","author":[{"dropping-particle":"","family":"Abe","given":"Daijiro","non-dropping-particle":"","parse-names":false,"suffix":""},{"dropping-particle":"","family":"Fukuoka","given":"Yoshiyuki","non-dropping-particle":"","parse-names":false,"suffix":""},{"dropping-particle":"","family":"Horiuchi","given":"Masahiro","non-dropping-particle":"","parse-names":false,"suffix":""}],"container-title":"PLoS ONE","id":"ITEM-2","issue":"3","issued":{"date-parts":[["2017"]]},"page":"1-15","title":"Muscle activities during walking and running at energetically optimal transition speed under normobaric hypoxia on gradient slopes","type":"article-journal","volume":"12"},"uris":["http://www.mendeley.com/documents/?uuid=817ec061-3f34-432e-b2d4-d0cd206c65de"]}],"mendeley":{"formattedCitation":"(ABE; FUKUOKA; HORIUCHI, 2017; MAZZETTA et al., 2019)","manualFormatting":"(ABE et al., 2017)","plainTextFormattedCitation":"(ABE; FUKUOKA; HORIUCHI, 2017; MAZZETTA et al., 2019)","previouslyFormattedCitation":"(ABE; FUKUOKA; HORIUCHI, 2017; MAZZETTA et al., 2019)"},"properties":{"noteIndex":0},"schema":"https://github.com/citation-style-language/schema/raw/master/csl-citation.json"}</w:instrText>
      </w:r>
      <w:r w:rsidR="003C3ADC" w:rsidRPr="00A65B69">
        <w:rPr>
          <w:color w:val="000000" w:themeColor="text1"/>
          <w:sz w:val="23"/>
          <w:szCs w:val="23"/>
          <w:lang w:val="pt-BR"/>
        </w:rPr>
        <w:fldChar w:fldCharType="separate"/>
      </w:r>
      <w:r w:rsidR="003C3ADC" w:rsidRPr="00A65B69">
        <w:rPr>
          <w:noProof/>
          <w:color w:val="000000" w:themeColor="text1"/>
          <w:sz w:val="23"/>
          <w:szCs w:val="23"/>
          <w:lang w:val="pt-BR"/>
        </w:rPr>
        <w:t>(ABE et al., 2017)</w:t>
      </w:r>
      <w:r w:rsidR="003C3ADC" w:rsidRPr="00A65B69">
        <w:rPr>
          <w:color w:val="000000" w:themeColor="text1"/>
          <w:sz w:val="23"/>
          <w:szCs w:val="23"/>
          <w:lang w:val="pt-BR"/>
        </w:rPr>
        <w:fldChar w:fldCharType="end"/>
      </w:r>
      <w:r w:rsidR="00870117" w:rsidRPr="00A65B69">
        <w:rPr>
          <w:color w:val="000000" w:themeColor="text1"/>
          <w:sz w:val="23"/>
          <w:szCs w:val="23"/>
          <w:lang w:val="pt-BR"/>
        </w:rPr>
        <w:t xml:space="preserve">. </w:t>
      </w:r>
      <w:r w:rsidR="00F81C7D" w:rsidRPr="00A65B69">
        <w:rPr>
          <w:color w:val="000000" w:themeColor="text1"/>
          <w:sz w:val="23"/>
          <w:szCs w:val="23"/>
          <w:lang w:val="pt-BR"/>
        </w:rPr>
        <w:t>Assim, é plausível supor que a HI seja uma estratégia eficiente para melhorar a marcha em pessoas com DP, mas esta hipótese deve ser testada experimentalmente. Em outras populações, como pessoas com lesão medular crônica incompleta</w:t>
      </w:r>
      <w:r w:rsidR="003E6EFD" w:rsidRPr="00A65B69">
        <w:rPr>
          <w:color w:val="000000" w:themeColor="text1"/>
          <w:sz w:val="23"/>
          <w:szCs w:val="23"/>
          <w:lang w:val="pt-BR"/>
        </w:rPr>
        <w:t xml:space="preserve"> </w:t>
      </w:r>
      <w:r w:rsidR="003E6EFD" w:rsidRPr="00A65B69">
        <w:rPr>
          <w:color w:val="000000" w:themeColor="text1"/>
          <w:sz w:val="23"/>
          <w:szCs w:val="23"/>
          <w:lang w:val="pt-BR"/>
        </w:rPr>
        <w:fldChar w:fldCharType="begin" w:fldLock="1"/>
      </w:r>
      <w:r w:rsidR="003E6EFD" w:rsidRPr="00A65B69">
        <w:rPr>
          <w:color w:val="000000" w:themeColor="text1"/>
          <w:sz w:val="23"/>
          <w:szCs w:val="23"/>
          <w:lang w:val="pt-BR"/>
        </w:rPr>
        <w:instrText>ADDIN CSL_CITATION {"citationItems":[{"id":"ITEM-1","itemData":{"DOI":"10.1016/j.expneurol.2021.113669.Daily","abstract":"Persons living with incomplete spinal cord injuries (SCI) often struggle to regain independent walking due to deficits in walking mechanics. They often dedicate many weeks of gait training before benefits to emerge, with additional training needed for benefits to persist. Recent studies in humans with SCI found that daily bouts of breathing low oxygen (acute intermittent hypoxia, AIH) prior to locomotor training elicited persistent (weeks) improvement in overground walking speed and endurance. AIH-induced improvements in overground walking may result from changes in control strategies that also enhance intralimb coordination; however, this possibility remains untested. Here, we examined the extent to which daily AIH combined with walking practice (AIH +WALK) improved overground walking performance and intralimb motor coordination in persons with chronic, incomplete SCI. daily AIH+WALK, but not SHAM+WALK. Following daily AIH+WALK, participants decreased their 10MWT time at T5 by 13% (95% CI 0.2–10.1 seconds, p=0.04), F1 by 28% (95% CI 1.1– 13.5 seconds, p=0.01), and F2 by 27% (95% CI 1.4–13.9 seconds, p=0.01) relative to BL. The greatest decreases in the 10MWT occurred in participants who used bilateral walking aids (p&lt;0.05). We also found daily AIH+WALK resulted in an increase in 6MWT distance at T5 by 22% (95% CI 13.3–72.6 m, p=0.001), F1 by 21% (95% CI 13.1–72.5 m, p=0.001), and F2 by 16% (95% CI 2.9–62.2 m, p=0.02). However, measures of EV and ACC during self-selected walking conditions did not change following daily AIH+WALK (all p-values &gt; 0.50). Conclusions: Consistent with prior studies, daily AIH+WALK triggered improvements in walking speed and endurance that persisted for weeks after treatment. Greatest improvements in speed occurred in persons who used bilateral walking aids. No change in EV and ACC may suggest that intralimb motor coordination was not a significant gait training priority during daily AIH+WALK.","author":[{"dropping-particle":"","family":"Tan","given":"Andrew Q","non-dropping-particle":"","parse-names":false,"suffix":""},{"dropping-particle":"","family":"Sohn","given":"Won Joon","non-dropping-particle":"","parse-names":false,"suffix":""},{"dropping-particle":"","family":"Naidu","given":"Avantika","non-dropping-particle":"","parse-names":false,"suffix":""},{"dropping-particle":"","family":"Trumbower","given":"Randy D","non-dropping-particle":"","parse-names":false,"suffix":""},{"dropping-particle":"","family":"Hospital","given":"Rehabilitation","non-dropping-particle":"","parse-names":false,"suffix":""}],"container-title":"Exp Neurol","id":"ITEM-1","issued":{"date-parts":[["2022"]]},"page":"1-24","title":"Daily acute intermittent hypoxia combined with walking practice enhances walking performance but not intralimb motor coordination in persons with chronic incomplete spinal cord injury","type":"article-journal"},"uris":["http://www.mendeley.com/documents/?uuid=a1b0ee13-b6a4-462b-a0e0-ce05edfb1814"]}],"mendeley":{"formattedCitation":"(TAN et al., 2022)","plainTextFormattedCitation":"(TAN et al., 2022)","previouslyFormattedCitation":"(TAN et al., 2022)"},"properties":{"noteIndex":0},"schema":"https://github.com/citation-style-language/schema/raw/master/csl-citation.json"}</w:instrText>
      </w:r>
      <w:r w:rsidR="003E6EFD" w:rsidRPr="00A65B69">
        <w:rPr>
          <w:color w:val="000000" w:themeColor="text1"/>
          <w:sz w:val="23"/>
          <w:szCs w:val="23"/>
          <w:lang w:val="pt-BR"/>
        </w:rPr>
        <w:fldChar w:fldCharType="separate"/>
      </w:r>
      <w:r w:rsidR="003E6EFD" w:rsidRPr="00A65B69">
        <w:rPr>
          <w:noProof/>
          <w:color w:val="000000" w:themeColor="text1"/>
          <w:sz w:val="23"/>
          <w:szCs w:val="23"/>
          <w:lang w:val="pt-BR"/>
        </w:rPr>
        <w:t>(TAN et al., 2022)</w:t>
      </w:r>
      <w:r w:rsidR="003E6EFD" w:rsidRPr="00A65B69">
        <w:rPr>
          <w:color w:val="000000" w:themeColor="text1"/>
          <w:sz w:val="23"/>
          <w:szCs w:val="23"/>
          <w:lang w:val="pt-BR"/>
        </w:rPr>
        <w:fldChar w:fldCharType="end"/>
      </w:r>
      <w:r w:rsidR="00F81C7D" w:rsidRPr="00A65B69">
        <w:rPr>
          <w:color w:val="000000" w:themeColor="text1"/>
          <w:sz w:val="23"/>
          <w:szCs w:val="23"/>
          <w:lang w:val="pt-BR"/>
        </w:rPr>
        <w:t xml:space="preserve"> e obesos</w:t>
      </w:r>
      <w:r w:rsidR="003E6EFD" w:rsidRPr="00A65B69">
        <w:rPr>
          <w:color w:val="000000" w:themeColor="text1"/>
          <w:sz w:val="23"/>
          <w:szCs w:val="23"/>
          <w:lang w:val="pt-BR"/>
        </w:rPr>
        <w:t xml:space="preserve"> </w:t>
      </w:r>
      <w:r w:rsidR="003E6EFD" w:rsidRPr="00A65B69">
        <w:rPr>
          <w:color w:val="000000" w:themeColor="text1"/>
          <w:sz w:val="23"/>
          <w:szCs w:val="23"/>
          <w:lang w:val="pt-BR"/>
        </w:rPr>
        <w:fldChar w:fldCharType="begin" w:fldLock="1"/>
      </w:r>
      <w:r w:rsidR="003E6EFD" w:rsidRPr="00A65B69">
        <w:rPr>
          <w:color w:val="000000" w:themeColor="text1"/>
          <w:sz w:val="23"/>
          <w:szCs w:val="23"/>
          <w:lang w:val="pt-BR"/>
        </w:rPr>
        <w:instrText>ADDIN CSL_CITATION {"citationItems":[{"id":"ITEM-1","itemData":{"DOI":"10.1002/oby.22131","ISSN":"1930739X","PMID":"29575698","abstract":"Objective: The aim of this study was to compare the effects of short-term hypoxic versus normoxic training at preferred walking speed (PWS) on energetics, mechanics, efficiency, and metabolic risk markers in individuals with obesity. Methods: Twenty-three subjects with obesity performed nine 1-hour sessions at PWS under hypoxia (3,000 m, n = 12; BMI: 34.0 ± 0.8 kg/m2) or normoxia (360 m, n = 11; BMI: 32.9 ± 0.8 kg/m2). Participants performed six 5-minute walking trials at different speeds (PWS, 0.56, 0.83, 1.11, 1.39, and 1.67 m/s). The net energy cost, external mechanical work, and rated perceived exertion (RPE) were measured at these speeds. Body composition and blood samples were collected. Results: PWS tended to be slower under hypoxia than normoxia (−6.7%; P = 0.092) during the training, and this difference reached significance the third week (−8.9%; P = 0.05). After training, PWS significantly increased (+ 8.2%; P ≤ 0.001), while RPE decreased (P = 0.005). Ankle range of motion (P = 0.03) and vertical displacement of the center of mass (P = 0.02) significantly increased in both groups. Conclusions: A walking training program under hypoxia at slower PWS than in normoxia elicited similar responses in metabolic risk factors, energetics, and mechanics of walking in individuals with obesity. Both programs increased PWS, decreased RPE, and induced gait-pattern adaptations, which protected against orthopedic injury in these individuals.","author":[{"dropping-particle":"","family":"Fernández Menéndez","given":"Aitor","non-dropping-particle":"","parse-names":false,"suffix":""},{"dropping-particle":"","family":"Saudan","given":"Gilles","non-dropping-particle":"","parse-names":false,"suffix":""},{"dropping-particle":"","family":"Sperisen","given":"Ludovic","non-dropping-particle":"","parse-names":false,"suffix":""},{"dropping-particle":"","family":"Hans","given":"Didier","non-dropping-particle":"","parse-names":false,"suffix":""},{"dropping-particle":"","family":"Saubade","given":"Mathieu","non-dropping-particle":"","parse-names":false,"suffix":""},{"dropping-particle":"","family":"Millet","given":"Grégoire P.","non-dropping-particle":"","parse-names":false,"suffix":""},{"dropping-particle":"","family":"Malatesta","given":"Davide","non-dropping-particle":"","parse-names":false,"suffix":""}],"container-title":"Obesity","id":"ITEM-1","issue":"5","issued":{"date-parts":[["2018"]]},"page":"819-827","title":"Effects of Short-Term Normobaric Hypoxic Walking Training on Energetics and Mechanics of Gait in Adults with Obesity","type":"article-journal","volume":"26"},"uris":["http://www.mendeley.com/documents/?uuid=91f62df0-f347-42d8-9c6b-946a1e40515f"]}],"mendeley":{"formattedCitation":"(FERNÁNDEZ MENÉNDEZ et al., 2018)","plainTextFormattedCitation":"(FERNÁNDEZ MENÉNDEZ et al., 2018)","previouslyFormattedCitation":"(FERNÁNDEZ MENÉNDEZ et al., 2018)"},"properties":{"noteIndex":0},"schema":"https://github.com/citation-style-language/schema/raw/master/csl-citation.json"}</w:instrText>
      </w:r>
      <w:r w:rsidR="003E6EFD" w:rsidRPr="00A65B69">
        <w:rPr>
          <w:color w:val="000000" w:themeColor="text1"/>
          <w:sz w:val="23"/>
          <w:szCs w:val="23"/>
          <w:lang w:val="pt-BR"/>
        </w:rPr>
        <w:fldChar w:fldCharType="separate"/>
      </w:r>
      <w:r w:rsidR="003E6EFD" w:rsidRPr="00A65B69">
        <w:rPr>
          <w:noProof/>
          <w:color w:val="000000" w:themeColor="text1"/>
          <w:sz w:val="23"/>
          <w:szCs w:val="23"/>
          <w:lang w:val="pt-BR"/>
        </w:rPr>
        <w:t>(FERNÁNDEZ MENÉNDEZ et al., 2018)</w:t>
      </w:r>
      <w:r w:rsidR="003E6EFD" w:rsidRPr="00A65B69">
        <w:rPr>
          <w:color w:val="000000" w:themeColor="text1"/>
          <w:sz w:val="23"/>
          <w:szCs w:val="23"/>
          <w:lang w:val="pt-BR"/>
        </w:rPr>
        <w:fldChar w:fldCharType="end"/>
      </w:r>
      <w:r w:rsidR="00F81C7D" w:rsidRPr="00A65B69">
        <w:rPr>
          <w:color w:val="000000" w:themeColor="text1"/>
          <w:sz w:val="23"/>
          <w:szCs w:val="23"/>
          <w:lang w:val="pt-BR"/>
        </w:rPr>
        <w:t xml:space="preserve">, a aplicação da HI melhorou o padrão locomotor (e.g., maior velocidade e dinâmica do andar). </w:t>
      </w:r>
    </w:p>
    <w:p w14:paraId="7A0DC7AF" w14:textId="71E05888" w:rsidR="002E4A5E" w:rsidRPr="00A65B69" w:rsidRDefault="00906C4E" w:rsidP="00C5660B">
      <w:pPr>
        <w:spacing w:line="480" w:lineRule="auto"/>
        <w:ind w:firstLine="720"/>
        <w:jc w:val="both"/>
        <w:rPr>
          <w:color w:val="000000" w:themeColor="text1"/>
          <w:sz w:val="23"/>
          <w:szCs w:val="23"/>
          <w:lang w:val="pt-BR"/>
        </w:rPr>
      </w:pPr>
      <w:r w:rsidRPr="00A65B69">
        <w:rPr>
          <w:color w:val="000000" w:themeColor="text1"/>
          <w:sz w:val="23"/>
          <w:szCs w:val="23"/>
          <w:lang w:val="pt-BR"/>
        </w:rPr>
        <w:t xml:space="preserve">Embora os estudos utilizando o modelo animal demonstrem uma clara “base teórica” na utilização da hipóxia, a transferência destas adaptações para o homem ainda precisa ser testada experimentalmente, especialmente relacionados a marcha, ao sono e ao metabolismo do ferro em pessoas com DP. Além disso, não foram encontrados estudos que investigaram as respostas agudas da aplicação da </w:t>
      </w:r>
      <w:r w:rsidR="008622BC" w:rsidRPr="00A65B69">
        <w:rPr>
          <w:color w:val="000000" w:themeColor="text1"/>
          <w:sz w:val="23"/>
          <w:szCs w:val="23"/>
          <w:lang w:val="pt-BR"/>
        </w:rPr>
        <w:t xml:space="preserve">HI </w:t>
      </w:r>
      <w:r w:rsidRPr="00A65B69">
        <w:rPr>
          <w:color w:val="000000" w:themeColor="text1"/>
          <w:sz w:val="23"/>
          <w:szCs w:val="23"/>
          <w:lang w:val="pt-BR"/>
        </w:rPr>
        <w:t xml:space="preserve">nesta população, o que fragiliza a aplicação desta estratégia ao longo de um programa de reabilitação. </w:t>
      </w:r>
      <w:r w:rsidR="002E4A5E" w:rsidRPr="00A65B69">
        <w:rPr>
          <w:color w:val="000000" w:themeColor="text1"/>
          <w:sz w:val="23"/>
          <w:szCs w:val="23"/>
          <w:lang w:val="pt-BR"/>
        </w:rPr>
        <w:t xml:space="preserve">Neste sentido, acreditamos que o primeiro passo para a utilização da hipóxia na reabilitação motora e não-motora em pessoas com DP diz respeito as respostas agudas promovidas por esta intervenção. </w:t>
      </w:r>
    </w:p>
    <w:p w14:paraId="07D3942B" w14:textId="6A451EB4" w:rsidR="009C009B" w:rsidRPr="00A65B69" w:rsidRDefault="00472341" w:rsidP="00C5660B">
      <w:pPr>
        <w:spacing w:line="480" w:lineRule="auto"/>
        <w:ind w:firstLine="720"/>
        <w:jc w:val="both"/>
        <w:rPr>
          <w:color w:val="000000" w:themeColor="text1"/>
          <w:sz w:val="23"/>
          <w:szCs w:val="23"/>
          <w:lang w:val="pt-BR"/>
        </w:rPr>
      </w:pPr>
      <w:r w:rsidRPr="00A65B69">
        <w:rPr>
          <w:color w:val="000000" w:themeColor="text1"/>
          <w:sz w:val="23"/>
          <w:szCs w:val="23"/>
          <w:lang w:val="pt-BR"/>
        </w:rPr>
        <w:t xml:space="preserve">Neste contexto, </w:t>
      </w:r>
      <w:r w:rsidR="009B40DB" w:rsidRPr="00A65B69">
        <w:rPr>
          <w:color w:val="000000" w:themeColor="text1"/>
          <w:sz w:val="23"/>
          <w:szCs w:val="23"/>
          <w:lang w:val="pt-BR"/>
        </w:rPr>
        <w:t xml:space="preserve">na DP parece ocorrer uma resposta atenuada em relação a ativação simpática (SECCOMBE et al., 2013) e resposta ventilatória em hipóxia (SEREBROVSKAYA et al., 1998; ONODERA et al., 2000), </w:t>
      </w:r>
      <w:r w:rsidRPr="00A65B69">
        <w:rPr>
          <w:color w:val="000000" w:themeColor="text1"/>
          <w:sz w:val="23"/>
          <w:szCs w:val="23"/>
          <w:lang w:val="pt-BR"/>
        </w:rPr>
        <w:t>o que pode comprometer a marcha</w:t>
      </w:r>
      <w:r w:rsidR="00906C4E" w:rsidRPr="00A65B69">
        <w:rPr>
          <w:color w:val="000000" w:themeColor="text1"/>
          <w:sz w:val="23"/>
          <w:szCs w:val="23"/>
          <w:lang w:val="pt-BR"/>
        </w:rPr>
        <w:t xml:space="preserve"> e a qualidade do sono</w:t>
      </w:r>
      <w:r w:rsidRPr="00A65B69">
        <w:rPr>
          <w:color w:val="000000" w:themeColor="text1"/>
          <w:sz w:val="23"/>
          <w:szCs w:val="23"/>
          <w:lang w:val="pt-BR"/>
        </w:rPr>
        <w:t xml:space="preserve"> imediatamente após a exposição. Entretanto, o ambiente de HI leva a um aumento das concentrações de </w:t>
      </w:r>
      <w:r w:rsidR="00E86C06" w:rsidRPr="00A65B69">
        <w:rPr>
          <w:color w:val="000000" w:themeColor="text1"/>
          <w:sz w:val="23"/>
          <w:szCs w:val="23"/>
          <w:lang w:val="pt-BR"/>
        </w:rPr>
        <w:t xml:space="preserve">Fator </w:t>
      </w:r>
      <w:proofErr w:type="spellStart"/>
      <w:r w:rsidR="00E86C06" w:rsidRPr="00A65B69">
        <w:rPr>
          <w:color w:val="000000" w:themeColor="text1"/>
          <w:sz w:val="23"/>
          <w:szCs w:val="23"/>
          <w:lang w:val="pt-BR"/>
        </w:rPr>
        <w:lastRenderedPageBreak/>
        <w:t>Neurotrófico</w:t>
      </w:r>
      <w:proofErr w:type="spellEnd"/>
      <w:r w:rsidR="00E86C06" w:rsidRPr="00A65B69">
        <w:rPr>
          <w:color w:val="000000" w:themeColor="text1"/>
          <w:sz w:val="23"/>
          <w:szCs w:val="23"/>
          <w:lang w:val="pt-BR"/>
        </w:rPr>
        <w:t xml:space="preserve"> Derivado do Cérebro (</w:t>
      </w:r>
      <w:r w:rsidRPr="00A65B69">
        <w:rPr>
          <w:color w:val="000000" w:themeColor="text1"/>
          <w:sz w:val="23"/>
          <w:szCs w:val="23"/>
          <w:lang w:val="pt-BR"/>
        </w:rPr>
        <w:t>BDNF</w:t>
      </w:r>
      <w:r w:rsidR="00E86C06" w:rsidRPr="00A65B69">
        <w:rPr>
          <w:color w:val="000000" w:themeColor="text1"/>
          <w:sz w:val="23"/>
          <w:szCs w:val="23"/>
          <w:lang w:val="pt-BR"/>
        </w:rPr>
        <w:t>)</w:t>
      </w:r>
      <w:r w:rsidRPr="00A65B69">
        <w:rPr>
          <w:color w:val="000000" w:themeColor="text1"/>
          <w:sz w:val="23"/>
          <w:szCs w:val="23"/>
          <w:lang w:val="pt-BR"/>
        </w:rPr>
        <w:t>, do fator de crescimento endotelial vascular (</w:t>
      </w:r>
      <w:r w:rsidRPr="00A65B69">
        <w:rPr>
          <w:i/>
          <w:iCs/>
          <w:color w:val="000000" w:themeColor="text1"/>
          <w:sz w:val="23"/>
          <w:szCs w:val="23"/>
          <w:lang w:val="pt-BR"/>
        </w:rPr>
        <w:t xml:space="preserve">vascular </w:t>
      </w:r>
      <w:proofErr w:type="spellStart"/>
      <w:r w:rsidRPr="00A65B69">
        <w:rPr>
          <w:i/>
          <w:iCs/>
          <w:color w:val="000000" w:themeColor="text1"/>
          <w:sz w:val="23"/>
          <w:szCs w:val="23"/>
          <w:lang w:val="pt-BR"/>
        </w:rPr>
        <w:t>endothelial</w:t>
      </w:r>
      <w:proofErr w:type="spellEnd"/>
      <w:r w:rsidRPr="00A65B69">
        <w:rPr>
          <w:i/>
          <w:iCs/>
          <w:color w:val="000000" w:themeColor="text1"/>
          <w:sz w:val="23"/>
          <w:szCs w:val="23"/>
          <w:lang w:val="pt-BR"/>
        </w:rPr>
        <w:t xml:space="preserve"> </w:t>
      </w:r>
      <w:proofErr w:type="spellStart"/>
      <w:r w:rsidRPr="00A65B69">
        <w:rPr>
          <w:i/>
          <w:iCs/>
          <w:color w:val="000000" w:themeColor="text1"/>
          <w:sz w:val="23"/>
          <w:szCs w:val="23"/>
          <w:lang w:val="pt-BR"/>
        </w:rPr>
        <w:t>growth</w:t>
      </w:r>
      <w:proofErr w:type="spellEnd"/>
      <w:r w:rsidRPr="00A65B69">
        <w:rPr>
          <w:i/>
          <w:iCs/>
          <w:color w:val="000000" w:themeColor="text1"/>
          <w:sz w:val="23"/>
          <w:szCs w:val="23"/>
          <w:lang w:val="pt-BR"/>
        </w:rPr>
        <w:t xml:space="preserve"> </w:t>
      </w:r>
      <w:proofErr w:type="spellStart"/>
      <w:r w:rsidRPr="00A65B69">
        <w:rPr>
          <w:i/>
          <w:iCs/>
          <w:color w:val="000000" w:themeColor="text1"/>
          <w:sz w:val="23"/>
          <w:szCs w:val="23"/>
          <w:lang w:val="pt-BR"/>
        </w:rPr>
        <w:t>factor</w:t>
      </w:r>
      <w:proofErr w:type="spellEnd"/>
      <w:r w:rsidRPr="00A65B69">
        <w:rPr>
          <w:color w:val="000000" w:themeColor="text1"/>
          <w:sz w:val="23"/>
          <w:szCs w:val="23"/>
          <w:lang w:val="pt-BR"/>
        </w:rPr>
        <w:t>; VEGF) e de eritropoetina (EPO), os quais são responsáveis pela neuroplasticidade e/ou pela sobrevivência neuronal</w:t>
      </w:r>
      <w:r w:rsidR="00A91716" w:rsidRPr="00A65B69">
        <w:rPr>
          <w:color w:val="000000" w:themeColor="text1"/>
          <w:sz w:val="23"/>
          <w:szCs w:val="23"/>
          <w:lang w:val="pt-BR"/>
        </w:rPr>
        <w:t xml:space="preserve"> </w:t>
      </w:r>
      <w:r w:rsidR="00B95F5D"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{"citationItems":[{"id":"ITEM-1","itemData":{"DOI":"10.5772/66089","abstract":"Abstract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Keywords:","author":[{"dropping-particle":"","family":"Bhatia","given":"Deepak","non-dropping-particle":"","parse-names":false,"suffix":""},{"dropping-particle":"","family":"Ardekani","given":"Mohammad Sanaei","non-dropping-particle":"","parse-names":false,"suffix":""},{"dropping-particle":"","family":"Shi","given":"Qiwen","non-dropping-particle":"","parse-names":false,"suffix":""},{"dropping-particle":"","family":"Movafagh","given":"Shahrzad","non-dropping-particle":"","parse-names":false,"suffix":""}],"container-title":"Hypoxia and Human Diseases","id":"ITEM-1","issued":{"date-parts":[["2017"]]},"title":"Hypoxia and its Emerging Therapeutics in Neurodegenerative, Inflammatory and Renal Diseases","type":"article-journal"},"uris":["http://www.mendeley.com/documents/?uuid=6a398337-5216-4aab-9ba6-577cffb94fcf"]},{"id":"ITEM-2","itemData":{"DOI":"10.1111/j.1471-4159.2009.06443.x","ISSN":"00223042","PMID":"19845827","abstract":"Neurodegenerative diseases, generally characterized by a progressive deterioration in the structure and function of the brain, represent one of the world's major unsolved health problems. Therefore, it is urgent to discover therapeutic targets for the design of effective strategies for the treatment of these diseases. Recent findings demonstrated that the induction of the hypoxia signaling pathway with the concomitant stabilization and transcriptional activation of the transcription factor hypoxia-inducible factor 1 (HIF-1) could mediate neuroprotective events. It has been shown that HIF-1 triggers the expression of genes involved in oxygen transport, glycolytic metabolism, angiogenesis, cell survival, apoptosis, and others processes that can interfere with cell survival. Here, we discuss the current knowledge pertaining to the regulation of HIF signaling pathway. The potential neuroprotective role of HIF-1 induction in cerebral ischemic stroke and Alzheimer's, Parkinson's, and Huntington's diseases will be also discussed. The elucidation of the mechanisms involved in HIF-1-mediated neuroprotection could be important for the development of effective therapies to mitigate or prevent neurodegenerative diseases. © 2009 International Society for Neurochemistry.","author":[{"dropping-particle":"","family":"Correia","given":"Sónia C.","non-dropping-particle":"","parse-names":false,"suffix":""},{"dropping-particle":"","family":"Moreira","given":"Paula I.","non-dropping-particle":"","parse-names":false,"suffix":""}],"container-title":"Journal of Neurochemistry","id":"ITEM-2","issue":"1","issued":{"date-parts":[["2010"]]},"page":"1-12","title":"Hypoxia-inducible factor 1: A new hope to counteract neurodegeneration?","type":"article-journal","volume":"112"},"uris":["http://www.mendeley.com/documents/?uuid=888e5ea6-7a1c-4d8d-bee4-2d5399454125"]},{"id":"ITEM-3","itemData":{"DOI":"10.1152/physiol.00012.2013","ISSN":"15489213","PMID":"24382870","abstract":"Intermittent hypoxia (IH) is most often thought of for its role in morbidity associated with sleep-disordered breathing, including central nervous system pathology. However, recent evidence suggests that the nervous system fights back in an attempt to minimize pathology by increasing the expression of growth/trophic factors that confer neuroprotection and neuroplasticity. For example, even modest (\"low dose\") IH elicits respiratory motor plasticity, increasing the strength of respiratory contractions and breathing. These low IH doses upregulate hypoxia-sensitive growth/trophic factors within respiratory motoneurons but do not elicit detectable pathologies such as hippocam-pal cell death, neuroinflammation, or systemic hypertension. Recent advances have been made toward understanding cellular mechanisms giving rise to IH-induced respiratory plasticity, and attempts have been made to harness the benefits of low-dose IH to treat respiratory insufficiency after cervical spinal injury. Our recent realization that IH also upregulates growth/trophic factors in nonrespiratory motoneurons and improves limb (or leg) function after incomplete chronic spinal injuries suggests that IH-induced plasticity is a general feature of motor systems. Collectively, available evidence suggests that low-dose IH may represent a safe and effective treatment to restore lost motor function in diverse clinical disorders that impair motor function.© 2014 Int. Union Physiol. Sci./Am. Physiol. Soc.","author":[{"dropping-particle":"","family":"Dale","given":"E. A.","non-dropping-particle":"","parse-names":false,"suffix":""},{"dropping-particle":"","family":"Mabrouk","given":"F.","non-dropping-particle":"Ben","parse-names":false,"suffix":""},{"dropping-particle":"","family":"Mitchell","given":"G. S.","non-dropping-particle":"","parse-names":false,"suffix":""}],"container-title":"Physiology","id":"ITEM-3","issue":"1","issued":{"date-parts":[["2014"]]},"page":"39-48","title":"Unexpected benefits of intermittent hypoxia: Enhanced respiratory and nonrespiratory motor function","type":"article-journal","volume":"29"},"uris":["http://www.mendeley.com/documents/?uuid=696ca959-e5ca-49ee-b48d-e6b2415ca711"]},{"id":"ITEM-4","itemData":{"DOI":"10.2174/092986711797200426","ISBN":"1785864521","ISSN":"09298673","PMID":"21861815","abstract":"Hypoxia inducible factor-1 (HIF-1) is a transcriptional factor responsible for cellular and tissue adaption to low oxygen tension. HIF-1, a heterodimer consisting of a constitutively expressed β subunit and an oxygen-regulated α subunit, regulates a series of genes that participate in angiogenesis, iron metabolism, glucose metabolism, and cell proliferation/survival. The activity of HIF-1 is controlled by post-translational modifications on different amino acid residues of its subunits, mainly the alpha subunit. Besides in ischemic stroke (see review [1]), emerging evidence has revealed that HIF-1 activity and expression of its down-stream genes, such as vascular endothelial growth factor and erythropoietin, are altered in a range of neurodegenerative diseases. At the same time, experimental and clinical evidence has demonstrated that regulating HIF-1 might ameliorate the cellular and tissue damage in the neurodegenerative diseases. These new findings suggest HIF-1 as a potential medicinal target for the neurodegenerative diseases. This review focuses on HIF-1α protein modifications and HIF-1's potential neuroprotective roles in Alzheimer's (AD), Parkinson's (PD), Huntington's diseases (HD), and amyotrophic lateral sclerosis (ALS).","author":[{"dropping-particle":"","family":"Zhang","given":"Z.","non-dropping-particle":"","parse-names":false,"suffix":""},{"dropping-particle":"","family":"Yan","given":"J.","non-dropping-particle":"","parse-names":false,"suffix":""},{"dropping-particle":"","family":"Chang","given":"Y.","non-dropping-particle":"","parse-names":false,"suffix":""},{"dropping-particle":"","family":"ShiDu Yan","given":"S.","non-dropping-particle":"","parse-names":false,"suffix":""},{"dropping-particle":"","family":"Shi","given":"H.","non-dropping-particle":"","parse-names":false,"suffix":""}],"container-title":"Current Medicinal Chemistry","id":"ITEM-4","issue":"28","issued":{"date-parts":[["2011"]]},"page":"4335-4343","title":"Hypoxia Inducible Factor-1 as a Target for Neurodegenerative Diseases","type":"article-journal","volume":"18"},"uris":["http://www.mendeley.com/documents/?uuid=8e50ab1e-f3f2-4638-9a1b-722dc32bd526"]}],"mendeley":{"formattedCitation":"(BHATIA et al., 2017; CORREIA; MOREIRA, 2010; DALE; BEN MABROUK; MITCHELL, 2014; ZHANG et al., 2011)","manualFormatting":"(BHATIA et al., 2017; CORREIA et al., 2010; DALE et al., 2014; ZHANG et al., 2011)","plainTextFormattedCitation":"(BHATIA et al., 2017; CORREIA; MOREIRA, 2010; DALE; BEN MABROUK; MITCHELL, 2014; ZHANG et al., 2011)","previouslyFormattedCitation":"(BHATIA et al., 2017; CORREIA; MOREIRA, 2010; DALE; BEN MABROUK; MITCHELL, 2014; ZHANG et al., 2011)"},"properties":{"noteIndex":0},"schema":"https://github.com/citation-style-language/schema/raw/master/csl-citation.json"}</w:instrText>
      </w:r>
      <w:r w:rsidR="00B95F5D" w:rsidRPr="00A65B69">
        <w:rPr>
          <w:color w:val="000000" w:themeColor="text1"/>
          <w:sz w:val="23"/>
          <w:szCs w:val="23"/>
          <w:lang w:val="pt-BR"/>
        </w:rPr>
        <w:fldChar w:fldCharType="separate"/>
      </w:r>
      <w:r w:rsidR="00B95F5D" w:rsidRPr="00A65B69">
        <w:rPr>
          <w:noProof/>
          <w:color w:val="000000" w:themeColor="text1"/>
          <w:sz w:val="23"/>
          <w:szCs w:val="23"/>
          <w:lang w:val="pt-BR"/>
        </w:rPr>
        <w:t>(BHATIA et al., 2017; CORREIA</w:t>
      </w:r>
      <w:r w:rsidR="00610715" w:rsidRPr="00A65B69">
        <w:rPr>
          <w:noProof/>
          <w:color w:val="000000" w:themeColor="text1"/>
          <w:sz w:val="23"/>
          <w:szCs w:val="23"/>
          <w:lang w:val="pt-BR"/>
        </w:rPr>
        <w:t xml:space="preserve"> et al.,</w:t>
      </w:r>
      <w:r w:rsidR="00B95F5D" w:rsidRPr="00A65B69">
        <w:rPr>
          <w:noProof/>
          <w:color w:val="000000" w:themeColor="text1"/>
          <w:sz w:val="23"/>
          <w:szCs w:val="23"/>
          <w:lang w:val="pt-BR"/>
        </w:rPr>
        <w:t xml:space="preserve"> 2010; DALE et al., 2014; ZHANG et al., 2011)</w:t>
      </w:r>
      <w:r w:rsidR="00B95F5D" w:rsidRPr="00A65B69">
        <w:rPr>
          <w:color w:val="000000" w:themeColor="text1"/>
          <w:sz w:val="23"/>
          <w:szCs w:val="23"/>
          <w:lang w:val="pt-BR"/>
        </w:rPr>
        <w:fldChar w:fldCharType="end"/>
      </w:r>
      <w:r w:rsidRPr="00A65B69">
        <w:rPr>
          <w:color w:val="000000" w:themeColor="text1"/>
          <w:sz w:val="23"/>
          <w:szCs w:val="23"/>
          <w:lang w:val="pt-BR"/>
        </w:rPr>
        <w:t xml:space="preserve">. Interessantemente, estes biomarcadores também possuem funções importantes para a plasticidade dos </w:t>
      </w:r>
      <w:proofErr w:type="spellStart"/>
      <w:r w:rsidRPr="00A65B69">
        <w:rPr>
          <w:color w:val="000000" w:themeColor="text1"/>
          <w:sz w:val="23"/>
          <w:szCs w:val="23"/>
          <w:lang w:val="pt-BR"/>
        </w:rPr>
        <w:t>motoneurônios</w:t>
      </w:r>
      <w:proofErr w:type="spellEnd"/>
      <w:r w:rsidRPr="00A65B69">
        <w:rPr>
          <w:color w:val="000000" w:themeColor="text1"/>
          <w:sz w:val="23"/>
          <w:szCs w:val="23"/>
          <w:lang w:val="pt-BR"/>
        </w:rPr>
        <w:t xml:space="preserve">, como demonstrado em estudos com </w:t>
      </w:r>
      <w:r w:rsidR="003C033F" w:rsidRPr="00A65B69">
        <w:rPr>
          <w:color w:val="000000" w:themeColor="text1"/>
          <w:sz w:val="23"/>
          <w:szCs w:val="23"/>
          <w:lang w:val="pt-BR"/>
        </w:rPr>
        <w:t xml:space="preserve">pacientes </w:t>
      </w:r>
      <w:r w:rsidRPr="00A65B69">
        <w:rPr>
          <w:color w:val="000000" w:themeColor="text1"/>
          <w:sz w:val="23"/>
          <w:szCs w:val="23"/>
          <w:lang w:val="pt-BR"/>
        </w:rPr>
        <w:t>com lesão medular, os quais evidenciaram melhoras funcionais após rápidos períodos de aplicação da HI (5 – 7 dias</w:t>
      </w:r>
      <w:r w:rsidR="00B95F5D" w:rsidRPr="00A65B69">
        <w:rPr>
          <w:color w:val="000000" w:themeColor="text1"/>
          <w:sz w:val="23"/>
          <w:szCs w:val="23"/>
          <w:lang w:val="pt-BR"/>
        </w:rPr>
        <w:t xml:space="preserve">) </w:t>
      </w:r>
      <w:r w:rsidR="00B95F5D" w:rsidRPr="00A65B69">
        <w:rPr>
          <w:color w:val="000000" w:themeColor="text1"/>
          <w:sz w:val="23"/>
          <w:szCs w:val="23"/>
          <w:lang w:val="pt-BR"/>
        </w:rPr>
        <w:fldChar w:fldCharType="begin" w:fldLock="1"/>
      </w:r>
      <w:r w:rsidR="00B95F5D" w:rsidRPr="00A65B69">
        <w:rPr>
          <w:color w:val="000000" w:themeColor="text1"/>
          <w:sz w:val="23"/>
          <w:szCs w:val="23"/>
          <w:lang w:val="pt-BR"/>
        </w:rPr>
        <w:instrText>ADDIN CSL_CITATION {"citationItems":[{"id":"ITEM-1","itemData":{"DOI":"10.1212/01.WNL.0000437416.34298.43","ISSN":"1526632X","PMID":"24285617","abstract":"Objectives: To test the hypothesis that daily acute intermittent hypoxia (dAIH) and dAIH combined with overground walking improve walking speed and endurance in persons with chronic incomplete spinal cord injury (iSCI). Methods: Nineteen subjects completed the randomized, double-blind, placebo-controlled, crossover study. Participants received 15, 90-second hypoxic exposures (dAIH, fraction of inspired oxygen [FIO2] 5 0.09) or daily normoxia (dSHAM, FIO2 5 0.21) at 60-second normoxic intervals on 5 consecutive days; dAIH was given alone or combined with 30 minutes of overground walking 1 hour later. Walking speed and endurance were quantified using 10-Meter and 6-Minute Walk Tests. The trial is registered at ClinicalTrials.gov (NCT01272349). Results: dAIH improved walking speed and endurance. Ten-Meter Walk time improved with dAIH vs dSHAM after 1 day (mean difference [MD] 3.8 seconds, 95%confidence interval [CI] 1.1-6.5 seconds, p 5 0.006) and 2 weeks (MD 3.8 seconds, 95% CI 0.9-6.7 seconds, p 5 0.010). Six- MinuteWalk distance increased with combined dAIH 1 walking vs dSHAM1 walking after 5 days (MD 94.4 m, 95% CI 17.5-171.3 m, p 5 0.017) and 1-week follow-up (MD 97.0 m, 95% CI 20.1-173.9 m, p 5 0.014). dAIH 1 walking increased walking distance more than dAIH after 1 day (MD 67.7 m, 95% CI 1.3-134.1 m, p 5 0.046), 5 days (MD 107.0 m, 95% CI 40.6- 173.4 m, p 5 0.002), and 1-week follow-up (MD 136.0 m, 95% CI 65.3-206.6 m, p , 0.001). Conclusions: dAIH 6 walking improved walking speed and distance in persons with chronic iSCI. The impact of dAIH is enhanced by combination with walking, demonstrating that combinatorial therapies may promote greater functional benefits in persons with iSCI. Classification of evidence: This study provides Class I evidence that transient hypoxia (through measured breathing treatments), along with overground walking training, improves walking speed and endurance after iSCI.","author":[{"dropping-particle":"","family":"Hayes","given":"Heather B.","non-dropping-particle":"","parse-names":false,"suffix":""},{"dropping-particle":"","family":"Jayaraman","given":"Arun","non-dropping-particle":"","parse-names":false,"suffix":""},{"dropping-particle":"","family":"Herrmann","given":"Megan","non-dropping-particle":"","parse-names":false,"suffix":""},{"dropping-particle":"","family":"Mitchell","given":"Gordon S.","non-dropping-particle":"","parse-names":false,"suffix":""},{"dropping-particle":"","family":"Rymer","given":"William Z.","non-dropping-particle":"","parse-names":false,"suffix":""},{"dropping-particle":"","family":"Trumbower","given":"Randy D.","non-dropping-particle":"","parse-names":false,"suffix":""}],"container-title":"Neurology","id":"ITEM-1","issue":"2","issued":{"date-parts":[["2014"]]},"page":"104-113","title":"Daily intermittent hypoxia enhances walking after chronic spinal cord injury A randomized trial","type":"article-journal","volume":"82"},"uris":["http://www.mendeley.com/documents/?uuid=38c85b95-8803-4c02-924c-1e99e51714c5"]},{"id":"ITEM-2","itemData":{"DOI":"10.1212/WNL.0000000000004596","ISSN":"1526632X","PMID":"28972191","abstract":"Objective: To test the hypothesis that daily acute intermittent hypoxia (AIH) combined with hand opening practice improves hand dexterity, function, and maximum hand opening in persons with chronic, motor-incomplete, cervical spinal cord injury. Methods: Six participants completed the double-blind, crossover study. Participants received daily (5 consecutive days) AIH (15 episodes per day: 1.5 minutes of fraction of inspired oxygen [FIO2] = 0.09, 1-minute normoxic intervals) followed by 20 repetitions of hand opening practice and normoxia (sham, FIO2 = 0.21) + hand opening practice. Hand dexterity and function were quantified with Box and Block and Jebsen-Taylor hand function tests. We also recorded maximum hand opening using motion analyses and coactivity of extensor digitorum and flexor digitorum superficialis muscles using surface EMG. Results: Daily AIH + hand opening practice improved hand dexterity, function, and maximum hand opening in all participants. AIH + hand opening practice improved Box and Block Test scores vs baseline in 5 participants (p = 0.057) and vs sham + hand opening practice in all 6 participants (p = 0.016). All participants reduced Jebsen-Taylor Hand Function Test (JTHF) time after daily AIH + hand opening practice (27.2 ± 1.4 seconds) vs baseline; 4 of 6 reduced JTHF time vs sham + hand opening practice (p = 0.078). AIH + hand opening practice improved maximum hand aperture in 5 of 6 participants (8.1 ± 2.7 mm) vs baseline (p = 0.018) and sham + hand opening practice (p = 0.030). In 5 participants, daily AIH-induced changes in hand opening were accompanied by improved EMG coactivity (p = 0.029). Conclusions: This report suggests the need for further study of AIH as a plasticity \"primer\" for task-specific training in spinal cord injury rehabilitation. Important clinical questions remain concerning optimal AIH dosage, patient screening, safety, and effect persistence.","author":[{"dropping-particle":"","family":"Trumbower","given":"Randy D.","non-dropping-particle":"","parse-names":false,"suffix":""},{"dropping-particle":"","family":"Hayes","given":"Heather B.","non-dropping-particle":"","parse-names":false,"suffix":""},{"dropping-particle":"","family":"Mitchell","given":"Gordon S.","non-dropping-particle":"","parse-names":false,"suffix":""},{"dropping-particle":"","family":"Wolf","given":"Steven L.","non-dropping-particle":"","parse-names":false,"suffix":""},{"dropping-particle":"","family":"Stahl","given":"Victoria A.","non-dropping-particle":"","parse-names":false,"suffix":""}],"container-title":"Neurology","id":"ITEM-2","issue":"18","issued":{"date-parts":[["2017"]]},"page":"1904-1907","title":"Effects of acute intermittent hypoxia on hand use after spinal cord trauma: A preliminary study","type":"article-journal","volume":"89"},"uris":["http://www.mendeley.com/documents/?uuid=f06594a2-51cc-4db1-af53-2aec2d12d0b1"]}],"mendeley":{"formattedCitation":"(HAYES et al., 2014; TRUMBOWER et al., 2017)","plainTextFormattedCitation":"(HAYES et al., 2014; TRUMBOWER et al., 2017)","previouslyFormattedCitation":"(HAYES et al., 2014; TRUMBOWER et al., 2017)"},"properties":{"noteIndex":0},"schema":"https://github.com/citation-style-language/schema/raw/master/csl-citation.json"}</w:instrText>
      </w:r>
      <w:r w:rsidR="00B95F5D" w:rsidRPr="00A65B69">
        <w:rPr>
          <w:color w:val="000000" w:themeColor="text1"/>
          <w:sz w:val="23"/>
          <w:szCs w:val="23"/>
          <w:lang w:val="pt-BR"/>
        </w:rPr>
        <w:fldChar w:fldCharType="separate"/>
      </w:r>
      <w:r w:rsidR="00B95F5D" w:rsidRPr="00A65B69">
        <w:rPr>
          <w:noProof/>
          <w:color w:val="000000" w:themeColor="text1"/>
          <w:sz w:val="23"/>
          <w:szCs w:val="23"/>
          <w:lang w:val="pt-BR"/>
        </w:rPr>
        <w:t>(HAYES et al., 2014; TRUMBOWER et al., 2017)</w:t>
      </w:r>
      <w:r w:rsidR="00B95F5D" w:rsidRPr="00A65B69">
        <w:rPr>
          <w:color w:val="000000" w:themeColor="text1"/>
          <w:sz w:val="23"/>
          <w:szCs w:val="23"/>
          <w:lang w:val="pt-BR"/>
        </w:rPr>
        <w:fldChar w:fldCharType="end"/>
      </w:r>
      <w:r w:rsidRPr="00A65B69">
        <w:rPr>
          <w:color w:val="000000" w:themeColor="text1"/>
          <w:sz w:val="23"/>
          <w:szCs w:val="23"/>
          <w:lang w:val="pt-BR"/>
        </w:rPr>
        <w:t xml:space="preserve">. De fato, em sua revisão englobando estudos em modelo animal e em humanos, Dale et al. </w:t>
      </w:r>
      <w:r w:rsidR="00A91716" w:rsidRPr="00A65B69">
        <w:rPr>
          <w:color w:val="000000" w:themeColor="text1"/>
          <w:sz w:val="23"/>
          <w:szCs w:val="23"/>
          <w:lang w:val="pt-BR"/>
        </w:rPr>
        <w:t>(</w:t>
      </w:r>
      <w:r w:rsidR="00B95F5D" w:rsidRPr="00A65B69">
        <w:rPr>
          <w:color w:val="000000" w:themeColor="text1"/>
          <w:sz w:val="23"/>
          <w:szCs w:val="23"/>
          <w:lang w:val="pt-BR"/>
        </w:rPr>
        <w:t>2014</w:t>
      </w:r>
      <w:r w:rsidR="00A91716" w:rsidRPr="00A65B69">
        <w:rPr>
          <w:color w:val="000000" w:themeColor="text1"/>
          <w:sz w:val="23"/>
          <w:szCs w:val="23"/>
          <w:lang w:val="pt-BR"/>
        </w:rPr>
        <w:t xml:space="preserve">) </w:t>
      </w:r>
      <w:r w:rsidRPr="00A65B69">
        <w:rPr>
          <w:color w:val="000000" w:themeColor="text1"/>
          <w:sz w:val="23"/>
          <w:szCs w:val="23"/>
          <w:lang w:val="pt-BR"/>
        </w:rPr>
        <w:t xml:space="preserve">indicaram que a HI pode ser uma estratégia promissora para a melhora da função motora em doenças neurodegenerativas, mas o corpo de conhecimento sobre esta temática deve ser aumentado substancialmente. </w:t>
      </w:r>
    </w:p>
    <w:p w14:paraId="2A2E4442" w14:textId="17B647BB" w:rsidR="002E4A5E" w:rsidRPr="00A65B69" w:rsidRDefault="00472341" w:rsidP="00CF7A48">
      <w:pPr>
        <w:spacing w:line="480" w:lineRule="auto"/>
        <w:ind w:firstLine="720"/>
        <w:jc w:val="both"/>
        <w:rPr>
          <w:color w:val="000000" w:themeColor="text1"/>
          <w:sz w:val="23"/>
          <w:szCs w:val="23"/>
          <w:lang w:val="pt-BR"/>
        </w:rPr>
      </w:pPr>
      <w:r w:rsidRPr="00A65B69">
        <w:rPr>
          <w:color w:val="000000" w:themeColor="text1"/>
          <w:sz w:val="23"/>
          <w:szCs w:val="23"/>
          <w:lang w:val="pt-BR"/>
        </w:rPr>
        <w:t>Além dos biomarcadores indicados acima, pode ocorrer de maneira concomitante</w:t>
      </w:r>
      <w:r w:rsidR="005F480B" w:rsidRPr="00A65B69">
        <w:rPr>
          <w:color w:val="000000" w:themeColor="text1"/>
          <w:sz w:val="23"/>
          <w:szCs w:val="23"/>
          <w:lang w:val="pt-BR"/>
        </w:rPr>
        <w:t>,</w:t>
      </w:r>
      <w:r w:rsidRPr="00A65B69">
        <w:rPr>
          <w:color w:val="000000" w:themeColor="text1"/>
          <w:sz w:val="23"/>
          <w:szCs w:val="23"/>
          <w:lang w:val="pt-BR"/>
        </w:rPr>
        <w:t xml:space="preserve"> um aumento das concentrações de </w:t>
      </w:r>
      <w:r w:rsidR="00E86C06" w:rsidRPr="00A65B69">
        <w:rPr>
          <w:color w:val="000000" w:themeColor="text1"/>
          <w:sz w:val="23"/>
          <w:szCs w:val="23"/>
          <w:lang w:val="pt-BR"/>
        </w:rPr>
        <w:t>Interleucina-6</w:t>
      </w:r>
      <w:r w:rsidR="00F9577A" w:rsidRPr="00A65B69">
        <w:rPr>
          <w:color w:val="000000" w:themeColor="text1"/>
          <w:sz w:val="23"/>
          <w:szCs w:val="23"/>
          <w:lang w:val="pt-BR"/>
        </w:rPr>
        <w:t xml:space="preserve"> </w:t>
      </w:r>
      <w:r w:rsidR="00E86C06" w:rsidRPr="00A65B69">
        <w:rPr>
          <w:color w:val="000000" w:themeColor="text1"/>
          <w:sz w:val="23"/>
          <w:szCs w:val="23"/>
          <w:lang w:val="pt-BR"/>
        </w:rPr>
        <w:t>(</w:t>
      </w:r>
      <w:r w:rsidRPr="00A65B69">
        <w:rPr>
          <w:color w:val="000000" w:themeColor="text1"/>
          <w:sz w:val="23"/>
          <w:szCs w:val="23"/>
          <w:lang w:val="pt-BR"/>
        </w:rPr>
        <w:t>IL-6</w:t>
      </w:r>
      <w:r w:rsidR="00E86C06" w:rsidRPr="00A65B69">
        <w:rPr>
          <w:color w:val="000000" w:themeColor="text1"/>
          <w:sz w:val="23"/>
          <w:szCs w:val="23"/>
          <w:lang w:val="pt-BR"/>
        </w:rPr>
        <w:t>)</w:t>
      </w:r>
      <w:r w:rsidRPr="00A65B69">
        <w:rPr>
          <w:color w:val="000000" w:themeColor="text1"/>
          <w:sz w:val="23"/>
          <w:szCs w:val="23"/>
          <w:lang w:val="pt-BR"/>
        </w:rPr>
        <w:t>, o que foi observado após a exposição aguda ao ambiente de hipóxia contínua (i.e., 4 h de exposição</w:t>
      </w:r>
      <w:r w:rsidR="00B95F5D" w:rsidRPr="00A65B69">
        <w:rPr>
          <w:color w:val="000000" w:themeColor="text1"/>
          <w:sz w:val="23"/>
          <w:szCs w:val="23"/>
          <w:lang w:val="pt-BR"/>
        </w:rPr>
        <w:t xml:space="preserve">) </w:t>
      </w:r>
      <w:r w:rsidR="00B95F5D"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{"citationItems":[{"id":"ITEM-1","itemData":{"DOI":"10.1006/cyto.1999.0533","ISSN":"10434666","PMID":"10704252","abstract":"Hypoxic pulmonary vasoconstriction is associated with but may not be sufficient for the development of high-altitude pulmonary oedema (HAPO). Hypoxia is known to induce an inflammatory response in immune cells and endothelial cells. It has been speculated that hypoxia-induced inflammatory cytokines at high altitude may contribute to the development of HAPO by causing capillary leakage in the lung. We were interested if such an inflammatory response, possibly involved in a later development of HAPO, is detectable at high altitude in individuals without HAPO. We examined the plasma levels of interleukin 6 (IL-6), interleukin 1 receptor antagonist (IL-1ra) and C-reactive protein (CRP) in two independent studies: study A, Jungfraujoch, Switzerland, three overnight stays at 3458 m, n = 12; study B: Capanna Regina Margherita, Italy, 3 overnight stays at 3647 m and one overnight stay at 4559 m, n = 10. In both studies, probands showed symptoms of acute mountain sickness but no signs of HAPO. At the Jungfraujoch, IL-6 increased from 0.1 ± 0.03 pg/ml to 2.0 ± 0.5 pg/ml (day 2, P = 0.03), IL-1ra from 101 ± 21 to 284 ± 73 pg/ml (day 2, P = 0.01), and CRP from 1.0 ± 0.4 to 5.8 ± 1.5 μg/ml (day 4, P = 0.01). At the Capanna Margherita, IL-6 increased from 0.5 ± 0.2 μg/ml to 2.0 ± 0.8 μg/ml (P = 0.02), IL-1ra from 118 ± 25 to 213 ± 28 pg/ml (P = 0.02), and CRP from 0.4 ± 0.03 to 3.5 ± 1.1 μg/ml (P = 0.03). IL-8 was below the detection limit of the ELISA (&lt; 25 pg/ml) in both studies. The increase of IL-6 and IL-1ra in response to high altitude was delayed and preceded the increase of CRP. We conclude that: (1) circulating IL-6, IL-1ra and CRP are upregulated in response to hypobaric hypoxic conditions at high altitude, and (2) the moderate systemic increase of these inflammatory markers may reflect considerable local inflammation. The existence and the kinetics of high altitude-induced cytokines found in this study support the hypothesis that inflammation is involved in the development of HAPO. (C) 2000 Academic Press.","author":[{"dropping-particle":"","family":"Hartmann","given":"G.","non-dropping-particle":"","parse-names":false,"suffix":""},{"dropping-particle":"","family":"Tschöp","given":"M.","non-dropping-particle":"","parse-names":false,"suffix":""},{"dropping-particle":"","family":"Fischer","given":"R.","non-dropping-particle":"","parse-names":false,"suffix":""},{"dropping-particle":"","family":"Bidlingmaier","given":"C.","non-dropping-particle":"","parse-names":false,"suffix":""},{"dropping-particle":"","family":"Riepl","given":"R.","non-dropping-particle":"","parse-names":false,"suffix":""},{"dropping-particle":"","family":"Tschöp","given":"K.","non-dropping-particle":"","parse-names":false,"suffix":""},{"dropping-particle":"","family":"Hautmann","given":"H.","non-dropping-particle":"","parse-names":false,"suffix":""},{"dropping-particle":"","family":"Endres","given":"S.","non-dropping-particle":"","parse-names":false,"suffix":""},{"dropping-particle":"","family":"Toepfer","given":"M.","non-dropping-particle":"","parse-names":false,"suffix":""}],"container-title":"Cytokine","id":"ITEM-1","issue":"3","issued":{"date-parts":[["2000"]]},"page":"246-252","title":"High altitude increases circulating interleukin-6, interleukin-1 receptor antagonist and C-reactive protein","type":"article-journal","volume":"12"},"uris":["http://www.mendeley.com/documents/?uuid=69addf62-bafe-4f0f-8eb8-f0c6954ffb83"]}],"mendeley":{"formattedCitation":"(HARTMANN et al., 2000)","plainTextFormattedCitation":"(HARTMANN et al., 2000)","previouslyFormattedCitation":"(HARTMANN et al., 2000)"},"properties":{"noteIndex":0},"schema":"https://github.com/citation-style-language/schema/raw/master/csl-citation.json"}</w:instrText>
      </w:r>
      <w:r w:rsidR="00B95F5D" w:rsidRPr="00A65B69">
        <w:rPr>
          <w:color w:val="000000" w:themeColor="text1"/>
          <w:sz w:val="23"/>
          <w:szCs w:val="23"/>
          <w:lang w:val="pt-BR"/>
        </w:rPr>
        <w:fldChar w:fldCharType="separate"/>
      </w:r>
      <w:r w:rsidR="00B95F5D" w:rsidRPr="00A65B69">
        <w:rPr>
          <w:noProof/>
          <w:color w:val="000000" w:themeColor="text1"/>
          <w:sz w:val="23"/>
          <w:szCs w:val="23"/>
          <w:lang w:val="pt-BR"/>
        </w:rPr>
        <w:t>(HARTMANN et al., 2000)</w:t>
      </w:r>
      <w:r w:rsidR="00B95F5D" w:rsidRPr="00A65B69">
        <w:rPr>
          <w:color w:val="000000" w:themeColor="text1"/>
          <w:sz w:val="23"/>
          <w:szCs w:val="23"/>
          <w:lang w:val="pt-BR"/>
        </w:rPr>
        <w:fldChar w:fldCharType="end"/>
      </w:r>
      <w:r w:rsidRPr="00A65B69">
        <w:rPr>
          <w:color w:val="000000" w:themeColor="text1"/>
          <w:sz w:val="23"/>
          <w:szCs w:val="23"/>
          <w:lang w:val="pt-BR"/>
        </w:rPr>
        <w:t xml:space="preserve">. Com isso, embora a atividade cortical seja comprometida – diminuindo a participação da hipótese da homeostase das sinapses – </w:t>
      </w:r>
      <w:r w:rsidR="00526032" w:rsidRPr="00A65B69">
        <w:rPr>
          <w:color w:val="000000" w:themeColor="text1"/>
          <w:sz w:val="23"/>
          <w:szCs w:val="23"/>
          <w:lang w:val="pt-BR"/>
        </w:rPr>
        <w:t>a regulação dos níveis séricos de</w:t>
      </w:r>
      <w:r w:rsidRPr="00A65B69">
        <w:rPr>
          <w:color w:val="000000" w:themeColor="text1"/>
          <w:sz w:val="23"/>
          <w:szCs w:val="23"/>
          <w:lang w:val="pt-BR"/>
        </w:rPr>
        <w:t xml:space="preserve"> IL-6 pode levar a uma melhor qualidade do sono, o que potencializaria os efeitos neurais do BDNF. Assim, a exposição a hipóxia durante a vigília também pode melhorar a qualidade do sono</w:t>
      </w:r>
      <w:r w:rsidR="00312A6E" w:rsidRPr="00A65B69">
        <w:rPr>
          <w:color w:val="000000" w:themeColor="text1"/>
          <w:sz w:val="23"/>
          <w:szCs w:val="23"/>
          <w:lang w:val="pt-BR"/>
        </w:rPr>
        <w:t xml:space="preserve"> </w:t>
      </w:r>
      <w:r w:rsidR="00E31B2E" w:rsidRPr="00A65B69">
        <w:rPr>
          <w:color w:val="000000" w:themeColor="text1"/>
          <w:sz w:val="23"/>
          <w:szCs w:val="23"/>
          <w:lang w:val="pt-BR"/>
        </w:rPr>
        <w:fldChar w:fldCharType="begin" w:fldLock="1"/>
      </w:r>
      <w:r w:rsidR="00CF7A48" w:rsidRPr="00A65B69">
        <w:rPr>
          <w:color w:val="000000" w:themeColor="text1"/>
          <w:sz w:val="23"/>
          <w:szCs w:val="23"/>
          <w:lang w:val="pt-BR"/>
        </w:rPr>
        <w:instrText>ADDIN CSL_CITATION {"citationItems":[{"id":"ITEM-1","itemData":{"DOI":"10.1523/JNEUROSCI.5510-07.2008","author":[{"dropping-particle":"","family":"Faraguna","given":"Ugo","non-dropping-particle":"","parse-names":false,"suffix":""},{"dropping-particle":"","family":"Vyazovskiy","given":"Vladyslav","non-dropping-particle":"","parse-names":false,"suffix":""},{"dropping-particle":"","family":"Nelson","given":"Aaron","non-dropping-particle":"","parse-names":false,"suffix":""},{"dropping-particle":"","family":"Tononi","given":"Giulio","non-dropping-particle":"","parse-names":false,"suffix":""},{"dropping-particle":"","family":"Cirelli","given":"Chiara","non-dropping-particle":"","parse-names":false,"suffix":""}],"container-title":"The Journal of neuroscience : the official journal of the Society for Neuroscience","id":"ITEM-1","issued":{"date-parts":[["2008"]]},"page":"4088-4095","title":"A Causal Role for Brain-Derived Neurotrophic Factor in the Homeostatic Regulation of Sleep","type":"article-journal","volume":"28"},"uris":["http://www.mendeley.com/documents/?uuid=9be79275-d1c5-4f75-b000-cf640aa4ee8f"]}],"mendeley":{"formattedCitation":"(FARAGUNA et al., 2008)","plainTextFormattedCitation":"(FARAGUNA et al., 2008)","previouslyFormattedCitation":"(FARAGUNA et al., 2008)"},"properties":{"noteIndex":0},"schema":"https://github.com/citation-style-language/schema/raw/master/csl-citation.json"}</w:instrText>
      </w:r>
      <w:r w:rsidR="00E31B2E" w:rsidRPr="00A65B69">
        <w:rPr>
          <w:color w:val="000000" w:themeColor="text1"/>
          <w:sz w:val="23"/>
          <w:szCs w:val="23"/>
          <w:lang w:val="pt-BR"/>
        </w:rPr>
        <w:fldChar w:fldCharType="separate"/>
      </w:r>
      <w:r w:rsidR="00E31B2E" w:rsidRPr="00A65B69">
        <w:rPr>
          <w:noProof/>
          <w:color w:val="000000" w:themeColor="text1"/>
          <w:sz w:val="23"/>
          <w:szCs w:val="23"/>
          <w:lang w:val="pt-BR"/>
        </w:rPr>
        <w:t>(FARAGUNA et al., 2008)</w:t>
      </w:r>
      <w:r w:rsidR="00E31B2E" w:rsidRPr="00A65B69">
        <w:rPr>
          <w:color w:val="000000" w:themeColor="text1"/>
          <w:sz w:val="23"/>
          <w:szCs w:val="23"/>
          <w:lang w:val="pt-BR"/>
        </w:rPr>
        <w:fldChar w:fldCharType="end"/>
      </w:r>
      <w:r w:rsidRPr="00A65B69">
        <w:rPr>
          <w:color w:val="000000" w:themeColor="text1"/>
          <w:sz w:val="23"/>
          <w:szCs w:val="23"/>
          <w:lang w:val="pt-BR"/>
        </w:rPr>
        <w:t xml:space="preserve">, quando este é realizado em </w:t>
      </w:r>
      <w:proofErr w:type="spellStart"/>
      <w:r w:rsidRPr="00A65B69">
        <w:rPr>
          <w:color w:val="000000" w:themeColor="text1"/>
          <w:sz w:val="23"/>
          <w:szCs w:val="23"/>
          <w:lang w:val="pt-BR"/>
        </w:rPr>
        <w:t>normóxia</w:t>
      </w:r>
      <w:proofErr w:type="spellEnd"/>
      <w:r w:rsidRPr="00A65B69">
        <w:rPr>
          <w:color w:val="000000" w:themeColor="text1"/>
          <w:sz w:val="23"/>
          <w:szCs w:val="23"/>
          <w:lang w:val="pt-BR"/>
        </w:rPr>
        <w:t xml:space="preserve">, o que seria benéfico para </w:t>
      </w:r>
      <w:r w:rsidR="003C033F" w:rsidRPr="00A65B69">
        <w:rPr>
          <w:color w:val="000000" w:themeColor="text1"/>
          <w:sz w:val="23"/>
          <w:szCs w:val="23"/>
          <w:lang w:val="pt-BR"/>
        </w:rPr>
        <w:t xml:space="preserve">pacientes </w:t>
      </w:r>
      <w:r w:rsidRPr="00A65B69">
        <w:rPr>
          <w:color w:val="000000" w:themeColor="text1"/>
          <w:sz w:val="23"/>
          <w:szCs w:val="23"/>
          <w:lang w:val="pt-BR"/>
        </w:rPr>
        <w:t xml:space="preserve">com DP. Entretanto, </w:t>
      </w:r>
      <w:r w:rsidR="00AF66B5" w:rsidRPr="00A65B69">
        <w:rPr>
          <w:color w:val="000000" w:themeColor="text1"/>
          <w:sz w:val="23"/>
          <w:szCs w:val="23"/>
          <w:lang w:val="pt-BR"/>
        </w:rPr>
        <w:t>a regulação dos níveis séricos</w:t>
      </w:r>
      <w:r w:rsidRPr="00A65B69">
        <w:rPr>
          <w:color w:val="000000" w:themeColor="text1"/>
          <w:sz w:val="23"/>
          <w:szCs w:val="23"/>
          <w:lang w:val="pt-BR"/>
        </w:rPr>
        <w:t xml:space="preserve"> d</w:t>
      </w:r>
      <w:r w:rsidR="00AF66B5" w:rsidRPr="00A65B69">
        <w:rPr>
          <w:color w:val="000000" w:themeColor="text1"/>
          <w:sz w:val="23"/>
          <w:szCs w:val="23"/>
          <w:lang w:val="pt-BR"/>
        </w:rPr>
        <w:t>e</w:t>
      </w:r>
      <w:r w:rsidRPr="00A65B69">
        <w:rPr>
          <w:color w:val="000000" w:themeColor="text1"/>
          <w:sz w:val="23"/>
          <w:szCs w:val="23"/>
          <w:lang w:val="pt-BR"/>
        </w:rPr>
        <w:t xml:space="preserve"> IL-6 ainda não foi </w:t>
      </w:r>
      <w:proofErr w:type="gramStart"/>
      <w:r w:rsidRPr="00A65B69">
        <w:rPr>
          <w:color w:val="000000" w:themeColor="text1"/>
          <w:sz w:val="23"/>
          <w:szCs w:val="23"/>
          <w:lang w:val="pt-BR"/>
        </w:rPr>
        <w:t>demonstrado</w:t>
      </w:r>
      <w:proofErr w:type="gramEnd"/>
      <w:r w:rsidRPr="00A65B69">
        <w:rPr>
          <w:color w:val="000000" w:themeColor="text1"/>
          <w:sz w:val="23"/>
          <w:szCs w:val="23"/>
          <w:lang w:val="pt-BR"/>
        </w:rPr>
        <w:t xml:space="preserve"> após a HI aplicada </w:t>
      </w:r>
      <w:r w:rsidR="00127656" w:rsidRPr="00A65B69">
        <w:rPr>
          <w:color w:val="000000" w:themeColor="text1"/>
          <w:sz w:val="23"/>
          <w:szCs w:val="23"/>
          <w:lang w:val="pt-BR"/>
        </w:rPr>
        <w:t>em</w:t>
      </w:r>
      <w:r w:rsidRPr="00A65B69">
        <w:rPr>
          <w:color w:val="000000" w:themeColor="text1"/>
          <w:sz w:val="23"/>
          <w:szCs w:val="23"/>
          <w:lang w:val="pt-BR"/>
        </w:rPr>
        <w:t xml:space="preserve"> </w:t>
      </w:r>
      <w:r w:rsidR="003C033F" w:rsidRPr="00A65B69">
        <w:rPr>
          <w:color w:val="000000" w:themeColor="text1"/>
          <w:sz w:val="23"/>
          <w:szCs w:val="23"/>
          <w:lang w:val="pt-BR"/>
        </w:rPr>
        <w:t xml:space="preserve">pacientes </w:t>
      </w:r>
      <w:r w:rsidRPr="00A65B69">
        <w:rPr>
          <w:color w:val="000000" w:themeColor="text1"/>
          <w:sz w:val="23"/>
          <w:szCs w:val="23"/>
          <w:lang w:val="pt-BR"/>
        </w:rPr>
        <w:t>com DP, o que caracteriza uma importante lacuna sobre o conhecimento dos efeitos desta estratégia na qualidade do sono desta população.</w:t>
      </w:r>
    </w:p>
    <w:p w14:paraId="4C622C0D" w14:textId="00335E55" w:rsidR="009E75F6" w:rsidRPr="00A65B69" w:rsidRDefault="00F94850" w:rsidP="00905372">
      <w:pPr>
        <w:spacing w:line="480" w:lineRule="auto"/>
        <w:rPr>
          <w:b/>
          <w:bCs/>
          <w:color w:val="000000" w:themeColor="text1"/>
          <w:sz w:val="23"/>
          <w:szCs w:val="23"/>
          <w:lang w:val="pt-BR"/>
        </w:rPr>
      </w:pPr>
      <w:r w:rsidRPr="00A65B69">
        <w:rPr>
          <w:b/>
          <w:bCs/>
          <w:color w:val="000000" w:themeColor="text1"/>
          <w:sz w:val="23"/>
          <w:szCs w:val="23"/>
          <w:lang w:val="pt-BR"/>
        </w:rPr>
        <w:t xml:space="preserve">2. </w:t>
      </w:r>
      <w:r w:rsidR="009E75F6" w:rsidRPr="00A65B69">
        <w:rPr>
          <w:b/>
          <w:bCs/>
          <w:color w:val="000000" w:themeColor="text1"/>
          <w:sz w:val="23"/>
          <w:szCs w:val="23"/>
          <w:lang w:val="pt-BR"/>
        </w:rPr>
        <w:t>Objetivos</w:t>
      </w:r>
      <w:r w:rsidR="00A32B3F" w:rsidRPr="00A65B69">
        <w:rPr>
          <w:b/>
          <w:bCs/>
          <w:color w:val="000000" w:themeColor="text1"/>
          <w:sz w:val="23"/>
          <w:szCs w:val="23"/>
          <w:lang w:val="pt-BR"/>
        </w:rPr>
        <w:t xml:space="preserve"> </w:t>
      </w:r>
      <w:r w:rsidR="00D428A3" w:rsidRPr="00A65B69">
        <w:rPr>
          <w:b/>
          <w:bCs/>
          <w:color w:val="000000" w:themeColor="text1"/>
          <w:sz w:val="23"/>
          <w:szCs w:val="23"/>
          <w:lang w:val="pt-BR"/>
        </w:rPr>
        <w:t>e resultados esperados</w:t>
      </w:r>
    </w:p>
    <w:p w14:paraId="5F5E512B" w14:textId="5CE12EF4" w:rsidR="003A0DEC" w:rsidRPr="00A65B69" w:rsidRDefault="00516C23" w:rsidP="00905372">
      <w:pPr>
        <w:pStyle w:val="BodyText"/>
        <w:spacing w:before="0" w:line="480" w:lineRule="auto"/>
        <w:ind w:left="0" w:right="2" w:firstLine="720"/>
        <w:rPr>
          <w:color w:val="000000" w:themeColor="text1"/>
          <w:sz w:val="23"/>
          <w:szCs w:val="23"/>
          <w:lang w:val="pt-BR"/>
        </w:rPr>
      </w:pPr>
      <w:r w:rsidRPr="00A65B69">
        <w:rPr>
          <w:color w:val="000000" w:themeColor="text1"/>
          <w:sz w:val="23"/>
          <w:szCs w:val="23"/>
          <w:lang w:val="pt-BR"/>
        </w:rPr>
        <w:t>O</w:t>
      </w:r>
      <w:r w:rsidR="003A0DEC" w:rsidRPr="00A65B69">
        <w:rPr>
          <w:color w:val="000000" w:themeColor="text1"/>
          <w:sz w:val="23"/>
          <w:szCs w:val="23"/>
          <w:lang w:val="pt-BR"/>
        </w:rPr>
        <w:t xml:space="preserve"> objetivo</w:t>
      </w:r>
      <w:r w:rsidR="00D906AD" w:rsidRPr="00A65B69">
        <w:rPr>
          <w:color w:val="000000" w:themeColor="text1"/>
          <w:sz w:val="23"/>
          <w:szCs w:val="23"/>
          <w:lang w:val="pt-BR"/>
        </w:rPr>
        <w:t xml:space="preserve"> geral deste projeto de pesquisa é</w:t>
      </w:r>
      <w:r w:rsidR="003A0DEC" w:rsidRPr="00A65B69">
        <w:rPr>
          <w:color w:val="000000" w:themeColor="text1"/>
          <w:sz w:val="23"/>
          <w:szCs w:val="23"/>
          <w:lang w:val="pt-BR"/>
        </w:rPr>
        <w:t xml:space="preserve"> investigar </w:t>
      </w:r>
      <w:r w:rsidRPr="00A65B69">
        <w:rPr>
          <w:color w:val="000000" w:themeColor="text1"/>
          <w:sz w:val="23"/>
          <w:szCs w:val="23"/>
          <w:lang w:val="pt-BR"/>
        </w:rPr>
        <w:t xml:space="preserve">as </w:t>
      </w:r>
      <w:r w:rsidR="003A0DEC" w:rsidRPr="00A65B69">
        <w:rPr>
          <w:color w:val="000000" w:themeColor="text1"/>
          <w:sz w:val="23"/>
          <w:szCs w:val="23"/>
          <w:lang w:val="pt-BR"/>
        </w:rPr>
        <w:t xml:space="preserve">adaptações </w:t>
      </w:r>
      <w:r w:rsidR="00D906AD" w:rsidRPr="00A65B69">
        <w:rPr>
          <w:color w:val="000000" w:themeColor="text1"/>
          <w:sz w:val="23"/>
          <w:szCs w:val="23"/>
          <w:lang w:val="pt-BR"/>
        </w:rPr>
        <w:t xml:space="preserve">agudas </w:t>
      </w:r>
      <w:r w:rsidR="003A0DEC" w:rsidRPr="00A65B69">
        <w:rPr>
          <w:color w:val="000000" w:themeColor="text1"/>
          <w:sz w:val="23"/>
          <w:szCs w:val="23"/>
          <w:lang w:val="pt-BR"/>
        </w:rPr>
        <w:t xml:space="preserve">induzidas pela </w:t>
      </w:r>
      <w:r w:rsidR="00D906AD" w:rsidRPr="00A65B69">
        <w:rPr>
          <w:color w:val="000000" w:themeColor="text1"/>
          <w:sz w:val="23"/>
          <w:szCs w:val="23"/>
          <w:lang w:val="pt-BR"/>
        </w:rPr>
        <w:t>HI</w:t>
      </w:r>
      <w:r w:rsidR="003A0DEC" w:rsidRPr="00A65B69">
        <w:rPr>
          <w:color w:val="000000" w:themeColor="text1"/>
          <w:sz w:val="23"/>
          <w:szCs w:val="23"/>
          <w:lang w:val="pt-BR"/>
        </w:rPr>
        <w:t xml:space="preserve"> </w:t>
      </w:r>
      <w:r w:rsidR="00D906AD" w:rsidRPr="00A65B69">
        <w:rPr>
          <w:color w:val="000000" w:themeColor="text1"/>
          <w:sz w:val="23"/>
          <w:szCs w:val="23"/>
          <w:lang w:val="pt-BR"/>
        </w:rPr>
        <w:t>na marcha,</w:t>
      </w:r>
      <w:r w:rsidR="00592CEA" w:rsidRPr="00A65B69">
        <w:rPr>
          <w:color w:val="000000" w:themeColor="text1"/>
          <w:sz w:val="23"/>
          <w:szCs w:val="23"/>
          <w:lang w:val="pt-BR"/>
        </w:rPr>
        <w:t xml:space="preserve"> </w:t>
      </w:r>
      <w:r w:rsidRPr="00A65B69">
        <w:rPr>
          <w:color w:val="000000" w:themeColor="text1"/>
          <w:sz w:val="23"/>
          <w:szCs w:val="23"/>
          <w:lang w:val="pt-BR"/>
        </w:rPr>
        <w:t>na</w:t>
      </w:r>
      <w:r w:rsidR="00D906AD" w:rsidRPr="00A65B69">
        <w:rPr>
          <w:color w:val="000000" w:themeColor="text1"/>
          <w:sz w:val="23"/>
          <w:szCs w:val="23"/>
          <w:lang w:val="pt-BR"/>
        </w:rPr>
        <w:t xml:space="preserve"> qualidade do</w:t>
      </w:r>
      <w:r w:rsidR="00D906AD" w:rsidRPr="00A65B69">
        <w:rPr>
          <w:color w:val="000000" w:themeColor="text1"/>
          <w:spacing w:val="1"/>
          <w:sz w:val="23"/>
          <w:szCs w:val="23"/>
          <w:lang w:val="pt-BR"/>
        </w:rPr>
        <w:t xml:space="preserve"> </w:t>
      </w:r>
      <w:r w:rsidR="00D906AD" w:rsidRPr="00A65B69">
        <w:rPr>
          <w:color w:val="000000" w:themeColor="text1"/>
          <w:sz w:val="23"/>
          <w:szCs w:val="23"/>
          <w:lang w:val="pt-BR"/>
        </w:rPr>
        <w:t>sono</w:t>
      </w:r>
      <w:r w:rsidR="00D906AD" w:rsidRPr="00A65B69">
        <w:rPr>
          <w:color w:val="000000" w:themeColor="text1"/>
          <w:spacing w:val="-1"/>
          <w:sz w:val="23"/>
          <w:szCs w:val="23"/>
          <w:lang w:val="pt-BR"/>
        </w:rPr>
        <w:t xml:space="preserve"> </w:t>
      </w:r>
      <w:r w:rsidR="00D906AD" w:rsidRPr="00A65B69">
        <w:rPr>
          <w:color w:val="000000" w:themeColor="text1"/>
          <w:sz w:val="23"/>
          <w:szCs w:val="23"/>
          <w:lang w:val="pt-BR"/>
        </w:rPr>
        <w:t>e</w:t>
      </w:r>
      <w:r w:rsidR="00D906AD" w:rsidRPr="00A65B69">
        <w:rPr>
          <w:color w:val="000000" w:themeColor="text1"/>
          <w:spacing w:val="-1"/>
          <w:sz w:val="23"/>
          <w:szCs w:val="23"/>
          <w:lang w:val="pt-BR"/>
        </w:rPr>
        <w:t xml:space="preserve"> nos </w:t>
      </w:r>
      <w:r w:rsidR="00D906AD" w:rsidRPr="00A65B69">
        <w:rPr>
          <w:color w:val="000000" w:themeColor="text1"/>
          <w:sz w:val="23"/>
          <w:szCs w:val="23"/>
          <w:lang w:val="pt-BR"/>
        </w:rPr>
        <w:t>biomarcadores sanguíneos em</w:t>
      </w:r>
      <w:r w:rsidR="00D906AD" w:rsidRPr="00A65B69">
        <w:rPr>
          <w:color w:val="000000" w:themeColor="text1"/>
          <w:spacing w:val="-1"/>
          <w:sz w:val="23"/>
          <w:szCs w:val="23"/>
          <w:lang w:val="pt-BR"/>
        </w:rPr>
        <w:t xml:space="preserve"> </w:t>
      </w:r>
      <w:r w:rsidR="00D906AD" w:rsidRPr="00A65B69">
        <w:rPr>
          <w:color w:val="000000" w:themeColor="text1"/>
          <w:sz w:val="23"/>
          <w:szCs w:val="23"/>
          <w:lang w:val="pt-BR"/>
        </w:rPr>
        <w:t>p</w:t>
      </w:r>
      <w:r w:rsidR="00C965C2" w:rsidRPr="00A65B69">
        <w:rPr>
          <w:color w:val="000000" w:themeColor="text1"/>
          <w:sz w:val="23"/>
          <w:szCs w:val="23"/>
          <w:lang w:val="pt-BR"/>
        </w:rPr>
        <w:t>essoas</w:t>
      </w:r>
      <w:r w:rsidR="00D906AD" w:rsidRPr="00A65B69">
        <w:rPr>
          <w:color w:val="000000" w:themeColor="text1"/>
          <w:sz w:val="23"/>
          <w:szCs w:val="23"/>
          <w:lang w:val="pt-BR"/>
        </w:rPr>
        <w:t xml:space="preserve"> com</w:t>
      </w:r>
      <w:r w:rsidR="00D906AD" w:rsidRPr="00A65B69">
        <w:rPr>
          <w:color w:val="000000" w:themeColor="text1"/>
          <w:spacing w:val="-1"/>
          <w:sz w:val="23"/>
          <w:szCs w:val="23"/>
          <w:lang w:val="pt-BR"/>
        </w:rPr>
        <w:t xml:space="preserve"> </w:t>
      </w:r>
      <w:r w:rsidR="00D906AD" w:rsidRPr="00A65B69">
        <w:rPr>
          <w:color w:val="000000" w:themeColor="text1"/>
          <w:sz w:val="23"/>
          <w:szCs w:val="23"/>
          <w:lang w:val="pt-BR"/>
        </w:rPr>
        <w:t>DP</w:t>
      </w:r>
      <w:r w:rsidR="003F24E3" w:rsidRPr="00A65B69">
        <w:rPr>
          <w:color w:val="000000" w:themeColor="text1"/>
          <w:sz w:val="23"/>
          <w:szCs w:val="23"/>
          <w:lang w:val="pt-BR"/>
        </w:rPr>
        <w:t>,</w:t>
      </w:r>
      <w:r w:rsidRPr="00A65B69">
        <w:rPr>
          <w:color w:val="000000" w:themeColor="text1"/>
          <w:sz w:val="23"/>
          <w:szCs w:val="23"/>
          <w:lang w:val="pt-BR"/>
        </w:rPr>
        <w:t xml:space="preserve"> e revisar a literatura sobre os efeitos da hipóxia na DP. </w:t>
      </w:r>
      <w:r w:rsidR="003A0DEC" w:rsidRPr="00A65B69">
        <w:rPr>
          <w:color w:val="000000" w:themeColor="text1"/>
          <w:sz w:val="23"/>
          <w:szCs w:val="23"/>
          <w:lang w:val="pt-BR"/>
        </w:rPr>
        <w:t xml:space="preserve">Especificamente, </w:t>
      </w:r>
      <w:r w:rsidR="00D906AD" w:rsidRPr="00A65B69">
        <w:rPr>
          <w:color w:val="000000" w:themeColor="text1"/>
          <w:sz w:val="23"/>
          <w:szCs w:val="23"/>
          <w:lang w:val="pt-BR"/>
        </w:rPr>
        <w:t>os objetivos do presente projeto de pesquisa são</w:t>
      </w:r>
      <w:r w:rsidR="003A0DEC" w:rsidRPr="00A65B69">
        <w:rPr>
          <w:color w:val="000000" w:themeColor="text1"/>
          <w:sz w:val="23"/>
          <w:szCs w:val="23"/>
          <w:lang w:val="pt-BR"/>
        </w:rPr>
        <w:t>:</w:t>
      </w:r>
    </w:p>
    <w:p w14:paraId="5E55DCA0" w14:textId="4FBE314B" w:rsidR="00D906AD" w:rsidRPr="00A65B69" w:rsidRDefault="00D906AD">
      <w:pPr>
        <w:pStyle w:val="BodyText"/>
        <w:numPr>
          <w:ilvl w:val="0"/>
          <w:numId w:val="2"/>
        </w:numPr>
        <w:spacing w:before="0" w:line="480" w:lineRule="auto"/>
        <w:ind w:left="0" w:right="2" w:firstLine="0"/>
        <w:rPr>
          <w:b/>
          <w:bCs/>
          <w:i/>
          <w:iCs/>
          <w:color w:val="000000" w:themeColor="text1"/>
          <w:sz w:val="23"/>
          <w:szCs w:val="23"/>
          <w:lang w:val="pt-BR"/>
        </w:rPr>
      </w:pPr>
      <w:r w:rsidRPr="00A65B69">
        <w:rPr>
          <w:color w:val="000000" w:themeColor="text1"/>
          <w:sz w:val="23"/>
          <w:szCs w:val="23"/>
          <w:lang w:val="pt-BR"/>
        </w:rPr>
        <w:t xml:space="preserve">Revisar </w:t>
      </w:r>
      <w:r w:rsidR="00516C23" w:rsidRPr="00A65B69">
        <w:rPr>
          <w:color w:val="000000" w:themeColor="text1"/>
          <w:sz w:val="23"/>
          <w:szCs w:val="23"/>
          <w:lang w:val="pt-BR"/>
        </w:rPr>
        <w:t xml:space="preserve">sistematicamente </w:t>
      </w:r>
      <w:r w:rsidRPr="00A65B69">
        <w:rPr>
          <w:color w:val="000000" w:themeColor="text1"/>
          <w:sz w:val="23"/>
          <w:szCs w:val="23"/>
          <w:lang w:val="pt-BR"/>
        </w:rPr>
        <w:t>o corpo de conhecimento sobre as respostas induzidas pela exposição a hipóxia em p</w:t>
      </w:r>
      <w:r w:rsidR="001150F6" w:rsidRPr="00A65B69">
        <w:rPr>
          <w:color w:val="000000" w:themeColor="text1"/>
          <w:sz w:val="23"/>
          <w:szCs w:val="23"/>
          <w:lang w:val="pt-BR"/>
        </w:rPr>
        <w:t>essoas</w:t>
      </w:r>
      <w:r w:rsidRPr="00A65B69">
        <w:rPr>
          <w:color w:val="000000" w:themeColor="text1"/>
          <w:sz w:val="23"/>
          <w:szCs w:val="23"/>
          <w:lang w:val="pt-BR"/>
        </w:rPr>
        <w:t xml:space="preserve"> com DP;</w:t>
      </w:r>
    </w:p>
    <w:p w14:paraId="2F058ED9" w14:textId="5A7828D0" w:rsidR="003A0DEC" w:rsidRPr="00A65B69" w:rsidRDefault="003A0DEC">
      <w:pPr>
        <w:pStyle w:val="BodyText"/>
        <w:numPr>
          <w:ilvl w:val="0"/>
          <w:numId w:val="2"/>
        </w:numPr>
        <w:spacing w:before="0" w:line="480" w:lineRule="auto"/>
        <w:ind w:left="0" w:right="2" w:firstLine="0"/>
        <w:rPr>
          <w:b/>
          <w:bCs/>
          <w:i/>
          <w:iCs/>
          <w:color w:val="000000" w:themeColor="text1"/>
          <w:sz w:val="23"/>
          <w:szCs w:val="23"/>
          <w:lang w:val="pt-BR"/>
        </w:rPr>
      </w:pPr>
      <w:r w:rsidRPr="00A65B69">
        <w:rPr>
          <w:color w:val="000000" w:themeColor="text1"/>
          <w:sz w:val="23"/>
          <w:szCs w:val="23"/>
          <w:lang w:val="pt-BR"/>
        </w:rPr>
        <w:lastRenderedPageBreak/>
        <w:t xml:space="preserve">Investigar os efeitos </w:t>
      </w:r>
      <w:r w:rsidR="00823305" w:rsidRPr="00A65B69">
        <w:rPr>
          <w:color w:val="000000" w:themeColor="text1"/>
          <w:sz w:val="23"/>
          <w:szCs w:val="23"/>
          <w:lang w:val="pt-BR"/>
        </w:rPr>
        <w:t>agudos (imediatamente e após 24</w:t>
      </w:r>
      <w:r w:rsidR="001150F6" w:rsidRPr="00A65B69">
        <w:rPr>
          <w:color w:val="000000" w:themeColor="text1"/>
          <w:sz w:val="23"/>
          <w:szCs w:val="23"/>
          <w:lang w:val="pt-BR"/>
        </w:rPr>
        <w:t xml:space="preserve"> </w:t>
      </w:r>
      <w:r w:rsidR="00823305" w:rsidRPr="00A65B69">
        <w:rPr>
          <w:color w:val="000000" w:themeColor="text1"/>
          <w:sz w:val="23"/>
          <w:szCs w:val="23"/>
          <w:lang w:val="pt-BR"/>
        </w:rPr>
        <w:t xml:space="preserve">h da exposição) </w:t>
      </w:r>
      <w:r w:rsidRPr="00A65B69">
        <w:rPr>
          <w:color w:val="000000" w:themeColor="text1"/>
          <w:sz w:val="23"/>
          <w:szCs w:val="23"/>
          <w:lang w:val="pt-BR"/>
        </w:rPr>
        <w:t xml:space="preserve">da </w:t>
      </w:r>
      <w:r w:rsidR="009F443E" w:rsidRPr="00A65B69">
        <w:rPr>
          <w:color w:val="000000" w:themeColor="text1"/>
          <w:sz w:val="23"/>
          <w:szCs w:val="23"/>
          <w:lang w:val="pt-BR"/>
        </w:rPr>
        <w:t>HI</w:t>
      </w:r>
      <w:r w:rsidR="00823305" w:rsidRPr="00A65B69">
        <w:rPr>
          <w:color w:val="000000" w:themeColor="text1"/>
          <w:sz w:val="23"/>
          <w:szCs w:val="23"/>
          <w:lang w:val="pt-BR"/>
        </w:rPr>
        <w:t xml:space="preserve"> aplicada de maneira isolada </w:t>
      </w:r>
      <w:r w:rsidR="00516C23" w:rsidRPr="00A65B69">
        <w:rPr>
          <w:color w:val="000000" w:themeColor="text1"/>
          <w:sz w:val="23"/>
          <w:szCs w:val="23"/>
          <w:lang w:val="pt-BR"/>
        </w:rPr>
        <w:t>em p</w:t>
      </w:r>
      <w:r w:rsidR="001150F6" w:rsidRPr="00A65B69">
        <w:rPr>
          <w:color w:val="000000" w:themeColor="text1"/>
          <w:sz w:val="23"/>
          <w:szCs w:val="23"/>
          <w:lang w:val="pt-BR"/>
        </w:rPr>
        <w:t>essoas</w:t>
      </w:r>
      <w:r w:rsidR="00516C23" w:rsidRPr="00A65B69">
        <w:rPr>
          <w:color w:val="000000" w:themeColor="text1"/>
          <w:sz w:val="23"/>
          <w:szCs w:val="23"/>
          <w:lang w:val="pt-BR"/>
        </w:rPr>
        <w:t xml:space="preserve"> com DP </w:t>
      </w:r>
      <w:r w:rsidRPr="00A65B69">
        <w:rPr>
          <w:color w:val="000000" w:themeColor="text1"/>
          <w:sz w:val="23"/>
          <w:szCs w:val="23"/>
          <w:lang w:val="pt-BR"/>
        </w:rPr>
        <w:t>sobr</w:t>
      </w:r>
      <w:r w:rsidR="00516C23" w:rsidRPr="00A65B69">
        <w:rPr>
          <w:color w:val="000000" w:themeColor="text1"/>
          <w:sz w:val="23"/>
          <w:szCs w:val="23"/>
          <w:lang w:val="pt-BR"/>
        </w:rPr>
        <w:t xml:space="preserve">e: i) marcha: </w:t>
      </w:r>
      <w:r w:rsidR="009F443E" w:rsidRPr="00A65B69">
        <w:rPr>
          <w:color w:val="000000" w:themeColor="text1"/>
          <w:sz w:val="23"/>
          <w:szCs w:val="23"/>
          <w:lang w:val="pt-BR"/>
        </w:rPr>
        <w:t>parâmetros espaço-temporais</w:t>
      </w:r>
      <w:r w:rsidR="00516C23" w:rsidRPr="00A65B69">
        <w:rPr>
          <w:color w:val="000000" w:themeColor="text1"/>
          <w:sz w:val="23"/>
          <w:szCs w:val="23"/>
          <w:lang w:val="pt-BR"/>
        </w:rPr>
        <w:t xml:space="preserve"> (e.g., comprimento, largura e duração do passo)</w:t>
      </w:r>
      <w:r w:rsidR="009F443E" w:rsidRPr="00A65B69">
        <w:rPr>
          <w:color w:val="000000" w:themeColor="text1"/>
          <w:sz w:val="23"/>
          <w:szCs w:val="23"/>
          <w:lang w:val="pt-BR"/>
        </w:rPr>
        <w:t xml:space="preserve"> </w:t>
      </w:r>
      <w:r w:rsidR="00516C23" w:rsidRPr="00A65B69">
        <w:rPr>
          <w:color w:val="000000" w:themeColor="text1"/>
          <w:sz w:val="23"/>
          <w:szCs w:val="23"/>
          <w:lang w:val="pt-BR"/>
        </w:rPr>
        <w:t>e</w:t>
      </w:r>
      <w:r w:rsidR="00823305" w:rsidRPr="00A65B69">
        <w:rPr>
          <w:color w:val="000000" w:themeColor="text1"/>
          <w:sz w:val="23"/>
          <w:szCs w:val="23"/>
          <w:lang w:val="pt-BR"/>
        </w:rPr>
        <w:t xml:space="preserve"> </w:t>
      </w:r>
      <w:r w:rsidR="00592CEA" w:rsidRPr="00A65B69">
        <w:rPr>
          <w:color w:val="000000" w:themeColor="text1"/>
          <w:sz w:val="23"/>
          <w:szCs w:val="23"/>
          <w:lang w:val="pt-BR"/>
        </w:rPr>
        <w:t>atividade muscular</w:t>
      </w:r>
      <w:r w:rsidR="001150F6" w:rsidRPr="00A65B69">
        <w:rPr>
          <w:color w:val="000000" w:themeColor="text1"/>
          <w:sz w:val="23"/>
          <w:szCs w:val="23"/>
          <w:lang w:val="pt-BR"/>
        </w:rPr>
        <w:t xml:space="preserve"> do membro inferior</w:t>
      </w:r>
      <w:r w:rsidR="00516C23" w:rsidRPr="00A65B69">
        <w:rPr>
          <w:color w:val="000000" w:themeColor="text1"/>
          <w:sz w:val="23"/>
          <w:szCs w:val="23"/>
          <w:lang w:val="pt-BR"/>
        </w:rPr>
        <w:t xml:space="preserve">, </w:t>
      </w:r>
      <w:proofErr w:type="spellStart"/>
      <w:r w:rsidR="00516C23" w:rsidRPr="00A65B69">
        <w:rPr>
          <w:color w:val="000000" w:themeColor="text1"/>
          <w:sz w:val="23"/>
          <w:szCs w:val="23"/>
          <w:lang w:val="pt-BR"/>
        </w:rPr>
        <w:t>ii</w:t>
      </w:r>
      <w:proofErr w:type="spellEnd"/>
      <w:r w:rsidR="00516C23" w:rsidRPr="00A65B69">
        <w:rPr>
          <w:color w:val="000000" w:themeColor="text1"/>
          <w:sz w:val="23"/>
          <w:szCs w:val="23"/>
          <w:lang w:val="pt-BR"/>
        </w:rPr>
        <w:t>)</w:t>
      </w:r>
      <w:r w:rsidR="00592CEA" w:rsidRPr="00A65B69">
        <w:rPr>
          <w:color w:val="000000" w:themeColor="text1"/>
          <w:sz w:val="23"/>
          <w:szCs w:val="23"/>
          <w:lang w:val="pt-BR"/>
        </w:rPr>
        <w:t xml:space="preserve"> </w:t>
      </w:r>
      <w:r w:rsidR="00516C23" w:rsidRPr="00A65B69">
        <w:rPr>
          <w:color w:val="000000" w:themeColor="text1"/>
          <w:sz w:val="23"/>
          <w:szCs w:val="23"/>
          <w:lang w:val="pt-BR"/>
        </w:rPr>
        <w:t xml:space="preserve">sono: </w:t>
      </w:r>
      <w:r w:rsidR="00823305" w:rsidRPr="00A65B69">
        <w:rPr>
          <w:color w:val="000000" w:themeColor="text1"/>
          <w:sz w:val="23"/>
          <w:szCs w:val="23"/>
          <w:lang w:val="pt-BR"/>
        </w:rPr>
        <w:t>variáveis quantitativas</w:t>
      </w:r>
      <w:r w:rsidR="00516C23" w:rsidRPr="00A65B69">
        <w:rPr>
          <w:color w:val="000000" w:themeColor="text1"/>
          <w:sz w:val="23"/>
          <w:szCs w:val="23"/>
          <w:lang w:val="pt-BR"/>
        </w:rPr>
        <w:t xml:space="preserve"> (e.g.,</w:t>
      </w:r>
      <w:r w:rsidR="005954AA" w:rsidRPr="00A65B69">
        <w:rPr>
          <w:sz w:val="23"/>
          <w:szCs w:val="23"/>
          <w:lang w:val="pt-BR"/>
        </w:rPr>
        <w:t xml:space="preserve"> </w:t>
      </w:r>
      <w:r w:rsidR="005954AA" w:rsidRPr="00A65B69">
        <w:rPr>
          <w:color w:val="000000" w:themeColor="text1"/>
          <w:sz w:val="23"/>
          <w:szCs w:val="23"/>
          <w:lang w:val="pt-BR"/>
        </w:rPr>
        <w:t>hora que deitou, hora que levantou, tempo total na cama, tempo total de sono, latência do sono, eficiência do sono)</w:t>
      </w:r>
      <w:r w:rsidR="00823305" w:rsidRPr="00A65B69">
        <w:rPr>
          <w:color w:val="000000" w:themeColor="text1"/>
          <w:sz w:val="23"/>
          <w:szCs w:val="23"/>
          <w:lang w:val="pt-BR"/>
        </w:rPr>
        <w:t xml:space="preserve"> e qualitativas</w:t>
      </w:r>
      <w:r w:rsidR="00516C23" w:rsidRPr="00A65B69">
        <w:rPr>
          <w:color w:val="000000" w:themeColor="text1"/>
          <w:sz w:val="23"/>
          <w:szCs w:val="23"/>
          <w:lang w:val="pt-BR"/>
        </w:rPr>
        <w:t xml:space="preserve"> (e.g., </w:t>
      </w:r>
      <w:r w:rsidR="005954AA" w:rsidRPr="00A65B69">
        <w:rPr>
          <w:color w:val="000000" w:themeColor="text1"/>
          <w:sz w:val="23"/>
          <w:szCs w:val="23"/>
          <w:lang w:val="pt-BR"/>
        </w:rPr>
        <w:t>através d</w:t>
      </w:r>
      <w:r w:rsidR="003F24E3" w:rsidRPr="00A65B69">
        <w:rPr>
          <w:color w:val="000000" w:themeColor="text1"/>
          <w:sz w:val="23"/>
          <w:szCs w:val="23"/>
          <w:lang w:val="pt-BR"/>
        </w:rPr>
        <w:t xml:space="preserve">a </w:t>
      </w:r>
      <w:r w:rsidR="005954AA" w:rsidRPr="00A65B69">
        <w:rPr>
          <w:color w:val="000000" w:themeColor="text1"/>
          <w:sz w:val="23"/>
          <w:szCs w:val="23"/>
          <w:lang w:val="pt-BR"/>
        </w:rPr>
        <w:t xml:space="preserve">escala de </w:t>
      </w:r>
      <w:proofErr w:type="spellStart"/>
      <w:r w:rsidR="005954AA" w:rsidRPr="00A65B69">
        <w:rPr>
          <w:color w:val="000000" w:themeColor="text1"/>
          <w:sz w:val="23"/>
          <w:szCs w:val="23"/>
          <w:lang w:val="pt-BR"/>
        </w:rPr>
        <w:t>Likert</w:t>
      </w:r>
      <w:proofErr w:type="spellEnd"/>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{"citationItems":[{"id":"ITEM-1","itemData":{"DOI":"10.1519/jsc.0000000000001793","ISBN":"0000000000","ISSN":"15334295","PMID":"28135218","abstract":"Sleep is often regarded as the single best recovery strategy available to an athlete, yet little is known about the quality and quantity of sleep in athletes during multiday competitions. This study objectively evaluated sleep characteristics of athletes during a national netball tournament. Using wrist actigraphy monitors and sleep diaries, 42 netballers from 4 state teams were monitored for the duration of a tournament (6 days) and 12 days before in home environments. Significant differences were found between teams based on final competition standings, suggesting enhanced sleep characteristics in athlete's whose team finished higher in the tournament standings. The top 2 placed teams when compared with the lower 2 placed teams slept longer (8:02 ± 36:43; 7:01 ± 27:33), had greater time in bed (9:03 ± 0:52; 7:59 ± 0:54) and reported enhanced subjective sleep ratings (2.6 ± 0.5; 2.3 ± 0.6). Sleep efficiency was no different between teams. A strong correlation (r = -0.68) was found indicating longer sleep durations during competition were associated with higher final tournament positions. Encouraging athletes to aim for longer sleep durations in competition, where possible, may influence the outcome in tournament style competitions.","author":[{"dropping-particle":"","family":"Juliff","given":"Laura E.","non-dropping-particle":"","parse-names":false,"suffix":""},{"dropping-particle":"","family":"Halson","given":"Shona L.","non-dropping-particle":"","parse-names":false,"suffix":""},{"dropping-particle":"","family":"Hebert","given":"Jeffrey J.","non-dropping-particle":"","parse-names":false,"suffix":""},{"dropping-particle":"","family":"Forsyth","given":"Peta L.","non-dropping-particle":"","parse-names":false,"suffix":""},{"dropping-particle":"","family":"Peiffer","given":"Jeremiah J.","non-dropping-particle":"","parse-names":false,"suffix":""}],"container-title":"Journal of Strength and Conditioning Research","id":"ITEM-1","issue":"1","issued":{"date-parts":[["2018"]]},"page":"189-194","title":"Longer sleep durations are positively associated with finishing place during a national multiday netball competition","type":"article-journal","volume":"32"},"uris":["http://www.mendeley.com/documents/?uuid=9100d58a-23fa-48fc-a6ae-9d86280e6b17"]}],"mendeley":{"formattedCitation":"(JULIFF et al., 2018)","plainTextFormattedCitation":"(JULIFF et al., 2018)","previouslyFormattedCitation":"(JULIFF et al., 2018)"},"properties":{"noteIndex":0},"schema":"https://github.com/citation-style-language/schema/raw/master/csl-citation.json"}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(JULIFF et al., 2018)</w:t>
      </w:r>
      <w:r w:rsidR="00301869" w:rsidRPr="00A65B69">
        <w:rPr>
          <w:color w:val="000000" w:themeColor="text1"/>
          <w:sz w:val="23"/>
          <w:szCs w:val="23"/>
          <w:lang w:val="pt-BR"/>
        </w:rPr>
        <w:fldChar w:fldCharType="end"/>
      </w:r>
      <w:r w:rsidR="00516C23" w:rsidRPr="00A65B69">
        <w:rPr>
          <w:color w:val="000000" w:themeColor="text1"/>
          <w:sz w:val="23"/>
          <w:szCs w:val="23"/>
          <w:lang w:val="pt-BR"/>
        </w:rPr>
        <w:t>),</w:t>
      </w:r>
      <w:r w:rsidR="00823305" w:rsidRPr="00A65B69">
        <w:rPr>
          <w:color w:val="000000" w:themeColor="text1"/>
          <w:sz w:val="23"/>
          <w:szCs w:val="23"/>
          <w:lang w:val="pt-BR"/>
        </w:rPr>
        <w:t xml:space="preserve"> e </w:t>
      </w:r>
      <w:proofErr w:type="spellStart"/>
      <w:r w:rsidR="00516C23" w:rsidRPr="00A65B69">
        <w:rPr>
          <w:color w:val="000000" w:themeColor="text1"/>
          <w:sz w:val="23"/>
          <w:szCs w:val="23"/>
          <w:lang w:val="pt-BR"/>
        </w:rPr>
        <w:t>iii</w:t>
      </w:r>
      <w:proofErr w:type="spellEnd"/>
      <w:r w:rsidR="00516C23" w:rsidRPr="00A65B69">
        <w:rPr>
          <w:color w:val="000000" w:themeColor="text1"/>
          <w:sz w:val="23"/>
          <w:szCs w:val="23"/>
          <w:lang w:val="pt-BR"/>
        </w:rPr>
        <w:t xml:space="preserve">) </w:t>
      </w:r>
      <w:r w:rsidR="00823305" w:rsidRPr="00A65B69">
        <w:rPr>
          <w:color w:val="000000" w:themeColor="text1"/>
          <w:sz w:val="23"/>
          <w:szCs w:val="23"/>
          <w:lang w:val="pt-BR"/>
        </w:rPr>
        <w:t>biomarcadores sanguíneos (</w:t>
      </w:r>
      <w:r w:rsidR="00516C23" w:rsidRPr="00A65B69">
        <w:rPr>
          <w:color w:val="000000" w:themeColor="text1"/>
          <w:sz w:val="23"/>
          <w:szCs w:val="23"/>
          <w:lang w:val="pt-BR"/>
        </w:rPr>
        <w:t xml:space="preserve">e.g., </w:t>
      </w:r>
      <w:r w:rsidR="001150F6" w:rsidRPr="00A65B69">
        <w:rPr>
          <w:color w:val="000000" w:themeColor="text1"/>
          <w:sz w:val="23"/>
          <w:szCs w:val="23"/>
          <w:lang w:val="pt-BR"/>
        </w:rPr>
        <w:t xml:space="preserve">concentração de </w:t>
      </w:r>
      <w:r w:rsidR="00823305" w:rsidRPr="00A65B69">
        <w:rPr>
          <w:color w:val="000000" w:themeColor="text1"/>
          <w:sz w:val="23"/>
          <w:szCs w:val="23"/>
          <w:lang w:val="pt-BR"/>
        </w:rPr>
        <w:t>BDNF,</w:t>
      </w:r>
      <w:r w:rsidR="00823305" w:rsidRPr="00A65B69">
        <w:rPr>
          <w:color w:val="000000" w:themeColor="text1"/>
          <w:spacing w:val="1"/>
          <w:sz w:val="23"/>
          <w:szCs w:val="23"/>
          <w:lang w:val="pt-BR"/>
        </w:rPr>
        <w:t xml:space="preserve"> </w:t>
      </w:r>
      <w:r w:rsidR="00823305" w:rsidRPr="00A65B69">
        <w:rPr>
          <w:color w:val="000000" w:themeColor="text1"/>
          <w:sz w:val="23"/>
          <w:szCs w:val="23"/>
          <w:lang w:val="pt-BR"/>
        </w:rPr>
        <w:t>IL-6</w:t>
      </w:r>
      <w:r w:rsidR="00823305" w:rsidRPr="00A65B69">
        <w:rPr>
          <w:color w:val="000000" w:themeColor="text1"/>
          <w:spacing w:val="1"/>
          <w:sz w:val="23"/>
          <w:szCs w:val="23"/>
          <w:lang w:val="pt-BR"/>
        </w:rPr>
        <w:t xml:space="preserve"> </w:t>
      </w:r>
      <w:r w:rsidR="00823305" w:rsidRPr="00A65B69">
        <w:rPr>
          <w:color w:val="000000" w:themeColor="text1"/>
          <w:sz w:val="23"/>
          <w:szCs w:val="23"/>
          <w:lang w:val="pt-BR"/>
        </w:rPr>
        <w:t>e</w:t>
      </w:r>
      <w:r w:rsidR="00823305" w:rsidRPr="00A65B69">
        <w:rPr>
          <w:color w:val="000000" w:themeColor="text1"/>
          <w:spacing w:val="1"/>
          <w:sz w:val="23"/>
          <w:szCs w:val="23"/>
          <w:lang w:val="pt-BR"/>
        </w:rPr>
        <w:t xml:space="preserve"> </w:t>
      </w:r>
      <w:r w:rsidR="00823305" w:rsidRPr="00A65B69">
        <w:rPr>
          <w:color w:val="000000" w:themeColor="text1"/>
          <w:sz w:val="23"/>
          <w:szCs w:val="23"/>
          <w:lang w:val="pt-BR"/>
        </w:rPr>
        <w:t>ferro)</w:t>
      </w:r>
      <w:r w:rsidRPr="00A65B69">
        <w:rPr>
          <w:color w:val="000000" w:themeColor="text1"/>
          <w:sz w:val="23"/>
          <w:szCs w:val="23"/>
          <w:lang w:val="pt-BR"/>
        </w:rPr>
        <w:t>.</w:t>
      </w:r>
    </w:p>
    <w:p w14:paraId="22B439A7" w14:textId="7EB7686F" w:rsidR="002E4A5E" w:rsidRPr="00A65B69" w:rsidRDefault="002E4A5E" w:rsidP="002E4A5E">
      <w:pPr>
        <w:spacing w:line="480" w:lineRule="auto"/>
        <w:ind w:firstLine="567"/>
        <w:jc w:val="both"/>
        <w:rPr>
          <w:color w:val="000000" w:themeColor="text1"/>
          <w:sz w:val="23"/>
          <w:szCs w:val="23"/>
          <w:lang w:val="pt-BR"/>
        </w:rPr>
      </w:pPr>
      <w:r w:rsidRPr="00A65B69">
        <w:rPr>
          <w:color w:val="000000" w:themeColor="text1"/>
          <w:sz w:val="23"/>
          <w:szCs w:val="23"/>
          <w:lang w:val="pt-BR"/>
        </w:rPr>
        <w:t xml:space="preserve">Considerando o exposto acima, </w:t>
      </w:r>
      <w:r w:rsidR="003F24E3" w:rsidRPr="00A65B69">
        <w:rPr>
          <w:color w:val="000000" w:themeColor="text1"/>
          <w:sz w:val="23"/>
          <w:szCs w:val="23"/>
          <w:lang w:val="pt-BR"/>
        </w:rPr>
        <w:t>e</w:t>
      </w:r>
      <w:r w:rsidRPr="00A65B69">
        <w:rPr>
          <w:color w:val="000000" w:themeColor="text1"/>
          <w:sz w:val="23"/>
          <w:szCs w:val="23"/>
          <w:lang w:val="pt-BR"/>
        </w:rPr>
        <w:t xml:space="preserve">mbora um comprometimento da marcha e na qualidade do sono seja esperado imediatamente após a exposição a HI devido a </w:t>
      </w:r>
      <w:r w:rsidR="00B4787C" w:rsidRPr="00A65B69">
        <w:rPr>
          <w:color w:val="000000" w:themeColor="text1"/>
          <w:sz w:val="23"/>
          <w:szCs w:val="23"/>
          <w:lang w:val="pt-BR"/>
        </w:rPr>
        <w:t>resposta atenuada em hipóxia SECCOMBE et al., 2013; SEREBROVSKAYA et al., 1998; ONODERA et al., 2000)</w:t>
      </w:r>
      <w:r w:rsidRPr="00A65B69">
        <w:rPr>
          <w:color w:val="000000" w:themeColor="text1"/>
          <w:sz w:val="23"/>
          <w:szCs w:val="23"/>
          <w:lang w:val="pt-BR"/>
        </w:rPr>
        <w:t xml:space="preserve">, após 24h de recuperação é esperado uma melhora no padrão locomotor da marcha e na qualidade do sono, devido ao aumento das concentrações de ferro circulante e do BDNF, os quais são responsáveis pela neuroplasticidade e/ou pela sobrevivência neuronal </w:t>
      </w:r>
      <w:r w:rsidRPr="00A65B69">
        <w:rPr>
          <w:color w:val="000000" w:themeColor="text1"/>
          <w:sz w:val="23"/>
          <w:szCs w:val="23"/>
          <w:lang w:val="pt-BR"/>
        </w:rPr>
        <w:fldChar w:fldCharType="begin" w:fldLock="1"/>
      </w:r>
      <w:r w:rsidRPr="00A65B69">
        <w:rPr>
          <w:color w:val="000000" w:themeColor="text1"/>
          <w:sz w:val="23"/>
          <w:szCs w:val="23"/>
          <w:lang w:val="pt-BR"/>
        </w:rPr>
        <w:instrText>ADDIN CSL_CITATION {"citationItems":[{"id":"ITEM-1","itemData":{"DOI":"10.1007/978-1-4471-2906-6_12","ISBN":"978-1-4471-2906-6","abstract":"Parkinson’s disease (PD) is a common neurodegenerative disease which is characterized by a progressive degeneration of dopaminergic neurons in the midbrain. A most reliable mechanism causing the apoptosis in dopaminergic structures of the brain during aging and Parkinson’s disease is the activation of oxidative stress. Until now, effective means for the prevention of dopaminergic neurons degeneration and for the retention of damaged neurons functioning is still lacking. A promising way to slacken the pace of degenerative processes during aging and PD could be the adaptation to intermittent hypoxia. Such adaptation strengthens dopamine (DA) synthesis and release at peripheral chemoreceptors in carotid bodies and activates tyrosine hydroxylase – a rate-limiting enzyme for catecholamine synthesis. In this chapter, we examined three groups of rats: adult, old, and old rats with experimental DA deficiency. It was revealed that there was an asymmetry of dopamine distribution between the right and left striatum of adult rats. Prevalent quantity of dopamine was concentrated in right hemisphere. During aging DA, production decreased in the examined structures mainly in right hemisphere of the striatum, so its distribution asymmetry diminished. In PD animals, this decrease was much more expressed and led to practically total abolishment of quantitative difference between right and left hemispheres. Two-week course of intermittent hypoxia training (IHT, five cycles of 15-min exposures to 12% O2 followed by 15-min room air breathing per day) increased dopamine synthesis in old and experimental PD animals, especially in the right striatum, restored partially the asymmetry of DA distribution between brain hemispheres. IHT also decreased the intensity of lipid peroxidation. Increased plasma antioxidant activity positively correlated with increased DA concentration in the striatum. Therefore, IHT could serve as a good perspective means for the deceleration of aging and prevention/treatment of Parkinson’s disease.","author":[{"dropping-particle":"","family":"Belikova","given":"Maria V;","non-dropping-particle":"","parse-names":false,"suffix":""},{"dropping-particle":"","family":"Kolesnikova","given":"Evgenia E;","non-dropping-particle":"","parse-names":false,"suffix":""},{"dropping-particle":"V","family":"Serebrovskaya","given":"Tatiana","non-dropping-particle":"","parse-names":false,"suffix":""}],"editor":[{"dropping-particle":"","family":"Xi","given":"Lei","non-dropping-particle":"","parse-names":false,"suffix":""},{"dropping-particle":"V","family":"Serebrovskaya","given":"Tatiana","non-dropping-particle":"","parse-names":false,"suffix":""}],"id":"ITEM-1","issued":{"date-parts":[["2012"]]},"page":"147-153","publisher":"Springer London","publisher-place":"London","title":"Intermittent Hypoxia and Experimental Parkinson’s Disease BT - Intermittent Hypoxia and Human Diseases","type":"chapter"},"uris":["http://www.mendeley.com/documents/?uuid=a4dc478f-1114-4677-a218-53a058c43eef"]},{"id":"ITEM-2","itemData":{"DOI":"10.1111/j.1471-4159.2009.06443.x","ISSN":"00223042","PMID":"19845827","abstract":"Neurodegenerative diseases, generally characterized by a progressive deterioration in the structure and function of the brain, represent one of the world's major unsolved health problems. Therefore, it is urgent to discover therapeutic targets for the design of effective strategies for the treatment of these diseases. Recent findings demonstrated that the induction of the hypoxia signaling pathway with the concomitant stabilization and transcriptional activation of the transcription factor hypoxia-inducible factor 1 (HIF-1) could mediate neuroprotective events. It has been shown that HIF-1 triggers the expression of genes involved in oxygen transport, glycolytic metabolism, angiogenesis, cell survival, apoptosis, and others processes that can interfere with cell survival. Here, we discuss the current knowledge pertaining to the regulation of HIF signaling pathway. The potential neuroprotective role of HIF-1 induction in cerebral ischemic stroke and Alzheimer's, Parkinson's, and Huntington's diseases will be also discussed. The elucidation of the mechanisms involved in HIF-1-mediated neuroprotection could be important for the development of effective therapies to mitigate or prevent neurodegenerative diseases. © 2009 International Society for Neurochemistry.","author":[{"dropping-particle":"","family":"Correia","given":"Sónia C.","non-dropping-particle":"","parse-names":false,"suffix":""},{"dropping-particle":"","family":"Moreira","given":"Paula I.","non-dropping-particle":"","parse-names":false,"suffix":""}],"container-title":"Journal of Neurochemistry","id":"ITEM-2","issue":"1","issued":{"date-parts":[["2010"]]},"page":"1-12","title":"Hypoxia-inducible factor 1: A new hope to counteract neurodegeneration?","type":"article-journal","volume":"112"},"uris":["http://www.mendeley.com/documents/?uuid=888e5ea6-7a1c-4d8d-bee4-2d5399454125"]},{"id":"ITEM-3","itemData":{"DOI":"10.2174/092986711797200426","ISBN":"1785864521","ISSN":"09298673","PMID":"21861815","abstract":"Hypoxia inducible factor-1 (HIF-1) is a transcriptional factor responsible for cellular and tissue adaption to low oxygen tension. HIF-1, a heterodimer consisting of a constitutively expressed β subunit and an oxygen-regulated α subunit, regulates a series of genes that participate in angiogenesis, iron metabolism, glucose metabolism, and cell proliferation/survival. The activity of HIF-1 is controlled by post-translational modifications on different amino acid residues of its subunits, mainly the alpha subunit. Besides in ischemic stroke (see review [1]), emerging evidence has revealed that HIF-1 activity and expression of its down-stream genes, such as vascular endothelial growth factor and erythropoietin, are altered in a range of neurodegenerative diseases. At the same time, experimental and clinical evidence has demonstrated that regulating HIF-1 might ameliorate the cellular and tissue damage in the neurodegenerative diseases. These new findings suggest HIF-1 as a potential medicinal target for the neurodegenerative diseases. This review focuses on HIF-1α protein modifications and HIF-1's potential neuroprotective roles in Alzheimer's (AD), Parkinson's (PD), Huntington's diseases (HD), and amyotrophic lateral sclerosis (ALS).","author":[{"dropping-particle":"","family":"Zhang","given":"Z.","non-dropping-particle":"","parse-names":false,"suffix":""},{"dropping-particle":"","family":"Yan","given":"J.","non-dropping-particle":"","parse-names":false,"suffix":""},{"dropping-particle":"","family":"Chang","given":"Y.","non-dropping-particle":"","parse-names":false,"suffix":""},{"dropping-particle":"","family":"ShiDu Yan","given":"S.","non-dropping-particle":"","parse-names":false,"suffix":""},{"dropping-particle":"","family":"Shi","given":"H.","non-dropping-particle":"","parse-names":false,"suffix":""}],"container-title":"Current Medicinal Chemistry","id":"ITEM-3","issue":"28","issued":{"date-parts":[["2011"]]},"page":"4335-4343","title":"Hypoxia Inducible Factor-1 as a Target for Neurodegenerative Diseases","type":"article-journal","volume":"18"},"uris":["http://www.mendeley.com/documents/?uuid=8e50ab1e-f3f2-4638-9a1b-722dc32bd526"]}],"mendeley":{"formattedCitation":"(BELIKOVA; KOLESNIKOVA; SEREBROVSKAYA, 2012; CORREIA; MOREIRA, 2010; ZHANG et al., 2011)","manualFormatting":"(BELIKOVA et al., 2012; CORREIA et al., 2010; ZHANG et al., 2011)","plainTextFormattedCitation":"(BELIKOVA; KOLESNIKOVA; SEREBROVSKAYA, 2012; CORREIA; MOREIRA, 2010; ZHANG et al., 2011)","previouslyFormattedCitation":"(BELIKOVA; KOLESNIKOVA; SEREBROVSKAYA, 2012; CORREIA; MOREIRA, 2010; ZHANG et al., 2011)"},"properties":{"noteIndex":0},"schema":"https://github.com/citation-style-language/schema/raw/master/csl-citation.json"}</w:instrText>
      </w:r>
      <w:r w:rsidRPr="00A65B69">
        <w:rPr>
          <w:color w:val="000000" w:themeColor="text1"/>
          <w:sz w:val="23"/>
          <w:szCs w:val="23"/>
          <w:lang w:val="pt-BR"/>
        </w:rPr>
        <w:fldChar w:fldCharType="separate"/>
      </w:r>
      <w:r w:rsidRPr="00A65B69">
        <w:rPr>
          <w:noProof/>
          <w:color w:val="000000" w:themeColor="text1"/>
          <w:sz w:val="23"/>
          <w:szCs w:val="23"/>
          <w:lang w:val="pt-BR"/>
        </w:rPr>
        <w:t>(BELIKOVA et al., 2012; CORREIA et al., 2010; ZHANG et al., 2011)</w:t>
      </w:r>
      <w:r w:rsidRPr="00A65B69">
        <w:rPr>
          <w:color w:val="000000" w:themeColor="text1"/>
          <w:sz w:val="23"/>
          <w:szCs w:val="23"/>
          <w:lang w:val="pt-BR"/>
        </w:rPr>
        <w:fldChar w:fldCharType="end"/>
      </w:r>
      <w:r w:rsidRPr="00A65B69">
        <w:rPr>
          <w:color w:val="000000" w:themeColor="text1"/>
          <w:sz w:val="23"/>
          <w:szCs w:val="23"/>
          <w:lang w:val="pt-BR"/>
        </w:rPr>
        <w:t xml:space="preserve">. </w:t>
      </w:r>
      <w:r w:rsidR="003F24E3" w:rsidRPr="00A65B69">
        <w:rPr>
          <w:color w:val="000000" w:themeColor="text1"/>
          <w:sz w:val="23"/>
          <w:szCs w:val="23"/>
          <w:lang w:val="pt-BR"/>
        </w:rPr>
        <w:t>Assim, é possível que a HI seja uma estratégia eficiente para a melhora tanto da marcha como da qualidade do sono em pessoas com DP, podendo regular o metabolismo do ferro nesta população. Mas, estas hipóteses devem ser testadas experimentalmente.</w:t>
      </w:r>
    </w:p>
    <w:p w14:paraId="1403EB65" w14:textId="61A1A687" w:rsidR="003F24E3" w:rsidRPr="00A65B69" w:rsidRDefault="00200D7D" w:rsidP="00C3747A">
      <w:pPr>
        <w:pStyle w:val="BodyText"/>
        <w:spacing w:before="0" w:line="480" w:lineRule="auto"/>
        <w:ind w:left="0" w:right="2" w:firstLine="578"/>
        <w:rPr>
          <w:color w:val="000000" w:themeColor="text1"/>
          <w:sz w:val="23"/>
          <w:szCs w:val="23"/>
          <w:lang w:val="pt-BR"/>
        </w:rPr>
      </w:pPr>
      <w:r w:rsidRPr="00A65B69">
        <w:rPr>
          <w:color w:val="000000" w:themeColor="text1"/>
          <w:sz w:val="23"/>
          <w:szCs w:val="23"/>
          <w:lang w:val="pt-BR"/>
        </w:rPr>
        <w:t>Os resultados obtidos por este</w:t>
      </w:r>
      <w:r w:rsidR="001150F6" w:rsidRPr="00A65B69">
        <w:rPr>
          <w:color w:val="000000" w:themeColor="text1"/>
          <w:sz w:val="23"/>
          <w:szCs w:val="23"/>
          <w:lang w:val="pt-BR"/>
        </w:rPr>
        <w:t xml:space="preserve"> projeto</w:t>
      </w:r>
      <w:r w:rsidRPr="00A65B69">
        <w:rPr>
          <w:color w:val="000000" w:themeColor="text1"/>
          <w:sz w:val="23"/>
          <w:szCs w:val="23"/>
          <w:lang w:val="pt-BR"/>
        </w:rPr>
        <w:t xml:space="preserve"> serão importantes pois</w:t>
      </w:r>
      <w:r w:rsidRPr="00A65B69" w:rsidDel="00200D7D">
        <w:rPr>
          <w:b/>
          <w:bCs/>
          <w:color w:val="000000" w:themeColor="text1"/>
          <w:sz w:val="23"/>
          <w:szCs w:val="23"/>
          <w:lang w:val="pt-BR"/>
        </w:rPr>
        <w:t xml:space="preserve"> </w:t>
      </w:r>
      <w:r w:rsidR="00102166" w:rsidRPr="00A65B69">
        <w:rPr>
          <w:color w:val="000000" w:themeColor="text1"/>
          <w:sz w:val="23"/>
          <w:szCs w:val="23"/>
          <w:lang w:val="pt-BR"/>
        </w:rPr>
        <w:t xml:space="preserve">i) </w:t>
      </w:r>
      <w:r w:rsidR="00E20157" w:rsidRPr="00A65B69">
        <w:rPr>
          <w:color w:val="000000" w:themeColor="text1"/>
          <w:sz w:val="23"/>
          <w:szCs w:val="23"/>
          <w:lang w:val="pt-BR"/>
        </w:rPr>
        <w:t>possibilitarão uma base teórica sobre os efeitos da</w:t>
      </w:r>
      <w:r w:rsidR="004A5136" w:rsidRPr="00A65B69">
        <w:rPr>
          <w:color w:val="000000" w:themeColor="text1"/>
          <w:sz w:val="23"/>
          <w:szCs w:val="23"/>
          <w:lang w:val="pt-BR"/>
        </w:rPr>
        <w:t xml:space="preserve"> HI nos sintomas motores e não</w:t>
      </w:r>
      <w:r w:rsidR="00E20157" w:rsidRPr="00A65B69">
        <w:rPr>
          <w:color w:val="000000" w:themeColor="text1"/>
          <w:sz w:val="23"/>
          <w:szCs w:val="23"/>
          <w:lang w:val="pt-BR"/>
        </w:rPr>
        <w:t>-</w:t>
      </w:r>
      <w:r w:rsidR="004A5136" w:rsidRPr="00A65B69">
        <w:rPr>
          <w:color w:val="000000" w:themeColor="text1"/>
          <w:sz w:val="23"/>
          <w:szCs w:val="23"/>
          <w:lang w:val="pt-BR"/>
        </w:rPr>
        <w:t>motores</w:t>
      </w:r>
      <w:r w:rsidR="00E20157" w:rsidRPr="00A65B69">
        <w:rPr>
          <w:color w:val="000000" w:themeColor="text1"/>
          <w:sz w:val="23"/>
          <w:szCs w:val="23"/>
          <w:lang w:val="pt-BR"/>
        </w:rPr>
        <w:t xml:space="preserve"> na DP</w:t>
      </w:r>
      <w:r w:rsidR="004A5136" w:rsidRPr="00A65B69">
        <w:rPr>
          <w:color w:val="000000" w:themeColor="text1"/>
          <w:sz w:val="23"/>
          <w:szCs w:val="23"/>
          <w:lang w:val="pt-BR"/>
        </w:rPr>
        <w:t xml:space="preserve">; </w:t>
      </w:r>
      <w:proofErr w:type="spellStart"/>
      <w:r w:rsidR="004A5136" w:rsidRPr="00A65B69">
        <w:rPr>
          <w:color w:val="000000" w:themeColor="text1"/>
          <w:sz w:val="23"/>
          <w:szCs w:val="23"/>
          <w:lang w:val="pt-BR"/>
        </w:rPr>
        <w:t>ii</w:t>
      </w:r>
      <w:proofErr w:type="spellEnd"/>
      <w:r w:rsidR="004A5136" w:rsidRPr="00A65B69">
        <w:rPr>
          <w:color w:val="000000" w:themeColor="text1"/>
          <w:sz w:val="23"/>
          <w:szCs w:val="23"/>
          <w:lang w:val="pt-BR"/>
        </w:rPr>
        <w:t xml:space="preserve">) </w:t>
      </w:r>
      <w:r w:rsidR="00E76043" w:rsidRPr="00A65B69">
        <w:rPr>
          <w:color w:val="000000" w:themeColor="text1"/>
          <w:sz w:val="23"/>
          <w:szCs w:val="23"/>
          <w:lang w:val="pt-BR"/>
        </w:rPr>
        <w:t xml:space="preserve">investigarão a HI como </w:t>
      </w:r>
      <w:r w:rsidR="004B3C2D" w:rsidRPr="00A65B69">
        <w:rPr>
          <w:color w:val="000000" w:themeColor="text1"/>
          <w:sz w:val="23"/>
          <w:szCs w:val="23"/>
          <w:lang w:val="pt-BR"/>
        </w:rPr>
        <w:t xml:space="preserve">estratégia </w:t>
      </w:r>
      <w:r w:rsidR="00E76043" w:rsidRPr="00A65B69">
        <w:rPr>
          <w:color w:val="000000" w:themeColor="text1"/>
          <w:sz w:val="23"/>
          <w:szCs w:val="23"/>
          <w:lang w:val="pt-BR"/>
        </w:rPr>
        <w:t xml:space="preserve">alternativa para a melhora da marcha em pessoas com DP; </w:t>
      </w:r>
      <w:proofErr w:type="spellStart"/>
      <w:r w:rsidR="00E20157" w:rsidRPr="00A65B69">
        <w:rPr>
          <w:color w:val="000000" w:themeColor="text1"/>
          <w:sz w:val="23"/>
          <w:szCs w:val="23"/>
          <w:lang w:val="pt-BR"/>
        </w:rPr>
        <w:t>iii</w:t>
      </w:r>
      <w:proofErr w:type="spellEnd"/>
      <w:r w:rsidR="00E76043" w:rsidRPr="00A65B69">
        <w:rPr>
          <w:color w:val="000000" w:themeColor="text1"/>
          <w:sz w:val="23"/>
          <w:szCs w:val="23"/>
          <w:lang w:val="pt-BR"/>
        </w:rPr>
        <w:t>) testarão as possíveis influências da HI sobre a qualidade do sono</w:t>
      </w:r>
      <w:r w:rsidR="004B3C2D" w:rsidRPr="00A65B69">
        <w:rPr>
          <w:color w:val="000000" w:themeColor="text1"/>
          <w:sz w:val="23"/>
          <w:szCs w:val="23"/>
          <w:lang w:val="pt-BR"/>
        </w:rPr>
        <w:t xml:space="preserve"> e nos biomarcadores sanguíneos</w:t>
      </w:r>
      <w:r w:rsidR="00E76043" w:rsidRPr="00A65B69">
        <w:rPr>
          <w:color w:val="000000" w:themeColor="text1"/>
          <w:sz w:val="23"/>
          <w:szCs w:val="23"/>
          <w:lang w:val="pt-BR"/>
        </w:rPr>
        <w:t xml:space="preserve"> em pessoas com DP; </w:t>
      </w:r>
      <w:proofErr w:type="spellStart"/>
      <w:r w:rsidR="00E20157" w:rsidRPr="00A65B69">
        <w:rPr>
          <w:color w:val="000000" w:themeColor="text1"/>
          <w:sz w:val="23"/>
          <w:szCs w:val="23"/>
          <w:lang w:val="pt-BR"/>
        </w:rPr>
        <w:t>iv</w:t>
      </w:r>
      <w:proofErr w:type="spellEnd"/>
      <w:r w:rsidR="00E20157" w:rsidRPr="00A65B69">
        <w:rPr>
          <w:color w:val="000000" w:themeColor="text1"/>
          <w:sz w:val="23"/>
          <w:szCs w:val="23"/>
          <w:lang w:val="pt-BR"/>
        </w:rPr>
        <w:t xml:space="preserve">) </w:t>
      </w:r>
      <w:r w:rsidR="004B3C2D" w:rsidRPr="00A65B69">
        <w:rPr>
          <w:color w:val="000000" w:themeColor="text1"/>
          <w:sz w:val="23"/>
          <w:szCs w:val="23"/>
          <w:lang w:val="pt-BR"/>
        </w:rPr>
        <w:t xml:space="preserve">compreenderão os mecanismos agudos desencadeadas pela HI relacionados à marcha, ao sono e aos biomarcadores sanguíneos; v) </w:t>
      </w:r>
      <w:r w:rsidR="00E20157" w:rsidRPr="00A65B69">
        <w:rPr>
          <w:color w:val="000000" w:themeColor="text1"/>
          <w:sz w:val="23"/>
          <w:szCs w:val="23"/>
          <w:lang w:val="pt-BR"/>
        </w:rPr>
        <w:t xml:space="preserve">romperão a fronteira do conhecimento da ciência do movimento, evidenciando </w:t>
      </w:r>
      <w:r w:rsidR="00F2012A" w:rsidRPr="00A65B69">
        <w:rPr>
          <w:color w:val="000000" w:themeColor="text1"/>
          <w:sz w:val="23"/>
          <w:szCs w:val="23"/>
          <w:lang w:val="pt-BR"/>
        </w:rPr>
        <w:t xml:space="preserve">biomarcadores sanguíneos </w:t>
      </w:r>
      <w:r w:rsidR="00E20157" w:rsidRPr="00A65B69">
        <w:rPr>
          <w:color w:val="000000" w:themeColor="text1"/>
          <w:sz w:val="23"/>
          <w:szCs w:val="23"/>
          <w:lang w:val="pt-BR"/>
        </w:rPr>
        <w:t xml:space="preserve">que </w:t>
      </w:r>
      <w:r w:rsidR="00F2012A" w:rsidRPr="00A65B69">
        <w:rPr>
          <w:color w:val="000000" w:themeColor="text1"/>
          <w:sz w:val="23"/>
          <w:szCs w:val="23"/>
          <w:lang w:val="pt-BR"/>
        </w:rPr>
        <w:t>podem explicar os efeitos da HI nos sintomas motores e não-motores na DP; v</w:t>
      </w:r>
      <w:r w:rsidR="004B3C2D" w:rsidRPr="00A65B69">
        <w:rPr>
          <w:color w:val="000000" w:themeColor="text1"/>
          <w:sz w:val="23"/>
          <w:szCs w:val="23"/>
          <w:lang w:val="pt-BR"/>
        </w:rPr>
        <w:t>i</w:t>
      </w:r>
      <w:r w:rsidR="00F2012A" w:rsidRPr="00A65B69">
        <w:rPr>
          <w:color w:val="000000" w:themeColor="text1"/>
          <w:sz w:val="23"/>
          <w:szCs w:val="23"/>
          <w:lang w:val="pt-BR"/>
        </w:rPr>
        <w:t xml:space="preserve">) </w:t>
      </w:r>
      <w:r w:rsidR="00E76043" w:rsidRPr="00A65B69">
        <w:rPr>
          <w:color w:val="000000" w:themeColor="text1"/>
          <w:sz w:val="23"/>
          <w:szCs w:val="23"/>
          <w:lang w:val="pt-BR"/>
        </w:rPr>
        <w:t xml:space="preserve">possibilitarão uma base teórica para futuros estudos </w:t>
      </w:r>
      <w:r w:rsidR="00F2012A" w:rsidRPr="00A65B69">
        <w:rPr>
          <w:color w:val="000000" w:themeColor="text1"/>
          <w:sz w:val="23"/>
          <w:szCs w:val="23"/>
          <w:lang w:val="pt-BR"/>
        </w:rPr>
        <w:t xml:space="preserve">utilizando a HI na </w:t>
      </w:r>
      <w:r w:rsidR="00E76043" w:rsidRPr="00A65B69">
        <w:rPr>
          <w:color w:val="000000" w:themeColor="text1"/>
          <w:sz w:val="23"/>
          <w:szCs w:val="23"/>
          <w:lang w:val="pt-BR"/>
        </w:rPr>
        <w:t xml:space="preserve">reabilitação </w:t>
      </w:r>
      <w:r w:rsidR="00F2012A" w:rsidRPr="00A65B69">
        <w:rPr>
          <w:color w:val="000000" w:themeColor="text1"/>
          <w:sz w:val="23"/>
          <w:szCs w:val="23"/>
          <w:lang w:val="pt-BR"/>
        </w:rPr>
        <w:t>d</w:t>
      </w:r>
      <w:r w:rsidR="00E76043" w:rsidRPr="00A65B69">
        <w:rPr>
          <w:color w:val="000000" w:themeColor="text1"/>
          <w:sz w:val="23"/>
          <w:szCs w:val="23"/>
          <w:lang w:val="pt-BR"/>
        </w:rPr>
        <w:t xml:space="preserve">a marcha e </w:t>
      </w:r>
      <w:r w:rsidR="00F2012A" w:rsidRPr="00A65B69">
        <w:rPr>
          <w:color w:val="000000" w:themeColor="text1"/>
          <w:sz w:val="23"/>
          <w:szCs w:val="23"/>
          <w:lang w:val="pt-BR"/>
        </w:rPr>
        <w:t>na higiene do</w:t>
      </w:r>
      <w:r w:rsidR="00E76043" w:rsidRPr="00A65B69">
        <w:rPr>
          <w:color w:val="000000" w:themeColor="text1"/>
          <w:sz w:val="23"/>
          <w:szCs w:val="23"/>
          <w:lang w:val="pt-BR"/>
        </w:rPr>
        <w:t xml:space="preserve"> sono em pessoas com DP</w:t>
      </w:r>
      <w:r w:rsidR="00E20157" w:rsidRPr="00A65B69">
        <w:rPr>
          <w:color w:val="000000" w:themeColor="text1"/>
          <w:sz w:val="23"/>
          <w:szCs w:val="23"/>
          <w:lang w:val="pt-BR"/>
        </w:rPr>
        <w:t xml:space="preserve">. </w:t>
      </w:r>
      <w:r w:rsidR="004B3C2D" w:rsidRPr="00A65B69">
        <w:rPr>
          <w:color w:val="000000" w:themeColor="text1"/>
          <w:sz w:val="23"/>
          <w:szCs w:val="23"/>
          <w:lang w:val="pt-BR"/>
        </w:rPr>
        <w:t>É possível que a investigação destas</w:t>
      </w:r>
      <w:r w:rsidR="004B3C2D" w:rsidRPr="00A65B69">
        <w:rPr>
          <w:color w:val="000000" w:themeColor="text1"/>
          <w:spacing w:val="1"/>
          <w:sz w:val="23"/>
          <w:szCs w:val="23"/>
          <w:lang w:val="pt-BR"/>
        </w:rPr>
        <w:t xml:space="preserve"> </w:t>
      </w:r>
      <w:r w:rsidR="004B3C2D" w:rsidRPr="00A65B69">
        <w:rPr>
          <w:color w:val="000000" w:themeColor="text1"/>
          <w:sz w:val="23"/>
          <w:szCs w:val="23"/>
          <w:lang w:val="pt-BR"/>
        </w:rPr>
        <w:t>lacunas aumente o conhecimento e a aplicabilidade da HI, o que</w:t>
      </w:r>
      <w:r w:rsidR="004B3C2D" w:rsidRPr="00A65B69">
        <w:rPr>
          <w:color w:val="000000" w:themeColor="text1"/>
          <w:spacing w:val="1"/>
          <w:sz w:val="23"/>
          <w:szCs w:val="23"/>
          <w:lang w:val="pt-BR"/>
        </w:rPr>
        <w:t xml:space="preserve"> </w:t>
      </w:r>
      <w:r w:rsidR="004B3C2D" w:rsidRPr="00A65B69">
        <w:rPr>
          <w:color w:val="000000" w:themeColor="text1"/>
          <w:sz w:val="23"/>
          <w:szCs w:val="23"/>
          <w:lang w:val="pt-BR"/>
        </w:rPr>
        <w:t xml:space="preserve">representa um importante passo para a escolha de </w:t>
      </w:r>
      <w:r w:rsidR="001150F6" w:rsidRPr="00A65B69">
        <w:rPr>
          <w:color w:val="000000" w:themeColor="text1"/>
          <w:sz w:val="23"/>
          <w:szCs w:val="23"/>
          <w:lang w:val="pt-BR"/>
        </w:rPr>
        <w:t xml:space="preserve">estratégias </w:t>
      </w:r>
      <w:r w:rsidR="003F24E3" w:rsidRPr="00A65B69">
        <w:rPr>
          <w:color w:val="000000" w:themeColor="text1"/>
          <w:sz w:val="23"/>
          <w:szCs w:val="23"/>
          <w:lang w:val="pt-BR"/>
        </w:rPr>
        <w:t xml:space="preserve">mais efetivas para o </w:t>
      </w:r>
      <w:r w:rsidR="001150F6" w:rsidRPr="00A65B69">
        <w:rPr>
          <w:color w:val="000000" w:themeColor="text1"/>
          <w:sz w:val="23"/>
          <w:szCs w:val="23"/>
          <w:lang w:val="pt-BR"/>
        </w:rPr>
        <w:t>tratamento</w:t>
      </w:r>
      <w:r w:rsidR="003F24E3" w:rsidRPr="00A65B69">
        <w:rPr>
          <w:color w:val="000000" w:themeColor="text1"/>
          <w:sz w:val="23"/>
          <w:szCs w:val="23"/>
          <w:lang w:val="pt-BR"/>
        </w:rPr>
        <w:t xml:space="preserve"> da DP</w:t>
      </w:r>
      <w:r w:rsidR="004B3C2D" w:rsidRPr="00A65B69">
        <w:rPr>
          <w:color w:val="000000" w:themeColor="text1"/>
          <w:sz w:val="23"/>
          <w:szCs w:val="23"/>
          <w:lang w:val="pt-BR"/>
        </w:rPr>
        <w:t xml:space="preserve"> durante os</w:t>
      </w:r>
      <w:r w:rsidR="004B3C2D" w:rsidRPr="00A65B69">
        <w:rPr>
          <w:color w:val="000000" w:themeColor="text1"/>
          <w:spacing w:val="1"/>
          <w:sz w:val="23"/>
          <w:szCs w:val="23"/>
          <w:lang w:val="pt-BR"/>
        </w:rPr>
        <w:t xml:space="preserve"> </w:t>
      </w:r>
      <w:r w:rsidR="004B3C2D" w:rsidRPr="00A65B69">
        <w:rPr>
          <w:color w:val="000000" w:themeColor="text1"/>
          <w:sz w:val="23"/>
          <w:szCs w:val="23"/>
          <w:lang w:val="pt-BR"/>
        </w:rPr>
        <w:t>programas</w:t>
      </w:r>
      <w:r w:rsidR="004B3C2D" w:rsidRPr="00A65B69">
        <w:rPr>
          <w:color w:val="000000" w:themeColor="text1"/>
          <w:spacing w:val="-1"/>
          <w:sz w:val="23"/>
          <w:szCs w:val="23"/>
          <w:lang w:val="pt-BR"/>
        </w:rPr>
        <w:t xml:space="preserve"> </w:t>
      </w:r>
      <w:r w:rsidR="004B3C2D" w:rsidRPr="00A65B69">
        <w:rPr>
          <w:color w:val="000000" w:themeColor="text1"/>
          <w:sz w:val="23"/>
          <w:szCs w:val="23"/>
          <w:lang w:val="pt-BR"/>
        </w:rPr>
        <w:t>de</w:t>
      </w:r>
      <w:r w:rsidR="004B3C2D" w:rsidRPr="00A65B69">
        <w:rPr>
          <w:color w:val="000000" w:themeColor="text1"/>
          <w:spacing w:val="-1"/>
          <w:sz w:val="23"/>
          <w:szCs w:val="23"/>
          <w:lang w:val="pt-BR"/>
        </w:rPr>
        <w:t xml:space="preserve"> </w:t>
      </w:r>
      <w:r w:rsidR="004B3C2D" w:rsidRPr="00A65B69">
        <w:rPr>
          <w:color w:val="000000" w:themeColor="text1"/>
          <w:sz w:val="23"/>
          <w:szCs w:val="23"/>
          <w:lang w:val="pt-BR"/>
        </w:rPr>
        <w:t xml:space="preserve">reabilitação. </w:t>
      </w:r>
      <w:r w:rsidR="00E20157" w:rsidRPr="00A65B69">
        <w:rPr>
          <w:color w:val="000000" w:themeColor="text1"/>
          <w:sz w:val="23"/>
          <w:szCs w:val="23"/>
          <w:lang w:val="pt-BR"/>
        </w:rPr>
        <w:t xml:space="preserve">Ainda, este projeto de pesquisa trará contribuição importante para o alcance das metas da Agenda 30 da </w:t>
      </w:r>
      <w:r w:rsidR="00E20157" w:rsidRPr="00A65B69">
        <w:rPr>
          <w:color w:val="000000" w:themeColor="text1"/>
          <w:sz w:val="23"/>
          <w:szCs w:val="23"/>
          <w:lang w:val="pt-BR"/>
        </w:rPr>
        <w:lastRenderedPageBreak/>
        <w:t>Organização das Nações Unidas relacionados aos Objetivos de Desenvolvimento Sustentável de Saúde e Bem-Estar, e Educação de Qualidade.</w:t>
      </w:r>
    </w:p>
    <w:p w14:paraId="5DA4E901" w14:textId="5DF54710" w:rsidR="00182B6F" w:rsidRPr="00A65B69" w:rsidRDefault="004B3C2D" w:rsidP="00C5660B">
      <w:pPr>
        <w:pStyle w:val="BodyText"/>
        <w:spacing w:before="0" w:line="480" w:lineRule="auto"/>
        <w:ind w:left="0" w:right="2"/>
        <w:rPr>
          <w:b/>
          <w:bCs/>
          <w:color w:val="000000" w:themeColor="text1"/>
          <w:sz w:val="23"/>
          <w:szCs w:val="23"/>
          <w:lang w:val="pt-BR"/>
        </w:rPr>
      </w:pPr>
      <w:r w:rsidRPr="00A65B69">
        <w:rPr>
          <w:b/>
          <w:bCs/>
          <w:color w:val="000000" w:themeColor="text1"/>
          <w:sz w:val="23"/>
          <w:szCs w:val="23"/>
          <w:lang w:val="pt-BR"/>
        </w:rPr>
        <w:t>3</w:t>
      </w:r>
      <w:r w:rsidR="00182B6F" w:rsidRPr="00A65B69">
        <w:rPr>
          <w:b/>
          <w:bCs/>
          <w:color w:val="000000" w:themeColor="text1"/>
          <w:sz w:val="23"/>
          <w:szCs w:val="23"/>
          <w:lang w:val="pt-BR"/>
        </w:rPr>
        <w:t>. Plano de trabalho e cronograma de sua execução</w:t>
      </w:r>
    </w:p>
    <w:p w14:paraId="0D710930" w14:textId="2AEA31C3" w:rsidR="00182B6F" w:rsidRPr="00A65B69" w:rsidRDefault="00182B6F" w:rsidP="00C5660B">
      <w:pPr>
        <w:pStyle w:val="BodyText"/>
        <w:spacing w:before="0" w:line="480" w:lineRule="auto"/>
        <w:ind w:left="0" w:right="0" w:firstLine="720"/>
        <w:rPr>
          <w:color w:val="000000" w:themeColor="text1"/>
          <w:sz w:val="23"/>
          <w:szCs w:val="23"/>
          <w:lang w:val="pt-BR"/>
        </w:rPr>
      </w:pPr>
      <w:r w:rsidRPr="00A65B69">
        <w:rPr>
          <w:color w:val="000000" w:themeColor="text1"/>
          <w:sz w:val="23"/>
          <w:szCs w:val="23"/>
          <w:lang w:val="pt-BR"/>
        </w:rPr>
        <w:t xml:space="preserve">Para responder aos objetivos do presente projeto, serão propostos </w:t>
      </w:r>
      <w:r w:rsidR="00B33349" w:rsidRPr="00A65B69">
        <w:rPr>
          <w:color w:val="000000" w:themeColor="text1"/>
          <w:sz w:val="23"/>
          <w:szCs w:val="23"/>
          <w:lang w:val="pt-BR"/>
        </w:rPr>
        <w:t>dois</w:t>
      </w:r>
      <w:r w:rsidRPr="00A65B69">
        <w:rPr>
          <w:color w:val="000000" w:themeColor="text1"/>
          <w:sz w:val="23"/>
          <w:szCs w:val="23"/>
          <w:lang w:val="pt-BR"/>
        </w:rPr>
        <w:t xml:space="preserve"> estudos</w:t>
      </w:r>
      <w:r w:rsidR="005F480B" w:rsidRPr="00A65B69">
        <w:rPr>
          <w:color w:val="000000" w:themeColor="text1"/>
          <w:sz w:val="23"/>
          <w:szCs w:val="23"/>
          <w:lang w:val="pt-BR"/>
        </w:rPr>
        <w:t>:</w:t>
      </w:r>
      <w:r w:rsidRPr="00A65B69">
        <w:rPr>
          <w:color w:val="000000" w:themeColor="text1"/>
          <w:sz w:val="23"/>
          <w:szCs w:val="23"/>
          <w:lang w:val="pt-BR"/>
        </w:rPr>
        <w:t xml:space="preserve"> </w:t>
      </w:r>
      <w:r w:rsidR="00B33349" w:rsidRPr="00A65B69">
        <w:rPr>
          <w:color w:val="000000" w:themeColor="text1"/>
          <w:sz w:val="23"/>
          <w:szCs w:val="23"/>
          <w:lang w:val="pt-BR"/>
        </w:rPr>
        <w:t>uma</w:t>
      </w:r>
      <w:r w:rsidRPr="00A65B69">
        <w:rPr>
          <w:color w:val="000000" w:themeColor="text1"/>
          <w:sz w:val="23"/>
          <w:szCs w:val="23"/>
          <w:lang w:val="pt-BR"/>
        </w:rPr>
        <w:t xml:space="preserve"> revis</w:t>
      </w:r>
      <w:r w:rsidR="00B33349" w:rsidRPr="00A65B69">
        <w:rPr>
          <w:color w:val="000000" w:themeColor="text1"/>
          <w:sz w:val="23"/>
          <w:szCs w:val="23"/>
          <w:lang w:val="pt-BR"/>
        </w:rPr>
        <w:t>ão</w:t>
      </w:r>
      <w:r w:rsidRPr="00A65B69">
        <w:rPr>
          <w:color w:val="000000" w:themeColor="text1"/>
          <w:sz w:val="23"/>
          <w:szCs w:val="23"/>
          <w:lang w:val="pt-BR"/>
        </w:rPr>
        <w:t xml:space="preserve"> sistemática da literatura e </w:t>
      </w:r>
      <w:r w:rsidR="00B33349" w:rsidRPr="00A65B69">
        <w:rPr>
          <w:color w:val="000000" w:themeColor="text1"/>
          <w:sz w:val="23"/>
          <w:szCs w:val="23"/>
          <w:lang w:val="pt-BR"/>
        </w:rPr>
        <w:t>um</w:t>
      </w:r>
      <w:r w:rsidRPr="00A65B69">
        <w:rPr>
          <w:color w:val="000000" w:themeColor="text1"/>
          <w:sz w:val="23"/>
          <w:szCs w:val="23"/>
          <w:lang w:val="pt-BR"/>
        </w:rPr>
        <w:t xml:space="preserve"> estudo de caráter experimental. </w:t>
      </w:r>
      <w:r w:rsidR="006249CF" w:rsidRPr="00A65B69">
        <w:rPr>
          <w:color w:val="000000" w:themeColor="text1"/>
          <w:sz w:val="23"/>
          <w:szCs w:val="23"/>
          <w:lang w:val="pt-BR"/>
        </w:rPr>
        <w:t>O primeiro terá objetivo de revisar sistematicamente</w:t>
      </w:r>
      <w:r w:rsidR="005F480B" w:rsidRPr="00A65B69">
        <w:rPr>
          <w:color w:val="000000" w:themeColor="text1"/>
          <w:sz w:val="23"/>
          <w:szCs w:val="23"/>
          <w:lang w:val="pt-BR"/>
        </w:rPr>
        <w:t>,</w:t>
      </w:r>
      <w:r w:rsidR="006249CF" w:rsidRPr="00A65B69">
        <w:rPr>
          <w:color w:val="000000" w:themeColor="text1"/>
          <w:sz w:val="23"/>
          <w:szCs w:val="23"/>
          <w:lang w:val="pt-BR"/>
        </w:rPr>
        <w:t xml:space="preserve"> a literatura sobre as influências da hipóxia na DP, independentemente das suas formas de aplicação (e.g., HI, </w:t>
      </w:r>
      <w:proofErr w:type="spellStart"/>
      <w:r w:rsidR="006249CF" w:rsidRPr="00A65B69">
        <w:rPr>
          <w:color w:val="000000" w:themeColor="text1"/>
          <w:sz w:val="23"/>
          <w:szCs w:val="23"/>
          <w:lang w:val="pt-BR"/>
        </w:rPr>
        <w:t>hipobárica</w:t>
      </w:r>
      <w:proofErr w:type="spellEnd"/>
      <w:r w:rsidR="006249CF" w:rsidRPr="00A65B69">
        <w:rPr>
          <w:color w:val="000000" w:themeColor="text1"/>
          <w:sz w:val="23"/>
          <w:szCs w:val="23"/>
          <w:lang w:val="pt-BR"/>
        </w:rPr>
        <w:t xml:space="preserve">, </w:t>
      </w:r>
      <w:proofErr w:type="spellStart"/>
      <w:r w:rsidR="006249CF" w:rsidRPr="00A65B69">
        <w:rPr>
          <w:color w:val="000000" w:themeColor="text1"/>
          <w:sz w:val="23"/>
          <w:szCs w:val="23"/>
          <w:lang w:val="pt-BR"/>
        </w:rPr>
        <w:t>normobárica</w:t>
      </w:r>
      <w:proofErr w:type="spellEnd"/>
      <w:r w:rsidR="006249CF" w:rsidRPr="00A65B69">
        <w:rPr>
          <w:color w:val="000000" w:themeColor="text1"/>
          <w:sz w:val="23"/>
          <w:szCs w:val="23"/>
          <w:lang w:val="pt-BR"/>
        </w:rPr>
        <w:t xml:space="preserve">, </w:t>
      </w:r>
      <w:proofErr w:type="spellStart"/>
      <w:r w:rsidR="006249CF" w:rsidRPr="00A65B69">
        <w:rPr>
          <w:color w:val="000000" w:themeColor="text1"/>
          <w:sz w:val="23"/>
          <w:szCs w:val="23"/>
          <w:lang w:val="pt-BR"/>
        </w:rPr>
        <w:t>etc</w:t>
      </w:r>
      <w:proofErr w:type="spellEnd"/>
      <w:r w:rsidR="006249CF" w:rsidRPr="00A65B69">
        <w:rPr>
          <w:color w:val="000000" w:themeColor="text1"/>
          <w:sz w:val="23"/>
          <w:szCs w:val="23"/>
          <w:lang w:val="pt-BR"/>
        </w:rPr>
        <w:t xml:space="preserve">). </w:t>
      </w:r>
      <w:r w:rsidRPr="00A65B69">
        <w:rPr>
          <w:color w:val="000000" w:themeColor="text1"/>
          <w:sz w:val="23"/>
          <w:szCs w:val="23"/>
          <w:lang w:val="pt-BR"/>
        </w:rPr>
        <w:t>No estudo experimenta</w:t>
      </w:r>
      <w:r w:rsidR="00B33349" w:rsidRPr="00A65B69">
        <w:rPr>
          <w:color w:val="000000" w:themeColor="text1"/>
          <w:sz w:val="23"/>
          <w:szCs w:val="23"/>
          <w:lang w:val="pt-BR"/>
        </w:rPr>
        <w:t>l</w:t>
      </w:r>
      <w:r w:rsidR="001150F6" w:rsidRPr="00A65B69">
        <w:rPr>
          <w:color w:val="000000" w:themeColor="text1"/>
          <w:sz w:val="23"/>
          <w:szCs w:val="23"/>
          <w:lang w:val="pt-BR"/>
        </w:rPr>
        <w:t>,</w:t>
      </w:r>
      <w:r w:rsidRPr="00A65B69">
        <w:rPr>
          <w:color w:val="000000" w:themeColor="text1"/>
          <w:sz w:val="23"/>
          <w:szCs w:val="23"/>
          <w:lang w:val="pt-BR"/>
        </w:rPr>
        <w:t xml:space="preserve"> a marcha</w:t>
      </w:r>
      <w:r w:rsidR="00B33349" w:rsidRPr="00A65B69">
        <w:rPr>
          <w:color w:val="000000" w:themeColor="text1"/>
          <w:sz w:val="23"/>
          <w:szCs w:val="23"/>
          <w:lang w:val="pt-BR"/>
        </w:rPr>
        <w:t>, a qualidade do sono e os biomarcadores sanguíneos</w:t>
      </w:r>
      <w:r w:rsidRPr="00A65B69">
        <w:rPr>
          <w:color w:val="000000" w:themeColor="text1"/>
          <w:sz w:val="23"/>
          <w:szCs w:val="23"/>
          <w:lang w:val="pt-BR"/>
        </w:rPr>
        <w:t xml:space="preserve"> ser</w:t>
      </w:r>
      <w:r w:rsidR="00B33349" w:rsidRPr="00A65B69">
        <w:rPr>
          <w:color w:val="000000" w:themeColor="text1"/>
          <w:sz w:val="23"/>
          <w:szCs w:val="23"/>
          <w:lang w:val="pt-BR"/>
        </w:rPr>
        <w:t>ão</w:t>
      </w:r>
      <w:r w:rsidRPr="00A65B69">
        <w:rPr>
          <w:color w:val="000000" w:themeColor="text1"/>
          <w:sz w:val="23"/>
          <w:szCs w:val="23"/>
          <w:lang w:val="pt-BR"/>
        </w:rPr>
        <w:t xml:space="preserve"> avaliad</w:t>
      </w:r>
      <w:r w:rsidR="00B33349" w:rsidRPr="00A65B69">
        <w:rPr>
          <w:color w:val="000000" w:themeColor="text1"/>
          <w:sz w:val="23"/>
          <w:szCs w:val="23"/>
          <w:lang w:val="pt-BR"/>
        </w:rPr>
        <w:t>os</w:t>
      </w:r>
      <w:r w:rsidRPr="00A65B69">
        <w:rPr>
          <w:color w:val="000000" w:themeColor="text1"/>
          <w:sz w:val="23"/>
          <w:szCs w:val="23"/>
          <w:lang w:val="pt-BR"/>
        </w:rPr>
        <w:t xml:space="preserve"> antes</w:t>
      </w:r>
      <w:r w:rsidR="006249CF" w:rsidRPr="00A65B69">
        <w:rPr>
          <w:color w:val="000000" w:themeColor="text1"/>
          <w:sz w:val="23"/>
          <w:szCs w:val="23"/>
          <w:lang w:val="pt-BR"/>
        </w:rPr>
        <w:t>,</w:t>
      </w:r>
      <w:r w:rsidRPr="00A65B69">
        <w:rPr>
          <w:color w:val="000000" w:themeColor="text1"/>
          <w:sz w:val="23"/>
          <w:szCs w:val="23"/>
          <w:lang w:val="pt-BR"/>
        </w:rPr>
        <w:t xml:space="preserve"> imediatamente após</w:t>
      </w:r>
      <w:r w:rsidR="006249CF" w:rsidRPr="00A65B69">
        <w:rPr>
          <w:color w:val="000000" w:themeColor="text1"/>
          <w:sz w:val="23"/>
          <w:szCs w:val="23"/>
          <w:lang w:val="pt-BR"/>
        </w:rPr>
        <w:t xml:space="preserve"> e 24h após a recuperação</w:t>
      </w:r>
      <w:r w:rsidRPr="00A65B69">
        <w:rPr>
          <w:color w:val="000000" w:themeColor="text1"/>
          <w:sz w:val="23"/>
          <w:szCs w:val="23"/>
          <w:lang w:val="pt-BR"/>
        </w:rPr>
        <w:t xml:space="preserve"> a aplicação da estratégia</w:t>
      </w:r>
      <w:r w:rsidR="00B33349" w:rsidRPr="00A65B69">
        <w:rPr>
          <w:color w:val="000000" w:themeColor="text1"/>
          <w:sz w:val="23"/>
          <w:szCs w:val="23"/>
          <w:lang w:val="pt-BR"/>
        </w:rPr>
        <w:t xml:space="preserve">: </w:t>
      </w:r>
      <w:proofErr w:type="spellStart"/>
      <w:r w:rsidR="001150F6" w:rsidRPr="00A65B69">
        <w:rPr>
          <w:color w:val="000000" w:themeColor="text1"/>
          <w:sz w:val="23"/>
          <w:szCs w:val="23"/>
          <w:lang w:val="pt-BR"/>
        </w:rPr>
        <w:t>normóxia</w:t>
      </w:r>
      <w:proofErr w:type="spellEnd"/>
      <w:r w:rsidR="001150F6" w:rsidRPr="00A65B69">
        <w:rPr>
          <w:color w:val="000000" w:themeColor="text1"/>
          <w:sz w:val="23"/>
          <w:szCs w:val="23"/>
          <w:lang w:val="pt-BR"/>
        </w:rPr>
        <w:t xml:space="preserve"> (</w:t>
      </w:r>
      <w:r w:rsidR="00B33349" w:rsidRPr="00A65B69">
        <w:rPr>
          <w:color w:val="000000" w:themeColor="text1"/>
          <w:sz w:val="23"/>
          <w:szCs w:val="23"/>
          <w:lang w:val="pt-BR"/>
        </w:rPr>
        <w:t>placebo</w:t>
      </w:r>
      <w:r w:rsidR="001150F6" w:rsidRPr="00A65B69">
        <w:rPr>
          <w:color w:val="000000" w:themeColor="text1"/>
          <w:sz w:val="23"/>
          <w:szCs w:val="23"/>
          <w:lang w:val="pt-BR"/>
        </w:rPr>
        <w:t>)</w:t>
      </w:r>
      <w:r w:rsidR="00AF49B8" w:rsidRPr="00A65B69">
        <w:rPr>
          <w:color w:val="000000" w:themeColor="text1"/>
          <w:sz w:val="23"/>
          <w:szCs w:val="23"/>
          <w:lang w:val="pt-BR"/>
        </w:rPr>
        <w:t xml:space="preserve"> e</w:t>
      </w:r>
      <w:r w:rsidR="00B33349" w:rsidRPr="00A65B69">
        <w:rPr>
          <w:color w:val="000000" w:themeColor="text1"/>
          <w:sz w:val="23"/>
          <w:szCs w:val="23"/>
          <w:lang w:val="pt-BR"/>
        </w:rPr>
        <w:t xml:space="preserve"> HI</w:t>
      </w:r>
      <w:r w:rsidRPr="00A65B69">
        <w:rPr>
          <w:color w:val="000000" w:themeColor="text1"/>
          <w:sz w:val="23"/>
          <w:szCs w:val="23"/>
          <w:lang w:val="pt-BR"/>
        </w:rPr>
        <w:t xml:space="preserve">. </w:t>
      </w:r>
      <w:r w:rsidR="006249CF" w:rsidRPr="00A65B69">
        <w:rPr>
          <w:color w:val="000000" w:themeColor="text1"/>
          <w:sz w:val="23"/>
          <w:szCs w:val="23"/>
          <w:lang w:val="pt-BR"/>
        </w:rPr>
        <w:t>As variáveis prim</w:t>
      </w:r>
      <w:r w:rsidR="007710F8" w:rsidRPr="00A65B69">
        <w:rPr>
          <w:color w:val="000000" w:themeColor="text1"/>
          <w:sz w:val="23"/>
          <w:szCs w:val="23"/>
          <w:lang w:val="pt-BR"/>
        </w:rPr>
        <w:t>á</w:t>
      </w:r>
      <w:r w:rsidR="006249CF" w:rsidRPr="00A65B69">
        <w:rPr>
          <w:color w:val="000000" w:themeColor="text1"/>
          <w:sz w:val="23"/>
          <w:szCs w:val="23"/>
          <w:lang w:val="pt-BR"/>
        </w:rPr>
        <w:t>rias d</w:t>
      </w:r>
      <w:r w:rsidR="00E94E38" w:rsidRPr="00A65B69">
        <w:rPr>
          <w:color w:val="000000" w:themeColor="text1"/>
          <w:sz w:val="23"/>
          <w:szCs w:val="23"/>
          <w:lang w:val="pt-BR"/>
        </w:rPr>
        <w:t>o</w:t>
      </w:r>
      <w:r w:rsidR="006249CF" w:rsidRPr="00A65B69">
        <w:rPr>
          <w:color w:val="000000" w:themeColor="text1"/>
          <w:sz w:val="23"/>
          <w:szCs w:val="23"/>
          <w:lang w:val="pt-BR"/>
        </w:rPr>
        <w:t xml:space="preserve"> estudo</w:t>
      </w:r>
      <w:r w:rsidR="003F24E3" w:rsidRPr="00A65B69">
        <w:rPr>
          <w:color w:val="000000" w:themeColor="text1"/>
          <w:sz w:val="23"/>
          <w:szCs w:val="23"/>
          <w:lang w:val="pt-BR"/>
        </w:rPr>
        <w:t xml:space="preserve"> são</w:t>
      </w:r>
      <w:r w:rsidR="006249CF" w:rsidRPr="00A65B69">
        <w:rPr>
          <w:color w:val="000000" w:themeColor="text1"/>
          <w:sz w:val="23"/>
          <w:szCs w:val="23"/>
          <w:lang w:val="pt-BR"/>
        </w:rPr>
        <w:t xml:space="preserve">: i) marcha: </w:t>
      </w:r>
      <w:r w:rsidRPr="00A65B69">
        <w:rPr>
          <w:color w:val="000000" w:themeColor="text1"/>
          <w:sz w:val="23"/>
          <w:szCs w:val="23"/>
          <w:lang w:val="pt-BR"/>
        </w:rPr>
        <w:t xml:space="preserve">velocidade </w:t>
      </w:r>
      <w:r w:rsidR="004B3C2D" w:rsidRPr="00A65B69">
        <w:rPr>
          <w:color w:val="000000" w:themeColor="text1"/>
          <w:sz w:val="23"/>
          <w:szCs w:val="23"/>
          <w:lang w:val="pt-BR"/>
        </w:rPr>
        <w:t>e</w:t>
      </w:r>
      <w:r w:rsidRPr="00A65B69">
        <w:rPr>
          <w:color w:val="000000" w:themeColor="text1"/>
          <w:sz w:val="23"/>
          <w:szCs w:val="23"/>
          <w:lang w:val="pt-BR"/>
        </w:rPr>
        <w:t xml:space="preserve"> comprimento do passo</w:t>
      </w:r>
      <w:r w:rsidR="006249CF" w:rsidRPr="00A65B69">
        <w:rPr>
          <w:color w:val="000000" w:themeColor="text1"/>
          <w:sz w:val="23"/>
          <w:szCs w:val="23"/>
          <w:lang w:val="pt-BR"/>
        </w:rPr>
        <w:t xml:space="preserve">, </w:t>
      </w:r>
      <w:r w:rsidR="00C927A0" w:rsidRPr="00A65B69">
        <w:rPr>
          <w:color w:val="000000" w:themeColor="text1"/>
          <w:sz w:val="23"/>
          <w:szCs w:val="23"/>
          <w:lang w:val="pt-BR"/>
        </w:rPr>
        <w:t xml:space="preserve">magnitude da atividade </w:t>
      </w:r>
      <w:r w:rsidR="004B3C2D" w:rsidRPr="00A65B69">
        <w:rPr>
          <w:color w:val="000000" w:themeColor="text1"/>
          <w:sz w:val="23"/>
          <w:szCs w:val="23"/>
          <w:lang w:val="pt-BR"/>
        </w:rPr>
        <w:t xml:space="preserve">muscular </w:t>
      </w:r>
      <w:r w:rsidR="00C927A0" w:rsidRPr="00A65B69">
        <w:rPr>
          <w:color w:val="000000" w:themeColor="text1"/>
          <w:sz w:val="23"/>
          <w:szCs w:val="23"/>
          <w:lang w:val="pt-BR"/>
        </w:rPr>
        <w:t>e o índice de co-contração entre os músculos analisados;</w:t>
      </w:r>
      <w:r w:rsidR="00AF49B8" w:rsidRPr="00A65B69">
        <w:rPr>
          <w:color w:val="000000" w:themeColor="text1"/>
          <w:sz w:val="23"/>
          <w:szCs w:val="23"/>
          <w:lang w:val="pt-BR"/>
        </w:rPr>
        <w:t xml:space="preserve"> </w:t>
      </w:r>
      <w:proofErr w:type="spellStart"/>
      <w:r w:rsidR="006249CF" w:rsidRPr="00A65B69">
        <w:rPr>
          <w:color w:val="000000" w:themeColor="text1"/>
          <w:sz w:val="23"/>
          <w:szCs w:val="23"/>
          <w:lang w:val="pt-BR"/>
        </w:rPr>
        <w:t>ii</w:t>
      </w:r>
      <w:proofErr w:type="spellEnd"/>
      <w:r w:rsidR="006249CF" w:rsidRPr="00A65B69">
        <w:rPr>
          <w:color w:val="000000" w:themeColor="text1"/>
          <w:sz w:val="23"/>
          <w:szCs w:val="23"/>
          <w:lang w:val="pt-BR"/>
        </w:rPr>
        <w:t xml:space="preserve">) sono: </w:t>
      </w:r>
      <w:r w:rsidR="00D05776" w:rsidRPr="00A65B69">
        <w:rPr>
          <w:color w:val="000000" w:themeColor="text1"/>
          <w:sz w:val="23"/>
          <w:szCs w:val="23"/>
          <w:lang w:val="pt-BR"/>
        </w:rPr>
        <w:t>tempo total de sono</w:t>
      </w:r>
      <w:r w:rsidR="00C927A0" w:rsidRPr="00A65B69">
        <w:rPr>
          <w:color w:val="000000" w:themeColor="text1"/>
          <w:sz w:val="23"/>
          <w:szCs w:val="23"/>
          <w:lang w:val="pt-BR"/>
        </w:rPr>
        <w:t xml:space="preserve"> e eficiência do sono</w:t>
      </w:r>
      <w:r w:rsidR="006249CF" w:rsidRPr="00A65B69">
        <w:rPr>
          <w:color w:val="000000" w:themeColor="text1"/>
          <w:sz w:val="23"/>
          <w:szCs w:val="23"/>
          <w:lang w:val="pt-BR"/>
        </w:rPr>
        <w:t xml:space="preserve">, e </w:t>
      </w:r>
      <w:proofErr w:type="spellStart"/>
      <w:r w:rsidR="006249CF" w:rsidRPr="00A65B69">
        <w:rPr>
          <w:color w:val="000000" w:themeColor="text1"/>
          <w:sz w:val="23"/>
          <w:szCs w:val="23"/>
          <w:lang w:val="pt-BR"/>
        </w:rPr>
        <w:t>i</w:t>
      </w:r>
      <w:r w:rsidR="00C927A0" w:rsidRPr="00A65B69">
        <w:rPr>
          <w:color w:val="000000" w:themeColor="text1"/>
          <w:sz w:val="23"/>
          <w:szCs w:val="23"/>
          <w:lang w:val="pt-BR"/>
        </w:rPr>
        <w:t>v</w:t>
      </w:r>
      <w:proofErr w:type="spellEnd"/>
      <w:r w:rsidR="006249CF" w:rsidRPr="00A65B69">
        <w:rPr>
          <w:color w:val="000000" w:themeColor="text1"/>
          <w:sz w:val="23"/>
          <w:szCs w:val="23"/>
          <w:lang w:val="pt-BR"/>
        </w:rPr>
        <w:t xml:space="preserve">) biomarcadores sanguíneos: </w:t>
      </w:r>
      <w:r w:rsidR="000F1922" w:rsidRPr="00A65B69">
        <w:rPr>
          <w:color w:val="000000" w:themeColor="text1"/>
          <w:sz w:val="23"/>
          <w:szCs w:val="23"/>
          <w:lang w:val="pt-BR"/>
        </w:rPr>
        <w:t xml:space="preserve">concentração </w:t>
      </w:r>
      <w:r w:rsidR="006249CF" w:rsidRPr="00A65B69">
        <w:rPr>
          <w:color w:val="000000" w:themeColor="text1"/>
          <w:sz w:val="23"/>
          <w:szCs w:val="23"/>
          <w:lang w:val="pt-BR"/>
        </w:rPr>
        <w:t>de BDNF, IL-6 e ferro</w:t>
      </w:r>
      <w:r w:rsidRPr="00A65B69">
        <w:rPr>
          <w:color w:val="000000" w:themeColor="text1"/>
          <w:sz w:val="23"/>
          <w:szCs w:val="23"/>
          <w:lang w:val="pt-BR"/>
        </w:rPr>
        <w:t xml:space="preserve">. </w:t>
      </w:r>
    </w:p>
    <w:p w14:paraId="4B29C5C7" w14:textId="6EFA024C" w:rsidR="006249CF" w:rsidRPr="00A65B69" w:rsidRDefault="005A123E" w:rsidP="00C5660B">
      <w:pPr>
        <w:pStyle w:val="BodyText"/>
        <w:spacing w:before="0" w:line="480" w:lineRule="auto"/>
        <w:ind w:left="0" w:right="0"/>
        <w:rPr>
          <w:i/>
          <w:iCs/>
          <w:color w:val="000000" w:themeColor="text1"/>
          <w:sz w:val="23"/>
          <w:szCs w:val="23"/>
          <w:lang w:val="pt-BR"/>
        </w:rPr>
      </w:pPr>
      <w:r w:rsidRPr="00A65B69">
        <w:rPr>
          <w:i/>
          <w:iCs/>
          <w:color w:val="000000" w:themeColor="text1"/>
          <w:sz w:val="23"/>
          <w:szCs w:val="23"/>
          <w:lang w:val="pt-BR"/>
        </w:rPr>
        <w:t>3</w:t>
      </w:r>
      <w:r w:rsidR="006249CF" w:rsidRPr="00A65B69">
        <w:rPr>
          <w:i/>
          <w:iCs/>
          <w:color w:val="000000" w:themeColor="text1"/>
          <w:sz w:val="23"/>
          <w:szCs w:val="23"/>
          <w:lang w:val="pt-BR"/>
        </w:rPr>
        <w:t>.1. Plano de trabalho</w:t>
      </w:r>
      <w:r w:rsidR="00E836D4" w:rsidRPr="00A65B69">
        <w:rPr>
          <w:i/>
          <w:iCs/>
          <w:color w:val="000000" w:themeColor="text1"/>
          <w:sz w:val="23"/>
          <w:szCs w:val="23"/>
          <w:lang w:val="pt-BR"/>
        </w:rPr>
        <w:t xml:space="preserve"> do candidato</w:t>
      </w:r>
    </w:p>
    <w:p w14:paraId="7F7AD652" w14:textId="3ABB06AD"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 xml:space="preserve">1) </w:t>
      </w:r>
      <w:r w:rsidR="00A25D8E" w:rsidRPr="00A65B69">
        <w:rPr>
          <w:color w:val="000000" w:themeColor="text1"/>
          <w:sz w:val="23"/>
          <w:szCs w:val="23"/>
          <w:lang w:val="pt-BR"/>
        </w:rPr>
        <w:t>Levantamento, leitura, discussão e cadastramento da literatura referente aos efeitos d</w:t>
      </w:r>
      <w:r w:rsidR="008F1458" w:rsidRPr="00A65B69">
        <w:rPr>
          <w:color w:val="000000" w:themeColor="text1"/>
          <w:sz w:val="23"/>
          <w:szCs w:val="23"/>
          <w:lang w:val="pt-BR"/>
        </w:rPr>
        <w:t>a</w:t>
      </w:r>
      <w:r w:rsidR="00A25D8E" w:rsidRPr="00A65B69">
        <w:rPr>
          <w:color w:val="000000" w:themeColor="text1"/>
          <w:sz w:val="23"/>
          <w:szCs w:val="23"/>
          <w:lang w:val="pt-BR"/>
        </w:rPr>
        <w:t xml:space="preserve"> hipóxia intermitente</w:t>
      </w:r>
      <w:r w:rsidR="008F1458" w:rsidRPr="00A65B69">
        <w:rPr>
          <w:color w:val="000000" w:themeColor="text1"/>
          <w:sz w:val="23"/>
          <w:szCs w:val="23"/>
          <w:lang w:val="pt-BR"/>
        </w:rPr>
        <w:t xml:space="preserve"> na DP</w:t>
      </w:r>
      <w:r w:rsidR="001C486E" w:rsidRPr="00A65B69">
        <w:rPr>
          <w:color w:val="000000" w:themeColor="text1"/>
          <w:sz w:val="23"/>
          <w:szCs w:val="23"/>
          <w:lang w:val="pt-BR"/>
        </w:rPr>
        <w:t xml:space="preserve"> e dos efeitos da doença na </w:t>
      </w:r>
      <w:r w:rsidR="00A25D8E" w:rsidRPr="00A65B69">
        <w:rPr>
          <w:color w:val="000000" w:themeColor="text1"/>
          <w:sz w:val="23"/>
          <w:szCs w:val="23"/>
          <w:lang w:val="pt-BR"/>
        </w:rPr>
        <w:t>marcha, qualidade do sono e biomarcadores sanguíneos</w:t>
      </w:r>
      <w:r w:rsidR="008F1458" w:rsidRPr="00A65B69">
        <w:rPr>
          <w:color w:val="000000" w:themeColor="text1"/>
          <w:sz w:val="23"/>
          <w:szCs w:val="23"/>
          <w:lang w:val="pt-BR"/>
        </w:rPr>
        <w:t>;</w:t>
      </w:r>
    </w:p>
    <w:p w14:paraId="61A9E93A" w14:textId="3AF7154A"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2) Submissão do projeto de pesquisa para o Comitê de Ética Local</w:t>
      </w:r>
      <w:r w:rsidR="001C486E" w:rsidRPr="00A65B69">
        <w:rPr>
          <w:color w:val="000000" w:themeColor="text1"/>
          <w:sz w:val="23"/>
          <w:szCs w:val="23"/>
          <w:lang w:val="pt-BR"/>
        </w:rPr>
        <w:t xml:space="preserve">, </w:t>
      </w:r>
      <w:r w:rsidRPr="00A65B69">
        <w:rPr>
          <w:color w:val="000000" w:themeColor="text1"/>
          <w:sz w:val="23"/>
          <w:szCs w:val="23"/>
          <w:lang w:val="pt-BR"/>
        </w:rPr>
        <w:t>do protocolo experimental no Registro Brasileiro de Ensaio Clínico (REBEC)</w:t>
      </w:r>
      <w:r w:rsidR="001C486E" w:rsidRPr="00A65B69">
        <w:rPr>
          <w:color w:val="000000" w:themeColor="text1"/>
          <w:sz w:val="23"/>
          <w:szCs w:val="23"/>
          <w:lang w:val="pt-BR"/>
        </w:rPr>
        <w:t xml:space="preserve"> e da revisão sistemática para o PROSPERO;</w:t>
      </w:r>
    </w:p>
    <w:p w14:paraId="45424D7B" w14:textId="02ADCFA2" w:rsidR="001C486E" w:rsidRPr="00A65B69" w:rsidRDefault="001C486E" w:rsidP="00C5660B">
      <w:pPr>
        <w:spacing w:line="480" w:lineRule="auto"/>
        <w:ind w:right="2"/>
        <w:jc w:val="both"/>
        <w:rPr>
          <w:color w:val="000000" w:themeColor="text1"/>
          <w:sz w:val="23"/>
          <w:szCs w:val="23"/>
          <w:lang w:val="pt-BR"/>
        </w:rPr>
      </w:pPr>
      <w:r w:rsidRPr="00A65B69">
        <w:rPr>
          <w:color w:val="000000" w:themeColor="text1"/>
          <w:sz w:val="23"/>
          <w:szCs w:val="23"/>
          <w:lang w:val="pt-BR"/>
        </w:rPr>
        <w:t>3</w:t>
      </w:r>
      <w:r w:rsidR="00794EAB" w:rsidRPr="00A65B69">
        <w:rPr>
          <w:color w:val="000000" w:themeColor="text1"/>
          <w:sz w:val="23"/>
          <w:szCs w:val="23"/>
          <w:lang w:val="pt-BR"/>
        </w:rPr>
        <w:t xml:space="preserve">) </w:t>
      </w:r>
      <w:r w:rsidRPr="00A65B69">
        <w:rPr>
          <w:color w:val="000000" w:themeColor="text1"/>
          <w:sz w:val="23"/>
          <w:szCs w:val="23"/>
          <w:lang w:val="pt-BR"/>
        </w:rPr>
        <w:t xml:space="preserve">Aplicação das </w:t>
      </w:r>
      <w:proofErr w:type="spellStart"/>
      <w:r w:rsidRPr="00A65B69">
        <w:rPr>
          <w:color w:val="000000" w:themeColor="text1"/>
          <w:sz w:val="23"/>
          <w:szCs w:val="23"/>
          <w:lang w:val="pt-BR"/>
        </w:rPr>
        <w:t>Strings</w:t>
      </w:r>
      <w:proofErr w:type="spellEnd"/>
      <w:r w:rsidRPr="00A65B69">
        <w:rPr>
          <w:color w:val="000000" w:themeColor="text1"/>
          <w:sz w:val="23"/>
          <w:szCs w:val="23"/>
          <w:lang w:val="pt-BR"/>
        </w:rPr>
        <w:t xml:space="preserve"> de busca nas diferentes bases de dados;</w:t>
      </w:r>
    </w:p>
    <w:p w14:paraId="5A7F35BB" w14:textId="6C1C62D7" w:rsidR="00D7095F" w:rsidRPr="00A65B69" w:rsidRDefault="001C486E" w:rsidP="00C5660B">
      <w:pPr>
        <w:spacing w:line="480" w:lineRule="auto"/>
        <w:ind w:right="2"/>
        <w:jc w:val="both"/>
        <w:rPr>
          <w:color w:val="000000" w:themeColor="text1"/>
          <w:sz w:val="23"/>
          <w:szCs w:val="23"/>
          <w:lang w:val="pt-BR"/>
        </w:rPr>
      </w:pPr>
      <w:r w:rsidRPr="00A65B69">
        <w:rPr>
          <w:color w:val="000000" w:themeColor="text1"/>
          <w:sz w:val="23"/>
          <w:szCs w:val="23"/>
          <w:lang w:val="pt-BR"/>
        </w:rPr>
        <w:t>4</w:t>
      </w:r>
      <w:r w:rsidR="00794EAB" w:rsidRPr="00A65B69">
        <w:rPr>
          <w:color w:val="000000" w:themeColor="text1"/>
          <w:sz w:val="23"/>
          <w:szCs w:val="23"/>
          <w:lang w:val="pt-BR"/>
        </w:rPr>
        <w:t xml:space="preserve">) </w:t>
      </w:r>
      <w:r w:rsidRPr="00A65B69">
        <w:rPr>
          <w:color w:val="000000" w:themeColor="text1"/>
          <w:sz w:val="23"/>
          <w:szCs w:val="23"/>
          <w:lang w:val="pt-BR"/>
        </w:rPr>
        <w:t>Levantamento, interpretação, organização, cadastramento e confecção da revisão sistemática;</w:t>
      </w:r>
    </w:p>
    <w:p w14:paraId="101C5184" w14:textId="37C8280C" w:rsidR="00A7096A"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5) Submissão da revisão sistemática</w:t>
      </w:r>
      <w:r w:rsidR="007365A3" w:rsidRPr="00A65B69">
        <w:rPr>
          <w:color w:val="000000" w:themeColor="text1"/>
          <w:sz w:val="23"/>
          <w:szCs w:val="23"/>
          <w:lang w:val="pt-BR"/>
        </w:rPr>
        <w:t xml:space="preserve"> para publicação</w:t>
      </w:r>
      <w:r w:rsidRPr="00A65B69">
        <w:rPr>
          <w:color w:val="000000" w:themeColor="text1"/>
          <w:sz w:val="23"/>
          <w:szCs w:val="23"/>
          <w:lang w:val="pt-BR"/>
        </w:rPr>
        <w:t xml:space="preserve"> (revista </w:t>
      </w:r>
      <w:proofErr w:type="spellStart"/>
      <w:r w:rsidR="000F1922" w:rsidRPr="00A65B69">
        <w:rPr>
          <w:color w:val="000000" w:themeColor="text1"/>
          <w:sz w:val="23"/>
          <w:szCs w:val="23"/>
          <w:lang w:val="pt-BR"/>
        </w:rPr>
        <w:t>Parkinsonism</w:t>
      </w:r>
      <w:proofErr w:type="spellEnd"/>
      <w:r w:rsidR="000F1922" w:rsidRPr="00A65B69">
        <w:rPr>
          <w:color w:val="000000" w:themeColor="text1"/>
          <w:sz w:val="23"/>
          <w:szCs w:val="23"/>
          <w:lang w:val="pt-BR"/>
        </w:rPr>
        <w:t xml:space="preserve"> </w:t>
      </w:r>
      <w:proofErr w:type="spellStart"/>
      <w:r w:rsidR="000F1922" w:rsidRPr="00A65B69">
        <w:rPr>
          <w:color w:val="000000" w:themeColor="text1"/>
          <w:sz w:val="23"/>
          <w:szCs w:val="23"/>
          <w:lang w:val="pt-BR"/>
        </w:rPr>
        <w:t>and</w:t>
      </w:r>
      <w:proofErr w:type="spellEnd"/>
      <w:r w:rsidR="000F1922" w:rsidRPr="00A65B69">
        <w:rPr>
          <w:color w:val="000000" w:themeColor="text1"/>
          <w:sz w:val="23"/>
          <w:szCs w:val="23"/>
          <w:lang w:val="pt-BR"/>
        </w:rPr>
        <w:t xml:space="preserve"> </w:t>
      </w:r>
      <w:proofErr w:type="spellStart"/>
      <w:r w:rsidR="000F1922" w:rsidRPr="00A65B69">
        <w:rPr>
          <w:color w:val="000000" w:themeColor="text1"/>
          <w:sz w:val="23"/>
          <w:szCs w:val="23"/>
          <w:lang w:val="pt-BR"/>
        </w:rPr>
        <w:t>Related</w:t>
      </w:r>
      <w:proofErr w:type="spellEnd"/>
      <w:r w:rsidR="000F1922" w:rsidRPr="00A65B69">
        <w:rPr>
          <w:color w:val="000000" w:themeColor="text1"/>
          <w:sz w:val="23"/>
          <w:szCs w:val="23"/>
          <w:lang w:val="pt-BR"/>
        </w:rPr>
        <w:t xml:space="preserve"> </w:t>
      </w:r>
      <w:proofErr w:type="spellStart"/>
      <w:r w:rsidR="000F1922" w:rsidRPr="00A65B69">
        <w:rPr>
          <w:color w:val="000000" w:themeColor="text1"/>
          <w:sz w:val="23"/>
          <w:szCs w:val="23"/>
          <w:lang w:val="pt-BR"/>
        </w:rPr>
        <w:t>Disorders</w:t>
      </w:r>
      <w:proofErr w:type="spellEnd"/>
      <w:r w:rsidRPr="00A65B69">
        <w:rPr>
          <w:color w:val="000000" w:themeColor="text1"/>
          <w:sz w:val="23"/>
          <w:szCs w:val="23"/>
          <w:lang w:val="pt-BR"/>
        </w:rPr>
        <w:t>);</w:t>
      </w:r>
    </w:p>
    <w:p w14:paraId="4974AA03" w14:textId="67245003" w:rsidR="00A7096A"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6</w:t>
      </w:r>
      <w:r w:rsidR="00794EAB" w:rsidRPr="00A65B69">
        <w:rPr>
          <w:color w:val="000000" w:themeColor="text1"/>
          <w:sz w:val="23"/>
          <w:szCs w:val="23"/>
          <w:lang w:val="pt-BR"/>
        </w:rPr>
        <w:t>) Padronização de técnicas</w:t>
      </w:r>
      <w:r w:rsidR="007E10DF" w:rsidRPr="00A65B69">
        <w:rPr>
          <w:color w:val="000000" w:themeColor="text1"/>
          <w:sz w:val="23"/>
          <w:szCs w:val="23"/>
          <w:lang w:val="pt-BR"/>
        </w:rPr>
        <w:t xml:space="preserve"> de </w:t>
      </w:r>
      <w:r w:rsidR="00A7096A" w:rsidRPr="00A65B69">
        <w:rPr>
          <w:color w:val="000000" w:themeColor="text1"/>
          <w:sz w:val="23"/>
          <w:szCs w:val="23"/>
          <w:lang w:val="pt-BR"/>
        </w:rPr>
        <w:t>análise</w:t>
      </w:r>
      <w:r w:rsidR="007E10DF" w:rsidRPr="00A65B69">
        <w:rPr>
          <w:color w:val="000000" w:themeColor="text1"/>
          <w:sz w:val="23"/>
          <w:szCs w:val="23"/>
          <w:lang w:val="pt-BR"/>
        </w:rPr>
        <w:t xml:space="preserve"> d</w:t>
      </w:r>
      <w:r w:rsidR="00A7096A" w:rsidRPr="00A65B69">
        <w:rPr>
          <w:color w:val="000000" w:themeColor="text1"/>
          <w:sz w:val="23"/>
          <w:szCs w:val="23"/>
          <w:lang w:val="pt-BR"/>
        </w:rPr>
        <w:t>a</w:t>
      </w:r>
      <w:r w:rsidR="007E10DF" w:rsidRPr="00A65B69">
        <w:rPr>
          <w:color w:val="000000" w:themeColor="text1"/>
          <w:sz w:val="23"/>
          <w:szCs w:val="23"/>
          <w:lang w:val="pt-BR"/>
        </w:rPr>
        <w:t xml:space="preserve"> marcha,</w:t>
      </w:r>
      <w:r w:rsidR="000F1922" w:rsidRPr="00A65B69">
        <w:rPr>
          <w:color w:val="000000" w:themeColor="text1"/>
          <w:sz w:val="23"/>
          <w:szCs w:val="23"/>
          <w:lang w:val="pt-BR"/>
        </w:rPr>
        <w:t xml:space="preserve"> </w:t>
      </w:r>
      <w:r w:rsidR="00A7096A" w:rsidRPr="00A65B69">
        <w:rPr>
          <w:color w:val="000000" w:themeColor="text1"/>
          <w:sz w:val="23"/>
          <w:szCs w:val="23"/>
          <w:lang w:val="pt-BR"/>
        </w:rPr>
        <w:t>qualidade</w:t>
      </w:r>
      <w:r w:rsidR="007E10DF" w:rsidRPr="00A65B69">
        <w:rPr>
          <w:color w:val="000000" w:themeColor="text1"/>
          <w:sz w:val="23"/>
          <w:szCs w:val="23"/>
          <w:lang w:val="pt-BR"/>
        </w:rPr>
        <w:t xml:space="preserve"> do sono e</w:t>
      </w:r>
      <w:r w:rsidR="000F1922" w:rsidRPr="00A65B69">
        <w:rPr>
          <w:color w:val="000000" w:themeColor="text1"/>
          <w:sz w:val="23"/>
          <w:szCs w:val="23"/>
          <w:lang w:val="pt-BR"/>
        </w:rPr>
        <w:t xml:space="preserve"> </w:t>
      </w:r>
      <w:r w:rsidR="00A7096A" w:rsidRPr="00A65B69">
        <w:rPr>
          <w:color w:val="000000" w:themeColor="text1"/>
          <w:sz w:val="23"/>
          <w:szCs w:val="23"/>
          <w:lang w:val="pt-BR"/>
        </w:rPr>
        <w:t>biomarcadores sanguíneos;</w:t>
      </w:r>
    </w:p>
    <w:p w14:paraId="356EE025" w14:textId="6151FA46" w:rsidR="00794EAB"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7</w:t>
      </w:r>
      <w:r w:rsidR="00794EAB" w:rsidRPr="00A65B69">
        <w:rPr>
          <w:color w:val="000000" w:themeColor="text1"/>
          <w:sz w:val="23"/>
          <w:szCs w:val="23"/>
          <w:lang w:val="pt-BR"/>
        </w:rPr>
        <w:t xml:space="preserve">) </w:t>
      </w:r>
      <w:r w:rsidR="007E10DF" w:rsidRPr="00A65B69">
        <w:rPr>
          <w:color w:val="000000" w:themeColor="text1"/>
          <w:sz w:val="23"/>
          <w:szCs w:val="23"/>
          <w:lang w:val="pt-BR"/>
        </w:rPr>
        <w:t>Realização d</w:t>
      </w:r>
      <w:r w:rsidR="00A7096A" w:rsidRPr="00A65B69">
        <w:rPr>
          <w:color w:val="000000" w:themeColor="text1"/>
          <w:sz w:val="23"/>
          <w:szCs w:val="23"/>
          <w:lang w:val="pt-BR"/>
        </w:rPr>
        <w:t>e</w:t>
      </w:r>
      <w:r w:rsidR="007E10DF" w:rsidRPr="00A65B69">
        <w:rPr>
          <w:color w:val="000000" w:themeColor="text1"/>
          <w:sz w:val="23"/>
          <w:szCs w:val="23"/>
          <w:lang w:val="pt-BR"/>
        </w:rPr>
        <w:t xml:space="preserve"> estudo</w:t>
      </w:r>
      <w:r w:rsidR="00A7096A" w:rsidRPr="00A65B69">
        <w:rPr>
          <w:color w:val="000000" w:themeColor="text1"/>
          <w:sz w:val="23"/>
          <w:szCs w:val="23"/>
          <w:lang w:val="pt-BR"/>
        </w:rPr>
        <w:t>s</w:t>
      </w:r>
      <w:r w:rsidR="007E10DF" w:rsidRPr="00A65B69">
        <w:rPr>
          <w:color w:val="000000" w:themeColor="text1"/>
          <w:sz w:val="23"/>
          <w:szCs w:val="23"/>
          <w:lang w:val="pt-BR"/>
        </w:rPr>
        <w:t xml:space="preserve"> piloto</w:t>
      </w:r>
      <w:r w:rsidR="00A7096A" w:rsidRPr="00A65B69">
        <w:rPr>
          <w:color w:val="000000" w:themeColor="text1"/>
          <w:sz w:val="23"/>
          <w:szCs w:val="23"/>
          <w:lang w:val="pt-BR"/>
        </w:rPr>
        <w:t xml:space="preserve">s para adequações no protocolo de coleta de dados, organização do ambiente de coleta de dados e padronização da aplicação de HI e placebo; </w:t>
      </w:r>
      <w:r w:rsidR="007E10DF" w:rsidRPr="00A65B69">
        <w:rPr>
          <w:color w:val="000000" w:themeColor="text1"/>
          <w:sz w:val="23"/>
          <w:szCs w:val="23"/>
          <w:lang w:val="pt-BR"/>
        </w:rPr>
        <w:t xml:space="preserve"> </w:t>
      </w:r>
    </w:p>
    <w:p w14:paraId="750DFFCF" w14:textId="68458713" w:rsidR="007E10DF"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8</w:t>
      </w:r>
      <w:r w:rsidR="00794EAB" w:rsidRPr="00A65B69">
        <w:rPr>
          <w:color w:val="000000" w:themeColor="text1"/>
          <w:sz w:val="23"/>
          <w:szCs w:val="23"/>
          <w:lang w:val="pt-BR"/>
        </w:rPr>
        <w:t xml:space="preserve">) </w:t>
      </w:r>
      <w:r w:rsidR="00A7096A" w:rsidRPr="00A65B69">
        <w:rPr>
          <w:color w:val="000000" w:themeColor="text1"/>
          <w:sz w:val="23"/>
          <w:szCs w:val="23"/>
          <w:lang w:val="pt-BR"/>
        </w:rPr>
        <w:t>Convites para os participantes</w:t>
      </w:r>
      <w:r w:rsidR="007365A3" w:rsidRPr="00A65B69">
        <w:rPr>
          <w:color w:val="000000" w:themeColor="text1"/>
          <w:sz w:val="23"/>
          <w:szCs w:val="23"/>
          <w:lang w:val="pt-BR"/>
        </w:rPr>
        <w:t>,</w:t>
      </w:r>
      <w:r w:rsidR="000F1922" w:rsidRPr="00A65B69">
        <w:rPr>
          <w:color w:val="000000" w:themeColor="text1"/>
          <w:sz w:val="23"/>
          <w:szCs w:val="23"/>
          <w:lang w:val="pt-BR"/>
        </w:rPr>
        <w:t xml:space="preserve"> e s</w:t>
      </w:r>
      <w:r w:rsidR="007E10DF" w:rsidRPr="00A65B69">
        <w:rPr>
          <w:color w:val="000000" w:themeColor="text1"/>
          <w:sz w:val="23"/>
          <w:szCs w:val="23"/>
          <w:lang w:val="pt-BR"/>
        </w:rPr>
        <w:t xml:space="preserve">eleção e recrutamento </w:t>
      </w:r>
      <w:r w:rsidR="00A7096A" w:rsidRPr="00A65B69">
        <w:rPr>
          <w:color w:val="000000" w:themeColor="text1"/>
          <w:sz w:val="23"/>
          <w:szCs w:val="23"/>
          <w:lang w:val="pt-BR"/>
        </w:rPr>
        <w:t xml:space="preserve">para o estudo experimental; </w:t>
      </w:r>
    </w:p>
    <w:p w14:paraId="74EA0A28" w14:textId="01AF59C1" w:rsidR="00794EAB"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9</w:t>
      </w:r>
      <w:r w:rsidR="00794EAB" w:rsidRPr="00A65B69">
        <w:rPr>
          <w:color w:val="000000" w:themeColor="text1"/>
          <w:sz w:val="23"/>
          <w:szCs w:val="23"/>
          <w:lang w:val="pt-BR"/>
        </w:rPr>
        <w:t xml:space="preserve">) </w:t>
      </w:r>
      <w:r w:rsidR="00C32BB8" w:rsidRPr="00A65B69">
        <w:rPr>
          <w:color w:val="000000" w:themeColor="text1"/>
          <w:sz w:val="23"/>
          <w:szCs w:val="23"/>
          <w:lang w:val="pt-BR"/>
        </w:rPr>
        <w:t>Aplicação do delineamento experimental (coleta de dados);</w:t>
      </w:r>
    </w:p>
    <w:p w14:paraId="3469832B" w14:textId="4855918C" w:rsidR="00794EAB" w:rsidRPr="00A65B69" w:rsidRDefault="00D7095F" w:rsidP="00C5660B">
      <w:pPr>
        <w:spacing w:line="480" w:lineRule="auto"/>
        <w:ind w:right="2"/>
        <w:jc w:val="both"/>
        <w:rPr>
          <w:color w:val="000000" w:themeColor="text1"/>
          <w:sz w:val="23"/>
          <w:szCs w:val="23"/>
          <w:lang w:val="pt-BR"/>
        </w:rPr>
      </w:pPr>
      <w:r w:rsidRPr="00A65B69">
        <w:rPr>
          <w:color w:val="000000" w:themeColor="text1"/>
          <w:sz w:val="23"/>
          <w:szCs w:val="23"/>
          <w:lang w:val="pt-BR"/>
        </w:rPr>
        <w:t>10</w:t>
      </w:r>
      <w:r w:rsidR="00794EAB" w:rsidRPr="00A65B69">
        <w:rPr>
          <w:color w:val="000000" w:themeColor="text1"/>
          <w:sz w:val="23"/>
          <w:szCs w:val="23"/>
          <w:lang w:val="pt-BR"/>
        </w:rPr>
        <w:t xml:space="preserve">) </w:t>
      </w:r>
      <w:r w:rsidR="00C32BB8" w:rsidRPr="00A65B69">
        <w:rPr>
          <w:color w:val="000000" w:themeColor="text1"/>
          <w:sz w:val="23"/>
          <w:szCs w:val="23"/>
          <w:lang w:val="pt-BR"/>
        </w:rPr>
        <w:t>Desenvolvimento de algoritmos e padronização para a análise de dados, realização da análise de dados,</w:t>
      </w:r>
      <w:r w:rsidR="007365A3" w:rsidRPr="00A65B69">
        <w:rPr>
          <w:color w:val="000000" w:themeColor="text1"/>
          <w:sz w:val="23"/>
          <w:szCs w:val="23"/>
          <w:lang w:val="pt-BR"/>
        </w:rPr>
        <w:t xml:space="preserve"> e</w:t>
      </w:r>
      <w:r w:rsidR="00C32BB8" w:rsidRPr="00A65B69">
        <w:rPr>
          <w:color w:val="000000" w:themeColor="text1"/>
          <w:sz w:val="23"/>
          <w:szCs w:val="23"/>
          <w:lang w:val="pt-BR"/>
        </w:rPr>
        <w:t xml:space="preserve"> discussão dos resultados</w:t>
      </w:r>
      <w:r w:rsidR="007365A3" w:rsidRPr="00A65B69">
        <w:rPr>
          <w:color w:val="000000" w:themeColor="text1"/>
          <w:sz w:val="23"/>
          <w:szCs w:val="23"/>
          <w:lang w:val="pt-BR"/>
        </w:rPr>
        <w:t>;</w:t>
      </w:r>
    </w:p>
    <w:p w14:paraId="1D212851" w14:textId="77777777" w:rsidR="007365A3" w:rsidRPr="00A65B69" w:rsidRDefault="007365A3" w:rsidP="007365A3">
      <w:pPr>
        <w:spacing w:line="480" w:lineRule="auto"/>
        <w:ind w:right="2"/>
        <w:jc w:val="both"/>
        <w:rPr>
          <w:color w:val="000000" w:themeColor="text1"/>
          <w:sz w:val="23"/>
          <w:szCs w:val="23"/>
          <w:lang w:val="pt-BR"/>
        </w:rPr>
      </w:pPr>
      <w:r w:rsidRPr="00A65B69">
        <w:rPr>
          <w:color w:val="000000" w:themeColor="text1"/>
          <w:sz w:val="23"/>
          <w:szCs w:val="23"/>
          <w:lang w:val="pt-BR"/>
        </w:rPr>
        <w:lastRenderedPageBreak/>
        <w:t xml:space="preserve">11) Submissão do estudo experimental para publicação (revista Movement </w:t>
      </w:r>
      <w:proofErr w:type="spellStart"/>
      <w:r w:rsidRPr="00A65B69">
        <w:rPr>
          <w:color w:val="000000" w:themeColor="text1"/>
          <w:sz w:val="23"/>
          <w:szCs w:val="23"/>
          <w:lang w:val="pt-BR"/>
        </w:rPr>
        <w:t>Disorders</w:t>
      </w:r>
      <w:proofErr w:type="spellEnd"/>
      <w:r w:rsidRPr="00A65B69">
        <w:rPr>
          <w:color w:val="000000" w:themeColor="text1"/>
          <w:sz w:val="23"/>
          <w:szCs w:val="23"/>
          <w:lang w:val="pt-BR"/>
        </w:rPr>
        <w:t>);</w:t>
      </w:r>
    </w:p>
    <w:p w14:paraId="614B448B" w14:textId="362EE317"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1</w:t>
      </w:r>
      <w:r w:rsidR="007365A3" w:rsidRPr="00A65B69">
        <w:rPr>
          <w:color w:val="000000" w:themeColor="text1"/>
          <w:sz w:val="23"/>
          <w:szCs w:val="23"/>
          <w:lang w:val="pt-BR"/>
        </w:rPr>
        <w:t>2</w:t>
      </w:r>
      <w:r w:rsidRPr="00A65B69">
        <w:rPr>
          <w:color w:val="000000" w:themeColor="text1"/>
          <w:sz w:val="23"/>
          <w:szCs w:val="23"/>
          <w:lang w:val="pt-BR"/>
        </w:rPr>
        <w:t xml:space="preserve">) </w:t>
      </w:r>
      <w:r w:rsidR="007E10DF" w:rsidRPr="00A65B69">
        <w:rPr>
          <w:color w:val="000000" w:themeColor="text1"/>
          <w:sz w:val="23"/>
          <w:szCs w:val="23"/>
          <w:lang w:val="pt-BR"/>
        </w:rPr>
        <w:t xml:space="preserve">Realização de estágio no exterior na </w:t>
      </w:r>
      <w:proofErr w:type="spellStart"/>
      <w:r w:rsidR="00922802" w:rsidRPr="00A65B69">
        <w:rPr>
          <w:color w:val="000000" w:themeColor="text1"/>
          <w:sz w:val="23"/>
          <w:szCs w:val="23"/>
          <w:lang w:val="pt-BR"/>
        </w:rPr>
        <w:t>University</w:t>
      </w:r>
      <w:proofErr w:type="spellEnd"/>
      <w:r w:rsidR="00922802" w:rsidRPr="00A65B69">
        <w:rPr>
          <w:color w:val="000000" w:themeColor="text1"/>
          <w:sz w:val="23"/>
          <w:szCs w:val="23"/>
          <w:lang w:val="pt-BR"/>
        </w:rPr>
        <w:t xml:space="preserve"> </w:t>
      </w:r>
      <w:proofErr w:type="spellStart"/>
      <w:r w:rsidR="00922802" w:rsidRPr="00A65B69">
        <w:rPr>
          <w:color w:val="000000" w:themeColor="text1"/>
          <w:sz w:val="23"/>
          <w:szCs w:val="23"/>
          <w:lang w:val="pt-BR"/>
        </w:rPr>
        <w:t>of</w:t>
      </w:r>
      <w:proofErr w:type="spellEnd"/>
      <w:r w:rsidR="00922802" w:rsidRPr="00A65B69">
        <w:rPr>
          <w:color w:val="000000" w:themeColor="text1"/>
          <w:sz w:val="23"/>
          <w:szCs w:val="23"/>
          <w:lang w:val="pt-BR"/>
        </w:rPr>
        <w:t xml:space="preserve"> Applied </w:t>
      </w:r>
      <w:proofErr w:type="spellStart"/>
      <w:r w:rsidR="00922802" w:rsidRPr="00A65B69">
        <w:rPr>
          <w:color w:val="000000" w:themeColor="text1"/>
          <w:sz w:val="23"/>
          <w:szCs w:val="23"/>
          <w:lang w:val="pt-BR"/>
        </w:rPr>
        <w:t>Sciences</w:t>
      </w:r>
      <w:proofErr w:type="spellEnd"/>
      <w:r w:rsidR="00922802" w:rsidRPr="00A65B69">
        <w:rPr>
          <w:color w:val="000000" w:themeColor="text1"/>
          <w:sz w:val="23"/>
          <w:szCs w:val="23"/>
          <w:lang w:val="pt-BR"/>
        </w:rPr>
        <w:t xml:space="preserve"> </w:t>
      </w:r>
      <w:proofErr w:type="spellStart"/>
      <w:r w:rsidR="00922802" w:rsidRPr="00A65B69">
        <w:rPr>
          <w:color w:val="000000" w:themeColor="text1"/>
          <w:sz w:val="23"/>
          <w:szCs w:val="23"/>
          <w:lang w:val="pt-BR"/>
        </w:rPr>
        <w:t>and</w:t>
      </w:r>
      <w:proofErr w:type="spellEnd"/>
      <w:r w:rsidR="00922802" w:rsidRPr="00A65B69">
        <w:rPr>
          <w:color w:val="000000" w:themeColor="text1"/>
          <w:sz w:val="23"/>
          <w:szCs w:val="23"/>
          <w:lang w:val="pt-BR"/>
        </w:rPr>
        <w:t xml:space="preserve"> Medical </w:t>
      </w:r>
      <w:proofErr w:type="spellStart"/>
      <w:r w:rsidR="00922802" w:rsidRPr="00A65B69">
        <w:rPr>
          <w:color w:val="000000" w:themeColor="text1"/>
          <w:sz w:val="23"/>
          <w:szCs w:val="23"/>
          <w:lang w:val="pt-BR"/>
        </w:rPr>
        <w:t>University</w:t>
      </w:r>
      <w:proofErr w:type="spellEnd"/>
      <w:r w:rsidR="00922802" w:rsidRPr="00A65B69">
        <w:rPr>
          <w:color w:val="000000" w:themeColor="text1"/>
          <w:sz w:val="23"/>
          <w:szCs w:val="23"/>
          <w:lang w:val="pt-BR"/>
        </w:rPr>
        <w:t xml:space="preserve"> (Hamburgo, Alemanha) com o Prof. Dr. Christian </w:t>
      </w:r>
      <w:proofErr w:type="spellStart"/>
      <w:r w:rsidR="00922802" w:rsidRPr="00A65B69">
        <w:rPr>
          <w:color w:val="000000" w:themeColor="text1"/>
          <w:sz w:val="23"/>
          <w:szCs w:val="23"/>
          <w:lang w:val="pt-BR"/>
        </w:rPr>
        <w:t>Schlenstedt</w:t>
      </w:r>
      <w:proofErr w:type="spellEnd"/>
      <w:r w:rsidR="007E10DF" w:rsidRPr="00A65B69">
        <w:rPr>
          <w:color w:val="000000" w:themeColor="text1"/>
          <w:sz w:val="23"/>
          <w:szCs w:val="23"/>
          <w:lang w:val="pt-BR"/>
        </w:rPr>
        <w:t xml:space="preserve">. </w:t>
      </w:r>
      <w:r w:rsidR="00922802" w:rsidRPr="00A65B69">
        <w:rPr>
          <w:color w:val="000000" w:themeColor="text1"/>
          <w:sz w:val="23"/>
          <w:szCs w:val="23"/>
          <w:lang w:val="pt-BR"/>
        </w:rPr>
        <w:t xml:space="preserve">O foco de estudo do Prof. </w:t>
      </w:r>
      <w:proofErr w:type="spellStart"/>
      <w:r w:rsidR="00922802" w:rsidRPr="00A65B69">
        <w:rPr>
          <w:color w:val="000000" w:themeColor="text1"/>
          <w:sz w:val="23"/>
          <w:szCs w:val="23"/>
          <w:lang w:val="pt-BR"/>
        </w:rPr>
        <w:t>Schlenstedt</w:t>
      </w:r>
      <w:proofErr w:type="spellEnd"/>
      <w:r w:rsidR="00922802" w:rsidRPr="00A65B69">
        <w:rPr>
          <w:color w:val="000000" w:themeColor="text1"/>
          <w:sz w:val="23"/>
          <w:szCs w:val="23"/>
          <w:lang w:val="pt-BR"/>
        </w:rPr>
        <w:t xml:space="preserve"> é investigar o impacto de intervenções para melhorar a mobilidade e a saúde em doenças neurológicas, especialmente relacionado a marcha e o equilíbrio em pacientes com doença de Parkinson.</w:t>
      </w:r>
      <w:r w:rsidR="00EE6F0A" w:rsidRPr="00A65B69">
        <w:rPr>
          <w:color w:val="000000" w:themeColor="text1"/>
          <w:sz w:val="23"/>
          <w:szCs w:val="23"/>
          <w:lang w:val="pt-BR"/>
        </w:rPr>
        <w:t xml:space="preserve"> </w:t>
      </w:r>
      <w:r w:rsidR="007E10DF" w:rsidRPr="00A65B69">
        <w:rPr>
          <w:color w:val="000000" w:themeColor="text1"/>
          <w:sz w:val="23"/>
          <w:szCs w:val="23"/>
          <w:lang w:val="pt-BR"/>
        </w:rPr>
        <w:t>Este é um dos principais centros de pesquisas do mundo sobre a doença de Parkinson, sendo uma excelente oportunidade para o aprofundamento do aluno sobre o assunto.</w:t>
      </w:r>
    </w:p>
    <w:p w14:paraId="66822EB0" w14:textId="3FCAABAB"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1</w:t>
      </w:r>
      <w:r w:rsidR="007365A3" w:rsidRPr="00A65B69">
        <w:rPr>
          <w:color w:val="000000" w:themeColor="text1"/>
          <w:sz w:val="23"/>
          <w:szCs w:val="23"/>
          <w:lang w:val="pt-BR"/>
        </w:rPr>
        <w:t>3</w:t>
      </w:r>
      <w:r w:rsidRPr="00A65B69">
        <w:rPr>
          <w:color w:val="000000" w:themeColor="text1"/>
          <w:sz w:val="23"/>
          <w:szCs w:val="23"/>
          <w:lang w:val="pt-BR"/>
        </w:rPr>
        <w:t xml:space="preserve">) </w:t>
      </w:r>
      <w:r w:rsidR="00C32BB8" w:rsidRPr="00A65B69">
        <w:rPr>
          <w:color w:val="000000" w:themeColor="text1"/>
          <w:sz w:val="23"/>
          <w:szCs w:val="23"/>
          <w:lang w:val="pt-BR"/>
        </w:rPr>
        <w:t>Confecção do</w:t>
      </w:r>
      <w:r w:rsidR="00D7095F" w:rsidRPr="00A65B69">
        <w:rPr>
          <w:color w:val="000000" w:themeColor="text1"/>
          <w:sz w:val="23"/>
          <w:szCs w:val="23"/>
          <w:lang w:val="pt-BR"/>
        </w:rPr>
        <w:t>s</w:t>
      </w:r>
      <w:r w:rsidR="00C32BB8" w:rsidRPr="00A65B69">
        <w:rPr>
          <w:color w:val="000000" w:themeColor="text1"/>
          <w:sz w:val="23"/>
          <w:szCs w:val="23"/>
          <w:lang w:val="pt-BR"/>
        </w:rPr>
        <w:t xml:space="preserve"> relatório</w:t>
      </w:r>
      <w:r w:rsidR="00D7095F" w:rsidRPr="00A65B69">
        <w:rPr>
          <w:color w:val="000000" w:themeColor="text1"/>
          <w:sz w:val="23"/>
          <w:szCs w:val="23"/>
          <w:lang w:val="pt-BR"/>
        </w:rPr>
        <w:t>s</w:t>
      </w:r>
      <w:r w:rsidR="00C32BB8" w:rsidRPr="00A65B69">
        <w:rPr>
          <w:color w:val="000000" w:themeColor="text1"/>
          <w:sz w:val="23"/>
          <w:szCs w:val="23"/>
          <w:lang w:val="pt-BR"/>
        </w:rPr>
        <w:t xml:space="preserve"> parcial e final;</w:t>
      </w:r>
    </w:p>
    <w:p w14:paraId="57A6E008" w14:textId="28BE4A7B"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1</w:t>
      </w:r>
      <w:r w:rsidR="007365A3" w:rsidRPr="00A65B69">
        <w:rPr>
          <w:color w:val="000000" w:themeColor="text1"/>
          <w:sz w:val="23"/>
          <w:szCs w:val="23"/>
          <w:lang w:val="pt-BR"/>
        </w:rPr>
        <w:t>4</w:t>
      </w:r>
      <w:r w:rsidRPr="00A65B69">
        <w:rPr>
          <w:color w:val="000000" w:themeColor="text1"/>
          <w:sz w:val="23"/>
          <w:szCs w:val="23"/>
          <w:lang w:val="pt-BR"/>
        </w:rPr>
        <w:t xml:space="preserve">) </w:t>
      </w:r>
      <w:r w:rsidR="00D7095F" w:rsidRPr="00A65B69">
        <w:rPr>
          <w:color w:val="000000" w:themeColor="text1"/>
          <w:sz w:val="23"/>
          <w:szCs w:val="23"/>
          <w:lang w:val="pt-BR"/>
        </w:rPr>
        <w:t xml:space="preserve">Participação em eventos científicos com </w:t>
      </w:r>
      <w:r w:rsidR="007365A3" w:rsidRPr="00A65B69">
        <w:rPr>
          <w:color w:val="000000" w:themeColor="text1"/>
          <w:sz w:val="23"/>
          <w:szCs w:val="23"/>
          <w:lang w:val="pt-BR"/>
        </w:rPr>
        <w:t xml:space="preserve">apresentação </w:t>
      </w:r>
      <w:r w:rsidR="00D7095F" w:rsidRPr="00A65B69">
        <w:rPr>
          <w:color w:val="000000" w:themeColor="text1"/>
          <w:sz w:val="23"/>
          <w:szCs w:val="23"/>
          <w:lang w:val="pt-BR"/>
        </w:rPr>
        <w:t xml:space="preserve">de </w:t>
      </w:r>
      <w:r w:rsidR="007365A3" w:rsidRPr="00A65B69">
        <w:rPr>
          <w:color w:val="000000" w:themeColor="text1"/>
          <w:sz w:val="23"/>
          <w:szCs w:val="23"/>
          <w:lang w:val="pt-BR"/>
        </w:rPr>
        <w:t xml:space="preserve">resultados </w:t>
      </w:r>
      <w:r w:rsidR="00D7095F" w:rsidRPr="00A65B69">
        <w:rPr>
          <w:color w:val="000000" w:themeColor="text1"/>
          <w:sz w:val="23"/>
          <w:szCs w:val="23"/>
          <w:lang w:val="pt-BR"/>
        </w:rPr>
        <w:t>dos estudos pilotos e de dados pré-selecionados da pesquisa;</w:t>
      </w:r>
    </w:p>
    <w:p w14:paraId="209C9A30" w14:textId="273C2C66" w:rsidR="00794EAB" w:rsidRPr="00A65B69" w:rsidRDefault="00794EAB" w:rsidP="00C5660B">
      <w:pPr>
        <w:spacing w:line="480" w:lineRule="auto"/>
        <w:ind w:right="2"/>
        <w:jc w:val="both"/>
        <w:rPr>
          <w:color w:val="000000" w:themeColor="text1"/>
          <w:sz w:val="23"/>
          <w:szCs w:val="23"/>
          <w:lang w:val="pt-BR"/>
        </w:rPr>
      </w:pPr>
      <w:r w:rsidRPr="00A65B69">
        <w:rPr>
          <w:color w:val="000000" w:themeColor="text1"/>
          <w:sz w:val="23"/>
          <w:szCs w:val="23"/>
          <w:lang w:val="pt-BR"/>
        </w:rPr>
        <w:t>1</w:t>
      </w:r>
      <w:r w:rsidR="007365A3" w:rsidRPr="00A65B69">
        <w:rPr>
          <w:color w:val="000000" w:themeColor="text1"/>
          <w:sz w:val="23"/>
          <w:szCs w:val="23"/>
          <w:lang w:val="pt-BR"/>
        </w:rPr>
        <w:t>5</w:t>
      </w:r>
      <w:r w:rsidRPr="00A65B69">
        <w:rPr>
          <w:color w:val="000000" w:themeColor="text1"/>
          <w:sz w:val="23"/>
          <w:szCs w:val="23"/>
          <w:lang w:val="pt-BR"/>
        </w:rPr>
        <w:t xml:space="preserve">) </w:t>
      </w:r>
      <w:r w:rsidR="00355575" w:rsidRPr="00A65B69">
        <w:rPr>
          <w:color w:val="000000" w:themeColor="text1"/>
          <w:sz w:val="23"/>
          <w:szCs w:val="23"/>
          <w:lang w:val="pt-BR"/>
        </w:rPr>
        <w:t>Qualificação e d</w:t>
      </w:r>
      <w:r w:rsidRPr="00A65B69">
        <w:rPr>
          <w:color w:val="000000" w:themeColor="text1"/>
          <w:sz w:val="23"/>
          <w:szCs w:val="23"/>
          <w:lang w:val="pt-BR"/>
        </w:rPr>
        <w:t xml:space="preserve">efesa </w:t>
      </w:r>
      <w:r w:rsidR="00355575" w:rsidRPr="00A65B69">
        <w:rPr>
          <w:color w:val="000000" w:themeColor="text1"/>
          <w:sz w:val="23"/>
          <w:szCs w:val="23"/>
          <w:lang w:val="pt-BR"/>
        </w:rPr>
        <w:t>no Programa de Pós-Graduação em Ciências do Movimento</w:t>
      </w:r>
      <w:r w:rsidR="00D7095F" w:rsidRPr="00A65B69">
        <w:rPr>
          <w:color w:val="000000" w:themeColor="text1"/>
          <w:sz w:val="23"/>
          <w:szCs w:val="23"/>
          <w:lang w:val="pt-BR"/>
        </w:rPr>
        <w:t>.</w:t>
      </w:r>
    </w:p>
    <w:p w14:paraId="55173476" w14:textId="3EA79C7E" w:rsidR="00B33349" w:rsidRPr="00A65B69" w:rsidRDefault="00355575" w:rsidP="00C5660B">
      <w:pPr>
        <w:spacing w:line="480" w:lineRule="auto"/>
        <w:ind w:right="2"/>
        <w:jc w:val="both"/>
        <w:rPr>
          <w:color w:val="000000" w:themeColor="text1"/>
          <w:sz w:val="23"/>
          <w:szCs w:val="23"/>
          <w:lang w:val="pt-BR"/>
        </w:rPr>
      </w:pPr>
      <w:r w:rsidRPr="00A65B69">
        <w:rPr>
          <w:i/>
          <w:iCs/>
          <w:color w:val="000000" w:themeColor="text1"/>
          <w:sz w:val="23"/>
          <w:szCs w:val="23"/>
          <w:lang w:val="pt-BR"/>
        </w:rPr>
        <w:t>3</w:t>
      </w:r>
      <w:r w:rsidR="00B33349" w:rsidRPr="00A65B69">
        <w:rPr>
          <w:i/>
          <w:iCs/>
          <w:color w:val="000000" w:themeColor="text1"/>
          <w:sz w:val="23"/>
          <w:szCs w:val="23"/>
          <w:lang w:val="pt-BR"/>
        </w:rPr>
        <w:t>.</w:t>
      </w:r>
      <w:r w:rsidR="00811355" w:rsidRPr="00A65B69">
        <w:rPr>
          <w:i/>
          <w:iCs/>
          <w:color w:val="000000" w:themeColor="text1"/>
          <w:sz w:val="23"/>
          <w:szCs w:val="23"/>
          <w:lang w:val="pt-BR"/>
        </w:rPr>
        <w:t>2</w:t>
      </w:r>
      <w:r w:rsidR="00B33349" w:rsidRPr="00A65B69">
        <w:rPr>
          <w:i/>
          <w:iCs/>
          <w:color w:val="000000" w:themeColor="text1"/>
          <w:sz w:val="23"/>
          <w:szCs w:val="23"/>
          <w:lang w:val="pt-BR"/>
        </w:rPr>
        <w:t>. Cronograma de execução</w:t>
      </w:r>
    </w:p>
    <w:tbl>
      <w:tblPr>
        <w:tblW w:w="10201" w:type="dxa"/>
        <w:tblLayout w:type="fixed"/>
        <w:tblCellMar>
          <w:top w:w="15" w:type="dxa"/>
          <w:left w:w="15" w:type="dxa"/>
          <w:bottom w:w="15" w:type="dxa"/>
          <w:right w:w="15" w:type="dxa"/>
        </w:tblCellMar>
        <w:tblLook w:val="04A0" w:firstRow="1" w:lastRow="0" w:firstColumn="1" w:lastColumn="0" w:noHBand="0" w:noVBand="1"/>
      </w:tblPr>
      <w:tblGrid>
        <w:gridCol w:w="5807"/>
        <w:gridCol w:w="1134"/>
        <w:gridCol w:w="1134"/>
        <w:gridCol w:w="1134"/>
        <w:gridCol w:w="992"/>
      </w:tblGrid>
      <w:tr w:rsidR="00CF7A48" w:rsidRPr="00A65B69" w14:paraId="3ED693CA" w14:textId="77777777" w:rsidTr="00682723">
        <w:trPr>
          <w:trHeight w:val="838"/>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7644759F"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Atividades</w:t>
            </w:r>
            <w:r w:rsidRPr="00A65B69">
              <w:rPr>
                <w:color w:val="000000" w:themeColor="text1"/>
                <w:sz w:val="23"/>
                <w:szCs w:val="23"/>
                <w:lang w:val="pt-BR"/>
              </w:rPr>
              <w:t>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3B614C6C" w14:textId="77777777" w:rsidR="00B33349" w:rsidRPr="00A65B69" w:rsidRDefault="00B33349" w:rsidP="00C5660B">
            <w:pPr>
              <w:ind w:right="2"/>
              <w:jc w:val="center"/>
              <w:rPr>
                <w:b/>
                <w:bCs/>
                <w:color w:val="000000" w:themeColor="text1"/>
                <w:sz w:val="23"/>
                <w:szCs w:val="23"/>
                <w:lang w:val="pt-BR"/>
              </w:rPr>
            </w:pPr>
            <w:r w:rsidRPr="00A65B69">
              <w:rPr>
                <w:b/>
                <w:bCs/>
                <w:color w:val="000000" w:themeColor="text1"/>
                <w:sz w:val="23"/>
                <w:szCs w:val="23"/>
                <w:lang w:val="pt-BR"/>
              </w:rPr>
              <w:t xml:space="preserve">2º </w:t>
            </w:r>
          </w:p>
          <w:p w14:paraId="1EBDA839"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semestre</w:t>
            </w:r>
            <w:r w:rsidRPr="00A65B69">
              <w:rPr>
                <w:color w:val="000000" w:themeColor="text1"/>
                <w:sz w:val="23"/>
                <w:szCs w:val="23"/>
                <w:lang w:val="pt-BR"/>
              </w:rPr>
              <w:t> </w:t>
            </w:r>
          </w:p>
          <w:p w14:paraId="6CEB5624"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2022</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1B548F34"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1º semestre</w:t>
            </w:r>
          </w:p>
          <w:p w14:paraId="16067591"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2023</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10D8ED95" w14:textId="77777777" w:rsidR="00B33349" w:rsidRPr="00A65B69" w:rsidRDefault="00B33349" w:rsidP="00C5660B">
            <w:pPr>
              <w:ind w:right="2"/>
              <w:jc w:val="center"/>
              <w:rPr>
                <w:b/>
                <w:bCs/>
                <w:color w:val="000000" w:themeColor="text1"/>
                <w:sz w:val="23"/>
                <w:szCs w:val="23"/>
                <w:lang w:val="pt-BR"/>
              </w:rPr>
            </w:pPr>
            <w:r w:rsidRPr="00A65B69">
              <w:rPr>
                <w:b/>
                <w:bCs/>
                <w:color w:val="000000" w:themeColor="text1"/>
                <w:sz w:val="23"/>
                <w:szCs w:val="23"/>
                <w:lang w:val="pt-BR"/>
              </w:rPr>
              <w:t xml:space="preserve">2º </w:t>
            </w:r>
          </w:p>
          <w:p w14:paraId="6D1F1F8E"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semestre 2023</w:t>
            </w:r>
            <w:r w:rsidRPr="00A65B69">
              <w:rPr>
                <w:color w:val="000000" w:themeColor="text1"/>
                <w:sz w:val="23"/>
                <w:szCs w:val="23"/>
                <w:lang w:val="pt-BR"/>
              </w:rPr>
              <w:t> </w:t>
            </w:r>
          </w:p>
        </w:tc>
        <w:tc>
          <w:tcPr>
            <w:tcW w:w="992" w:type="dxa"/>
            <w:tcBorders>
              <w:top w:val="single" w:sz="4" w:space="0" w:color="000000"/>
              <w:left w:val="single" w:sz="4" w:space="0" w:color="000000"/>
              <w:bottom w:val="single" w:sz="4" w:space="0" w:color="000000"/>
              <w:right w:val="single" w:sz="4" w:space="0" w:color="000000"/>
            </w:tcBorders>
          </w:tcPr>
          <w:p w14:paraId="5E0A6DCA" w14:textId="77777777" w:rsidR="00B33349" w:rsidRPr="00A65B69" w:rsidRDefault="00B33349" w:rsidP="00C5660B">
            <w:pPr>
              <w:ind w:right="2"/>
              <w:jc w:val="center"/>
              <w:rPr>
                <w:color w:val="000000" w:themeColor="text1"/>
                <w:sz w:val="23"/>
                <w:szCs w:val="23"/>
                <w:lang w:val="pt-BR"/>
              </w:rPr>
            </w:pPr>
            <w:r w:rsidRPr="00A65B69">
              <w:rPr>
                <w:b/>
                <w:bCs/>
                <w:color w:val="000000" w:themeColor="text1"/>
                <w:sz w:val="23"/>
                <w:szCs w:val="23"/>
                <w:lang w:val="pt-BR"/>
              </w:rPr>
              <w:t>1º semestre</w:t>
            </w:r>
          </w:p>
          <w:p w14:paraId="5122CB1A" w14:textId="77777777" w:rsidR="00B33349" w:rsidRPr="00A65B69" w:rsidRDefault="00B33349" w:rsidP="00C5660B">
            <w:pPr>
              <w:ind w:right="2"/>
              <w:jc w:val="center"/>
              <w:rPr>
                <w:b/>
                <w:bCs/>
                <w:color w:val="000000" w:themeColor="text1"/>
                <w:sz w:val="23"/>
                <w:szCs w:val="23"/>
                <w:lang w:val="pt-BR"/>
              </w:rPr>
            </w:pPr>
            <w:r w:rsidRPr="00A65B69">
              <w:rPr>
                <w:b/>
                <w:bCs/>
                <w:color w:val="000000" w:themeColor="text1"/>
                <w:sz w:val="23"/>
                <w:szCs w:val="23"/>
                <w:lang w:val="pt-BR"/>
              </w:rPr>
              <w:t>2024</w:t>
            </w:r>
          </w:p>
        </w:tc>
      </w:tr>
      <w:tr w:rsidR="00CF7A48" w:rsidRPr="00A65B69" w14:paraId="599119C7"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48F08313"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Revisão de literatura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4DE14FCF" w14:textId="5EA5D980" w:rsidR="00B33349"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57BFA538"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6E323A32"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992" w:type="dxa"/>
            <w:tcBorders>
              <w:top w:val="single" w:sz="4" w:space="0" w:color="000000"/>
              <w:left w:val="single" w:sz="4" w:space="0" w:color="000000"/>
              <w:bottom w:val="single" w:sz="4" w:space="0" w:color="000000"/>
              <w:right w:val="single" w:sz="4" w:space="0" w:color="000000"/>
            </w:tcBorders>
          </w:tcPr>
          <w:p w14:paraId="17EF7CBD"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r>
      <w:tr w:rsidR="00CF7A48" w:rsidRPr="00A65B69" w14:paraId="421A00F4"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00D5038F" w14:textId="4A2EE6B6" w:rsidR="00A7551D" w:rsidRPr="00A65B69" w:rsidRDefault="00811355" w:rsidP="00C5660B">
            <w:pPr>
              <w:ind w:right="2"/>
              <w:jc w:val="center"/>
              <w:rPr>
                <w:color w:val="000000" w:themeColor="text1"/>
                <w:sz w:val="23"/>
                <w:szCs w:val="23"/>
                <w:lang w:val="pt-BR"/>
              </w:rPr>
            </w:pPr>
            <w:r w:rsidRPr="00A65B69">
              <w:rPr>
                <w:color w:val="000000" w:themeColor="text1"/>
                <w:sz w:val="23"/>
                <w:szCs w:val="23"/>
                <w:lang w:val="pt-BR"/>
              </w:rPr>
              <w:t>Submissão do projeto de pesquisa para o Comitê de Ética Local</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06F62386" w14:textId="2DB10567" w:rsidR="00A7551D"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2BBD835B" w14:textId="77777777" w:rsidR="00A7551D" w:rsidRPr="00A65B69" w:rsidRDefault="00A7551D"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2064F777" w14:textId="77777777" w:rsidR="00A7551D" w:rsidRPr="00A65B69" w:rsidRDefault="00A7551D"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5C76514E" w14:textId="77777777" w:rsidR="00A7551D" w:rsidRPr="00A65B69" w:rsidRDefault="00A7551D" w:rsidP="00C5660B">
            <w:pPr>
              <w:ind w:right="2"/>
              <w:jc w:val="center"/>
              <w:rPr>
                <w:color w:val="000000" w:themeColor="text1"/>
                <w:sz w:val="23"/>
                <w:szCs w:val="23"/>
                <w:lang w:val="pt-BR"/>
              </w:rPr>
            </w:pPr>
          </w:p>
        </w:tc>
      </w:tr>
      <w:tr w:rsidR="00CF7A48" w:rsidRPr="00A65B69" w14:paraId="0878234B"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0DAD8FE0" w14:textId="30A39057" w:rsidR="00811355" w:rsidRPr="00A65B69" w:rsidRDefault="00811355" w:rsidP="00C5660B">
            <w:pPr>
              <w:ind w:right="2"/>
              <w:jc w:val="center"/>
              <w:rPr>
                <w:color w:val="000000" w:themeColor="text1"/>
                <w:sz w:val="23"/>
                <w:szCs w:val="23"/>
                <w:lang w:val="pt-BR"/>
              </w:rPr>
            </w:pPr>
            <w:r w:rsidRPr="00A65B69">
              <w:rPr>
                <w:color w:val="000000" w:themeColor="text1"/>
                <w:sz w:val="23"/>
                <w:szCs w:val="23"/>
                <w:lang w:val="pt-BR"/>
              </w:rPr>
              <w:t>Submissão do protocolo experimental no Registro Brasileiro de Ensaio Clínico (REBEC)</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56752EA2" w14:textId="4364BDCD" w:rsidR="00811355" w:rsidRPr="00A65B69" w:rsidRDefault="00811355"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688AE7C6" w14:textId="77777777" w:rsidR="00811355" w:rsidRPr="00A65B69" w:rsidRDefault="00811355"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33EA787D" w14:textId="77777777" w:rsidR="00811355" w:rsidRPr="00A65B69" w:rsidRDefault="00811355"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451D19EB" w14:textId="77777777" w:rsidR="00811355" w:rsidRPr="00A65B69" w:rsidRDefault="00811355" w:rsidP="00C5660B">
            <w:pPr>
              <w:ind w:right="2"/>
              <w:jc w:val="center"/>
              <w:rPr>
                <w:color w:val="000000" w:themeColor="text1"/>
                <w:sz w:val="23"/>
                <w:szCs w:val="23"/>
                <w:lang w:val="pt-BR"/>
              </w:rPr>
            </w:pPr>
          </w:p>
        </w:tc>
      </w:tr>
      <w:tr w:rsidR="00CF7A48" w:rsidRPr="00A65B69" w14:paraId="3B2AAF7B"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6778FCA6" w14:textId="11EF8AD9" w:rsidR="00811355" w:rsidRPr="00A65B69" w:rsidRDefault="00811355" w:rsidP="00C5660B">
            <w:pPr>
              <w:ind w:right="2"/>
              <w:jc w:val="center"/>
              <w:rPr>
                <w:color w:val="000000" w:themeColor="text1"/>
                <w:sz w:val="23"/>
                <w:szCs w:val="23"/>
                <w:lang w:val="pt-BR"/>
              </w:rPr>
            </w:pPr>
            <w:r w:rsidRPr="00A65B69">
              <w:rPr>
                <w:color w:val="000000" w:themeColor="text1"/>
                <w:sz w:val="23"/>
                <w:szCs w:val="23"/>
                <w:lang w:val="pt-BR"/>
              </w:rPr>
              <w:t>Submissão da revisão sistemática no PROSPERO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27815342" w14:textId="7B522DE3" w:rsidR="00811355" w:rsidRPr="00A65B69" w:rsidRDefault="00D7095F"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2763D47C" w14:textId="77777777" w:rsidR="00811355" w:rsidRPr="00A65B69" w:rsidRDefault="00811355"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3BDB53CB" w14:textId="77777777" w:rsidR="00811355" w:rsidRPr="00A65B69" w:rsidRDefault="00811355"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682A55CE" w14:textId="77777777" w:rsidR="00811355" w:rsidRPr="00A65B69" w:rsidRDefault="00811355" w:rsidP="00C5660B">
            <w:pPr>
              <w:ind w:right="2"/>
              <w:jc w:val="center"/>
              <w:rPr>
                <w:color w:val="000000" w:themeColor="text1"/>
                <w:sz w:val="23"/>
                <w:szCs w:val="23"/>
                <w:lang w:val="pt-BR"/>
              </w:rPr>
            </w:pPr>
          </w:p>
        </w:tc>
      </w:tr>
      <w:tr w:rsidR="00CF7A48" w:rsidRPr="00A65B69" w14:paraId="52E83B85"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288FC601" w14:textId="4B0E2129" w:rsidR="00F4445D"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 xml:space="preserve">Estudo de revisão sistemática: </w:t>
            </w:r>
            <w:r w:rsidR="00F4445D" w:rsidRPr="00A65B69">
              <w:rPr>
                <w:color w:val="000000" w:themeColor="text1"/>
                <w:sz w:val="23"/>
                <w:szCs w:val="23"/>
                <w:lang w:val="pt-BR"/>
              </w:rPr>
              <w:t xml:space="preserve">Busca e seleção dos artigos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2EABCBF6" w14:textId="716B7875" w:rsidR="00F4445D"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0FBC6DAB" w14:textId="77777777" w:rsidR="00F4445D" w:rsidRPr="00A65B69" w:rsidRDefault="00F4445D"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4AC7EFAB" w14:textId="77777777" w:rsidR="00F4445D" w:rsidRPr="00A65B69" w:rsidRDefault="00F4445D"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734255F3" w14:textId="77777777" w:rsidR="00F4445D" w:rsidRPr="00A65B69" w:rsidRDefault="00F4445D" w:rsidP="00C5660B">
            <w:pPr>
              <w:ind w:right="2"/>
              <w:jc w:val="center"/>
              <w:rPr>
                <w:color w:val="000000" w:themeColor="text1"/>
                <w:sz w:val="23"/>
                <w:szCs w:val="23"/>
                <w:lang w:val="pt-BR"/>
              </w:rPr>
            </w:pPr>
          </w:p>
        </w:tc>
      </w:tr>
      <w:tr w:rsidR="00CF7A48" w:rsidRPr="00A65B69" w14:paraId="0848FFF6"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5F71FF65" w14:textId="1EA3CC63" w:rsidR="00F4445D"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 xml:space="preserve">Estudo de revisão sistemática: </w:t>
            </w:r>
            <w:r w:rsidR="00F4445D" w:rsidRPr="00A65B69">
              <w:rPr>
                <w:color w:val="000000" w:themeColor="text1"/>
                <w:sz w:val="23"/>
                <w:szCs w:val="23"/>
                <w:lang w:val="pt-BR"/>
              </w:rPr>
              <w:t>Análise dos artigos selecionados e escrita</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335F9E2F" w14:textId="6A23949A" w:rsidR="00F4445D"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76443867" w14:textId="37D38361" w:rsidR="00F4445D"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3234C4A0" w14:textId="77777777" w:rsidR="00F4445D" w:rsidRPr="00A65B69" w:rsidRDefault="00F4445D"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2D67F5AF" w14:textId="77777777" w:rsidR="00F4445D" w:rsidRPr="00A65B69" w:rsidRDefault="00F4445D" w:rsidP="00C5660B">
            <w:pPr>
              <w:ind w:right="2"/>
              <w:jc w:val="center"/>
              <w:rPr>
                <w:color w:val="000000" w:themeColor="text1"/>
                <w:sz w:val="23"/>
                <w:szCs w:val="23"/>
                <w:lang w:val="pt-BR"/>
              </w:rPr>
            </w:pPr>
          </w:p>
        </w:tc>
      </w:tr>
      <w:tr w:rsidR="00CF7A48" w:rsidRPr="00A65B69" w14:paraId="3A1B2B35"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0D6A4C20" w14:textId="19F0C266" w:rsidR="00F4445D"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 xml:space="preserve">Estudo de revisão sistemática: </w:t>
            </w:r>
            <w:r w:rsidR="00F4445D" w:rsidRPr="00A65B69">
              <w:rPr>
                <w:color w:val="000000" w:themeColor="text1"/>
                <w:sz w:val="23"/>
                <w:szCs w:val="23"/>
                <w:lang w:val="pt-BR"/>
              </w:rPr>
              <w:t>Submissão para publicação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41F7321B" w14:textId="77777777" w:rsidR="00F4445D" w:rsidRPr="00A65B69" w:rsidRDefault="00F4445D"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4349FE6A" w14:textId="37F0EFF6" w:rsidR="00F4445D"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08B202BA" w14:textId="1013062E" w:rsidR="00F4445D"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c>
          <w:tcPr>
            <w:tcW w:w="992" w:type="dxa"/>
            <w:tcBorders>
              <w:top w:val="single" w:sz="4" w:space="0" w:color="000000"/>
              <w:left w:val="single" w:sz="4" w:space="0" w:color="000000"/>
              <w:bottom w:val="single" w:sz="4" w:space="0" w:color="000000"/>
              <w:right w:val="single" w:sz="4" w:space="0" w:color="000000"/>
            </w:tcBorders>
          </w:tcPr>
          <w:p w14:paraId="301F415C" w14:textId="77777777" w:rsidR="00F4445D" w:rsidRPr="00A65B69" w:rsidRDefault="00F4445D" w:rsidP="00C5660B">
            <w:pPr>
              <w:ind w:right="2"/>
              <w:jc w:val="center"/>
              <w:rPr>
                <w:color w:val="000000" w:themeColor="text1"/>
                <w:sz w:val="23"/>
                <w:szCs w:val="23"/>
                <w:lang w:val="pt-BR"/>
              </w:rPr>
            </w:pPr>
          </w:p>
        </w:tc>
      </w:tr>
      <w:tr w:rsidR="00CF7A48" w:rsidRPr="00A65B69" w14:paraId="242DCD6C" w14:textId="77777777" w:rsidTr="00682723">
        <w:trPr>
          <w:trHeight w:val="57"/>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2E96CD32" w14:textId="096189F8" w:rsidR="00B33349"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Padronização de técnicas</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6A4AD233"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536EE2F7" w14:textId="7107EEF1" w:rsidR="00B33349" w:rsidRPr="00A65B69" w:rsidRDefault="00B33349"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600601E8" w14:textId="77777777" w:rsidR="00B33349" w:rsidRPr="00A65B69" w:rsidRDefault="00B33349" w:rsidP="00C5660B">
            <w:pPr>
              <w:ind w:right="2"/>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61841BDD" w14:textId="77777777" w:rsidR="00B33349" w:rsidRPr="00A65B69" w:rsidRDefault="00B33349" w:rsidP="00C5660B">
            <w:pPr>
              <w:ind w:right="2"/>
              <w:rPr>
                <w:color w:val="000000" w:themeColor="text1"/>
                <w:sz w:val="23"/>
                <w:szCs w:val="23"/>
                <w:lang w:val="pt-BR"/>
              </w:rPr>
            </w:pPr>
          </w:p>
        </w:tc>
      </w:tr>
      <w:tr w:rsidR="00CF7A48" w:rsidRPr="00A65B69" w14:paraId="3C849E59" w14:textId="77777777" w:rsidTr="00682723">
        <w:trPr>
          <w:trHeight w:val="62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0C2E5D70" w14:textId="011CB70B" w:rsidR="00CF7A48" w:rsidRPr="00A65B69" w:rsidRDefault="00B33349" w:rsidP="00CF7A48">
            <w:pPr>
              <w:ind w:right="2"/>
              <w:jc w:val="center"/>
              <w:rPr>
                <w:color w:val="000000" w:themeColor="text1"/>
                <w:sz w:val="23"/>
                <w:szCs w:val="23"/>
                <w:lang w:val="pt-BR"/>
              </w:rPr>
            </w:pPr>
            <w:r w:rsidRPr="00A65B69">
              <w:rPr>
                <w:color w:val="000000" w:themeColor="text1"/>
                <w:sz w:val="23"/>
                <w:szCs w:val="23"/>
                <w:lang w:val="pt-BR"/>
              </w:rPr>
              <w:t>Estudos piloto para adequação do protocolo experimental</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69C343D0"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030D7043"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35986AD2" w14:textId="77777777" w:rsidR="00B33349" w:rsidRPr="00A65B69" w:rsidRDefault="00B33349" w:rsidP="00C5660B">
            <w:pPr>
              <w:ind w:right="2"/>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3346C1C6" w14:textId="77777777" w:rsidR="00B33349" w:rsidRPr="00A65B69" w:rsidRDefault="00B33349" w:rsidP="00C5660B">
            <w:pPr>
              <w:ind w:right="2"/>
              <w:rPr>
                <w:color w:val="000000" w:themeColor="text1"/>
                <w:sz w:val="23"/>
                <w:szCs w:val="23"/>
                <w:lang w:val="pt-BR"/>
              </w:rPr>
            </w:pPr>
          </w:p>
        </w:tc>
      </w:tr>
      <w:tr w:rsidR="00CF7A48" w:rsidRPr="00A65B69" w14:paraId="6D1A7B21" w14:textId="77777777" w:rsidTr="00682723">
        <w:trPr>
          <w:trHeight w:val="275"/>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61EF781A" w14:textId="77D3918B" w:rsidR="00B33349"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Estudo experimental</w:t>
            </w:r>
            <w:r w:rsidR="00C32BB8" w:rsidRPr="00A65B69">
              <w:rPr>
                <w:color w:val="000000" w:themeColor="text1"/>
                <w:sz w:val="23"/>
                <w:szCs w:val="23"/>
                <w:lang w:val="pt-BR"/>
              </w:rPr>
              <w:t>:</w:t>
            </w:r>
            <w:r w:rsidRPr="00A65B69">
              <w:rPr>
                <w:color w:val="000000" w:themeColor="text1"/>
                <w:sz w:val="23"/>
                <w:szCs w:val="23"/>
                <w:lang w:val="pt-BR"/>
              </w:rPr>
              <w:t xml:space="preserve"> </w:t>
            </w:r>
            <w:r w:rsidR="00B33349" w:rsidRPr="00A65B69">
              <w:rPr>
                <w:color w:val="000000" w:themeColor="text1"/>
                <w:sz w:val="23"/>
                <w:szCs w:val="23"/>
                <w:lang w:val="pt-BR"/>
              </w:rPr>
              <w:t>Seleção da amostra do estudo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3ADF643F" w14:textId="56E62C29" w:rsidR="00B33349"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2715A6D2"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04AD8947" w14:textId="1C0200F2" w:rsidR="00B33349" w:rsidRPr="00A65B69" w:rsidRDefault="00B33349"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10782B1C" w14:textId="77777777" w:rsidR="00B33349" w:rsidRPr="00A65B69" w:rsidRDefault="00B33349" w:rsidP="00C5660B">
            <w:pPr>
              <w:ind w:right="2"/>
              <w:jc w:val="center"/>
              <w:rPr>
                <w:color w:val="000000" w:themeColor="text1"/>
                <w:sz w:val="23"/>
                <w:szCs w:val="23"/>
                <w:lang w:val="pt-BR"/>
              </w:rPr>
            </w:pPr>
          </w:p>
        </w:tc>
      </w:tr>
      <w:tr w:rsidR="00CF7A48" w:rsidRPr="00A65B69" w14:paraId="395F9DF5" w14:textId="77777777" w:rsidTr="00682723">
        <w:trPr>
          <w:trHeight w:val="331"/>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70ABC2B1" w14:textId="4D358983" w:rsidR="00B33349"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Estudo experimental: Coleta de dados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085900A8" w14:textId="32F16C4E" w:rsidR="00B33349"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597AE65A"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5AE3E2CF" w14:textId="77777777" w:rsidR="00B33349" w:rsidRPr="00A65B69" w:rsidRDefault="00B33349" w:rsidP="00C5660B">
            <w:pPr>
              <w:ind w:right="2"/>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7381106A" w14:textId="77777777" w:rsidR="00B33349" w:rsidRPr="00A65B69" w:rsidRDefault="00B33349" w:rsidP="00C5660B">
            <w:pPr>
              <w:ind w:right="2"/>
              <w:rPr>
                <w:color w:val="000000" w:themeColor="text1"/>
                <w:sz w:val="23"/>
                <w:szCs w:val="23"/>
                <w:lang w:val="pt-BR"/>
              </w:rPr>
            </w:pPr>
          </w:p>
        </w:tc>
      </w:tr>
      <w:tr w:rsidR="00CF7A48" w:rsidRPr="00A65B69" w14:paraId="4B45F70C" w14:textId="77777777" w:rsidTr="00682723">
        <w:trPr>
          <w:trHeight w:val="57"/>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243B85C4" w14:textId="10C9E186" w:rsidR="00B33349"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 xml:space="preserve">Estudo experimental: </w:t>
            </w:r>
            <w:r w:rsidR="00B33349" w:rsidRPr="00A65B69">
              <w:rPr>
                <w:color w:val="000000" w:themeColor="text1"/>
                <w:sz w:val="23"/>
                <w:szCs w:val="23"/>
                <w:lang w:val="pt-BR"/>
              </w:rPr>
              <w:t>Análise de dados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1A8767CD"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57A5F4C5"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14AC067B"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992" w:type="dxa"/>
            <w:tcBorders>
              <w:top w:val="single" w:sz="4" w:space="0" w:color="000000"/>
              <w:left w:val="single" w:sz="4" w:space="0" w:color="000000"/>
              <w:bottom w:val="single" w:sz="4" w:space="0" w:color="000000"/>
              <w:right w:val="single" w:sz="4" w:space="0" w:color="000000"/>
            </w:tcBorders>
          </w:tcPr>
          <w:p w14:paraId="26815927" w14:textId="2798DB67" w:rsidR="00B33349"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r>
      <w:tr w:rsidR="00CF7A48" w:rsidRPr="00A65B69" w14:paraId="6C8EEAA6" w14:textId="77777777" w:rsidTr="00682723">
        <w:trPr>
          <w:trHeight w:val="57"/>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77E31BF1" w14:textId="44D9A896" w:rsidR="00A7551D"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Estudo experimental: Submissão para publicação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5EB3D599" w14:textId="77777777" w:rsidR="00A7551D" w:rsidRPr="00A65B69" w:rsidRDefault="00A7551D"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341641E6" w14:textId="77777777" w:rsidR="00A7551D" w:rsidRPr="00A65B69" w:rsidRDefault="00A7551D"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54EADCEF" w14:textId="77777777" w:rsidR="00A7551D" w:rsidRPr="00A65B69" w:rsidRDefault="00A7551D"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12AA87F" w14:textId="4FFDC678" w:rsidR="00A7551D" w:rsidRPr="00A65B69" w:rsidRDefault="00A7551D" w:rsidP="00C5660B">
            <w:pPr>
              <w:ind w:right="2"/>
              <w:jc w:val="center"/>
              <w:rPr>
                <w:color w:val="000000" w:themeColor="text1"/>
                <w:sz w:val="23"/>
                <w:szCs w:val="23"/>
                <w:lang w:val="pt-BR"/>
              </w:rPr>
            </w:pPr>
            <w:r w:rsidRPr="00A65B69">
              <w:rPr>
                <w:color w:val="000000" w:themeColor="text1"/>
                <w:sz w:val="23"/>
                <w:szCs w:val="23"/>
                <w:lang w:val="pt-BR"/>
              </w:rPr>
              <w:t>X</w:t>
            </w:r>
          </w:p>
        </w:tc>
      </w:tr>
      <w:tr w:rsidR="00CF7A48" w:rsidRPr="00A65B69" w14:paraId="3F21768B" w14:textId="77777777" w:rsidTr="00682723">
        <w:trPr>
          <w:trHeight w:val="340"/>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562364F2"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 xml:space="preserve">Estágio no exterior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26E46CBC"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242C3374" w14:textId="77777777" w:rsidR="00B33349" w:rsidRPr="00A65B69" w:rsidRDefault="00B33349" w:rsidP="00C5660B">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4EBEA3BC"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992" w:type="dxa"/>
            <w:tcBorders>
              <w:top w:val="single" w:sz="4" w:space="0" w:color="000000"/>
              <w:left w:val="single" w:sz="4" w:space="0" w:color="000000"/>
              <w:bottom w:val="single" w:sz="4" w:space="0" w:color="000000"/>
              <w:right w:val="single" w:sz="4" w:space="0" w:color="000000"/>
            </w:tcBorders>
          </w:tcPr>
          <w:p w14:paraId="029C3ECA" w14:textId="77777777" w:rsidR="00B33349" w:rsidRPr="00A65B69" w:rsidRDefault="00B33349" w:rsidP="00C5660B">
            <w:pPr>
              <w:ind w:right="2"/>
              <w:jc w:val="center"/>
              <w:rPr>
                <w:color w:val="000000" w:themeColor="text1"/>
                <w:sz w:val="23"/>
                <w:szCs w:val="23"/>
                <w:lang w:val="pt-BR"/>
              </w:rPr>
            </w:pPr>
          </w:p>
        </w:tc>
      </w:tr>
      <w:tr w:rsidR="00CF7A48" w:rsidRPr="00A65B69" w14:paraId="18CB1D61" w14:textId="77777777" w:rsidTr="00682723">
        <w:trPr>
          <w:trHeight w:val="57"/>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01CD7DF5"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Relatórios científicos </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4365C0BF"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31A047B1" w14:textId="48D0DB51" w:rsidR="00B33349"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6CEB15C8" w14:textId="31B2338F" w:rsidR="00B33349" w:rsidRPr="00A65B69" w:rsidRDefault="00B33349"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11AF9A9C" w14:textId="37A2719C" w:rsidR="00B33349"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r>
      <w:tr w:rsidR="00CF7A48" w:rsidRPr="00A65B69" w14:paraId="118431D7"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hideMark/>
          </w:tcPr>
          <w:p w14:paraId="4332C963" w14:textId="3E4F073E"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Participação em eventos científicos </w:t>
            </w:r>
            <w:r w:rsidR="00F4445D" w:rsidRPr="00A65B69">
              <w:rPr>
                <w:color w:val="000000" w:themeColor="text1"/>
                <w:sz w:val="23"/>
                <w:szCs w:val="23"/>
                <w:lang w:val="pt-BR"/>
              </w:rPr>
              <w:t>com apresentação de trabalho científico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0E64A8D2" w14:textId="77777777" w:rsidR="00B33349" w:rsidRPr="00A65B69" w:rsidRDefault="00B33349"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46AD2933"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hideMark/>
          </w:tcPr>
          <w:p w14:paraId="7C126A1B" w14:textId="77777777" w:rsidR="00B33349" w:rsidRPr="00A65B69" w:rsidRDefault="00B33349" w:rsidP="00C5660B">
            <w:pPr>
              <w:ind w:right="2"/>
              <w:jc w:val="center"/>
              <w:rPr>
                <w:color w:val="000000" w:themeColor="text1"/>
                <w:sz w:val="23"/>
                <w:szCs w:val="23"/>
                <w:lang w:val="pt-BR"/>
              </w:rPr>
            </w:pPr>
            <w:r w:rsidRPr="00A65B69">
              <w:rPr>
                <w:color w:val="000000" w:themeColor="text1"/>
                <w:sz w:val="23"/>
                <w:szCs w:val="23"/>
                <w:lang w:val="pt-BR"/>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97D932E" w14:textId="61146F3C" w:rsidR="00B33349"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r>
      <w:tr w:rsidR="00CF7A48" w:rsidRPr="00A65B69" w14:paraId="091812A6" w14:textId="77777777" w:rsidTr="00682723">
        <w:trPr>
          <w:trHeight w:val="314"/>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289F203C" w14:textId="043E3DB5" w:rsidR="00D7095F" w:rsidRPr="00A65B69" w:rsidRDefault="00355575" w:rsidP="00C5660B">
            <w:pPr>
              <w:ind w:right="2"/>
              <w:jc w:val="center"/>
              <w:rPr>
                <w:color w:val="000000" w:themeColor="text1"/>
                <w:sz w:val="23"/>
                <w:szCs w:val="23"/>
                <w:lang w:val="pt-BR"/>
              </w:rPr>
            </w:pPr>
            <w:r w:rsidRPr="00A65B69">
              <w:rPr>
                <w:color w:val="000000" w:themeColor="text1"/>
                <w:sz w:val="23"/>
                <w:szCs w:val="23"/>
                <w:lang w:val="pt-BR"/>
              </w:rPr>
              <w:t>Qualificação da dissertação de mestrado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7BA475D6" w14:textId="5543D10A" w:rsidR="00D7095F" w:rsidRPr="00A65B69" w:rsidRDefault="00D7095F" w:rsidP="00BB3D68">
            <w:pPr>
              <w:ind w:right="2"/>
              <w:jc w:val="center"/>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6F497CFD" w14:textId="3F179A0E" w:rsidR="00D7095F" w:rsidRPr="00A65B69" w:rsidRDefault="00DC7DE0" w:rsidP="00C5660B">
            <w:pPr>
              <w:ind w:right="2"/>
              <w:jc w:val="center"/>
              <w:rPr>
                <w:color w:val="000000" w:themeColor="text1"/>
                <w:sz w:val="23"/>
                <w:szCs w:val="23"/>
                <w:lang w:val="pt-BR"/>
              </w:rPr>
            </w:pPr>
            <w:r w:rsidRPr="00A65B69">
              <w:rPr>
                <w:color w:val="000000" w:themeColor="text1"/>
                <w:sz w:val="23"/>
                <w:szCs w:val="23"/>
                <w:lang w:val="pt-BR"/>
              </w:rPr>
              <w:sym w:font="Wingdings" w:char="F0FC"/>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714CE5A0" w14:textId="77777777" w:rsidR="00D7095F" w:rsidRPr="00A65B69" w:rsidRDefault="00D7095F"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E1224BC" w14:textId="77777777" w:rsidR="00D7095F" w:rsidRPr="00A65B69" w:rsidRDefault="00D7095F" w:rsidP="00C5660B">
            <w:pPr>
              <w:ind w:right="2"/>
              <w:jc w:val="center"/>
              <w:rPr>
                <w:color w:val="000000" w:themeColor="text1"/>
                <w:sz w:val="23"/>
                <w:szCs w:val="23"/>
                <w:lang w:val="pt-BR"/>
              </w:rPr>
            </w:pPr>
          </w:p>
        </w:tc>
      </w:tr>
      <w:tr w:rsidR="00CF7A48" w:rsidRPr="00A65B69" w14:paraId="1CED60DC" w14:textId="77777777" w:rsidTr="00682723">
        <w:trPr>
          <w:trHeight w:val="237"/>
        </w:trPr>
        <w:tc>
          <w:tcPr>
            <w:tcW w:w="5807"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tcPr>
          <w:p w14:paraId="061EC02C" w14:textId="5D9D1F6B" w:rsidR="00F4445D"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lastRenderedPageBreak/>
              <w:t>Defesa da dissertação de mestrado</w:t>
            </w: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64BF08FC" w14:textId="77777777" w:rsidR="00F4445D" w:rsidRPr="00A65B69" w:rsidRDefault="00F4445D"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0FC8A3CF" w14:textId="77777777" w:rsidR="00F4445D" w:rsidRPr="00A65B69" w:rsidRDefault="00F4445D" w:rsidP="00C5660B">
            <w:pPr>
              <w:ind w:right="2"/>
              <w:rPr>
                <w:color w:val="000000" w:themeColor="text1"/>
                <w:sz w:val="23"/>
                <w:szCs w:val="23"/>
                <w:lang w:val="pt-BR"/>
              </w:rPr>
            </w:pPr>
          </w:p>
        </w:tc>
        <w:tc>
          <w:tcPr>
            <w:tcW w:w="1134" w:type="dxa"/>
            <w:tcBorders>
              <w:top w:val="single" w:sz="4" w:space="0" w:color="000000"/>
              <w:left w:val="single" w:sz="4" w:space="0" w:color="000000"/>
              <w:bottom w:val="single" w:sz="4" w:space="0" w:color="000000"/>
              <w:right w:val="single" w:sz="4" w:space="0" w:color="000000"/>
            </w:tcBorders>
            <w:tcMar>
              <w:top w:w="14" w:type="dxa"/>
              <w:left w:w="115" w:type="dxa"/>
              <w:bottom w:w="0" w:type="dxa"/>
              <w:right w:w="38" w:type="dxa"/>
            </w:tcMar>
            <w:vAlign w:val="center"/>
          </w:tcPr>
          <w:p w14:paraId="1F410422" w14:textId="77777777" w:rsidR="00F4445D" w:rsidRPr="00A65B69" w:rsidRDefault="00F4445D" w:rsidP="00C5660B">
            <w:pPr>
              <w:ind w:right="2"/>
              <w:jc w:val="center"/>
              <w:rPr>
                <w:color w:val="000000" w:themeColor="text1"/>
                <w:sz w:val="23"/>
                <w:szCs w:val="23"/>
                <w:lang w:val="pt-BR"/>
              </w:rPr>
            </w:pPr>
          </w:p>
        </w:tc>
        <w:tc>
          <w:tcPr>
            <w:tcW w:w="992" w:type="dxa"/>
            <w:tcBorders>
              <w:top w:val="single" w:sz="4" w:space="0" w:color="000000"/>
              <w:left w:val="single" w:sz="4" w:space="0" w:color="000000"/>
              <w:bottom w:val="single" w:sz="4" w:space="0" w:color="000000"/>
              <w:right w:val="single" w:sz="4" w:space="0" w:color="000000"/>
            </w:tcBorders>
          </w:tcPr>
          <w:p w14:paraId="1C484E37" w14:textId="15D69C0C" w:rsidR="00F4445D" w:rsidRPr="00A65B69" w:rsidRDefault="00F4445D" w:rsidP="00C5660B">
            <w:pPr>
              <w:ind w:right="2"/>
              <w:jc w:val="center"/>
              <w:rPr>
                <w:color w:val="000000" w:themeColor="text1"/>
                <w:sz w:val="23"/>
                <w:szCs w:val="23"/>
                <w:lang w:val="pt-BR"/>
              </w:rPr>
            </w:pPr>
            <w:r w:rsidRPr="00A65B69">
              <w:rPr>
                <w:color w:val="000000" w:themeColor="text1"/>
                <w:sz w:val="23"/>
                <w:szCs w:val="23"/>
                <w:lang w:val="pt-BR"/>
              </w:rPr>
              <w:t>X</w:t>
            </w:r>
          </w:p>
        </w:tc>
      </w:tr>
    </w:tbl>
    <w:p w14:paraId="2CCDFB40" w14:textId="77777777" w:rsidR="00B33349" w:rsidRPr="00A65B69" w:rsidRDefault="00B33349" w:rsidP="00C5660B">
      <w:pPr>
        <w:pStyle w:val="BodyText"/>
        <w:spacing w:before="0" w:line="480" w:lineRule="auto"/>
        <w:ind w:left="0" w:right="2"/>
        <w:rPr>
          <w:color w:val="000000" w:themeColor="text1"/>
          <w:sz w:val="23"/>
          <w:szCs w:val="23"/>
          <w:lang w:val="pt-BR"/>
        </w:rPr>
      </w:pPr>
    </w:p>
    <w:p w14:paraId="7B670D50" w14:textId="16D3C400" w:rsidR="00811355" w:rsidRPr="00A65B69" w:rsidRDefault="00811355" w:rsidP="00BB3D68">
      <w:pPr>
        <w:pStyle w:val="Heading1"/>
        <w:tabs>
          <w:tab w:val="left" w:pos="284"/>
        </w:tabs>
        <w:spacing w:line="480" w:lineRule="auto"/>
        <w:ind w:left="0" w:right="2" w:firstLine="0"/>
        <w:rPr>
          <w:color w:val="000000" w:themeColor="text1"/>
          <w:sz w:val="23"/>
          <w:szCs w:val="23"/>
        </w:rPr>
      </w:pPr>
      <w:r w:rsidRPr="00A65B69">
        <w:rPr>
          <w:color w:val="000000" w:themeColor="text1"/>
          <w:sz w:val="23"/>
          <w:szCs w:val="23"/>
          <w:lang w:val="pt-BR"/>
        </w:rPr>
        <w:t xml:space="preserve">4. </w:t>
      </w:r>
      <w:r w:rsidRPr="00A65B69">
        <w:rPr>
          <w:color w:val="000000" w:themeColor="text1"/>
          <w:sz w:val="23"/>
          <w:szCs w:val="23"/>
        </w:rPr>
        <w:t>Materia</w:t>
      </w:r>
      <w:proofErr w:type="spellStart"/>
      <w:r w:rsidR="00346C64" w:rsidRPr="00A65B69">
        <w:rPr>
          <w:color w:val="000000" w:themeColor="text1"/>
          <w:sz w:val="23"/>
          <w:szCs w:val="23"/>
          <w:lang w:val="pt-BR"/>
        </w:rPr>
        <w:t>is</w:t>
      </w:r>
      <w:proofErr w:type="spellEnd"/>
      <w:r w:rsidRPr="00A65B69">
        <w:rPr>
          <w:color w:val="000000" w:themeColor="text1"/>
          <w:sz w:val="23"/>
          <w:szCs w:val="23"/>
        </w:rPr>
        <w:t xml:space="preserve"> e </w:t>
      </w:r>
      <w:proofErr w:type="spellStart"/>
      <w:r w:rsidRPr="00A65B69">
        <w:rPr>
          <w:color w:val="000000" w:themeColor="text1"/>
          <w:sz w:val="23"/>
          <w:szCs w:val="23"/>
        </w:rPr>
        <w:t>métodos</w:t>
      </w:r>
      <w:proofErr w:type="spellEnd"/>
    </w:p>
    <w:p w14:paraId="3E982590" w14:textId="01DE1BFE" w:rsidR="00182B6F" w:rsidRPr="00A65B69" w:rsidRDefault="00355575" w:rsidP="00BB3D68">
      <w:pPr>
        <w:pStyle w:val="Heading1"/>
        <w:tabs>
          <w:tab w:val="left" w:pos="284"/>
        </w:tabs>
        <w:spacing w:line="480" w:lineRule="auto"/>
        <w:ind w:left="0" w:right="2" w:firstLine="0"/>
        <w:rPr>
          <w:color w:val="000000" w:themeColor="text1"/>
          <w:sz w:val="23"/>
          <w:szCs w:val="23"/>
          <w:lang w:val="pt-BR"/>
        </w:rPr>
      </w:pPr>
      <w:r w:rsidRPr="00A65B69">
        <w:rPr>
          <w:b w:val="0"/>
          <w:bCs w:val="0"/>
          <w:color w:val="000000" w:themeColor="text1"/>
          <w:sz w:val="23"/>
          <w:szCs w:val="23"/>
          <w:lang w:val="pt-BR"/>
        </w:rPr>
        <w:tab/>
      </w:r>
      <w:r w:rsidRPr="00A65B69">
        <w:rPr>
          <w:b w:val="0"/>
          <w:bCs w:val="0"/>
          <w:color w:val="000000" w:themeColor="text1"/>
          <w:sz w:val="23"/>
          <w:szCs w:val="23"/>
          <w:lang w:val="pt-BR"/>
        </w:rPr>
        <w:tab/>
        <w:t xml:space="preserve">Os métodos que utilizaremos para responder as perguntas do projeto de pesquisa nos dois estudos propostos estão descritos abaixo. É importante indicar que o projeto de pesquisa </w:t>
      </w:r>
      <w:r w:rsidR="00B641FF" w:rsidRPr="00A65B69">
        <w:rPr>
          <w:b w:val="0"/>
          <w:bCs w:val="0"/>
          <w:color w:val="000000" w:themeColor="text1"/>
          <w:sz w:val="23"/>
          <w:szCs w:val="23"/>
          <w:lang w:val="pt-BR"/>
        </w:rPr>
        <w:t>foi submetido</w:t>
      </w:r>
      <w:r w:rsidRPr="00A65B69">
        <w:rPr>
          <w:b w:val="0"/>
          <w:bCs w:val="0"/>
          <w:color w:val="000000" w:themeColor="text1"/>
          <w:sz w:val="23"/>
          <w:szCs w:val="23"/>
          <w:lang w:val="pt-BR"/>
        </w:rPr>
        <w:t xml:space="preserve"> </w:t>
      </w:r>
      <w:r w:rsidR="00F22FFA" w:rsidRPr="00A65B69">
        <w:rPr>
          <w:b w:val="0"/>
          <w:bCs w:val="0"/>
          <w:color w:val="000000" w:themeColor="text1"/>
          <w:sz w:val="23"/>
          <w:szCs w:val="23"/>
          <w:lang w:val="pt-BR"/>
        </w:rPr>
        <w:t>e aprovado pelo</w:t>
      </w:r>
      <w:r w:rsidRPr="00A65B69">
        <w:rPr>
          <w:b w:val="0"/>
          <w:bCs w:val="0"/>
          <w:color w:val="000000" w:themeColor="text1"/>
          <w:sz w:val="23"/>
          <w:szCs w:val="23"/>
          <w:lang w:val="pt-BR"/>
        </w:rPr>
        <w:t xml:space="preserve"> Comitê de Ética em Pesquisa da Faculdade de Ciências da UNESP, Campus de Bauru</w:t>
      </w:r>
      <w:r w:rsidR="00F22FFA" w:rsidRPr="00A65B69">
        <w:rPr>
          <w:b w:val="0"/>
          <w:bCs w:val="0"/>
          <w:color w:val="000000" w:themeColor="text1"/>
          <w:sz w:val="23"/>
          <w:szCs w:val="23"/>
          <w:lang w:val="pt-BR"/>
        </w:rPr>
        <w:t xml:space="preserve"> (CAAE 63572622.7.0000.5398)</w:t>
      </w:r>
      <w:r w:rsidRPr="00A65B69">
        <w:rPr>
          <w:b w:val="0"/>
          <w:bCs w:val="0"/>
          <w:color w:val="000000" w:themeColor="text1"/>
          <w:sz w:val="23"/>
          <w:szCs w:val="23"/>
          <w:lang w:val="pt-BR"/>
        </w:rPr>
        <w:t xml:space="preserve">. </w:t>
      </w:r>
    </w:p>
    <w:p w14:paraId="153E232D" w14:textId="3E5AE905" w:rsidR="00182B6F" w:rsidRPr="00A65B69" w:rsidRDefault="004616AD" w:rsidP="00BB3D68">
      <w:pPr>
        <w:pStyle w:val="BodyText"/>
        <w:tabs>
          <w:tab w:val="left" w:pos="284"/>
        </w:tabs>
        <w:spacing w:before="0" w:line="480" w:lineRule="auto"/>
        <w:ind w:left="0" w:right="2"/>
        <w:rPr>
          <w:b/>
          <w:bCs/>
          <w:color w:val="000000" w:themeColor="text1"/>
          <w:sz w:val="23"/>
          <w:szCs w:val="23"/>
          <w:lang w:val="pt-BR"/>
        </w:rPr>
      </w:pPr>
      <w:r w:rsidRPr="00A65B69">
        <w:rPr>
          <w:b/>
          <w:bCs/>
          <w:color w:val="000000" w:themeColor="text1"/>
          <w:sz w:val="23"/>
          <w:szCs w:val="23"/>
          <w:lang w:val="pt-BR"/>
        </w:rPr>
        <w:t xml:space="preserve">4.1. </w:t>
      </w:r>
      <w:r w:rsidR="00182B6F" w:rsidRPr="00A65B69">
        <w:rPr>
          <w:b/>
          <w:bCs/>
          <w:color w:val="000000" w:themeColor="text1"/>
          <w:sz w:val="23"/>
          <w:szCs w:val="23"/>
          <w:lang w:val="pt-BR"/>
        </w:rPr>
        <w:t xml:space="preserve">Estudo </w:t>
      </w:r>
      <w:r w:rsidRPr="00A65B69">
        <w:rPr>
          <w:b/>
          <w:bCs/>
          <w:color w:val="000000" w:themeColor="text1"/>
          <w:sz w:val="23"/>
          <w:szCs w:val="23"/>
          <w:lang w:val="pt-BR"/>
        </w:rPr>
        <w:t>1</w:t>
      </w:r>
      <w:r w:rsidR="00182B6F" w:rsidRPr="00A65B69">
        <w:rPr>
          <w:b/>
          <w:bCs/>
          <w:color w:val="000000" w:themeColor="text1"/>
          <w:sz w:val="23"/>
          <w:szCs w:val="23"/>
          <w:lang w:val="pt-BR"/>
        </w:rPr>
        <w:t xml:space="preserve">: </w:t>
      </w:r>
      <w:r w:rsidR="00D21363" w:rsidRPr="00A65B69">
        <w:rPr>
          <w:b/>
          <w:bCs/>
          <w:color w:val="000000" w:themeColor="text1"/>
          <w:sz w:val="23"/>
          <w:szCs w:val="23"/>
          <w:lang w:val="pt-BR"/>
        </w:rPr>
        <w:t>Exposição a</w:t>
      </w:r>
      <w:r w:rsidR="00182B6F" w:rsidRPr="00A65B69">
        <w:rPr>
          <w:b/>
          <w:bCs/>
          <w:color w:val="000000" w:themeColor="text1"/>
          <w:sz w:val="23"/>
          <w:szCs w:val="23"/>
          <w:lang w:val="pt-BR"/>
        </w:rPr>
        <w:t xml:space="preserve"> hipóxia </w:t>
      </w:r>
      <w:r w:rsidRPr="00A65B69">
        <w:rPr>
          <w:b/>
          <w:bCs/>
          <w:color w:val="000000" w:themeColor="text1"/>
          <w:sz w:val="23"/>
          <w:szCs w:val="23"/>
          <w:lang w:val="pt-BR"/>
        </w:rPr>
        <w:t>e</w:t>
      </w:r>
      <w:r w:rsidR="00182B6F" w:rsidRPr="00A65B69">
        <w:rPr>
          <w:b/>
          <w:bCs/>
          <w:color w:val="000000" w:themeColor="text1"/>
          <w:sz w:val="23"/>
          <w:szCs w:val="23"/>
          <w:lang w:val="pt-BR"/>
        </w:rPr>
        <w:t xml:space="preserve"> doença de Parkinson: uma revisão sistemática</w:t>
      </w:r>
    </w:p>
    <w:p w14:paraId="0B95AA3F" w14:textId="77777777" w:rsidR="00355575" w:rsidRPr="00A65B69" w:rsidRDefault="00355575" w:rsidP="00BB3D68">
      <w:pPr>
        <w:pStyle w:val="BodyText"/>
        <w:tabs>
          <w:tab w:val="left" w:pos="284"/>
        </w:tabs>
        <w:spacing w:before="0" w:line="480" w:lineRule="auto"/>
        <w:ind w:left="0" w:right="0"/>
        <w:rPr>
          <w:i/>
          <w:iCs/>
          <w:color w:val="000000" w:themeColor="text1"/>
          <w:sz w:val="23"/>
          <w:szCs w:val="23"/>
          <w:lang w:val="pt-BR"/>
        </w:rPr>
      </w:pPr>
      <w:r w:rsidRPr="00A65B69">
        <w:rPr>
          <w:i/>
          <w:iCs/>
          <w:color w:val="000000" w:themeColor="text1"/>
          <w:sz w:val="23"/>
          <w:szCs w:val="23"/>
          <w:lang w:val="pt-BR"/>
        </w:rPr>
        <w:t>- Estratégia de busca e critérios de inclusão e exclusão</w:t>
      </w:r>
    </w:p>
    <w:p w14:paraId="219E1AF4" w14:textId="3A56D3F4" w:rsidR="002D22AB" w:rsidRPr="00A65B69" w:rsidRDefault="00355575"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182B6F" w:rsidRPr="00A65B69">
        <w:rPr>
          <w:color w:val="000000" w:themeColor="text1"/>
          <w:sz w:val="23"/>
          <w:szCs w:val="23"/>
          <w:lang w:val="pt-BR"/>
        </w:rPr>
        <w:t xml:space="preserve">O estudo será realizado conforme as recomendações do </w:t>
      </w:r>
      <w:proofErr w:type="spellStart"/>
      <w:r w:rsidR="00182B6F" w:rsidRPr="00A65B69">
        <w:rPr>
          <w:i/>
          <w:iCs/>
          <w:color w:val="000000" w:themeColor="text1"/>
          <w:sz w:val="23"/>
          <w:szCs w:val="23"/>
          <w:lang w:val="pt-BR"/>
        </w:rPr>
        <w:t>Preferred</w:t>
      </w:r>
      <w:proofErr w:type="spellEnd"/>
      <w:r w:rsidR="00182B6F" w:rsidRPr="00A65B69">
        <w:rPr>
          <w:i/>
          <w:iCs/>
          <w:color w:val="000000" w:themeColor="text1"/>
          <w:sz w:val="23"/>
          <w:szCs w:val="23"/>
          <w:lang w:val="pt-BR"/>
        </w:rPr>
        <w:t xml:space="preserve"> </w:t>
      </w:r>
      <w:proofErr w:type="spellStart"/>
      <w:r w:rsidR="00182B6F" w:rsidRPr="00A65B69">
        <w:rPr>
          <w:i/>
          <w:iCs/>
          <w:color w:val="000000" w:themeColor="text1"/>
          <w:sz w:val="23"/>
          <w:szCs w:val="23"/>
          <w:lang w:val="pt-BR"/>
        </w:rPr>
        <w:t>Reporting</w:t>
      </w:r>
      <w:proofErr w:type="spellEnd"/>
      <w:r w:rsidR="00182B6F" w:rsidRPr="00A65B69">
        <w:rPr>
          <w:i/>
          <w:iCs/>
          <w:color w:val="000000" w:themeColor="text1"/>
          <w:sz w:val="23"/>
          <w:szCs w:val="23"/>
          <w:lang w:val="pt-BR"/>
        </w:rPr>
        <w:t xml:space="preserve"> </w:t>
      </w:r>
      <w:proofErr w:type="spellStart"/>
      <w:r w:rsidR="00182B6F" w:rsidRPr="00A65B69">
        <w:rPr>
          <w:i/>
          <w:iCs/>
          <w:color w:val="000000" w:themeColor="text1"/>
          <w:sz w:val="23"/>
          <w:szCs w:val="23"/>
          <w:lang w:val="pt-BR"/>
        </w:rPr>
        <w:t>Items</w:t>
      </w:r>
      <w:proofErr w:type="spellEnd"/>
      <w:r w:rsidR="00182B6F" w:rsidRPr="00A65B69">
        <w:rPr>
          <w:i/>
          <w:iCs/>
          <w:color w:val="000000" w:themeColor="text1"/>
          <w:sz w:val="23"/>
          <w:szCs w:val="23"/>
          <w:lang w:val="pt-BR"/>
        </w:rPr>
        <w:t xml:space="preserve"> for </w:t>
      </w:r>
      <w:proofErr w:type="spellStart"/>
      <w:r w:rsidR="00182B6F" w:rsidRPr="00A65B69">
        <w:rPr>
          <w:i/>
          <w:iCs/>
          <w:color w:val="000000" w:themeColor="text1"/>
          <w:sz w:val="23"/>
          <w:szCs w:val="23"/>
          <w:lang w:val="pt-BR"/>
        </w:rPr>
        <w:t>Systematic</w:t>
      </w:r>
      <w:proofErr w:type="spellEnd"/>
      <w:r w:rsidR="00182B6F" w:rsidRPr="00A65B69">
        <w:rPr>
          <w:i/>
          <w:iCs/>
          <w:color w:val="000000" w:themeColor="text1"/>
          <w:sz w:val="23"/>
          <w:szCs w:val="23"/>
          <w:lang w:val="pt-BR"/>
        </w:rPr>
        <w:t xml:space="preserve"> reviews </w:t>
      </w:r>
      <w:proofErr w:type="spellStart"/>
      <w:r w:rsidR="00182B6F" w:rsidRPr="00A65B69">
        <w:rPr>
          <w:i/>
          <w:iCs/>
          <w:color w:val="000000" w:themeColor="text1"/>
          <w:sz w:val="23"/>
          <w:szCs w:val="23"/>
          <w:lang w:val="pt-BR"/>
        </w:rPr>
        <w:t>and</w:t>
      </w:r>
      <w:proofErr w:type="spellEnd"/>
      <w:r w:rsidR="00182B6F" w:rsidRPr="00A65B69">
        <w:rPr>
          <w:i/>
          <w:iCs/>
          <w:color w:val="000000" w:themeColor="text1"/>
          <w:sz w:val="23"/>
          <w:szCs w:val="23"/>
          <w:lang w:val="pt-BR"/>
        </w:rPr>
        <w:t xml:space="preserve"> Meta-</w:t>
      </w:r>
      <w:proofErr w:type="spellStart"/>
      <w:r w:rsidR="00182B6F" w:rsidRPr="00A65B69">
        <w:rPr>
          <w:i/>
          <w:iCs/>
          <w:color w:val="000000" w:themeColor="text1"/>
          <w:sz w:val="23"/>
          <w:szCs w:val="23"/>
          <w:lang w:val="pt-BR"/>
        </w:rPr>
        <w:t>Analyses</w:t>
      </w:r>
      <w:proofErr w:type="spellEnd"/>
      <w:r w:rsidR="00182B6F" w:rsidRPr="00A65B69">
        <w:rPr>
          <w:color w:val="000000" w:themeColor="text1"/>
          <w:sz w:val="23"/>
          <w:szCs w:val="23"/>
          <w:lang w:val="pt-BR"/>
        </w:rPr>
        <w:t xml:space="preserve"> (PRISMA)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10.1016/j.ijsu.2010.02.007","ISSN":"17439191","PMID":"20171303","author":[{"dropping-particle":"","family":"Moher","given":"David","non-dropping-particle":"","parse-names":false,"suffix":""},{"dropping-particle":"","family":"Liberati","given":"Alessandro","non-dropping-particle":"","parse-names":false,"suffix":""},{"dropping-particle":"","family":"Tetzlaff","given":"Jennifer","non-dropping-particle":"","parse-names":false,"suffix":""},{"dropping-particle":"","family":"Altman","given":"Douglas G.","non-dropping-particle":"","parse-names":false,"suffix":""}],"container-title":"International Journal of Surgery","id":"ITEM-1","issue":"5","issued":{"date-parts":[["2010"]]},"page":"336-341","title":"Preferred reporting items for systematic reviews and meta-analyses: The PRISMA statement","type":"article-journal","volume":"8"},"uris":["http://www.mendeley.com/documents/?uuid=0f88a9fc-b19d-41db-8771-a6f1b917e891"]}],"mendeley":{"formattedCitation":"(MOHER et al., 2010)","plainTextFormattedCitation":"(MOHER et al., 2010)","previouslyFormattedCitation":"(MOHER et al., 2010)"},"properties":{"noteIndex":0},"schema":"https://github.com/citation-style-language/schema/raw/master/csl-citation.json"}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(MOHER et al., 2010)</w:t>
      </w:r>
      <w:r w:rsidR="00301869" w:rsidRPr="00A65B69">
        <w:rPr>
          <w:color w:val="000000" w:themeColor="text1"/>
          <w:sz w:val="23"/>
          <w:szCs w:val="23"/>
          <w:lang w:val="pt-BR"/>
        </w:rPr>
        <w:fldChar w:fldCharType="end"/>
      </w:r>
      <w:r w:rsidR="00A112DE" w:rsidRPr="00A65B69">
        <w:rPr>
          <w:color w:val="000000" w:themeColor="text1"/>
          <w:sz w:val="23"/>
          <w:szCs w:val="23"/>
          <w:lang w:val="pt-BR"/>
        </w:rPr>
        <w:t xml:space="preserve"> </w:t>
      </w:r>
      <w:r w:rsidR="004616AD" w:rsidRPr="00A65B69">
        <w:rPr>
          <w:color w:val="000000" w:themeColor="text1"/>
          <w:sz w:val="23"/>
          <w:szCs w:val="23"/>
          <w:lang w:val="pt-BR"/>
        </w:rPr>
        <w:t>e será submetido ao PROSPERO</w:t>
      </w:r>
      <w:r w:rsidR="00182B6F" w:rsidRPr="00A65B69">
        <w:rPr>
          <w:color w:val="000000" w:themeColor="text1"/>
          <w:sz w:val="23"/>
          <w:szCs w:val="23"/>
          <w:lang w:val="pt-BR"/>
        </w:rPr>
        <w:t xml:space="preserve">. Serão analisados os estudos que demonstrarem conteúdo relevante a pesquisa, que contenham i) </w:t>
      </w:r>
      <w:r w:rsidR="000F7383" w:rsidRPr="00A65B69">
        <w:rPr>
          <w:color w:val="000000" w:themeColor="text1"/>
          <w:sz w:val="23"/>
          <w:szCs w:val="23"/>
          <w:lang w:val="pt-BR"/>
        </w:rPr>
        <w:t xml:space="preserve">desenho experimental com exposição à hipóxia (qualquer tipo), e </w:t>
      </w:r>
      <w:proofErr w:type="spellStart"/>
      <w:r w:rsidR="000F7383" w:rsidRPr="00A65B69">
        <w:rPr>
          <w:color w:val="000000" w:themeColor="text1"/>
          <w:sz w:val="23"/>
          <w:szCs w:val="23"/>
          <w:lang w:val="pt-BR"/>
        </w:rPr>
        <w:t>ii</w:t>
      </w:r>
      <w:proofErr w:type="spellEnd"/>
      <w:r w:rsidR="000F7383" w:rsidRPr="00A65B69">
        <w:rPr>
          <w:color w:val="000000" w:themeColor="text1"/>
          <w:sz w:val="23"/>
          <w:szCs w:val="23"/>
          <w:lang w:val="pt-BR"/>
        </w:rPr>
        <w:t>) variáveis relacionadas aos sintomas motores e/ou não motores de DP</w:t>
      </w:r>
      <w:r w:rsidR="00182B6F" w:rsidRPr="00A65B69">
        <w:rPr>
          <w:color w:val="000000" w:themeColor="text1"/>
          <w:sz w:val="23"/>
          <w:szCs w:val="23"/>
          <w:lang w:val="pt-BR"/>
        </w:rPr>
        <w:t xml:space="preserve">. Para isso, a busca será realizada a partir de quatro bases de dados eletrônicas: </w:t>
      </w:r>
      <w:proofErr w:type="spellStart"/>
      <w:r w:rsidR="00182B6F" w:rsidRPr="00A65B69">
        <w:rPr>
          <w:color w:val="000000" w:themeColor="text1"/>
          <w:sz w:val="23"/>
          <w:szCs w:val="23"/>
          <w:lang w:val="pt-BR"/>
        </w:rPr>
        <w:t>PubMed</w:t>
      </w:r>
      <w:proofErr w:type="spellEnd"/>
      <w:r w:rsidR="00182B6F" w:rsidRPr="00A65B69">
        <w:rPr>
          <w:color w:val="000000" w:themeColor="text1"/>
          <w:sz w:val="23"/>
          <w:szCs w:val="23"/>
          <w:lang w:val="pt-BR"/>
        </w:rPr>
        <w:t xml:space="preserve">/NCBI, </w:t>
      </w:r>
      <w:proofErr w:type="spellStart"/>
      <w:r w:rsidR="00182B6F" w:rsidRPr="00A65B69">
        <w:rPr>
          <w:i/>
          <w:iCs/>
          <w:color w:val="000000" w:themeColor="text1"/>
          <w:sz w:val="23"/>
          <w:szCs w:val="23"/>
          <w:lang w:val="pt-BR"/>
        </w:rPr>
        <w:t>Institute</w:t>
      </w:r>
      <w:proofErr w:type="spellEnd"/>
      <w:r w:rsidR="00182B6F" w:rsidRPr="00A65B69">
        <w:rPr>
          <w:i/>
          <w:iCs/>
          <w:color w:val="000000" w:themeColor="text1"/>
          <w:sz w:val="23"/>
          <w:szCs w:val="23"/>
          <w:lang w:val="pt-BR"/>
        </w:rPr>
        <w:t xml:space="preserve"> for </w:t>
      </w:r>
      <w:proofErr w:type="spellStart"/>
      <w:r w:rsidR="00182B6F" w:rsidRPr="00A65B69">
        <w:rPr>
          <w:i/>
          <w:iCs/>
          <w:color w:val="000000" w:themeColor="text1"/>
          <w:sz w:val="23"/>
          <w:szCs w:val="23"/>
          <w:lang w:val="pt-BR"/>
        </w:rPr>
        <w:t>Scientific</w:t>
      </w:r>
      <w:proofErr w:type="spellEnd"/>
      <w:r w:rsidR="00182B6F" w:rsidRPr="00A65B69">
        <w:rPr>
          <w:i/>
          <w:iCs/>
          <w:color w:val="000000" w:themeColor="text1"/>
          <w:sz w:val="23"/>
          <w:szCs w:val="23"/>
          <w:lang w:val="pt-BR"/>
        </w:rPr>
        <w:t xml:space="preserve"> </w:t>
      </w:r>
      <w:proofErr w:type="spellStart"/>
      <w:r w:rsidR="00182B6F" w:rsidRPr="00A65B69">
        <w:rPr>
          <w:i/>
          <w:iCs/>
          <w:color w:val="000000" w:themeColor="text1"/>
          <w:sz w:val="23"/>
          <w:szCs w:val="23"/>
          <w:lang w:val="pt-BR"/>
        </w:rPr>
        <w:t>Information</w:t>
      </w:r>
      <w:proofErr w:type="spellEnd"/>
      <w:r w:rsidR="00182B6F" w:rsidRPr="00A65B69">
        <w:rPr>
          <w:color w:val="000000" w:themeColor="text1"/>
          <w:sz w:val="23"/>
          <w:szCs w:val="23"/>
          <w:lang w:val="pt-BR"/>
        </w:rPr>
        <w:t xml:space="preserve"> (ISI), SciELO e </w:t>
      </w:r>
      <w:proofErr w:type="spellStart"/>
      <w:r w:rsidR="00182B6F" w:rsidRPr="00A65B69">
        <w:rPr>
          <w:color w:val="000000" w:themeColor="text1"/>
          <w:sz w:val="23"/>
          <w:szCs w:val="23"/>
          <w:lang w:val="pt-BR"/>
        </w:rPr>
        <w:t>SPORTDiscus</w:t>
      </w:r>
      <w:proofErr w:type="spellEnd"/>
      <w:r w:rsidR="00182B6F" w:rsidRPr="00A65B69">
        <w:rPr>
          <w:color w:val="000000" w:themeColor="text1"/>
          <w:sz w:val="23"/>
          <w:szCs w:val="23"/>
          <w:lang w:val="pt-BR"/>
        </w:rPr>
        <w:t xml:space="preserve"> via </w:t>
      </w:r>
      <w:proofErr w:type="spellStart"/>
      <w:r w:rsidR="00182B6F" w:rsidRPr="00A65B69">
        <w:rPr>
          <w:color w:val="000000" w:themeColor="text1"/>
          <w:sz w:val="23"/>
          <w:szCs w:val="23"/>
          <w:lang w:val="pt-BR"/>
        </w:rPr>
        <w:t>EBSCOhost</w:t>
      </w:r>
      <w:proofErr w:type="spellEnd"/>
      <w:r w:rsidR="00182B6F" w:rsidRPr="00A65B69">
        <w:rPr>
          <w:color w:val="000000" w:themeColor="text1"/>
          <w:sz w:val="23"/>
          <w:szCs w:val="23"/>
          <w:lang w:val="pt-BR"/>
        </w:rPr>
        <w:t xml:space="preserve">. Pesquisas adicionais serão feitas no Google Scholar quando o texto completo não estiver disponível nas bases acima mencionadas, permitindo que artigos sejam encontrados também no </w:t>
      </w:r>
      <w:proofErr w:type="spellStart"/>
      <w:r w:rsidR="00182B6F" w:rsidRPr="00A65B69">
        <w:rPr>
          <w:color w:val="000000" w:themeColor="text1"/>
          <w:sz w:val="23"/>
          <w:szCs w:val="23"/>
          <w:lang w:val="pt-BR"/>
        </w:rPr>
        <w:t>ResearchGateTM</w:t>
      </w:r>
      <w:proofErr w:type="spellEnd"/>
      <w:r w:rsidR="00182B6F" w:rsidRPr="00A65B69">
        <w:rPr>
          <w:color w:val="000000" w:themeColor="text1"/>
          <w:sz w:val="23"/>
          <w:szCs w:val="23"/>
          <w:lang w:val="pt-BR"/>
        </w:rPr>
        <w:t xml:space="preserve">. Para ser incluído nesta revisão, o artigo deverá ser encontrado por meio da </w:t>
      </w:r>
      <w:proofErr w:type="spellStart"/>
      <w:r w:rsidR="00182B6F" w:rsidRPr="00A65B69">
        <w:rPr>
          <w:i/>
          <w:iCs/>
          <w:color w:val="000000" w:themeColor="text1"/>
          <w:sz w:val="23"/>
          <w:szCs w:val="23"/>
          <w:lang w:val="pt-BR"/>
        </w:rPr>
        <w:t>String</w:t>
      </w:r>
      <w:proofErr w:type="spellEnd"/>
      <w:r w:rsidR="00182B6F" w:rsidRPr="00A65B69">
        <w:rPr>
          <w:color w:val="000000" w:themeColor="text1"/>
          <w:sz w:val="23"/>
          <w:szCs w:val="23"/>
          <w:lang w:val="pt-BR"/>
        </w:rPr>
        <w:t xml:space="preserve"> de busca apresentada n</w:t>
      </w:r>
      <w:r w:rsidR="00976F52" w:rsidRPr="00A65B69">
        <w:rPr>
          <w:color w:val="000000" w:themeColor="text1"/>
          <w:sz w:val="23"/>
          <w:szCs w:val="23"/>
          <w:lang w:val="pt-BR"/>
        </w:rPr>
        <w:t>a</w:t>
      </w:r>
      <w:r w:rsidR="00182B6F" w:rsidRPr="00A65B69">
        <w:rPr>
          <w:color w:val="000000" w:themeColor="text1"/>
          <w:sz w:val="23"/>
          <w:szCs w:val="23"/>
          <w:lang w:val="pt-BR"/>
        </w:rPr>
        <w:t xml:space="preserve"> Tabela </w:t>
      </w:r>
      <w:r w:rsidR="00915E04" w:rsidRPr="00A65B69">
        <w:rPr>
          <w:color w:val="000000" w:themeColor="text1"/>
          <w:sz w:val="23"/>
          <w:szCs w:val="23"/>
          <w:lang w:val="pt-BR"/>
        </w:rPr>
        <w:t>1</w:t>
      </w:r>
      <w:r w:rsidR="00182B6F" w:rsidRPr="00A65B69">
        <w:rPr>
          <w:color w:val="000000" w:themeColor="text1"/>
          <w:sz w:val="23"/>
          <w:szCs w:val="23"/>
          <w:lang w:val="pt-BR"/>
        </w:rPr>
        <w:t>, a qual utilizará a estratégia PICO</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{"citationItems":[{"id":"ITEM-1","itemData":{"DOI":"10.1136/adc.2005.071761","ISSN":"00039888","PMID":"16040884","abstract":"Health care professionals are increasingly required to base clinical decisions on the best available evidence. Evidence based medicine (EBM) is a systematic approach to clinical problem solving which allows the integration of the best available research evidence with clinical expertise and patient values. This paper explains the concept of EBM and introduces the five step EBM model: formulation of answerable clinical questions; searching for evidence; critical appraisal; applicability of evidence; evaluation of performance. Subsequent articles will focus on the principles and critical appraisal of randomised controlled trials, systematic reviews, and meta-analyses, and provide a practical demonstration of the five step EBM model using a real life clinical scenario.","author":[{"dropping-particle":"","family":"Akobeng","given":"A. K.","non-dropping-particle":"","parse-names":false,"suffix":""}],"container-title":"Archives of Disease in Childhood","id":"ITEM-1","issue":"8","issued":{"date-parts":[["2005"]]},"page":"837-840","title":"Principles of evidence based medicine","type":"article-journal","volume":"90"},"uris":["http://www.mendeley.com/documents/?uuid=c793dc0f-af1e-4500-9127-9144767d4372"]}],"mendeley":{"formattedCitation":"(AKOBENG, 2005)","plainTextFormattedCitation":"(AKOBENG, 2005)","previouslyFormattedCitation":"(AKOBENG, 2005)"},"properties":{"noteIndex":0},"schema":"https://github.com/citation-style-language/schema/raw/master/csl-citation.json"}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(AKOBENG, 2005)</w:t>
      </w:r>
      <w:r w:rsidR="00301869" w:rsidRPr="00A65B69">
        <w:rPr>
          <w:color w:val="000000" w:themeColor="text1"/>
          <w:sz w:val="23"/>
          <w:szCs w:val="23"/>
          <w:lang w:val="pt-BR"/>
        </w:rPr>
        <w:fldChar w:fldCharType="end"/>
      </w:r>
      <w:r w:rsidR="00301869" w:rsidRPr="00A65B69">
        <w:rPr>
          <w:color w:val="000000" w:themeColor="text1"/>
          <w:sz w:val="23"/>
          <w:szCs w:val="23"/>
          <w:lang w:val="pt-BR"/>
        </w:rPr>
        <w:t>.</w:t>
      </w:r>
      <w:r w:rsidR="002D22AB" w:rsidRPr="00A65B69">
        <w:rPr>
          <w:color w:val="000000" w:themeColor="text1"/>
          <w:sz w:val="23"/>
          <w:szCs w:val="23"/>
          <w:lang w:val="pt-BR"/>
        </w:rPr>
        <w:t xml:space="preserve"> Ainda, serão critérios de inclusão: (1) </w:t>
      </w:r>
      <w:r w:rsidR="00532D0B" w:rsidRPr="00A65B69">
        <w:rPr>
          <w:color w:val="000000" w:themeColor="text1"/>
          <w:sz w:val="23"/>
          <w:szCs w:val="23"/>
          <w:lang w:val="pt-BR"/>
        </w:rPr>
        <w:t xml:space="preserve">artigos originais publicados em </w:t>
      </w:r>
      <w:r w:rsidR="00346C64" w:rsidRPr="00A65B69">
        <w:rPr>
          <w:color w:val="000000" w:themeColor="text1"/>
          <w:sz w:val="23"/>
          <w:szCs w:val="23"/>
          <w:lang w:val="pt-BR"/>
        </w:rPr>
        <w:t>língua</w:t>
      </w:r>
      <w:r w:rsidR="00532D0B" w:rsidRPr="00A65B69">
        <w:rPr>
          <w:color w:val="000000" w:themeColor="text1"/>
          <w:sz w:val="23"/>
          <w:szCs w:val="23"/>
          <w:lang w:val="pt-BR"/>
        </w:rPr>
        <w:t xml:space="preserve"> inglesa</w:t>
      </w:r>
      <w:r w:rsidR="002D22AB" w:rsidRPr="00A65B69">
        <w:rPr>
          <w:color w:val="000000" w:themeColor="text1"/>
          <w:sz w:val="23"/>
          <w:szCs w:val="23"/>
          <w:lang w:val="pt-BR"/>
        </w:rPr>
        <w:t xml:space="preserve">, (2) </w:t>
      </w:r>
      <w:r w:rsidR="00924BC7" w:rsidRPr="00A65B69">
        <w:rPr>
          <w:color w:val="000000" w:themeColor="text1"/>
          <w:sz w:val="23"/>
          <w:szCs w:val="23"/>
          <w:lang w:val="pt-BR"/>
        </w:rPr>
        <w:t>resumo disponível</w:t>
      </w:r>
      <w:r w:rsidR="002D22AB" w:rsidRPr="00A65B69">
        <w:rPr>
          <w:color w:val="000000" w:themeColor="text1"/>
          <w:sz w:val="23"/>
          <w:szCs w:val="23"/>
          <w:lang w:val="pt-BR"/>
        </w:rPr>
        <w:t xml:space="preserve">, (3) </w:t>
      </w:r>
      <w:r w:rsidR="00924BC7" w:rsidRPr="00A65B69">
        <w:rPr>
          <w:color w:val="000000" w:themeColor="text1"/>
          <w:sz w:val="23"/>
          <w:szCs w:val="23"/>
          <w:lang w:val="pt-BR"/>
        </w:rPr>
        <w:t>participantes diagnosticados com DP</w:t>
      </w:r>
      <w:r w:rsidR="002D22AB" w:rsidRPr="00A65B69">
        <w:rPr>
          <w:color w:val="000000" w:themeColor="text1"/>
          <w:sz w:val="23"/>
          <w:szCs w:val="23"/>
          <w:lang w:val="pt-BR"/>
        </w:rPr>
        <w:t xml:space="preserve"> (</w:t>
      </w:r>
      <w:r w:rsidR="00924BC7" w:rsidRPr="00A65B69">
        <w:rPr>
          <w:color w:val="000000" w:themeColor="text1"/>
          <w:sz w:val="23"/>
          <w:szCs w:val="23"/>
          <w:lang w:val="pt-BR"/>
        </w:rPr>
        <w:t>feminino</w:t>
      </w:r>
      <w:r w:rsidR="002D22AB" w:rsidRPr="00A65B69">
        <w:rPr>
          <w:color w:val="000000" w:themeColor="text1"/>
          <w:sz w:val="23"/>
          <w:szCs w:val="23"/>
          <w:lang w:val="pt-BR"/>
        </w:rPr>
        <w:t xml:space="preserve"> </w:t>
      </w:r>
      <w:r w:rsidR="00924BC7" w:rsidRPr="00A65B69">
        <w:rPr>
          <w:color w:val="000000" w:themeColor="text1"/>
          <w:sz w:val="23"/>
          <w:szCs w:val="23"/>
          <w:lang w:val="pt-BR"/>
        </w:rPr>
        <w:t>ou</w:t>
      </w:r>
      <w:r w:rsidR="002D22AB" w:rsidRPr="00A65B69">
        <w:rPr>
          <w:color w:val="000000" w:themeColor="text1"/>
          <w:sz w:val="23"/>
          <w:szCs w:val="23"/>
          <w:lang w:val="pt-BR"/>
        </w:rPr>
        <w:t xml:space="preserve"> </w:t>
      </w:r>
      <w:r w:rsidR="00924BC7" w:rsidRPr="00A65B69">
        <w:rPr>
          <w:color w:val="000000" w:themeColor="text1"/>
          <w:sz w:val="23"/>
          <w:szCs w:val="23"/>
          <w:lang w:val="pt-BR"/>
        </w:rPr>
        <w:t>masculino</w:t>
      </w:r>
      <w:r w:rsidR="002D22AB" w:rsidRPr="00A65B69">
        <w:rPr>
          <w:color w:val="000000" w:themeColor="text1"/>
          <w:sz w:val="23"/>
          <w:szCs w:val="23"/>
          <w:lang w:val="pt-BR"/>
        </w:rPr>
        <w:t>)</w:t>
      </w:r>
      <w:r w:rsidR="00B62666" w:rsidRPr="00A65B69">
        <w:rPr>
          <w:color w:val="000000" w:themeColor="text1"/>
          <w:sz w:val="23"/>
          <w:szCs w:val="23"/>
          <w:lang w:val="pt-BR"/>
        </w:rPr>
        <w:t xml:space="preserve"> (4) publicado em revista científica indexada e com política editorial de revisão pelos pares; sem restrições quanto a data de publicação</w:t>
      </w:r>
      <w:r w:rsidR="002D22AB" w:rsidRPr="00A65B69">
        <w:rPr>
          <w:color w:val="000000" w:themeColor="text1"/>
          <w:sz w:val="23"/>
          <w:szCs w:val="23"/>
          <w:lang w:val="pt-BR"/>
        </w:rPr>
        <w:t xml:space="preserve">. </w:t>
      </w:r>
      <w:r w:rsidR="00924BC7" w:rsidRPr="00A65B69">
        <w:rPr>
          <w:color w:val="000000" w:themeColor="text1"/>
          <w:sz w:val="23"/>
          <w:szCs w:val="23"/>
          <w:lang w:val="pt-BR"/>
        </w:rPr>
        <w:t>Os critérios de exclusão abranger</w:t>
      </w:r>
      <w:r w:rsidR="00346C64" w:rsidRPr="00A65B69">
        <w:rPr>
          <w:color w:val="000000" w:themeColor="text1"/>
          <w:sz w:val="23"/>
          <w:szCs w:val="23"/>
          <w:lang w:val="pt-BR"/>
        </w:rPr>
        <w:t>ão</w:t>
      </w:r>
      <w:r w:rsidR="00924BC7" w:rsidRPr="00A65B69">
        <w:rPr>
          <w:color w:val="000000" w:themeColor="text1"/>
          <w:sz w:val="23"/>
          <w:szCs w:val="23"/>
          <w:lang w:val="pt-BR"/>
        </w:rPr>
        <w:t xml:space="preserve"> estudos usando</w:t>
      </w:r>
      <w:r w:rsidR="002D22AB" w:rsidRPr="00A65B69">
        <w:rPr>
          <w:color w:val="000000" w:themeColor="text1"/>
          <w:sz w:val="23"/>
          <w:szCs w:val="23"/>
          <w:lang w:val="pt-BR"/>
        </w:rPr>
        <w:t xml:space="preserve"> (1) </w:t>
      </w:r>
      <w:r w:rsidR="00924BC7" w:rsidRPr="00A65B69">
        <w:rPr>
          <w:color w:val="000000" w:themeColor="text1"/>
          <w:sz w:val="23"/>
          <w:szCs w:val="23"/>
          <w:lang w:val="pt-BR"/>
        </w:rPr>
        <w:t>modelo animal</w:t>
      </w:r>
      <w:r w:rsidR="002D22AB" w:rsidRPr="00A65B69">
        <w:rPr>
          <w:color w:val="000000" w:themeColor="text1"/>
          <w:sz w:val="23"/>
          <w:szCs w:val="23"/>
          <w:lang w:val="pt-BR"/>
        </w:rPr>
        <w:t xml:space="preserve">, </w:t>
      </w:r>
      <w:r w:rsidR="007365A3" w:rsidRPr="00A65B69">
        <w:rPr>
          <w:color w:val="000000" w:themeColor="text1"/>
          <w:sz w:val="23"/>
          <w:szCs w:val="23"/>
          <w:lang w:val="pt-BR"/>
        </w:rPr>
        <w:t xml:space="preserve">e </w:t>
      </w:r>
      <w:r w:rsidR="002D22AB" w:rsidRPr="00A65B69">
        <w:rPr>
          <w:color w:val="000000" w:themeColor="text1"/>
          <w:sz w:val="23"/>
          <w:szCs w:val="23"/>
          <w:lang w:val="pt-BR"/>
        </w:rPr>
        <w:t xml:space="preserve">(2) </w:t>
      </w:r>
      <w:r w:rsidR="00924BC7" w:rsidRPr="00A65B69">
        <w:rPr>
          <w:color w:val="000000" w:themeColor="text1"/>
          <w:sz w:val="23"/>
          <w:szCs w:val="23"/>
          <w:lang w:val="pt-BR"/>
        </w:rPr>
        <w:t>estratégias terapêuticas</w:t>
      </w:r>
      <w:r w:rsidR="002D22AB" w:rsidRPr="00A65B69">
        <w:rPr>
          <w:color w:val="000000" w:themeColor="text1"/>
          <w:sz w:val="23"/>
          <w:szCs w:val="23"/>
          <w:lang w:val="pt-BR"/>
        </w:rPr>
        <w:t xml:space="preserve"> </w:t>
      </w:r>
      <w:r w:rsidR="00924BC7" w:rsidRPr="00A65B69">
        <w:rPr>
          <w:color w:val="000000" w:themeColor="text1"/>
          <w:sz w:val="23"/>
          <w:szCs w:val="23"/>
          <w:lang w:val="pt-BR"/>
        </w:rPr>
        <w:t>que não incluír</w:t>
      </w:r>
      <w:r w:rsidR="00346C64" w:rsidRPr="00A65B69">
        <w:rPr>
          <w:color w:val="000000" w:themeColor="text1"/>
          <w:sz w:val="23"/>
          <w:szCs w:val="23"/>
          <w:lang w:val="pt-BR"/>
        </w:rPr>
        <w:t>e</w:t>
      </w:r>
      <w:r w:rsidR="00924BC7" w:rsidRPr="00A65B69">
        <w:rPr>
          <w:color w:val="000000" w:themeColor="text1"/>
          <w:sz w:val="23"/>
          <w:szCs w:val="23"/>
          <w:lang w:val="pt-BR"/>
        </w:rPr>
        <w:t>m exposição a hipoxia</w:t>
      </w:r>
      <w:r w:rsidR="002D22AB" w:rsidRPr="00A65B69">
        <w:rPr>
          <w:color w:val="000000" w:themeColor="text1"/>
          <w:sz w:val="23"/>
          <w:szCs w:val="23"/>
          <w:lang w:val="pt-BR"/>
        </w:rPr>
        <w:t xml:space="preserve">. </w:t>
      </w:r>
      <w:r w:rsidR="00924BC7" w:rsidRPr="00A65B69">
        <w:rPr>
          <w:color w:val="000000" w:themeColor="text1"/>
          <w:sz w:val="23"/>
          <w:szCs w:val="23"/>
          <w:lang w:val="pt-BR"/>
        </w:rPr>
        <w:t xml:space="preserve">Os artigos sem os descritores citados na Tabela 1 no título, resumo e/ou palavras chaves serão excluídos. </w:t>
      </w:r>
    </w:p>
    <w:p w14:paraId="4B514EE1" w14:textId="4533AACA" w:rsidR="00182B6F" w:rsidRPr="00A65B69" w:rsidRDefault="00182B6F" w:rsidP="00BB3D68">
      <w:pPr>
        <w:pStyle w:val="BodyText"/>
        <w:tabs>
          <w:tab w:val="left" w:pos="284"/>
        </w:tabs>
        <w:spacing w:before="0" w:line="480" w:lineRule="auto"/>
        <w:ind w:left="0" w:right="2"/>
        <w:rPr>
          <w:color w:val="000000" w:themeColor="text1"/>
          <w:sz w:val="23"/>
          <w:szCs w:val="23"/>
          <w:lang w:val="pt-BR"/>
        </w:rPr>
      </w:pPr>
      <w:r w:rsidRPr="00A65B69">
        <w:rPr>
          <w:b/>
          <w:bCs/>
          <w:color w:val="000000" w:themeColor="text1"/>
          <w:sz w:val="23"/>
          <w:szCs w:val="23"/>
          <w:lang w:val="pt-BR"/>
        </w:rPr>
        <w:t xml:space="preserve">Tabela </w:t>
      </w:r>
      <w:r w:rsidR="00915E04" w:rsidRPr="00A65B69">
        <w:rPr>
          <w:b/>
          <w:bCs/>
          <w:color w:val="000000" w:themeColor="text1"/>
          <w:sz w:val="23"/>
          <w:szCs w:val="23"/>
          <w:lang w:val="pt-BR"/>
        </w:rPr>
        <w:t>1</w:t>
      </w:r>
      <w:r w:rsidRPr="00A65B69">
        <w:rPr>
          <w:b/>
          <w:bCs/>
          <w:color w:val="000000" w:themeColor="text1"/>
          <w:sz w:val="23"/>
          <w:szCs w:val="23"/>
          <w:lang w:val="pt-BR"/>
        </w:rPr>
        <w:t xml:space="preserve">. </w:t>
      </w:r>
      <w:proofErr w:type="spellStart"/>
      <w:r w:rsidRPr="00A65B69">
        <w:rPr>
          <w:i/>
          <w:iCs/>
          <w:color w:val="000000" w:themeColor="text1"/>
          <w:sz w:val="23"/>
          <w:szCs w:val="23"/>
          <w:lang w:val="pt-BR"/>
        </w:rPr>
        <w:t>String</w:t>
      </w:r>
      <w:proofErr w:type="spellEnd"/>
      <w:r w:rsidRPr="00A65B69">
        <w:rPr>
          <w:color w:val="000000" w:themeColor="text1"/>
          <w:sz w:val="23"/>
          <w:szCs w:val="23"/>
          <w:lang w:val="pt-BR"/>
        </w:rPr>
        <w:t xml:space="preserve"> de busca que será utilizada para a busca dos artigos nas diferentes bases de dados.</w:t>
      </w:r>
    </w:p>
    <w:tbl>
      <w:tblPr>
        <w:tblStyle w:val="TableGrid"/>
        <w:tblW w:w="0" w:type="auto"/>
        <w:tblLook w:val="04A0" w:firstRow="1" w:lastRow="0" w:firstColumn="1" w:lastColumn="0" w:noHBand="0" w:noVBand="1"/>
      </w:tblPr>
      <w:tblGrid>
        <w:gridCol w:w="415"/>
        <w:gridCol w:w="2117"/>
        <w:gridCol w:w="6814"/>
      </w:tblGrid>
      <w:tr w:rsidR="00EC6E1D" w:rsidRPr="00A65B69" w14:paraId="58017D07" w14:textId="77777777" w:rsidTr="00981264">
        <w:tc>
          <w:tcPr>
            <w:tcW w:w="421" w:type="dxa"/>
          </w:tcPr>
          <w:p w14:paraId="094BE5EF" w14:textId="77777777" w:rsidR="00182B6F" w:rsidRPr="00A65B69" w:rsidRDefault="00182B6F" w:rsidP="00BB3D68">
            <w:pPr>
              <w:pStyle w:val="BodyText"/>
              <w:tabs>
                <w:tab w:val="left" w:pos="284"/>
              </w:tabs>
              <w:spacing w:before="0"/>
              <w:ind w:left="0" w:right="2"/>
              <w:rPr>
                <w:color w:val="000000" w:themeColor="text1"/>
                <w:sz w:val="23"/>
                <w:szCs w:val="23"/>
                <w:lang w:val="pt-BR"/>
              </w:rPr>
            </w:pPr>
          </w:p>
        </w:tc>
        <w:tc>
          <w:tcPr>
            <w:tcW w:w="2268" w:type="dxa"/>
          </w:tcPr>
          <w:p w14:paraId="3FC0AD48"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Objetivo</w:t>
            </w:r>
          </w:p>
        </w:tc>
        <w:tc>
          <w:tcPr>
            <w:tcW w:w="7771" w:type="dxa"/>
          </w:tcPr>
          <w:p w14:paraId="5DC48A7B"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Palavras e sinônimos</w:t>
            </w:r>
          </w:p>
        </w:tc>
      </w:tr>
      <w:tr w:rsidR="00EC6E1D" w:rsidRPr="00A65B69" w14:paraId="1447FC51" w14:textId="77777777" w:rsidTr="00981264">
        <w:tc>
          <w:tcPr>
            <w:tcW w:w="421" w:type="dxa"/>
          </w:tcPr>
          <w:p w14:paraId="4C266868"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P</w:t>
            </w:r>
          </w:p>
        </w:tc>
        <w:tc>
          <w:tcPr>
            <w:tcW w:w="2268" w:type="dxa"/>
          </w:tcPr>
          <w:p w14:paraId="78804913"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População estudada</w:t>
            </w:r>
          </w:p>
        </w:tc>
        <w:tc>
          <w:tcPr>
            <w:tcW w:w="7771" w:type="dxa"/>
          </w:tcPr>
          <w:p w14:paraId="6C80624C"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“Parkinson” ou “</w:t>
            </w:r>
            <w:proofErr w:type="spellStart"/>
            <w:r w:rsidRPr="00A65B69">
              <w:rPr>
                <w:color w:val="000000" w:themeColor="text1"/>
                <w:sz w:val="23"/>
                <w:szCs w:val="23"/>
                <w:lang w:val="pt-BR"/>
              </w:rPr>
              <w:t>Parkinsonism</w:t>
            </w:r>
            <w:proofErr w:type="spellEnd"/>
            <w:r w:rsidRPr="00A65B69">
              <w:rPr>
                <w:color w:val="000000" w:themeColor="text1"/>
                <w:sz w:val="23"/>
                <w:szCs w:val="23"/>
                <w:lang w:val="pt-BR"/>
              </w:rPr>
              <w:t>”</w:t>
            </w:r>
          </w:p>
        </w:tc>
      </w:tr>
      <w:tr w:rsidR="00EC6E1D" w:rsidRPr="00A65B69" w14:paraId="46F4B255" w14:textId="77777777" w:rsidTr="00981264">
        <w:tc>
          <w:tcPr>
            <w:tcW w:w="421" w:type="dxa"/>
          </w:tcPr>
          <w:p w14:paraId="28A768E6"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I</w:t>
            </w:r>
          </w:p>
        </w:tc>
        <w:tc>
          <w:tcPr>
            <w:tcW w:w="2268" w:type="dxa"/>
          </w:tcPr>
          <w:p w14:paraId="396FFF3F"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Intervenção</w:t>
            </w:r>
          </w:p>
        </w:tc>
        <w:tc>
          <w:tcPr>
            <w:tcW w:w="7771" w:type="dxa"/>
          </w:tcPr>
          <w:p w14:paraId="189FD680" w14:textId="7AFBDE0D"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w:t>
            </w:r>
            <w:proofErr w:type="spellStart"/>
            <w:r w:rsidRPr="00A65B69">
              <w:rPr>
                <w:color w:val="000000" w:themeColor="text1"/>
                <w:sz w:val="23"/>
                <w:szCs w:val="23"/>
                <w:lang w:val="pt-BR"/>
              </w:rPr>
              <w:t>hypoxia</w:t>
            </w:r>
            <w:proofErr w:type="spellEnd"/>
            <w:r w:rsidRPr="00A65B69">
              <w:rPr>
                <w:color w:val="000000" w:themeColor="text1"/>
                <w:sz w:val="23"/>
                <w:szCs w:val="23"/>
                <w:lang w:val="pt-BR"/>
              </w:rPr>
              <w:t xml:space="preserve">” ou “mountain” </w:t>
            </w:r>
            <w:r w:rsidR="00077545" w:rsidRPr="00A65B69">
              <w:rPr>
                <w:color w:val="000000" w:themeColor="text1"/>
                <w:sz w:val="23"/>
                <w:szCs w:val="23"/>
                <w:lang w:val="pt-BR"/>
              </w:rPr>
              <w:t>ou “altitude”</w:t>
            </w:r>
          </w:p>
        </w:tc>
      </w:tr>
      <w:tr w:rsidR="00EC6E1D" w:rsidRPr="00A65B69" w14:paraId="3E969D47" w14:textId="77777777" w:rsidTr="00981264">
        <w:tc>
          <w:tcPr>
            <w:tcW w:w="421" w:type="dxa"/>
          </w:tcPr>
          <w:p w14:paraId="346A4BCF"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lastRenderedPageBreak/>
              <w:t>C</w:t>
            </w:r>
          </w:p>
        </w:tc>
        <w:tc>
          <w:tcPr>
            <w:tcW w:w="2268" w:type="dxa"/>
          </w:tcPr>
          <w:p w14:paraId="6CEB115F"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Controle</w:t>
            </w:r>
          </w:p>
        </w:tc>
        <w:tc>
          <w:tcPr>
            <w:tcW w:w="7771" w:type="dxa"/>
          </w:tcPr>
          <w:p w14:paraId="11066D2A" w14:textId="77777777" w:rsidR="00182B6F" w:rsidRPr="00A65B69" w:rsidRDefault="00182B6F" w:rsidP="00BB3D68">
            <w:pPr>
              <w:pStyle w:val="BodyText"/>
              <w:tabs>
                <w:tab w:val="left" w:pos="284"/>
              </w:tabs>
              <w:spacing w:before="0"/>
              <w:ind w:left="0" w:right="2"/>
              <w:rPr>
                <w:color w:val="000000" w:themeColor="text1"/>
                <w:sz w:val="23"/>
                <w:szCs w:val="23"/>
              </w:rPr>
            </w:pPr>
            <w:r w:rsidRPr="00A65B69">
              <w:rPr>
                <w:color w:val="000000" w:themeColor="text1"/>
                <w:sz w:val="23"/>
                <w:szCs w:val="23"/>
              </w:rPr>
              <w:t>“</w:t>
            </w:r>
            <w:proofErr w:type="gramStart"/>
            <w:r w:rsidRPr="00A65B69">
              <w:rPr>
                <w:color w:val="000000" w:themeColor="text1"/>
                <w:sz w:val="23"/>
                <w:szCs w:val="23"/>
              </w:rPr>
              <w:t>older</w:t>
            </w:r>
            <w:proofErr w:type="gramEnd"/>
            <w:r w:rsidRPr="00A65B69">
              <w:rPr>
                <w:color w:val="000000" w:themeColor="text1"/>
                <w:sz w:val="23"/>
                <w:szCs w:val="23"/>
              </w:rPr>
              <w:t xml:space="preserve"> adult” </w:t>
            </w:r>
            <w:proofErr w:type="spellStart"/>
            <w:r w:rsidRPr="00A65B69">
              <w:rPr>
                <w:color w:val="000000" w:themeColor="text1"/>
                <w:sz w:val="23"/>
                <w:szCs w:val="23"/>
              </w:rPr>
              <w:t>ou</w:t>
            </w:r>
            <w:proofErr w:type="spellEnd"/>
            <w:r w:rsidRPr="00A65B69">
              <w:rPr>
                <w:color w:val="000000" w:themeColor="text1"/>
                <w:sz w:val="23"/>
                <w:szCs w:val="23"/>
              </w:rPr>
              <w:t xml:space="preserve"> “healthy older” </w:t>
            </w:r>
            <w:proofErr w:type="spellStart"/>
            <w:r w:rsidRPr="00A65B69">
              <w:rPr>
                <w:color w:val="000000" w:themeColor="text1"/>
                <w:sz w:val="23"/>
                <w:szCs w:val="23"/>
              </w:rPr>
              <w:t>ou</w:t>
            </w:r>
            <w:proofErr w:type="spellEnd"/>
            <w:r w:rsidRPr="00A65B69">
              <w:rPr>
                <w:color w:val="000000" w:themeColor="text1"/>
                <w:sz w:val="23"/>
                <w:szCs w:val="23"/>
              </w:rPr>
              <w:t xml:space="preserve"> “elderly” </w:t>
            </w:r>
            <w:proofErr w:type="spellStart"/>
            <w:r w:rsidRPr="00A65B69">
              <w:rPr>
                <w:color w:val="000000" w:themeColor="text1"/>
                <w:sz w:val="23"/>
                <w:szCs w:val="23"/>
              </w:rPr>
              <w:t>ou</w:t>
            </w:r>
            <w:proofErr w:type="spellEnd"/>
            <w:r w:rsidRPr="00A65B69">
              <w:rPr>
                <w:color w:val="000000" w:themeColor="text1"/>
                <w:sz w:val="23"/>
                <w:szCs w:val="23"/>
              </w:rPr>
              <w:t xml:space="preserve"> “baseline” </w:t>
            </w:r>
            <w:proofErr w:type="spellStart"/>
            <w:r w:rsidRPr="00A65B69">
              <w:rPr>
                <w:color w:val="000000" w:themeColor="text1"/>
                <w:sz w:val="23"/>
                <w:szCs w:val="23"/>
              </w:rPr>
              <w:t>ou</w:t>
            </w:r>
            <w:proofErr w:type="spellEnd"/>
            <w:r w:rsidRPr="00A65B69">
              <w:rPr>
                <w:color w:val="000000" w:themeColor="text1"/>
                <w:sz w:val="23"/>
                <w:szCs w:val="23"/>
              </w:rPr>
              <w:t xml:space="preserve"> “rest”</w:t>
            </w:r>
          </w:p>
        </w:tc>
      </w:tr>
      <w:tr w:rsidR="00811355" w:rsidRPr="00A65B69" w14:paraId="3051147D" w14:textId="77777777" w:rsidTr="00981264">
        <w:tc>
          <w:tcPr>
            <w:tcW w:w="421" w:type="dxa"/>
          </w:tcPr>
          <w:p w14:paraId="331C8F66"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O</w:t>
            </w:r>
          </w:p>
        </w:tc>
        <w:tc>
          <w:tcPr>
            <w:tcW w:w="2268" w:type="dxa"/>
          </w:tcPr>
          <w:p w14:paraId="69B61764"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Resultado</w:t>
            </w:r>
          </w:p>
        </w:tc>
        <w:tc>
          <w:tcPr>
            <w:tcW w:w="7771" w:type="dxa"/>
          </w:tcPr>
          <w:p w14:paraId="09AC4148" w14:textId="77777777" w:rsidR="00182B6F" w:rsidRPr="00A65B69" w:rsidRDefault="00182B6F" w:rsidP="00BB3D68">
            <w:pPr>
              <w:pStyle w:val="BodyText"/>
              <w:tabs>
                <w:tab w:val="left" w:pos="284"/>
              </w:tabs>
              <w:spacing w:before="0"/>
              <w:ind w:left="0" w:right="2"/>
              <w:rPr>
                <w:color w:val="000000" w:themeColor="text1"/>
                <w:sz w:val="23"/>
                <w:szCs w:val="23"/>
                <w:lang w:val="pt-BR"/>
              </w:rPr>
            </w:pPr>
            <w:r w:rsidRPr="00A65B69">
              <w:rPr>
                <w:color w:val="000000" w:themeColor="text1"/>
                <w:sz w:val="23"/>
                <w:szCs w:val="23"/>
                <w:lang w:val="pt-BR"/>
              </w:rPr>
              <w:t>Os diferentes resultados serão concatenados por áreas (e.g., adaptações motoras, adaptações fisiológicas, efeitos sociais etc.)</w:t>
            </w:r>
          </w:p>
        </w:tc>
      </w:tr>
    </w:tbl>
    <w:p w14:paraId="4DC423E0" w14:textId="77777777" w:rsidR="007365A3" w:rsidRPr="00A65B69" w:rsidRDefault="007365A3" w:rsidP="00C5660B">
      <w:pPr>
        <w:pStyle w:val="BodyText"/>
        <w:tabs>
          <w:tab w:val="left" w:pos="284"/>
        </w:tabs>
        <w:spacing w:before="0" w:line="480" w:lineRule="auto"/>
        <w:ind w:left="0" w:right="2"/>
        <w:rPr>
          <w:i/>
          <w:iCs/>
          <w:color w:val="000000" w:themeColor="text1"/>
          <w:sz w:val="23"/>
          <w:szCs w:val="23"/>
          <w:lang w:val="pt-BR"/>
        </w:rPr>
      </w:pPr>
    </w:p>
    <w:p w14:paraId="49F224FF" w14:textId="41889BB1" w:rsidR="002D22AB" w:rsidRPr="00A65B69" w:rsidRDefault="002D22AB" w:rsidP="00C5660B">
      <w:pPr>
        <w:pStyle w:val="BodyText"/>
        <w:tabs>
          <w:tab w:val="left" w:pos="284"/>
        </w:tabs>
        <w:spacing w:before="0" w:line="480" w:lineRule="auto"/>
        <w:ind w:left="0" w:right="2"/>
        <w:rPr>
          <w:i/>
          <w:iCs/>
          <w:color w:val="000000" w:themeColor="text1"/>
          <w:sz w:val="23"/>
          <w:szCs w:val="23"/>
          <w:lang w:val="pt-BR"/>
        </w:rPr>
      </w:pPr>
      <w:r w:rsidRPr="00A65B69">
        <w:rPr>
          <w:i/>
          <w:iCs/>
          <w:color w:val="000000" w:themeColor="text1"/>
          <w:sz w:val="23"/>
          <w:szCs w:val="23"/>
          <w:lang w:val="pt-BR"/>
        </w:rPr>
        <w:t>- Seleção dos artigos, análise do risco de viés e de qualidade e extração dos dados</w:t>
      </w:r>
    </w:p>
    <w:p w14:paraId="5C7C2509" w14:textId="58A10524" w:rsidR="00182B6F" w:rsidRPr="00A65B69" w:rsidRDefault="000F7383"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182B6F" w:rsidRPr="00A65B69">
        <w:rPr>
          <w:color w:val="000000" w:themeColor="text1"/>
          <w:sz w:val="23"/>
          <w:szCs w:val="23"/>
          <w:lang w:val="pt-BR"/>
        </w:rPr>
        <w:t xml:space="preserve">Será utilizado </w:t>
      </w:r>
      <w:r w:rsidR="00481CBB" w:rsidRPr="00A65B69">
        <w:rPr>
          <w:color w:val="000000" w:themeColor="text1"/>
          <w:sz w:val="23"/>
          <w:szCs w:val="23"/>
          <w:lang w:val="pt-BR"/>
        </w:rPr>
        <w:t>o</w:t>
      </w:r>
      <w:r w:rsidR="00182B6F" w:rsidRPr="00A65B69">
        <w:rPr>
          <w:color w:val="000000" w:themeColor="text1"/>
          <w:sz w:val="23"/>
          <w:szCs w:val="23"/>
          <w:lang w:val="pt-BR"/>
        </w:rPr>
        <w:t xml:space="preserve"> software </w:t>
      </w:r>
      <w:r w:rsidR="00481CBB" w:rsidRPr="00A65B69">
        <w:rPr>
          <w:color w:val="000000" w:themeColor="text1"/>
          <w:sz w:val="23"/>
          <w:szCs w:val="23"/>
          <w:lang w:val="pt-BR"/>
        </w:rPr>
        <w:t>(</w:t>
      </w:r>
      <w:proofErr w:type="spellStart"/>
      <w:r w:rsidR="00481CBB" w:rsidRPr="00A65B69">
        <w:rPr>
          <w:color w:val="000000" w:themeColor="text1"/>
          <w:sz w:val="23"/>
          <w:szCs w:val="23"/>
          <w:lang w:val="pt-BR"/>
        </w:rPr>
        <w:t>EndNote</w:t>
      </w:r>
      <w:proofErr w:type="spellEnd"/>
      <w:r w:rsidR="00481CBB" w:rsidRPr="00A65B69">
        <w:rPr>
          <w:color w:val="000000" w:themeColor="text1"/>
          <w:sz w:val="23"/>
          <w:szCs w:val="23"/>
          <w:lang w:val="pt-BR"/>
        </w:rPr>
        <w:t xml:space="preserve"> X7, Thomson Reuters©, NY, EUA),</w:t>
      </w:r>
      <w:r w:rsidR="00182B6F" w:rsidRPr="00A65B69">
        <w:rPr>
          <w:color w:val="000000" w:themeColor="text1"/>
          <w:sz w:val="23"/>
          <w:szCs w:val="23"/>
          <w:lang w:val="pt-BR"/>
        </w:rPr>
        <w:t xml:space="preserve"> para gerenciar os registros encontrados e posteriormente</w:t>
      </w:r>
      <w:r w:rsidR="00346C64" w:rsidRPr="00A65B69">
        <w:rPr>
          <w:color w:val="000000" w:themeColor="text1"/>
          <w:sz w:val="23"/>
          <w:szCs w:val="23"/>
          <w:lang w:val="pt-BR"/>
        </w:rPr>
        <w:t>,</w:t>
      </w:r>
      <w:r w:rsidR="00182B6F" w:rsidRPr="00A65B69">
        <w:rPr>
          <w:color w:val="000000" w:themeColor="text1"/>
          <w:sz w:val="23"/>
          <w:szCs w:val="23"/>
          <w:lang w:val="pt-BR"/>
        </w:rPr>
        <w:t xml:space="preserve"> eliminar as duplicatas</w:t>
      </w:r>
      <w:r w:rsidR="00481CBB" w:rsidRPr="00A65B69">
        <w:rPr>
          <w:color w:val="000000" w:themeColor="text1"/>
          <w:sz w:val="23"/>
          <w:szCs w:val="23"/>
          <w:lang w:val="pt-BR"/>
        </w:rPr>
        <w:t>.</w:t>
      </w:r>
      <w:r w:rsidR="00182B6F" w:rsidRPr="00A65B69">
        <w:rPr>
          <w:color w:val="000000" w:themeColor="text1"/>
          <w:sz w:val="23"/>
          <w:szCs w:val="23"/>
          <w:lang w:val="pt-BR"/>
        </w:rPr>
        <w:t xml:space="preserve"> No primeiro estágio de triagem, o título, resumo e palavras-chave serão examinados de forma independente por dois pesquisadores, de acordo com os critérios de inclusão e exclusão. Será feito um guia com exemplos para cada um dos avaliadores, a fim de melhorar a confiabilidade</w:t>
      </w:r>
      <w:r w:rsidR="00481CBB" w:rsidRPr="00A65B69">
        <w:rPr>
          <w:color w:val="000000" w:themeColor="text1"/>
          <w:sz w:val="23"/>
          <w:szCs w:val="23"/>
          <w:lang w:val="pt-BR"/>
        </w:rPr>
        <w:t xml:space="preserve">. </w:t>
      </w:r>
      <w:r w:rsidR="00182B6F" w:rsidRPr="00A65B69">
        <w:rPr>
          <w:color w:val="000000" w:themeColor="text1"/>
          <w:sz w:val="23"/>
          <w:szCs w:val="23"/>
          <w:lang w:val="pt-BR"/>
        </w:rPr>
        <w:t xml:space="preserve">Quando houver discrepância entre as análises dos dois revisores, um pesquisador sênior será questionado. O risco de viés será determinado </w:t>
      </w:r>
      <w:r w:rsidR="00481CBB" w:rsidRPr="00A65B69">
        <w:rPr>
          <w:color w:val="000000" w:themeColor="text1"/>
          <w:sz w:val="23"/>
          <w:szCs w:val="23"/>
          <w:lang w:val="pt-BR"/>
        </w:rPr>
        <w:t>através</w:t>
      </w:r>
      <w:r w:rsidR="00182B6F" w:rsidRPr="00A65B69">
        <w:rPr>
          <w:color w:val="000000" w:themeColor="text1"/>
          <w:sz w:val="23"/>
          <w:szCs w:val="23"/>
          <w:lang w:val="pt-BR"/>
        </w:rPr>
        <w:t xml:space="preserve"> da escala </w:t>
      </w:r>
      <w:r w:rsidR="00182B6F" w:rsidRPr="00A65B69">
        <w:rPr>
          <w:i/>
          <w:color w:val="000000" w:themeColor="text1"/>
          <w:sz w:val="23"/>
          <w:szCs w:val="23"/>
          <w:lang w:val="pt-BR"/>
        </w:rPr>
        <w:t>Cochrane</w:t>
      </w:r>
      <w:r w:rsidR="00182B6F" w:rsidRPr="00A65B69">
        <w:rPr>
          <w:color w:val="000000" w:themeColor="text1"/>
          <w:sz w:val="23"/>
          <w:szCs w:val="23"/>
          <w:lang w:val="pt-BR"/>
        </w:rPr>
        <w:t xml:space="preserve"> para revisões sistemáticas e meta-análises</w:t>
      </w:r>
      <w:r w:rsidR="00A112DE"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FF4342" w:rsidRPr="00A65B69">
        <w:rPr>
          <w:color w:val="000000" w:themeColor="text1"/>
          <w:sz w:val="23"/>
          <w:szCs w:val="23"/>
          <w:lang w:val="pt-BR"/>
        </w:rPr>
        <w:instrText>ADDIN CSL_CITATION {"citationItems":[{"id":"ITEM-1","itemData":{"DOI":"10.1186/1471-2288-8-22","ISSN":"14712288","PMID":"18426565","abstract":"Background. Assessing the risk of bias in individual studies in a systematic review can be done using individual components or by summarizing the study quality in an overall score. Methods. We examined the instructions to authors of the 50 Cochrane Review Groups that focus on clinical interventions for recommendations on methodological quality assessment of studies. Results. Forty-one of the review groups (82%) recommended quality assessment using components and nine using a scale. All groups recommending components recommended to assess concealment of allocation, compared to only two of the groups recommending scales (P &lt; 0.0001). Thirty-five groups (70%) recommended assessment of sequence generation and 21 groups (42%) recommended assessment of intention-to-treat analysis. Only 28 groups (56%) had specific recommendations for using the quality assessment of studies analytically in reviews, with sensitivity analysis, quality as an inclusion threshold and subgroup analysis being the most commonly recommended methods. The scales recommended had problems in the individual items and some of the groups recommending components recommended items not related to bias in their quality assessment. Conclusion. We found that recommendations by some groups were not based on empirical evidence and many groups had no recommendations on how to use the quality assessment in reviews. We suggest that all Cochrane Review Groups refer to the Cochrane Handbook for Systematic Reviews of Interventions, which is evidence-based, in their instructions to authors and that their own guidelines are kept to a minimum and describe only how methodological topics that are specific to their fields should be handled. © 2008 Lundh and Gøtzsche; licensee BioMed Central Ltd.","author":[{"dropping-particle":"","family":"Lundh","given":"Andreas","non-dropping-particle":"","parse-names":false,"suffix":""},{"dropping-particle":"","family":"Gøtzsche","given":"Peter C.","non-dropping-particle":"","parse-names":false,"suffix":""}],"container-title":"BMC Medical Research Methodology","id":"ITEM-1","issued":{"date-parts":[["2008"]]},"page":"1-9","title":"Recommendations by Cochrane Review Groups for assessment of the risk of bias in studies","type":"article-journal","volume":"8"},"uris":["http://www.mendeley.com/documents/?uuid=11913252-f1fd-4962-aa27-92a8d8970acb"]}],"mendeley":{"formattedCitation":"(LUNDH; GØTZSCHE, 2008)","manualFormatting":"(LUNDH et al., 2008)","plainTextFormattedCitation":"(LUNDH; GØTZSCHE, 2008)","previouslyFormattedCitation":"(LUNDH; GØTZSCHE, 2008)"},"properties":{"noteIndex":0},"schema":"https://github.com/citation-style-language/schema/raw/master/csl-citation.json"}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(LUNDH</w:t>
      </w:r>
      <w:r w:rsidR="00610715" w:rsidRPr="00A65B69">
        <w:rPr>
          <w:noProof/>
          <w:color w:val="000000" w:themeColor="text1"/>
          <w:sz w:val="23"/>
          <w:szCs w:val="23"/>
          <w:lang w:val="pt-BR"/>
        </w:rPr>
        <w:t xml:space="preserve"> et al., </w:t>
      </w:r>
      <w:r w:rsidR="00301869" w:rsidRPr="00A65B69">
        <w:rPr>
          <w:noProof/>
          <w:color w:val="000000" w:themeColor="text1"/>
          <w:sz w:val="23"/>
          <w:szCs w:val="23"/>
          <w:lang w:val="pt-BR"/>
        </w:rPr>
        <w:t>2008)</w:t>
      </w:r>
      <w:r w:rsidR="00301869" w:rsidRPr="00A65B69">
        <w:rPr>
          <w:color w:val="000000" w:themeColor="text1"/>
          <w:sz w:val="23"/>
          <w:szCs w:val="23"/>
          <w:lang w:val="pt-BR"/>
        </w:rPr>
        <w:fldChar w:fldCharType="end"/>
      </w:r>
      <w:r w:rsidR="00182B6F" w:rsidRPr="00A65B69">
        <w:rPr>
          <w:color w:val="000000" w:themeColor="text1"/>
          <w:sz w:val="23"/>
          <w:szCs w:val="23"/>
          <w:lang w:val="pt-BR"/>
        </w:rPr>
        <w:t>.</w:t>
      </w:r>
    </w:p>
    <w:p w14:paraId="501BF5D2" w14:textId="2D481B6F" w:rsidR="006C43F7" w:rsidRPr="00A65B69" w:rsidRDefault="000F7383"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182B6F" w:rsidRPr="00A65B69">
        <w:rPr>
          <w:color w:val="000000" w:themeColor="text1"/>
          <w:sz w:val="23"/>
          <w:szCs w:val="23"/>
          <w:lang w:val="pt-BR"/>
        </w:rPr>
        <w:t>Após examinar o texto completo dos artigos incluídos, um pesquisador realizará a extração dos dados seguindo um roteiro estruturado, que incluirá a descrição dos seguintes itens: características da amostra (e.g., idade, sexo, tempo de diagnóstico, nível de comprometimento), procedimentos experimentais (e.g., altitude aplicada, estratégia utilizada para a exposição, duração da sessão ou duração da exposição) e as principais variáveis mensuradas (e.g., padrão da marcha, equilíbrio, capacidade cognitiva, parâmetros psicológicos, fadiga</w:t>
      </w:r>
      <w:r w:rsidR="00FB70B2" w:rsidRPr="00A65B69">
        <w:rPr>
          <w:color w:val="000000" w:themeColor="text1"/>
          <w:sz w:val="23"/>
          <w:szCs w:val="23"/>
          <w:lang w:val="pt-BR"/>
        </w:rPr>
        <w:t>,</w:t>
      </w:r>
      <w:r w:rsidR="00182B6F" w:rsidRPr="00A65B69">
        <w:rPr>
          <w:color w:val="000000" w:themeColor="text1"/>
          <w:sz w:val="23"/>
          <w:szCs w:val="23"/>
          <w:lang w:val="pt-BR"/>
        </w:rPr>
        <w:t xml:space="preserve"> </w:t>
      </w:r>
      <w:proofErr w:type="spellStart"/>
      <w:r w:rsidR="00182B6F" w:rsidRPr="00A65B69">
        <w:rPr>
          <w:color w:val="000000" w:themeColor="text1"/>
          <w:sz w:val="23"/>
          <w:szCs w:val="23"/>
          <w:lang w:val="pt-BR"/>
        </w:rPr>
        <w:t>etc</w:t>
      </w:r>
      <w:proofErr w:type="spellEnd"/>
      <w:r w:rsidR="00182B6F" w:rsidRPr="00A65B69">
        <w:rPr>
          <w:color w:val="000000" w:themeColor="text1"/>
          <w:sz w:val="23"/>
          <w:szCs w:val="23"/>
          <w:lang w:val="pt-BR"/>
        </w:rPr>
        <w:t>). Um segundo examinador fará a conferência, para assegurar que a extração foi realizada corretamente.</w:t>
      </w:r>
    </w:p>
    <w:p w14:paraId="1D7BDCCF" w14:textId="7DB007E9" w:rsidR="004616AD" w:rsidRPr="00A65B69" w:rsidRDefault="004616AD" w:rsidP="00BB3D68">
      <w:pPr>
        <w:pStyle w:val="BodyText"/>
        <w:tabs>
          <w:tab w:val="left" w:pos="284"/>
        </w:tabs>
        <w:spacing w:before="0" w:line="480" w:lineRule="auto"/>
        <w:ind w:left="0" w:right="2"/>
        <w:rPr>
          <w:b/>
          <w:bCs/>
          <w:color w:val="000000" w:themeColor="text1"/>
          <w:sz w:val="23"/>
          <w:szCs w:val="23"/>
          <w:lang w:val="pt-BR"/>
        </w:rPr>
      </w:pPr>
      <w:r w:rsidRPr="00A65B69">
        <w:rPr>
          <w:b/>
          <w:bCs/>
          <w:color w:val="000000" w:themeColor="text1"/>
          <w:sz w:val="23"/>
          <w:szCs w:val="23"/>
          <w:lang w:val="pt-BR"/>
        </w:rPr>
        <w:t xml:space="preserve">4.2. Estudo 2: </w:t>
      </w:r>
      <w:r w:rsidR="00915E04" w:rsidRPr="00A65B69">
        <w:rPr>
          <w:b/>
          <w:bCs/>
          <w:color w:val="000000" w:themeColor="text1"/>
          <w:sz w:val="23"/>
          <w:szCs w:val="23"/>
          <w:lang w:val="pt-BR"/>
        </w:rPr>
        <w:t xml:space="preserve">Efeito agudo da hipóxia intermitente na marcha, </w:t>
      </w:r>
      <w:r w:rsidR="007E778C" w:rsidRPr="00A65B69">
        <w:rPr>
          <w:b/>
          <w:bCs/>
          <w:color w:val="000000" w:themeColor="text1"/>
          <w:sz w:val="23"/>
          <w:szCs w:val="23"/>
          <w:lang w:val="pt-BR"/>
        </w:rPr>
        <w:t xml:space="preserve">na </w:t>
      </w:r>
      <w:r w:rsidR="00915E04" w:rsidRPr="00A65B69">
        <w:rPr>
          <w:b/>
          <w:bCs/>
          <w:color w:val="000000" w:themeColor="text1"/>
          <w:sz w:val="23"/>
          <w:szCs w:val="23"/>
          <w:lang w:val="pt-BR"/>
        </w:rPr>
        <w:t>qualidade do sono e nos biomarcadores sanguíneos em p</w:t>
      </w:r>
      <w:r w:rsidR="007E778C" w:rsidRPr="00A65B69">
        <w:rPr>
          <w:b/>
          <w:bCs/>
          <w:color w:val="000000" w:themeColor="text1"/>
          <w:sz w:val="23"/>
          <w:szCs w:val="23"/>
          <w:lang w:val="pt-BR"/>
        </w:rPr>
        <w:t>essoas</w:t>
      </w:r>
      <w:r w:rsidR="00915E04" w:rsidRPr="00A65B69">
        <w:rPr>
          <w:b/>
          <w:bCs/>
          <w:color w:val="000000" w:themeColor="text1"/>
          <w:sz w:val="23"/>
          <w:szCs w:val="23"/>
          <w:lang w:val="pt-BR"/>
        </w:rPr>
        <w:t xml:space="preserve"> com doença de Parkinson</w:t>
      </w:r>
      <w:r w:rsidR="0056731F" w:rsidRPr="00A65B69">
        <w:rPr>
          <w:b/>
          <w:bCs/>
          <w:color w:val="000000" w:themeColor="text1"/>
          <w:sz w:val="23"/>
          <w:szCs w:val="23"/>
          <w:lang w:val="pt-BR"/>
        </w:rPr>
        <w:t xml:space="preserve">: um estudo </w:t>
      </w:r>
      <w:r w:rsidR="004C48A7" w:rsidRPr="00A65B69">
        <w:rPr>
          <w:b/>
          <w:bCs/>
          <w:color w:val="000000" w:themeColor="text1"/>
          <w:sz w:val="23"/>
          <w:szCs w:val="23"/>
          <w:lang w:val="pt-BR"/>
        </w:rPr>
        <w:t>randomizado, duplo-cego</w:t>
      </w:r>
      <w:r w:rsidR="00685737" w:rsidRPr="00A65B69">
        <w:rPr>
          <w:b/>
          <w:bCs/>
          <w:color w:val="000000" w:themeColor="text1"/>
          <w:sz w:val="23"/>
          <w:szCs w:val="23"/>
          <w:lang w:val="pt-BR"/>
        </w:rPr>
        <w:t>,</w:t>
      </w:r>
      <w:r w:rsidR="004C48A7" w:rsidRPr="00A65B69">
        <w:rPr>
          <w:b/>
          <w:bCs/>
          <w:color w:val="000000" w:themeColor="text1"/>
          <w:sz w:val="23"/>
          <w:szCs w:val="23"/>
          <w:lang w:val="pt-BR"/>
        </w:rPr>
        <w:t xml:space="preserve"> </w:t>
      </w:r>
      <w:r w:rsidR="0056731F" w:rsidRPr="00A65B69">
        <w:rPr>
          <w:b/>
          <w:bCs/>
          <w:color w:val="000000" w:themeColor="text1"/>
          <w:sz w:val="23"/>
          <w:szCs w:val="23"/>
          <w:lang w:val="pt-BR"/>
        </w:rPr>
        <w:t>controlado</w:t>
      </w:r>
      <w:r w:rsidR="00685737" w:rsidRPr="00A65B69">
        <w:rPr>
          <w:b/>
          <w:bCs/>
          <w:color w:val="000000" w:themeColor="text1"/>
          <w:sz w:val="23"/>
          <w:szCs w:val="23"/>
          <w:lang w:val="pt-BR"/>
        </w:rPr>
        <w:t xml:space="preserve"> por placebo, </w:t>
      </w:r>
      <w:r w:rsidR="006C43F7" w:rsidRPr="00A65B69">
        <w:rPr>
          <w:b/>
          <w:bCs/>
          <w:color w:val="000000" w:themeColor="text1"/>
          <w:sz w:val="23"/>
          <w:szCs w:val="23"/>
          <w:lang w:val="pt-BR"/>
        </w:rPr>
        <w:t xml:space="preserve">crossover e </w:t>
      </w:r>
      <w:r w:rsidR="0056731F" w:rsidRPr="00A65B69">
        <w:rPr>
          <w:b/>
          <w:bCs/>
          <w:color w:val="000000" w:themeColor="text1"/>
          <w:sz w:val="23"/>
          <w:szCs w:val="23"/>
          <w:lang w:val="pt-BR"/>
        </w:rPr>
        <w:t>contrabalanceado</w:t>
      </w:r>
      <w:r w:rsidR="006C43F7" w:rsidRPr="00A65B69">
        <w:rPr>
          <w:b/>
          <w:bCs/>
          <w:color w:val="000000" w:themeColor="text1"/>
          <w:sz w:val="23"/>
          <w:szCs w:val="23"/>
          <w:lang w:val="pt-BR"/>
        </w:rPr>
        <w:t>.</w:t>
      </w:r>
    </w:p>
    <w:p w14:paraId="77866292" w14:textId="77777777" w:rsidR="006C43F7" w:rsidRPr="00A65B69" w:rsidRDefault="006C43F7" w:rsidP="00BB3D68">
      <w:pPr>
        <w:pStyle w:val="BodyText"/>
        <w:tabs>
          <w:tab w:val="left" w:pos="284"/>
        </w:tabs>
        <w:spacing w:before="0" w:line="480" w:lineRule="auto"/>
        <w:ind w:left="0" w:right="2"/>
        <w:rPr>
          <w:b/>
          <w:bCs/>
          <w:color w:val="000000" w:themeColor="text1"/>
          <w:sz w:val="23"/>
          <w:szCs w:val="23"/>
          <w:lang w:val="pt-BR"/>
        </w:rPr>
      </w:pPr>
    </w:p>
    <w:p w14:paraId="1A0AE477" w14:textId="658C011E" w:rsidR="0039003A" w:rsidRPr="00A65B69" w:rsidRDefault="00556B58" w:rsidP="00BB3D68">
      <w:pPr>
        <w:tabs>
          <w:tab w:val="left" w:pos="284"/>
          <w:tab w:val="left" w:pos="469"/>
        </w:tabs>
        <w:spacing w:line="480" w:lineRule="auto"/>
        <w:ind w:right="2"/>
        <w:rPr>
          <w:i/>
          <w:color w:val="000000" w:themeColor="text1"/>
          <w:sz w:val="23"/>
          <w:szCs w:val="23"/>
          <w:lang w:val="pt-BR"/>
        </w:rPr>
      </w:pPr>
      <w:r w:rsidRPr="00A65B69">
        <w:rPr>
          <w:color w:val="000000" w:themeColor="text1"/>
          <w:sz w:val="23"/>
          <w:szCs w:val="23"/>
          <w:lang w:val="pt-BR"/>
        </w:rPr>
        <w:t xml:space="preserve">- </w:t>
      </w:r>
      <w:r w:rsidR="008755A4" w:rsidRPr="00A65B69">
        <w:rPr>
          <w:i/>
          <w:color w:val="000000" w:themeColor="text1"/>
          <w:sz w:val="23"/>
          <w:szCs w:val="23"/>
          <w:lang w:val="pt-BR"/>
        </w:rPr>
        <w:t>Participantes</w:t>
      </w:r>
    </w:p>
    <w:p w14:paraId="19AC121E" w14:textId="3AA7B43F" w:rsidR="00915E04" w:rsidRPr="00A65B69" w:rsidRDefault="00556B58" w:rsidP="0075573E">
      <w:pPr>
        <w:pStyle w:val="BodyText"/>
        <w:tabs>
          <w:tab w:val="left" w:pos="284"/>
        </w:tabs>
        <w:spacing w:line="480" w:lineRule="auto"/>
        <w:ind w:right="2"/>
        <w:rPr>
          <w:color w:val="000000" w:themeColor="text1"/>
          <w:sz w:val="23"/>
          <w:szCs w:val="23"/>
          <w:lang w:val="pt-BR"/>
        </w:rPr>
      </w:pPr>
      <w:r w:rsidRPr="00A65B69">
        <w:rPr>
          <w:color w:val="000000" w:themeColor="text1"/>
          <w:sz w:val="23"/>
          <w:szCs w:val="23"/>
          <w:lang w:val="pt-BR"/>
        </w:rPr>
        <w:tab/>
      </w:r>
      <w:r w:rsidR="00452371" w:rsidRPr="00A65B69">
        <w:rPr>
          <w:color w:val="000000" w:themeColor="text1"/>
          <w:sz w:val="23"/>
          <w:szCs w:val="23"/>
          <w:lang w:val="pt-BR"/>
        </w:rPr>
        <w:tab/>
      </w:r>
      <w:r w:rsidR="00EA6794" w:rsidRPr="00A65B69">
        <w:rPr>
          <w:color w:val="000000" w:themeColor="text1"/>
          <w:sz w:val="23"/>
          <w:szCs w:val="23"/>
          <w:lang w:val="pt-BR"/>
        </w:rPr>
        <w:t>O cálculo amostral (G*Power© v.3.1.9.</w:t>
      </w:r>
      <w:r w:rsidR="00B56B41" w:rsidRPr="00A65B69">
        <w:rPr>
          <w:color w:val="000000" w:themeColor="text1"/>
          <w:sz w:val="23"/>
          <w:szCs w:val="23"/>
          <w:lang w:val="pt-BR"/>
        </w:rPr>
        <w:t>7</w:t>
      </w:r>
      <w:r w:rsidR="00EA6794" w:rsidRPr="00A65B69">
        <w:rPr>
          <w:color w:val="000000" w:themeColor="text1"/>
          <w:sz w:val="23"/>
          <w:szCs w:val="23"/>
          <w:lang w:val="pt-BR"/>
        </w:rPr>
        <w:t xml:space="preserve">, Alemanha) indicou um mínimo de </w:t>
      </w:r>
      <w:r w:rsidR="00B56B41" w:rsidRPr="00A65B69">
        <w:rPr>
          <w:color w:val="000000" w:themeColor="text1"/>
          <w:sz w:val="23"/>
          <w:szCs w:val="23"/>
          <w:lang w:val="pt-BR"/>
        </w:rPr>
        <w:t>28</w:t>
      </w:r>
      <w:r w:rsidR="00EA6794" w:rsidRPr="00A65B69">
        <w:rPr>
          <w:color w:val="000000" w:themeColor="text1"/>
          <w:sz w:val="23"/>
          <w:szCs w:val="23"/>
          <w:lang w:val="pt-BR"/>
        </w:rPr>
        <w:t xml:space="preserve"> </w:t>
      </w:r>
      <w:r w:rsidR="00B56B41" w:rsidRPr="00A65B69">
        <w:rPr>
          <w:color w:val="000000" w:themeColor="text1"/>
          <w:sz w:val="23"/>
          <w:szCs w:val="23"/>
          <w:lang w:val="pt-BR"/>
        </w:rPr>
        <w:t>pessoas, sendo 14 pessoas com DP e 14 pessoas neurologicamente sadias (grupo controle – GC)</w:t>
      </w:r>
      <w:r w:rsidR="00EA6794" w:rsidRPr="00A65B69">
        <w:rPr>
          <w:color w:val="000000" w:themeColor="text1"/>
          <w:sz w:val="23"/>
          <w:szCs w:val="23"/>
          <w:lang w:val="pt-BR"/>
        </w:rPr>
        <w:t xml:space="preserve">, com um índice de probabilidade de encontrar diferença significativa com poder estatístico de </w:t>
      </w:r>
      <w:r w:rsidR="00B56B41" w:rsidRPr="00A65B69">
        <w:rPr>
          <w:color w:val="000000" w:themeColor="text1"/>
          <w:sz w:val="23"/>
          <w:szCs w:val="23"/>
          <w:lang w:val="pt-BR"/>
        </w:rPr>
        <w:t>8</w:t>
      </w:r>
      <w:r w:rsidR="00EA6794" w:rsidRPr="00A65B69">
        <w:rPr>
          <w:color w:val="000000" w:themeColor="text1"/>
          <w:sz w:val="23"/>
          <w:szCs w:val="23"/>
          <w:lang w:val="pt-BR"/>
        </w:rPr>
        <w:t>0% (α=0,05) e tamanho</w:t>
      </w:r>
      <w:r w:rsidR="00B56B41" w:rsidRPr="00A65B69">
        <w:rPr>
          <w:color w:val="000000" w:themeColor="text1"/>
          <w:sz w:val="23"/>
          <w:szCs w:val="23"/>
          <w:lang w:val="pt-BR"/>
        </w:rPr>
        <w:t xml:space="preserve"> de</w:t>
      </w:r>
      <w:r w:rsidR="00EA6794" w:rsidRPr="00A65B69">
        <w:rPr>
          <w:color w:val="000000" w:themeColor="text1"/>
          <w:sz w:val="23"/>
          <w:szCs w:val="23"/>
          <w:lang w:val="pt-BR"/>
        </w:rPr>
        <w:t xml:space="preserve"> efeito de </w:t>
      </w:r>
      <w:r w:rsidR="00B56B41" w:rsidRPr="00A65B69">
        <w:rPr>
          <w:color w:val="000000" w:themeColor="text1"/>
          <w:sz w:val="23"/>
          <w:szCs w:val="23"/>
          <w:lang w:val="pt-BR"/>
        </w:rPr>
        <w:t>1</w:t>
      </w:r>
      <w:r w:rsidR="00EA6794" w:rsidRPr="00A65B69">
        <w:rPr>
          <w:color w:val="000000" w:themeColor="text1"/>
          <w:sz w:val="23"/>
          <w:szCs w:val="23"/>
          <w:lang w:val="pt-BR"/>
        </w:rPr>
        <w:t>,</w:t>
      </w:r>
      <w:r w:rsidR="00B56B41" w:rsidRPr="00A65B69">
        <w:rPr>
          <w:color w:val="000000" w:themeColor="text1"/>
          <w:sz w:val="23"/>
          <w:szCs w:val="23"/>
          <w:lang w:val="pt-BR"/>
        </w:rPr>
        <w:t>11</w:t>
      </w:r>
      <w:r w:rsidR="00EA6794" w:rsidRPr="00A65B69">
        <w:rPr>
          <w:color w:val="000000" w:themeColor="text1"/>
          <w:sz w:val="23"/>
          <w:szCs w:val="23"/>
          <w:lang w:val="pt-BR"/>
        </w:rPr>
        <w:t xml:space="preserve"> baseado no estudo de </w:t>
      </w:r>
      <w:proofErr w:type="spellStart"/>
      <w:r w:rsidR="00B56B41" w:rsidRPr="00A65B69">
        <w:rPr>
          <w:color w:val="000000" w:themeColor="text1"/>
          <w:sz w:val="23"/>
          <w:szCs w:val="23"/>
          <w:lang w:val="pt-BR"/>
        </w:rPr>
        <w:t>Xu</w:t>
      </w:r>
      <w:proofErr w:type="spellEnd"/>
      <w:r w:rsidR="00B56B41" w:rsidRPr="00A65B69">
        <w:rPr>
          <w:color w:val="000000" w:themeColor="text1"/>
          <w:sz w:val="23"/>
          <w:szCs w:val="23"/>
          <w:lang w:val="pt-BR"/>
        </w:rPr>
        <w:t xml:space="preserve"> et al., 2018</w:t>
      </w:r>
      <w:r w:rsidR="007327E8" w:rsidRPr="00A65B69">
        <w:rPr>
          <w:color w:val="000000" w:themeColor="text1"/>
          <w:sz w:val="23"/>
          <w:szCs w:val="23"/>
          <w:lang w:val="pt-BR"/>
        </w:rPr>
        <w:t xml:space="preserve">, sobre os níveis séricos </w:t>
      </w:r>
      <w:r w:rsidR="00B56B41" w:rsidRPr="00A65B69">
        <w:rPr>
          <w:color w:val="000000" w:themeColor="text1"/>
          <w:sz w:val="23"/>
          <w:szCs w:val="23"/>
          <w:lang w:val="pt-BR"/>
        </w:rPr>
        <w:t xml:space="preserve">de ferro </w:t>
      </w:r>
      <w:r w:rsidR="007327E8" w:rsidRPr="00A65B69">
        <w:rPr>
          <w:color w:val="000000" w:themeColor="text1"/>
          <w:sz w:val="23"/>
          <w:szCs w:val="23"/>
          <w:lang w:val="pt-BR"/>
        </w:rPr>
        <w:t xml:space="preserve">em pessoas </w:t>
      </w:r>
      <w:r w:rsidR="007327E8" w:rsidRPr="00A65B69">
        <w:rPr>
          <w:color w:val="000000" w:themeColor="text1"/>
          <w:sz w:val="23"/>
          <w:szCs w:val="23"/>
          <w:lang w:val="pt-BR"/>
        </w:rPr>
        <w:lastRenderedPageBreak/>
        <w:t xml:space="preserve">com </w:t>
      </w:r>
      <w:r w:rsidR="00B56B41" w:rsidRPr="00A65B69">
        <w:rPr>
          <w:color w:val="000000" w:themeColor="text1"/>
          <w:sz w:val="23"/>
          <w:szCs w:val="23"/>
          <w:lang w:val="pt-BR"/>
        </w:rPr>
        <w:t>DP comparad</w:t>
      </w:r>
      <w:r w:rsidR="007327E8" w:rsidRPr="00A65B69">
        <w:rPr>
          <w:color w:val="000000" w:themeColor="text1"/>
          <w:sz w:val="23"/>
          <w:szCs w:val="23"/>
          <w:lang w:val="pt-BR"/>
        </w:rPr>
        <w:t>a</w:t>
      </w:r>
      <w:r w:rsidR="00B56B41" w:rsidRPr="00A65B69">
        <w:rPr>
          <w:color w:val="000000" w:themeColor="text1"/>
          <w:sz w:val="23"/>
          <w:szCs w:val="23"/>
          <w:lang w:val="pt-BR"/>
        </w:rPr>
        <w:t>s ao GC</w:t>
      </w:r>
      <w:r w:rsidR="00EA6794" w:rsidRPr="00A65B69">
        <w:rPr>
          <w:color w:val="000000" w:themeColor="text1"/>
          <w:sz w:val="23"/>
          <w:szCs w:val="23"/>
          <w:lang w:val="pt-BR"/>
        </w:rPr>
        <w:t xml:space="preserve">. </w:t>
      </w:r>
      <w:r w:rsidR="00B56B41" w:rsidRPr="00A65B69">
        <w:rPr>
          <w:color w:val="000000" w:themeColor="text1"/>
          <w:sz w:val="23"/>
          <w:szCs w:val="23"/>
          <w:lang w:val="pt-BR"/>
        </w:rPr>
        <w:t xml:space="preserve">Os grupos </w:t>
      </w:r>
      <w:r w:rsidR="007E778C" w:rsidRPr="00A65B69">
        <w:rPr>
          <w:color w:val="000000" w:themeColor="text1"/>
          <w:sz w:val="23"/>
          <w:szCs w:val="23"/>
          <w:lang w:val="pt-BR"/>
        </w:rPr>
        <w:t>serão paread</w:t>
      </w:r>
      <w:r w:rsidR="00B6727D" w:rsidRPr="00A65B69">
        <w:rPr>
          <w:color w:val="000000" w:themeColor="text1"/>
          <w:sz w:val="23"/>
          <w:szCs w:val="23"/>
          <w:lang w:val="pt-BR"/>
        </w:rPr>
        <w:t>a</w:t>
      </w:r>
      <w:r w:rsidR="007E778C" w:rsidRPr="00A65B69">
        <w:rPr>
          <w:color w:val="000000" w:themeColor="text1"/>
          <w:sz w:val="23"/>
          <w:szCs w:val="23"/>
          <w:lang w:val="pt-BR"/>
        </w:rPr>
        <w:t>s</w:t>
      </w:r>
      <w:r w:rsidR="008755A4" w:rsidRPr="00A65B69">
        <w:rPr>
          <w:color w:val="000000" w:themeColor="text1"/>
          <w:sz w:val="23"/>
          <w:szCs w:val="23"/>
          <w:lang w:val="pt-BR"/>
        </w:rPr>
        <w:t xml:space="preserve"> por idade</w:t>
      </w:r>
      <w:r w:rsidR="007E778C" w:rsidRPr="00A65B69">
        <w:rPr>
          <w:color w:val="000000" w:themeColor="text1"/>
          <w:sz w:val="23"/>
          <w:szCs w:val="23"/>
          <w:lang w:val="pt-BR"/>
        </w:rPr>
        <w:t>, sexo e massa corporal</w:t>
      </w:r>
      <w:r w:rsidR="008755A4" w:rsidRPr="00A65B69">
        <w:rPr>
          <w:color w:val="000000" w:themeColor="text1"/>
          <w:sz w:val="23"/>
          <w:szCs w:val="23"/>
          <w:lang w:val="pt-BR"/>
        </w:rPr>
        <w:t>. 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 xml:space="preserve">participantes </w:t>
      </w:r>
      <w:r w:rsidR="007E778C" w:rsidRPr="00A65B69">
        <w:rPr>
          <w:color w:val="000000" w:themeColor="text1"/>
          <w:sz w:val="23"/>
          <w:szCs w:val="23"/>
          <w:lang w:val="pt-BR"/>
        </w:rPr>
        <w:t>deste</w:t>
      </w:r>
      <w:r w:rsidR="008755A4" w:rsidRPr="00A65B69">
        <w:rPr>
          <w:color w:val="000000" w:themeColor="text1"/>
          <w:sz w:val="23"/>
          <w:szCs w:val="23"/>
          <w:lang w:val="pt-BR"/>
        </w:rPr>
        <w:t xml:space="preserve"> </w:t>
      </w:r>
      <w:r w:rsidR="00B6727D" w:rsidRPr="00A65B69">
        <w:rPr>
          <w:color w:val="000000" w:themeColor="text1"/>
          <w:sz w:val="23"/>
          <w:szCs w:val="23"/>
          <w:lang w:val="pt-BR"/>
        </w:rPr>
        <w:t xml:space="preserve">estudo </w:t>
      </w:r>
      <w:r w:rsidR="008755A4" w:rsidRPr="00A65B69">
        <w:rPr>
          <w:color w:val="000000" w:themeColor="text1"/>
          <w:sz w:val="23"/>
          <w:szCs w:val="23"/>
          <w:lang w:val="pt-BR"/>
        </w:rPr>
        <w:t>serão selecionados junto a centros especializados</w:t>
      </w:r>
      <w:r w:rsidR="007E778C" w:rsidRPr="00A65B69">
        <w:rPr>
          <w:color w:val="000000" w:themeColor="text1"/>
          <w:sz w:val="23"/>
          <w:szCs w:val="23"/>
          <w:lang w:val="pt-BR"/>
        </w:rPr>
        <w:t xml:space="preserve"> na DP e no envelhecimento</w:t>
      </w:r>
      <w:r w:rsidR="008755A4" w:rsidRPr="00A65B69">
        <w:rPr>
          <w:color w:val="000000" w:themeColor="text1"/>
          <w:sz w:val="23"/>
          <w:szCs w:val="23"/>
          <w:lang w:val="pt-BR"/>
        </w:rPr>
        <w:t xml:space="preserve"> da região 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 xml:space="preserve">Bauru. </w:t>
      </w:r>
    </w:p>
    <w:p w14:paraId="09FDECA3" w14:textId="34E16E43" w:rsidR="00FD5C95" w:rsidRPr="00A65B69" w:rsidRDefault="007E778C"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00EB4ABE" w:rsidRPr="00A65B69">
        <w:rPr>
          <w:color w:val="000000" w:themeColor="text1"/>
          <w:sz w:val="23"/>
          <w:szCs w:val="23"/>
          <w:lang w:val="pt-BR"/>
        </w:rPr>
        <w:tab/>
        <w:t xml:space="preserve">Os critérios de inclusão para ambos os grupos serão: </w:t>
      </w:r>
      <w:r w:rsidR="008755A4" w:rsidRPr="00A65B69">
        <w:rPr>
          <w:color w:val="000000" w:themeColor="text1"/>
          <w:sz w:val="23"/>
          <w:szCs w:val="23"/>
          <w:lang w:val="pt-BR"/>
        </w:rPr>
        <w:t>idade a</w:t>
      </w:r>
      <w:r w:rsidR="00EB4ABE" w:rsidRPr="00A65B69">
        <w:rPr>
          <w:color w:val="000000" w:themeColor="text1"/>
          <w:sz w:val="23"/>
          <w:szCs w:val="23"/>
          <w:lang w:val="pt-BR"/>
        </w:rPr>
        <w:t>cima</w:t>
      </w:r>
      <w:r w:rsidR="008755A4" w:rsidRPr="00A65B69">
        <w:rPr>
          <w:color w:val="000000" w:themeColor="text1"/>
          <w:sz w:val="23"/>
          <w:szCs w:val="23"/>
          <w:lang w:val="pt-BR"/>
        </w:rPr>
        <w:t xml:space="preserve"> dos 50 anos</w:t>
      </w:r>
      <w:r w:rsidR="00D25171" w:rsidRPr="00A65B69">
        <w:rPr>
          <w:color w:val="000000" w:themeColor="text1"/>
          <w:spacing w:val="1"/>
          <w:sz w:val="23"/>
          <w:szCs w:val="23"/>
          <w:lang w:val="pt-BR"/>
        </w:rPr>
        <w:t>;</w:t>
      </w:r>
      <w:r w:rsidR="00D25171" w:rsidRPr="00A65B69">
        <w:rPr>
          <w:color w:val="000000" w:themeColor="text1"/>
          <w:sz w:val="23"/>
          <w:szCs w:val="23"/>
          <w:lang w:val="pt-BR"/>
        </w:rPr>
        <w:t xml:space="preserve"> ter locomoção independente sem auxílio de dispositivos auxiliares (e.g., bengala); </w:t>
      </w:r>
      <w:r w:rsidR="00EB4ABE" w:rsidRPr="00A65B69">
        <w:rPr>
          <w:color w:val="000000" w:themeColor="text1"/>
          <w:spacing w:val="1"/>
          <w:sz w:val="23"/>
          <w:szCs w:val="23"/>
          <w:lang w:val="pt-BR"/>
        </w:rPr>
        <w:t>não ter</w:t>
      </w:r>
      <w:r w:rsidR="00D25171" w:rsidRPr="00A65B69">
        <w:rPr>
          <w:color w:val="000000" w:themeColor="text1"/>
          <w:spacing w:val="1"/>
          <w:sz w:val="23"/>
          <w:szCs w:val="23"/>
          <w:lang w:val="pt-BR"/>
        </w:rPr>
        <w:t xml:space="preserve"> </w:t>
      </w:r>
      <w:r w:rsidR="008755A4" w:rsidRPr="00A65B69">
        <w:rPr>
          <w:color w:val="000000" w:themeColor="text1"/>
          <w:sz w:val="23"/>
          <w:szCs w:val="23"/>
          <w:lang w:val="pt-BR"/>
        </w:rPr>
        <w:t>histórico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problemas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ortopédicos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visão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que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impossibilitem</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cumprimento do protocolo experimental</w:t>
      </w:r>
      <w:r w:rsidR="00EB4ABE" w:rsidRPr="00A65B69">
        <w:rPr>
          <w:color w:val="000000" w:themeColor="text1"/>
          <w:sz w:val="23"/>
          <w:szCs w:val="23"/>
          <w:lang w:val="pt-BR"/>
        </w:rPr>
        <w:t>; não apresentar</w:t>
      </w:r>
      <w:r w:rsidR="00FD5C95" w:rsidRPr="00A65B69">
        <w:rPr>
          <w:color w:val="000000" w:themeColor="text1"/>
          <w:sz w:val="23"/>
          <w:szCs w:val="23"/>
          <w:lang w:val="pt-BR"/>
        </w:rPr>
        <w:t xml:space="preserve"> problemas cardiovasculares, metabólicos ou inflamatórios não controlado</w:t>
      </w:r>
      <w:r w:rsidR="00EB4ABE" w:rsidRPr="00A65B69">
        <w:rPr>
          <w:color w:val="000000" w:themeColor="text1"/>
          <w:sz w:val="23"/>
          <w:szCs w:val="23"/>
          <w:lang w:val="pt-BR"/>
        </w:rPr>
        <w:t>s. Es</w:t>
      </w:r>
      <w:r w:rsidR="00D25171" w:rsidRPr="00A65B69">
        <w:rPr>
          <w:color w:val="000000" w:themeColor="text1"/>
          <w:sz w:val="23"/>
          <w:szCs w:val="23"/>
          <w:lang w:val="pt-BR"/>
        </w:rPr>
        <w:t>pecialmente para as pessoas com DP, serão critérios de inclusão</w:t>
      </w:r>
      <w:r w:rsidR="00983EC0" w:rsidRPr="00A65B69">
        <w:rPr>
          <w:color w:val="000000" w:themeColor="text1"/>
          <w:sz w:val="23"/>
          <w:szCs w:val="23"/>
          <w:lang w:val="pt-BR"/>
        </w:rPr>
        <w:t>: (</w:t>
      </w:r>
      <w:r w:rsidR="00D25171" w:rsidRPr="00A65B69">
        <w:rPr>
          <w:color w:val="000000" w:themeColor="text1"/>
          <w:sz w:val="23"/>
          <w:szCs w:val="23"/>
          <w:lang w:val="pt-BR"/>
        </w:rPr>
        <w:t>i) ter o diagnóstico de um neurologista particular que indique a presença de DP de característica idiopática determinados pelo Banco de Cérebro de Londres</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{"citationItems":[{"id":"ITEM-1","itemData":{"DOI":"10.1136/jnnp.55.3.181","ISBN":"0022-3050 (Print) 0022-3050 (Linking)","ISSN":"0022-3050","PMID":"1564476","abstract":"Few detailed clinico-pathological correlations of Parkinson's disease have been published. The pathological findings in 100 patients diagnosed prospectively by a group ofconsultant neurologists as having idiopathic Parkinson's disease are reported. Seventy six had nigral Lewy bodies, and in all of these Lewy bodies were also found in the cerebral cortex. In 24 cases without Lewy bodies, diagnoses included progressive supranuclear palsy, multiple system atrophy, Alzheimer's disease, Alzheimer- type pathology, and basal ganglia vascular disease.The retrospective application of recommended diagnostic criteria improved the diagnostic accuracy to 82%. These observations call into question current concepts of Parkinson's disease as a single distinct morbid entity.","author":[{"dropping-particle":"","family":"Hughes","given":"Andrew J","non-dropping-particle":"","parse-names":false,"suffix":""},{"dropping-particle":"","family":"Daniel","given":"Susan E","non-dropping-particle":"","parse-names":false,"suffix":""},{"dropping-particle":"","family":"Kilford","given":"Linda","non-dropping-particle":"","parse-names":false,"suffix":""},{"dropping-particle":"","family":"Lees","given":"Andrew J","non-dropping-particle":"","parse-names":false,"suffix":""}],"container-title":"Journal of neurology, neurosurgery, and psychiatry","id":"ITEM-1","issued":{"date-parts":[["1992"]]},"page":"181-184","title":"Accuracy of clinical diagnosis of idiopathic Parkinson ' s disease : a clinico-pathological study of 100 cases","type":"article-journal","volume":"55"},"uris":["http://www.mendeley.com/documents/?uuid=c37701bb-e800-406f-b3f9-e21e9590bc26"]}],"mendeley":{"formattedCitation":"(HUGHES et al., 1992)","plainTextFormattedCitation":"(HUGHES et al., 1992)","previouslyFormattedCitation":"(HUGHES et al., 1992)"},"properties":{"noteIndex":0},"schema":"https://github.com/citation-style-language/schema/raw/master/csl-citation.json"}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(HUGHES et al., 1992)</w:t>
      </w:r>
      <w:r w:rsidR="00301869" w:rsidRPr="00A65B69">
        <w:rPr>
          <w:color w:val="000000" w:themeColor="text1"/>
          <w:sz w:val="23"/>
          <w:szCs w:val="23"/>
          <w:lang w:val="pt-BR"/>
        </w:rPr>
        <w:fldChar w:fldCharType="end"/>
      </w:r>
      <w:r w:rsidR="00D25171" w:rsidRPr="00A65B69">
        <w:rPr>
          <w:color w:val="000000" w:themeColor="text1"/>
          <w:sz w:val="23"/>
          <w:szCs w:val="23"/>
          <w:lang w:val="pt-BR"/>
        </w:rPr>
        <w:t>, (</w:t>
      </w:r>
      <w:proofErr w:type="spellStart"/>
      <w:r w:rsidR="00D25171" w:rsidRPr="00A65B69">
        <w:rPr>
          <w:color w:val="000000" w:themeColor="text1"/>
          <w:sz w:val="23"/>
          <w:szCs w:val="23"/>
          <w:lang w:val="pt-BR"/>
        </w:rPr>
        <w:t>ii</w:t>
      </w:r>
      <w:proofErr w:type="spellEnd"/>
      <w:r w:rsidR="00D25171" w:rsidRPr="00A65B69">
        <w:rPr>
          <w:color w:val="000000" w:themeColor="text1"/>
          <w:sz w:val="23"/>
          <w:szCs w:val="23"/>
          <w:lang w:val="pt-BR"/>
        </w:rPr>
        <w:t>) estar sob tratamento medicamentoso com levodopa estável à pelo menos 3 semanas</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{"citationItems":[{"id":"ITEM-1","itemData":{"DOI":"10.3233/NRE-203075","ISSN":"18786448","PMID":"32538881","abstract":"BACKGROUND: Parkinson's disease (PD) is a multisystem-progressive neurodegenerative disease characterized by dopaminergic neurons, however, the role of the non-dopaminergic system (such as melatonin hormone) in the pathogenesis of PD is now emerging. OBJECTIVE: To identify any potential correlation between the dopamine and melatonin serum levels, and motor, cognitive, and sleep dysfunctions in patients with PD. METHOD: Cross-sectional piloting study conducted with a sample of 34 patients with PD (aged 50-72 yrs. old). Correlation tests performed to identify any potential correlations between the biomarkers' serum levels and motor, cognitive, and sleep dysfunctional levels in “on-medication” status. RESULTS: Spearman's test showed significant correlations between the melatonin serum level and sleep dysfunctions including; overall sleep quality (P = 0.010) and subjective sleep quality sub-score (P = 0.001). On the other hand, spearman's test showed significant correlations between the dopamine serum level and motor dysfunctions including; Berg Balance Scale (P = 0.026), 10-Meters Walking Test (P = 0.016), and Fearing of Fall index (P = 0.007), as well between the dopamine serum level and cognitive dysfunction (P = 0.048). CONCLUSIONS: Melatonin serum level would serve as a potential biomarker in understanding the PD pathogenesis, and consider the melatonin serum level in the future study related to PD besides to the dopamine serum level.","author":[{"dropping-particle":"","family":"Hadoush","given":"Hikmat","non-dropping-particle":"","parse-names":false,"suffix":""},{"dropping-particle":"","family":"Lababneh","given":"Tamara","non-dropping-particle":"","parse-names":false,"suffix":""},{"dropping-particle":"","family":"Banihani","given":"Saleem A.","non-dropping-particle":"","parse-names":false,"suffix":""},{"dropping-particle":"","family":"Al-Jarrah","given":"Muhammed","non-dropping-particle":"","parse-names":false,"suffix":""},{"dropping-particle":"","family":"Jamous","given":"Mohammed","non-dropping-particle":"","parse-names":false,"suffix":""}],"container-title":"NeuroRehabilitation","id":"ITEM-1","issue":"4","issued":{"date-parts":[["2020"]]},"page":"X-XX","title":"Melatonin and dopamine serum level associations with the motor, cognitive, and sleep dysfunctions in patients with Parkinson's disease: A cross-sectional research study roof","type":"article-journal","volume":"46"},"uris":["http://www.mendeley.com/documents/?uuid=42b9192a-c541-4520-a825-e6521705381e"]}],"mendeley":{"formattedCitation":"(HADOUSH et al., 2020)","plainTextFormattedCitation":"(HADOUSH et al., 2020)","previouslyFormattedCitation":"(HADOUSH et al., 2020)"},"properties":{"noteIndex":0},"schema":"https://github.com/citation-style-language/schema/raw/master/csl-citation.json"}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(HADOUSH et al., 2020)</w:t>
      </w:r>
      <w:r w:rsidR="00301869" w:rsidRPr="00A65B69">
        <w:rPr>
          <w:color w:val="000000" w:themeColor="text1"/>
          <w:sz w:val="23"/>
          <w:szCs w:val="23"/>
          <w:lang w:val="pt-BR"/>
        </w:rPr>
        <w:fldChar w:fldCharType="end"/>
      </w:r>
      <w:r w:rsidR="00D25171" w:rsidRPr="00A65B69">
        <w:rPr>
          <w:color w:val="000000" w:themeColor="text1"/>
          <w:sz w:val="23"/>
          <w:szCs w:val="23"/>
          <w:lang w:val="pt-BR"/>
        </w:rPr>
        <w:t>, e (</w:t>
      </w:r>
      <w:proofErr w:type="spellStart"/>
      <w:r w:rsidR="00D25171" w:rsidRPr="00A65B69">
        <w:rPr>
          <w:color w:val="000000" w:themeColor="text1"/>
          <w:sz w:val="23"/>
          <w:szCs w:val="23"/>
          <w:lang w:val="pt-BR"/>
        </w:rPr>
        <w:t>iii</w:t>
      </w:r>
      <w:proofErr w:type="spellEnd"/>
      <w:r w:rsidR="00D25171" w:rsidRPr="00A65B69">
        <w:rPr>
          <w:color w:val="000000" w:themeColor="text1"/>
          <w:sz w:val="23"/>
          <w:szCs w:val="23"/>
          <w:lang w:val="pt-BR"/>
        </w:rPr>
        <w:t xml:space="preserve">) </w:t>
      </w:r>
      <w:r w:rsidR="00FD5C95" w:rsidRPr="00A65B69">
        <w:rPr>
          <w:color w:val="000000" w:themeColor="text1"/>
          <w:sz w:val="23"/>
          <w:szCs w:val="23"/>
          <w:lang w:val="pt-BR"/>
        </w:rPr>
        <w:t>não ter realizado cirurgia cerebral ou estimulação cerebral profunda para tratamento da DP</w:t>
      </w:r>
      <w:r w:rsidR="008755A4" w:rsidRPr="00A65B69">
        <w:rPr>
          <w:color w:val="000000" w:themeColor="text1"/>
          <w:sz w:val="23"/>
          <w:szCs w:val="23"/>
          <w:lang w:val="pt-BR"/>
        </w:rPr>
        <w:t xml:space="preserve">. </w:t>
      </w:r>
      <w:r w:rsidR="00EB4ABE" w:rsidRPr="00A65B69">
        <w:rPr>
          <w:color w:val="000000" w:themeColor="text1"/>
          <w:sz w:val="23"/>
          <w:szCs w:val="23"/>
          <w:lang w:val="pt-BR"/>
        </w:rPr>
        <w:t>Ainda</w:t>
      </w:r>
      <w:r w:rsidR="00D25171" w:rsidRPr="00A65B69">
        <w:rPr>
          <w:color w:val="000000" w:themeColor="text1"/>
          <w:sz w:val="23"/>
          <w:szCs w:val="23"/>
          <w:lang w:val="pt-BR"/>
        </w:rPr>
        <w:t>,</w:t>
      </w:r>
      <w:r w:rsidR="00EB4ABE" w:rsidRPr="00A65B69">
        <w:rPr>
          <w:color w:val="000000" w:themeColor="text1"/>
          <w:sz w:val="23"/>
          <w:szCs w:val="23"/>
          <w:lang w:val="pt-BR"/>
        </w:rPr>
        <w:t xml:space="preserve"> ser</w:t>
      </w:r>
      <w:r w:rsidR="00D25171" w:rsidRPr="00A65B69">
        <w:rPr>
          <w:color w:val="000000" w:themeColor="text1"/>
          <w:sz w:val="23"/>
          <w:szCs w:val="23"/>
          <w:lang w:val="pt-BR"/>
        </w:rPr>
        <w:t>á</w:t>
      </w:r>
      <w:r w:rsidR="00EB4ABE" w:rsidRPr="00A65B69">
        <w:rPr>
          <w:color w:val="000000" w:themeColor="text1"/>
          <w:sz w:val="23"/>
          <w:szCs w:val="23"/>
          <w:lang w:val="pt-BR"/>
        </w:rPr>
        <w:t xml:space="preserve"> crit</w:t>
      </w:r>
      <w:r w:rsidR="00D25171" w:rsidRPr="00A65B69">
        <w:rPr>
          <w:color w:val="000000" w:themeColor="text1"/>
          <w:sz w:val="23"/>
          <w:szCs w:val="23"/>
          <w:lang w:val="pt-BR"/>
        </w:rPr>
        <w:t xml:space="preserve">ério de </w:t>
      </w:r>
      <w:r w:rsidR="00521216" w:rsidRPr="00A65B69">
        <w:rPr>
          <w:color w:val="000000" w:themeColor="text1"/>
          <w:sz w:val="23"/>
          <w:szCs w:val="23"/>
          <w:lang w:val="pt-BR"/>
        </w:rPr>
        <w:t>exclusão</w:t>
      </w:r>
      <w:r w:rsidR="00D25171" w:rsidRPr="00A65B69">
        <w:rPr>
          <w:color w:val="000000" w:themeColor="text1"/>
          <w:sz w:val="23"/>
          <w:szCs w:val="23"/>
          <w:lang w:val="pt-BR"/>
        </w:rPr>
        <w:t xml:space="preserve"> para ambos os grupos apresentar declínio cognitivo avançado (será confirmado na avaliação do Montreal </w:t>
      </w:r>
      <w:proofErr w:type="spellStart"/>
      <w:r w:rsidR="00D25171" w:rsidRPr="00A65B69">
        <w:rPr>
          <w:color w:val="000000" w:themeColor="text1"/>
          <w:sz w:val="23"/>
          <w:szCs w:val="23"/>
          <w:lang w:val="pt-BR"/>
        </w:rPr>
        <w:t>Cognitive</w:t>
      </w:r>
      <w:proofErr w:type="spellEnd"/>
      <w:r w:rsidR="00D25171" w:rsidRPr="00A65B69">
        <w:rPr>
          <w:color w:val="000000" w:themeColor="text1"/>
          <w:sz w:val="23"/>
          <w:szCs w:val="23"/>
          <w:lang w:val="pt-BR"/>
        </w:rPr>
        <w:t xml:space="preserve"> Assessment - </w:t>
      </w:r>
      <w:proofErr w:type="spellStart"/>
      <w:r w:rsidR="00D25171" w:rsidRPr="00A65B69">
        <w:rPr>
          <w:color w:val="000000" w:themeColor="text1"/>
          <w:sz w:val="23"/>
          <w:szCs w:val="23"/>
          <w:lang w:val="pt-BR"/>
        </w:rPr>
        <w:t>MoCA</w:t>
      </w:r>
      <w:proofErr w:type="spellEnd"/>
      <w:r w:rsidR="00D25171" w:rsidRPr="00A65B69">
        <w:rPr>
          <w:color w:val="000000" w:themeColor="text1"/>
          <w:sz w:val="23"/>
          <w:szCs w:val="23"/>
          <w:lang w:val="pt-BR"/>
        </w:rPr>
        <w:t xml:space="preserve"> - valor de corte em</w:t>
      </w:r>
      <w:r w:rsidR="00301869" w:rsidRPr="00A65B69">
        <w:rPr>
          <w:color w:val="000000" w:themeColor="text1"/>
          <w:sz w:val="23"/>
          <w:szCs w:val="23"/>
          <w:lang w:val="pt-BR"/>
        </w:rPr>
        <w:t xml:space="preserve"> 19</w:t>
      </w:r>
      <w:r w:rsidR="00FB70B2" w:rsidRPr="00A65B69">
        <w:rPr>
          <w:color w:val="000000" w:themeColor="text1"/>
          <w:sz w:val="23"/>
          <w:szCs w:val="23"/>
          <w:lang w:val="pt-BR"/>
        </w:rPr>
        <w:t>)</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301869" w:rsidRPr="00A65B69">
        <w:rPr>
          <w:color w:val="000000" w:themeColor="text1"/>
          <w:sz w:val="23"/>
          <w:szCs w:val="23"/>
          <w:lang w:val="pt-BR"/>
        </w:rPr>
        <w:instrText>ADDIN CSL_CITATION {"citationItems":[{"id":"ITEM-1","itemData":{"DOI":"10.1590/0004-282X20190130","ISSN":"16784227","PMID":"31826133","abstract":"INTRODUCTION: The Montreal Cognitive Assessment (MoCA) has been described as a good tool to detect cognitive impairment. The ideal MoCA cutoff score is still under debate. The aim was to provide MoCA norms and accuracy data for seniors with a lower education level, including illiterates. METHODS: Data originated from an epidemiological study conducted in the municipality of Tremembe, Brazil. The Brazilian MoCA test was applied as part of the cognitive assessment in all participants. Of the 630 participants, 385 were classified as cognitively normal (CN) and were included in the normative data set, 110 individuals were diagnosed with dementia and 135 were classified as having cognitive impairment no dementia (CIND). RESULTS: The total scores varied significantly according to age and education among the three diagnostic groups: CN, CIND and dementia (p &lt; 0.001). To distinguish participants with CN from dementia, the best MoCA cutoff was 15 points (sensitivity 90%, specificity 77%) and to differentiate those with CN from CIND, the MoCA cutoff was 19 points (sensitivity 84%, specificity 49%). Those scores varied according to education level. CONCLUSIONS: The MoCA test did not have a high accuracy for detecting CIND in the population with a low educational level. Nevertheless, this tool may be used to detect dementia, especially in individuals with more than five years of education, if a lower cutoff score is adopted.","author":[{"dropping-particle":"","family":"Cesar","given":"Karolina G.","non-dropping-particle":"","parse-names":false,"suffix":""},{"dropping-particle":"","family":"Yassuda","given":"Mônica S.","non-dropping-particle":"","parse-names":false,"suffix":""},{"dropping-particle":"","family":"Porto","given":"Fabio H.G.","non-dropping-particle":"","parse-names":false,"suffix":""},{"dropping-particle":"","family":"Brucki","given":"Sonia M.D.","non-dropping-particle":"","parse-names":false,"suffix":""},{"dropping-particle":"","family":"Nitrini","given":"Ricardo","non-dropping-particle":"","parse-names":false,"suffix":""}],"container-title":"Arquivos de neuro-psiquiatria","id":"ITEM-1","issue":"11","issued":{"date-parts":[["2019"]]},"page":"775-781","title":"MoCA Test: normative and diagnostic accuracy data for seniors with heterogeneous educational levels in Brazil","type":"article-journal","volume":"77"},"uris":["http://www.mendeley.com/documents/?uuid=4301c389-c23f-464c-a9ef-94bc53a0e5d0"]},{"id":"ITEM-2","itemData":{"DOI":"10.1590/s1980-57642012dn06010002","abstract":"ABSTRACT Deep Brain Stimulation (DBS) is a widely used surgical technique in individuals with Parkinson's disease (PD) that can lead to significant reductions in motor symptoms. Objectives: To determine, from publications, the most commonly used instruments for cognitive evaluation of individuals with PD undergoing DBS. Methods: A systematic review of the databases: PubMed, Medline, EBECS, Scielo and LILACS was conducted, using the descriptors \"Deep Brain Stimulation\", \"Verbal Fluency\", \"Parkinson Disease\", \"Executive Function\", \"Cognition\" and \"Cognitive Assessment\" in combination. Results: The Verbal Fluency test was found to be the most used instrument for this investigation in the studies, followed by the Boston Naming Test. References to the Stroop Test, Trail Making Test, and Rey's Auditory Verbal Learning Test were also found. Conclusions: The validation of instruments for this population is needed as is the use of batteries offering greater specificity and sensitivity for the detection of cognitive impairment.RESUMO A Estimulação Cerebral Profunda (ECP) tem sido uma técnica cirúrgica bastante utilizada devido à redução significativa dos sintomas motores. Objetivos: Verificar, a partir das publicações, quais os instrumentos mais utilizados para avaliação cognitiva em pacientes com DP submetidos à ECP. Métodos: Foi realizado uma revisão sistemática nas bases de dados PubMed, Medline, EBECS, Scielo e LILACS utilizando os descritores \"Deep Brain Stimulation\", \"Verbal Fluency\", \"Parkinson Disease\", \"Executive Function\", \"Cognition\" e \"Cognitive Assessment\" de forma combinada. Resultados: O teste de Fluência Verbal o instrumento mais utilizado para esta investigação nos estudos encontrados, seguido pelo Teste de Nomeação de Boston. Foram também encontradas referências aos testes Teste de Stroop, Teste das Trilhas, Teste de Aprendizado Auditivo Verbal de Rey. Conclusões: A validação de instrumentos para esta população se faz necessária bem como a utilização de baterias com mais especificidade e sensibilidade para detecção das alterações cognitivas nesta população.","author":[{"dropping-particle":"","family":"Romann","given":"Aline Juliane","non-dropping-particle":"","parse-names":false,"suffix":""},{"dropping-particle":"","family":"Dornelles","given":"Silvia","non-dropping-particle":"","parse-names":false,"suffix":""},{"dropping-particle":"","family":"Maineri","given":"Nicole de Liz","non-dropping-particle":"","parse-names":false,"suffix":""},{"dropping-particle":"","family":"Rieder","given":"Carlos Roberto de Mello","non-dropping-particle":"","parse-names":false,"suffix":""},{"dropping-particle":"","family":"Olchik","given":"Maira Rozenfeld","non-dropping-particle":"","parse-names":false,"suffix":""}],"container-title":"Dementia &amp; Neuropsychologia","id":"ITEM-2","issue":"1","issued":{"date-parts":[["2012"]]},"page":"2-11","title":"Cognitive assessment instruments in Parkinson's disease patients undergoing deep brain stimulation","type":"article-journal","volume":"6"},"uris":["http://www.mendeley.com/documents/?uuid=f6837522-6329-4438-bc1f-046bb119a1d8"]}],"mendeley":{"formattedCitation":"(CESAR et al., 2019; ROMANN et al., 2012)","plainTextFormattedCitation":"(CESAR et al., 2019; ROMANN et al., 2012)","previouslyFormattedCitation":"(CESAR et al., 2019; ROMANN et al., 2012)"},"properties":{"noteIndex":0},"schema":"https://github.com/citation-style-language/schema/raw/master/csl-citation.json"}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(CESAR et al., 2019; ROMANN et al., 2012)</w:t>
      </w:r>
      <w:r w:rsidR="00301869" w:rsidRPr="00A65B69">
        <w:rPr>
          <w:color w:val="000000" w:themeColor="text1"/>
          <w:sz w:val="23"/>
          <w:szCs w:val="23"/>
          <w:lang w:val="pt-BR"/>
        </w:rPr>
        <w:fldChar w:fldCharType="end"/>
      </w:r>
      <w:r w:rsidR="003260FB" w:rsidRPr="00A65B69">
        <w:rPr>
          <w:color w:val="000000" w:themeColor="text1"/>
          <w:sz w:val="23"/>
          <w:szCs w:val="23"/>
          <w:lang w:val="pt-BR"/>
        </w:rPr>
        <w:t xml:space="preserve"> ou não apresentar est</w:t>
      </w:r>
      <w:r w:rsidR="00521216" w:rsidRPr="00A65B69">
        <w:rPr>
          <w:color w:val="000000" w:themeColor="text1"/>
          <w:sz w:val="23"/>
          <w:szCs w:val="23"/>
          <w:lang w:val="pt-BR"/>
        </w:rPr>
        <w:t>ágio acima de 3</w:t>
      </w:r>
      <w:r w:rsidR="003260FB" w:rsidRPr="00A65B69">
        <w:rPr>
          <w:color w:val="000000" w:themeColor="text1"/>
          <w:sz w:val="23"/>
          <w:szCs w:val="23"/>
          <w:lang w:val="pt-BR"/>
        </w:rPr>
        <w:t xml:space="preserve"> na escala de Hoen &amp; </w:t>
      </w:r>
      <w:proofErr w:type="spellStart"/>
      <w:r w:rsidR="003260FB" w:rsidRPr="00A65B69">
        <w:rPr>
          <w:color w:val="000000" w:themeColor="text1"/>
          <w:sz w:val="23"/>
          <w:szCs w:val="23"/>
          <w:lang w:val="pt-BR"/>
        </w:rPr>
        <w:t>Yahr</w:t>
      </w:r>
      <w:proofErr w:type="spellEnd"/>
      <w:r w:rsidR="003260FB" w:rsidRPr="00A65B69">
        <w:rPr>
          <w:color w:val="000000" w:themeColor="text1"/>
          <w:sz w:val="23"/>
          <w:szCs w:val="23"/>
          <w:lang w:val="pt-BR"/>
        </w:rPr>
        <w:t xml:space="preserve"> – H&amp;Y (HOEHN; YAHR, 2001; SCHENKMAN et al., 2001)</w:t>
      </w:r>
    </w:p>
    <w:p w14:paraId="38E27579" w14:textId="4FF1BC87" w:rsidR="0039003A" w:rsidRPr="00A65B69" w:rsidRDefault="00D25171" w:rsidP="00BB3D68">
      <w:pPr>
        <w:tabs>
          <w:tab w:val="left" w:pos="284"/>
          <w:tab w:val="left" w:pos="469"/>
        </w:tabs>
        <w:spacing w:line="480" w:lineRule="auto"/>
        <w:ind w:right="2"/>
        <w:rPr>
          <w:i/>
          <w:color w:val="000000" w:themeColor="text1"/>
          <w:sz w:val="23"/>
          <w:szCs w:val="23"/>
          <w:lang w:val="pt-BR"/>
        </w:rPr>
      </w:pPr>
      <w:r w:rsidRPr="00A65B69">
        <w:rPr>
          <w:color w:val="000000" w:themeColor="text1"/>
          <w:sz w:val="23"/>
          <w:szCs w:val="23"/>
          <w:lang w:val="pt-BR"/>
        </w:rPr>
        <w:t>-</w:t>
      </w:r>
      <w:r w:rsidR="0057082A" w:rsidRPr="00A65B69">
        <w:rPr>
          <w:i/>
          <w:color w:val="000000" w:themeColor="text1"/>
          <w:sz w:val="23"/>
          <w:szCs w:val="23"/>
          <w:lang w:val="pt-BR"/>
        </w:rPr>
        <w:t xml:space="preserve"> </w:t>
      </w:r>
      <w:r w:rsidR="008755A4" w:rsidRPr="00A65B69">
        <w:rPr>
          <w:i/>
          <w:color w:val="000000" w:themeColor="text1"/>
          <w:sz w:val="23"/>
          <w:szCs w:val="23"/>
          <w:lang w:val="pt-BR"/>
        </w:rPr>
        <w:t>Delineamento</w:t>
      </w:r>
      <w:r w:rsidR="008755A4" w:rsidRPr="00A65B69">
        <w:rPr>
          <w:i/>
          <w:color w:val="000000" w:themeColor="text1"/>
          <w:spacing w:val="-4"/>
          <w:sz w:val="23"/>
          <w:szCs w:val="23"/>
          <w:lang w:val="pt-BR"/>
        </w:rPr>
        <w:t xml:space="preserve"> </w:t>
      </w:r>
      <w:r w:rsidR="008755A4" w:rsidRPr="00A65B69">
        <w:rPr>
          <w:i/>
          <w:color w:val="000000" w:themeColor="text1"/>
          <w:sz w:val="23"/>
          <w:szCs w:val="23"/>
          <w:lang w:val="pt-BR"/>
        </w:rPr>
        <w:t>experimental</w:t>
      </w:r>
    </w:p>
    <w:p w14:paraId="0D454490" w14:textId="3E9EEE53" w:rsidR="00293BE2" w:rsidRPr="00A65B69" w:rsidRDefault="00E52B69" w:rsidP="00C5660B">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4111DF" w:rsidRPr="00A65B69">
        <w:rPr>
          <w:color w:val="000000" w:themeColor="text1"/>
          <w:sz w:val="23"/>
          <w:szCs w:val="23"/>
          <w:lang w:val="pt-BR"/>
        </w:rPr>
        <w:t xml:space="preserve">A Figura 1 apresenta o delineamento experimental do estudo. </w:t>
      </w:r>
      <w:r w:rsidR="00293BE2" w:rsidRPr="00A65B69">
        <w:rPr>
          <w:color w:val="000000" w:themeColor="text1"/>
          <w:sz w:val="23"/>
          <w:szCs w:val="23"/>
          <w:lang w:val="pt-BR"/>
        </w:rPr>
        <w:t>Os participantes realizarão dois blocos de avaliação diferentes</w:t>
      </w:r>
      <w:r w:rsidR="00346C64" w:rsidRPr="00A65B69">
        <w:rPr>
          <w:color w:val="000000" w:themeColor="text1"/>
          <w:sz w:val="23"/>
          <w:szCs w:val="23"/>
          <w:lang w:val="pt-BR"/>
        </w:rPr>
        <w:t>,</w:t>
      </w:r>
      <w:r w:rsidR="00293BE2" w:rsidRPr="00A65B69">
        <w:rPr>
          <w:color w:val="000000" w:themeColor="text1"/>
          <w:sz w:val="23"/>
          <w:szCs w:val="23"/>
          <w:lang w:val="pt-BR"/>
        </w:rPr>
        <w:t xml:space="preserve"> conforme a disponibilidade de oxigênio: HI </w:t>
      </w:r>
      <w:proofErr w:type="spellStart"/>
      <w:r w:rsidR="00293BE2" w:rsidRPr="00A65B69">
        <w:rPr>
          <w:color w:val="000000" w:themeColor="text1"/>
          <w:sz w:val="23"/>
          <w:szCs w:val="23"/>
          <w:lang w:val="pt-BR"/>
        </w:rPr>
        <w:t>vs</w:t>
      </w:r>
      <w:proofErr w:type="spellEnd"/>
      <w:r w:rsidR="00293BE2" w:rsidRPr="00A65B69">
        <w:rPr>
          <w:color w:val="000000" w:themeColor="text1"/>
          <w:sz w:val="23"/>
          <w:szCs w:val="23"/>
          <w:lang w:val="pt-BR"/>
        </w:rPr>
        <w:t xml:space="preserve"> </w:t>
      </w:r>
      <w:proofErr w:type="spellStart"/>
      <w:r w:rsidR="00293BE2" w:rsidRPr="00A65B69">
        <w:rPr>
          <w:color w:val="000000" w:themeColor="text1"/>
          <w:sz w:val="23"/>
          <w:szCs w:val="23"/>
          <w:lang w:val="pt-BR"/>
        </w:rPr>
        <w:t>normóxia</w:t>
      </w:r>
      <w:proofErr w:type="spellEnd"/>
      <w:r w:rsidR="00293BE2" w:rsidRPr="00A65B69">
        <w:rPr>
          <w:color w:val="000000" w:themeColor="text1"/>
          <w:sz w:val="23"/>
          <w:szCs w:val="23"/>
          <w:lang w:val="pt-BR"/>
        </w:rPr>
        <w:t>. Os blocos serão compostos por i) avaliação da marcha</w:t>
      </w:r>
      <w:r w:rsidR="00410304" w:rsidRPr="00A65B69">
        <w:rPr>
          <w:color w:val="000000" w:themeColor="text1"/>
          <w:sz w:val="23"/>
          <w:szCs w:val="23"/>
          <w:lang w:val="pt-BR"/>
        </w:rPr>
        <w:t xml:space="preserve"> e sanguínea</w:t>
      </w:r>
      <w:r w:rsidR="00293BE2" w:rsidRPr="00A65B69">
        <w:rPr>
          <w:color w:val="000000" w:themeColor="text1"/>
          <w:sz w:val="23"/>
          <w:szCs w:val="23"/>
          <w:lang w:val="pt-BR"/>
        </w:rPr>
        <w:t xml:space="preserve">, </w:t>
      </w:r>
      <w:proofErr w:type="spellStart"/>
      <w:r w:rsidR="00293BE2" w:rsidRPr="00A65B69">
        <w:rPr>
          <w:color w:val="000000" w:themeColor="text1"/>
          <w:sz w:val="23"/>
          <w:szCs w:val="23"/>
          <w:lang w:val="pt-BR"/>
        </w:rPr>
        <w:t>ii</w:t>
      </w:r>
      <w:proofErr w:type="spellEnd"/>
      <w:r w:rsidR="00293BE2" w:rsidRPr="00A65B69">
        <w:rPr>
          <w:color w:val="000000" w:themeColor="text1"/>
          <w:sz w:val="23"/>
          <w:szCs w:val="23"/>
          <w:lang w:val="pt-BR"/>
        </w:rPr>
        <w:t xml:space="preserve">) aplicação das sessões com diferentes disponibilidades de oxigênio, </w:t>
      </w:r>
      <w:proofErr w:type="spellStart"/>
      <w:r w:rsidR="00293BE2" w:rsidRPr="00A65B69">
        <w:rPr>
          <w:color w:val="000000" w:themeColor="text1"/>
          <w:sz w:val="23"/>
          <w:szCs w:val="23"/>
          <w:lang w:val="pt-BR"/>
        </w:rPr>
        <w:t>iii</w:t>
      </w:r>
      <w:proofErr w:type="spellEnd"/>
      <w:r w:rsidR="00293BE2" w:rsidRPr="00A65B69">
        <w:rPr>
          <w:color w:val="000000" w:themeColor="text1"/>
          <w:sz w:val="23"/>
          <w:szCs w:val="23"/>
          <w:lang w:val="pt-BR"/>
        </w:rPr>
        <w:t xml:space="preserve">) avaliação da marcha </w:t>
      </w:r>
      <w:r w:rsidR="00410304" w:rsidRPr="00A65B69">
        <w:rPr>
          <w:color w:val="000000" w:themeColor="text1"/>
          <w:sz w:val="23"/>
          <w:szCs w:val="23"/>
          <w:lang w:val="pt-BR"/>
        </w:rPr>
        <w:t xml:space="preserve">e sanguínea </w:t>
      </w:r>
      <w:r w:rsidR="00293BE2" w:rsidRPr="00A65B69">
        <w:rPr>
          <w:color w:val="000000" w:themeColor="text1"/>
          <w:sz w:val="23"/>
          <w:szCs w:val="23"/>
          <w:lang w:val="pt-BR"/>
        </w:rPr>
        <w:t xml:space="preserve">imediatamente após as sessões, </w:t>
      </w:r>
      <w:proofErr w:type="spellStart"/>
      <w:r w:rsidR="00293BE2" w:rsidRPr="00A65B69">
        <w:rPr>
          <w:color w:val="000000" w:themeColor="text1"/>
          <w:sz w:val="23"/>
          <w:szCs w:val="23"/>
          <w:lang w:val="pt-BR"/>
        </w:rPr>
        <w:t>iv</w:t>
      </w:r>
      <w:proofErr w:type="spellEnd"/>
      <w:r w:rsidR="00293BE2" w:rsidRPr="00A65B69">
        <w:rPr>
          <w:color w:val="000000" w:themeColor="text1"/>
          <w:sz w:val="23"/>
          <w:szCs w:val="23"/>
          <w:lang w:val="pt-BR"/>
        </w:rPr>
        <w:t xml:space="preserve">) identificação da qualidade do sono durante a noite de recuperação, v) avaliação da marcha </w:t>
      </w:r>
      <w:r w:rsidR="00D27232" w:rsidRPr="00A65B69">
        <w:rPr>
          <w:color w:val="000000" w:themeColor="text1"/>
          <w:sz w:val="23"/>
          <w:szCs w:val="23"/>
          <w:lang w:val="pt-BR"/>
        </w:rPr>
        <w:t xml:space="preserve">e sanguínea </w:t>
      </w:r>
      <w:r w:rsidR="00293BE2" w:rsidRPr="00A65B69">
        <w:rPr>
          <w:color w:val="000000" w:themeColor="text1"/>
          <w:sz w:val="23"/>
          <w:szCs w:val="23"/>
          <w:lang w:val="pt-BR"/>
        </w:rPr>
        <w:t>24</w:t>
      </w:r>
      <w:r w:rsidR="00452371" w:rsidRPr="00A65B69">
        <w:rPr>
          <w:color w:val="000000" w:themeColor="text1"/>
          <w:sz w:val="23"/>
          <w:szCs w:val="23"/>
          <w:lang w:val="pt-BR"/>
        </w:rPr>
        <w:t xml:space="preserve"> </w:t>
      </w:r>
      <w:r w:rsidR="00293BE2" w:rsidRPr="00A65B69">
        <w:rPr>
          <w:color w:val="000000" w:themeColor="text1"/>
          <w:sz w:val="23"/>
          <w:szCs w:val="23"/>
          <w:lang w:val="pt-BR"/>
        </w:rPr>
        <w:t xml:space="preserve">h após a sessão, e vi) identificação da qualidade do sono </w:t>
      </w:r>
      <w:r w:rsidR="00D27232" w:rsidRPr="00A65B69">
        <w:rPr>
          <w:color w:val="000000" w:themeColor="text1"/>
          <w:sz w:val="23"/>
          <w:szCs w:val="23"/>
          <w:lang w:val="pt-BR"/>
        </w:rPr>
        <w:t xml:space="preserve">durante </w:t>
      </w:r>
      <w:r w:rsidR="00293BE2" w:rsidRPr="00A65B69">
        <w:rPr>
          <w:color w:val="000000" w:themeColor="text1"/>
          <w:sz w:val="23"/>
          <w:szCs w:val="23"/>
          <w:lang w:val="pt-BR"/>
        </w:rPr>
        <w:t>a noite seguinte</w:t>
      </w:r>
      <w:r w:rsidR="005330FC" w:rsidRPr="00A65B69">
        <w:rPr>
          <w:color w:val="000000" w:themeColor="text1"/>
          <w:sz w:val="23"/>
          <w:szCs w:val="23"/>
          <w:lang w:val="pt-BR"/>
        </w:rPr>
        <w:t xml:space="preserve"> a</w:t>
      </w:r>
      <w:r w:rsidR="00D27232" w:rsidRPr="00A65B69">
        <w:rPr>
          <w:color w:val="000000" w:themeColor="text1"/>
          <w:sz w:val="23"/>
          <w:szCs w:val="23"/>
          <w:lang w:val="pt-BR"/>
        </w:rPr>
        <w:t xml:space="preserve">o teste, ou seja, </w:t>
      </w:r>
      <w:r w:rsidR="005330FC" w:rsidRPr="00A65B69">
        <w:rPr>
          <w:color w:val="000000" w:themeColor="text1"/>
          <w:sz w:val="23"/>
          <w:szCs w:val="23"/>
          <w:lang w:val="pt-BR"/>
        </w:rPr>
        <w:t>24 h após a sessão</w:t>
      </w:r>
      <w:r w:rsidR="00293BE2" w:rsidRPr="00A65B69">
        <w:rPr>
          <w:color w:val="000000" w:themeColor="text1"/>
          <w:sz w:val="23"/>
          <w:szCs w:val="23"/>
          <w:lang w:val="pt-BR"/>
        </w:rPr>
        <w:t xml:space="preserve">. </w:t>
      </w:r>
      <w:r w:rsidR="00055515" w:rsidRPr="00A65B69">
        <w:rPr>
          <w:color w:val="000000" w:themeColor="text1"/>
          <w:sz w:val="23"/>
          <w:szCs w:val="23"/>
          <w:lang w:val="pt-BR"/>
        </w:rPr>
        <w:t xml:space="preserve">A ordem das sessões com diferentes disponibilidades de oxigênio será randomizada de forma controlada entre os grupos (metade das pessoas de cada grupo iniciará o estudo em cada tipo de disponibilidade de oxigênio). </w:t>
      </w:r>
      <w:r w:rsidR="00293BE2" w:rsidRPr="00A65B69">
        <w:rPr>
          <w:color w:val="000000" w:themeColor="text1"/>
          <w:sz w:val="23"/>
          <w:szCs w:val="23"/>
          <w:lang w:val="pt-BR"/>
        </w:rPr>
        <w:t xml:space="preserve">As sessões com diferentes disponibilidades de oxigênio serão aplicadas em um delineamento </w:t>
      </w:r>
      <w:r w:rsidR="00945907" w:rsidRPr="00A65B69">
        <w:rPr>
          <w:color w:val="000000" w:themeColor="text1"/>
          <w:sz w:val="23"/>
          <w:szCs w:val="23"/>
          <w:lang w:val="pt-BR"/>
        </w:rPr>
        <w:t xml:space="preserve">randomizado, duplo-cego, </w:t>
      </w:r>
      <w:r w:rsidR="009B0508" w:rsidRPr="00A65B69">
        <w:rPr>
          <w:color w:val="000000" w:themeColor="text1"/>
          <w:sz w:val="23"/>
          <w:szCs w:val="23"/>
          <w:lang w:val="pt-BR"/>
        </w:rPr>
        <w:t>crossover</w:t>
      </w:r>
      <w:r w:rsidR="00945907" w:rsidRPr="00A65B69">
        <w:rPr>
          <w:color w:val="000000" w:themeColor="text1"/>
          <w:sz w:val="23"/>
          <w:szCs w:val="23"/>
          <w:lang w:val="pt-BR"/>
        </w:rPr>
        <w:t xml:space="preserve"> e contrabalanceado</w:t>
      </w:r>
      <w:r w:rsidR="00293BE2" w:rsidRPr="00A65B69">
        <w:rPr>
          <w:color w:val="000000" w:themeColor="text1"/>
          <w:sz w:val="23"/>
          <w:szCs w:val="23"/>
          <w:lang w:val="pt-BR"/>
        </w:rPr>
        <w:t>.</w:t>
      </w:r>
      <w:r w:rsidR="00E14B58" w:rsidRPr="00A65B69">
        <w:rPr>
          <w:color w:val="000000" w:themeColor="text1"/>
          <w:sz w:val="23"/>
          <w:szCs w:val="23"/>
          <w:lang w:val="pt-BR"/>
        </w:rPr>
        <w:t xml:space="preserve"> A randomização será realizada por meio de envelopes </w:t>
      </w:r>
      <w:r w:rsidR="008A5066" w:rsidRPr="00A65B69">
        <w:rPr>
          <w:color w:val="000000" w:themeColor="text1"/>
          <w:sz w:val="23"/>
          <w:szCs w:val="23"/>
          <w:lang w:val="pt-BR"/>
        </w:rPr>
        <w:t xml:space="preserve">embaralhados. </w:t>
      </w:r>
      <w:r w:rsidR="00055515" w:rsidRPr="00A65B69">
        <w:rPr>
          <w:color w:val="000000" w:themeColor="text1"/>
          <w:sz w:val="23"/>
          <w:szCs w:val="23"/>
          <w:lang w:val="pt-BR"/>
        </w:rPr>
        <w:t xml:space="preserve">Ainda, o pesquisador </w:t>
      </w:r>
      <w:r w:rsidR="008A5066" w:rsidRPr="00A65B69">
        <w:rPr>
          <w:color w:val="000000" w:themeColor="text1"/>
          <w:sz w:val="23"/>
          <w:szCs w:val="23"/>
          <w:lang w:val="pt-BR"/>
        </w:rPr>
        <w:t xml:space="preserve">aplicará as </w:t>
      </w:r>
      <w:r w:rsidR="008A5066" w:rsidRPr="00A65B69">
        <w:rPr>
          <w:color w:val="000000" w:themeColor="text1"/>
          <w:sz w:val="23"/>
          <w:szCs w:val="23"/>
          <w:lang w:val="pt-BR"/>
        </w:rPr>
        <w:lastRenderedPageBreak/>
        <w:t xml:space="preserve">sessões e </w:t>
      </w:r>
      <w:r w:rsidR="00667503" w:rsidRPr="00A65B69">
        <w:rPr>
          <w:color w:val="000000" w:themeColor="text1"/>
          <w:sz w:val="23"/>
          <w:szCs w:val="23"/>
          <w:lang w:val="pt-BR"/>
        </w:rPr>
        <w:t xml:space="preserve">aquele </w:t>
      </w:r>
      <w:r w:rsidR="00055515" w:rsidRPr="00A65B69">
        <w:rPr>
          <w:color w:val="000000" w:themeColor="text1"/>
          <w:sz w:val="23"/>
          <w:szCs w:val="23"/>
          <w:lang w:val="pt-BR"/>
        </w:rPr>
        <w:t>que analisará os dados ser</w:t>
      </w:r>
      <w:r w:rsidR="00667503" w:rsidRPr="00A65B69">
        <w:rPr>
          <w:color w:val="000000" w:themeColor="text1"/>
          <w:sz w:val="23"/>
          <w:szCs w:val="23"/>
          <w:lang w:val="pt-BR"/>
        </w:rPr>
        <w:t>ão</w:t>
      </w:r>
      <w:r w:rsidR="00055515" w:rsidRPr="00A65B69">
        <w:rPr>
          <w:color w:val="000000" w:themeColor="text1"/>
          <w:sz w:val="23"/>
          <w:szCs w:val="23"/>
          <w:lang w:val="pt-BR"/>
        </w:rPr>
        <w:t xml:space="preserve"> ceg</w:t>
      </w:r>
      <w:r w:rsidR="00667503" w:rsidRPr="00A65B69">
        <w:rPr>
          <w:color w:val="000000" w:themeColor="text1"/>
          <w:sz w:val="23"/>
          <w:szCs w:val="23"/>
          <w:lang w:val="pt-BR"/>
        </w:rPr>
        <w:t>ados</w:t>
      </w:r>
      <w:r w:rsidR="00055515" w:rsidRPr="00A65B69">
        <w:rPr>
          <w:color w:val="000000" w:themeColor="text1"/>
          <w:sz w:val="23"/>
          <w:szCs w:val="23"/>
          <w:lang w:val="pt-BR"/>
        </w:rPr>
        <w:t xml:space="preserve"> para o protocolo de intervenção aplicado</w:t>
      </w:r>
      <w:r w:rsidR="00667503" w:rsidRPr="00A65B69">
        <w:rPr>
          <w:color w:val="000000" w:themeColor="text1"/>
          <w:sz w:val="23"/>
          <w:szCs w:val="23"/>
          <w:lang w:val="pt-BR"/>
        </w:rPr>
        <w:t xml:space="preserve"> (HI ou Placebo)</w:t>
      </w:r>
      <w:r w:rsidR="00055515" w:rsidRPr="00A65B69">
        <w:rPr>
          <w:color w:val="000000" w:themeColor="text1"/>
          <w:sz w:val="23"/>
          <w:szCs w:val="23"/>
          <w:lang w:val="pt-BR"/>
        </w:rPr>
        <w:t>. As pessoas com DP serão avaliad</w:t>
      </w:r>
      <w:r w:rsidR="00435840" w:rsidRPr="00A65B69">
        <w:rPr>
          <w:color w:val="000000" w:themeColor="text1"/>
          <w:sz w:val="23"/>
          <w:szCs w:val="23"/>
          <w:lang w:val="pt-BR"/>
        </w:rPr>
        <w:t>a</w:t>
      </w:r>
      <w:r w:rsidR="00055515" w:rsidRPr="00A65B69">
        <w:rPr>
          <w:color w:val="000000" w:themeColor="text1"/>
          <w:sz w:val="23"/>
          <w:szCs w:val="23"/>
          <w:lang w:val="pt-BR"/>
        </w:rPr>
        <w:t>s e realizarão a intervenção em estado ON da medicação (entre 60</w:t>
      </w:r>
      <w:r w:rsidR="00F757B0" w:rsidRPr="00A65B69">
        <w:rPr>
          <w:color w:val="000000" w:themeColor="text1"/>
          <w:sz w:val="23"/>
          <w:szCs w:val="23"/>
          <w:lang w:val="pt-BR"/>
        </w:rPr>
        <w:t xml:space="preserve"> </w:t>
      </w:r>
      <w:r w:rsidR="00055515" w:rsidRPr="00A65B69">
        <w:rPr>
          <w:color w:val="000000" w:themeColor="text1"/>
          <w:sz w:val="23"/>
          <w:szCs w:val="23"/>
          <w:lang w:val="pt-BR"/>
        </w:rPr>
        <w:t>min até 150</w:t>
      </w:r>
      <w:r w:rsidR="00F757B0" w:rsidRPr="00A65B69">
        <w:rPr>
          <w:color w:val="000000" w:themeColor="text1"/>
          <w:sz w:val="23"/>
          <w:szCs w:val="23"/>
          <w:lang w:val="pt-BR"/>
        </w:rPr>
        <w:t xml:space="preserve"> </w:t>
      </w:r>
      <w:r w:rsidR="00055515" w:rsidRPr="00A65B69">
        <w:rPr>
          <w:color w:val="000000" w:themeColor="text1"/>
          <w:sz w:val="23"/>
          <w:szCs w:val="23"/>
          <w:lang w:val="pt-BR"/>
        </w:rPr>
        <w:t>min após a ingestão da medicação)</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CF7A48" w:rsidRPr="00A65B69">
        <w:rPr>
          <w:color w:val="000000" w:themeColor="text1"/>
          <w:sz w:val="23"/>
          <w:szCs w:val="23"/>
          <w:lang w:val="pt-BR"/>
        </w:rPr>
        <w:instrText>ADDIN CSL_CITATION {"citationItems":[{"id":"ITEM-1","itemData":{"DOI":"https://doi.org/10.1016/j.brainres.2021.147727","ISSN":"0006-8993","abstract":"Background Our understanding of how balance control responds to levodopa over the course of a single day in people with Parkinson’s disease (PD) is limited with the majority of studies focused on isolated comparisons of ON vs. OFF levodopa medication. Objective To evaluate the temporal dynamics of postural control following the first levodopa dose of the day during a challenging standing task in a group of people with PD. Methods Changes in postural control were evaluated by monitoring cortical activity (covering frontal, motor, parietal and occipital areas), body sway parameters (force platform), and lower limb muscle activity (tibialis anterior and gastrocnemius medialis) in 15 individuals with PD during a semi-tandem standing task. Participants were assessed during two 60 second trials every 30 minutes (ON-30 ON-60 etc.) for 3 hours after the first matinal dose (ON-180). Results Compared to when tested OFF-medication, cortical activity was increased across all four regions from ON-60 to ON-120 with early increases in alpha and beta band activity observed at ON-30. Levodopa was associated with increased gastrocnemius medialis activity (ON-30 to ON-120) and ankle co-contraction (ON-60 to ON-120). Changes in body sway outcomes (particularly in the anterior-posterior direction) were evident from ON-60 to ON-120. Conclusions Our results reveal a 60-minute window within which postural control outcomes may be obtained that are different compared to OFF-state and remain stable (from 60-minutes to 120-minutes after levodopa intake). Identifying a window of opportunity for measurement when individuals are optimally medicated is important for observations in a clinical and research setting.","author":[{"dropping-particle":"","family":"Araújo-Silva","given":"Fabiana","non-dropping-particle":"","parse-names":false,"suffix":""},{"dropping-particle":"","family":"Santinelli","given":"Felipe B","non-dropping-particle":"","parse-names":false,"suffix":""},{"dropping-particle":"","family":"Felipe I. Imaizumi","given":"Luis","non-dropping-particle":"","parse-names":false,"suffix":""},{"dropping-particle":"","family":"Silveira","given":"Aline P B","non-dropping-particle":"","parse-names":false,"suffix":""},{"dropping-particle":"","family":"Vieira","given":"Luiz H P","non-dropping-particle":"","parse-names":false,"suffix":""},{"dropping-particle":"","family":"Alcock","given":"Lisa","non-dropping-particle":"","parse-names":false,"suffix":""},{"dropping-particle":"","family":"Barbieri","given":"Fabio A","non-dropping-particle":"","parse-names":false,"suffix":""}],"container-title":"Brain Research","id":"ITEM-1","issued":{"date-parts":[["2022"]]},"page":"147727","title":"Temporal dynamics of cortical activity and postural control in response to the first levodopa dose of the day in people with Parkinson’s disease","type":"article-journal","volume":"1775"},"uris":["http://www.mendeley.com/documents/?uuid=531f0a99-f7e5-40e8-b6bd-ea6ebcafe1b1"]},{"id":"ITEM-2","itemData":{"DOI":"10.1007/s00221-007-1113-y","ISSN":"00144819","PMID":"17828529","abstract":"The aim of this study was to quantify the dynamic response of locomotion to the first oral levodopa administration of the day in patients with fluctuating Parkinson's disease (PD). Stride length, walking speed, cadence and gait variability were measured with an ambulatory gait monitor in 13 PD patients (8 males) with a clinical history of motor fluctuations. The Unified Parkinson's Disease Rating Scale (UPDRS) gait score (part 29) was also determined by a movement disorders specialist from video recordings. Subjects arrived in the morning in an 'off' state (no PD medication) and walked for a maximum length of 100 m. They then took their usual morning dose of oral levodopa and repeated the walking task at 13 min intervals (on average) over a 90 min period. Changes in stride length over time were fit with a Hill (Emax) function. Latency (time until stride length increased 15% of the difference between baseline and maximum response) and the Hill coefficient (shape of the 'off-on' transition) were determined from the fitted curve. Latency varied from 4.7 to 53.3 min post-administration [23.31 min (SD 14.9)], and was inversely correlated with age at onset of PD (R = -0.83; P = 0.0004). The Hill coefficient (H) ranged from a smooth hyperbolic curve (0.9) to an abrupt 'off-on' transition (16.9), with a mean of 8.1 (SD 4.9). H correlated with disease duration (R = 0.67; P = 0.01) and latency (R = 0.67; P = 0.01), and increased with Hoehn &amp; Yahr stage in the 'off' state (P = 0.02) from 5.7 (SD 3.5) (H&amp;Y III) to 11.9 (SD 4.7) (H&amp;Y IV). Walking speed correlated with changes in mean stride length, whereas cadence and gait variability did not. UPDRS gait score also reflected improving gait in the majority of subjects (8), providing clinical confirmation of the objective measures of the locomotor response to levodopa. Increasing abruptness (H) of the 'off-on' transition with disease duration is consistent with results from finger-tapping studies, and may reflect reduced buffering capacity of pre-synaptic nigrostriatal dopaminergic neurons. Ambulatory monitoring of gait objectively measures the dynamic locomotor response to levodopa, and this information could be used to improve daily management of motor fluctuations. © 2007 Springer-Verlag.","author":[{"dropping-particle":"","family":"Moore","given":"Steven T.","non-dropping-particle":"","parse-names":false,"suffix":""},{"dropping-particle":"","family":"MacDougall","given":"Hamish G.","non-dropping-particle":"","parse-names":false,"suffix":""},{"dropping-particle":"","family":"Gracies","given":"Jean Michel","non-dropping-particle":"","parse-names":false,"suffix":""},{"dropping-particle":"","family":"Ondo","given":"William G.","non-dropping-particle":"","parse-names":false,"suffix":""}],"container-title":"Experimental Brain Research","id":"ITEM-2","issue":"4","issued":{"date-parts":[["2008"]]},"page":"469-478","title":"Locomotor response to levodopa in fluctuating Parkinson's disease","type":"article-journal","volume":"184"},"uris":["http://www.mendeley.com/documents/?uuid=6abcd2c0-01ab-4c42-8a46-b89357a71c8a"]}],"mendeley":{"formattedCitation":"(ARAÚJO-SILVA et al., 2022; MOORE et al., 2008)","manualFormatting":"(ARAÚJO-SILVA et al., 2022)","plainTextFormattedCitation":"(ARAÚJO-SILVA et al., 2022; MOORE et al., 2008)","previouslyFormattedCitation":"(ARAÚJO-SILVA et al., 2022; MOORE et al., 2008)"},"properties":{"noteIndex":0},"schema":"https://github.com/citation-style-language/schema/raw/master/csl-citation.json"}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(ARAÚJO-SILVA et al., 2022)</w:t>
      </w:r>
      <w:r w:rsidR="00301869" w:rsidRPr="00A65B69">
        <w:rPr>
          <w:color w:val="000000" w:themeColor="text1"/>
          <w:sz w:val="23"/>
          <w:szCs w:val="23"/>
          <w:lang w:val="pt-BR"/>
        </w:rPr>
        <w:fldChar w:fldCharType="end"/>
      </w:r>
      <w:r w:rsidR="00301869" w:rsidRPr="00A65B69">
        <w:rPr>
          <w:color w:val="000000" w:themeColor="text1"/>
          <w:sz w:val="23"/>
          <w:szCs w:val="23"/>
          <w:lang w:val="pt-BR"/>
        </w:rPr>
        <w:t>.</w:t>
      </w:r>
      <w:r w:rsidR="00055515" w:rsidRPr="00A65B69">
        <w:rPr>
          <w:color w:val="000000" w:themeColor="text1"/>
          <w:sz w:val="23"/>
          <w:szCs w:val="23"/>
          <w:lang w:val="pt-BR"/>
        </w:rPr>
        <w:t xml:space="preserve"> Os participantes serão instruídos a não realizarem qualquer atividade física 48</w:t>
      </w:r>
      <w:r w:rsidR="00F757B0" w:rsidRPr="00A65B69">
        <w:rPr>
          <w:color w:val="000000" w:themeColor="text1"/>
          <w:sz w:val="23"/>
          <w:szCs w:val="23"/>
          <w:lang w:val="pt-BR"/>
        </w:rPr>
        <w:t xml:space="preserve"> </w:t>
      </w:r>
      <w:r w:rsidR="00055515" w:rsidRPr="00A65B69">
        <w:rPr>
          <w:color w:val="000000" w:themeColor="text1"/>
          <w:sz w:val="23"/>
          <w:szCs w:val="23"/>
          <w:lang w:val="pt-BR"/>
        </w:rPr>
        <w:t xml:space="preserve">h antes </w:t>
      </w:r>
      <w:r w:rsidR="0051718C" w:rsidRPr="00A65B69">
        <w:rPr>
          <w:color w:val="000000" w:themeColor="text1"/>
          <w:sz w:val="23"/>
          <w:szCs w:val="23"/>
          <w:lang w:val="pt-BR"/>
        </w:rPr>
        <w:t xml:space="preserve">e após </w:t>
      </w:r>
      <w:r w:rsidR="00055515" w:rsidRPr="00A65B69">
        <w:rPr>
          <w:color w:val="000000" w:themeColor="text1"/>
          <w:sz w:val="23"/>
          <w:szCs w:val="23"/>
          <w:lang w:val="pt-BR"/>
        </w:rPr>
        <w:t>cada protocolo.</w:t>
      </w:r>
      <w:r w:rsidR="009B0508" w:rsidRPr="00A65B69">
        <w:rPr>
          <w:color w:val="000000" w:themeColor="text1"/>
          <w:sz w:val="23"/>
          <w:szCs w:val="23"/>
          <w:lang w:val="pt-BR"/>
        </w:rPr>
        <w:t xml:space="preserve"> </w:t>
      </w:r>
      <w:r w:rsidR="00293BE2" w:rsidRPr="00A65B69">
        <w:rPr>
          <w:color w:val="000000" w:themeColor="text1"/>
          <w:sz w:val="23"/>
          <w:szCs w:val="23"/>
          <w:lang w:val="pt-BR"/>
        </w:rPr>
        <w:t>Os blocos de avaliação serão separados por no mínimo sete dias.</w:t>
      </w:r>
    </w:p>
    <w:p w14:paraId="0EED5DBD" w14:textId="3855D192" w:rsidR="00F2479A" w:rsidRPr="00A65B69" w:rsidRDefault="009B0508"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t xml:space="preserve">Uma semana antes do primeiro bloco de avaliação, será realizada a avaliação clínica e entrevista dos participantes. Além disso, </w:t>
      </w:r>
      <w:r w:rsidR="00A207BA" w:rsidRPr="00A65B69">
        <w:rPr>
          <w:color w:val="000000" w:themeColor="text1"/>
          <w:sz w:val="23"/>
          <w:szCs w:val="23"/>
          <w:lang w:val="pt-BR"/>
        </w:rPr>
        <w:t xml:space="preserve">o sono </w:t>
      </w:r>
      <w:r w:rsidRPr="00A65B69">
        <w:rPr>
          <w:color w:val="000000" w:themeColor="text1"/>
          <w:sz w:val="23"/>
          <w:szCs w:val="23"/>
          <w:lang w:val="pt-BR"/>
        </w:rPr>
        <w:t xml:space="preserve">será </w:t>
      </w:r>
      <w:r w:rsidR="00A207BA" w:rsidRPr="00A65B69">
        <w:rPr>
          <w:color w:val="000000" w:themeColor="text1"/>
          <w:sz w:val="23"/>
          <w:szCs w:val="23"/>
          <w:lang w:val="pt-BR"/>
        </w:rPr>
        <w:t>monitorado por 7 dias consecutivos, incluindo o final de semana</w:t>
      </w:r>
      <w:r w:rsidR="00301869" w:rsidRPr="00A65B69">
        <w:rPr>
          <w:color w:val="000000" w:themeColor="text1"/>
          <w:sz w:val="23"/>
          <w:szCs w:val="23"/>
          <w:lang w:val="pt-BR"/>
        </w:rPr>
        <w:t xml:space="preserve"> </w:t>
      </w:r>
      <w:r w:rsidR="00301869" w:rsidRPr="00A65B69">
        <w:rPr>
          <w:color w:val="000000" w:themeColor="text1"/>
          <w:sz w:val="23"/>
          <w:szCs w:val="23"/>
          <w:lang w:val="pt-BR"/>
        </w:rPr>
        <w:fldChar w:fldCharType="begin" w:fldLock="1"/>
      </w:r>
      <w:r w:rsidR="007C7F77" w:rsidRPr="00A65B69">
        <w:rPr>
          <w:color w:val="000000" w:themeColor="text1"/>
          <w:sz w:val="23"/>
          <w:szCs w:val="23"/>
          <w:lang w:val="pt-BR"/>
        </w:rPr>
        <w:instrText>ADDIN CSL_CITATION {"citationItems":[{"id":"ITEM-1","itemData":{"DOI":"10.1007/s40279-019-01119-4","ISBN":"4027901901119","ISSN":"11792035","PMID":"31093921","abstract":"It is increasingly recognised that many athletes have poor sleep quantity and/or quality despite the advances in knowledge regarding the importance of sleep for an athletic population. The majority of research in sleep assessment and treatment (within the general population) focuses on the medical disorder insomnia, and therefore may not be specifically relevant for athletes. Further, there are currently no guidelines for the standardisation of assessment, intervention, feedback and behaviour change strategies in athletes. This review outlines potential reasons for sleep disturbances in athletes, advantages and disadvantages of a range of methods to assess sleep (polysomnography, activity monitoring, consumer sleep technology, sleep diaries and questionnaires), considerations for the provision of feedback, a description of potential interventions and behaviour change challenges and strategies. The objective of this review is to provide practitioners with the latest scientific evidence in an area rapidly progressing in awareness, consumerism and athlete engagement.","author":[{"dropping-particle":"","family":"Halson","given":"Shona L.","non-dropping-particle":"","parse-names":false,"suffix":""}],"container-title":"Sports Medicine","id":"ITEM-1","issue":"10","issued":{"date-parts":[["2019"]]},"page":"1487-1497","publisher":"Springer International Publishing","title":"Sleep Monitoring in Athletes: Motivation, Methods, Miscalculations and Why it Matters","type":"article-journal","volume":"49"},"uris":["http://www.mendeley.com/documents/?uuid=8dddbe66-8de3-4ce0-aeb8-85a5549e7b0a"]}],"mendeley":{"formattedCitation":"(HALSON, 2019)","plainTextFormattedCitation":"(HALSON, 2019)","previouslyFormattedCitation":"(HALSON, 2019)"},"properties":{"noteIndex":0},"schema":"https://github.com/citation-style-language/schema/raw/master/csl-citation.json"}</w:instrText>
      </w:r>
      <w:r w:rsidR="00301869" w:rsidRPr="00A65B69">
        <w:rPr>
          <w:color w:val="000000" w:themeColor="text1"/>
          <w:sz w:val="23"/>
          <w:szCs w:val="23"/>
          <w:lang w:val="pt-BR"/>
        </w:rPr>
        <w:fldChar w:fldCharType="separate"/>
      </w:r>
      <w:r w:rsidR="00301869" w:rsidRPr="00A65B69">
        <w:rPr>
          <w:noProof/>
          <w:color w:val="000000" w:themeColor="text1"/>
          <w:sz w:val="23"/>
          <w:szCs w:val="23"/>
          <w:lang w:val="pt-BR"/>
        </w:rPr>
        <w:t>(HALSON, 2019)</w:t>
      </w:r>
      <w:r w:rsidR="00301869" w:rsidRPr="00A65B69">
        <w:rPr>
          <w:color w:val="000000" w:themeColor="text1"/>
          <w:sz w:val="23"/>
          <w:szCs w:val="23"/>
          <w:lang w:val="pt-BR"/>
        </w:rPr>
        <w:fldChar w:fldCharType="end"/>
      </w:r>
      <w:r w:rsidR="00A207BA" w:rsidRPr="00A65B69">
        <w:rPr>
          <w:color w:val="000000" w:themeColor="text1"/>
          <w:sz w:val="23"/>
          <w:szCs w:val="23"/>
          <w:lang w:val="pt-BR"/>
        </w:rPr>
        <w:t xml:space="preserve">. Adicionalmente, será fornecido um diário de sono aos participantes, nomeadamente Consensus </w:t>
      </w:r>
      <w:proofErr w:type="spellStart"/>
      <w:r w:rsidR="00A207BA" w:rsidRPr="00A65B69">
        <w:rPr>
          <w:color w:val="000000" w:themeColor="text1"/>
          <w:sz w:val="23"/>
          <w:szCs w:val="23"/>
          <w:lang w:val="pt-BR"/>
        </w:rPr>
        <w:t>Sleep</w:t>
      </w:r>
      <w:proofErr w:type="spellEnd"/>
      <w:r w:rsidR="00A207BA" w:rsidRPr="00A65B69">
        <w:rPr>
          <w:color w:val="000000" w:themeColor="text1"/>
          <w:sz w:val="23"/>
          <w:szCs w:val="23"/>
          <w:lang w:val="pt-BR"/>
        </w:rPr>
        <w:t xml:space="preserve"> </w:t>
      </w:r>
      <w:proofErr w:type="spellStart"/>
      <w:r w:rsidR="00A207BA" w:rsidRPr="00A65B69">
        <w:rPr>
          <w:color w:val="000000" w:themeColor="text1"/>
          <w:sz w:val="23"/>
          <w:szCs w:val="23"/>
          <w:lang w:val="pt-BR"/>
        </w:rPr>
        <w:t>Diary</w:t>
      </w:r>
      <w:proofErr w:type="spellEnd"/>
      <w:r w:rsidR="00A207BA" w:rsidRPr="00A65B69">
        <w:rPr>
          <w:color w:val="000000" w:themeColor="text1"/>
          <w:sz w:val="23"/>
          <w:szCs w:val="23"/>
          <w:lang w:val="pt-BR"/>
        </w:rPr>
        <w:t xml:space="preserve"> (CSD), que deverá ser preenchido com informações (e.g., possíveis cochilos diurnos) deste período de 7 dias</w:t>
      </w:r>
      <w:r w:rsidR="007C7F77" w:rsidRPr="00A65B69">
        <w:rPr>
          <w:color w:val="000000" w:themeColor="text1"/>
          <w:sz w:val="23"/>
          <w:szCs w:val="23"/>
          <w:lang w:val="pt-BR"/>
        </w:rPr>
        <w:t xml:space="preserve"> </w:t>
      </w:r>
      <w:r w:rsidR="007C7F77" w:rsidRPr="00A65B69">
        <w:rPr>
          <w:color w:val="000000" w:themeColor="text1"/>
          <w:sz w:val="23"/>
          <w:szCs w:val="23"/>
          <w:lang w:val="pt-BR"/>
        </w:rPr>
        <w:fldChar w:fldCharType="begin" w:fldLock="1"/>
      </w:r>
      <w:r w:rsidR="007C7F77" w:rsidRPr="00A65B69">
        <w:rPr>
          <w:color w:val="000000" w:themeColor="text1"/>
          <w:sz w:val="23"/>
          <w:szCs w:val="23"/>
          <w:lang w:val="pt-BR"/>
        </w:rPr>
        <w:instrText>ADDIN CSL_CITATION {"citationItems":[{"id":"ITEM-1","itemData":{"abstract":"Study Objectives: To present an expert consensus, standardized, patient-informed sleep diary. Methods and Results: Sleep diaries from the original expert panel of 25 attendees of the Pittsburgh Assessment Conference1 were collected and reviewed. A smaller subset of experts formed a committee and reviewed the compiled diaries. Items deemed essential were included in a Core sleep diary, and those deemed optional were retained for an expanded diary. Secondly, optional items would be available in other versions. A draft of the Core and optional versions along with a feedback questionnaire were sent to members of the Pittsburgh Assessment Conference. The feedback from the group was integrated and the diary drafts were subjected to 6 focus groups composed of good sleepers, people with insomnia, and people with sleep apnea. The data were summarized into themes and changes to the drafts were made in response to the focus groups. The resultant draft was evaluated by another focus group and subjected to lexile analyses. The lexile analyses suggested that the Core diary instruc- tions are at a sixth-grade reading level and the Core diary was written at a third-grade reading level. Conclusions: The Consensus Sleep Diary was the result of collaborations with insomnia experts and potential users. The adoption of a standard sleep diary for insomnia will facilitate comparisons across studies and advance the field. The proposed diary is intended as a living document which still needs to be tested, refined, and validated. Keywords:","author":[{"dropping-particle":"","family":"Carney","given":"Colleen E","non-dropping-particle":"","parse-names":false,"suffix":""},{"dropping-particle":"","family":"Buysse","given":"Daniel J","non-dropping-particle":"","parse-names":false,"suffix":""},{"dropping-particle":"","family":"Ancoli-israel","given":"Sonia","non-dropping-particle":"","parse-names":false,"suffix":""},{"dropping-particle":"","family":"Edinger","given":"Jack D","non-dropping-particle":"","parse-names":false,"suffix":""},{"dropping-particle":"","family":"Krystal","given":"Andrew D","non-dropping-particle":"","parse-names":false,"suffix":""},{"dropping-particle":"","family":"Lichstein","given":"Kenneth L","non-dropping-particle":"","parse-names":false,"suffix":""},{"dropping-particle":"","family":"Morin","given":"Charles M","non-dropping-particle":"","parse-names":false,"suffix":""}],"container-title":"SLEEP","id":"ITEM-1","issue":"2","issued":{"date-parts":[["2012"]]},"title":"The Consensus Sleep Diary: Standardizing Prospective Sleep Self-Monitoring","type":"article-journal","volume":"35"},"uris":["http://www.mendeley.com/documents/?uuid=896f9ec5-4bdf-4949-a166-cd3ced327d9b"]}],"mendeley":{"formattedCitation":"(CARNEY et al., 2012)","plainTextFormattedCitation":"(CARNEY et al., 2012)","previouslyFormattedCitation":"(CARNEY et al., 2012)"},"properties":{"noteIndex":0},"schema":"https://github.com/citation-style-language/schema/raw/master/csl-citation.json"}</w:instrText>
      </w:r>
      <w:r w:rsidR="007C7F77" w:rsidRPr="00A65B69">
        <w:rPr>
          <w:color w:val="000000" w:themeColor="text1"/>
          <w:sz w:val="23"/>
          <w:szCs w:val="23"/>
          <w:lang w:val="pt-BR"/>
        </w:rPr>
        <w:fldChar w:fldCharType="separate"/>
      </w:r>
      <w:r w:rsidR="007C7F77" w:rsidRPr="00A65B69">
        <w:rPr>
          <w:noProof/>
          <w:color w:val="000000" w:themeColor="text1"/>
          <w:sz w:val="23"/>
          <w:szCs w:val="23"/>
          <w:lang w:val="pt-BR"/>
        </w:rPr>
        <w:t>(CARNEY et al., 2012)</w:t>
      </w:r>
      <w:r w:rsidR="007C7F77" w:rsidRPr="00A65B69">
        <w:rPr>
          <w:color w:val="000000" w:themeColor="text1"/>
          <w:sz w:val="23"/>
          <w:szCs w:val="23"/>
          <w:lang w:val="pt-BR"/>
        </w:rPr>
        <w:fldChar w:fldCharType="end"/>
      </w:r>
      <w:r w:rsidR="00A207BA" w:rsidRPr="00A65B69">
        <w:rPr>
          <w:color w:val="000000" w:themeColor="text1"/>
          <w:sz w:val="23"/>
          <w:szCs w:val="23"/>
          <w:lang w:val="pt-BR"/>
        </w:rPr>
        <w:t>. Este procedimento será adotado para determinar um baseline relacionado a qualidade do sono dos participantes</w:t>
      </w:r>
      <w:r w:rsidR="00F757B0" w:rsidRPr="00A65B69">
        <w:rPr>
          <w:color w:val="000000" w:themeColor="text1"/>
          <w:sz w:val="23"/>
          <w:szCs w:val="23"/>
          <w:lang w:val="pt-BR"/>
        </w:rPr>
        <w:t xml:space="preserve"> e assim poder verificar o efeito agudo (imediat</w:t>
      </w:r>
      <w:r w:rsidR="00435840" w:rsidRPr="00A65B69">
        <w:rPr>
          <w:color w:val="000000" w:themeColor="text1"/>
          <w:sz w:val="23"/>
          <w:szCs w:val="23"/>
          <w:lang w:val="pt-BR"/>
        </w:rPr>
        <w:t>o</w:t>
      </w:r>
      <w:r w:rsidR="00F757B0" w:rsidRPr="00A65B69">
        <w:rPr>
          <w:color w:val="000000" w:themeColor="text1"/>
          <w:sz w:val="23"/>
          <w:szCs w:val="23"/>
          <w:lang w:val="pt-BR"/>
        </w:rPr>
        <w:t xml:space="preserve"> e 24 h após) da HI</w:t>
      </w:r>
      <w:r w:rsidR="00A207BA" w:rsidRPr="00A65B69">
        <w:rPr>
          <w:color w:val="000000" w:themeColor="text1"/>
          <w:sz w:val="23"/>
          <w:szCs w:val="23"/>
          <w:lang w:val="pt-BR"/>
        </w:rPr>
        <w:t xml:space="preserve">. </w:t>
      </w:r>
    </w:p>
    <w:p w14:paraId="020D5383" w14:textId="437A0AD3" w:rsidR="00592C63" w:rsidRPr="00A65B69" w:rsidRDefault="006B7918" w:rsidP="00983EC0">
      <w:pPr>
        <w:tabs>
          <w:tab w:val="left" w:pos="284"/>
        </w:tabs>
        <w:spacing w:line="480" w:lineRule="auto"/>
        <w:ind w:right="2"/>
        <w:jc w:val="both"/>
        <w:rPr>
          <w:i/>
          <w:color w:val="000000" w:themeColor="text1"/>
          <w:lang w:val="pt-BR"/>
        </w:rPr>
      </w:pPr>
      <w:r w:rsidRPr="00A65B69">
        <w:rPr>
          <w:i/>
          <w:noProof/>
          <w:color w:val="000000" w:themeColor="text1"/>
          <w:lang w:val="pt-BR"/>
        </w:rPr>
        <w:drawing>
          <wp:inline distT="0" distB="0" distL="0" distR="0" wp14:anchorId="3BFE116D" wp14:editId="116479D9">
            <wp:extent cx="5819929" cy="31419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b="4023"/>
                    <a:stretch/>
                  </pic:blipFill>
                  <pic:spPr bwMode="auto">
                    <a:xfrm>
                      <a:off x="0" y="0"/>
                      <a:ext cx="5819929" cy="3141965"/>
                    </a:xfrm>
                    <a:prstGeom prst="rect">
                      <a:avLst/>
                    </a:prstGeom>
                    <a:ln>
                      <a:noFill/>
                    </a:ln>
                    <a:extLst>
                      <a:ext uri="{53640926-AAD7-44D8-BBD7-CCE9431645EC}">
                        <a14:shadowObscured xmlns:a14="http://schemas.microsoft.com/office/drawing/2010/main"/>
                      </a:ext>
                    </a:extLst>
                  </pic:spPr>
                </pic:pic>
              </a:graphicData>
            </a:graphic>
          </wp:inline>
        </w:drawing>
      </w:r>
    </w:p>
    <w:p w14:paraId="266BD858" w14:textId="349D10A9" w:rsidR="00275DA7" w:rsidRPr="00A65B69" w:rsidRDefault="00275DA7" w:rsidP="00A112DE">
      <w:pPr>
        <w:pStyle w:val="BodyText"/>
        <w:tabs>
          <w:tab w:val="left" w:pos="284"/>
        </w:tabs>
        <w:spacing w:before="0" w:line="360" w:lineRule="auto"/>
        <w:ind w:left="0" w:right="2"/>
        <w:rPr>
          <w:color w:val="000000" w:themeColor="text1"/>
          <w:sz w:val="23"/>
          <w:szCs w:val="23"/>
          <w:lang w:val="pt-BR"/>
        </w:rPr>
      </w:pPr>
      <w:r w:rsidRPr="00A65B69">
        <w:rPr>
          <w:b/>
          <w:bCs/>
          <w:color w:val="000000" w:themeColor="text1"/>
          <w:sz w:val="23"/>
          <w:szCs w:val="23"/>
          <w:lang w:val="pt-BR"/>
        </w:rPr>
        <w:t>Figura 1.</w:t>
      </w:r>
      <w:r w:rsidRPr="00A65B69">
        <w:rPr>
          <w:color w:val="000000" w:themeColor="text1"/>
          <w:sz w:val="23"/>
          <w:szCs w:val="23"/>
          <w:lang w:val="pt-BR"/>
        </w:rPr>
        <w:t xml:space="preserve"> Delineamento proposto para avaliação das adaptações agudas da exposição a HI sobre a marcha, sono</w:t>
      </w:r>
      <w:r w:rsidR="00A207BA" w:rsidRPr="00A65B69">
        <w:rPr>
          <w:color w:val="000000" w:themeColor="text1"/>
          <w:sz w:val="23"/>
          <w:szCs w:val="23"/>
          <w:lang w:val="pt-BR"/>
        </w:rPr>
        <w:t xml:space="preserve"> </w:t>
      </w:r>
      <w:r w:rsidRPr="00A65B69">
        <w:rPr>
          <w:color w:val="000000" w:themeColor="text1"/>
          <w:sz w:val="23"/>
          <w:szCs w:val="23"/>
          <w:lang w:val="pt-BR"/>
        </w:rPr>
        <w:t xml:space="preserve">e biomarcadores sanguíneos. </w:t>
      </w:r>
    </w:p>
    <w:p w14:paraId="1CDEB253" w14:textId="1C8F5F85" w:rsidR="00275DA7" w:rsidRPr="00A65B69" w:rsidRDefault="00275DA7" w:rsidP="00C5660B">
      <w:pPr>
        <w:tabs>
          <w:tab w:val="left" w:pos="284"/>
        </w:tabs>
        <w:spacing w:line="480" w:lineRule="auto"/>
        <w:ind w:right="2"/>
        <w:jc w:val="both"/>
        <w:rPr>
          <w:iCs/>
          <w:color w:val="000000" w:themeColor="text1"/>
          <w:sz w:val="23"/>
          <w:szCs w:val="23"/>
          <w:lang w:val="pt-BR"/>
        </w:rPr>
      </w:pPr>
    </w:p>
    <w:p w14:paraId="04CC9174" w14:textId="361B7EB0" w:rsidR="00966CDB" w:rsidRPr="00A65B69" w:rsidRDefault="00966CDB" w:rsidP="00BB3D68">
      <w:pPr>
        <w:pStyle w:val="BodyText"/>
        <w:tabs>
          <w:tab w:val="left" w:pos="284"/>
        </w:tabs>
        <w:spacing w:before="0" w:line="480" w:lineRule="auto"/>
        <w:ind w:left="0" w:right="2"/>
        <w:rPr>
          <w:i/>
          <w:iCs/>
          <w:color w:val="000000" w:themeColor="text1"/>
          <w:sz w:val="23"/>
          <w:szCs w:val="23"/>
          <w:lang w:val="pt-BR"/>
        </w:rPr>
      </w:pPr>
      <w:r w:rsidRPr="00A65B69">
        <w:rPr>
          <w:i/>
          <w:iCs/>
          <w:color w:val="000000" w:themeColor="text1"/>
          <w:sz w:val="23"/>
          <w:szCs w:val="23"/>
          <w:lang w:val="pt-BR"/>
        </w:rPr>
        <w:t xml:space="preserve">- Aplicação da hipóxia </w:t>
      </w:r>
      <w:r w:rsidR="006450FB" w:rsidRPr="00A65B69">
        <w:rPr>
          <w:i/>
          <w:iCs/>
          <w:color w:val="000000" w:themeColor="text1"/>
          <w:sz w:val="23"/>
          <w:szCs w:val="23"/>
          <w:lang w:val="pt-BR"/>
        </w:rPr>
        <w:t xml:space="preserve">normobárica </w:t>
      </w:r>
      <w:r w:rsidRPr="00A65B69">
        <w:rPr>
          <w:i/>
          <w:iCs/>
          <w:color w:val="000000" w:themeColor="text1"/>
          <w:sz w:val="23"/>
          <w:szCs w:val="23"/>
          <w:lang w:val="pt-BR"/>
        </w:rPr>
        <w:t>intermitente ou da situação controle (</w:t>
      </w:r>
      <w:proofErr w:type="spellStart"/>
      <w:r w:rsidRPr="00A65B69">
        <w:rPr>
          <w:i/>
          <w:iCs/>
          <w:color w:val="000000" w:themeColor="text1"/>
          <w:sz w:val="23"/>
          <w:szCs w:val="23"/>
          <w:lang w:val="pt-BR"/>
        </w:rPr>
        <w:t>normóxia</w:t>
      </w:r>
      <w:proofErr w:type="spellEnd"/>
      <w:r w:rsidRPr="00A65B69">
        <w:rPr>
          <w:i/>
          <w:iCs/>
          <w:color w:val="000000" w:themeColor="text1"/>
          <w:sz w:val="23"/>
          <w:szCs w:val="23"/>
          <w:lang w:val="pt-BR"/>
        </w:rPr>
        <w:t>)</w:t>
      </w:r>
    </w:p>
    <w:p w14:paraId="36F4B607" w14:textId="241A398F" w:rsidR="00966CDB" w:rsidRPr="00A65B69" w:rsidRDefault="00966CDB" w:rsidP="00BB3D68">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t xml:space="preserve">A </w:t>
      </w:r>
      <w:r w:rsidR="006450FB" w:rsidRPr="00A65B69">
        <w:rPr>
          <w:color w:val="000000" w:themeColor="text1"/>
          <w:sz w:val="23"/>
          <w:szCs w:val="23"/>
          <w:lang w:val="pt-BR"/>
        </w:rPr>
        <w:t>HI</w:t>
      </w:r>
      <w:r w:rsidRPr="00A65B69">
        <w:rPr>
          <w:color w:val="000000" w:themeColor="text1"/>
          <w:sz w:val="23"/>
          <w:szCs w:val="23"/>
          <w:lang w:val="pt-BR"/>
        </w:rPr>
        <w:t xml:space="preserve"> será aplicada por meio </w:t>
      </w:r>
      <w:r w:rsidR="00346C64" w:rsidRPr="00A65B69">
        <w:rPr>
          <w:color w:val="000000" w:themeColor="text1"/>
          <w:sz w:val="23"/>
          <w:szCs w:val="23"/>
          <w:lang w:val="pt-BR"/>
        </w:rPr>
        <w:t xml:space="preserve">de </w:t>
      </w:r>
      <w:r w:rsidRPr="00A65B69">
        <w:rPr>
          <w:color w:val="000000" w:themeColor="text1"/>
          <w:sz w:val="23"/>
          <w:szCs w:val="23"/>
          <w:lang w:val="pt-BR"/>
        </w:rPr>
        <w:t xml:space="preserve">um gerador de oxigênio </w:t>
      </w:r>
      <w:r w:rsidRPr="00A65B69">
        <w:rPr>
          <w:i/>
          <w:iCs/>
          <w:color w:val="000000" w:themeColor="text1"/>
          <w:sz w:val="23"/>
          <w:szCs w:val="23"/>
          <w:lang w:val="pt-BR"/>
        </w:rPr>
        <w:t xml:space="preserve">E-100 </w:t>
      </w:r>
      <w:proofErr w:type="spellStart"/>
      <w:r w:rsidRPr="00A65B69">
        <w:rPr>
          <w:i/>
          <w:iCs/>
          <w:color w:val="000000" w:themeColor="text1"/>
          <w:sz w:val="23"/>
          <w:szCs w:val="23"/>
          <w:lang w:val="pt-BR"/>
        </w:rPr>
        <w:t>Hypoxic</w:t>
      </w:r>
      <w:proofErr w:type="spellEnd"/>
      <w:r w:rsidRPr="00A65B69">
        <w:rPr>
          <w:i/>
          <w:iCs/>
          <w:color w:val="000000" w:themeColor="text1"/>
          <w:sz w:val="23"/>
          <w:szCs w:val="23"/>
          <w:lang w:val="pt-BR"/>
        </w:rPr>
        <w:t xml:space="preserve"> </w:t>
      </w:r>
      <w:proofErr w:type="spellStart"/>
      <w:r w:rsidRPr="00A65B69">
        <w:rPr>
          <w:i/>
          <w:iCs/>
          <w:color w:val="000000" w:themeColor="text1"/>
          <w:sz w:val="23"/>
          <w:szCs w:val="23"/>
          <w:lang w:val="pt-BR"/>
        </w:rPr>
        <w:t>Generator</w:t>
      </w:r>
      <w:proofErr w:type="spellEnd"/>
      <w:r w:rsidRPr="00A65B69">
        <w:rPr>
          <w:color w:val="000000" w:themeColor="text1"/>
          <w:sz w:val="23"/>
          <w:szCs w:val="23"/>
          <w:lang w:val="pt-BR"/>
        </w:rPr>
        <w:t xml:space="preserve"> (</w:t>
      </w:r>
      <w:proofErr w:type="spellStart"/>
      <w:r w:rsidRPr="00A65B69">
        <w:rPr>
          <w:color w:val="000000" w:themeColor="text1"/>
          <w:sz w:val="23"/>
          <w:szCs w:val="23"/>
          <w:lang w:val="pt-BR"/>
        </w:rPr>
        <w:t>Mile</w:t>
      </w:r>
      <w:proofErr w:type="spellEnd"/>
      <w:r w:rsidRPr="00A65B69">
        <w:rPr>
          <w:color w:val="000000" w:themeColor="text1"/>
          <w:sz w:val="23"/>
          <w:szCs w:val="23"/>
          <w:lang w:val="pt-BR"/>
        </w:rPr>
        <w:t xml:space="preserve"> High Training, EUA) em uma sala vedada. Os participantes serão submetidos à duas condições de </w:t>
      </w:r>
      <w:r w:rsidRPr="00A65B69">
        <w:rPr>
          <w:color w:val="000000" w:themeColor="text1"/>
          <w:sz w:val="23"/>
          <w:szCs w:val="23"/>
          <w:lang w:val="pt-BR"/>
        </w:rPr>
        <w:lastRenderedPageBreak/>
        <w:t>disponibilidade de oxigênio por 35</w:t>
      </w:r>
      <w:r w:rsidR="00885E42" w:rsidRPr="00A65B69">
        <w:rPr>
          <w:color w:val="000000" w:themeColor="text1"/>
          <w:sz w:val="23"/>
          <w:szCs w:val="23"/>
          <w:lang w:val="pt-BR"/>
        </w:rPr>
        <w:t xml:space="preserve"> </w:t>
      </w:r>
      <w:r w:rsidRPr="00A65B69">
        <w:rPr>
          <w:color w:val="000000" w:themeColor="text1"/>
          <w:sz w:val="23"/>
          <w:szCs w:val="23"/>
          <w:lang w:val="pt-BR"/>
        </w:rPr>
        <w:t>min</w:t>
      </w:r>
      <w:r w:rsidR="007C7F77" w:rsidRPr="00A65B69">
        <w:rPr>
          <w:color w:val="000000" w:themeColor="text1"/>
          <w:sz w:val="23"/>
          <w:szCs w:val="23"/>
          <w:lang w:val="pt-BR"/>
        </w:rPr>
        <w:t xml:space="preserve"> </w:t>
      </w:r>
      <w:r w:rsidR="007C7F77" w:rsidRPr="00A65B69">
        <w:rPr>
          <w:color w:val="000000" w:themeColor="text1"/>
          <w:sz w:val="23"/>
          <w:szCs w:val="23"/>
          <w:lang w:val="pt-BR"/>
        </w:rPr>
        <w:fldChar w:fldCharType="begin" w:fldLock="1"/>
      </w:r>
      <w:r w:rsidR="00DF4681" w:rsidRPr="00A65B69">
        <w:rPr>
          <w:color w:val="000000" w:themeColor="text1"/>
          <w:sz w:val="23"/>
          <w:szCs w:val="23"/>
          <w:lang w:val="pt-BR"/>
        </w:rPr>
        <w:instrText>ADDIN CSL_CITATION {"citationItems":[{"id":"ITEM-1","itemData":{"DOI":"10.1080/14763141.2021.1900356","ISSN":"17526116","abstract":"This study aimed to characterise bilateral asymmetry in running mechanics during perceptually regulated, high-intensity intermittent running in hypoxia and normoxia and examines whether inter-limb differences in running mechanics are modified between and within intervals. Nineteen trained runners completed 4 × 4-min treadmill running bouts (3-min passive recoveries) at a perceived rating exertion of 16 on the 6–20 Borg scale in either hypoxic (FiO2 = 0.15) or normoxic (FiO2 = 0.21) conditions. Ground reaction force recordings at constant velocity (group average: 14.8 ± 1.9 km/h) allowed measurement of running kinetics/kinematics and calculation of spring-mass model characteristics at the beginning and the end of each 4-min interval. Lower limb asymmetry was assessed from the ‘symmetry angle’ (SA) score. There were no between intervals (P &gt; 0.087), within intervals (P &gt; 0.076) or FiO2 (P &gt; 0.128) differences in SA scores for any of the 16 biomechanical variables. Mean SA scores were lower than 1.5% for spatio-temporal variables, ~1.5–3% for braking and push-off phase durations, peak forces and impulses and ~4–6% for mean loading rate and vertical stiffness. With preserved lower limb asymmetries both between and within intervals and with additional hypoxia, trained runners completing perceptually regulated interval treadmill runs may anticipate a maintained performance without heightened injury risk.","author":[{"dropping-particle":"","family":"Girard","given":"Olivier","non-dropping-particle":"","parse-names":false,"suffix":""},{"dropping-particle":"","family":"Li","given":"Siu Nam","non-dropping-particle":"","parse-names":false,"suffix":""},{"dropping-particle":"","family":"Hobbins","given":"Liam","non-dropping-particle":"","parse-names":false,"suffix":""},{"dropping-particle":"","family":"Ryu","given":"Joong Hyun","non-dropping-particle":"","parse-names":false,"suffix":""},{"dropping-particle":"","family":"Peeling","given":"Peter","non-dropping-particle":"","parse-names":false,"suffix":""}],"container-title":"Sports Biomechanics","id":"ITEM-1","issue":"00","issued":{"date-parts":[["2021"]]},"page":"1-17","publisher":"Routledge","title":"Gait asymmetries during perceptually-regulated interval running in hypoxia and normoxia","type":"article-journal","volume":"00"},"uris":["http://www.mendeley.com/documents/?uuid=b3565c38-f918-4009-b441-0ca3fe56be34"]},{"id":"ITEM-2","itemData":{"DOI":"10.1212/01.WNL.0000437416.34298.43","ISSN":"1526632X","PMID":"24285617","abstract":"Objectives: To test the hypothesis that daily acute intermittent hypoxia (dAIH) and dAIH combined with overground walking improve walking speed and endurance in persons with chronic incomplete spinal cord injury (iSCI). Methods: Nineteen subjects completed the randomized, double-blind, placebo-controlled, crossover study. Participants received 15, 90-second hypoxic exposures (dAIH, fraction of inspired oxygen [FIO2] 5 0.09) or daily normoxia (dSHAM, FIO2 5 0.21) at 60-second normoxic intervals on 5 consecutive days; dAIH was given alone or combined with 30 minutes of overground walking 1 hour later. Walking speed and endurance were quantified using 10-Meter and 6-Minute Walk Tests. The trial is registered at ClinicalTrials.gov (NCT01272349). Results: dAIH improved walking speed and endurance. Ten-Meter Walk time improved with dAIH vs dSHAM after 1 day (mean difference [MD] 3.8 seconds, 95%confidence interval [CI] 1.1-6.5 seconds, p 5 0.006) and 2 weeks (MD 3.8 seconds, 95% CI 0.9-6.7 seconds, p 5 0.010). Six- MinuteWalk distance increased with combined dAIH 1 walking vs dSHAM1 walking after 5 days (MD 94.4 m, 95% CI 17.5-171.3 m, p 5 0.017) and 1-week follow-up (MD 97.0 m, 95% CI 20.1-173.9 m, p 5 0.014). dAIH 1 walking increased walking distance more than dAIH after 1 day (MD 67.7 m, 95% CI 1.3-134.1 m, p 5 0.046), 5 days (MD 107.0 m, 95% CI 40.6- 173.4 m, p 5 0.002), and 1-week follow-up (MD 136.0 m, 95% CI 65.3-206.6 m, p , 0.001). Conclusions: dAIH 6 walking improved walking speed and distance in persons with chronic iSCI. The impact of dAIH is enhanced by combination with walking, demonstrating that combinatorial therapies may promote greater functional benefits in persons with iSCI. Classification of evidence: This study provides Class I evidence that transient hypoxia (through measured breathing treatments), along with overground walking training, improves walking speed and endurance after iSCI.","author":[{"dropping-particle":"","family":"Hayes","given":"Heather B.","non-dropping-particle":"","parse-names":false,"suffix":""},{"dropping-particle":"","family":"Jayaraman","given":"Arun","non-dropping-particle":"","parse-names":false,"suffix":""},{"dropping-particle":"","family":"Herrmann","given":"Megan","non-dropping-particle":"","parse-names":false,"suffix":""},{"dropping-particle":"","family":"Mitchell","given":"Gordon S.","non-dropping-particle":"","parse-names":false,"suffix":""},{"dropping-particle":"","family":"Rymer","given":"William Z.","non-dropping-particle":"","parse-names":false,"suffix":""},{"dropping-particle":"","family":"Trumbower","given":"Randy D.","non-dropping-particle":"","parse-names":false,"suffix":""}],"container-title":"Neurology","id":"ITEM-2","issue":"2","issued":{"date-parts":[["2014"]]},"page":"104-113","title":"Daily intermittent hypoxia enhances walking after chronic spinal cord injury A randomized trial","type":"article-journal","volume":"82"},"uris":["http://www.mendeley.com/documents/?uuid=38c85b95-8803-4c02-924c-1e99e51714c5"]},{"id":"ITEM-3","itemData":{"DOI":"10.1016/j.expneurol.2021.113669","ISSN":"00144886","PMID":"33647273","abstract":"Persons living with incomplete spinal cord injuries (SCI) often struggle to regain independent walking due to deficits in walking mechanics. They often dedicate many weeks of gait training before benefits to emerge, with additional training needed for benefits to persist. Recent studies in humans with SCI found that daily bouts of breathing low oxygen (acute intermittent hypoxia, AIH) prior to locomotor training elicited persistent (weeks) improvement in overground walking speed and endurance. AIH-induced improvements in overground walking may result from changes in control strategies that also enhance intralimb coordination; however, this possibility remains untested. Here, we examined the extent to which daily AIH combined with walking practice (AIH + WALK) improved overground walking performance and intralimb motor coordination in persons with chronic, incomplete SCI. Methods: We recruited 11 persons with chronic (&gt; 1 year), incomplete SCI to participate in a randomized, double-blind, balanced, crossover study. Participants first received either daily (5 consecutive days) AIH (15, 90-s episodes of 10.0% O2 with 60s intervals at 20.9% O2) or SHAM (15, 90s episodes at 20.9% O2 with 60s intervals at 20.9% O2) followed by 30-min of overground walking practice. They received the second treatment after a minimum 2-week washout period. We quantified overground walking performance, in terms of speed and endurance, using the 10-Meter Walk Test (10MWT) and 6-Minute Walk Test (6MWT), respectively. We quantified intralimb motor coordination using kinematic variability measures of foot trajectory (i.e., endpoint variability, EV) and of inter-joint coupling between the hip and knee, as well as between the knee and ankle joints (i.e., angular coefficient of correspondence, ACC). We compared the changes in walking performance relative to baseline (BL) between daily AIH + WALK and daily SHAM+WALK on treatment day 5 (T5), 1-week follow-up (F1), and 2-weeks follow-up (F2). We also compared these changes between participants who used bilateral walking aids (N = 5) and those who did not. To assess the effects of daily AIH + WALK on intralimb coordination, we compared potential treatment-induced changes in EV and ACC relative to BL at F1 and F2. Results: Participants improved overground walking performance (speed and endurance) after daily AIH + WALK, but not SHAM+WALK. Following daily AIH + WALK, participants decreased their 10MWT time at T5 by 28% (95% CI 0.2–10.1 s, p …","author":[{"dropping-particle":"","family":"Tan","given":"Andrew Q.","non-dropping-particle":"","parse-names":false,"suffix":""},{"dropping-particle":"","family":"Sohn","given":"Won Joon","non-dropping-particle":"","parse-names":false,"suffix":""},{"dropping-particle":"","family":"Naidu","given":"Avantika","non-dropping-particle":"","parse-names":false,"suffix":""},{"dropping-particle":"","family":"Trumbower","given":"Randy D.","non-dropping-particle":"","parse-names":false,"suffix":""}],"container-title":"Experimental Neurology","id":"ITEM-3","issued":{"date-parts":[["2021","6"]]},"page":"113669","publisher":"Academic Press","title":"Daily acute intermittent hypoxia combined with walking practice enhances walking performance but not intralimb motor coordination in persons with chronic incomplete spinal cord injury","type":"article-journal","volume":"340"},"uris":["http://www.mendeley.com/documents/?uuid=420812f9-c5f8-4ad3-9ad4-9b70c938b9f0"]},{"id":"ITEM-4","itemData":{"DOI":"10.1212/WNL.0000000000004596","ISSN":"1526632X","PMID":"28972191","abstract":"Objective: To test the hypothesis that daily acute intermittent hypoxia (AIH) combined with hand opening practice improves hand dexterity, function, and maximum hand opening in persons with chronic, motor-incomplete, cervical spinal cord injury. Methods: Six participants completed the double-blind, crossover study. Participants received daily (5 consecutive days) AIH (15 episodes per day: 1.5 minutes of fraction of inspired oxygen [FIO2] = 0.09, 1-minute normoxic intervals) followed by 20 repetitions of hand opening practice and normoxia (sham, FIO2 = 0.21) + hand opening practice. Hand dexterity and function were quantified with Box and Block and Jebsen-Taylor hand function tests. We also recorded maximum hand opening using motion analyses and coactivity of extensor digitorum and flexor digitorum superficialis muscles using surface EMG. Results: Daily AIH + hand opening practice improved hand dexterity, function, and maximum hand opening in all participants. AIH + hand opening practice improved Box and Block Test scores vs baseline in 5 participants (p = 0.057) and vs sham + hand opening practice in all 6 participants (p = 0.016). All participants reduced Jebsen-Taylor Hand Function Test (JTHF) time after daily AIH + hand opening practice (27.2 ± 1.4 seconds) vs baseline; 4 of 6 reduced JTHF time vs sham + hand opening practice (p = 0.078). AIH + hand opening practice improved maximum hand aperture in 5 of 6 participants (8.1 ± 2.7 mm) vs baseline (p = 0.018) and sham + hand opening practice (p = 0.030). In 5 participants, daily AIH-induced changes in hand opening were accompanied by improved EMG coactivity (p = 0.029). Conclusions: This report suggests the need for further study of AIH as a plasticity \"primer\" for task-specific training in spinal cord injury rehabilitation. Important clinical questions remain concerning optimal AIH dosage, patient screening, safety, and effect persistence.","author":[{"dropping-particle":"","family":"Trumbower","given":"Randy D.","non-dropping-particle":"","parse-names":false,"suffix":""},{"dropping-particle":"","family":"Hayes","given":"Heather B.","non-dropping-particle":"","parse-names":false,"suffix":""},{"dropping-particle":"","family":"Mitchell","given":"Gordon S.","non-dropping-particle":"","parse-names":false,"suffix":""},{"dropping-particle":"","family":"Wolf","given":"Steven L.","non-dropping-particle":"","parse-names":false,"suffix":""},{"dropping-particle":"","family":"Stahl","given":"Victoria A.","non-dropping-particle":"","parse-names":false,"suffix":""}],"container-title":"Neurology","id":"ITEM-4","issue":"18","issued":{"date-parts":[["2017"]]},"page":"1904-1907","title":"Effects of acute intermittent hypoxia on hand use after spinal cord trauma: A preliminary study","type":"article-journal","volume":"89"},"uris":["http://www.mendeley.com/documents/?uuid=f06594a2-51cc-4db1-af53-2aec2d12d0b1"]}],"mendeley":{"formattedCitation":"(GIRARD et al., 2021; HAYES et al., 2014; TAN et al., 2021; TRUMBOWER et al., 2017)","manualFormatting":"(GIRARD et al., 2021; TAN et al., 2021)","plainTextFormattedCitation":"(GIRARD et al., 2021; HAYES et al., 2014; TAN et al., 2021; TRUMBOWER et al., 2017)","previouslyFormattedCitation":"(GIRARD et al., 2021; HAYES et al., 2014; TAN et al., 2021; TRUMBOWER et al., 2017)"},"properties":{"noteIndex":0},"schema":"https://github.com/citation-style-language/schema/raw/master/csl-citation.json"}</w:instrText>
      </w:r>
      <w:r w:rsidR="007C7F77" w:rsidRPr="00A65B69">
        <w:rPr>
          <w:color w:val="000000" w:themeColor="text1"/>
          <w:sz w:val="23"/>
          <w:szCs w:val="23"/>
          <w:lang w:val="pt-BR"/>
        </w:rPr>
        <w:fldChar w:fldCharType="separate"/>
      </w:r>
      <w:r w:rsidR="007C7F77" w:rsidRPr="00A65B69">
        <w:rPr>
          <w:noProof/>
          <w:color w:val="000000" w:themeColor="text1"/>
          <w:sz w:val="23"/>
          <w:szCs w:val="23"/>
          <w:lang w:val="pt-BR"/>
        </w:rPr>
        <w:t>(GIRARD et al., 2021; TAN et al., 2021)</w:t>
      </w:r>
      <w:r w:rsidR="007C7F77" w:rsidRPr="00A65B69">
        <w:rPr>
          <w:color w:val="000000" w:themeColor="text1"/>
          <w:sz w:val="23"/>
          <w:szCs w:val="23"/>
          <w:lang w:val="pt-BR"/>
        </w:rPr>
        <w:fldChar w:fldCharType="end"/>
      </w:r>
      <w:r w:rsidRPr="00A65B69">
        <w:rPr>
          <w:color w:val="000000" w:themeColor="text1"/>
          <w:sz w:val="23"/>
          <w:szCs w:val="23"/>
          <w:lang w:val="pt-BR"/>
        </w:rPr>
        <w:t xml:space="preserve">: HI e </w:t>
      </w:r>
      <w:proofErr w:type="spellStart"/>
      <w:r w:rsidRPr="00A65B69">
        <w:rPr>
          <w:color w:val="000000" w:themeColor="text1"/>
          <w:sz w:val="23"/>
          <w:szCs w:val="23"/>
          <w:lang w:val="pt-BR"/>
        </w:rPr>
        <w:t>normóxia</w:t>
      </w:r>
      <w:proofErr w:type="spellEnd"/>
      <w:r w:rsidRPr="00A65B69">
        <w:rPr>
          <w:color w:val="000000" w:themeColor="text1"/>
          <w:sz w:val="23"/>
          <w:szCs w:val="23"/>
          <w:lang w:val="pt-BR"/>
        </w:rPr>
        <w:t xml:space="preserve"> (placebo). Na HI, a concentração de oxigênio na sala poderá alternar: 5</w:t>
      </w:r>
      <w:r w:rsidR="00885E42" w:rsidRPr="00A65B69">
        <w:rPr>
          <w:color w:val="000000" w:themeColor="text1"/>
          <w:sz w:val="23"/>
          <w:szCs w:val="23"/>
          <w:lang w:val="pt-BR"/>
        </w:rPr>
        <w:t xml:space="preserve"> </w:t>
      </w:r>
      <w:r w:rsidRPr="00A65B69">
        <w:rPr>
          <w:color w:val="000000" w:themeColor="text1"/>
          <w:sz w:val="23"/>
          <w:szCs w:val="23"/>
          <w:lang w:val="pt-BR"/>
        </w:rPr>
        <w:t>min em hipóxia (total = 2</w:t>
      </w:r>
      <w:r w:rsidR="00D02C26" w:rsidRPr="00A65B69">
        <w:rPr>
          <w:color w:val="000000" w:themeColor="text1"/>
          <w:sz w:val="23"/>
          <w:szCs w:val="23"/>
          <w:lang w:val="pt-BR"/>
        </w:rPr>
        <w:t>0</w:t>
      </w:r>
      <w:r w:rsidR="00885E42" w:rsidRPr="00A65B69">
        <w:rPr>
          <w:color w:val="000000" w:themeColor="text1"/>
          <w:sz w:val="23"/>
          <w:szCs w:val="23"/>
          <w:lang w:val="pt-BR"/>
        </w:rPr>
        <w:t xml:space="preserve"> </w:t>
      </w:r>
      <w:r w:rsidRPr="00A65B69">
        <w:rPr>
          <w:color w:val="000000" w:themeColor="text1"/>
          <w:sz w:val="23"/>
          <w:szCs w:val="23"/>
          <w:lang w:val="pt-BR"/>
        </w:rPr>
        <w:t>min) e 5</w:t>
      </w:r>
      <w:r w:rsidR="00885E42" w:rsidRPr="00A65B69">
        <w:rPr>
          <w:color w:val="000000" w:themeColor="text1"/>
          <w:sz w:val="23"/>
          <w:szCs w:val="23"/>
          <w:lang w:val="pt-BR"/>
        </w:rPr>
        <w:t xml:space="preserve"> </w:t>
      </w:r>
      <w:r w:rsidRPr="00A65B69">
        <w:rPr>
          <w:color w:val="000000" w:themeColor="text1"/>
          <w:sz w:val="23"/>
          <w:szCs w:val="23"/>
          <w:lang w:val="pt-BR"/>
        </w:rPr>
        <w:t xml:space="preserve">min em </w:t>
      </w:r>
      <w:proofErr w:type="spellStart"/>
      <w:r w:rsidRPr="00A65B69">
        <w:rPr>
          <w:color w:val="000000" w:themeColor="text1"/>
          <w:sz w:val="23"/>
          <w:szCs w:val="23"/>
          <w:lang w:val="pt-BR"/>
        </w:rPr>
        <w:t>normóxia</w:t>
      </w:r>
      <w:proofErr w:type="spellEnd"/>
      <w:r w:rsidRPr="00A65B69">
        <w:rPr>
          <w:color w:val="000000" w:themeColor="text1"/>
          <w:sz w:val="23"/>
          <w:szCs w:val="23"/>
          <w:lang w:val="pt-BR"/>
        </w:rPr>
        <w:t xml:space="preserve"> (total = 15</w:t>
      </w:r>
      <w:r w:rsidR="00885E42" w:rsidRPr="00A65B69">
        <w:rPr>
          <w:color w:val="000000" w:themeColor="text1"/>
          <w:sz w:val="23"/>
          <w:szCs w:val="23"/>
          <w:lang w:val="pt-BR"/>
        </w:rPr>
        <w:t xml:space="preserve"> </w:t>
      </w:r>
      <w:r w:rsidRPr="00A65B69">
        <w:rPr>
          <w:color w:val="000000" w:themeColor="text1"/>
          <w:sz w:val="23"/>
          <w:szCs w:val="23"/>
          <w:lang w:val="pt-BR"/>
        </w:rPr>
        <w:t xml:space="preserve">min). Na condição placebo, os participantes realizarão o protocolo de intervenção sem alteração </w:t>
      </w:r>
      <w:r w:rsidR="00346C64" w:rsidRPr="00A65B69">
        <w:rPr>
          <w:color w:val="000000" w:themeColor="text1"/>
          <w:sz w:val="23"/>
          <w:szCs w:val="23"/>
          <w:lang w:val="pt-BR"/>
        </w:rPr>
        <w:t>n</w:t>
      </w:r>
      <w:r w:rsidRPr="00A65B69">
        <w:rPr>
          <w:color w:val="000000" w:themeColor="text1"/>
          <w:sz w:val="23"/>
          <w:szCs w:val="23"/>
          <w:lang w:val="pt-BR"/>
        </w:rPr>
        <w:t xml:space="preserve">a concentração de oxigênio. Na situação de hipóxia, geradores serão conectados a sala, permitindo que as concentrações de oxigênio simulem uma altitude de </w:t>
      </w:r>
      <w:r w:rsidR="0032778A" w:rsidRPr="00A65B69">
        <w:rPr>
          <w:color w:val="000000" w:themeColor="text1"/>
          <w:sz w:val="23"/>
          <w:szCs w:val="23"/>
          <w:lang w:val="pt-BR"/>
        </w:rPr>
        <w:t>58</w:t>
      </w:r>
      <w:r w:rsidRPr="00A65B69">
        <w:rPr>
          <w:color w:val="000000" w:themeColor="text1"/>
          <w:sz w:val="23"/>
          <w:szCs w:val="23"/>
          <w:lang w:val="pt-BR"/>
        </w:rPr>
        <w:t>00</w:t>
      </w:r>
      <w:r w:rsidR="00885E42" w:rsidRPr="00A65B69">
        <w:rPr>
          <w:color w:val="000000" w:themeColor="text1"/>
          <w:sz w:val="23"/>
          <w:szCs w:val="23"/>
          <w:lang w:val="pt-BR"/>
        </w:rPr>
        <w:t xml:space="preserve"> </w:t>
      </w:r>
      <w:r w:rsidRPr="00A65B69">
        <w:rPr>
          <w:color w:val="000000" w:themeColor="text1"/>
          <w:sz w:val="23"/>
          <w:szCs w:val="23"/>
          <w:lang w:val="pt-BR"/>
        </w:rPr>
        <w:t>m (~1</w:t>
      </w:r>
      <w:r w:rsidR="00D02C26" w:rsidRPr="00A65B69">
        <w:rPr>
          <w:color w:val="000000" w:themeColor="text1"/>
          <w:sz w:val="23"/>
          <w:szCs w:val="23"/>
          <w:lang w:val="pt-BR"/>
        </w:rPr>
        <w:t>0</w:t>
      </w:r>
      <w:r w:rsidRPr="00A65B69">
        <w:rPr>
          <w:color w:val="000000" w:themeColor="text1"/>
          <w:sz w:val="23"/>
          <w:szCs w:val="23"/>
          <w:lang w:val="pt-BR"/>
        </w:rPr>
        <w:t>% de O</w:t>
      </w:r>
      <w:r w:rsidRPr="00A65B69">
        <w:rPr>
          <w:color w:val="000000" w:themeColor="text1"/>
          <w:sz w:val="23"/>
          <w:szCs w:val="23"/>
          <w:lang w:val="pt-BR"/>
        </w:rPr>
        <w:softHyphen/>
      </w:r>
      <w:r w:rsidRPr="00A65B69">
        <w:rPr>
          <w:color w:val="000000" w:themeColor="text1"/>
          <w:sz w:val="23"/>
          <w:szCs w:val="23"/>
          <w:vertAlign w:val="subscript"/>
          <w:lang w:val="pt-BR"/>
        </w:rPr>
        <w:t>2</w:t>
      </w:r>
      <w:r w:rsidRPr="00A65B69">
        <w:rPr>
          <w:color w:val="000000" w:themeColor="text1"/>
          <w:sz w:val="23"/>
          <w:szCs w:val="23"/>
          <w:lang w:val="pt-BR"/>
        </w:rPr>
        <w:t>). Os geradores também serão conectados na situação placebo, mas serão ajustados para uma altitude de 450</w:t>
      </w:r>
      <w:r w:rsidR="00885E42" w:rsidRPr="00A65B69">
        <w:rPr>
          <w:color w:val="000000" w:themeColor="text1"/>
          <w:sz w:val="23"/>
          <w:szCs w:val="23"/>
          <w:lang w:val="pt-BR"/>
        </w:rPr>
        <w:t xml:space="preserve"> </w:t>
      </w:r>
      <w:r w:rsidRPr="00A65B69">
        <w:rPr>
          <w:color w:val="000000" w:themeColor="text1"/>
          <w:sz w:val="23"/>
          <w:szCs w:val="23"/>
          <w:lang w:val="pt-BR"/>
        </w:rPr>
        <w:t>m (~21% de O</w:t>
      </w:r>
      <w:r w:rsidRPr="00A65B69">
        <w:rPr>
          <w:color w:val="000000" w:themeColor="text1"/>
          <w:sz w:val="23"/>
          <w:szCs w:val="23"/>
          <w:vertAlign w:val="subscript"/>
          <w:lang w:val="pt-BR"/>
        </w:rPr>
        <w:t>2</w:t>
      </w:r>
      <w:r w:rsidRPr="00A65B69">
        <w:rPr>
          <w:color w:val="000000" w:themeColor="text1"/>
          <w:sz w:val="23"/>
          <w:szCs w:val="23"/>
          <w:lang w:val="pt-BR"/>
        </w:rPr>
        <w:t>)</w:t>
      </w:r>
      <w:r w:rsidR="0032778A" w:rsidRPr="00A65B69">
        <w:rPr>
          <w:color w:val="000000" w:themeColor="text1"/>
          <w:sz w:val="23"/>
          <w:szCs w:val="23"/>
          <w:lang w:val="pt-BR"/>
        </w:rPr>
        <w:t xml:space="preserve"> </w:t>
      </w:r>
      <w:r w:rsidR="0032778A" w:rsidRPr="00A65B69">
        <w:rPr>
          <w:color w:val="000000" w:themeColor="text1"/>
          <w:sz w:val="23"/>
          <w:szCs w:val="23"/>
          <w:lang w:val="pt-BR"/>
        </w:rPr>
        <w:fldChar w:fldCharType="begin" w:fldLock="1"/>
      </w:r>
      <w:r w:rsidR="00333009" w:rsidRPr="00A65B69">
        <w:rPr>
          <w:color w:val="000000" w:themeColor="text1"/>
          <w:sz w:val="23"/>
          <w:szCs w:val="23"/>
          <w:lang w:val="pt-BR"/>
        </w:rPr>
        <w:instrText>ADDIN CSL_CITATION {"citationItems":[{"id":"ITEM-1","itemData":{"DOI":"10.1016/j.expneurol.2021.113669","ISSN":"00144886","PMID":"33647273","abstract":"Persons living with incomplete spinal cord injuries (SCI) often struggle to regain independent walking due to deficits in walking mechanics. They often dedicate many weeks of gait training before benefits to emerge, with additional training needed for benefits to persist. Recent studies in humans with SCI found that daily bouts of breathing low oxygen (acute intermittent hypoxia, AIH) prior to locomotor training elicited persistent (weeks) improvement in overground walking speed and endurance. AIH-induced improvements in overground walking may result from changes in control strategies that also enhance intralimb coordination; however, this possibility remains untested. Here, we examined the extent to which daily AIH combined with walking practice (AIH + WALK) improved overground walking performance and intralimb motor coordination in persons with chronic, incomplete SCI. Methods: We recruited 11 persons with chronic (&gt; 1 year), incomplete SCI to participate in a randomized, double-blind, balanced, crossover study. Participants first received either daily (5 consecutive days) AIH (15, 90-s episodes of 10.0% O2 with 60s intervals at 20.9% O2) or SHAM (15, 90s episodes at 20.9% O2 with 60s intervals at 20.9% O2) followed by 30-min of overground walking practice. They received the second treatment after a minimum 2-week washout period. We quantified overground walking performance, in terms of speed and endurance, using the 10-Meter Walk Test (10MWT) and 6-Minute Walk Test (6MWT), respectively. We quantified intralimb motor coordination using kinematic variability measures of foot trajectory (i.e., endpoint variability, EV) and of inter-joint coupling between the hip and knee, as well as between the knee and ankle joints (i.e., angular coefficient of correspondence, ACC). We compared the changes in walking performance relative to baseline (BL) between daily AIH + WALK and daily SHAM+WALK on treatment day 5 (T5), 1-week follow-up (F1), and 2-weeks follow-up (F2). We also compared these changes between participants who used bilateral walking aids (N = 5) and those who did not. To assess the effects of daily AIH + WALK on intralimb coordination, we compared potential treatment-induced changes in EV and ACC relative to BL at F1 and F2. Results: Participants improved overground walking performance (speed and endurance) after daily AIH + WALK, but not SHAM+WALK. Following daily AIH + WALK, participants decreased their 10MWT time at T5 by 28% (95% CI 0.2–10.1 s, p …","author":[{"dropping-particle":"","family":"Tan","given":"Andrew Q.","non-dropping-particle":"","parse-names":false,"suffix":""},{"dropping-particle":"","family":"Sohn","given":"Won Joon","non-dropping-particle":"","parse-names":false,"suffix":""},{"dropping-particle":"","family":"Naidu","given":"Avantika","non-dropping-particle":"","parse-names":false,"suffix":""},{"dropping-particle":"","family":"Trumbower","given":"Randy D.","non-dropping-particle":"","parse-names":false,"suffix":""}],"container-title":"Experimental Neurology","id":"ITEM-1","issued":{"date-parts":[["2021","6"]]},"page":"113669","publisher":"Academic Press","title":"Daily acute intermittent hypoxia combined with walking practice enhances walking performance but not intralimb motor coordination in persons with chronic incomplete spinal cord injury","type":"article-journal","volume":"340"},"uris":["http://www.mendeley.com/documents/?uuid=420812f9-c5f8-4ad3-9ad4-9b70c938b9f0"]},{"id":"ITEM-2","itemData":{"DOI":"10.1212/WNL.0000000000004596","ISSN":"1526632X","PMID":"28972191","abstract":"Objective: To test the hypothesis that daily acute intermittent hypoxia (AIH) combined with hand opening practice improves hand dexterity, function, and maximum hand opening in persons with chronic, motor-incomplete, cervical spinal cord injury. Methods: Six participants completed the double-blind, crossover study. Participants received daily (5 consecutive days) AIH (15 episodes per day: 1.5 minutes of fraction of inspired oxygen [FIO2] = 0.09, 1-minute normoxic intervals) followed by 20 repetitions of hand opening practice and normoxia (sham, FIO2 = 0.21) + hand opening practice. Hand dexterity and function were quantified with Box and Block and Jebsen-Taylor hand function tests. We also recorded maximum hand opening using motion analyses and coactivity of extensor digitorum and flexor digitorum superficialis muscles using surface EMG. Results: Daily AIH + hand opening practice improved hand dexterity, function, and maximum hand opening in all participants. AIH + hand opening practice improved Box and Block Test scores vs baseline in 5 participants (p = 0.057) and vs sham + hand opening practice in all 6 participants (p = 0.016). All participants reduced Jebsen-Taylor Hand Function Test (JTHF) time after daily AIH + hand opening practice (27.2 ± 1.4 seconds) vs baseline; 4 of 6 reduced JTHF time vs sham + hand opening practice (p = 0.078). AIH + hand opening practice improved maximum hand aperture in 5 of 6 participants (8.1 ± 2.7 mm) vs baseline (p = 0.018) and sham + hand opening practice (p = 0.030). In 5 participants, daily AIH-induced changes in hand opening were accompanied by improved EMG coactivity (p = 0.029). Conclusions: This report suggests the need for further study of AIH as a plasticity \"primer\" for task-specific training in spinal cord injury rehabilitation. Important clinical questions remain concerning optimal AIH dosage, patient screening, safety, and effect persistence.","author":[{"dropping-particle":"","family":"Trumbower","given":"Randy D.","non-dropping-particle":"","parse-names":false,"suffix":""},{"dropping-particle":"","family":"Hayes","given":"Heather B.","non-dropping-particle":"","parse-names":false,"suffix":""},{"dropping-particle":"","family":"Mitchell","given":"Gordon S.","non-dropping-particle":"","parse-names":false,"suffix":""},{"dropping-particle":"","family":"Wolf","given":"Steven L.","non-dropping-particle":"","parse-names":false,"suffix":""},{"dropping-particle":"","family":"Stahl","given":"Victoria A.","non-dropping-particle":"","parse-names":false,"suffix":""}],"container-title":"Neurology","id":"ITEM-2","issue":"18","issued":{"date-parts":[["2017"]]},"page":"1904-1907","title":"Effects of acute intermittent hypoxia on hand use after spinal cord trauma: A preliminary study","type":"article-journal","volume":"89"},"uris":["http://www.mendeley.com/documents/?uuid=f06594a2-51cc-4db1-af53-2aec2d12d0b1"]},{"id":"ITEM-3","itemData":{"DOI":"10.1212/01.WNL.0000437416.34298.43","ISSN":"1526632X","PMID":"24285617","abstract":"Objectives: To test the hypothesis that daily acute intermittent hypoxia (dAIH) and dAIH combined with overground walking improve walking speed and endurance in persons with chronic incomplete spinal cord injury (iSCI). Methods: Nineteen subjects completed the randomized, double-blind, placebo-controlled, crossover study. Participants received 15, 90-second hypoxic exposures (dAIH, fraction of inspired oxygen [FIO2] 5 0.09) or daily normoxia (dSHAM, FIO2 5 0.21) at 60-second normoxic intervals on 5 consecutive days; dAIH was given alone or combined with 30 minutes of overground walking 1 hour later. Walking speed and endurance were quantified using 10-Meter and 6-Minute Walk Tests. The trial is registered at ClinicalTrials.gov (NCT01272349). Results: dAIH improved walking speed and endurance. Ten-Meter Walk time improved with dAIH vs dSHAM after 1 day (mean difference [MD] 3.8 seconds, 95%confidence interval [CI] 1.1-6.5 seconds, p 5 0.006) and 2 weeks (MD 3.8 seconds, 95% CI 0.9-6.7 seconds, p 5 0.010). Six- MinuteWalk distance increased with combined dAIH 1 walking vs dSHAM1 walking after 5 days (MD 94.4 m, 95% CI 17.5-171.3 m, p 5 0.017) and 1-week follow-up (MD 97.0 m, 95% CI 20.1-173.9 m, p 5 0.014). dAIH 1 walking increased walking distance more than dAIH after 1 day (MD 67.7 m, 95% CI 1.3-134.1 m, p 5 0.046), 5 days (MD 107.0 m, 95% CI 40.6- 173.4 m, p 5 0.002), and 1-week follow-up (MD 136.0 m, 95% CI 65.3-206.6 m, p , 0.001). Conclusions: dAIH 6 walking improved walking speed and distance in persons with chronic iSCI. The impact of dAIH is enhanced by combination with walking, demonstrating that combinatorial therapies may promote greater functional benefits in persons with iSCI. Classification of evidence: This study provides Class I evidence that transient hypoxia (through measured breathing treatments), along with overground walking training, improves walking speed and endurance after iSCI.","author":[{"dropping-particle":"","family":"Hayes","given":"Heather B.","non-dropping-particle":"","parse-names":false,"suffix":""},{"dropping-particle":"","family":"Jayaraman","given":"Arun","non-dropping-particle":"","parse-names":false,"suffix":""},{"dropping-particle":"","family":"Herrmann","given":"Megan","non-dropping-particle":"","parse-names":false,"suffix":""},{"dropping-particle":"","family":"Mitchell","given":"Gordon S.","non-dropping-particle":"","parse-names":false,"suffix":""},{"dropping-particle":"","family":"Rymer","given":"William Z.","non-dropping-particle":"","parse-names":false,"suffix":""},{"dropping-particle":"","family":"Trumbower","given":"Randy D.","non-dropping-particle":"","parse-names":false,"suffix":""}],"container-title":"Neurology","id":"ITEM-3","issue":"2","issued":{"date-parts":[["2014"]]},"page":"104-113","title":"Daily intermittent hypoxia enhances walking after chronic spinal cord injury A randomized trial","type":"article-journal","volume":"82"},"uris":["http://www.mendeley.com/documents/?uuid=38c85b95-8803-4c02-924c-1e99e51714c5"]}],"mendeley":{"formattedCitation":"(HAYES et al., 2014; TAN et al., 2021; TRUMBOWER et al., 2017)","plainTextFormattedCitation":"(HAYES et al., 2014; TAN et al., 2021; TRUMBOWER et al., 2017)","previouslyFormattedCitation":"(HAYES et al., 2014; TAN et al., 2021; TRUMBOWER et al., 2017)"},"properties":{"noteIndex":0},"schema":"https://github.com/citation-style-language/schema/raw/master/csl-citation.json"}</w:instrText>
      </w:r>
      <w:r w:rsidR="0032778A" w:rsidRPr="00A65B69">
        <w:rPr>
          <w:color w:val="000000" w:themeColor="text1"/>
          <w:sz w:val="23"/>
          <w:szCs w:val="23"/>
          <w:lang w:val="pt-BR"/>
        </w:rPr>
        <w:fldChar w:fldCharType="separate"/>
      </w:r>
      <w:r w:rsidR="0032778A" w:rsidRPr="00A65B69">
        <w:rPr>
          <w:noProof/>
          <w:color w:val="000000" w:themeColor="text1"/>
          <w:sz w:val="23"/>
          <w:szCs w:val="23"/>
          <w:lang w:val="pt-BR"/>
        </w:rPr>
        <w:t>(HAYES et al., 2014; TAN et al., 2021; TRUMBOWER et al., 2017)</w:t>
      </w:r>
      <w:r w:rsidR="0032778A" w:rsidRPr="00A65B69">
        <w:rPr>
          <w:color w:val="000000" w:themeColor="text1"/>
          <w:sz w:val="23"/>
          <w:szCs w:val="23"/>
          <w:lang w:val="pt-BR"/>
        </w:rPr>
        <w:fldChar w:fldCharType="end"/>
      </w:r>
      <w:r w:rsidRPr="00A65B69">
        <w:rPr>
          <w:color w:val="000000" w:themeColor="text1"/>
          <w:sz w:val="23"/>
          <w:szCs w:val="23"/>
          <w:lang w:val="pt-BR"/>
        </w:rPr>
        <w:t>. Em ambas as situações, a cada 4</w:t>
      </w:r>
      <w:r w:rsidR="006450FB" w:rsidRPr="00A65B69">
        <w:rPr>
          <w:color w:val="000000" w:themeColor="text1"/>
          <w:sz w:val="23"/>
          <w:szCs w:val="23"/>
          <w:lang w:val="pt-BR"/>
        </w:rPr>
        <w:t xml:space="preserve"> </w:t>
      </w:r>
      <w:r w:rsidRPr="00A65B69">
        <w:rPr>
          <w:color w:val="000000" w:themeColor="text1"/>
          <w:sz w:val="23"/>
          <w:szCs w:val="23"/>
          <w:lang w:val="pt-BR"/>
        </w:rPr>
        <w:t>min será determinado o percentual de oxigênio dentro da sala (</w:t>
      </w:r>
      <w:proofErr w:type="spellStart"/>
      <w:r w:rsidRPr="00A65B69">
        <w:rPr>
          <w:color w:val="000000" w:themeColor="text1"/>
          <w:sz w:val="23"/>
          <w:szCs w:val="23"/>
          <w:lang w:val="pt-BR"/>
        </w:rPr>
        <w:t>Smart</w:t>
      </w:r>
      <w:proofErr w:type="spellEnd"/>
      <w:r w:rsidRPr="00A65B69">
        <w:rPr>
          <w:color w:val="000000" w:themeColor="text1"/>
          <w:sz w:val="23"/>
          <w:szCs w:val="23"/>
          <w:lang w:val="pt-BR"/>
        </w:rPr>
        <w:t xml:space="preserve"> Meter AZ-8403, Taiwan). Durante o protocolo será mensurado a frequência cardíaca, a saturação sanguínea de oxigênio e a percepção de esforço</w:t>
      </w:r>
      <w:r w:rsidR="007C7F77" w:rsidRPr="00A65B69">
        <w:rPr>
          <w:color w:val="000000" w:themeColor="text1"/>
          <w:sz w:val="23"/>
          <w:szCs w:val="23"/>
          <w:lang w:val="pt-BR"/>
        </w:rPr>
        <w:t xml:space="preserve"> </w:t>
      </w:r>
      <w:r w:rsidR="007C7F77" w:rsidRPr="00A65B69">
        <w:rPr>
          <w:color w:val="000000" w:themeColor="text1"/>
          <w:sz w:val="23"/>
          <w:szCs w:val="23"/>
          <w:lang w:val="pt-BR"/>
        </w:rPr>
        <w:fldChar w:fldCharType="begin" w:fldLock="1"/>
      </w:r>
      <w:r w:rsidR="007C7F77" w:rsidRPr="00A65B69">
        <w:rPr>
          <w:color w:val="000000" w:themeColor="text1"/>
          <w:sz w:val="23"/>
          <w:szCs w:val="23"/>
          <w:lang w:val="pt-BR"/>
        </w:rPr>
        <w:instrText>ADDIN CSL_CITATION {"citationItems":[{"id":"ITEM-1","itemData":{"DOI":"10.23736/S0022-4707.21.12111-5","ISSN":"00224707","PMID":"34275259","abstract":"BACKGROUND: The aim of this study was to assess hemodynamic and cardiac autonomic response to high-intensity interval exercise (HIIE) versus moderate-intensity continuous exercise (MICE) in individuals with Parkinson's disease (PD). METHODS: Twelve individuals (six men) with PD were randomly assigned to perform HIIE (4 min of warm-up followed by 21 min alternating 1 min at levels 15-17 with 2 min at levels 9-11 of rating of perceived exertion [RPE] in a cycle ergometer), MICE (4 min of warm-up followed by 26 min at levels 11-14 of RPE in a cycle ergometer) and control (CON; 30 min of sitting rest) interventions in separate days. Heart rate (HR), blood pressure (BP), endothelial reactivity and heart rate variability (HRV) were assessed before, immediately after and 45 min after each intervention. HR and exercise workload were measured during each intervention. RESULTS: Despite the within (high- vs. low-intensity intervals of HIIE) and between (HIIE vs. MICE) differences in workload during exercise sessions, HR was not different between high- (average HR=98±18 bpm) and low-intensity (average HR 97±19 bpm) intervals of HIIE, as well as between HIIE (average HR=97±18 bpm) and MICE (average HR=93±19 bpm) throughout the exercise. There were significant, but small, increases (P&lt;0.01) in HR and systolic BP at post HIIE and MICE, which returned to levels similar to preintervention during recovery. There were no within- and between-intervention differences in diastolic BP, endothelial reactivity and HRV. CONCLUSIONS: The present results suggest that hemodynamic response to exercise is impaired in individuals with PD.","author":[{"dropping-particle":"","family":"Fernandes","given":"Bianca","non-dropping-particle":"","parse-names":false,"suffix":""},{"dropping-particle":"","family":"Barbieri","given":"Fabio A.","non-dropping-particle":"","parse-names":false,"suffix":""},{"dropping-particle":"","family":"Marçal","given":"Isabela R.","non-dropping-particle":"","parse-names":false,"suffix":""},{"dropping-particle":"","family":"Amaral","given":"Vanessa T.","non-dropping-particle":"Do","parse-names":false,"suffix":""},{"dropping-particle":"","family":"Simieli","given":"Lucas","non-dropping-particle":"","parse-names":false,"suffix":""},{"dropping-particle":"","family":"Penedo","given":"Tiago","non-dropping-particle":"","parse-names":false,"suffix":""},{"dropping-particle":"","family":"Ciolac","given":"Emmanuel G.","non-dropping-particle":"","parse-names":false,"suffix":""}],"container-title":"The Journal of Sports Medicine and Physical Fitness","id":"ITEM-1","issue":"3","issued":{"date-parts":[["2022","1"]]},"title":"Hemodynamic response to exercise is impaired in individuals with Parkinson's disease","type":"article-journal","volume":"62"},"uris":["http://www.mendeley.com/documents/?uuid=e66aa535-5f2a-41f2-a369-109e509d3e34"]},{"id":"ITEM-2","itemData":{"DOI":"10.1123/jpah.2018-0588","ISSN":"1543-5474 (Electronic)","PMID":"31810064","abstract":"PURPOSE: To investigate the effect of high-intensity interval training (HIIT)  versus moderate-intensity continuous exercise training (MICE) on hemodynamic and functional variables in individuals with Parkinson's disease. METHODS: Twenty participants (13 men) were randomly assigned to a thrice-weekly HIIT (n = 12) or MICE (n = 8) for 12 weeks. Hemodynamic (resting heart rate and blood pressure, carotid femoral pulse wave velocity, endothelial reactivity, and heart rate variability) and functional variables (5-time sit-to-stand, timed up and go, and 6-min walking tests) assessed before and after training. RESULTS: Demographic, hemodynamic and functional variables were similar between groups at baseline. Endothelial reactivity tended to increase after HIIT, but not after MICE, resulting in improved level (</w:instrText>
      </w:r>
      <w:r w:rsidR="007C7F77" w:rsidRPr="00A65B69">
        <w:rPr>
          <w:rFonts w:ascii="Cambria Math" w:hAnsi="Cambria Math" w:cs="Cambria Math"/>
          <w:color w:val="000000" w:themeColor="text1"/>
          <w:sz w:val="23"/>
          <w:szCs w:val="23"/>
          <w:lang w:val="pt-BR"/>
        </w:rPr>
        <w:instrText>∼</w:instrText>
      </w:r>
      <w:r w:rsidR="007C7F77" w:rsidRPr="00A65B69">
        <w:rPr>
          <w:color w:val="000000" w:themeColor="text1"/>
          <w:sz w:val="23"/>
          <w:szCs w:val="23"/>
          <w:lang w:val="pt-BR"/>
        </w:rPr>
        <w:instrText>8%, P &lt; .01) of this variable in HIIT versus MICE during follow-up. Six-minute walking test improved after HIIT (10.4 ± 3.8%, P &lt; .05), but did not change after MICE. Sit to stand improved similarly after HIIT (27.2 ± 6.1%, P &lt; .05) and MICE (21.5 ± 5.4%, P &lt; .05). No significant changes were found after HIIT or MICE in any other variable assessed. CONCLUSION: These results suggest that exercise intensity may influence training-induced adaptation on endothelial reactivity and aerobic capacity in individuals with Parkinson's disease.","author":[{"dropping-particle":"","family":"Fernandes","given":"Bianca","non-dropping-particle":"","parse-names":false,"suffix":""},{"dropping-particle":"","family":"Barbieri","given":"Fabio Augusto","non-dropping-particle":"","parse-names":false,"suffix":""},{"dropping-particle":"","family":"Arthuso","given":"Fernanda Zane","non-dropping-particle":"","parse-names":false,"suffix":""},{"dropping-particle":"","family":"Silva","given":"Fabiana Araújo","non-dropping-particle":"","parse-names":false,"suffix":""},{"dropping-particle":"","family":"Moretto","given":"Gabriel Felipe","non-dropping-particle":"","parse-names":false,"suffix":""},{"dropping-particle":"","family":"Imaizumi","given":"Luis Felipe Itikawa","non-dropping-particle":"","parse-names":false,"suffix":""},{"dropping-particle":"","family":"Ngomane","given":"Awassi Yophiwa","non-dropping-particle":"","parse-names":false,"suffix":""},{"dropping-particle":"","family":"Guimarães","given":"Guilherme Veiga","non-dropping-particle":"","parse-names":false,"suffix":""},{"dropping-particle":"","family":"Ciolac","given":"Emmanuel Gomes","non-dropping-particle":"","parse-names":false,"suffix":""}],"container-title":"Journal of physical activity &amp; health","id":"ITEM-2","issue":"1","issued":{"date-parts":[["2020","1"]]},"language":"eng","page":"85-91","publisher-place":"United States","title":"High-Intensity Interval Versus Moderate-Intensity Continuous Training in  Individuals With Parkinson's Disease: Hemodynamic and Functional Adaptation.","type":"article-journal","volume":"17"},"uris":["http://www.mendeley.com/documents/?uuid=9151bdbc-71ac-436b-bb23-161953ab3707"]}],"mendeley":{"formattedCitation":"(FERNANDES et al., 2020, 2022)","plainTextFormattedCitation":"(FERNANDES et al., 2020, 2022)","previouslyFormattedCitation":"(FERNANDES et al., 2020, 2022)"},"properties":{"noteIndex":0},"schema":"https://github.com/citation-style-language/schema/raw/master/csl-citation.json"}</w:instrText>
      </w:r>
      <w:r w:rsidR="007C7F77" w:rsidRPr="00A65B69">
        <w:rPr>
          <w:color w:val="000000" w:themeColor="text1"/>
          <w:sz w:val="23"/>
          <w:szCs w:val="23"/>
          <w:lang w:val="pt-BR"/>
        </w:rPr>
        <w:fldChar w:fldCharType="separate"/>
      </w:r>
      <w:r w:rsidR="007C7F77" w:rsidRPr="00A65B69">
        <w:rPr>
          <w:noProof/>
          <w:color w:val="000000" w:themeColor="text1"/>
          <w:sz w:val="23"/>
          <w:szCs w:val="23"/>
          <w:lang w:val="pt-BR"/>
        </w:rPr>
        <w:t>(FERNANDES et al., 2020, 2022)</w:t>
      </w:r>
      <w:r w:rsidR="007C7F77" w:rsidRPr="00A65B69">
        <w:rPr>
          <w:color w:val="000000" w:themeColor="text1"/>
          <w:sz w:val="23"/>
          <w:szCs w:val="23"/>
          <w:lang w:val="pt-BR"/>
        </w:rPr>
        <w:fldChar w:fldCharType="end"/>
      </w:r>
      <w:r w:rsidRPr="00A65B69">
        <w:rPr>
          <w:color w:val="000000" w:themeColor="text1"/>
          <w:sz w:val="23"/>
          <w:szCs w:val="23"/>
          <w:lang w:val="pt-BR"/>
        </w:rPr>
        <w:t>.</w:t>
      </w:r>
      <w:r w:rsidR="002300BC" w:rsidRPr="00A65B69">
        <w:rPr>
          <w:color w:val="000000" w:themeColor="text1"/>
          <w:sz w:val="23"/>
          <w:szCs w:val="23"/>
          <w:lang w:val="pt-BR"/>
        </w:rPr>
        <w:t xml:space="preserve"> Estas variáveis serão obtidas por um pesquisador independente, o qual não aplicará diretamente </w:t>
      </w:r>
      <w:r w:rsidR="00496479" w:rsidRPr="00A65B69">
        <w:rPr>
          <w:color w:val="000000" w:themeColor="text1"/>
          <w:sz w:val="23"/>
          <w:szCs w:val="23"/>
          <w:lang w:val="pt-BR"/>
        </w:rPr>
        <w:t xml:space="preserve">os procedimentos de avaliação da marcha e/ou as análises dos parâmetros </w:t>
      </w:r>
      <w:r w:rsidR="00F437E0" w:rsidRPr="00A65B69">
        <w:rPr>
          <w:color w:val="000000" w:themeColor="text1"/>
          <w:sz w:val="23"/>
          <w:szCs w:val="23"/>
          <w:lang w:val="pt-BR"/>
        </w:rPr>
        <w:t>sanguíneos.</w:t>
      </w:r>
      <w:r w:rsidRPr="00A65B69">
        <w:rPr>
          <w:color w:val="000000" w:themeColor="text1"/>
          <w:sz w:val="23"/>
          <w:szCs w:val="23"/>
          <w:lang w:val="pt-BR"/>
        </w:rPr>
        <w:t xml:space="preserve"> Os procedimentos serão imediatamente interrompidos caso algum participante apresente SpO</w:t>
      </w:r>
      <w:r w:rsidRPr="00A65B69">
        <w:rPr>
          <w:color w:val="000000" w:themeColor="text1"/>
          <w:sz w:val="23"/>
          <w:szCs w:val="23"/>
          <w:vertAlign w:val="subscript"/>
          <w:lang w:val="pt-BR"/>
        </w:rPr>
        <w:t>2</w:t>
      </w:r>
      <w:r w:rsidRPr="00A65B69">
        <w:rPr>
          <w:color w:val="000000" w:themeColor="text1"/>
          <w:sz w:val="23"/>
          <w:szCs w:val="23"/>
          <w:lang w:val="pt-BR"/>
        </w:rPr>
        <w:t>&lt;75%</w:t>
      </w:r>
      <w:r w:rsidR="007C7F77" w:rsidRPr="00A65B69">
        <w:rPr>
          <w:color w:val="000000" w:themeColor="text1"/>
          <w:sz w:val="23"/>
          <w:szCs w:val="23"/>
          <w:lang w:val="pt-BR"/>
        </w:rPr>
        <w:t xml:space="preserve"> </w:t>
      </w:r>
      <w:r w:rsidR="007C7F77" w:rsidRPr="00A65B69">
        <w:rPr>
          <w:color w:val="000000" w:themeColor="text1"/>
          <w:sz w:val="23"/>
          <w:szCs w:val="23"/>
          <w:lang w:val="pt-BR"/>
        </w:rPr>
        <w:fldChar w:fldCharType="begin" w:fldLock="1"/>
      </w:r>
      <w:r w:rsidR="007C7F77" w:rsidRPr="00A65B69">
        <w:rPr>
          <w:color w:val="000000" w:themeColor="text1"/>
          <w:sz w:val="23"/>
          <w:szCs w:val="23"/>
          <w:lang w:val="pt-BR"/>
        </w:rPr>
        <w:instrText>ADDIN CSL_CITATION {"citationItems":[{"id":"ITEM-1","itemData":{"DOI":"10.1212/01.WNL.0000437416.34298.43","ISSN":"1526632X","PMID":"24285617","abstract":"Objectives: To test the hypothesis that daily acute intermittent hypoxia (dAIH) and dAIH combined with overground walking improve walking speed and endurance in persons with chronic incomplete spinal cord injury (iSCI). Methods: Nineteen subjects completed the randomized, double-blind, placebo-controlled, crossover study. Participants received 15, 90-second hypoxic exposures (dAIH, fraction of inspired oxygen [FIO2] 5 0.09) or daily normoxia (dSHAM, FIO2 5 0.21) at 60-second normoxic intervals on 5 consecutive days; dAIH was given alone or combined with 30 minutes of overground walking 1 hour later. Walking speed and endurance were quantified using 10-Meter and 6-Minute Walk Tests. The trial is registered at ClinicalTrials.gov (NCT01272349). Results: dAIH improved walking speed and endurance. Ten-Meter Walk time improved with dAIH vs dSHAM after 1 day (mean difference [MD] 3.8 seconds, 95%confidence interval [CI] 1.1-6.5 seconds, p 5 0.006) and 2 weeks (MD 3.8 seconds, 95% CI 0.9-6.7 seconds, p 5 0.010). Six- MinuteWalk distance increased with combined dAIH 1 walking vs dSHAM1 walking after 5 days (MD 94.4 m, 95% CI 17.5-171.3 m, p 5 0.017) and 1-week follow-up (MD 97.0 m, 95% CI 20.1-173.9 m, p 5 0.014). dAIH 1 walking increased walking distance more than dAIH after 1 day (MD 67.7 m, 95% CI 1.3-134.1 m, p 5 0.046), 5 days (MD 107.0 m, 95% CI 40.6- 173.4 m, p 5 0.002), and 1-week follow-up (MD 136.0 m, 95% CI 65.3-206.6 m, p , 0.001). Conclusions: dAIH 6 walking improved walking speed and distance in persons with chronic iSCI. The impact of dAIH is enhanced by combination with walking, demonstrating that combinatorial therapies may promote greater functional benefits in persons with iSCI. Classification of evidence: This study provides Class I evidence that transient hypoxia (through measured breathing treatments), along with overground walking training, improves walking speed and endurance after iSCI.","author":[{"dropping-particle":"","family":"Hayes","given":"Heather B.","non-dropping-particle":"","parse-names":false,"suffix":""},{"dropping-particle":"","family":"Jayaraman","given":"Arun","non-dropping-particle":"","parse-names":false,"suffix":""},{"dropping-particle":"","family":"Herrmann","given":"Megan","non-dropping-particle":"","parse-names":false,"suffix":""},{"dropping-particle":"","family":"Mitchell","given":"Gordon S.","non-dropping-particle":"","parse-names":false,"suffix":""},{"dropping-particle":"","family":"Rymer","given":"William Z.","non-dropping-particle":"","parse-names":false,"suffix":""},{"dropping-particle":"","family":"Trumbower","given":"Randy D.","non-dropping-particle":"","parse-names":false,"suffix":""}],"container-title":"Neurology","id":"ITEM-1","issue":"2","issued":{"date-parts":[["2014"]]},"page":"104-113","title":"Daily intermittent hypoxia enhances walking after chronic spinal cord injury A randomized trial","type":"article-journal","volume":"82"},"uris":["http://www.mendeley.com/documents/?uuid=38c85b95-8803-4c02-924c-1e99e51714c5"]},{"id":"ITEM-2","itemData":{"DOI":"10.1212/WNL.0000000000004596","ISSN":"1526632X","PMID":"28972191","abstract":"Objective: To test the hypothesis that daily acute intermittent hypoxia (AIH) combined with hand opening practice improves hand dexterity, function, and maximum hand opening in persons with chronic, motor-incomplete, cervical spinal cord injury. Methods: Six participants completed the double-blind, crossover study. Participants received daily (5 consecutive days) AIH (15 episodes per day: 1.5 minutes of fraction of inspired oxygen [FIO2] = 0.09, 1-minute normoxic intervals) followed by 20 repetitions of hand opening practice and normoxia (sham, FIO2 = 0.21) + hand opening practice. Hand dexterity and function were quantified with Box and Block and Jebsen-Taylor hand function tests. We also recorded maximum hand opening using motion analyses and coactivity of extensor digitorum and flexor digitorum superficialis muscles using surface EMG. Results: Daily AIH + hand opening practice improved hand dexterity, function, and maximum hand opening in all participants. AIH + hand opening practice improved Box and Block Test scores vs baseline in 5 participants (p = 0.057) and vs sham + hand opening practice in all 6 participants (p = 0.016). All participants reduced Jebsen-Taylor Hand Function Test (JTHF) time after daily AIH + hand opening practice (27.2 ± 1.4 seconds) vs baseline; 4 of 6 reduced JTHF time vs sham + hand opening practice (p = 0.078). AIH + hand opening practice improved maximum hand aperture in 5 of 6 participants (8.1 ± 2.7 mm) vs baseline (p = 0.018) and sham + hand opening practice (p = 0.030). In 5 participants, daily AIH-induced changes in hand opening were accompanied by improved EMG coactivity (p = 0.029). Conclusions: This report suggests the need for further study of AIH as a plasticity \"primer\" for task-specific training in spinal cord injury rehabilitation. Important clinical questions remain concerning optimal AIH dosage, patient screening, safety, and effect persistence.","author":[{"dropping-particle":"","family":"Trumbower","given":"Randy D.","non-dropping-particle":"","parse-names":false,"suffix":""},{"dropping-particle":"","family":"Hayes","given":"Heather B.","non-dropping-particle":"","parse-names":false,"suffix":""},{"dropping-particle":"","family":"Mitchell","given":"Gordon S.","non-dropping-particle":"","parse-names":false,"suffix":""},{"dropping-particle":"","family":"Wolf","given":"Steven L.","non-dropping-particle":"","parse-names":false,"suffix":""},{"dropping-particle":"","family":"Stahl","given":"Victoria A.","non-dropping-particle":"","parse-names":false,"suffix":""}],"container-title":"Neurology","id":"ITEM-2","issue":"18","issued":{"date-parts":[["2017"]]},"page":"1904-1907","title":"Effects of acute intermittent hypoxia on hand use after spinal cord trauma: A preliminary study","type":"article-journal","volume":"89"},"uris":["http://www.mendeley.com/documents/?uuid=f06594a2-51cc-4db1-af53-2aec2d12d0b1"]}],"mendeley":{"formattedCitation":"(HAYES et al., 2014; TRUMBOWER et al., 2017)","plainTextFormattedCitation":"(HAYES et al., 2014; TRUMBOWER et al., 2017)","previouslyFormattedCitation":"(HAYES et al., 2014; TRUMBOWER et al., 2017)"},"properties":{"noteIndex":0},"schema":"https://github.com/citation-style-language/schema/raw/master/csl-citation.json"}</w:instrText>
      </w:r>
      <w:r w:rsidR="007C7F77" w:rsidRPr="00A65B69">
        <w:rPr>
          <w:color w:val="000000" w:themeColor="text1"/>
          <w:sz w:val="23"/>
          <w:szCs w:val="23"/>
          <w:lang w:val="pt-BR"/>
        </w:rPr>
        <w:fldChar w:fldCharType="separate"/>
      </w:r>
      <w:r w:rsidR="007C7F77" w:rsidRPr="00A65B69">
        <w:rPr>
          <w:noProof/>
          <w:color w:val="000000" w:themeColor="text1"/>
          <w:sz w:val="23"/>
          <w:szCs w:val="23"/>
          <w:lang w:val="pt-BR"/>
        </w:rPr>
        <w:t>(HAYES et al., 2014; TRUMBOWER et al., 2017)</w:t>
      </w:r>
      <w:r w:rsidR="007C7F77" w:rsidRPr="00A65B69">
        <w:rPr>
          <w:color w:val="000000" w:themeColor="text1"/>
          <w:sz w:val="23"/>
          <w:szCs w:val="23"/>
          <w:lang w:val="pt-BR"/>
        </w:rPr>
        <w:fldChar w:fldCharType="end"/>
      </w:r>
      <w:r w:rsidRPr="00A65B69">
        <w:rPr>
          <w:color w:val="000000" w:themeColor="text1"/>
          <w:sz w:val="23"/>
          <w:szCs w:val="23"/>
          <w:lang w:val="pt-BR"/>
        </w:rPr>
        <w:t>.</w:t>
      </w:r>
    </w:p>
    <w:p w14:paraId="38F87EF8" w14:textId="17F0F0A9" w:rsidR="00FB5B0D" w:rsidRPr="00A65B69" w:rsidRDefault="00966CDB" w:rsidP="008300A4">
      <w:pPr>
        <w:tabs>
          <w:tab w:val="left" w:pos="284"/>
        </w:tabs>
        <w:spacing w:line="480" w:lineRule="auto"/>
        <w:ind w:right="2"/>
        <w:jc w:val="both"/>
        <w:rPr>
          <w:i/>
          <w:color w:val="000000" w:themeColor="text1"/>
          <w:sz w:val="23"/>
          <w:szCs w:val="23"/>
          <w:lang w:val="pt-BR"/>
        </w:rPr>
      </w:pPr>
      <w:r w:rsidRPr="00A65B69">
        <w:rPr>
          <w:i/>
          <w:color w:val="000000" w:themeColor="text1"/>
          <w:sz w:val="23"/>
          <w:szCs w:val="23"/>
          <w:lang w:val="pt-BR"/>
        </w:rPr>
        <w:t xml:space="preserve">- </w:t>
      </w:r>
      <w:r w:rsidR="008755A4" w:rsidRPr="00A65B69">
        <w:rPr>
          <w:i/>
          <w:color w:val="000000" w:themeColor="text1"/>
          <w:sz w:val="23"/>
          <w:szCs w:val="23"/>
          <w:lang w:val="pt-BR"/>
        </w:rPr>
        <w:t>Avaliação</w:t>
      </w:r>
      <w:r w:rsidR="008755A4" w:rsidRPr="00A65B69">
        <w:rPr>
          <w:i/>
          <w:color w:val="000000" w:themeColor="text1"/>
          <w:spacing w:val="-2"/>
          <w:sz w:val="23"/>
          <w:szCs w:val="23"/>
          <w:lang w:val="pt-BR"/>
        </w:rPr>
        <w:t xml:space="preserve"> </w:t>
      </w:r>
      <w:r w:rsidR="007E2E09" w:rsidRPr="00A65B69">
        <w:rPr>
          <w:i/>
          <w:color w:val="000000" w:themeColor="text1"/>
          <w:sz w:val="23"/>
          <w:szCs w:val="23"/>
          <w:lang w:val="pt-BR"/>
        </w:rPr>
        <w:t>c</w:t>
      </w:r>
      <w:r w:rsidR="008A556C" w:rsidRPr="00A65B69">
        <w:rPr>
          <w:i/>
          <w:color w:val="000000" w:themeColor="text1"/>
          <w:sz w:val="23"/>
          <w:szCs w:val="23"/>
          <w:lang w:val="pt-BR"/>
        </w:rPr>
        <w:t>línica</w:t>
      </w:r>
      <w:r w:rsidR="007E2E09" w:rsidRPr="00A65B69">
        <w:rPr>
          <w:i/>
          <w:color w:val="000000" w:themeColor="text1"/>
          <w:sz w:val="23"/>
          <w:szCs w:val="23"/>
          <w:lang w:val="pt-BR"/>
        </w:rPr>
        <w:t xml:space="preserve"> </w:t>
      </w:r>
    </w:p>
    <w:p w14:paraId="09B9CADD" w14:textId="18BD6729" w:rsidR="0039003A" w:rsidRPr="00A65B69" w:rsidRDefault="007D560C" w:rsidP="008300A4">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8755A4" w:rsidRPr="00A65B69">
        <w:rPr>
          <w:color w:val="000000" w:themeColor="text1"/>
          <w:sz w:val="23"/>
          <w:szCs w:val="23"/>
          <w:lang w:val="pt-BR"/>
        </w:rPr>
        <w:t>Primeiramente, os pacientes serão avaliados por um avaliador experiente em</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doenças neurodegenerativas, por meio de uma anamnese, com o intuito de coletar dados</w:t>
      </w:r>
      <w:r w:rsidR="008755A4" w:rsidRPr="00A65B69">
        <w:rPr>
          <w:color w:val="000000" w:themeColor="text1"/>
          <w:spacing w:val="-57"/>
          <w:sz w:val="23"/>
          <w:szCs w:val="23"/>
          <w:lang w:val="pt-BR"/>
        </w:rPr>
        <w:t xml:space="preserve"> </w:t>
      </w:r>
      <w:r w:rsidR="006450FB" w:rsidRPr="00A65B69">
        <w:rPr>
          <w:color w:val="000000" w:themeColor="text1"/>
          <w:spacing w:val="-57"/>
          <w:sz w:val="23"/>
          <w:szCs w:val="23"/>
          <w:lang w:val="pt-BR"/>
        </w:rPr>
        <w:t xml:space="preserve"> </w:t>
      </w:r>
      <w:r w:rsidR="006450FB" w:rsidRPr="00A65B69">
        <w:rPr>
          <w:color w:val="000000" w:themeColor="text1"/>
          <w:sz w:val="23"/>
          <w:szCs w:val="23"/>
          <w:lang w:val="pt-BR"/>
        </w:rPr>
        <w:t xml:space="preserve"> d</w:t>
      </w:r>
      <w:r w:rsidR="008755A4" w:rsidRPr="00A65B69">
        <w:rPr>
          <w:color w:val="000000" w:themeColor="text1"/>
          <w:sz w:val="23"/>
          <w:szCs w:val="23"/>
          <w:lang w:val="pt-BR"/>
        </w:rPr>
        <w:t>e caracterização da DP (histórico clínico, cognitivo e medicamentoso) e realizar 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estudo dos sinais e sintomas do paciente. Ambos serão realizados de forma detalhada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para determinar a origem da DP e eliminar a influência de outras doenças. O mesmo avaliará os participantes através de escalas consideradas padrão ouro para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avaliação clínica. A escala de H&amp;Y será utilizada para identificar o estágio evolutivo da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doença,</w:t>
      </w:r>
      <w:r w:rsidR="008755A4" w:rsidRPr="00A65B69">
        <w:rPr>
          <w:color w:val="000000" w:themeColor="text1"/>
          <w:spacing w:val="32"/>
          <w:sz w:val="23"/>
          <w:szCs w:val="23"/>
          <w:lang w:val="pt-BR"/>
        </w:rPr>
        <w:t xml:space="preserve"> </w:t>
      </w:r>
      <w:r w:rsidR="008755A4" w:rsidRPr="00A65B69">
        <w:rPr>
          <w:color w:val="000000" w:themeColor="text1"/>
          <w:sz w:val="23"/>
          <w:szCs w:val="23"/>
          <w:lang w:val="pt-BR"/>
        </w:rPr>
        <w:t>a</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existência</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da</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unilateralidade/bilateralidade</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da</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doença</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e</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o</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nível</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33"/>
          <w:sz w:val="23"/>
          <w:szCs w:val="23"/>
          <w:lang w:val="pt-BR"/>
        </w:rPr>
        <w:t xml:space="preserve"> </w:t>
      </w:r>
      <w:r w:rsidR="008755A4" w:rsidRPr="00A65B69">
        <w:rPr>
          <w:color w:val="000000" w:themeColor="text1"/>
          <w:sz w:val="23"/>
          <w:szCs w:val="23"/>
          <w:lang w:val="pt-BR"/>
        </w:rPr>
        <w:t>respost</w:t>
      </w:r>
      <w:r w:rsidR="005F3514" w:rsidRPr="00A65B69">
        <w:rPr>
          <w:color w:val="000000" w:themeColor="text1"/>
          <w:sz w:val="23"/>
          <w:szCs w:val="23"/>
          <w:lang w:val="pt-BR"/>
        </w:rPr>
        <w:t>a dos</w:t>
      </w:r>
      <w:r w:rsidR="008755A4" w:rsidRPr="00A65B69">
        <w:rPr>
          <w:color w:val="000000" w:themeColor="text1"/>
          <w:sz w:val="23"/>
          <w:szCs w:val="23"/>
          <w:lang w:val="pt-BR"/>
        </w:rPr>
        <w:t xml:space="preserve"> reflexos posturais. O grau de acometimento motor da DP será avaliado através da</w:t>
      </w:r>
      <w:r w:rsidR="008755A4" w:rsidRPr="00A65B69">
        <w:rPr>
          <w:color w:val="000000" w:themeColor="text1"/>
          <w:spacing w:val="1"/>
          <w:sz w:val="23"/>
          <w:szCs w:val="23"/>
          <w:lang w:val="pt-BR"/>
        </w:rPr>
        <w:t xml:space="preserve"> </w:t>
      </w:r>
      <w:proofErr w:type="spellStart"/>
      <w:r w:rsidR="008755A4" w:rsidRPr="00A65B69">
        <w:rPr>
          <w:color w:val="000000" w:themeColor="text1"/>
          <w:sz w:val="23"/>
          <w:szCs w:val="23"/>
          <w:lang w:val="pt-BR"/>
        </w:rPr>
        <w:t>sub-escala</w:t>
      </w:r>
      <w:proofErr w:type="spellEnd"/>
      <w:r w:rsidR="008755A4" w:rsidRPr="00A65B69">
        <w:rPr>
          <w:color w:val="000000" w:themeColor="text1"/>
          <w:sz w:val="23"/>
          <w:szCs w:val="23"/>
          <w:lang w:val="pt-BR"/>
        </w:rPr>
        <w:t xml:space="preserve"> III – Exame motor – da UPDRS </w:t>
      </w:r>
      <w:r w:rsidR="007C7F77" w:rsidRPr="00A65B69">
        <w:rPr>
          <w:color w:val="000000" w:themeColor="text1"/>
          <w:sz w:val="23"/>
          <w:szCs w:val="23"/>
          <w:lang w:val="pt-BR"/>
        </w:rPr>
        <w:fldChar w:fldCharType="begin" w:fldLock="1"/>
      </w:r>
      <w:r w:rsidR="00F915AC" w:rsidRPr="00A65B69">
        <w:rPr>
          <w:color w:val="000000" w:themeColor="text1"/>
          <w:sz w:val="23"/>
          <w:szCs w:val="23"/>
          <w:lang w:val="pt-BR"/>
        </w:rPr>
        <w:instrText>ADDIN CSL_CITATION {"citationItems":[{"id":"ITEM-1","itemData":{"author":[{"dropping-particle":"","family":"Fahn","given":"Stanley","non-dropping-particle":"","parse-names":false,"suffix":""}],"id":"ITEM-1","issued":{"date-parts":[["1987"]]},"page":"153–163","title":"UPDRS program members. Unified Parkinson’s disease rating scale","type":"article-journal","volume":"2"},"uris":["http://www.mendeley.com/documents/?uuid=f488a9b2-359d-4a84-bfd7-19f1a0661414"]}],"mendeley":{"formattedCitation":"(FAHN, 1987)","plainTextFormattedCitation":"(FAHN, 1987)","previouslyFormattedCitation":"(FAHN, 1987)"},"properties":{"noteIndex":0},"schema":"https://github.com/citation-style-language/schema/raw/master/csl-citation.json"}</w:instrText>
      </w:r>
      <w:r w:rsidR="007C7F77" w:rsidRPr="00A65B69">
        <w:rPr>
          <w:color w:val="000000" w:themeColor="text1"/>
          <w:sz w:val="23"/>
          <w:szCs w:val="23"/>
          <w:lang w:val="pt-BR"/>
        </w:rPr>
        <w:fldChar w:fldCharType="separate"/>
      </w:r>
      <w:r w:rsidR="007C7F77" w:rsidRPr="00A65B69">
        <w:rPr>
          <w:noProof/>
          <w:color w:val="000000" w:themeColor="text1"/>
          <w:sz w:val="23"/>
          <w:szCs w:val="23"/>
          <w:lang w:val="pt-BR"/>
        </w:rPr>
        <w:t>(FAHN, 1987)</w:t>
      </w:r>
      <w:r w:rsidR="007C7F77" w:rsidRPr="00A65B69">
        <w:rPr>
          <w:color w:val="000000" w:themeColor="text1"/>
          <w:sz w:val="23"/>
          <w:szCs w:val="23"/>
          <w:lang w:val="pt-BR"/>
        </w:rPr>
        <w:fldChar w:fldCharType="end"/>
      </w:r>
      <w:r w:rsidR="008755A4" w:rsidRPr="00A65B69">
        <w:rPr>
          <w:color w:val="000000" w:themeColor="text1"/>
          <w:sz w:val="23"/>
          <w:szCs w:val="23"/>
          <w:lang w:val="pt-BR"/>
        </w:rPr>
        <w:t>.</w:t>
      </w:r>
      <w:r w:rsidR="007E2E09" w:rsidRPr="00A65B69">
        <w:rPr>
          <w:color w:val="000000" w:themeColor="text1"/>
          <w:sz w:val="23"/>
          <w:szCs w:val="23"/>
          <w:lang w:val="pt-BR"/>
        </w:rPr>
        <w:t xml:space="preserve"> </w:t>
      </w:r>
      <w:r w:rsidR="00841468" w:rsidRPr="00A65B69">
        <w:rPr>
          <w:color w:val="000000" w:themeColor="text1"/>
          <w:sz w:val="23"/>
          <w:szCs w:val="23"/>
          <w:lang w:val="pt-BR"/>
        </w:rPr>
        <w:t xml:space="preserve">O </w:t>
      </w:r>
      <w:proofErr w:type="spellStart"/>
      <w:r w:rsidR="00841468" w:rsidRPr="00A65B69">
        <w:rPr>
          <w:color w:val="000000" w:themeColor="text1"/>
          <w:sz w:val="23"/>
          <w:szCs w:val="23"/>
          <w:lang w:val="pt-BR"/>
        </w:rPr>
        <w:t>MoCA</w:t>
      </w:r>
      <w:proofErr w:type="spellEnd"/>
      <w:r w:rsidR="00841468" w:rsidRPr="00A65B69">
        <w:rPr>
          <w:color w:val="000000" w:themeColor="text1"/>
          <w:sz w:val="23"/>
          <w:szCs w:val="23"/>
          <w:lang w:val="pt-BR"/>
        </w:rPr>
        <w:t xml:space="preserve"> será utilizado para avaliar a capacidade cognitiva dos pacientes</w:t>
      </w:r>
      <w:r w:rsidR="00D30CA9" w:rsidRPr="00A65B69">
        <w:rPr>
          <w:color w:val="000000" w:themeColor="text1"/>
          <w:sz w:val="23"/>
          <w:szCs w:val="23"/>
          <w:lang w:val="pt-BR"/>
        </w:rPr>
        <w:t xml:space="preserve"> </w:t>
      </w:r>
      <w:r w:rsidR="00F915AC" w:rsidRPr="00A65B69">
        <w:rPr>
          <w:color w:val="000000" w:themeColor="text1"/>
          <w:sz w:val="23"/>
          <w:szCs w:val="23"/>
          <w:lang w:val="pt-BR"/>
        </w:rPr>
        <w:fldChar w:fldCharType="begin" w:fldLock="1"/>
      </w:r>
      <w:r w:rsidR="00F915AC" w:rsidRPr="00A65B69">
        <w:rPr>
          <w:color w:val="000000" w:themeColor="text1"/>
          <w:sz w:val="23"/>
          <w:szCs w:val="23"/>
          <w:lang w:val="pt-BR"/>
        </w:rPr>
        <w:instrText>ADDIN CSL_CITATION {"citationItems":[{"id":"ITEM-1","itemData":{"DOI":"10.1590/s1980-57642012dn06010002","abstract":"ABSTRACT Deep Brain Stimulation (DBS) is a widely used surgical technique in individuals with Parkinson's disease (PD) that can lead to significant reductions in motor symptoms. Objectives: To determine, from publications, the most commonly used instruments for cognitive evaluation of individuals with PD undergoing DBS. Methods: A systematic review of the databases: PubMed, Medline, EBECS, Scielo and LILACS was conducted, using the descriptors \"Deep Brain Stimulation\", \"Verbal Fluency\", \"Parkinson Disease\", \"Executive Function\", \"Cognition\" and \"Cognitive Assessment\" in combination. Results: The Verbal Fluency test was found to be the most used instrument for this investigation in the studies, followed by the Boston Naming Test. References to the Stroop Test, Trail Making Test, and Rey's Auditory Verbal Learning Test were also found. Conclusions: The validation of instruments for this population is needed as is the use of batteries offering greater specificity and sensitivity for the detection of cognitive impairment.RESUMO A Estimulação Cerebral Profunda (ECP) tem sido uma técnica cirúrgica bastante utilizada devido à redução significativa dos sintomas motores. Objetivos: Verificar, a partir das publicações, quais os instrumentos mais utilizados para avaliação cognitiva em pacientes com DP submetidos à ECP. Métodos: Foi realizado uma revisão sistemática nas bases de dados PubMed, Medline, EBECS, Scielo e LILACS utilizando os descritores \"Deep Brain Stimulation\", \"Verbal Fluency\", \"Parkinson Disease\", \"Executive Function\", \"Cognition\" e \"Cognitive Assessment\" de forma combinada. Resultados: O teste de Fluência Verbal o instrumento mais utilizado para esta investigação nos estudos encontrados, seguido pelo Teste de Nomeação de Boston. Foram também encontradas referências aos testes Teste de Stroop, Teste das Trilhas, Teste de Aprendizado Auditivo Verbal de Rey. Conclusões: A validação de instrumentos para esta população se faz necessária bem como a utilização de baterias com mais especificidade e sensibilidade para detecção das alterações cognitivas nesta população.","author":[{"dropping-particle":"","family":"Romann","given":"Aline Juliane","non-dropping-particle":"","parse-names":false,"suffix":""},{"dropping-particle":"","family":"Dornelles","given":"Silvia","non-dropping-particle":"","parse-names":false,"suffix":""},{"dropping-particle":"","family":"Maineri","given":"Nicole de Liz","non-dropping-particle":"","parse-names":false,"suffix":""},{"dropping-particle":"","family":"Rieder","given":"Carlos Roberto de Mello","non-dropping-particle":"","parse-names":false,"suffix":""},{"dropping-particle":"","family":"Olchik","given":"Maira Rozenfeld","non-dropping-particle":"","parse-names":false,"suffix":""}],"container-title":"Dementia &amp; Neuropsychologia","id":"ITEM-1","issue":"1","issued":{"date-parts":[["2012"]]},"page":"2-11","title":"Cognitive assessment instruments in Parkinson's disease patients undergoing deep brain stimulation","type":"article-journal","volume":"6"},"uris":["http://www.mendeley.com/documents/?uuid=f6837522-6329-4438-bc1f-046bb119a1d8"]}],"mendeley":{"formattedCitation":"(ROMANN et al., 2012)","plainTextFormattedCitation":"(ROMANN et al., 2012)","previouslyFormattedCitation":"(ROMANN et al., 2012)"},"properties":{"noteIndex":0},"schema":"https://github.com/citation-style-language/schema/raw/master/csl-citation.json"}</w:instrText>
      </w:r>
      <w:r w:rsidR="00F915AC" w:rsidRPr="00A65B69">
        <w:rPr>
          <w:color w:val="000000" w:themeColor="text1"/>
          <w:sz w:val="23"/>
          <w:szCs w:val="23"/>
          <w:lang w:val="pt-BR"/>
        </w:rPr>
        <w:fldChar w:fldCharType="separate"/>
      </w:r>
      <w:r w:rsidR="00F915AC" w:rsidRPr="00A65B69">
        <w:rPr>
          <w:noProof/>
          <w:color w:val="000000" w:themeColor="text1"/>
          <w:sz w:val="23"/>
          <w:szCs w:val="23"/>
          <w:lang w:val="pt-BR"/>
        </w:rPr>
        <w:t>(ROMANN et al., 2012)</w:t>
      </w:r>
      <w:r w:rsidR="00F915AC" w:rsidRPr="00A65B69">
        <w:rPr>
          <w:color w:val="000000" w:themeColor="text1"/>
          <w:sz w:val="23"/>
          <w:szCs w:val="23"/>
          <w:lang w:val="pt-BR"/>
        </w:rPr>
        <w:fldChar w:fldCharType="end"/>
      </w:r>
      <w:r w:rsidR="008755A4" w:rsidRPr="00A65B69">
        <w:rPr>
          <w:color w:val="000000" w:themeColor="text1"/>
          <w:sz w:val="23"/>
          <w:szCs w:val="23"/>
          <w:lang w:val="pt-BR"/>
        </w:rPr>
        <w:t xml:space="preserve">. </w:t>
      </w:r>
    </w:p>
    <w:p w14:paraId="37A8285F" w14:textId="721EDD67" w:rsidR="0039003A" w:rsidRPr="00A65B69" w:rsidRDefault="00966CDB" w:rsidP="008300A4">
      <w:pPr>
        <w:pStyle w:val="BodyText"/>
        <w:tabs>
          <w:tab w:val="left" w:pos="284"/>
        </w:tabs>
        <w:spacing w:before="0" w:line="480" w:lineRule="auto"/>
        <w:ind w:left="0" w:right="2"/>
        <w:rPr>
          <w:i/>
          <w:color w:val="000000" w:themeColor="text1"/>
          <w:sz w:val="23"/>
          <w:szCs w:val="23"/>
          <w:lang w:val="pt-BR"/>
        </w:rPr>
      </w:pPr>
      <w:r w:rsidRPr="00A65B69">
        <w:rPr>
          <w:color w:val="000000" w:themeColor="text1"/>
          <w:sz w:val="23"/>
          <w:szCs w:val="23"/>
          <w:lang w:val="pt-BR"/>
        </w:rPr>
        <w:t xml:space="preserve">- </w:t>
      </w:r>
      <w:r w:rsidR="008755A4" w:rsidRPr="00A65B69">
        <w:rPr>
          <w:i/>
          <w:color w:val="000000" w:themeColor="text1"/>
          <w:sz w:val="23"/>
          <w:szCs w:val="23"/>
          <w:lang w:val="pt-BR"/>
        </w:rPr>
        <w:t>Avaliação</w:t>
      </w:r>
      <w:r w:rsidR="008755A4" w:rsidRPr="00A65B69">
        <w:rPr>
          <w:i/>
          <w:color w:val="000000" w:themeColor="text1"/>
          <w:spacing w:val="-1"/>
          <w:sz w:val="23"/>
          <w:szCs w:val="23"/>
          <w:lang w:val="pt-BR"/>
        </w:rPr>
        <w:t xml:space="preserve"> </w:t>
      </w:r>
      <w:r w:rsidR="008755A4" w:rsidRPr="00A65B69">
        <w:rPr>
          <w:i/>
          <w:color w:val="000000" w:themeColor="text1"/>
          <w:sz w:val="23"/>
          <w:szCs w:val="23"/>
          <w:lang w:val="pt-BR"/>
        </w:rPr>
        <w:t>da</w:t>
      </w:r>
      <w:r w:rsidR="008755A4" w:rsidRPr="00A65B69">
        <w:rPr>
          <w:i/>
          <w:color w:val="000000" w:themeColor="text1"/>
          <w:spacing w:val="-1"/>
          <w:sz w:val="23"/>
          <w:szCs w:val="23"/>
          <w:lang w:val="pt-BR"/>
        </w:rPr>
        <w:t xml:space="preserve"> </w:t>
      </w:r>
      <w:r w:rsidR="008755A4" w:rsidRPr="00A65B69">
        <w:rPr>
          <w:i/>
          <w:color w:val="000000" w:themeColor="text1"/>
          <w:sz w:val="23"/>
          <w:szCs w:val="23"/>
          <w:lang w:val="pt-BR"/>
        </w:rPr>
        <w:t>marcha</w:t>
      </w:r>
      <w:r w:rsidR="008755A4" w:rsidRPr="00A65B69">
        <w:rPr>
          <w:i/>
          <w:color w:val="000000" w:themeColor="text1"/>
          <w:spacing w:val="-1"/>
          <w:sz w:val="23"/>
          <w:szCs w:val="23"/>
          <w:lang w:val="pt-BR"/>
        </w:rPr>
        <w:t xml:space="preserve"> </w:t>
      </w:r>
    </w:p>
    <w:p w14:paraId="4921A52B" w14:textId="10E2DE9D" w:rsidR="0039003A" w:rsidRPr="00A65B69" w:rsidRDefault="007D560C" w:rsidP="008300A4">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lastRenderedPageBreak/>
        <w:tab/>
      </w:r>
      <w:r w:rsidRPr="00A65B69">
        <w:rPr>
          <w:color w:val="000000" w:themeColor="text1"/>
          <w:sz w:val="23"/>
          <w:szCs w:val="23"/>
          <w:lang w:val="pt-BR"/>
        </w:rPr>
        <w:tab/>
      </w:r>
      <w:r w:rsidR="007E033E" w:rsidRPr="00A65B69">
        <w:rPr>
          <w:color w:val="000000" w:themeColor="text1"/>
          <w:sz w:val="23"/>
          <w:szCs w:val="23"/>
          <w:lang w:val="pt-BR"/>
        </w:rPr>
        <w:t>Os pa</w:t>
      </w:r>
      <w:r w:rsidR="00FE4905" w:rsidRPr="00A65B69">
        <w:rPr>
          <w:color w:val="000000" w:themeColor="text1"/>
          <w:sz w:val="23"/>
          <w:szCs w:val="23"/>
          <w:lang w:val="pt-BR"/>
        </w:rPr>
        <w:t xml:space="preserve">rticipantes </w:t>
      </w:r>
      <w:r w:rsidR="007E033E" w:rsidRPr="00A65B69">
        <w:rPr>
          <w:color w:val="000000" w:themeColor="text1"/>
          <w:sz w:val="23"/>
          <w:szCs w:val="23"/>
          <w:lang w:val="pt-BR"/>
        </w:rPr>
        <w:t>realizarão uma tentativa contínua de andar (circuito oval) de 2</w:t>
      </w:r>
      <w:r w:rsidR="006450FB" w:rsidRPr="00A65B69">
        <w:rPr>
          <w:color w:val="000000" w:themeColor="text1"/>
          <w:sz w:val="23"/>
          <w:szCs w:val="23"/>
          <w:lang w:val="pt-BR"/>
        </w:rPr>
        <w:t xml:space="preserve"> </w:t>
      </w:r>
      <w:r w:rsidR="007E033E" w:rsidRPr="00A65B69">
        <w:rPr>
          <w:color w:val="000000" w:themeColor="text1"/>
          <w:sz w:val="23"/>
          <w:szCs w:val="23"/>
          <w:lang w:val="pt-BR"/>
        </w:rPr>
        <w:t xml:space="preserve">min, seguindo a ordem apresentada, para cada uma das seguintes condições: a) andar em velocidade preferida, e b) andar em velocidade máxima. </w:t>
      </w:r>
      <w:r w:rsidR="008755A4" w:rsidRPr="00A65B69">
        <w:rPr>
          <w:color w:val="000000" w:themeColor="text1"/>
          <w:sz w:val="23"/>
          <w:szCs w:val="23"/>
          <w:lang w:val="pt-BR"/>
        </w:rPr>
        <w:t>Para coleta dos dados cinemáticos serão utilizados trinta e nove marcadores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passivos reflexivos, posicionados nos participantes de acordo com o modelo Full Body</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Plug-in-</w:t>
      </w:r>
      <w:proofErr w:type="spellStart"/>
      <w:r w:rsidR="008755A4" w:rsidRPr="00A65B69">
        <w:rPr>
          <w:color w:val="000000" w:themeColor="text1"/>
          <w:sz w:val="23"/>
          <w:szCs w:val="23"/>
          <w:lang w:val="pt-BR"/>
        </w:rPr>
        <w:t>Gait</w:t>
      </w:r>
      <w:proofErr w:type="spellEnd"/>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w:t>
      </w:r>
      <w:proofErr w:type="spellStart"/>
      <w:r w:rsidR="008755A4" w:rsidRPr="00A65B69">
        <w:rPr>
          <w:color w:val="000000" w:themeColor="text1"/>
          <w:sz w:val="23"/>
          <w:szCs w:val="23"/>
          <w:lang w:val="pt-BR"/>
        </w:rPr>
        <w:t>Vicon</w:t>
      </w:r>
      <w:proofErr w:type="spellEnd"/>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Motion</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System®)</w:t>
      </w:r>
      <w:r w:rsidR="005221B9" w:rsidRPr="00A65B69">
        <w:rPr>
          <w:color w:val="000000" w:themeColor="text1"/>
          <w:sz w:val="23"/>
          <w:szCs w:val="23"/>
          <w:lang w:val="pt-BR"/>
        </w:rPr>
        <w:t xml:space="preserve"> (descritos em</w:t>
      </w:r>
      <w:r w:rsidR="00F915AC" w:rsidRPr="00A65B69">
        <w:rPr>
          <w:color w:val="000000" w:themeColor="text1"/>
          <w:sz w:val="23"/>
          <w:szCs w:val="23"/>
          <w:lang w:val="pt-BR"/>
        </w:rPr>
        <w:t xml:space="preserve"> </w:t>
      </w:r>
      <w:r w:rsidR="00F915AC"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{"citationItems":[{"id":"ITEM-1","itemData":{"DOI":"10.1080/00222895.2016.1271303","ISSN":"19401027","PMID":"28632105","abstract":"The authors' aim was to investigate gait asymmetry of crossing step during obstacle avoidance while walking in people with Parkinson's disease (PD) under and without the effects of dopaminergic medication. Thirteen individuals with PD and 13 neurologically healthy individuals performed 5 trials of unobstructed gait and 10 trials of obstacle crossing during gait (5 trials with each leg) and spatiotemporal parameters were analyzed. Obstacle crossing increased step duration of the crossing step for the most-affected or nondominant limb compared to the crossing step with the least-affected or dominant limb. Individuals with PD without the effects of medication increased step duration for the step with the least-affected limb compared to the step with the most-affected limb during obstacle crossing.","author":[{"dropping-particle":"","family":"Barbieri","given":"Fabio Augusto","non-dropping-particle":"","parse-names":false,"suffix":""},{"dropping-particle":"","family":"Simieli","given":"Lucas","non-dropping-particle":"","parse-names":false,"suffix":""},{"dropping-particle":"","family":"Orcioli-Silva","given":"Diego","non-dropping-particle":"","parse-names":false,"suffix":""},{"dropping-particle":"","family":"Baptista","given":"André Macari","non-dropping-particle":"","parse-names":false,"suffix":""},{"dropping-particle":"","family":"Borkowske Pestana","given":"Mayara","non-dropping-particle":"","parse-names":false,"suffix":""},{"dropping-particle":"","family":"Spiandor Beretta","given":"Victor","non-dropping-particle":"","parse-names":false,"suffix":""},{"dropping-particle":"","family":"Santos","given":"Paulo Cezar Rocha","non-dropping-particle":"dos","parse-names":false,"suffix":""},{"dropping-particle":"","family":"Bucken Gobbi","given":"Lilian Teresa","non-dropping-particle":"","parse-names":false,"suffix":""}],"container-title":"Journal of Motor Behavior","id":"ITEM-1","issue":"1","issued":{"date-parts":[["2018"]]},"page":"17-25","title":"Obstacle Avoidance Increases Asymmetry of Crossing Step in Individuals With Parkinson's Disease and Neurologically Healthy Individuals","type":"article-journal","volume":"50"},"uris":["http://www.mendeley.com/documents/?uuid=93667290-fd7b-4b05-bdf7-1fe58619ae95"]}],"mendeley":{"formattedCitation":"(BARBIERI et al., 2018b)","plainTextFormattedCitation":"(BARBIERI et al., 2018b)","previouslyFormattedCitation":"(BARBIERI et al., 2018b)"},"properties":{"noteIndex":0},"schema":"https://github.com/citation-style-language/schema/raw/master/csl-citation.json"}</w:instrText>
      </w:r>
      <w:r w:rsidR="00F915AC" w:rsidRPr="00A65B69">
        <w:rPr>
          <w:color w:val="000000" w:themeColor="text1"/>
          <w:sz w:val="23"/>
          <w:szCs w:val="23"/>
          <w:lang w:val="pt-BR"/>
        </w:rPr>
        <w:fldChar w:fldCharType="separate"/>
      </w:r>
      <w:r w:rsidR="00F915AC" w:rsidRPr="00A65B69">
        <w:rPr>
          <w:noProof/>
          <w:color w:val="000000" w:themeColor="text1"/>
          <w:sz w:val="23"/>
          <w:szCs w:val="23"/>
          <w:lang w:val="pt-BR"/>
        </w:rPr>
        <w:t>(BARBIERI et al., 2018b)</w:t>
      </w:r>
      <w:r w:rsidR="00F915AC" w:rsidRPr="00A65B69">
        <w:rPr>
          <w:color w:val="000000" w:themeColor="text1"/>
          <w:sz w:val="23"/>
          <w:szCs w:val="23"/>
          <w:lang w:val="pt-BR"/>
        </w:rPr>
        <w:fldChar w:fldCharType="end"/>
      </w:r>
      <w:r w:rsidR="005221B9" w:rsidRPr="00A65B69">
        <w:rPr>
          <w:color w:val="000000" w:themeColor="text1"/>
          <w:sz w:val="23"/>
          <w:szCs w:val="23"/>
          <w:lang w:val="pt-BR"/>
        </w:rPr>
        <w:t>)</w:t>
      </w:r>
      <w:r w:rsidR="008755A4" w:rsidRPr="00A65B69">
        <w:rPr>
          <w:color w:val="000000" w:themeColor="text1"/>
          <w:sz w:val="23"/>
          <w:szCs w:val="23"/>
          <w:lang w:val="pt-BR"/>
        </w:rPr>
        <w:t>,</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adquiridos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através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10</w:t>
      </w:r>
      <w:r w:rsidR="008755A4" w:rsidRPr="00A65B69">
        <w:rPr>
          <w:color w:val="000000" w:themeColor="text1"/>
          <w:spacing w:val="61"/>
          <w:sz w:val="23"/>
          <w:szCs w:val="23"/>
          <w:lang w:val="pt-BR"/>
        </w:rPr>
        <w:t xml:space="preserve"> </w:t>
      </w:r>
      <w:r w:rsidR="008755A4" w:rsidRPr="00A65B69">
        <w:rPr>
          <w:color w:val="000000" w:themeColor="text1"/>
          <w:sz w:val="23"/>
          <w:szCs w:val="23"/>
          <w:lang w:val="pt-BR"/>
        </w:rPr>
        <w:t>câmeras</w:t>
      </w:r>
      <w:r w:rsidR="008755A4" w:rsidRPr="00A65B69">
        <w:rPr>
          <w:color w:val="000000" w:themeColor="text1"/>
          <w:spacing w:val="-57"/>
          <w:sz w:val="23"/>
          <w:szCs w:val="23"/>
          <w:lang w:val="pt-BR"/>
        </w:rPr>
        <w:t xml:space="preserve"> </w:t>
      </w:r>
      <w:r w:rsidR="006450FB" w:rsidRPr="00A65B69">
        <w:rPr>
          <w:color w:val="000000" w:themeColor="text1"/>
          <w:spacing w:val="-57"/>
          <w:sz w:val="23"/>
          <w:szCs w:val="23"/>
          <w:lang w:val="pt-BR"/>
        </w:rPr>
        <w:t xml:space="preserve">    </w:t>
      </w:r>
      <w:r w:rsidR="006450FB" w:rsidRPr="00A65B69">
        <w:rPr>
          <w:color w:val="000000" w:themeColor="text1"/>
          <w:sz w:val="23"/>
          <w:szCs w:val="23"/>
          <w:lang w:val="pt-BR"/>
        </w:rPr>
        <w:t xml:space="preserve"> i</w:t>
      </w:r>
      <w:r w:rsidR="008755A4" w:rsidRPr="00A65B69">
        <w:rPr>
          <w:color w:val="000000" w:themeColor="text1"/>
          <w:sz w:val="23"/>
          <w:szCs w:val="23"/>
          <w:lang w:val="pt-BR"/>
        </w:rPr>
        <w:t xml:space="preserve">nfravermelhas do </w:t>
      </w:r>
      <w:proofErr w:type="spellStart"/>
      <w:r w:rsidR="008755A4" w:rsidRPr="00A65B69">
        <w:rPr>
          <w:color w:val="000000" w:themeColor="text1"/>
          <w:sz w:val="23"/>
          <w:szCs w:val="23"/>
          <w:lang w:val="pt-BR"/>
        </w:rPr>
        <w:t>Vicon</w:t>
      </w:r>
      <w:proofErr w:type="spellEnd"/>
      <w:r w:rsidR="008755A4" w:rsidRPr="00A65B69">
        <w:rPr>
          <w:color w:val="000000" w:themeColor="text1"/>
          <w:sz w:val="23"/>
          <w:szCs w:val="23"/>
          <w:lang w:val="pt-BR"/>
        </w:rPr>
        <w:t xml:space="preserve"> Motion System® (200 Hz). Os dados serão filtrados através de</w:t>
      </w:r>
      <w:r w:rsidR="008755A4" w:rsidRPr="00A65B69">
        <w:rPr>
          <w:color w:val="000000" w:themeColor="text1"/>
          <w:spacing w:val="-57"/>
          <w:sz w:val="23"/>
          <w:szCs w:val="23"/>
          <w:lang w:val="pt-BR"/>
        </w:rPr>
        <w:t xml:space="preserve"> </w:t>
      </w:r>
      <w:r w:rsidRPr="00A65B69">
        <w:rPr>
          <w:color w:val="000000" w:themeColor="text1"/>
          <w:spacing w:val="-57"/>
          <w:sz w:val="23"/>
          <w:szCs w:val="23"/>
          <w:lang w:val="pt-BR"/>
        </w:rPr>
        <w:t xml:space="preserve"> </w:t>
      </w:r>
      <w:r w:rsidRPr="00A65B69">
        <w:rPr>
          <w:color w:val="000000" w:themeColor="text1"/>
          <w:sz w:val="23"/>
          <w:szCs w:val="23"/>
          <w:lang w:val="pt-BR"/>
        </w:rPr>
        <w:t xml:space="preserve"> u</w:t>
      </w:r>
      <w:r w:rsidR="008755A4" w:rsidRPr="00A65B69">
        <w:rPr>
          <w:color w:val="000000" w:themeColor="text1"/>
          <w:sz w:val="23"/>
          <w:szCs w:val="23"/>
          <w:lang w:val="pt-BR"/>
        </w:rPr>
        <w:t>m</w:t>
      </w:r>
      <w:r w:rsidR="008755A4" w:rsidRPr="00A65B69">
        <w:rPr>
          <w:color w:val="000000" w:themeColor="text1"/>
          <w:spacing w:val="27"/>
          <w:sz w:val="23"/>
          <w:szCs w:val="23"/>
          <w:lang w:val="pt-BR"/>
        </w:rPr>
        <w:t xml:space="preserve"> </w:t>
      </w:r>
      <w:r w:rsidR="008755A4" w:rsidRPr="00A65B69">
        <w:rPr>
          <w:color w:val="000000" w:themeColor="text1"/>
          <w:sz w:val="23"/>
          <w:szCs w:val="23"/>
          <w:lang w:val="pt-BR"/>
        </w:rPr>
        <w:t>filtro</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passa</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baixa</w:t>
      </w:r>
      <w:r w:rsidR="008755A4" w:rsidRPr="00A65B69">
        <w:rPr>
          <w:color w:val="000000" w:themeColor="text1"/>
          <w:spacing w:val="28"/>
          <w:sz w:val="23"/>
          <w:szCs w:val="23"/>
          <w:lang w:val="pt-BR"/>
        </w:rPr>
        <w:t xml:space="preserve"> </w:t>
      </w:r>
      <w:proofErr w:type="spellStart"/>
      <w:r w:rsidR="008755A4" w:rsidRPr="00A65B69">
        <w:rPr>
          <w:color w:val="000000" w:themeColor="text1"/>
          <w:sz w:val="23"/>
          <w:szCs w:val="23"/>
          <w:lang w:val="pt-BR"/>
        </w:rPr>
        <w:t>Buttherworth</w:t>
      </w:r>
      <w:proofErr w:type="spellEnd"/>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5ª</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ordem</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(zero-</w:t>
      </w:r>
      <w:proofErr w:type="spellStart"/>
      <w:r w:rsidR="008755A4" w:rsidRPr="00A65B69">
        <w:rPr>
          <w:color w:val="000000" w:themeColor="text1"/>
          <w:sz w:val="23"/>
          <w:szCs w:val="23"/>
          <w:lang w:val="pt-BR"/>
        </w:rPr>
        <w:t>lag</w:t>
      </w:r>
      <w:proofErr w:type="spellEnd"/>
      <w:r w:rsidR="008755A4" w:rsidRPr="00A65B69">
        <w:rPr>
          <w:color w:val="000000" w:themeColor="text1"/>
          <w:sz w:val="23"/>
          <w:szCs w:val="23"/>
          <w:lang w:val="pt-BR"/>
        </w:rPr>
        <w:t>)</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e</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frequência</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corte</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8"/>
          <w:sz w:val="23"/>
          <w:szCs w:val="23"/>
          <w:lang w:val="pt-BR"/>
        </w:rPr>
        <w:t xml:space="preserve"> </w:t>
      </w:r>
      <w:r w:rsidR="008755A4" w:rsidRPr="00A65B69">
        <w:rPr>
          <w:color w:val="000000" w:themeColor="text1"/>
          <w:sz w:val="23"/>
          <w:szCs w:val="23"/>
          <w:lang w:val="pt-BR"/>
        </w:rPr>
        <w:t>6</w:t>
      </w:r>
      <w:r w:rsidR="008755A4" w:rsidRPr="00A65B69">
        <w:rPr>
          <w:color w:val="000000" w:themeColor="text1"/>
          <w:spacing w:val="-58"/>
          <w:sz w:val="23"/>
          <w:szCs w:val="23"/>
          <w:lang w:val="pt-BR"/>
        </w:rPr>
        <w:t xml:space="preserve"> </w:t>
      </w:r>
      <w:r w:rsidR="006450FB" w:rsidRPr="00A65B69">
        <w:rPr>
          <w:color w:val="000000" w:themeColor="text1"/>
          <w:spacing w:val="-58"/>
          <w:sz w:val="23"/>
          <w:szCs w:val="23"/>
          <w:lang w:val="pt-BR"/>
        </w:rPr>
        <w:t xml:space="preserve">  </w:t>
      </w:r>
      <w:r w:rsidR="006450FB" w:rsidRPr="00A65B69">
        <w:rPr>
          <w:color w:val="000000" w:themeColor="text1"/>
          <w:sz w:val="23"/>
          <w:szCs w:val="23"/>
          <w:lang w:val="pt-BR"/>
        </w:rPr>
        <w:t xml:space="preserve"> H</w:t>
      </w:r>
      <w:r w:rsidR="008755A4" w:rsidRPr="00A65B69">
        <w:rPr>
          <w:color w:val="000000" w:themeColor="text1"/>
          <w:sz w:val="23"/>
          <w:szCs w:val="23"/>
          <w:lang w:val="pt-BR"/>
        </w:rPr>
        <w:t>z.</w:t>
      </w:r>
      <w:r w:rsidR="008755A4" w:rsidRPr="00A65B69">
        <w:rPr>
          <w:color w:val="000000" w:themeColor="text1"/>
          <w:spacing w:val="1"/>
          <w:sz w:val="23"/>
          <w:szCs w:val="23"/>
          <w:lang w:val="pt-BR"/>
        </w:rPr>
        <w:t xml:space="preserve"> </w:t>
      </w:r>
      <w:r w:rsidR="00AC10C7" w:rsidRPr="00A65B69">
        <w:rPr>
          <w:color w:val="000000" w:themeColor="text1"/>
          <w:spacing w:val="1"/>
          <w:sz w:val="23"/>
          <w:szCs w:val="23"/>
          <w:lang w:val="pt-BR"/>
        </w:rPr>
        <w:t xml:space="preserve">A análise da marcha envolverá pelo menos </w:t>
      </w:r>
      <w:r w:rsidR="007E033E" w:rsidRPr="00A65B69">
        <w:rPr>
          <w:color w:val="000000" w:themeColor="text1"/>
          <w:spacing w:val="1"/>
          <w:sz w:val="23"/>
          <w:szCs w:val="23"/>
          <w:lang w:val="pt-BR"/>
        </w:rPr>
        <w:t>2</w:t>
      </w:r>
      <w:r w:rsidR="00AC10C7" w:rsidRPr="00A65B69">
        <w:rPr>
          <w:color w:val="000000" w:themeColor="text1"/>
          <w:spacing w:val="1"/>
          <w:sz w:val="23"/>
          <w:szCs w:val="23"/>
          <w:lang w:val="pt-BR"/>
        </w:rPr>
        <w:t>0 passos durante cada momento da avaliação</w:t>
      </w:r>
      <w:r w:rsidR="009547E5" w:rsidRPr="00A65B69">
        <w:rPr>
          <w:color w:val="000000" w:themeColor="text1"/>
          <w:spacing w:val="1"/>
          <w:sz w:val="23"/>
          <w:szCs w:val="23"/>
          <w:lang w:val="pt-BR"/>
        </w:rPr>
        <w:t xml:space="preserve"> (</w:t>
      </w:r>
      <w:r w:rsidRPr="00A65B69">
        <w:rPr>
          <w:color w:val="000000" w:themeColor="text1"/>
          <w:spacing w:val="1"/>
          <w:sz w:val="23"/>
          <w:szCs w:val="23"/>
          <w:lang w:val="pt-BR"/>
        </w:rPr>
        <w:t>antes</w:t>
      </w:r>
      <w:r w:rsidR="009547E5" w:rsidRPr="00A65B69">
        <w:rPr>
          <w:color w:val="000000" w:themeColor="text1"/>
          <w:spacing w:val="1"/>
          <w:sz w:val="23"/>
          <w:szCs w:val="23"/>
          <w:lang w:val="pt-BR"/>
        </w:rPr>
        <w:t>, imediatamente após e 24</w:t>
      </w:r>
      <w:r w:rsidR="006450FB" w:rsidRPr="00A65B69">
        <w:rPr>
          <w:color w:val="000000" w:themeColor="text1"/>
          <w:spacing w:val="1"/>
          <w:sz w:val="23"/>
          <w:szCs w:val="23"/>
          <w:lang w:val="pt-BR"/>
        </w:rPr>
        <w:t xml:space="preserve"> </w:t>
      </w:r>
      <w:r w:rsidR="009547E5" w:rsidRPr="00A65B69">
        <w:rPr>
          <w:color w:val="000000" w:themeColor="text1"/>
          <w:spacing w:val="1"/>
          <w:sz w:val="23"/>
          <w:szCs w:val="23"/>
          <w:lang w:val="pt-BR"/>
        </w:rPr>
        <w:t>h após a intervenção</w:t>
      </w:r>
      <w:r w:rsidR="00885E42" w:rsidRPr="00A65B69">
        <w:rPr>
          <w:color w:val="000000" w:themeColor="text1"/>
          <w:spacing w:val="1"/>
          <w:sz w:val="23"/>
          <w:szCs w:val="23"/>
          <w:lang w:val="pt-BR"/>
        </w:rPr>
        <w:t xml:space="preserve"> - </w:t>
      </w:r>
      <w:r w:rsidRPr="00A65B69">
        <w:rPr>
          <w:color w:val="000000" w:themeColor="text1"/>
          <w:spacing w:val="1"/>
          <w:sz w:val="23"/>
          <w:szCs w:val="23"/>
          <w:lang w:val="pt-BR"/>
        </w:rPr>
        <w:t>F</w:t>
      </w:r>
      <w:r w:rsidR="009547E5" w:rsidRPr="00A65B69">
        <w:rPr>
          <w:color w:val="000000" w:themeColor="text1"/>
          <w:spacing w:val="1"/>
          <w:sz w:val="23"/>
          <w:szCs w:val="23"/>
          <w:lang w:val="pt-BR"/>
        </w:rPr>
        <w:t xml:space="preserve">igura 1). </w:t>
      </w:r>
      <w:r w:rsidR="00625CD5" w:rsidRPr="00A65B69">
        <w:rPr>
          <w:color w:val="000000" w:themeColor="text1"/>
          <w:sz w:val="23"/>
          <w:szCs w:val="23"/>
          <w:lang w:val="pt-BR"/>
        </w:rPr>
        <w:t xml:space="preserve">As seguintes variáveis de interesse serão coletadas em cada </w:t>
      </w:r>
      <w:r w:rsidRPr="00A65B69">
        <w:rPr>
          <w:color w:val="000000" w:themeColor="text1"/>
          <w:sz w:val="23"/>
          <w:szCs w:val="23"/>
          <w:lang w:val="pt-BR"/>
        </w:rPr>
        <w:t>passo analisado</w:t>
      </w:r>
      <w:r w:rsidR="00625CD5" w:rsidRPr="00A65B69">
        <w:rPr>
          <w:color w:val="000000" w:themeColor="text1"/>
          <w:sz w:val="23"/>
          <w:szCs w:val="23"/>
          <w:lang w:val="pt-BR"/>
        </w:rPr>
        <w:t xml:space="preserve">: comprimento, </w:t>
      </w:r>
      <w:r w:rsidR="00885E42" w:rsidRPr="00A65B69">
        <w:rPr>
          <w:color w:val="000000" w:themeColor="text1"/>
          <w:sz w:val="23"/>
          <w:szCs w:val="23"/>
          <w:lang w:val="pt-BR"/>
        </w:rPr>
        <w:t xml:space="preserve">largura, </w:t>
      </w:r>
      <w:r w:rsidR="00625CD5" w:rsidRPr="00A65B69">
        <w:rPr>
          <w:color w:val="000000" w:themeColor="text1"/>
          <w:sz w:val="23"/>
          <w:szCs w:val="23"/>
          <w:lang w:val="pt-BR"/>
        </w:rPr>
        <w:t>duração, velocidade, duração de balanço e de</w:t>
      </w:r>
      <w:r w:rsidR="00885E42" w:rsidRPr="00A65B69">
        <w:rPr>
          <w:color w:val="000000" w:themeColor="text1"/>
          <w:sz w:val="23"/>
          <w:szCs w:val="23"/>
          <w:lang w:val="pt-BR"/>
        </w:rPr>
        <w:t xml:space="preserve"> duplo</w:t>
      </w:r>
      <w:r w:rsidR="00625CD5" w:rsidRPr="00A65B69">
        <w:rPr>
          <w:color w:val="000000" w:themeColor="text1"/>
          <w:sz w:val="23"/>
          <w:szCs w:val="23"/>
          <w:lang w:val="pt-BR"/>
        </w:rPr>
        <w:t xml:space="preserve"> suporte. </w:t>
      </w:r>
      <w:r w:rsidR="007E033E" w:rsidRPr="00A65B69">
        <w:rPr>
          <w:color w:val="000000" w:themeColor="text1"/>
          <w:sz w:val="23"/>
          <w:szCs w:val="23"/>
          <w:lang w:val="pt-BR"/>
        </w:rPr>
        <w:t>Também será calculad</w:t>
      </w:r>
      <w:r w:rsidR="00251A6A" w:rsidRPr="00A65B69">
        <w:rPr>
          <w:color w:val="000000" w:themeColor="text1"/>
          <w:sz w:val="23"/>
          <w:szCs w:val="23"/>
          <w:lang w:val="pt-BR"/>
        </w:rPr>
        <w:t>o</w:t>
      </w:r>
      <w:r w:rsidR="007E033E" w:rsidRPr="00A65B69">
        <w:rPr>
          <w:color w:val="000000" w:themeColor="text1"/>
          <w:sz w:val="23"/>
          <w:szCs w:val="23"/>
          <w:lang w:val="pt-BR"/>
        </w:rPr>
        <w:t xml:space="preserve"> </w:t>
      </w:r>
      <w:r w:rsidR="00251A6A" w:rsidRPr="00A65B69">
        <w:rPr>
          <w:color w:val="000000" w:themeColor="text1"/>
          <w:sz w:val="23"/>
          <w:szCs w:val="23"/>
          <w:lang w:val="pt-BR"/>
        </w:rPr>
        <w:t>o</w:t>
      </w:r>
      <w:r w:rsidR="007E033E" w:rsidRPr="00A65B69">
        <w:rPr>
          <w:color w:val="000000" w:themeColor="text1"/>
          <w:sz w:val="23"/>
          <w:szCs w:val="23"/>
          <w:lang w:val="pt-BR"/>
        </w:rPr>
        <w:t xml:space="preserve"> </w:t>
      </w:r>
      <w:r w:rsidR="00251A6A" w:rsidRPr="00A65B69">
        <w:rPr>
          <w:color w:val="000000" w:themeColor="text1"/>
          <w:sz w:val="23"/>
          <w:szCs w:val="23"/>
          <w:lang w:val="pt-BR"/>
        </w:rPr>
        <w:t>coeficiente de variação</w:t>
      </w:r>
      <w:r w:rsidR="007E033E" w:rsidRPr="00A65B69">
        <w:rPr>
          <w:color w:val="000000" w:themeColor="text1"/>
          <w:sz w:val="23"/>
          <w:szCs w:val="23"/>
          <w:lang w:val="pt-BR"/>
        </w:rPr>
        <w:t xml:space="preserve"> de cada parâmetro</w:t>
      </w:r>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610715" w:rsidRPr="00A65B69">
        <w:rPr>
          <w:color w:val="000000" w:themeColor="text1"/>
          <w:sz w:val="23"/>
          <w:szCs w:val="23"/>
          <w:lang w:val="pt-BR"/>
        </w:rPr>
        <w:instrText>ADDIN CSL_CITATION {"citationItems":[{"id":"ITEM-1","itemData":{"DOI":"10.1053/apmr.2001.24893","ISSN":"00039993","PMID":"11494184","abstract":"Objective: To test the hypothesis that increased gait variability predicts falls among community-living older adults attending an outpatient clinic. Design: Prospective, cohort study. Setting: Three outpatient geriatric clinics. Participants: Fifty-two community-living, ambulatory men and women aged ≥ 70 years. Interventions: Not applicable. Main Outcome Measures: Subjects walked at a normal pace for up to 6 minutes wearing force-sensitive insoles that measured the gait rhythm on a stride-to-stride basis. Afterward, subjects reported fall status on a weekly basis for 1 year. The primary outcomes were the association between measures of the stride-to-stride fluctuations in gait rhythm and (1) subsequent falls during a 12-month follow-up period and (2) potential contributing factors. Results: Almost 40% of the subjects reported falling during the 12-month follow-up period. Stride time variability was 106 ± 30ms in subjects who subsequently fell (n = 20) and 49 ± 4ms in those who did not experience a fall (n = 32) during the 12-month follow-up period (p &lt; .04). Logistic regression also showed that stride time variability predicted falls (p &lt; .05). Stride time variability correlated significantly with multiple factors including strength, balance, gait speed, functional status, and even mental health, but these other measures did not discriminate future fallers from nonfallers. Conclusions: These findings show both the feasibility of obtaining stride-to-stride measures of gait timing in the ambulatory setting and the potential use of gait variability measures in augmenting the prospective evaluation of fall risk in community-living older adults. © 2001 by the American Congress of Rehabilitation Medicine and the American Academy of Physical Medicine and Rehabilitation.","author":[{"dropping-particle":"","family":"Hausdorff","given":"Jeffrey M.","non-dropping-particle":"","parse-names":false,"suffix":""},{"dropping-particle":"","family":"Rios","given":"Dean A.","non-dropping-particle":"","parse-names":false,"suffix":""},{"dropping-particle":"","family":"Edelberg","given":"Helen K.","non-dropping-particle":"","parse-names":false,"suffix":""}],"container-title":"Archives of Physical Medicine and Rehabilitation","id":"ITEM-1","issue":"8","issued":{"date-parts":[["2001"]]},"page":"1050-1056","title":"Gait variability and fall risk in community-living older adults: A 1-year prospective study","type":"article-journal","volume":"82"},"uris":["http://www.mendeley.com/documents/?uuid=78c40ae8-88a3-483e-898f-e51b3fe41b0f"]},{"id":"ITEM-2","itemData":{"author":[{"dropping-particle":"","family":"Simieli","given":"Lucas","non-dropping-particle":"","parse-names":false,"suffix":""},{"dropping-particle":"","family":"Vitório","given":"Rodrigo","non-dropping-particle":"","parse-names":false,"suffix":""},{"dropping-particle":"","family":"Rodrigues","given":"Sérgio Tosi","non-dropping-particle":"","parse-names":false,"suffix":""},{"dropping-particle":"","family":"Zago","given":"Paula Fávaro Polastri","non-dropping-particle":"","parse-names":false,"suffix":""},{"dropping-particle":"","family":"Pereira","given":"Vinícius Alota Ignacio","non-dropping-particle":"","parse-names":false,"suffix":""},{"dropping-particle":"","family":"Baptista","given":"André Macari","non-dropping-particle":"","parse-names":false,"suffix":""},{"dropping-particle":"de","family":"Paula","given":"Pedro Henrique Alves","non-dropping-particle":"","parse-names":false,"suffix":""},{"dropping-particle":"","family":"Penedo","given":"Tiago","non-dropping-particle":"","parse-names":false,"suffix":""},{"dropping-particle":"","family":"Almeida","given":"Quincy J","non-dropping-particle":"","parse-names":false,"suffix":""},{"dropping-particle":"","family":"Barbieri","given":"Fabio Augusto","non-dropping-particle":"","parse-names":false,"suffix":""}],"container-title":"Gait and Posture","id":"ITEM-2","issued":{"date-parts":[["2017"]]},"page":"504-509","title":"Gaze and motor behavior of pople with PD during obstacle circumvention","type":"article-journal","volume":"58"},"uris":["http://www.mendeley.com/documents/?uuid=87e510e5-9810-4ff4-bc47-189a7e3e4549"]}],"mendeley":{"formattedCitation":"(HAUSDORFF; RIOS; EDELBERG, 2001; SIMIELI et al., 2017)","manualFormatting":"(HAUSDORFF et al., 2001; SIMIELI et al., 2017)","plainTextFormattedCitation":"(HAUSDORFF; RIOS; EDELBERG, 2001; SIMIELI et al., 2017)","previouslyFormattedCitation":"(HAUSDORFF; RIOS; EDELBERG, 2001; SIMIELI et al., 2017)"},"properties":{"noteIndex":0},"schema":"https://github.com/citation-style-language/schema/raw/master/csl-citation.json"}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(HAUSDORFF</w:t>
      </w:r>
      <w:r w:rsidR="00610715" w:rsidRPr="00A65B69">
        <w:rPr>
          <w:noProof/>
          <w:color w:val="000000" w:themeColor="text1"/>
          <w:sz w:val="23"/>
          <w:szCs w:val="23"/>
          <w:lang w:val="pt-BR"/>
        </w:rPr>
        <w:t xml:space="preserve"> et al.,</w:t>
      </w:r>
      <w:r w:rsidR="00A808A2" w:rsidRPr="00A65B69">
        <w:rPr>
          <w:noProof/>
          <w:color w:val="000000" w:themeColor="text1"/>
          <w:sz w:val="23"/>
          <w:szCs w:val="23"/>
          <w:lang w:val="pt-BR"/>
        </w:rPr>
        <w:t xml:space="preserve"> 2001; SIMIELI et al., 2017)</w:t>
      </w:r>
      <w:r w:rsidR="00A808A2" w:rsidRPr="00A65B69">
        <w:rPr>
          <w:color w:val="000000" w:themeColor="text1"/>
          <w:sz w:val="23"/>
          <w:szCs w:val="23"/>
          <w:lang w:val="pt-BR"/>
        </w:rPr>
        <w:fldChar w:fldCharType="end"/>
      </w:r>
      <w:r w:rsidR="007E033E" w:rsidRPr="00A65B69">
        <w:rPr>
          <w:color w:val="000000" w:themeColor="text1"/>
          <w:sz w:val="23"/>
          <w:szCs w:val="23"/>
          <w:lang w:val="pt-BR"/>
        </w:rPr>
        <w:t>.</w:t>
      </w:r>
    </w:p>
    <w:p w14:paraId="45641C8B" w14:textId="278BB72D" w:rsidR="003D4314" w:rsidRPr="00A65B69" w:rsidRDefault="007E033E" w:rsidP="00C5660B">
      <w:pPr>
        <w:pStyle w:val="NormalWeb"/>
        <w:tabs>
          <w:tab w:val="left" w:pos="284"/>
        </w:tabs>
        <w:spacing w:before="0" w:beforeAutospacing="0" w:after="0" w:afterAutospacing="0" w:line="480" w:lineRule="auto"/>
        <w:jc w:val="both"/>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t xml:space="preserve">A aquisição do sinal eletromiográfico (EMG) será realizada através do eletromiógrafo </w:t>
      </w:r>
      <w:r w:rsidR="0096615E" w:rsidRPr="00A65B69">
        <w:rPr>
          <w:color w:val="000000" w:themeColor="text1"/>
          <w:sz w:val="23"/>
          <w:szCs w:val="23"/>
          <w:lang w:val="pt-BR"/>
        </w:rPr>
        <w:t>(Cometa System, Milan, Itália</w:t>
      </w:r>
      <w:r w:rsidRPr="00A65B69">
        <w:rPr>
          <w:color w:val="000000" w:themeColor="text1"/>
          <w:sz w:val="23"/>
          <w:szCs w:val="23"/>
          <w:lang w:val="pt-BR"/>
        </w:rPr>
        <w:t>) de 8 canais com frequência de amostragem de 2000</w:t>
      </w:r>
      <w:r w:rsidR="005330FC" w:rsidRPr="00A65B69">
        <w:rPr>
          <w:color w:val="000000" w:themeColor="text1"/>
          <w:sz w:val="23"/>
          <w:szCs w:val="23"/>
          <w:lang w:val="pt-BR"/>
        </w:rPr>
        <w:t xml:space="preserve"> </w:t>
      </w:r>
      <w:r w:rsidRPr="00A65B69">
        <w:rPr>
          <w:color w:val="000000" w:themeColor="text1"/>
          <w:sz w:val="23"/>
          <w:szCs w:val="23"/>
          <w:lang w:val="pt-BR"/>
        </w:rPr>
        <w:t>Hz. Eletrodos circulares de (Ag/AgCl) serão posicionados bilateralmente nos músculos gastrocnêmio lateral (GL), tibial anterior (TA), vasto lateral (VL), e bíceps femoral (BF)</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{"citationItems":[{"id":"ITEM-1","itemData":{"DOI":"10.1038/s41598-020-72839-1","ISBN":"0123456789","ISSN":"20452322","PMID":"32985547","abstract":"We examined the effects of age on intermuscular beta-band (15–35 Hz) coherence during treadmill walking before and after experimentally induced fatigue. Older (n = 12) and younger (n = 12) adults walked on a treadmill at 1.2 m/s for 3 min before and after repetitive sit-to-stand, rSTS, to induce muscle fatigability. We measured stride outcomes and coherence from 100 steps in the dominant leg for the synergistic (biceps femoris (BF)-semitendinosus, rectus femoris (RF)-vastus lateralis (VL), gastrocnemius lateralis (GL)-Soleus (SL), tibialis anterior (TA)-peroneus longus (PL)) and for the antagonistic (RF-BF and TA-GL) muscle pairs at late swing and early stance. Older vs. younger adults had 43–62% lower GL-SL, RF-VL coherence in swing and TA-PL and RF-VL coherence in stance. After rSTS, RF-BF coherence in late swing decreased by ~ 20% and TA-PL increased by 16% independent of age (p = 0.02). Also, GL-SL coherence decreased by ~ 23% and increased by ~ 23% in younger and older, respectively. Age affects the oscillatory coupling between synergistic muscle pairs, delivered presumably via corticospinal tracts, during treadmill walking. Muscle fatigability elicits age-specific changes in the common fluctuations in muscle activity, which could be interpreted as a compensation for muscle fatigability to maintain gait performance.","author":[{"dropping-particle":"","family":"Santos","given":"Paulo Cezar Rocha","non-dropping-particle":"dos","parse-names":false,"suffix":""},{"dropping-particle":"","family":"Lamoth","given":"Claudine J.C.","non-dropping-particle":"","parse-names":false,"suffix":""},{"dropping-particle":"","family":"Barbieri","given":"Fabio Augusto","non-dropping-particle":"","parse-names":false,"suffix":""},{"dropping-particle":"","family":"Zijdewind","given":"Inge","non-dropping-particle":"","parse-names":false,"suffix":""},{"dropping-particle":"","family":"Gobbi","given":"Lilian Teresa Bucken","non-dropping-particle":"","parse-names":false,"suffix":""},{"dropping-particle":"","family":"Hortobágyi","given":"Tibor","non-dropping-particle":"","parse-names":false,"suffix":""}],"container-title":"Scientific Reports","id":"ITEM-1","issue":"1","issued":{"date-parts":[["2020"]]},"page":"1-12","publisher":"Nature Publishing Group UK","title":"Age-specific modulation of intermuscular beta coherence during gait before and after experimentally induced fatigue","type":"article-journal","volume":"10"},"uris":["http://www.mendeley.com/documents/?uuid=263e4600-2766-4e97-b8b6-62ae8abb9fa1"]}],"mendeley":{"formattedCitation":"(DOS SANTOS et al., 2020)","plainTextFormattedCitation":"(DOS SANTOS et al., 2020)","previouslyFormattedCitation":"(DOS SANTOS et al., 2020)"},"properties":{"noteIndex":0},"schema":"https://github.com/citation-style-language/schema/raw/master/csl-citation.json"}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(DOS SANTOS et al., 2020)</w:t>
      </w:r>
      <w:r w:rsidR="00A808A2" w:rsidRPr="00A65B69">
        <w:rPr>
          <w:color w:val="000000" w:themeColor="text1"/>
          <w:sz w:val="23"/>
          <w:szCs w:val="23"/>
          <w:lang w:val="pt-BR"/>
        </w:rPr>
        <w:fldChar w:fldCharType="end"/>
      </w:r>
      <w:r w:rsidRPr="00A65B69">
        <w:rPr>
          <w:color w:val="000000" w:themeColor="text1"/>
          <w:sz w:val="23"/>
          <w:szCs w:val="23"/>
          <w:lang w:val="pt-BR"/>
        </w:rPr>
        <w:t xml:space="preserve">, seguindo as normas descritas pela Surface </w:t>
      </w:r>
      <w:proofErr w:type="spellStart"/>
      <w:r w:rsidRPr="00A65B69">
        <w:rPr>
          <w:color w:val="000000" w:themeColor="text1"/>
          <w:sz w:val="23"/>
          <w:szCs w:val="23"/>
          <w:lang w:val="pt-BR"/>
        </w:rPr>
        <w:t>ElectroMyGraphy</w:t>
      </w:r>
      <w:proofErr w:type="spellEnd"/>
      <w:r w:rsidRPr="00A65B69">
        <w:rPr>
          <w:color w:val="000000" w:themeColor="text1"/>
          <w:sz w:val="23"/>
          <w:szCs w:val="23"/>
          <w:lang w:val="pt-BR"/>
        </w:rPr>
        <w:t xml:space="preserve"> for </w:t>
      </w:r>
      <w:proofErr w:type="spellStart"/>
      <w:r w:rsidRPr="00A65B69">
        <w:rPr>
          <w:color w:val="000000" w:themeColor="text1"/>
          <w:sz w:val="23"/>
          <w:szCs w:val="23"/>
          <w:lang w:val="pt-BR"/>
        </w:rPr>
        <w:t>the</w:t>
      </w:r>
      <w:proofErr w:type="spellEnd"/>
      <w:r w:rsidRPr="00A65B69">
        <w:rPr>
          <w:color w:val="000000" w:themeColor="text1"/>
          <w:sz w:val="23"/>
          <w:szCs w:val="23"/>
          <w:lang w:val="pt-BR"/>
        </w:rPr>
        <w:t xml:space="preserve"> Non-</w:t>
      </w:r>
      <w:proofErr w:type="spellStart"/>
      <w:r w:rsidRPr="00A65B69">
        <w:rPr>
          <w:color w:val="000000" w:themeColor="text1"/>
          <w:sz w:val="23"/>
          <w:szCs w:val="23"/>
          <w:lang w:val="pt-BR"/>
        </w:rPr>
        <w:t>Invasive</w:t>
      </w:r>
      <w:proofErr w:type="spellEnd"/>
      <w:r w:rsidRPr="00A65B69">
        <w:rPr>
          <w:color w:val="000000" w:themeColor="text1"/>
          <w:sz w:val="23"/>
          <w:szCs w:val="23"/>
          <w:lang w:val="pt-BR"/>
        </w:rPr>
        <w:t xml:space="preserve"> Assessment </w:t>
      </w:r>
      <w:proofErr w:type="spellStart"/>
      <w:r w:rsidRPr="00A65B69">
        <w:rPr>
          <w:color w:val="000000" w:themeColor="text1"/>
          <w:sz w:val="23"/>
          <w:szCs w:val="23"/>
          <w:lang w:val="pt-BR"/>
        </w:rPr>
        <w:t>of</w:t>
      </w:r>
      <w:proofErr w:type="spellEnd"/>
      <w:r w:rsidRPr="00A65B69">
        <w:rPr>
          <w:color w:val="000000" w:themeColor="text1"/>
          <w:sz w:val="23"/>
          <w:szCs w:val="23"/>
          <w:lang w:val="pt-BR"/>
        </w:rPr>
        <w:t xml:space="preserve"> </w:t>
      </w:r>
      <w:proofErr w:type="spellStart"/>
      <w:r w:rsidRPr="00A65B69">
        <w:rPr>
          <w:color w:val="000000" w:themeColor="text1"/>
          <w:sz w:val="23"/>
          <w:szCs w:val="23"/>
          <w:lang w:val="pt-BR"/>
        </w:rPr>
        <w:t>Muscles</w:t>
      </w:r>
      <w:proofErr w:type="spellEnd"/>
      <w:r w:rsidRPr="00A65B69">
        <w:rPr>
          <w:color w:val="000000" w:themeColor="text1"/>
          <w:sz w:val="23"/>
          <w:szCs w:val="23"/>
          <w:lang w:val="pt-BR"/>
        </w:rPr>
        <w:t xml:space="preserve"> (SENIAM)</w:t>
      </w:r>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author":[{"dropping-particle":"","family":"Merletti","given":"R.","non-dropping-particle":"","parse-names":false,"suffix":""},{"dropping-particle":"","family":"Hermens","given":"H.","non-dropping-particle":"","parse-names":false,"suffix":""},{"dropping-particle":"","family":"Kadefors","given":"R.","non-dropping-particle":"","parse-names":false,"suffix":""}],"container-title":"Conference Proceedings of the 23rd Annual International Conference of the IEEE Engineering in Medicine and Biology Society","id":"ITEM-1","issued":{"date-parts":[["2001"]]},"title":"EUROPEAN COMMUNITY PROJECTS ON SURFACE ELECTROMYOGRAPHY","type":"article-journal"},"uris":["http://www.mendeley.com/documents/?uuid=f006722f-b2d2-456c-9bfe-b3c6602e722e"]}],"mendeley":{"formattedCitation":"(MERLETTI; HERMENS; KADEFORS, 2001)","manualFormatting":"(HERMENS et al., 2001)","plainTextFormattedCitation":"(MERLETTI; HERMENS; KADEFORS, 2001)","previouslyFormattedCitation":"(MERLETTI; HERMENS; KADEFORS, 2001)"},"properties":{"noteIndex":0},"schema":"https://github.com/citation-style-language/schema/raw/master/csl-citation.json"}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(HERMENS et al., 2001)</w:t>
      </w:r>
      <w:r w:rsidR="00A808A2" w:rsidRPr="00A65B69">
        <w:rPr>
          <w:color w:val="000000" w:themeColor="text1"/>
          <w:sz w:val="23"/>
          <w:szCs w:val="23"/>
          <w:lang w:val="pt-BR"/>
        </w:rPr>
        <w:fldChar w:fldCharType="end"/>
      </w:r>
      <w:r w:rsidR="00A808A2" w:rsidRPr="00A65B69">
        <w:rPr>
          <w:color w:val="000000" w:themeColor="text1"/>
          <w:sz w:val="23"/>
          <w:szCs w:val="23"/>
          <w:lang w:val="pt-BR"/>
        </w:rPr>
        <w:t>.</w:t>
      </w:r>
      <w:r w:rsidRPr="00A65B69">
        <w:rPr>
          <w:color w:val="000000" w:themeColor="text1"/>
          <w:sz w:val="23"/>
          <w:szCs w:val="23"/>
          <w:lang w:val="pt-BR"/>
        </w:rPr>
        <w:t xml:space="preserve"> O sinal será filtrado por meio de um filtro passa banda de 20-450 Hz de sexta ordem. As janelas do final da fase de balanço (−400 até −50</w:t>
      </w:r>
      <w:r w:rsidR="005330FC" w:rsidRPr="00A65B69">
        <w:rPr>
          <w:color w:val="000000" w:themeColor="text1"/>
          <w:sz w:val="23"/>
          <w:szCs w:val="23"/>
          <w:lang w:val="pt-BR"/>
        </w:rPr>
        <w:t xml:space="preserve"> </w:t>
      </w:r>
      <w:proofErr w:type="spellStart"/>
      <w:r w:rsidRPr="00A65B69">
        <w:rPr>
          <w:color w:val="000000" w:themeColor="text1"/>
          <w:sz w:val="23"/>
          <w:szCs w:val="23"/>
          <w:lang w:val="pt-BR"/>
        </w:rPr>
        <w:t>ms</w:t>
      </w:r>
      <w:proofErr w:type="spellEnd"/>
      <w:r w:rsidRPr="00A65B69">
        <w:rPr>
          <w:color w:val="000000" w:themeColor="text1"/>
          <w:sz w:val="23"/>
          <w:szCs w:val="23"/>
          <w:lang w:val="pt-BR"/>
        </w:rPr>
        <w:t xml:space="preserve"> antes do contato do pé com o solo) e início da fase de suporte (50 até 350</w:t>
      </w:r>
      <w:r w:rsidR="005330FC" w:rsidRPr="00A65B69">
        <w:rPr>
          <w:color w:val="000000" w:themeColor="text1"/>
          <w:sz w:val="23"/>
          <w:szCs w:val="23"/>
          <w:lang w:val="pt-BR"/>
        </w:rPr>
        <w:t xml:space="preserve"> </w:t>
      </w:r>
      <w:proofErr w:type="spellStart"/>
      <w:r w:rsidRPr="00A65B69">
        <w:rPr>
          <w:color w:val="000000" w:themeColor="text1"/>
          <w:sz w:val="23"/>
          <w:szCs w:val="23"/>
          <w:lang w:val="pt-BR"/>
        </w:rPr>
        <w:t>ms</w:t>
      </w:r>
      <w:proofErr w:type="spellEnd"/>
      <w:r w:rsidRPr="00A65B69">
        <w:rPr>
          <w:color w:val="000000" w:themeColor="text1"/>
          <w:sz w:val="23"/>
          <w:szCs w:val="23"/>
          <w:lang w:val="pt-BR"/>
        </w:rPr>
        <w:t xml:space="preserve"> depois do contato do pé com o solo) de cada</w:t>
      </w:r>
      <w:r w:rsidR="003D4314" w:rsidRPr="00A65B69">
        <w:rPr>
          <w:color w:val="000000" w:themeColor="text1"/>
          <w:sz w:val="23"/>
          <w:szCs w:val="23"/>
          <w:lang w:val="pt-BR"/>
        </w:rPr>
        <w:t xml:space="preserve"> um dos passos analisados pela cinemática</w:t>
      </w:r>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{"citationItems":[{"id":"ITEM-1","itemData":{"DOI":"10.1038/s41598-020-72839-1","ISBN":"0123456789","ISSN":"20452322","PMID":"32985547","abstract":"We examined the effects of age on intermuscular beta-band (15–35 Hz) coherence during treadmill walking before and after experimentally induced fatigue. Older (n = 12) and younger (n = 12) adults walked on a treadmill at 1.2 m/s for 3 min before and after repetitive sit-to-stand, rSTS, to induce muscle fatigability. We measured stride outcomes and coherence from 100 steps in the dominant leg for the synergistic (biceps femoris (BF)-semitendinosus, rectus femoris (RF)-vastus lateralis (VL), gastrocnemius lateralis (GL)-Soleus (SL), tibialis anterior (TA)-peroneus longus (PL)) and for the antagonistic (RF-BF and TA-GL) muscle pairs at late swing and early stance. Older vs. younger adults had 43–62% lower GL-SL, RF-VL coherence in swing and TA-PL and RF-VL coherence in stance. After rSTS, RF-BF coherence in late swing decreased by ~ 20% and TA-PL increased by 16% independent of age (p = 0.02). Also, GL-SL coherence decreased by ~ 23% and increased by ~ 23% in younger and older, respectively. Age affects the oscillatory coupling between synergistic muscle pairs, delivered presumably via corticospinal tracts, during treadmill walking. Muscle fatigability elicits age-specific changes in the common fluctuations in muscle activity, which could be interpreted as a compensation for muscle fatigability to maintain gait performance.","author":[{"dropping-particle":"","family":"Santos","given":"Paulo Cezar Rocha","non-dropping-particle":"dos","parse-names":false,"suffix":""},{"dropping-particle":"","family":"Lamoth","given":"Claudine J.C.","non-dropping-particle":"","parse-names":false,"suffix":""},{"dropping-particle":"","family":"Barbieri","given":"Fabio Augusto","non-dropping-particle":"","parse-names":false,"suffix":""},{"dropping-particle":"","family":"Zijdewind","given":"Inge","non-dropping-particle":"","parse-names":false,"suffix":""},{"dropping-particle":"","family":"Gobbi","given":"Lilian Teresa Bucken","non-dropping-particle":"","parse-names":false,"suffix":""},{"dropping-particle":"","family":"Hortobágyi","given":"Tibor","non-dropping-particle":"","parse-names":false,"suffix":""}],"container-title":"Scientific Reports","id":"ITEM-1","issue":"1","issued":{"date-parts":[["2020"]]},"page":"1-12","publisher":"Nature Publishing Group UK","title":"Age-specific modulation of intermuscular beta coherence during gait before and after experimentally induced fatigue","type":"article-journal","volume":"10"},"uris":["http://www.mendeley.com/documents/?uuid=263e4600-2766-4e97-b8b6-62ae8abb9fa1"]}],"mendeley":{"formattedCitation":"(DOS SANTOS et al., 2020)","plainTextFormattedCitation":"(DOS SANTOS et al., 2020)","previouslyFormattedCitation":"(DOS SANTOS et al., 2020)"},"properties":{"noteIndex":0},"schema":"https://github.com/citation-style-language/schema/raw/master/csl-citation.json"}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(DOS SANTOS et al., 2020)</w:t>
      </w:r>
      <w:r w:rsidR="00A808A2" w:rsidRPr="00A65B69">
        <w:rPr>
          <w:color w:val="000000" w:themeColor="text1"/>
          <w:sz w:val="23"/>
          <w:szCs w:val="23"/>
          <w:lang w:val="pt-BR"/>
        </w:rPr>
        <w:fldChar w:fldCharType="end"/>
      </w:r>
      <w:r w:rsidRPr="00A65B69">
        <w:rPr>
          <w:color w:val="000000" w:themeColor="text1"/>
          <w:sz w:val="23"/>
          <w:szCs w:val="23"/>
          <w:lang w:val="pt-BR"/>
        </w:rPr>
        <w:t xml:space="preserve"> serão utilizados para determinar o RMS, índice de </w:t>
      </w:r>
      <w:proofErr w:type="spellStart"/>
      <w:r w:rsidRPr="00A65B69">
        <w:rPr>
          <w:color w:val="000000" w:themeColor="text1"/>
          <w:sz w:val="23"/>
          <w:szCs w:val="23"/>
          <w:lang w:val="pt-BR"/>
        </w:rPr>
        <w:t>coativação</w:t>
      </w:r>
      <w:proofErr w:type="spellEnd"/>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{"citationItems":[{"id":"ITEM-1","itemData":{"DOI":"10.1186/s12984-021-00932-1","ISSN":"17430003","PMID":"34496882","abstract":"Introduction: Some people with Parkinson’s disease (PD) frequently have an unsteady gait with shuffling, reduced strength, and increased rigidity. This study has investigated the difference in the neuromuscular strategies of people with early-stage PD, healthy older adults (HOA) and healthy young adult (HYA) during short-distance walking. Method: Surface electromyogram (sEMG) was recorded from tibialis anterior (TA) and medial gastrocnemius (MG) muscles along with the acceleration data from the lower leg from 72 subjects—24 people with early-stage PD, 24 HOA and 24 HYA during short-distance walking on a level surface using wearable sensors. Results: There was a significant increase in the co-activation, a reduction in the TA modulation and an increase in the TA-MG lateral asymmetry among the people with PD during a level, straight-line walking. For people with PD, the gait impairment scale was low with an average postural instability and gait disturbance (PIGD) score = 5.29 out of a maximum score of 20. Investigating the single and double support phases of the gait revealed that while the muscle activity and co-activation index (CI) of controls modulated over the gait cycle, this was highly diminished for people with PD. The biggest difference between CI of controls and people with PD was during the double support phase of gait. Discussion: The study has shown that people with early-stage PD have high asymmetry, reduced modulation, and higher co-activation. They have reduced muscle activity, ability to inhibit antagonist, and modulate their muscle activities. This has the potential for diagnosis and regular assessment of people with PD to detect gait impairments using wearable sensors.","author":[{"dropping-particle":"","family":"Keloth","given":"Sana M.","non-dropping-particle":"","parse-names":false,"suffix":""},{"dropping-particle":"","family":"Arjunan","given":"Sridhar P.","non-dropping-particle":"","parse-names":false,"suffix":""},{"dropping-particle":"","family":"Raghav","given":"Sanjay","non-dropping-particle":"","parse-names":false,"suffix":""},{"dropping-particle":"","family":"Kumar","given":"Dinesh Kant","non-dropping-particle":"","parse-names":false,"suffix":""}],"container-title":"Journal of NeuroEngineering and Rehabilitation","id":"ITEM-1","issue":"1","issued":{"date-parts":[["2021"]]},"page":"1-15","publisher":"BioMed Central","title":"Muscle activation strategies of people with early-stage Parkinson’s during walking","type":"article-journal","volume":"18"},"uris":["http://www.mendeley.com/documents/?uuid=7b7eac32-b50e-4969-bf94-608602f56a13"]}],"mendeley":{"formattedCitation":"(KELOTH et al., 2021)","plainTextFormattedCitation":"(KELOTH et al., 2021)","previouslyFormattedCitation":"(KELOTH et al., 2021)"},"properties":{"noteIndex":0},"schema":"https://github.com/citation-style-language/schema/raw/master/csl-citation.json"}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(KELOTH et al., 2021)</w:t>
      </w:r>
      <w:r w:rsidR="00A808A2" w:rsidRPr="00A65B69">
        <w:rPr>
          <w:color w:val="000000" w:themeColor="text1"/>
          <w:sz w:val="23"/>
          <w:szCs w:val="23"/>
          <w:lang w:val="pt-BR"/>
        </w:rPr>
        <w:fldChar w:fldCharType="end"/>
      </w:r>
      <w:r w:rsidRPr="00A65B69">
        <w:rPr>
          <w:color w:val="000000" w:themeColor="text1"/>
          <w:sz w:val="23"/>
          <w:szCs w:val="23"/>
          <w:lang w:val="pt-BR"/>
        </w:rPr>
        <w:t xml:space="preserve"> entre TA e GL, e VL e BF, e a frequência mediana do sinal. Os valores de cada músculo serão normalizados pelo pico de ativação durante a marcha para o cálculo do RMS e do índice de </w:t>
      </w:r>
      <w:proofErr w:type="spellStart"/>
      <w:r w:rsidRPr="00A65B69">
        <w:rPr>
          <w:color w:val="000000" w:themeColor="text1"/>
          <w:sz w:val="23"/>
          <w:szCs w:val="23"/>
          <w:lang w:val="pt-BR"/>
        </w:rPr>
        <w:t>coativação</w:t>
      </w:r>
      <w:proofErr w:type="spellEnd"/>
      <w:r w:rsidRPr="00A65B69">
        <w:rPr>
          <w:color w:val="000000" w:themeColor="text1"/>
          <w:sz w:val="23"/>
          <w:szCs w:val="23"/>
          <w:lang w:val="pt-BR"/>
        </w:rPr>
        <w:t xml:space="preserve">. </w:t>
      </w:r>
    </w:p>
    <w:p w14:paraId="77BAEA92" w14:textId="4EEC5028" w:rsidR="00433331" w:rsidRPr="00A65B69" w:rsidRDefault="003D4314" w:rsidP="008300A4">
      <w:pPr>
        <w:pStyle w:val="NormalWeb"/>
        <w:tabs>
          <w:tab w:val="left" w:pos="284"/>
        </w:tabs>
        <w:spacing w:before="0" w:beforeAutospacing="0" w:after="0" w:afterAutospacing="0" w:line="480" w:lineRule="auto"/>
        <w:jc w:val="both"/>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7E033E" w:rsidRPr="00A65B69">
        <w:rPr>
          <w:color w:val="000000" w:themeColor="text1"/>
          <w:sz w:val="23"/>
          <w:szCs w:val="23"/>
          <w:lang w:val="pt-BR"/>
        </w:rPr>
        <w:t xml:space="preserve">Para </w:t>
      </w:r>
      <w:r w:rsidRPr="00A65B69">
        <w:rPr>
          <w:color w:val="000000" w:themeColor="text1"/>
          <w:sz w:val="23"/>
          <w:szCs w:val="23"/>
          <w:lang w:val="pt-BR"/>
        </w:rPr>
        <w:t>responder os questionamentos do estudo, será calculada a média dos passos analisados</w:t>
      </w:r>
      <w:r w:rsidR="005330FC" w:rsidRPr="00A65B69">
        <w:rPr>
          <w:color w:val="000000" w:themeColor="text1"/>
          <w:sz w:val="23"/>
          <w:szCs w:val="23"/>
          <w:lang w:val="pt-BR"/>
        </w:rPr>
        <w:t xml:space="preserve"> em cada condição</w:t>
      </w:r>
      <w:r w:rsidR="00E27E6F" w:rsidRPr="00A65B69">
        <w:rPr>
          <w:color w:val="000000" w:themeColor="text1"/>
          <w:sz w:val="23"/>
          <w:szCs w:val="23"/>
          <w:lang w:val="pt-BR"/>
        </w:rPr>
        <w:t xml:space="preserve"> e momento de análise (</w:t>
      </w:r>
      <w:r w:rsidR="00E27E6F" w:rsidRPr="00A65B69">
        <w:rPr>
          <w:color w:val="000000" w:themeColor="text1"/>
          <w:spacing w:val="1"/>
          <w:sz w:val="23"/>
          <w:szCs w:val="23"/>
          <w:lang w:val="pt-BR"/>
        </w:rPr>
        <w:t>antes, imediatamente após e 24 h após a intervenção)</w:t>
      </w:r>
      <w:r w:rsidRPr="00A65B69">
        <w:rPr>
          <w:color w:val="000000" w:themeColor="text1"/>
          <w:sz w:val="23"/>
          <w:szCs w:val="23"/>
          <w:lang w:val="pt-BR"/>
        </w:rPr>
        <w:t xml:space="preserve"> para cada uma das variáveis de interesse</w:t>
      </w:r>
      <w:r w:rsidR="00885E42" w:rsidRPr="00A65B69">
        <w:rPr>
          <w:color w:val="000000" w:themeColor="text1"/>
          <w:sz w:val="23"/>
          <w:szCs w:val="23"/>
          <w:lang w:val="pt-BR"/>
        </w:rPr>
        <w:t xml:space="preserve"> para cada participante</w:t>
      </w:r>
      <w:r w:rsidRPr="00A65B69">
        <w:rPr>
          <w:color w:val="000000" w:themeColor="text1"/>
          <w:sz w:val="23"/>
          <w:szCs w:val="23"/>
          <w:lang w:val="pt-BR"/>
        </w:rPr>
        <w:t xml:space="preserve">. </w:t>
      </w:r>
    </w:p>
    <w:p w14:paraId="6FDA25CF" w14:textId="0E3C014E" w:rsidR="0039003A" w:rsidRPr="00A65B69" w:rsidRDefault="00966CDB" w:rsidP="008300A4">
      <w:pPr>
        <w:tabs>
          <w:tab w:val="left" w:pos="284"/>
        </w:tabs>
        <w:spacing w:line="480" w:lineRule="auto"/>
        <w:ind w:right="2"/>
        <w:jc w:val="both"/>
        <w:rPr>
          <w:i/>
          <w:color w:val="000000" w:themeColor="text1"/>
          <w:sz w:val="23"/>
          <w:szCs w:val="23"/>
          <w:lang w:val="pt-BR"/>
        </w:rPr>
      </w:pPr>
      <w:r w:rsidRPr="00A65B69">
        <w:rPr>
          <w:i/>
          <w:color w:val="000000" w:themeColor="text1"/>
          <w:sz w:val="23"/>
          <w:szCs w:val="23"/>
          <w:lang w:val="pt-BR"/>
        </w:rPr>
        <w:lastRenderedPageBreak/>
        <w:t xml:space="preserve">- </w:t>
      </w:r>
      <w:r w:rsidR="008755A4" w:rsidRPr="00A65B69">
        <w:rPr>
          <w:i/>
          <w:color w:val="000000" w:themeColor="text1"/>
          <w:sz w:val="23"/>
          <w:szCs w:val="23"/>
          <w:lang w:val="pt-BR"/>
        </w:rPr>
        <w:t>Avaliação da</w:t>
      </w:r>
      <w:r w:rsidR="008755A4" w:rsidRPr="00A65B69">
        <w:rPr>
          <w:i/>
          <w:color w:val="000000" w:themeColor="text1"/>
          <w:spacing w:val="-1"/>
          <w:sz w:val="23"/>
          <w:szCs w:val="23"/>
          <w:lang w:val="pt-BR"/>
        </w:rPr>
        <w:t xml:space="preserve"> </w:t>
      </w:r>
      <w:r w:rsidR="008755A4" w:rsidRPr="00A65B69">
        <w:rPr>
          <w:i/>
          <w:color w:val="000000" w:themeColor="text1"/>
          <w:sz w:val="23"/>
          <w:szCs w:val="23"/>
          <w:lang w:val="pt-BR"/>
        </w:rPr>
        <w:t>qualidade</w:t>
      </w:r>
      <w:r w:rsidR="008755A4" w:rsidRPr="00A65B69">
        <w:rPr>
          <w:i/>
          <w:color w:val="000000" w:themeColor="text1"/>
          <w:spacing w:val="-1"/>
          <w:sz w:val="23"/>
          <w:szCs w:val="23"/>
          <w:lang w:val="pt-BR"/>
        </w:rPr>
        <w:t xml:space="preserve"> </w:t>
      </w:r>
      <w:r w:rsidR="008755A4" w:rsidRPr="00A65B69">
        <w:rPr>
          <w:i/>
          <w:color w:val="000000" w:themeColor="text1"/>
          <w:sz w:val="23"/>
          <w:szCs w:val="23"/>
          <w:lang w:val="pt-BR"/>
        </w:rPr>
        <w:t>do</w:t>
      </w:r>
      <w:r w:rsidR="008755A4" w:rsidRPr="00A65B69">
        <w:rPr>
          <w:i/>
          <w:color w:val="000000" w:themeColor="text1"/>
          <w:spacing w:val="-1"/>
          <w:sz w:val="23"/>
          <w:szCs w:val="23"/>
          <w:lang w:val="pt-BR"/>
        </w:rPr>
        <w:t xml:space="preserve"> </w:t>
      </w:r>
      <w:r w:rsidR="008755A4" w:rsidRPr="00A65B69">
        <w:rPr>
          <w:i/>
          <w:color w:val="000000" w:themeColor="text1"/>
          <w:sz w:val="23"/>
          <w:szCs w:val="23"/>
          <w:lang w:val="pt-BR"/>
        </w:rPr>
        <w:t>sono</w:t>
      </w:r>
    </w:p>
    <w:p w14:paraId="5DECACD5" w14:textId="74A93BEE" w:rsidR="0039003A" w:rsidRPr="00A65B69" w:rsidRDefault="003D4314" w:rsidP="008300A4">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8755A4" w:rsidRPr="00A65B69">
        <w:rPr>
          <w:color w:val="000000" w:themeColor="text1"/>
          <w:sz w:val="23"/>
          <w:szCs w:val="23"/>
          <w:lang w:val="pt-BR"/>
        </w:rPr>
        <w:t xml:space="preserve">O sono dos participantes será monitorado por </w:t>
      </w:r>
      <w:proofErr w:type="spellStart"/>
      <w:r w:rsidR="008755A4" w:rsidRPr="00A65B69">
        <w:rPr>
          <w:color w:val="000000" w:themeColor="text1"/>
          <w:sz w:val="23"/>
          <w:szCs w:val="23"/>
          <w:lang w:val="pt-BR"/>
        </w:rPr>
        <w:t>actigrafia</w:t>
      </w:r>
      <w:proofErr w:type="spellEnd"/>
      <w:r w:rsidR="008755A4" w:rsidRPr="00A65B69">
        <w:rPr>
          <w:color w:val="000000" w:themeColor="text1"/>
          <w:sz w:val="23"/>
          <w:szCs w:val="23"/>
          <w:lang w:val="pt-BR"/>
        </w:rPr>
        <w:t xml:space="preserve"> de pulso</w:t>
      </w:r>
      <w:r w:rsidRPr="00A65B69">
        <w:rPr>
          <w:color w:val="000000" w:themeColor="text1"/>
          <w:sz w:val="23"/>
          <w:szCs w:val="23"/>
          <w:lang w:val="pt-BR"/>
        </w:rPr>
        <w:t>, de maneira contínua</w:t>
      </w:r>
      <w:r w:rsidR="005F3514" w:rsidRPr="00A65B69">
        <w:rPr>
          <w:color w:val="000000" w:themeColor="text1"/>
          <w:sz w:val="23"/>
          <w:szCs w:val="23"/>
          <w:lang w:val="pt-BR"/>
        </w:rPr>
        <w:t>,</w:t>
      </w:r>
      <w:r w:rsidRPr="00A65B69">
        <w:rPr>
          <w:color w:val="000000" w:themeColor="text1"/>
          <w:sz w:val="23"/>
          <w:szCs w:val="23"/>
          <w:lang w:val="pt-BR"/>
        </w:rPr>
        <w:t xml:space="preserve"> durante uma semana</w:t>
      </w:r>
      <w:r w:rsidR="005F3514" w:rsidRPr="00A65B69">
        <w:rPr>
          <w:color w:val="000000" w:themeColor="text1"/>
          <w:sz w:val="23"/>
          <w:szCs w:val="23"/>
          <w:lang w:val="pt-BR"/>
        </w:rPr>
        <w:t>,</w:t>
      </w:r>
      <w:r w:rsidRPr="00A65B69">
        <w:rPr>
          <w:color w:val="000000" w:themeColor="text1"/>
          <w:sz w:val="23"/>
          <w:szCs w:val="23"/>
          <w:lang w:val="pt-BR"/>
        </w:rPr>
        <w:t xml:space="preserve"> e aguda</w:t>
      </w:r>
      <w:r w:rsidR="005F3514" w:rsidRPr="00A65B69">
        <w:rPr>
          <w:color w:val="000000" w:themeColor="text1"/>
          <w:sz w:val="23"/>
          <w:szCs w:val="23"/>
          <w:lang w:val="pt-BR"/>
        </w:rPr>
        <w:t>,</w:t>
      </w:r>
      <w:r w:rsidRPr="00A65B69">
        <w:rPr>
          <w:color w:val="000000" w:themeColor="text1"/>
          <w:sz w:val="23"/>
          <w:szCs w:val="23"/>
          <w:lang w:val="pt-BR"/>
        </w:rPr>
        <w:t xml:space="preserve"> após as intervenções</w:t>
      </w:r>
      <w:r w:rsidR="005330FC" w:rsidRPr="00A65B69">
        <w:rPr>
          <w:color w:val="000000" w:themeColor="text1"/>
          <w:sz w:val="23"/>
          <w:szCs w:val="23"/>
          <w:lang w:val="pt-BR"/>
        </w:rPr>
        <w:t xml:space="preserve"> (na noite imediatamente após a intervenção e na noite seguinte após 24 h da intervenção)</w:t>
      </w:r>
      <w:r w:rsidRPr="00A65B69">
        <w:rPr>
          <w:color w:val="000000" w:themeColor="text1"/>
          <w:sz w:val="23"/>
          <w:szCs w:val="23"/>
          <w:lang w:val="pt-BR"/>
        </w:rPr>
        <w:t>,</w:t>
      </w:r>
      <w:r w:rsidR="008755A4" w:rsidRPr="00A65B69">
        <w:rPr>
          <w:color w:val="000000" w:themeColor="text1"/>
          <w:sz w:val="23"/>
          <w:szCs w:val="23"/>
          <w:lang w:val="pt-BR"/>
        </w:rPr>
        <w:t xml:space="preserve"> para registro </w:t>
      </w:r>
      <w:r w:rsidR="00244502" w:rsidRPr="00A65B69">
        <w:rPr>
          <w:color w:val="000000" w:themeColor="text1"/>
          <w:sz w:val="23"/>
          <w:szCs w:val="23"/>
          <w:lang w:val="pt-BR"/>
        </w:rPr>
        <w:t>de variáveis</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quantidade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qualidade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sono.</w:t>
      </w:r>
      <w:r w:rsidR="008755A4" w:rsidRPr="00A65B69">
        <w:rPr>
          <w:color w:val="000000" w:themeColor="text1"/>
          <w:spacing w:val="23"/>
          <w:sz w:val="23"/>
          <w:szCs w:val="23"/>
          <w:lang w:val="pt-BR"/>
        </w:rPr>
        <w:t xml:space="preserve"> </w:t>
      </w:r>
      <w:proofErr w:type="spellStart"/>
      <w:r w:rsidR="008755A4" w:rsidRPr="00A65B69">
        <w:rPr>
          <w:color w:val="000000" w:themeColor="text1"/>
          <w:sz w:val="23"/>
          <w:szCs w:val="23"/>
          <w:lang w:val="pt-BR"/>
        </w:rPr>
        <w:t>Actígrafos</w:t>
      </w:r>
      <w:proofErr w:type="spellEnd"/>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pulso</w:t>
      </w:r>
      <w:r w:rsidR="008755A4" w:rsidRPr="00A65B69">
        <w:rPr>
          <w:color w:val="000000" w:themeColor="text1"/>
          <w:spacing w:val="23"/>
          <w:sz w:val="23"/>
          <w:szCs w:val="23"/>
          <w:lang w:val="pt-BR"/>
        </w:rPr>
        <w:t xml:space="preserve"> </w:t>
      </w:r>
      <w:proofErr w:type="spellStart"/>
      <w:r w:rsidR="008755A4" w:rsidRPr="00A65B69">
        <w:rPr>
          <w:color w:val="000000" w:themeColor="text1"/>
          <w:sz w:val="23"/>
          <w:szCs w:val="23"/>
          <w:lang w:val="pt-BR"/>
        </w:rPr>
        <w:t>Act</w:t>
      </w:r>
      <w:proofErr w:type="spellEnd"/>
      <w:r w:rsidR="008755A4" w:rsidRPr="00A65B69">
        <w:rPr>
          <w:color w:val="000000" w:themeColor="text1"/>
          <w:spacing w:val="24"/>
          <w:sz w:val="23"/>
          <w:szCs w:val="23"/>
          <w:lang w:val="pt-BR"/>
        </w:rPr>
        <w:t xml:space="preserve"> </w:t>
      </w:r>
      <w:r w:rsidR="008755A4" w:rsidRPr="00A65B69">
        <w:rPr>
          <w:color w:val="000000" w:themeColor="text1"/>
          <w:sz w:val="23"/>
          <w:szCs w:val="23"/>
          <w:lang w:val="pt-BR"/>
        </w:rPr>
        <w:t>Trust®</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(1</w:t>
      </w:r>
      <w:r w:rsidR="008755A4" w:rsidRPr="00A65B69">
        <w:rPr>
          <w:color w:val="000000" w:themeColor="text1"/>
          <w:spacing w:val="23"/>
          <w:sz w:val="23"/>
          <w:szCs w:val="23"/>
          <w:lang w:val="pt-BR"/>
        </w:rPr>
        <w:t xml:space="preserve"> </w:t>
      </w:r>
      <w:r w:rsidR="008755A4" w:rsidRPr="00A65B69">
        <w:rPr>
          <w:color w:val="000000" w:themeColor="text1"/>
          <w:sz w:val="23"/>
          <w:szCs w:val="23"/>
          <w:lang w:val="pt-BR"/>
        </w:rPr>
        <w:t>Hz</w:t>
      </w:r>
      <w:r w:rsidR="008755A4" w:rsidRPr="00A65B69">
        <w:rPr>
          <w:color w:val="000000" w:themeColor="text1"/>
          <w:spacing w:val="24"/>
          <w:sz w:val="23"/>
          <w:szCs w:val="23"/>
          <w:lang w:val="pt-BR"/>
        </w:rPr>
        <w:t xml:space="preserve"> </w:t>
      </w:r>
      <w:r w:rsidR="008755A4" w:rsidRPr="00A65B69">
        <w:rPr>
          <w:color w:val="000000" w:themeColor="text1"/>
          <w:sz w:val="23"/>
          <w:szCs w:val="23"/>
          <w:lang w:val="pt-BR"/>
        </w:rPr>
        <w:t>–</w:t>
      </w:r>
      <w:r w:rsidR="007852BD" w:rsidRPr="00A65B69">
        <w:rPr>
          <w:color w:val="000000" w:themeColor="text1"/>
          <w:sz w:val="23"/>
          <w:szCs w:val="23"/>
          <w:lang w:val="pt-BR"/>
        </w:rPr>
        <w:t xml:space="preserve"> </w:t>
      </w:r>
      <w:r w:rsidR="008755A4" w:rsidRPr="00A65B69">
        <w:rPr>
          <w:color w:val="000000" w:themeColor="text1"/>
          <w:sz w:val="23"/>
          <w:szCs w:val="23"/>
          <w:lang w:val="pt-BR"/>
        </w:rPr>
        <w:t>Condor</w:t>
      </w:r>
      <w:r w:rsidR="008755A4" w:rsidRPr="00A65B69">
        <w:rPr>
          <w:color w:val="000000" w:themeColor="text1"/>
          <w:spacing w:val="1"/>
          <w:sz w:val="23"/>
          <w:szCs w:val="23"/>
          <w:lang w:val="pt-BR"/>
        </w:rPr>
        <w:t xml:space="preserve"> </w:t>
      </w:r>
      <w:proofErr w:type="spellStart"/>
      <w:r w:rsidR="008755A4" w:rsidRPr="00A65B69">
        <w:rPr>
          <w:color w:val="000000" w:themeColor="text1"/>
          <w:sz w:val="23"/>
          <w:szCs w:val="23"/>
          <w:lang w:val="pt-BR"/>
        </w:rPr>
        <w:t>Instruments</w:t>
      </w:r>
      <w:proofErr w:type="spellEnd"/>
      <w:r w:rsidR="008755A4" w:rsidRPr="00A65B69">
        <w:rPr>
          <w:color w:val="000000" w:themeColor="text1"/>
          <w:sz w:val="23"/>
          <w:szCs w:val="23"/>
          <w:lang w:val="pt-BR"/>
        </w:rPr>
        <w:t>,</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São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Paulo,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Brasil)</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implementados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com</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algoritmo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Cole-</w:t>
      </w:r>
      <w:r w:rsidR="008755A4" w:rsidRPr="00A65B69">
        <w:rPr>
          <w:color w:val="000000" w:themeColor="text1"/>
          <w:spacing w:val="1"/>
          <w:sz w:val="23"/>
          <w:szCs w:val="23"/>
          <w:lang w:val="pt-BR"/>
        </w:rPr>
        <w:t xml:space="preserve"> </w:t>
      </w:r>
      <w:proofErr w:type="spellStart"/>
      <w:r w:rsidR="008755A4" w:rsidRPr="00A65B69">
        <w:rPr>
          <w:color w:val="000000" w:themeColor="text1"/>
          <w:sz w:val="23"/>
          <w:szCs w:val="23"/>
          <w:lang w:val="pt-BR"/>
        </w:rPr>
        <w:t>Kripke</w:t>
      </w:r>
      <w:proofErr w:type="spellEnd"/>
      <w:r w:rsidR="008755A4" w:rsidRPr="00A65B69">
        <w:rPr>
          <w:color w:val="000000" w:themeColor="text1"/>
          <w:sz w:val="23"/>
          <w:szCs w:val="23"/>
          <w:lang w:val="pt-BR"/>
        </w:rPr>
        <w:t xml:space="preserve">, previamente validado para identificar as fases acordado/dormindo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{"citationItems":[{"id":"ITEM-1","itemData":{"DOI":"10.1093/sleep/15.5.461","ISSN":"01618105","PMID":"1455130","abstract":"The purpose of this study was to develop and validate automatic scoring methods to distinguish sleep from wakefulness based on wrist activity. Forty- one subjects (18 normals and 23 with sleep or psychiatric disorders) wore a wrist actigraph during overnight polysomnography. In a randomly selected subsample of 20 subjects, candidate sleep/wake prediction algorithms were iteratively optimized against standard sleep/wake scores. The optimal algorithms obtained for various data collection epoch lengths were then prospectively tested on the remaining 21 subjects. The final algorithms correctly distinguished sleep from wakefulness approximately 88% of the time. Actigraphic sleep percentage and sleep latency estimates correlated 0.82 and 0.90, respectively, with corresponding parameters scored from the polysomnogram (p &lt; 0.0001). Automatic scoring of wrist activity provides valuable information about sleep and wakefulness that could be useful in both clinical and research applications.","author":[{"dropping-particle":"","family":"Cole","given":"R. J.","non-dropping-particle":"","parse-names":false,"suffix":""},{"dropping-particle":"","family":"Kripke","given":"D. F.","non-dropping-particle":"","parse-names":false,"suffix":""},{"dropping-particle":"","family":"Gruen","given":"W.","non-dropping-particle":"","parse-names":false,"suffix":""},{"dropping-particle":"","family":"Mullaney","given":"D. J.","non-dropping-particle":"","parse-names":false,"suffix":""},{"dropping-particle":"","family":"Gillin","given":"J. C.","non-dropping-particle":"","parse-names":false,"suffix":""}],"container-title":"Sleep","id":"ITEM-1","issue":"5","issued":{"date-parts":[["1992"]]},"page":"461-469","title":"Automatic sleep/wake identification from wrist activity","type":"article-journal","volume":"15"},"uris":["http://www.mendeley.com/documents/?uuid=eacf0b8f-eca7-4962-9f6b-59ec65730b87"]},{"id":"ITEM-2","itemData":{"ISBN":"5511557250","ISSN":"01618105","PMID":"12627737","abstract":"STUDY OBJECTIVES: Actigraphy is generally compared to polysomnography (PSG), which has been considered the gold standard for sleep studies. The objective of the present study was to evaluate the concordance between PSG and two previously proposed algorithms (Cole et al, 1992; Sadeh et al, 1994) to analyze actigraphic recordings. The minute-by-minute agreement rate was evaluated through calculation of sensitivity, specificity, and accuracy. Regarding the sleep parameters, the concordance was performed through the Bland and Altman technique. DESIGN: A night of adaptation to the sleep laboratory followed by simultaneous polysomnographic and actigraphic recordings throughout the night. PARTICIPANTS: 21 healthy volunteers. SETTING: A sleep laboratory INTERVENTIONS: None. RESULTS: Ninety-one percent of all PSG epochs were correctly identified by both algorithms, and this accuracy is reasonably satisfactory. The actigraphy was a sensitive method, with values of 99% and 97% for Cole's and Sadeh's algorithms, respectively. However, actigraphy had a low specificity: 34% and 44% for Cole's and Sadeh's algorithms, respectively. The Bland and Altman technique showed that actigraphy systematically overestimated Sleep Latency, Total Sleep Time and Sleep Efficiency while it underestimated Intermittent Awakenings. CONCLUSIONS: The results of this study show the utility of actigraphy as a useful method for assessment of sleep, despite its limitations regarding identification of waking epochs during sleep. The Bland and Altman concordance technique was revealed to be a powerful tool to evaluate how well actigraphy agreed with polysomnography. This technique, combined with calculations of sensitivity and specificity, appears to be the most adequate procedure for the assessment of concordance.","author":[{"dropping-particle":"","family":"Souza","given":"Luciane","non-dropping-particle":"De","parse-names":false,"suffix":""},{"dropping-particle":"","family":"Benedito-Silva","given":"Ana Amélia","non-dropping-particle":"","parse-names":false,"suffix":""},{"dropping-particle":"","family":"Pires","given":"Maria Laura Nogueira","non-dropping-particle":"","parse-names":false,"suffix":""},{"dropping-particle":"","family":"Poyares","given":"Dalva","non-dropping-particle":"","parse-names":false,"suffix":""},{"dropping-particle":"","family":"Tufik","given":"Sergio","non-dropping-particle":"","parse-names":false,"suffix":""},{"dropping-particle":"","family":"Calil","given":"Helena Maria","non-dropping-particle":"","parse-names":false,"suffix":""}],"container-title":"Sleep (Rochester)","id":"ITEM-2","issue":"1","issued":{"date-parts":[["2003"]]},"page":"81-5","title":"Further Validation of Actigraphy for Sleep Studies SLEEP EVALUATION IN HUMANS HAS BEEN USUALLY PER","type":"article-journal","volume":"26"},"uris":["http://www.mendeley.com/documents/?uuid=92185ce7-e1fd-42df-96e5-257123caa55f"]}],"mendeley":{"formattedCitation":"(COLE et al., 1992; DE SOUZA et al., 2003)","plainTextFormattedCitation":"(COLE et al., 1992; DE SOUZA et al., 2003)","previouslyFormattedCitation":"(COLE et al., 1992; DE SOUZA et al., 2003)"},"properties":{"noteIndex":0},"schema":"https://github.com/citation-style-language/schema/raw/master/csl-citation.json"}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(COLE et al., 1992; DE SOUZA et al., 2003)</w:t>
      </w:r>
      <w:r w:rsidR="00A808A2" w:rsidRPr="00A65B69">
        <w:rPr>
          <w:color w:val="000000" w:themeColor="text1"/>
          <w:sz w:val="23"/>
          <w:szCs w:val="23"/>
          <w:lang w:val="pt-BR"/>
        </w:rPr>
        <w:fldChar w:fldCharType="end"/>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serão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utilizados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no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membro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não-dominante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participante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para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registro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das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variáveis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dependentes: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hora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que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deitou,</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hora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que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levantou, tempo total na cama, tempo total de sono, tempo total acordado após o início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do sono, latência do sono (quantidade de tempo entre a hora que deitou até o início do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sono), eficiência do sono (tempo total de sono em percentual do tempo total na cama),</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número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despertares,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duração</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de</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possíveis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cochilos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diurnos.</w:t>
      </w:r>
      <w:r w:rsidR="008755A4" w:rsidRPr="00A65B69">
        <w:rPr>
          <w:color w:val="000000" w:themeColor="text1"/>
          <w:spacing w:val="1"/>
          <w:sz w:val="23"/>
          <w:szCs w:val="23"/>
          <w:lang w:val="pt-BR"/>
        </w:rPr>
        <w:t xml:space="preserve"> </w:t>
      </w:r>
      <w:r w:rsidRPr="00A65B69">
        <w:rPr>
          <w:color w:val="000000" w:themeColor="text1"/>
          <w:spacing w:val="1"/>
          <w:sz w:val="23"/>
          <w:szCs w:val="23"/>
          <w:lang w:val="pt-BR"/>
        </w:rPr>
        <w:t xml:space="preserve">Ainda, será contabilizado o </w:t>
      </w:r>
      <w:proofErr w:type="spellStart"/>
      <w:r w:rsidRPr="00A65B69">
        <w:rPr>
          <w:color w:val="000000" w:themeColor="text1"/>
          <w:sz w:val="23"/>
          <w:szCs w:val="23"/>
          <w:lang w:val="pt-BR"/>
        </w:rPr>
        <w:t>cronotipo</w:t>
      </w:r>
      <w:proofErr w:type="spellEnd"/>
      <w:r w:rsidRPr="00A65B69">
        <w:rPr>
          <w:color w:val="000000" w:themeColor="text1"/>
          <w:sz w:val="23"/>
          <w:szCs w:val="23"/>
          <w:lang w:val="pt-BR"/>
        </w:rPr>
        <w:t xml:space="preserve"> individual por meio do questionário</w:t>
      </w:r>
      <w:r w:rsidRPr="00A65B69">
        <w:rPr>
          <w:color w:val="000000" w:themeColor="text1"/>
          <w:spacing w:val="1"/>
          <w:sz w:val="23"/>
          <w:szCs w:val="23"/>
          <w:lang w:val="pt-BR"/>
        </w:rPr>
        <w:t xml:space="preserve"> </w:t>
      </w:r>
      <w:r w:rsidRPr="00A65B69">
        <w:rPr>
          <w:color w:val="000000" w:themeColor="text1"/>
          <w:sz w:val="23"/>
          <w:szCs w:val="23"/>
          <w:lang w:val="pt-BR"/>
        </w:rPr>
        <w:t>de</w:t>
      </w:r>
      <w:r w:rsidRPr="00A65B69">
        <w:rPr>
          <w:color w:val="000000" w:themeColor="text1"/>
          <w:spacing w:val="-2"/>
          <w:sz w:val="23"/>
          <w:szCs w:val="23"/>
          <w:lang w:val="pt-BR"/>
        </w:rPr>
        <w:t xml:space="preserve"> </w:t>
      </w:r>
      <w:r w:rsidRPr="00A65B69">
        <w:rPr>
          <w:color w:val="000000" w:themeColor="text1"/>
          <w:sz w:val="23"/>
          <w:szCs w:val="23"/>
          <w:lang w:val="pt-BR"/>
        </w:rPr>
        <w:t>Horne</w:t>
      </w:r>
      <w:r w:rsidRPr="00A65B69">
        <w:rPr>
          <w:color w:val="000000" w:themeColor="text1"/>
          <w:spacing w:val="-1"/>
          <w:sz w:val="23"/>
          <w:szCs w:val="23"/>
          <w:lang w:val="pt-BR"/>
        </w:rPr>
        <w:t xml:space="preserve"> </w:t>
      </w:r>
      <w:r w:rsidRPr="00A65B69">
        <w:rPr>
          <w:color w:val="000000" w:themeColor="text1"/>
          <w:sz w:val="23"/>
          <w:szCs w:val="23"/>
          <w:lang w:val="pt-BR"/>
        </w:rPr>
        <w:t>e</w:t>
      </w:r>
      <w:r w:rsidRPr="00A65B69">
        <w:rPr>
          <w:color w:val="000000" w:themeColor="text1"/>
          <w:spacing w:val="-1"/>
          <w:sz w:val="23"/>
          <w:szCs w:val="23"/>
          <w:lang w:val="pt-BR"/>
        </w:rPr>
        <w:t xml:space="preserve"> </w:t>
      </w:r>
      <w:proofErr w:type="spellStart"/>
      <w:r w:rsidRPr="00A65B69">
        <w:rPr>
          <w:color w:val="000000" w:themeColor="text1"/>
          <w:sz w:val="23"/>
          <w:szCs w:val="23"/>
          <w:lang w:val="pt-BR"/>
        </w:rPr>
        <w:t>Ostberg</w:t>
      </w:r>
      <w:proofErr w:type="spellEnd"/>
      <w:r w:rsidRPr="00A65B69">
        <w:rPr>
          <w:color w:val="000000" w:themeColor="text1"/>
          <w:sz w:val="23"/>
          <w:szCs w:val="23"/>
          <w:lang w:val="pt-BR"/>
        </w:rPr>
        <w:t xml:space="preserve"> traduzido para</w:t>
      </w:r>
      <w:r w:rsidRPr="00A65B69">
        <w:rPr>
          <w:color w:val="000000" w:themeColor="text1"/>
          <w:spacing w:val="-2"/>
          <w:sz w:val="23"/>
          <w:szCs w:val="23"/>
          <w:lang w:val="pt-BR"/>
        </w:rPr>
        <w:t xml:space="preserve"> </w:t>
      </w:r>
      <w:r w:rsidRPr="00A65B69">
        <w:rPr>
          <w:color w:val="000000" w:themeColor="text1"/>
          <w:sz w:val="23"/>
          <w:szCs w:val="23"/>
          <w:lang w:val="pt-BR"/>
        </w:rPr>
        <w:t xml:space="preserve">o português </w:t>
      </w:r>
      <w:r w:rsidR="00A808A2" w:rsidRPr="00A65B69">
        <w:rPr>
          <w:color w:val="000000" w:themeColor="text1"/>
          <w:sz w:val="23"/>
          <w:szCs w:val="23"/>
          <w:lang w:val="pt-BR"/>
        </w:rPr>
        <w:fldChar w:fldCharType="begin" w:fldLock="1"/>
      </w:r>
      <w:r w:rsidR="00610715" w:rsidRPr="00A65B69">
        <w:rPr>
          <w:color w:val="000000" w:themeColor="text1"/>
          <w:sz w:val="23"/>
          <w:szCs w:val="23"/>
          <w:lang w:val="pt-BR"/>
        </w:rPr>
        <w:instrText>ADDIN CSL_CITATION {"citationItems":[{"id":"ITEM-1","itemData":{"author":[{"dropping-particle":"","family":"Benedito-Silva","given":"Ana","non-dropping-particle":"","parse-names":false,"suffix":""},{"dropping-particle":"","family":"Menna-Barreto","given":"Luiz","non-dropping-particle":"","parse-names":false,"suffix":""},{"dropping-particle":"","family":"Marques","given":"Natali","non-dropping-particle":"","parse-names":false,"suffix":""},{"dropping-particle":"","family":"Tenreiro","given":"S A","non-dropping-particle":"","parse-names":false,"suffix":""}],"container-title":"Progress in clinical and biological research","id":"ITEM-1","issued":{"date-parts":[["1990","2","1"]]},"page":"89-98","title":"A self-assessment for the determination of morningness–eveningness types in Brazil","type":"article-journal","volume":"341B"},"uris":["http://www.mendeley.com/documents/?uuid=79b8421d-e745-4f27-8b25-a3e533c3d6c2"]}],"mendeley":{"formattedCitation":"(BENEDITO-SILVA et al., 1990)","manualFormatting":"(BENEDITO et al., 1990)","plainTextFormattedCitation":"(BENEDITO-SILVA et al., 1990)","previouslyFormattedCitation":"(BENEDITO-SILVA et al., 1990)"},"properties":{"noteIndex":0},"schema":"https://github.com/citation-style-language/schema/raw/master/csl-citation.json"}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(BENEDITO et al., 1990)</w:t>
      </w:r>
      <w:r w:rsidR="00A808A2" w:rsidRPr="00A65B69">
        <w:rPr>
          <w:color w:val="000000" w:themeColor="text1"/>
          <w:sz w:val="23"/>
          <w:szCs w:val="23"/>
          <w:lang w:val="pt-BR"/>
        </w:rPr>
        <w:fldChar w:fldCharType="end"/>
      </w:r>
      <w:r w:rsidRPr="00A65B69">
        <w:rPr>
          <w:color w:val="000000" w:themeColor="text1"/>
          <w:sz w:val="23"/>
          <w:szCs w:val="23"/>
          <w:lang w:val="pt-BR"/>
        </w:rPr>
        <w:t xml:space="preserve">, e </w:t>
      </w:r>
      <w:r w:rsidR="005330FC" w:rsidRPr="00A65B69">
        <w:rPr>
          <w:color w:val="000000" w:themeColor="text1"/>
          <w:sz w:val="23"/>
          <w:szCs w:val="23"/>
          <w:lang w:val="pt-BR"/>
        </w:rPr>
        <w:t>antes do</w:t>
      </w:r>
      <w:r w:rsidR="00A8248D" w:rsidRPr="00A65B69">
        <w:rPr>
          <w:color w:val="000000" w:themeColor="text1"/>
          <w:sz w:val="23"/>
          <w:szCs w:val="23"/>
          <w:lang w:val="pt-BR"/>
        </w:rPr>
        <w:t xml:space="preserve"> início de cada bloco de avaliação, após 24</w:t>
      </w:r>
      <w:r w:rsidR="005330FC" w:rsidRPr="00A65B69">
        <w:rPr>
          <w:color w:val="000000" w:themeColor="text1"/>
          <w:sz w:val="23"/>
          <w:szCs w:val="23"/>
          <w:lang w:val="pt-BR"/>
        </w:rPr>
        <w:t xml:space="preserve"> </w:t>
      </w:r>
      <w:r w:rsidR="00A8248D" w:rsidRPr="00A65B69">
        <w:rPr>
          <w:color w:val="000000" w:themeColor="text1"/>
          <w:sz w:val="23"/>
          <w:szCs w:val="23"/>
          <w:lang w:val="pt-BR"/>
        </w:rPr>
        <w:t>h do protocolo de intervenção e na manhã seguinte</w:t>
      </w:r>
      <w:r w:rsidR="005330FC" w:rsidRPr="00A65B69">
        <w:rPr>
          <w:color w:val="000000" w:themeColor="text1"/>
          <w:sz w:val="23"/>
          <w:szCs w:val="23"/>
          <w:lang w:val="pt-BR"/>
        </w:rPr>
        <w:t xml:space="preserve"> a 24 h da intervenção</w:t>
      </w:r>
      <w:r w:rsidR="008755A4" w:rsidRPr="00A65B69">
        <w:rPr>
          <w:color w:val="000000" w:themeColor="text1"/>
          <w:sz w:val="23"/>
          <w:szCs w:val="23"/>
          <w:lang w:val="pt-BR"/>
        </w:rPr>
        <w:t>,</w:t>
      </w:r>
      <w:r w:rsidR="00A8248D" w:rsidRPr="00A65B69">
        <w:rPr>
          <w:color w:val="000000" w:themeColor="text1"/>
          <w:sz w:val="23"/>
          <w:szCs w:val="23"/>
          <w:lang w:val="pt-BR"/>
        </w:rPr>
        <w:t xml:space="preserve"> o participante irá auto reportar a qualidade de sono com base em uma escala </w:t>
      </w:r>
      <w:proofErr w:type="spellStart"/>
      <w:r w:rsidR="00A8248D" w:rsidRPr="00A65B69">
        <w:rPr>
          <w:color w:val="000000" w:themeColor="text1"/>
          <w:sz w:val="23"/>
          <w:szCs w:val="23"/>
          <w:lang w:val="pt-BR"/>
        </w:rPr>
        <w:t>Likert</w:t>
      </w:r>
      <w:proofErr w:type="spellEnd"/>
      <w:r w:rsidR="00A8248D" w:rsidRPr="00A65B69">
        <w:rPr>
          <w:color w:val="000000" w:themeColor="text1"/>
          <w:sz w:val="23"/>
          <w:szCs w:val="23"/>
          <w:lang w:val="pt-BR"/>
        </w:rPr>
        <w:t xml:space="preserve"> de 1–5 (1-muito ruim, 2-ruim, 3-médio, 4-bom, 5-muito bom)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{"citationItems":[{"id":"ITEM-1","itemData":{"DOI":"10.1519/jsc.0000000000001793","ISBN":"0000000000","ISSN":"15334295","PMID":"28135218","abstract":"Sleep is often regarded as the single best recovery strategy available to an athlete, yet little is known about the quality and quantity of sleep in athletes during multiday competitions. This study objectively evaluated sleep characteristics of athletes during a national netball tournament. Using wrist actigraphy monitors and sleep diaries, 42 netballers from 4 state teams were monitored for the duration of a tournament (6 days) and 12 days before in home environments. Significant differences were found between teams based on final competition standings, suggesting enhanced sleep characteristics in athlete's whose team finished higher in the tournament standings. The top 2 placed teams when compared with the lower 2 placed teams slept longer (8:02 ± 36:43; 7:01 ± 27:33), had greater time in bed (9:03 ± 0:52; 7:59 ± 0:54) and reported enhanced subjective sleep ratings (2.6 ± 0.5; 2.3 ± 0.6). Sleep efficiency was no different between teams. A strong correlation (r = -0.68) was found indicating longer sleep durations during competition were associated with higher final tournament positions. Encouraging athletes to aim for longer sleep durations in competition, where possible, may influence the outcome in tournament style competitions.","author":[{"dropping-particle":"","family":"Juliff","given":"Laura E.","non-dropping-particle":"","parse-names":false,"suffix":""},{"dropping-particle":"","family":"Halson","given":"Shona L.","non-dropping-particle":"","parse-names":false,"suffix":""},{"dropping-particle":"","family":"Hebert","given":"Jeffrey J.","non-dropping-particle":"","parse-names":false,"suffix":""},{"dropping-particle":"","family":"Forsyth","given":"Peta L.","non-dropping-particle":"","parse-names":false,"suffix":""},{"dropping-particle":"","family":"Peiffer","given":"Jeremiah J.","non-dropping-particle":"","parse-names":false,"suffix":""}],"container-title":"Journal of Strength and Conditioning Research","id":"ITEM-1","issue":"1","issued":{"date-parts":[["2018"]]},"page":"189-194","title":"Longer sleep durations are positively associated with finishing place during a national multiday netball competition","type":"article-journal","volume":"32"},"uris":["http://www.mendeley.com/documents/?uuid=9100d58a-23fa-48fc-a6ae-9d86280e6b17"]}],"mendeley":{"formattedCitation":"(JULIFF et al., 2018)","plainTextFormattedCitation":"(JULIFF et al., 2018)","previouslyFormattedCitation":"(JULIFF et al., 2018)"},"properties":{"noteIndex":0},"schema":"https://github.com/citation-style-language/schema/raw/master/csl-citation.json"}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(JULIFF et al., 2018)</w:t>
      </w:r>
      <w:r w:rsidR="00A808A2" w:rsidRPr="00A65B69">
        <w:rPr>
          <w:color w:val="000000" w:themeColor="text1"/>
          <w:sz w:val="23"/>
          <w:szCs w:val="23"/>
          <w:lang w:val="pt-BR"/>
        </w:rPr>
        <w:fldChar w:fldCharType="end"/>
      </w:r>
      <w:r w:rsidR="00A808A2" w:rsidRPr="00A65B69">
        <w:rPr>
          <w:color w:val="000000" w:themeColor="text1"/>
          <w:sz w:val="23"/>
          <w:szCs w:val="23"/>
          <w:lang w:val="pt-BR"/>
        </w:rPr>
        <w:t>.</w:t>
      </w:r>
      <w:r w:rsidR="008755A4" w:rsidRPr="00A65B69">
        <w:rPr>
          <w:color w:val="000000" w:themeColor="text1"/>
          <w:spacing w:val="46"/>
          <w:sz w:val="23"/>
          <w:szCs w:val="23"/>
          <w:lang w:val="pt-BR"/>
        </w:rPr>
        <w:t xml:space="preserve"> </w:t>
      </w:r>
    </w:p>
    <w:p w14:paraId="5C3DC610" w14:textId="2FBD2982" w:rsidR="00326460" w:rsidRPr="00A65B69" w:rsidRDefault="00A8248D" w:rsidP="008300A4">
      <w:pPr>
        <w:tabs>
          <w:tab w:val="left" w:pos="284"/>
        </w:tabs>
        <w:spacing w:line="480" w:lineRule="auto"/>
        <w:ind w:right="2"/>
        <w:jc w:val="both"/>
        <w:rPr>
          <w:i/>
          <w:color w:val="000000" w:themeColor="text1"/>
          <w:sz w:val="23"/>
          <w:szCs w:val="23"/>
          <w:lang w:val="pt-BR"/>
        </w:rPr>
      </w:pPr>
      <w:r w:rsidRPr="00A65B69">
        <w:rPr>
          <w:i/>
          <w:color w:val="000000" w:themeColor="text1"/>
          <w:sz w:val="23"/>
          <w:szCs w:val="23"/>
          <w:lang w:val="pt-BR"/>
        </w:rPr>
        <w:t xml:space="preserve">- </w:t>
      </w:r>
      <w:r w:rsidR="00326460" w:rsidRPr="00A65B69">
        <w:rPr>
          <w:i/>
          <w:color w:val="000000" w:themeColor="text1"/>
          <w:sz w:val="23"/>
          <w:szCs w:val="23"/>
          <w:lang w:val="pt-BR"/>
        </w:rPr>
        <w:t>Determinação</w:t>
      </w:r>
      <w:r w:rsidR="00326460" w:rsidRPr="00A65B69">
        <w:rPr>
          <w:i/>
          <w:color w:val="000000" w:themeColor="text1"/>
          <w:spacing w:val="-1"/>
          <w:sz w:val="23"/>
          <w:szCs w:val="23"/>
          <w:lang w:val="pt-BR"/>
        </w:rPr>
        <w:t xml:space="preserve"> </w:t>
      </w:r>
      <w:r w:rsidR="00326460" w:rsidRPr="00A65B69">
        <w:rPr>
          <w:i/>
          <w:color w:val="000000" w:themeColor="text1"/>
          <w:sz w:val="23"/>
          <w:szCs w:val="23"/>
          <w:lang w:val="pt-BR"/>
        </w:rPr>
        <w:t>dos</w:t>
      </w:r>
      <w:r w:rsidR="00326460" w:rsidRPr="00A65B69">
        <w:rPr>
          <w:i/>
          <w:color w:val="000000" w:themeColor="text1"/>
          <w:spacing w:val="-2"/>
          <w:sz w:val="23"/>
          <w:szCs w:val="23"/>
          <w:lang w:val="pt-BR"/>
        </w:rPr>
        <w:t xml:space="preserve"> </w:t>
      </w:r>
      <w:r w:rsidR="00326460" w:rsidRPr="00A65B69">
        <w:rPr>
          <w:i/>
          <w:color w:val="000000" w:themeColor="text1"/>
          <w:sz w:val="23"/>
          <w:szCs w:val="23"/>
          <w:lang w:val="pt-BR"/>
        </w:rPr>
        <w:t>biomarcadores</w:t>
      </w:r>
      <w:r w:rsidR="00326460" w:rsidRPr="00A65B69">
        <w:rPr>
          <w:i/>
          <w:color w:val="000000" w:themeColor="text1"/>
          <w:spacing w:val="-2"/>
          <w:sz w:val="23"/>
          <w:szCs w:val="23"/>
          <w:lang w:val="pt-BR"/>
        </w:rPr>
        <w:t xml:space="preserve"> </w:t>
      </w:r>
      <w:r w:rsidR="00326460" w:rsidRPr="00A65B69">
        <w:rPr>
          <w:i/>
          <w:color w:val="000000" w:themeColor="text1"/>
          <w:sz w:val="23"/>
          <w:szCs w:val="23"/>
          <w:lang w:val="pt-BR"/>
        </w:rPr>
        <w:t>sanguíneos</w:t>
      </w:r>
    </w:p>
    <w:p w14:paraId="0C18CABD" w14:textId="04C8B99C" w:rsidR="00CE76FB" w:rsidRPr="00A65B69" w:rsidRDefault="0061160E" w:rsidP="00C5660B">
      <w:pPr>
        <w:tabs>
          <w:tab w:val="left" w:pos="284"/>
        </w:tabs>
        <w:spacing w:line="480" w:lineRule="auto"/>
        <w:jc w:val="both"/>
        <w:rPr>
          <w:color w:val="000000" w:themeColor="text1"/>
          <w:sz w:val="23"/>
          <w:szCs w:val="23"/>
          <w:lang w:val="pt-BR"/>
        </w:rPr>
      </w:pPr>
      <w:r w:rsidRPr="00A65B69">
        <w:rPr>
          <w:color w:val="000000" w:themeColor="text1"/>
          <w:sz w:val="23"/>
          <w:szCs w:val="23"/>
          <w:lang w:val="pt-BR"/>
        </w:rPr>
        <w:tab/>
      </w:r>
      <w:r w:rsidR="00A8248D" w:rsidRPr="00A65B69">
        <w:rPr>
          <w:color w:val="000000" w:themeColor="text1"/>
          <w:sz w:val="23"/>
          <w:szCs w:val="23"/>
          <w:lang w:val="pt-BR"/>
        </w:rPr>
        <w:tab/>
      </w:r>
      <w:r w:rsidR="00326460" w:rsidRPr="00A65B69">
        <w:rPr>
          <w:color w:val="000000" w:themeColor="text1"/>
          <w:sz w:val="23"/>
          <w:szCs w:val="23"/>
          <w:lang w:val="pt-BR"/>
        </w:rPr>
        <w:t>A coleta da amostra sanguínea dos pacientes será realizada após um jejum noturno (mínimo 8h) e livre do uso de qualquer medicamento, exceto os relacionados a DP. A determinação das concentrações sanguíneas de BDNF, de IL-6 e ferro serão</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realizadas</w:t>
      </w:r>
      <w:r w:rsidR="00326460" w:rsidRPr="00A65B69">
        <w:rPr>
          <w:color w:val="000000" w:themeColor="text1"/>
          <w:spacing w:val="1"/>
          <w:sz w:val="23"/>
          <w:szCs w:val="23"/>
          <w:lang w:val="pt-BR"/>
        </w:rPr>
        <w:t xml:space="preserve"> </w:t>
      </w:r>
      <w:r w:rsidR="00F961D5" w:rsidRPr="00A65B69">
        <w:rPr>
          <w:color w:val="000000" w:themeColor="text1"/>
          <w:spacing w:val="1"/>
          <w:sz w:val="23"/>
          <w:szCs w:val="23"/>
          <w:lang w:val="pt-BR"/>
        </w:rPr>
        <w:t xml:space="preserve">antes, </w:t>
      </w:r>
      <w:r w:rsidR="00044B73" w:rsidRPr="00A65B69">
        <w:rPr>
          <w:color w:val="000000" w:themeColor="text1"/>
          <w:spacing w:val="1"/>
          <w:sz w:val="23"/>
          <w:szCs w:val="23"/>
          <w:lang w:val="pt-BR"/>
        </w:rPr>
        <w:t>imediatamente</w:t>
      </w:r>
      <w:r w:rsidR="00F961D5" w:rsidRPr="00A65B69">
        <w:rPr>
          <w:color w:val="000000" w:themeColor="text1"/>
          <w:spacing w:val="1"/>
          <w:sz w:val="23"/>
          <w:szCs w:val="23"/>
          <w:lang w:val="pt-BR"/>
        </w:rPr>
        <w:t xml:space="preserve"> </w:t>
      </w:r>
      <w:r w:rsidR="00326460" w:rsidRPr="00A65B69">
        <w:rPr>
          <w:color w:val="000000" w:themeColor="text1"/>
          <w:sz w:val="23"/>
          <w:szCs w:val="23"/>
          <w:lang w:val="pt-BR"/>
        </w:rPr>
        <w:t>após</w:t>
      </w:r>
      <w:r w:rsidR="00326460" w:rsidRPr="00A65B69">
        <w:rPr>
          <w:color w:val="000000" w:themeColor="text1"/>
          <w:spacing w:val="1"/>
          <w:sz w:val="23"/>
          <w:szCs w:val="23"/>
          <w:lang w:val="pt-BR"/>
        </w:rPr>
        <w:t xml:space="preserve"> </w:t>
      </w:r>
      <w:r w:rsidR="00F961D5" w:rsidRPr="00A65B69">
        <w:rPr>
          <w:color w:val="000000" w:themeColor="text1"/>
          <w:spacing w:val="1"/>
          <w:sz w:val="23"/>
          <w:szCs w:val="23"/>
          <w:lang w:val="pt-BR"/>
        </w:rPr>
        <w:t>e 24 h depois d</w:t>
      </w:r>
      <w:r w:rsidR="00326460" w:rsidRPr="00A65B69">
        <w:rPr>
          <w:color w:val="000000" w:themeColor="text1"/>
          <w:sz w:val="23"/>
          <w:szCs w:val="23"/>
          <w:lang w:val="pt-BR"/>
        </w:rPr>
        <w:t>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aplicação</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da</w:t>
      </w:r>
      <w:r w:rsidR="00326460" w:rsidRPr="00A65B69">
        <w:rPr>
          <w:color w:val="000000" w:themeColor="text1"/>
          <w:spacing w:val="1"/>
          <w:sz w:val="23"/>
          <w:szCs w:val="23"/>
          <w:lang w:val="pt-BR"/>
        </w:rPr>
        <w:t xml:space="preserve"> </w:t>
      </w:r>
      <w:proofErr w:type="spellStart"/>
      <w:r w:rsidR="00F961D5" w:rsidRPr="00A65B69">
        <w:rPr>
          <w:color w:val="000000" w:themeColor="text1"/>
          <w:spacing w:val="1"/>
          <w:sz w:val="23"/>
          <w:szCs w:val="23"/>
          <w:lang w:val="pt-BR"/>
        </w:rPr>
        <w:t>normóxia</w:t>
      </w:r>
      <w:proofErr w:type="spellEnd"/>
      <w:r w:rsidR="00A960F1" w:rsidRPr="00A65B69">
        <w:rPr>
          <w:color w:val="000000" w:themeColor="text1"/>
          <w:spacing w:val="1"/>
          <w:sz w:val="23"/>
          <w:szCs w:val="23"/>
          <w:lang w:val="pt-BR"/>
        </w:rPr>
        <w:t xml:space="preserve"> ou</w:t>
      </w:r>
      <w:r w:rsidR="00F961D5" w:rsidRPr="00A65B69">
        <w:rPr>
          <w:color w:val="000000" w:themeColor="text1"/>
          <w:spacing w:val="1"/>
          <w:sz w:val="23"/>
          <w:szCs w:val="23"/>
          <w:lang w:val="pt-BR"/>
        </w:rPr>
        <w:t xml:space="preserve"> </w:t>
      </w:r>
      <w:r w:rsidR="00326460" w:rsidRPr="00A65B69">
        <w:rPr>
          <w:color w:val="000000" w:themeColor="text1"/>
          <w:sz w:val="23"/>
          <w:szCs w:val="23"/>
          <w:lang w:val="pt-BR"/>
        </w:rPr>
        <w:t>HI</w:t>
      </w:r>
      <w:r w:rsidR="00F961D5" w:rsidRPr="00A65B69">
        <w:rPr>
          <w:color w:val="000000" w:themeColor="text1"/>
          <w:sz w:val="23"/>
          <w:szCs w:val="23"/>
          <w:lang w:val="pt-BR"/>
        </w:rPr>
        <w:t>.</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Uma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pessoa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experiente</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para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coleta</w:t>
      </w:r>
      <w:r w:rsidR="00326460" w:rsidRPr="00A65B69">
        <w:rPr>
          <w:color w:val="000000" w:themeColor="text1"/>
          <w:spacing w:val="-57"/>
          <w:sz w:val="23"/>
          <w:szCs w:val="23"/>
          <w:lang w:val="pt-BR"/>
        </w:rPr>
        <w:t xml:space="preserve"> </w:t>
      </w:r>
      <w:r w:rsidR="00A8248D" w:rsidRPr="00A65B69">
        <w:rPr>
          <w:color w:val="000000" w:themeColor="text1"/>
          <w:spacing w:val="-57"/>
          <w:sz w:val="23"/>
          <w:szCs w:val="23"/>
          <w:lang w:val="pt-BR"/>
        </w:rPr>
        <w:t xml:space="preserve"> </w:t>
      </w:r>
      <w:r w:rsidR="00A8248D" w:rsidRPr="00A65B69">
        <w:rPr>
          <w:color w:val="000000" w:themeColor="text1"/>
          <w:sz w:val="23"/>
          <w:szCs w:val="23"/>
          <w:lang w:val="pt-BR"/>
        </w:rPr>
        <w:t xml:space="preserve"> s</w:t>
      </w:r>
      <w:r w:rsidR="00326460" w:rsidRPr="00A65B69">
        <w:rPr>
          <w:color w:val="000000" w:themeColor="text1"/>
          <w:sz w:val="23"/>
          <w:szCs w:val="23"/>
          <w:lang w:val="pt-BR"/>
        </w:rPr>
        <w:t>anguínea realizar</w:t>
      </w:r>
      <w:r w:rsidR="00E27E6F" w:rsidRPr="00A65B69">
        <w:rPr>
          <w:color w:val="000000" w:themeColor="text1"/>
          <w:sz w:val="23"/>
          <w:szCs w:val="23"/>
          <w:lang w:val="pt-BR"/>
        </w:rPr>
        <w:t>á</w:t>
      </w:r>
      <w:r w:rsidR="00326460" w:rsidRPr="00A65B69">
        <w:rPr>
          <w:color w:val="000000" w:themeColor="text1"/>
          <w:sz w:val="23"/>
          <w:szCs w:val="23"/>
          <w:lang w:val="pt-BR"/>
        </w:rPr>
        <w:t xml:space="preserve"> os procedimentos. Primeiramente, será realizada a assepsia do</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local,</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sendo</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escolhida</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uma</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veia</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braquial</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para</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a</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coleta</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de</w:t>
      </w:r>
      <w:r w:rsidR="00326460" w:rsidRPr="00A65B69">
        <w:rPr>
          <w:color w:val="000000" w:themeColor="text1"/>
          <w:spacing w:val="4"/>
          <w:sz w:val="23"/>
          <w:szCs w:val="23"/>
          <w:lang w:val="pt-BR"/>
        </w:rPr>
        <w:t xml:space="preserve"> </w:t>
      </w:r>
      <w:r w:rsidR="00F961D5" w:rsidRPr="00A65B69">
        <w:rPr>
          <w:color w:val="000000" w:themeColor="text1"/>
          <w:sz w:val="23"/>
          <w:szCs w:val="23"/>
          <w:lang w:val="pt-BR"/>
        </w:rPr>
        <w:t>10</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ml</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de</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sangue</w:t>
      </w:r>
      <w:r w:rsidR="00EC63C9" w:rsidRPr="00A65B69">
        <w:rPr>
          <w:color w:val="000000" w:themeColor="text1"/>
          <w:sz w:val="23"/>
          <w:szCs w:val="23"/>
          <w:lang w:val="pt-BR"/>
        </w:rPr>
        <w:t xml:space="preserve"> (5</w:t>
      </w:r>
      <w:r w:rsidR="00A4397F" w:rsidRPr="00A65B69">
        <w:rPr>
          <w:color w:val="000000" w:themeColor="text1"/>
          <w:sz w:val="23"/>
          <w:szCs w:val="23"/>
          <w:lang w:val="pt-BR"/>
        </w:rPr>
        <w:t xml:space="preserve"> </w:t>
      </w:r>
      <w:r w:rsidR="00EC63C9" w:rsidRPr="00A65B69">
        <w:rPr>
          <w:color w:val="000000" w:themeColor="text1"/>
          <w:sz w:val="23"/>
          <w:szCs w:val="23"/>
          <w:lang w:val="pt-BR"/>
        </w:rPr>
        <w:t>ml para a quantificação do BDNF e IL-6</w:t>
      </w:r>
      <w:r w:rsidR="00E27E6F" w:rsidRPr="00A65B69">
        <w:rPr>
          <w:color w:val="000000" w:themeColor="text1"/>
          <w:sz w:val="23"/>
          <w:szCs w:val="23"/>
          <w:lang w:val="pt-BR"/>
        </w:rPr>
        <w:t>,</w:t>
      </w:r>
      <w:r w:rsidR="00EC63C9" w:rsidRPr="00A65B69">
        <w:rPr>
          <w:color w:val="000000" w:themeColor="text1"/>
          <w:sz w:val="23"/>
          <w:szCs w:val="23"/>
          <w:lang w:val="pt-BR"/>
        </w:rPr>
        <w:t xml:space="preserve"> e 5</w:t>
      </w:r>
      <w:r w:rsidR="00A4397F" w:rsidRPr="00A65B69">
        <w:rPr>
          <w:color w:val="000000" w:themeColor="text1"/>
          <w:sz w:val="23"/>
          <w:szCs w:val="23"/>
          <w:lang w:val="pt-BR"/>
        </w:rPr>
        <w:t xml:space="preserve"> </w:t>
      </w:r>
      <w:r w:rsidR="00EC63C9" w:rsidRPr="00A65B69">
        <w:rPr>
          <w:color w:val="000000" w:themeColor="text1"/>
          <w:sz w:val="23"/>
          <w:szCs w:val="23"/>
          <w:lang w:val="pt-BR"/>
        </w:rPr>
        <w:t>ml para a quantificação da concentração de partículas metálicas)</w:t>
      </w:r>
      <w:r w:rsidR="00326460" w:rsidRPr="00A65B69">
        <w:rPr>
          <w:color w:val="000000" w:themeColor="text1"/>
          <w:sz w:val="23"/>
          <w:szCs w:val="23"/>
          <w:lang w:val="pt-BR"/>
        </w:rPr>
        <w:t>,</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os</w:t>
      </w:r>
      <w:r w:rsidR="00326460" w:rsidRPr="00A65B69">
        <w:rPr>
          <w:color w:val="000000" w:themeColor="text1"/>
          <w:spacing w:val="3"/>
          <w:sz w:val="23"/>
          <w:szCs w:val="23"/>
          <w:lang w:val="pt-BR"/>
        </w:rPr>
        <w:t xml:space="preserve"> </w:t>
      </w:r>
      <w:r w:rsidR="00326460" w:rsidRPr="00A65B69">
        <w:rPr>
          <w:color w:val="000000" w:themeColor="text1"/>
          <w:sz w:val="23"/>
          <w:szCs w:val="23"/>
          <w:lang w:val="pt-BR"/>
        </w:rPr>
        <w:t>quais</w:t>
      </w:r>
      <w:r w:rsidR="00326460" w:rsidRPr="00A65B69">
        <w:rPr>
          <w:color w:val="000000" w:themeColor="text1"/>
          <w:spacing w:val="4"/>
          <w:sz w:val="23"/>
          <w:szCs w:val="23"/>
          <w:lang w:val="pt-BR"/>
        </w:rPr>
        <w:t xml:space="preserve"> </w:t>
      </w:r>
      <w:r w:rsidR="00326460" w:rsidRPr="00A65B69">
        <w:rPr>
          <w:color w:val="000000" w:themeColor="text1"/>
          <w:sz w:val="23"/>
          <w:szCs w:val="23"/>
          <w:lang w:val="pt-BR"/>
        </w:rPr>
        <w:t>serão depositados em um tubo seco (com fator anticoagulante). As amostras sanguíneas serão</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centrifugadas a 3000 rpm por 10 min para separação do soro e plasma sanguíneo, a uma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temperatura de 4ºC. Após o processo de centrifugação, o soro sanguíneo será pipetado</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em eppendorf (1,5</w:t>
      </w:r>
      <w:r w:rsidR="00A4397F" w:rsidRPr="00A65B69">
        <w:rPr>
          <w:color w:val="000000" w:themeColor="text1"/>
          <w:sz w:val="23"/>
          <w:szCs w:val="23"/>
          <w:lang w:val="pt-BR"/>
        </w:rPr>
        <w:t xml:space="preserve"> </w:t>
      </w:r>
      <w:r w:rsidR="00326460" w:rsidRPr="00A65B69">
        <w:rPr>
          <w:color w:val="000000" w:themeColor="text1"/>
          <w:sz w:val="23"/>
          <w:szCs w:val="23"/>
          <w:lang w:val="pt-BR"/>
        </w:rPr>
        <w:t xml:space="preserve">ml) e armazenado a –20 ºC por 24 h. Para quantificação do </w:t>
      </w:r>
      <w:r w:rsidR="00326460" w:rsidRPr="00A65B69">
        <w:rPr>
          <w:color w:val="000000" w:themeColor="text1"/>
          <w:sz w:val="23"/>
          <w:szCs w:val="23"/>
          <w:lang w:val="pt-BR"/>
        </w:rPr>
        <w:lastRenderedPageBreak/>
        <w:t>BDNF e</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da IL-6 serão utilizados kits (BDNF R&amp;D Systems a Biotechne Brand, Quantikine® e</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Sigma-Aldrich, respectivamente). As análises do BDNF e IL-6 seguirão o protocolo da</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empresa</w:t>
      </w:r>
      <w:r w:rsidR="00326460" w:rsidRPr="00A65B69">
        <w:rPr>
          <w:color w:val="000000" w:themeColor="text1"/>
          <w:spacing w:val="-2"/>
          <w:sz w:val="23"/>
          <w:szCs w:val="23"/>
          <w:lang w:val="pt-BR"/>
        </w:rPr>
        <w:t xml:space="preserve"> </w:t>
      </w:r>
      <w:r w:rsidR="00326460" w:rsidRPr="00A65B69">
        <w:rPr>
          <w:color w:val="000000" w:themeColor="text1"/>
          <w:sz w:val="23"/>
          <w:szCs w:val="23"/>
          <w:lang w:val="pt-BR"/>
        </w:rPr>
        <w:t>fabricante</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e</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realizados</w:t>
      </w:r>
      <w:r w:rsidR="00326460" w:rsidRPr="00A65B69">
        <w:rPr>
          <w:color w:val="000000" w:themeColor="text1"/>
          <w:spacing w:val="-1"/>
          <w:sz w:val="23"/>
          <w:szCs w:val="23"/>
          <w:lang w:val="pt-BR"/>
        </w:rPr>
        <w:t xml:space="preserve"> </w:t>
      </w:r>
      <w:r w:rsidR="00326460" w:rsidRPr="00A65B69">
        <w:rPr>
          <w:color w:val="000000" w:themeColor="text1"/>
          <w:sz w:val="23"/>
          <w:szCs w:val="23"/>
          <w:lang w:val="pt-BR"/>
        </w:rPr>
        <w:t>pelo equipamento ELISA.</w:t>
      </w:r>
      <w:r w:rsidR="00F961D5" w:rsidRPr="00A65B69">
        <w:rPr>
          <w:color w:val="000000" w:themeColor="text1"/>
          <w:sz w:val="23"/>
          <w:szCs w:val="23"/>
          <w:lang w:val="pt-BR"/>
        </w:rPr>
        <w:t xml:space="preserve"> </w:t>
      </w:r>
    </w:p>
    <w:p w14:paraId="260FA5D7" w14:textId="516E25D5" w:rsidR="00F961D5" w:rsidRPr="00A65B69" w:rsidRDefault="00A8248D" w:rsidP="008300A4">
      <w:pPr>
        <w:tabs>
          <w:tab w:val="left" w:pos="0"/>
        </w:tabs>
        <w:spacing w:line="480" w:lineRule="auto"/>
        <w:jc w:val="both"/>
        <w:rPr>
          <w:color w:val="000000" w:themeColor="text1"/>
          <w:sz w:val="23"/>
          <w:szCs w:val="23"/>
          <w:lang w:val="pt-BR"/>
        </w:rPr>
      </w:pPr>
      <w:r w:rsidRPr="00A65B69">
        <w:rPr>
          <w:color w:val="000000" w:themeColor="text1"/>
          <w:sz w:val="23"/>
          <w:szCs w:val="23"/>
          <w:lang w:val="pt-BR"/>
        </w:rPr>
        <w:tab/>
      </w:r>
      <w:r w:rsidR="00F961D5" w:rsidRPr="00A65B69">
        <w:rPr>
          <w:color w:val="000000" w:themeColor="text1"/>
          <w:sz w:val="23"/>
          <w:szCs w:val="23"/>
          <w:lang w:val="pt-BR"/>
        </w:rPr>
        <w:t xml:space="preserve">Especificamente para </w:t>
      </w:r>
      <w:r w:rsidRPr="00A65B69">
        <w:rPr>
          <w:color w:val="000000" w:themeColor="text1"/>
          <w:sz w:val="23"/>
          <w:szCs w:val="23"/>
          <w:lang w:val="pt-BR"/>
        </w:rPr>
        <w:t xml:space="preserve">a análise de concentração de </w:t>
      </w:r>
      <w:r w:rsidR="00F961D5" w:rsidRPr="00A65B69">
        <w:rPr>
          <w:color w:val="000000" w:themeColor="text1"/>
          <w:sz w:val="23"/>
          <w:szCs w:val="23"/>
          <w:lang w:val="pt-BR"/>
        </w:rPr>
        <w:t>ferro</w:t>
      </w:r>
      <w:r w:rsidRPr="00A65B69">
        <w:rPr>
          <w:color w:val="000000" w:themeColor="text1"/>
          <w:sz w:val="23"/>
          <w:szCs w:val="23"/>
          <w:lang w:val="pt-BR"/>
        </w:rPr>
        <w:t>,</w:t>
      </w:r>
      <w:r w:rsidR="00F961D5" w:rsidRPr="00A65B69">
        <w:rPr>
          <w:color w:val="000000" w:themeColor="text1"/>
          <w:sz w:val="23"/>
          <w:szCs w:val="23"/>
          <w:lang w:val="pt-BR"/>
        </w:rPr>
        <w:t xml:space="preserve"> as amostras serão congeladas em baixa temperatura (-30°C) e submetidas a uma pressão  negativa (vácuo), passando pelo processo de liofilização, resultando em uma amostra em pó com os metais e os elementos bioquímicos para análise</w:t>
      </w:r>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A808A2" w:rsidRPr="00A65B69">
        <w:rPr>
          <w:color w:val="000000" w:themeColor="text1"/>
          <w:sz w:val="23"/>
          <w:szCs w:val="23"/>
          <w:lang w:val="pt-BR"/>
        </w:rPr>
        <w:instrText>ADDIN CSL_CITATION {"citationItems":[{"id":"ITEM-1","itemData":{"DOI":"10.1038/s41598-020-69979-9","ISBN":"0123456789","ISSN":"2045-2322","PMID":"32753601","abstract":"It is estimated that multiple sclerosis (MS) affects 35,000 Brazilians and 2.5 million individuals worldwide. Many studies have suggested a possible role of metallic elements in the etiology of MS, but their concentration in the blood of MS patients is nonetheless little investigated in Brazil. In this work, these elements were studied through Inductively Coupled Plasma Mass Spectrometry (ICP-MS), whose analysis provides a tool to quantify the concentrations of metal elements in the blood samples of individuals with neurodegenerative disorders. This study aimed to compare the concentration of metallic elements in blood samples from patients with MS and healthy individuals. Blood was collected from 30 patients with multiple sclerosis and compared with the control group. Blood samples were digested in closed vessels using a microwave and ICP-MS was used to determine the concentrations of 12 metallic elements (Ba, Be, Ca, Co, Cr, Cu, Fe, Mg, Mo, Ni, Pb and Zn). In MS patients, we observed a reduction in the concentrations of beryllium, copper, chromium, cobalt, nickel, magnesium and iron. The mean concentration of lead in blood was significantly elevated in the MS group. However, no difference was observed in the concentrations of Mo, Ba, Ca and Zn in blood samples from MS patients and the control group. According to our data, there is a possible role for the concentrations of 8 of the 12 evaluated metallic elements in multiple sclerosis. Abnormalities in transition metals levels in biological matrices have been reported in several neurological diseases.","author":[{"dropping-particle":"","family":"Oliveira","given":"Marcela","non-dropping-particle":"de","parse-names":false,"suffix":""},{"dropping-particle":"","family":"Gianeti","given":"Thiago Marcelo Ribeiro","non-dropping-particle":"","parse-names":false,"suffix":""},{"dropping-particle":"","family":"Rocha","given":"Fernando Coronetti Gomes","non-dropping-particle":"da","parse-names":false,"suffix":""},{"dropping-particle":"","family":"Lisboa-Filho","given":"Paulo Noronha","non-dropping-particle":"","parse-names":false,"suffix":""},{"dropping-particle":"","family":"Piacenti-Silva","given":"Marina","non-dropping-particle":"","parse-names":false,"suffix":""}],"container-title":"Scientific Reports","id":"ITEM-1","issue":"1","issued":{"date-parts":[["2020","12"]]},"page":"13112","publisher":"Nature Publishing Group UK","title":"A preliminary study of the concentration of metallic elements in the blood of patients with multiple sclerosis as measured by ICP-MS","type":"article-journal","volume":"10"},"uris":["http://www.mendeley.com/documents/?uuid=e5fa0e9c-3501-4064-9cc4-8e435efea2a2"]}],"mendeley":{"formattedCitation":"(DE OLIVEIRA et al., 2020)","plainTextFormattedCitation":"(DE OLIVEIRA et al., 2020)","previouslyFormattedCitation":"(DE OLIVEIRA et al., 2020)"},"properties":{"noteIndex":0},"schema":"https://github.com/citation-style-language/schema/raw/master/csl-citation.json"}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(DE OLIVEIRA et al., 2020)</w:t>
      </w:r>
      <w:r w:rsidR="00A808A2" w:rsidRPr="00A65B69">
        <w:rPr>
          <w:color w:val="000000" w:themeColor="text1"/>
          <w:sz w:val="23"/>
          <w:szCs w:val="23"/>
          <w:lang w:val="pt-BR"/>
        </w:rPr>
        <w:fldChar w:fldCharType="end"/>
      </w:r>
      <w:r w:rsidR="00F961D5" w:rsidRPr="00A65B69">
        <w:rPr>
          <w:color w:val="000000" w:themeColor="text1"/>
          <w:sz w:val="23"/>
          <w:szCs w:val="23"/>
          <w:lang w:val="pt-BR"/>
        </w:rPr>
        <w:t>. As amostras serão digeridas pelo processo de digestão assistida por radiação de micro-ondas em um digestor (</w:t>
      </w:r>
      <w:proofErr w:type="spellStart"/>
      <w:r w:rsidR="00F961D5" w:rsidRPr="00A65B69">
        <w:rPr>
          <w:color w:val="000000" w:themeColor="text1"/>
          <w:sz w:val="23"/>
          <w:szCs w:val="23"/>
          <w:lang w:val="pt-BR"/>
        </w:rPr>
        <w:t>Milestone</w:t>
      </w:r>
      <w:proofErr w:type="spellEnd"/>
      <w:r w:rsidR="00F961D5" w:rsidRPr="00A65B69">
        <w:rPr>
          <w:color w:val="000000" w:themeColor="text1"/>
          <w:sz w:val="23"/>
          <w:szCs w:val="23"/>
          <w:lang w:val="pt-BR"/>
        </w:rPr>
        <w:t xml:space="preserve">, modelo Ethos </w:t>
      </w:r>
      <w:proofErr w:type="spellStart"/>
      <w:r w:rsidR="00F961D5" w:rsidRPr="00A65B69">
        <w:rPr>
          <w:color w:val="000000" w:themeColor="text1"/>
          <w:sz w:val="23"/>
          <w:szCs w:val="23"/>
          <w:lang w:val="pt-BR"/>
        </w:rPr>
        <w:t>Easy</w:t>
      </w:r>
      <w:proofErr w:type="spellEnd"/>
      <w:r w:rsidR="00F961D5" w:rsidRPr="00A65B69">
        <w:rPr>
          <w:color w:val="000000" w:themeColor="text1"/>
          <w:sz w:val="23"/>
          <w:szCs w:val="23"/>
          <w:lang w:val="pt-BR"/>
        </w:rPr>
        <w:t>, EUA)</w:t>
      </w:r>
      <w:r w:rsidR="00A808A2" w:rsidRPr="00A65B69">
        <w:rPr>
          <w:color w:val="000000" w:themeColor="text1"/>
          <w:sz w:val="23"/>
          <w:szCs w:val="23"/>
          <w:lang w:val="pt-BR"/>
        </w:rPr>
        <w:t xml:space="preserve"> </w:t>
      </w:r>
      <w:r w:rsidR="00A808A2" w:rsidRPr="00A65B69">
        <w:rPr>
          <w:color w:val="000000" w:themeColor="text1"/>
          <w:sz w:val="23"/>
          <w:szCs w:val="23"/>
          <w:lang w:val="pt-BR"/>
        </w:rPr>
        <w:fldChar w:fldCharType="begin" w:fldLock="1"/>
      </w:r>
      <w:r w:rsidR="003C3ADC" w:rsidRPr="00A65B69">
        <w:rPr>
          <w:color w:val="000000" w:themeColor="text1"/>
          <w:sz w:val="23"/>
          <w:szCs w:val="23"/>
          <w:lang w:val="pt-BR"/>
        </w:rPr>
        <w:instrText>ADDIN CSL_CITATION {"citationItems":[{"id":"ITEM-1","itemData":{"DOI":"10.1016/j.talanta.2012.06.079","ISSN":"00399140","PMID":"22939159","abstract":"Advancements in sample preparation for performing trace analysis of inorganic analytes are coming from the dissemination of microwave-assisted procedures, but there is still room for improvements by looking for simple and easily applied procedures. Recently it was proposed a new approach called single reaction chamber with capability for digestions at high pressures and temperatures using simple vials and racks. This was a limitation of former cavity microwave ovens with closed vessels. It was demonstrated here that the use of single reaction chamber approach allows the implementation of efficient digestions using diluted solutions of nitric acid and also allows addressing a critical need of sample preparation for inorganic analysis by running mixed batches of samples. The feasibility of this procedure was demonstrated for organic samples and accuracy was proved by using certified reference materials of apple leaves, bovine liver and whole milk powder. Digestions performed of whole milk powder and bovine liver using 2.0 mol L-1 nitric acid solution plus concentrated hydrogen peroxide at 240°C led to residual carbon contents of 0.825 and 1.50% and residual acidities of 1.04 and 0.618 mol L -1, respectively. These parameters are fully compatible with further measurements using ICP OES or ICP-MS. Al, Cu, Fe, Mn, Mo, Rb, Se, Sr, and Zn were accurately determined by ICP OES or ICP-MS depending on their concentrations in digests. © 2012 Elsevier B.V. All rights reserved.","author":[{"dropping-particle":"","family":"Nóbrega","given":"J. A.","non-dropping-particle":"","parse-names":false,"suffix":""},{"dropping-particle":"","family":"Pirola","given":"C.","non-dropping-particle":"","parse-names":false,"suffix":""},{"dropping-particle":"","family":"Fialho","given":"L. L.","non-dropping-particle":"","parse-names":false,"suffix":""},{"dropping-particle":"","family":"Rota","given":"G.","non-dropping-particle":"","parse-names":false,"suffix":""},{"dropping-particle":"","family":"Campos Jordão","given":"C. E.K.M.A.","non-dropping-particle":"De","parse-names":false,"suffix":""},{"dropping-particle":"","family":"Pollo","given":"F.","non-dropping-particle":"","parse-names":false,"suffix":""}],"container-title":"Talanta","id":"ITEM-1","issued":{"date-parts":[["2012"]]},"page":"272-276","title":"Microwave-assisted digestion of organic samples: How simple can it become?","type":"article-journal","volume":"98"},"uris":["http://www.mendeley.com/documents/?uuid=de5d5661-9756-48a6-ac74-3a73b9764f8c"]}],"mendeley":{"formattedCitation":"(NÓBREGA et al., 2012)","plainTextFormattedCitation":"(NÓBREGA et al., 2012)","previouslyFormattedCitation":"(NÓBREGA et al., 2012)"},"properties":{"noteIndex":0},"schema":"https://github.com/citation-style-language/schema/raw/master/csl-citation.json"}</w:instrText>
      </w:r>
      <w:r w:rsidR="00A808A2" w:rsidRPr="00A65B69">
        <w:rPr>
          <w:color w:val="000000" w:themeColor="text1"/>
          <w:sz w:val="23"/>
          <w:szCs w:val="23"/>
          <w:lang w:val="pt-BR"/>
        </w:rPr>
        <w:fldChar w:fldCharType="separate"/>
      </w:r>
      <w:r w:rsidR="00A808A2" w:rsidRPr="00A65B69">
        <w:rPr>
          <w:noProof/>
          <w:color w:val="000000" w:themeColor="text1"/>
          <w:sz w:val="23"/>
          <w:szCs w:val="23"/>
          <w:lang w:val="pt-BR"/>
        </w:rPr>
        <w:t>(NÓBREGA et al., 2012)</w:t>
      </w:r>
      <w:r w:rsidR="00A808A2" w:rsidRPr="00A65B69">
        <w:rPr>
          <w:color w:val="000000" w:themeColor="text1"/>
          <w:sz w:val="23"/>
          <w:szCs w:val="23"/>
          <w:lang w:val="pt-BR"/>
        </w:rPr>
        <w:fldChar w:fldCharType="end"/>
      </w:r>
      <w:r w:rsidR="00F961D5" w:rsidRPr="00A65B69">
        <w:rPr>
          <w:color w:val="000000" w:themeColor="text1"/>
          <w:sz w:val="23"/>
          <w:szCs w:val="23"/>
          <w:lang w:val="pt-BR"/>
        </w:rPr>
        <w:t>. Para este processo, 200mg da amostra liofilizada serão digerid</w:t>
      </w:r>
      <w:r w:rsidR="005F3514" w:rsidRPr="00A65B69">
        <w:rPr>
          <w:color w:val="000000" w:themeColor="text1"/>
          <w:sz w:val="23"/>
          <w:szCs w:val="23"/>
          <w:lang w:val="pt-BR"/>
        </w:rPr>
        <w:t>a</w:t>
      </w:r>
      <w:r w:rsidR="00F961D5" w:rsidRPr="00A65B69">
        <w:rPr>
          <w:color w:val="000000" w:themeColor="text1"/>
          <w:sz w:val="23"/>
          <w:szCs w:val="23"/>
          <w:lang w:val="pt-BR"/>
        </w:rPr>
        <w:t>s usando 2</w:t>
      </w:r>
      <w:r w:rsidR="00A4397F" w:rsidRPr="00A65B69">
        <w:rPr>
          <w:color w:val="000000" w:themeColor="text1"/>
          <w:sz w:val="23"/>
          <w:szCs w:val="23"/>
          <w:lang w:val="pt-BR"/>
        </w:rPr>
        <w:t xml:space="preserve"> </w:t>
      </w:r>
      <w:proofErr w:type="spellStart"/>
      <w:r w:rsidR="00F961D5" w:rsidRPr="00A65B69">
        <w:rPr>
          <w:color w:val="000000" w:themeColor="text1"/>
          <w:sz w:val="23"/>
          <w:szCs w:val="23"/>
          <w:lang w:val="pt-BR"/>
        </w:rPr>
        <w:t>mL</w:t>
      </w:r>
      <w:proofErr w:type="spellEnd"/>
      <w:r w:rsidR="00F961D5" w:rsidRPr="00A65B69">
        <w:rPr>
          <w:color w:val="000000" w:themeColor="text1"/>
          <w:sz w:val="23"/>
          <w:szCs w:val="23"/>
          <w:lang w:val="pt-BR"/>
        </w:rPr>
        <w:t xml:space="preserve"> de solução de ácido nítrico e 2</w:t>
      </w:r>
      <w:r w:rsidR="00A4397F" w:rsidRPr="00A65B69">
        <w:rPr>
          <w:color w:val="000000" w:themeColor="text1"/>
          <w:sz w:val="23"/>
          <w:szCs w:val="23"/>
          <w:lang w:val="pt-BR"/>
        </w:rPr>
        <w:t xml:space="preserve"> </w:t>
      </w:r>
      <w:proofErr w:type="spellStart"/>
      <w:r w:rsidR="00F961D5" w:rsidRPr="00A65B69">
        <w:rPr>
          <w:color w:val="000000" w:themeColor="text1"/>
          <w:sz w:val="23"/>
          <w:szCs w:val="23"/>
          <w:lang w:val="pt-BR"/>
        </w:rPr>
        <w:t>mL</w:t>
      </w:r>
      <w:proofErr w:type="spellEnd"/>
      <w:r w:rsidR="00F961D5" w:rsidRPr="00A65B69">
        <w:rPr>
          <w:color w:val="000000" w:themeColor="text1"/>
          <w:sz w:val="23"/>
          <w:szCs w:val="23"/>
          <w:lang w:val="pt-BR"/>
        </w:rPr>
        <w:t xml:space="preserve"> de peróxido de hidrogênio. O programa de aquecimento do forno de micro-ondas será realizado em três etapas: 5</w:t>
      </w:r>
      <w:r w:rsidR="00A4397F" w:rsidRPr="00A65B69">
        <w:rPr>
          <w:color w:val="000000" w:themeColor="text1"/>
          <w:sz w:val="23"/>
          <w:szCs w:val="23"/>
          <w:lang w:val="pt-BR"/>
        </w:rPr>
        <w:t xml:space="preserve"> </w:t>
      </w:r>
      <w:r w:rsidR="00F961D5" w:rsidRPr="00A65B69">
        <w:rPr>
          <w:color w:val="000000" w:themeColor="text1"/>
          <w:sz w:val="23"/>
          <w:szCs w:val="23"/>
          <w:lang w:val="pt-BR"/>
        </w:rPr>
        <w:t>min de rampa de temperatura de 0 à 180°C; 15</w:t>
      </w:r>
      <w:r w:rsidR="00A4397F" w:rsidRPr="00A65B69">
        <w:rPr>
          <w:color w:val="000000" w:themeColor="text1"/>
          <w:sz w:val="23"/>
          <w:szCs w:val="23"/>
          <w:lang w:val="pt-BR"/>
        </w:rPr>
        <w:t xml:space="preserve"> </w:t>
      </w:r>
      <w:r w:rsidR="00F961D5" w:rsidRPr="00A65B69">
        <w:rPr>
          <w:color w:val="000000" w:themeColor="text1"/>
          <w:sz w:val="23"/>
          <w:szCs w:val="23"/>
          <w:lang w:val="pt-BR"/>
        </w:rPr>
        <w:t>min em temperatura constante a 180°C; e 25</w:t>
      </w:r>
      <w:r w:rsidR="00A4397F" w:rsidRPr="00A65B69">
        <w:rPr>
          <w:color w:val="000000" w:themeColor="text1"/>
          <w:sz w:val="23"/>
          <w:szCs w:val="23"/>
          <w:lang w:val="pt-BR"/>
        </w:rPr>
        <w:t xml:space="preserve"> </w:t>
      </w:r>
      <w:r w:rsidR="00F961D5" w:rsidRPr="00A65B69">
        <w:rPr>
          <w:color w:val="000000" w:themeColor="text1"/>
          <w:sz w:val="23"/>
          <w:szCs w:val="23"/>
          <w:lang w:val="pt-BR"/>
        </w:rPr>
        <w:t>min de resfriamento. Após o processo de digestão, será quantificada a concentração de partículas de ferro via espectroscopia de emissão óptica com plasma indutivamente acoplado (</w:t>
      </w:r>
      <w:proofErr w:type="spellStart"/>
      <w:r w:rsidR="00F961D5" w:rsidRPr="00A65B69">
        <w:rPr>
          <w:color w:val="000000" w:themeColor="text1"/>
          <w:sz w:val="23"/>
          <w:szCs w:val="23"/>
          <w:lang w:val="pt-BR"/>
        </w:rPr>
        <w:t>Perkin</w:t>
      </w:r>
      <w:proofErr w:type="spellEnd"/>
      <w:r w:rsidR="00F961D5" w:rsidRPr="00A65B69">
        <w:rPr>
          <w:color w:val="000000" w:themeColor="text1"/>
          <w:sz w:val="23"/>
          <w:szCs w:val="23"/>
          <w:lang w:val="pt-BR"/>
        </w:rPr>
        <w:t xml:space="preserve">-Elmer, modelo </w:t>
      </w:r>
      <w:proofErr w:type="spellStart"/>
      <w:r w:rsidR="00F961D5" w:rsidRPr="00A65B69">
        <w:rPr>
          <w:color w:val="000000" w:themeColor="text1"/>
          <w:sz w:val="23"/>
          <w:szCs w:val="23"/>
          <w:lang w:val="pt-BR"/>
        </w:rPr>
        <w:t>Optima</w:t>
      </w:r>
      <w:proofErr w:type="spellEnd"/>
      <w:r w:rsidR="00F961D5" w:rsidRPr="00A65B69">
        <w:rPr>
          <w:color w:val="000000" w:themeColor="text1"/>
          <w:sz w:val="23"/>
          <w:szCs w:val="23"/>
          <w:lang w:val="pt-BR"/>
        </w:rPr>
        <w:t xml:space="preserve"> 8300, EUA). </w:t>
      </w:r>
    </w:p>
    <w:p w14:paraId="31752DBA" w14:textId="3D53411B" w:rsidR="0039003A" w:rsidRPr="00A65B69" w:rsidRDefault="00966CDB" w:rsidP="008300A4">
      <w:pPr>
        <w:pStyle w:val="BodyText"/>
        <w:spacing w:before="0" w:line="480" w:lineRule="auto"/>
        <w:rPr>
          <w:i/>
          <w:color w:val="000000" w:themeColor="text1"/>
          <w:sz w:val="23"/>
          <w:szCs w:val="23"/>
          <w:lang w:val="pt-BR"/>
        </w:rPr>
      </w:pPr>
      <w:r w:rsidRPr="00A65B69">
        <w:rPr>
          <w:color w:val="000000" w:themeColor="text1"/>
          <w:sz w:val="23"/>
          <w:szCs w:val="23"/>
          <w:lang w:val="pt-BR"/>
        </w:rPr>
        <w:t xml:space="preserve">- </w:t>
      </w:r>
      <w:r w:rsidR="008755A4" w:rsidRPr="00A65B69">
        <w:rPr>
          <w:i/>
          <w:color w:val="000000" w:themeColor="text1"/>
          <w:sz w:val="23"/>
          <w:szCs w:val="23"/>
          <w:lang w:val="pt-BR"/>
        </w:rPr>
        <w:t>An</w:t>
      </w:r>
      <w:r w:rsidR="00326460" w:rsidRPr="00A65B69">
        <w:rPr>
          <w:i/>
          <w:color w:val="000000" w:themeColor="text1"/>
          <w:sz w:val="23"/>
          <w:szCs w:val="23"/>
          <w:lang w:val="pt-BR"/>
        </w:rPr>
        <w:t>á</w:t>
      </w:r>
      <w:r w:rsidR="008755A4" w:rsidRPr="00A65B69">
        <w:rPr>
          <w:i/>
          <w:color w:val="000000" w:themeColor="text1"/>
          <w:sz w:val="23"/>
          <w:szCs w:val="23"/>
          <w:lang w:val="pt-BR"/>
        </w:rPr>
        <w:t>lise</w:t>
      </w:r>
      <w:r w:rsidR="008755A4" w:rsidRPr="00A65B69">
        <w:rPr>
          <w:i/>
          <w:color w:val="000000" w:themeColor="text1"/>
          <w:spacing w:val="-2"/>
          <w:sz w:val="23"/>
          <w:szCs w:val="23"/>
          <w:lang w:val="pt-BR"/>
        </w:rPr>
        <w:t xml:space="preserve"> </w:t>
      </w:r>
      <w:r w:rsidR="007729CE" w:rsidRPr="00A65B69">
        <w:rPr>
          <w:i/>
          <w:color w:val="000000" w:themeColor="text1"/>
          <w:sz w:val="23"/>
          <w:szCs w:val="23"/>
          <w:lang w:val="pt-BR"/>
        </w:rPr>
        <w:t>estatística</w:t>
      </w:r>
    </w:p>
    <w:p w14:paraId="7767FEED" w14:textId="26F629BD" w:rsidR="0039003A" w:rsidRPr="00A65B69" w:rsidRDefault="00966CDB" w:rsidP="008300A4">
      <w:pPr>
        <w:pStyle w:val="BodyText"/>
        <w:tabs>
          <w:tab w:val="left" w:pos="284"/>
        </w:tabs>
        <w:spacing w:before="0" w:line="480" w:lineRule="auto"/>
        <w:ind w:left="0" w:right="2"/>
        <w:rPr>
          <w:color w:val="000000" w:themeColor="text1"/>
          <w:sz w:val="23"/>
          <w:szCs w:val="23"/>
          <w:lang w:val="pt-BR"/>
        </w:rPr>
      </w:pPr>
      <w:r w:rsidRPr="00A65B69">
        <w:rPr>
          <w:color w:val="000000" w:themeColor="text1"/>
          <w:sz w:val="23"/>
          <w:szCs w:val="23"/>
          <w:lang w:val="pt-BR"/>
        </w:rPr>
        <w:tab/>
      </w:r>
      <w:r w:rsidRPr="00A65B69">
        <w:rPr>
          <w:color w:val="000000" w:themeColor="text1"/>
          <w:sz w:val="23"/>
          <w:szCs w:val="23"/>
          <w:lang w:val="pt-BR"/>
        </w:rPr>
        <w:tab/>
      </w:r>
      <w:r w:rsidR="008755A4" w:rsidRPr="00A65B69">
        <w:rPr>
          <w:color w:val="000000" w:themeColor="text1"/>
          <w:sz w:val="23"/>
          <w:szCs w:val="23"/>
          <w:lang w:val="pt-BR"/>
        </w:rPr>
        <w:t xml:space="preserve">O nível de significância (α) será mantido em 0,05 para todas as análises. </w:t>
      </w:r>
      <w:r w:rsidR="00DA1E18" w:rsidRPr="00A65B69">
        <w:rPr>
          <w:color w:val="000000" w:themeColor="text1"/>
          <w:sz w:val="23"/>
          <w:szCs w:val="23"/>
          <w:lang w:val="pt-BR"/>
        </w:rPr>
        <w:t>A esfericidade (</w:t>
      </w:r>
      <w:proofErr w:type="spellStart"/>
      <w:r w:rsidR="00DA1E18" w:rsidRPr="00A65B69">
        <w:rPr>
          <w:color w:val="000000" w:themeColor="text1"/>
          <w:sz w:val="23"/>
          <w:szCs w:val="23"/>
          <w:lang w:val="pt-BR"/>
        </w:rPr>
        <w:t>Mauchly</w:t>
      </w:r>
      <w:proofErr w:type="spellEnd"/>
      <w:r w:rsidR="00DA1E18" w:rsidRPr="00A65B69">
        <w:rPr>
          <w:color w:val="000000" w:themeColor="text1"/>
          <w:sz w:val="23"/>
          <w:szCs w:val="23"/>
          <w:lang w:val="pt-BR"/>
        </w:rPr>
        <w:t>) e o teste de igualdade</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das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variâncias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(Levene)</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serão</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testadas.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Caso</w:t>
      </w:r>
      <w:r w:rsidR="00DA1E18" w:rsidRPr="00A65B69">
        <w:rPr>
          <w:color w:val="000000" w:themeColor="text1"/>
          <w:spacing w:val="60"/>
          <w:sz w:val="23"/>
          <w:szCs w:val="23"/>
          <w:lang w:val="pt-BR"/>
        </w:rPr>
        <w:t xml:space="preserve"> </w:t>
      </w:r>
      <w:r w:rsidR="00DA1E18" w:rsidRPr="00A65B69">
        <w:rPr>
          <w:color w:val="000000" w:themeColor="text1"/>
          <w:sz w:val="23"/>
          <w:szCs w:val="23"/>
          <w:lang w:val="pt-BR"/>
        </w:rPr>
        <w:t>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variáveis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não</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apresentem</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normalidade</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satisfatória</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ou</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violem</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os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pressupostos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dos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respectivos</w:t>
      </w:r>
      <w:r w:rsidR="00DA1E18" w:rsidRPr="00A65B69">
        <w:rPr>
          <w:color w:val="000000" w:themeColor="text1"/>
          <w:spacing w:val="-2"/>
          <w:sz w:val="23"/>
          <w:szCs w:val="23"/>
          <w:lang w:val="pt-BR"/>
        </w:rPr>
        <w:t xml:space="preserve"> </w:t>
      </w:r>
      <w:r w:rsidR="00DA1E18" w:rsidRPr="00A65B69">
        <w:rPr>
          <w:color w:val="000000" w:themeColor="text1"/>
          <w:sz w:val="23"/>
          <w:szCs w:val="23"/>
          <w:lang w:val="pt-BR"/>
        </w:rPr>
        <w:t>testes,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análises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serão</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conduzidas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pelos</w:t>
      </w:r>
      <w:r w:rsidR="00DA1E18" w:rsidRPr="00A65B69">
        <w:rPr>
          <w:color w:val="000000" w:themeColor="text1"/>
          <w:spacing w:val="-2"/>
          <w:sz w:val="23"/>
          <w:szCs w:val="23"/>
          <w:lang w:val="pt-BR"/>
        </w:rPr>
        <w:t xml:space="preserve"> </w:t>
      </w:r>
      <w:r w:rsidR="00DA1E18" w:rsidRPr="00A65B69">
        <w:rPr>
          <w:color w:val="000000" w:themeColor="text1"/>
          <w:sz w:val="23"/>
          <w:szCs w:val="23"/>
          <w:lang w:val="pt-BR"/>
        </w:rPr>
        <w:t>seus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pares</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não</w:t>
      </w:r>
      <w:r w:rsidR="00DA1E18" w:rsidRPr="00A65B69">
        <w:rPr>
          <w:color w:val="000000" w:themeColor="text1"/>
          <w:spacing w:val="-1"/>
          <w:sz w:val="23"/>
          <w:szCs w:val="23"/>
          <w:lang w:val="pt-BR"/>
        </w:rPr>
        <w:t xml:space="preserve"> </w:t>
      </w:r>
      <w:r w:rsidR="00DA1E18" w:rsidRPr="00A65B69">
        <w:rPr>
          <w:color w:val="000000" w:themeColor="text1"/>
          <w:sz w:val="23"/>
          <w:szCs w:val="23"/>
          <w:lang w:val="pt-BR"/>
        </w:rPr>
        <w:t xml:space="preserve">paramétricos. </w:t>
      </w:r>
      <w:r w:rsidR="008755A4" w:rsidRPr="00A65B69">
        <w:rPr>
          <w:color w:val="000000" w:themeColor="text1"/>
          <w:sz w:val="23"/>
          <w:szCs w:val="23"/>
          <w:lang w:val="pt-BR"/>
        </w:rPr>
        <w:t>Os</w:t>
      </w:r>
      <w:r w:rsidR="008755A4" w:rsidRPr="00A65B69">
        <w:rPr>
          <w:color w:val="000000" w:themeColor="text1"/>
          <w:spacing w:val="1"/>
          <w:sz w:val="23"/>
          <w:szCs w:val="23"/>
          <w:lang w:val="pt-BR"/>
        </w:rPr>
        <w:t xml:space="preserve"> </w:t>
      </w:r>
      <w:r w:rsidR="008755A4" w:rsidRPr="00A65B69">
        <w:rPr>
          <w:color w:val="000000" w:themeColor="text1"/>
          <w:sz w:val="23"/>
          <w:szCs w:val="23"/>
          <w:lang w:val="pt-BR"/>
        </w:rPr>
        <w:t xml:space="preserve">parâmetros </w:t>
      </w:r>
      <w:r w:rsidR="00DA1E18" w:rsidRPr="00A65B69">
        <w:rPr>
          <w:color w:val="000000" w:themeColor="text1"/>
          <w:sz w:val="23"/>
          <w:szCs w:val="23"/>
          <w:lang w:val="pt-BR"/>
        </w:rPr>
        <w:t>de interesse da marcha</w:t>
      </w:r>
      <w:r w:rsidR="008755A4" w:rsidRPr="00A65B69">
        <w:rPr>
          <w:color w:val="000000" w:themeColor="text1"/>
          <w:sz w:val="23"/>
          <w:szCs w:val="23"/>
          <w:lang w:val="pt-BR"/>
        </w:rPr>
        <w:t>,</w:t>
      </w:r>
      <w:r w:rsidR="00F92354" w:rsidRPr="00A65B69">
        <w:rPr>
          <w:color w:val="000000" w:themeColor="text1"/>
          <w:sz w:val="23"/>
          <w:szCs w:val="23"/>
          <w:lang w:val="pt-BR"/>
        </w:rPr>
        <w:t xml:space="preserve"> </w:t>
      </w:r>
      <w:r w:rsidR="00DA1E18" w:rsidRPr="00A65B69">
        <w:rPr>
          <w:color w:val="000000" w:themeColor="text1"/>
          <w:sz w:val="23"/>
          <w:szCs w:val="23"/>
          <w:lang w:val="pt-BR"/>
        </w:rPr>
        <w:t xml:space="preserve">da </w:t>
      </w:r>
      <w:r w:rsidR="00F92354" w:rsidRPr="00A65B69">
        <w:rPr>
          <w:color w:val="000000" w:themeColor="text1"/>
          <w:sz w:val="23"/>
          <w:szCs w:val="23"/>
          <w:lang w:val="pt-BR"/>
        </w:rPr>
        <w:t>qualidade do sono e</w:t>
      </w:r>
      <w:r w:rsidR="008755A4" w:rsidRPr="00A65B69">
        <w:rPr>
          <w:color w:val="000000" w:themeColor="text1"/>
          <w:sz w:val="23"/>
          <w:szCs w:val="23"/>
          <w:lang w:val="pt-BR"/>
        </w:rPr>
        <w:t xml:space="preserve"> </w:t>
      </w:r>
      <w:r w:rsidR="00DA1E18" w:rsidRPr="00A65B69">
        <w:rPr>
          <w:color w:val="000000" w:themeColor="text1"/>
          <w:sz w:val="23"/>
          <w:szCs w:val="23"/>
          <w:lang w:val="pt-BR"/>
        </w:rPr>
        <w:t>d</w:t>
      </w:r>
      <w:r w:rsidR="008755A4" w:rsidRPr="00A65B69">
        <w:rPr>
          <w:color w:val="000000" w:themeColor="text1"/>
          <w:sz w:val="23"/>
          <w:szCs w:val="23"/>
          <w:lang w:val="pt-BR"/>
        </w:rPr>
        <w:t>os biomarcadores</w:t>
      </w:r>
      <w:r w:rsidR="00DA1E18" w:rsidRPr="00A65B69">
        <w:rPr>
          <w:color w:val="000000" w:themeColor="text1"/>
          <w:sz w:val="23"/>
          <w:szCs w:val="23"/>
          <w:lang w:val="pt-BR"/>
        </w:rPr>
        <w:t xml:space="preserve"> sanguíneos </w:t>
      </w:r>
      <w:r w:rsidR="00D30CA9" w:rsidRPr="00A65B69">
        <w:rPr>
          <w:color w:val="000000" w:themeColor="text1"/>
          <w:sz w:val="23"/>
          <w:szCs w:val="23"/>
          <w:lang w:val="pt-BR"/>
        </w:rPr>
        <w:t xml:space="preserve">serão comparados por meio </w:t>
      </w:r>
      <w:proofErr w:type="gramStart"/>
      <w:r w:rsidR="00D30CA9" w:rsidRPr="00A65B69">
        <w:rPr>
          <w:color w:val="000000" w:themeColor="text1"/>
          <w:sz w:val="23"/>
          <w:szCs w:val="23"/>
          <w:lang w:val="pt-BR"/>
        </w:rPr>
        <w:t xml:space="preserve">de </w:t>
      </w:r>
      <w:proofErr w:type="spellStart"/>
      <w:r w:rsidR="00D30CA9" w:rsidRPr="00A65B69">
        <w:rPr>
          <w:color w:val="000000" w:themeColor="text1"/>
          <w:sz w:val="23"/>
          <w:szCs w:val="23"/>
          <w:lang w:val="pt-BR"/>
        </w:rPr>
        <w:t>ANOVAs</w:t>
      </w:r>
      <w:proofErr w:type="spellEnd"/>
      <w:proofErr w:type="gramEnd"/>
      <w:r w:rsidR="00D30CA9" w:rsidRPr="00A65B69">
        <w:rPr>
          <w:color w:val="000000" w:themeColor="text1"/>
          <w:sz w:val="23"/>
          <w:szCs w:val="23"/>
          <w:lang w:val="pt-BR"/>
        </w:rPr>
        <w:t xml:space="preserve"> </w:t>
      </w:r>
      <w:proofErr w:type="spellStart"/>
      <w:r w:rsidR="00D30CA9" w:rsidRPr="00A65B69">
        <w:rPr>
          <w:i/>
          <w:iCs/>
          <w:color w:val="000000" w:themeColor="text1"/>
          <w:sz w:val="23"/>
          <w:szCs w:val="23"/>
          <w:lang w:val="pt-BR"/>
        </w:rPr>
        <w:t>three-way</w:t>
      </w:r>
      <w:proofErr w:type="spellEnd"/>
      <w:r w:rsidR="00D30CA9" w:rsidRPr="00A65B69">
        <w:rPr>
          <w:i/>
          <w:iCs/>
          <w:color w:val="000000" w:themeColor="text1"/>
          <w:sz w:val="23"/>
          <w:szCs w:val="23"/>
          <w:lang w:val="pt-BR"/>
        </w:rPr>
        <w:t xml:space="preserve"> </w:t>
      </w:r>
      <w:r w:rsidR="00D30CA9" w:rsidRPr="00A65B69">
        <w:rPr>
          <w:color w:val="000000" w:themeColor="text1"/>
          <w:sz w:val="23"/>
          <w:szCs w:val="23"/>
          <w:lang w:val="pt-BR"/>
        </w:rPr>
        <w:t>com fator para grupo (DP vs</w:t>
      </w:r>
      <w:r w:rsidR="00E27E6F" w:rsidRPr="00A65B69">
        <w:rPr>
          <w:color w:val="000000" w:themeColor="text1"/>
          <w:sz w:val="23"/>
          <w:szCs w:val="23"/>
          <w:lang w:val="pt-BR"/>
        </w:rPr>
        <w:t>.</w:t>
      </w:r>
      <w:r w:rsidR="00D30CA9" w:rsidRPr="00A65B69">
        <w:rPr>
          <w:color w:val="000000" w:themeColor="text1"/>
          <w:sz w:val="23"/>
          <w:szCs w:val="23"/>
          <w:lang w:val="pt-BR"/>
        </w:rPr>
        <w:t xml:space="preserve"> GC), período da avaliação (</w:t>
      </w:r>
      <w:r w:rsidR="00540160" w:rsidRPr="00A65B69">
        <w:rPr>
          <w:color w:val="000000" w:themeColor="text1"/>
          <w:sz w:val="23"/>
          <w:szCs w:val="23"/>
          <w:lang w:val="pt-BR"/>
        </w:rPr>
        <w:t>antes</w:t>
      </w:r>
      <w:r w:rsidR="00D30CA9" w:rsidRPr="00A65B69">
        <w:rPr>
          <w:color w:val="000000" w:themeColor="text1"/>
          <w:sz w:val="23"/>
          <w:szCs w:val="23"/>
          <w:lang w:val="pt-BR"/>
        </w:rPr>
        <w:t xml:space="preserve"> vs</w:t>
      </w:r>
      <w:r w:rsidR="00E27E6F" w:rsidRPr="00A65B69">
        <w:rPr>
          <w:color w:val="000000" w:themeColor="text1"/>
          <w:sz w:val="23"/>
          <w:szCs w:val="23"/>
          <w:lang w:val="pt-BR"/>
        </w:rPr>
        <w:t>.</w:t>
      </w:r>
      <w:r w:rsidR="00D30CA9" w:rsidRPr="00A65B69">
        <w:rPr>
          <w:color w:val="000000" w:themeColor="text1"/>
          <w:sz w:val="23"/>
          <w:szCs w:val="23"/>
          <w:lang w:val="pt-BR"/>
        </w:rPr>
        <w:t xml:space="preserve"> imediatamente após vs</w:t>
      </w:r>
      <w:r w:rsidR="00E27E6F" w:rsidRPr="00A65B69">
        <w:rPr>
          <w:color w:val="000000" w:themeColor="text1"/>
          <w:sz w:val="23"/>
          <w:szCs w:val="23"/>
          <w:lang w:val="pt-BR"/>
        </w:rPr>
        <w:t>.</w:t>
      </w:r>
      <w:r w:rsidR="00D30CA9" w:rsidRPr="00A65B69">
        <w:rPr>
          <w:color w:val="000000" w:themeColor="text1"/>
          <w:sz w:val="23"/>
          <w:szCs w:val="23"/>
          <w:lang w:val="pt-BR"/>
        </w:rPr>
        <w:t xml:space="preserve"> 24h após) e intervenção (HI vs</w:t>
      </w:r>
      <w:r w:rsidR="00E27E6F" w:rsidRPr="00A65B69">
        <w:rPr>
          <w:color w:val="000000" w:themeColor="text1"/>
          <w:sz w:val="23"/>
          <w:szCs w:val="23"/>
          <w:lang w:val="pt-BR"/>
        </w:rPr>
        <w:t>.</w:t>
      </w:r>
      <w:r w:rsidR="00D30CA9" w:rsidRPr="00A65B69">
        <w:rPr>
          <w:color w:val="000000" w:themeColor="text1"/>
          <w:sz w:val="23"/>
          <w:szCs w:val="23"/>
          <w:lang w:val="pt-BR"/>
        </w:rPr>
        <w:t xml:space="preserve"> placebo), sendo os dois últimos fatores considerados como medidas repetidas. Caso a análise indique interação entre os fatores, testes </w:t>
      </w:r>
      <w:r w:rsidR="00D30CA9" w:rsidRPr="00A65B69">
        <w:rPr>
          <w:i/>
          <w:color w:val="000000" w:themeColor="text1"/>
          <w:sz w:val="23"/>
          <w:szCs w:val="23"/>
          <w:lang w:val="pt-BR"/>
        </w:rPr>
        <w:t>post hoc</w:t>
      </w:r>
      <w:r w:rsidR="00D30CA9" w:rsidRPr="00A65B69">
        <w:rPr>
          <w:color w:val="000000" w:themeColor="text1"/>
          <w:sz w:val="23"/>
          <w:szCs w:val="23"/>
          <w:lang w:val="pt-BR"/>
        </w:rPr>
        <w:t xml:space="preserve"> de </w:t>
      </w:r>
      <w:proofErr w:type="spellStart"/>
      <w:r w:rsidR="00D30CA9" w:rsidRPr="00A65B69">
        <w:rPr>
          <w:color w:val="000000" w:themeColor="text1"/>
          <w:sz w:val="23"/>
          <w:szCs w:val="23"/>
          <w:lang w:val="pt-BR"/>
        </w:rPr>
        <w:t>Tukey</w:t>
      </w:r>
      <w:proofErr w:type="spellEnd"/>
      <w:r w:rsidR="00D30CA9" w:rsidRPr="00A65B69">
        <w:rPr>
          <w:color w:val="000000" w:themeColor="text1"/>
          <w:sz w:val="23"/>
          <w:szCs w:val="23"/>
          <w:lang w:val="pt-BR"/>
        </w:rPr>
        <w:t xml:space="preserve"> serão realizados. </w:t>
      </w:r>
    </w:p>
    <w:p w14:paraId="31407B22" w14:textId="0C0C8E08" w:rsidR="00610715" w:rsidRPr="00A65B69" w:rsidRDefault="00610715" w:rsidP="008300A4">
      <w:pPr>
        <w:pStyle w:val="BodyText"/>
        <w:tabs>
          <w:tab w:val="left" w:pos="284"/>
        </w:tabs>
        <w:spacing w:before="0" w:line="480" w:lineRule="auto"/>
        <w:ind w:left="0" w:right="2"/>
        <w:rPr>
          <w:color w:val="000000" w:themeColor="text1"/>
          <w:lang w:val="pt-BR"/>
        </w:rPr>
      </w:pPr>
    </w:p>
    <w:p w14:paraId="58B185E6" w14:textId="2D6A9CDA" w:rsidR="00682723" w:rsidRPr="00A65B69" w:rsidRDefault="00682723" w:rsidP="008300A4">
      <w:pPr>
        <w:pStyle w:val="BodyText"/>
        <w:tabs>
          <w:tab w:val="left" w:pos="284"/>
        </w:tabs>
        <w:spacing w:before="0" w:line="480" w:lineRule="auto"/>
        <w:ind w:left="0" w:right="2"/>
        <w:rPr>
          <w:color w:val="000000" w:themeColor="text1"/>
          <w:lang w:val="pt-BR"/>
        </w:rPr>
      </w:pPr>
    </w:p>
    <w:p w14:paraId="6E1017EE" w14:textId="7A730343" w:rsidR="00682723" w:rsidRPr="00A65B69" w:rsidRDefault="00682723" w:rsidP="008300A4">
      <w:pPr>
        <w:pStyle w:val="BodyText"/>
        <w:tabs>
          <w:tab w:val="left" w:pos="284"/>
        </w:tabs>
        <w:spacing w:before="0" w:line="480" w:lineRule="auto"/>
        <w:ind w:left="0" w:right="2"/>
        <w:rPr>
          <w:color w:val="000000" w:themeColor="text1"/>
          <w:lang w:val="pt-BR"/>
        </w:rPr>
      </w:pPr>
    </w:p>
    <w:p w14:paraId="295120A5" w14:textId="77777777" w:rsidR="00682723" w:rsidRPr="00A65B69" w:rsidRDefault="00682723" w:rsidP="008300A4">
      <w:pPr>
        <w:pStyle w:val="BodyText"/>
        <w:tabs>
          <w:tab w:val="left" w:pos="284"/>
        </w:tabs>
        <w:spacing w:before="0" w:line="480" w:lineRule="auto"/>
        <w:ind w:left="0" w:right="2"/>
        <w:rPr>
          <w:color w:val="000000" w:themeColor="text1"/>
          <w:lang w:val="pt-BR"/>
        </w:rPr>
      </w:pPr>
    </w:p>
    <w:p w14:paraId="5DBD8141" w14:textId="7FA2BE52" w:rsidR="00A112DE" w:rsidRPr="00A65B69" w:rsidRDefault="00A112DE" w:rsidP="00052B20">
      <w:pPr>
        <w:tabs>
          <w:tab w:val="left" w:pos="284"/>
        </w:tabs>
        <w:spacing w:line="480" w:lineRule="auto"/>
        <w:ind w:right="2"/>
        <w:jc w:val="both"/>
        <w:rPr>
          <w:b/>
          <w:bCs/>
          <w:color w:val="000000" w:themeColor="text1"/>
        </w:rPr>
      </w:pPr>
      <w:r w:rsidRPr="00A65B69">
        <w:rPr>
          <w:b/>
          <w:bCs/>
          <w:color w:val="000000" w:themeColor="text1"/>
        </w:rPr>
        <w:lastRenderedPageBreak/>
        <w:t xml:space="preserve">5. </w:t>
      </w:r>
      <w:proofErr w:type="spellStart"/>
      <w:r w:rsidRPr="00A65B69">
        <w:rPr>
          <w:b/>
          <w:bCs/>
          <w:color w:val="000000" w:themeColor="text1"/>
        </w:rPr>
        <w:t>Referências</w:t>
      </w:r>
      <w:proofErr w:type="spellEnd"/>
    </w:p>
    <w:p w14:paraId="51171B30" w14:textId="4BDD503C" w:rsidR="00CF7A48" w:rsidRPr="00A65B69" w:rsidRDefault="00A112DE" w:rsidP="00CF7A48">
      <w:pPr>
        <w:widowControl w:val="0"/>
        <w:autoSpaceDE w:val="0"/>
        <w:autoSpaceDN w:val="0"/>
        <w:adjustRightInd w:val="0"/>
        <w:spacing w:line="360" w:lineRule="auto"/>
        <w:rPr>
          <w:noProof/>
          <w:lang w:val="pt-BR"/>
        </w:rPr>
      </w:pPr>
      <w:r w:rsidRPr="00A65B69">
        <w:rPr>
          <w:color w:val="000000" w:themeColor="text1"/>
          <w:lang w:val="pt-BR"/>
        </w:rPr>
        <w:fldChar w:fldCharType="begin" w:fldLock="1"/>
      </w:r>
      <w:r w:rsidRPr="00A65B69">
        <w:rPr>
          <w:color w:val="000000" w:themeColor="text1"/>
        </w:rPr>
        <w:instrText xml:space="preserve">ADDIN Mendeley Bibliography CSL_BIBLIOGRAPHY </w:instrText>
      </w:r>
      <w:r w:rsidRPr="00A65B69">
        <w:rPr>
          <w:color w:val="000000" w:themeColor="text1"/>
          <w:lang w:val="pt-BR"/>
        </w:rPr>
        <w:fldChar w:fldCharType="separate"/>
      </w:r>
      <w:r w:rsidR="00CF7A48" w:rsidRPr="00A65B69">
        <w:rPr>
          <w:noProof/>
        </w:rPr>
        <w:t xml:space="preserve">ABE, D.; FUKUOKA, Y.; HORIUCHI, M. Muscle activities during walking and running at energetically optimal transition speed under normobaric hypoxia on gradient slopes. </w:t>
      </w:r>
      <w:r w:rsidR="00CF7A48" w:rsidRPr="00A65B69">
        <w:rPr>
          <w:b/>
          <w:bCs/>
          <w:noProof/>
          <w:lang w:val="pt-BR"/>
        </w:rPr>
        <w:t>PLoS ONE</w:t>
      </w:r>
      <w:r w:rsidR="00CF7A48" w:rsidRPr="00A65B69">
        <w:rPr>
          <w:noProof/>
          <w:lang w:val="pt-BR"/>
        </w:rPr>
        <w:t xml:space="preserve">, v. 12, n. 3, p. 1–15, 2017. </w:t>
      </w:r>
    </w:p>
    <w:p w14:paraId="7E7AE42A"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ACOSTA-CABRONERO, J. et al. </w:t>
      </w:r>
      <w:r w:rsidRPr="00A65B69">
        <w:rPr>
          <w:noProof/>
        </w:rPr>
        <w:t xml:space="preserve">In vivo MRI mapping of brain iron deposition across the adult lifespan. </w:t>
      </w:r>
      <w:r w:rsidRPr="00A65B69">
        <w:rPr>
          <w:b/>
          <w:bCs/>
          <w:noProof/>
        </w:rPr>
        <w:t>Journal of Neuroscience</w:t>
      </w:r>
      <w:r w:rsidRPr="00A65B69">
        <w:rPr>
          <w:noProof/>
        </w:rPr>
        <w:t xml:space="preserve">, v. 36, n. 2, p. 364–374, 2016. </w:t>
      </w:r>
    </w:p>
    <w:p w14:paraId="4B90166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AKOBENG, A. K. Principles of evidence based medicine. </w:t>
      </w:r>
      <w:r w:rsidRPr="00A65B69">
        <w:rPr>
          <w:b/>
          <w:bCs/>
          <w:noProof/>
        </w:rPr>
        <w:t>Archives of Disease in Childhood</w:t>
      </w:r>
      <w:r w:rsidRPr="00A65B69">
        <w:rPr>
          <w:noProof/>
        </w:rPr>
        <w:t xml:space="preserve">, v. 90, n. 8, p. 837–840, 2005. </w:t>
      </w:r>
    </w:p>
    <w:p w14:paraId="71B7F356"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ARAÚJO-SILVA, F. et al. </w:t>
      </w:r>
      <w:r w:rsidRPr="00A65B69">
        <w:rPr>
          <w:noProof/>
        </w:rPr>
        <w:t xml:space="preserve">Temporal dynamics of cortical activity and postural control in response to the first levodopa dose of the day in people with Parkinson’s disease. </w:t>
      </w:r>
      <w:r w:rsidRPr="00A65B69">
        <w:rPr>
          <w:b/>
          <w:bCs/>
          <w:noProof/>
        </w:rPr>
        <w:t>Brain Research</w:t>
      </w:r>
      <w:r w:rsidRPr="00A65B69">
        <w:rPr>
          <w:noProof/>
        </w:rPr>
        <w:t xml:space="preserve">, v. 1775, p. 147727, 2022. </w:t>
      </w:r>
    </w:p>
    <w:p w14:paraId="38FF117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BARBIERI, F. A. et al. Obstacle Avoidance Increases Asymmetry of Crossing Step in Individuals With Parkinson’s Disease and Neurologically Healthy Individuals. </w:t>
      </w:r>
      <w:r w:rsidRPr="00A65B69">
        <w:rPr>
          <w:b/>
          <w:bCs/>
          <w:noProof/>
        </w:rPr>
        <w:t>Journal of Motor Behavior</w:t>
      </w:r>
      <w:r w:rsidRPr="00A65B69">
        <w:rPr>
          <w:noProof/>
        </w:rPr>
        <w:t xml:space="preserve">, v. 50, n. 1, p. 17–25, 2018a. </w:t>
      </w:r>
    </w:p>
    <w:p w14:paraId="2C4EF44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BARBIERI, F. A. et al. Obstacle Avoidance Increases Asymmetry of Crossing Step in Individuals With Parkinson’s Disease and Neurologically Healthy Individuals. </w:t>
      </w:r>
      <w:r w:rsidRPr="00A65B69">
        <w:rPr>
          <w:b/>
          <w:bCs/>
          <w:noProof/>
        </w:rPr>
        <w:t>Journal of Motor Behavior</w:t>
      </w:r>
      <w:r w:rsidRPr="00A65B69">
        <w:rPr>
          <w:noProof/>
        </w:rPr>
        <w:t xml:space="preserve">, v. 50, n. 1, p. 17–25, 2018b. </w:t>
      </w:r>
    </w:p>
    <w:p w14:paraId="6BFF0C8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BÄRTSCH, P.; SALTIN, B. General introduction to altitude adaptation and mountain sickness. </w:t>
      </w:r>
      <w:r w:rsidRPr="00A65B69">
        <w:rPr>
          <w:b/>
          <w:bCs/>
          <w:noProof/>
        </w:rPr>
        <w:t>Scandinavian journal of medicine &amp; science in sports</w:t>
      </w:r>
      <w:r w:rsidRPr="00A65B69">
        <w:rPr>
          <w:noProof/>
        </w:rPr>
        <w:t xml:space="preserve">, v. 18 Suppl 1, p. 1–10, 2008. </w:t>
      </w:r>
    </w:p>
    <w:p w14:paraId="3290A017"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BELIKOVA, M. V.; KOLESNIKOVA, E. E.; SEREBROVSKAYA, T. V. Intermittent Hypoxia and Experimental Parkinson’s Disease BT - Intermittent Hypoxia and Human Diseases. In: XI, L.; SEREBROVSKAYA, T. V (Eds.). . London: Springer London, 2012. p. 147–153. </w:t>
      </w:r>
    </w:p>
    <w:p w14:paraId="715A4E5F"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BENEDITO-SILVA, A. et al. </w:t>
      </w:r>
      <w:r w:rsidRPr="00A65B69">
        <w:rPr>
          <w:noProof/>
        </w:rPr>
        <w:t xml:space="preserve">A self-assessment for the determination of morningness–eveningness types in Brazil. </w:t>
      </w:r>
      <w:r w:rsidRPr="00A65B69">
        <w:rPr>
          <w:b/>
          <w:bCs/>
          <w:noProof/>
        </w:rPr>
        <w:t>Progress in clinical and biological research</w:t>
      </w:r>
      <w:r w:rsidRPr="00A65B69">
        <w:rPr>
          <w:noProof/>
        </w:rPr>
        <w:t xml:space="preserve">, v. 341B, p. 89–98, 1 fev. 1990. </w:t>
      </w:r>
    </w:p>
    <w:p w14:paraId="307D7F4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BHATIA, D. et al. Hypoxia and its Emerging Therapeutics in Neurodegenerative, Inflammatory and Renal Diseases. </w:t>
      </w:r>
      <w:r w:rsidRPr="00A65B69">
        <w:rPr>
          <w:b/>
          <w:bCs/>
          <w:noProof/>
        </w:rPr>
        <w:t>Hypoxia and Human Diseases</w:t>
      </w:r>
      <w:r w:rsidRPr="00A65B69">
        <w:rPr>
          <w:noProof/>
        </w:rPr>
        <w:t xml:space="preserve">, 2017. </w:t>
      </w:r>
    </w:p>
    <w:p w14:paraId="5989C9A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CARNEY, C. E. et al. The Consensus Sleep Diary: Standardizing Prospective Sleep Self-Monitoring. </w:t>
      </w:r>
      <w:r w:rsidRPr="00A65B69">
        <w:rPr>
          <w:b/>
          <w:bCs/>
          <w:noProof/>
        </w:rPr>
        <w:t>SLEEP</w:t>
      </w:r>
      <w:r w:rsidRPr="00A65B69">
        <w:rPr>
          <w:noProof/>
        </w:rPr>
        <w:t xml:space="preserve">, v. 35, n. 2, 2012. </w:t>
      </w:r>
    </w:p>
    <w:p w14:paraId="1609B7E1"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CESAR, K. G. et al. MoCA Test: normative and diagnostic accuracy data for seniors with heterogeneous educational levels in Brazil. </w:t>
      </w:r>
      <w:r w:rsidRPr="00A65B69">
        <w:rPr>
          <w:b/>
          <w:bCs/>
          <w:noProof/>
        </w:rPr>
        <w:t>Arquivos de neuro-psiquiatria</w:t>
      </w:r>
      <w:r w:rsidRPr="00A65B69">
        <w:rPr>
          <w:noProof/>
        </w:rPr>
        <w:t xml:space="preserve">, v. 77, n. 11, p. 775–781, 2019. </w:t>
      </w:r>
    </w:p>
    <w:p w14:paraId="0DDFECA9"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CHAUDHURI, K. R.; NAIDU, Y. Early Parkinson’s disease and non-motor issues. </w:t>
      </w:r>
      <w:r w:rsidRPr="00A65B69">
        <w:rPr>
          <w:b/>
          <w:bCs/>
          <w:noProof/>
        </w:rPr>
        <w:t>Journal of neurology</w:t>
      </w:r>
      <w:r w:rsidRPr="00A65B69">
        <w:rPr>
          <w:noProof/>
        </w:rPr>
        <w:t xml:space="preserve">, v. 255 Suppl, p. 33–38, set. 2008. </w:t>
      </w:r>
    </w:p>
    <w:p w14:paraId="6286D287" w14:textId="77777777" w:rsidR="00CF7A48" w:rsidRPr="00A65B69" w:rsidRDefault="00CF7A48" w:rsidP="00CF7A48">
      <w:pPr>
        <w:widowControl w:val="0"/>
        <w:autoSpaceDE w:val="0"/>
        <w:autoSpaceDN w:val="0"/>
        <w:adjustRightInd w:val="0"/>
        <w:spacing w:line="360" w:lineRule="auto"/>
        <w:rPr>
          <w:noProof/>
        </w:rPr>
      </w:pPr>
      <w:r w:rsidRPr="00A65B69">
        <w:rPr>
          <w:noProof/>
        </w:rPr>
        <w:lastRenderedPageBreak/>
        <w:t xml:space="preserve">CHEN, Q. et al. Iron deposition in Parkinson’s disease by quantitative susceptibility mapping. </w:t>
      </w:r>
      <w:r w:rsidRPr="00A65B69">
        <w:rPr>
          <w:b/>
          <w:bCs/>
          <w:noProof/>
        </w:rPr>
        <w:t>BMC Neuroscience</w:t>
      </w:r>
      <w:r w:rsidRPr="00A65B69">
        <w:rPr>
          <w:noProof/>
        </w:rPr>
        <w:t xml:space="preserve">, v. 20, n. 1, p. 1–8, 2019. </w:t>
      </w:r>
    </w:p>
    <w:p w14:paraId="69477BA7"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COLE, R. J. et al. Automatic sleep/wake identification from wrist activity. </w:t>
      </w:r>
      <w:r w:rsidRPr="00A65B69">
        <w:rPr>
          <w:b/>
          <w:bCs/>
          <w:noProof/>
        </w:rPr>
        <w:t>Sleep</w:t>
      </w:r>
      <w:r w:rsidRPr="00A65B69">
        <w:rPr>
          <w:noProof/>
        </w:rPr>
        <w:t xml:space="preserve">, v. 15, n. 5, p. 461–469, 1992. </w:t>
      </w:r>
    </w:p>
    <w:p w14:paraId="765FA41C"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COMELLA, C. L. Sleep Disorders in Parkinson’s Disease. </w:t>
      </w:r>
      <w:r w:rsidRPr="00A65B69">
        <w:rPr>
          <w:b/>
          <w:bCs/>
          <w:noProof/>
        </w:rPr>
        <w:t>Sleep Medicine Clinics</w:t>
      </w:r>
      <w:r w:rsidRPr="00A65B69">
        <w:rPr>
          <w:noProof/>
        </w:rPr>
        <w:t xml:space="preserve">, v. 3, n. 3, p. 325–335, 2008. </w:t>
      </w:r>
    </w:p>
    <w:p w14:paraId="4E27BC5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CORREIA, S. C.; MOREIRA, P. I. Hypoxia-inducible factor 1: A new hope to counteract neurodegeneration? </w:t>
      </w:r>
      <w:r w:rsidRPr="00A65B69">
        <w:rPr>
          <w:b/>
          <w:bCs/>
          <w:noProof/>
        </w:rPr>
        <w:t>Journal of Neurochemistry</w:t>
      </w:r>
      <w:r w:rsidRPr="00A65B69">
        <w:rPr>
          <w:noProof/>
        </w:rPr>
        <w:t xml:space="preserve">, v. 112, n. 1, p. 1–12, 2010. </w:t>
      </w:r>
    </w:p>
    <w:p w14:paraId="6570F3F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COSTA-MALLEN, P. et al. Brain Iron Concentrations in Regions of Interest and Relation with Serum Iron Levels in Parkinson Disease. </w:t>
      </w:r>
      <w:r w:rsidRPr="00A65B69">
        <w:rPr>
          <w:b/>
          <w:bCs/>
          <w:noProof/>
        </w:rPr>
        <w:t>J Neurol Sci</w:t>
      </w:r>
      <w:r w:rsidRPr="00A65B69">
        <w:rPr>
          <w:noProof/>
        </w:rPr>
        <w:t xml:space="preserve">, v. 72, n. 23, p. 2964–2979, 2018. </w:t>
      </w:r>
    </w:p>
    <w:p w14:paraId="394BA0C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CURTZE, C. et al. Levodopa Is a Double-Edged Sword for Balance and Gait in People With Parkinson’s Disease. </w:t>
      </w:r>
      <w:r w:rsidRPr="00A65B69">
        <w:rPr>
          <w:b/>
          <w:bCs/>
          <w:noProof/>
        </w:rPr>
        <w:t>Movement Disorders</w:t>
      </w:r>
      <w:r w:rsidRPr="00A65B69">
        <w:rPr>
          <w:noProof/>
        </w:rPr>
        <w:t xml:space="preserve">, v. 30, n. 10, p. 1361–1370, 2015. </w:t>
      </w:r>
    </w:p>
    <w:p w14:paraId="25638A32"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DALE, E. A.; BEN MABROUK, F.; MITCHELL, G. S. Unexpected benefits of intermittent hypoxia: Enhanced respiratory and nonrespiratory motor function. </w:t>
      </w:r>
      <w:r w:rsidRPr="00A65B69">
        <w:rPr>
          <w:b/>
          <w:bCs/>
          <w:noProof/>
        </w:rPr>
        <w:t>Physiology</w:t>
      </w:r>
      <w:r w:rsidRPr="00A65B69">
        <w:rPr>
          <w:noProof/>
        </w:rPr>
        <w:t xml:space="preserve">, v. 29, n. 1, p. 39–48, 2014. </w:t>
      </w:r>
    </w:p>
    <w:p w14:paraId="76B977D4"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DE OLIVEIRA, M. et al. A preliminary study of the concentration of metallic elements in the blood of patients with multiple sclerosis as measured by ICP-MS. </w:t>
      </w:r>
      <w:r w:rsidRPr="00A65B69">
        <w:rPr>
          <w:b/>
          <w:bCs/>
          <w:noProof/>
          <w:lang w:val="pt-BR"/>
        </w:rPr>
        <w:t>Scientific Reports</w:t>
      </w:r>
      <w:r w:rsidRPr="00A65B69">
        <w:rPr>
          <w:noProof/>
          <w:lang w:val="pt-BR"/>
        </w:rPr>
        <w:t xml:space="preserve">, v. 10, n. 1, p. 13112, dez. 2020. </w:t>
      </w:r>
    </w:p>
    <w:p w14:paraId="4436EDC9"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DE SOUZA, L. et al. </w:t>
      </w:r>
      <w:r w:rsidRPr="00A65B69">
        <w:rPr>
          <w:noProof/>
        </w:rPr>
        <w:t xml:space="preserve">Further Validation of Actigraphy for Sleep Studies SLEEP EVALUATION IN HUMANS HAS BEEN USUALLY PER. </w:t>
      </w:r>
      <w:r w:rsidRPr="00A65B69">
        <w:rPr>
          <w:b/>
          <w:bCs/>
          <w:noProof/>
        </w:rPr>
        <w:t>Sleep (Rochester)</w:t>
      </w:r>
      <w:r w:rsidRPr="00A65B69">
        <w:rPr>
          <w:noProof/>
        </w:rPr>
        <w:t xml:space="preserve">, v. 26, n. 1, p. 81–5, 2003. </w:t>
      </w:r>
    </w:p>
    <w:p w14:paraId="0A4D15E9"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DEVOS, D. et al. Targeting chelatable iron as a therapeutic modality in Parkinson’s disease. </w:t>
      </w:r>
      <w:r w:rsidRPr="00A65B69">
        <w:rPr>
          <w:b/>
          <w:bCs/>
          <w:noProof/>
          <w:lang w:val="pt-BR"/>
        </w:rPr>
        <w:t>Antioxidants &amp; redox signaling</w:t>
      </w:r>
      <w:r w:rsidRPr="00A65B69">
        <w:rPr>
          <w:noProof/>
          <w:lang w:val="pt-BR"/>
        </w:rPr>
        <w:t xml:space="preserve">, v. 21, n. 2, p. 195–210, jul. 2014. </w:t>
      </w:r>
    </w:p>
    <w:p w14:paraId="4A4E2F9C"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DOS SANTOS, P. C. R. et al. </w:t>
      </w:r>
      <w:r w:rsidRPr="00A65B69">
        <w:rPr>
          <w:noProof/>
        </w:rPr>
        <w:t xml:space="preserve">Age-specific modulation of intermuscular beta coherence during gait before and after experimentally induced fatigue. </w:t>
      </w:r>
      <w:r w:rsidRPr="00A65B69">
        <w:rPr>
          <w:b/>
          <w:bCs/>
          <w:noProof/>
        </w:rPr>
        <w:t>Scientific Reports</w:t>
      </w:r>
      <w:r w:rsidRPr="00A65B69">
        <w:rPr>
          <w:noProof/>
        </w:rPr>
        <w:t xml:space="preserve">, v. 10, n. 1, p. 1–12, 2020. </w:t>
      </w:r>
    </w:p>
    <w:p w14:paraId="348554B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FAHN, S. UPDRS program members. Unified Parkinson’s disease rating scale. v. 2, p. 153–163, 1987. </w:t>
      </w:r>
    </w:p>
    <w:p w14:paraId="7A0F5FD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FARAGUNA, U. et al. A Causal Role for Brain-Derived Neurotrophic Factor in the Homeostatic Regulation of Sleep. </w:t>
      </w:r>
      <w:r w:rsidRPr="00A65B69">
        <w:rPr>
          <w:b/>
          <w:bCs/>
          <w:noProof/>
        </w:rPr>
        <w:t>The Journal of neuroscience : the official journal of the Society for Neuroscience</w:t>
      </w:r>
      <w:r w:rsidRPr="00A65B69">
        <w:rPr>
          <w:noProof/>
        </w:rPr>
        <w:t xml:space="preserve">, v. 28, p. 4088–4095, 2008. </w:t>
      </w:r>
    </w:p>
    <w:p w14:paraId="3ADCD53C"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FASANO, A. et al. Falls in Parkinson’s disease: A complex and evolving picture. </w:t>
      </w:r>
      <w:r w:rsidRPr="00A65B69">
        <w:rPr>
          <w:b/>
          <w:bCs/>
          <w:noProof/>
        </w:rPr>
        <w:t>Movement Disorders</w:t>
      </w:r>
      <w:r w:rsidRPr="00A65B69">
        <w:rPr>
          <w:noProof/>
        </w:rPr>
        <w:t xml:space="preserve">, v. 32, n. 11, p. 1524–1536, 2017. </w:t>
      </w:r>
    </w:p>
    <w:p w14:paraId="44ED2AB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FERNANDES, B. et al. High-Intensity Interval Versus Moderate-Intensity Continuous Training in  Individuals With Parkinson’s Disease: Hemodynamic and Functional Adaptation. </w:t>
      </w:r>
      <w:r w:rsidRPr="00A65B69">
        <w:rPr>
          <w:b/>
          <w:bCs/>
          <w:noProof/>
        </w:rPr>
        <w:t xml:space="preserve">Journal of </w:t>
      </w:r>
      <w:r w:rsidRPr="00A65B69">
        <w:rPr>
          <w:b/>
          <w:bCs/>
          <w:noProof/>
        </w:rPr>
        <w:lastRenderedPageBreak/>
        <w:t>physical activity &amp; health</w:t>
      </w:r>
      <w:r w:rsidRPr="00A65B69">
        <w:rPr>
          <w:noProof/>
        </w:rPr>
        <w:t xml:space="preserve">, v. 17, n. 1, p. 85–91, jan. 2020. </w:t>
      </w:r>
    </w:p>
    <w:p w14:paraId="598BEEF1"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FERNANDES, B. et al. Hemodynamic response to exercise is impaired in individuals with Parkinson’s disease. </w:t>
      </w:r>
      <w:r w:rsidRPr="00A65B69">
        <w:rPr>
          <w:b/>
          <w:bCs/>
          <w:noProof/>
        </w:rPr>
        <w:t>The Journal of Sports Medicine and Physical Fitness</w:t>
      </w:r>
      <w:r w:rsidRPr="00A65B69">
        <w:rPr>
          <w:noProof/>
        </w:rPr>
        <w:t xml:space="preserve">, v. 62, n. 3, jan. 2022. </w:t>
      </w:r>
    </w:p>
    <w:p w14:paraId="685A6C30"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FERNÁNDEZ MENÉNDEZ, A. et al. </w:t>
      </w:r>
      <w:r w:rsidRPr="00A65B69">
        <w:rPr>
          <w:noProof/>
        </w:rPr>
        <w:t xml:space="preserve">Effects of Short-Term Normobaric Hypoxic Walking Training on Energetics and Mechanics of Gait in Adults with Obesity. </w:t>
      </w:r>
      <w:r w:rsidRPr="00A65B69">
        <w:rPr>
          <w:b/>
          <w:bCs/>
          <w:noProof/>
        </w:rPr>
        <w:t>Obesity</w:t>
      </w:r>
      <w:r w:rsidRPr="00A65B69">
        <w:rPr>
          <w:noProof/>
        </w:rPr>
        <w:t xml:space="preserve">, v. 26, n. 5, p. 819–827, 2018. </w:t>
      </w:r>
    </w:p>
    <w:p w14:paraId="6FF56911"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FRAZZITTA, G. et al. Multidisciplinary intensive rehabilitation treatment improves sleep quality in Parkinson’s disease. </w:t>
      </w:r>
      <w:r w:rsidRPr="00A65B69">
        <w:rPr>
          <w:b/>
          <w:bCs/>
          <w:noProof/>
        </w:rPr>
        <w:t>Journal of Clinical Movement Disorders</w:t>
      </w:r>
      <w:r w:rsidRPr="00A65B69">
        <w:rPr>
          <w:noProof/>
        </w:rPr>
        <w:t xml:space="preserve">, v. 2, n. 1, p. 4–11, 2015. </w:t>
      </w:r>
    </w:p>
    <w:p w14:paraId="34CCA62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FRENCH, I. T.; MUTHUSAMY, K. A. A review of sleep and its disorders in patients with Parkinson’s disease in relation to various brain structures. </w:t>
      </w:r>
      <w:r w:rsidRPr="00A65B69">
        <w:rPr>
          <w:b/>
          <w:bCs/>
          <w:noProof/>
        </w:rPr>
        <w:t>Frontiers in Aging Neuroscience</w:t>
      </w:r>
      <w:r w:rsidRPr="00A65B69">
        <w:rPr>
          <w:noProof/>
        </w:rPr>
        <w:t xml:space="preserve">, v. 8, n. MAY, p. 1–17, 2016. </w:t>
      </w:r>
    </w:p>
    <w:p w14:paraId="2A0E7B6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GALNA, B.; MURPHY, A. T.; MORRIS, M. E. Obstacle crossing in people with Parkinson’s disease: Foot clearance and spatiotemporal deficits. </w:t>
      </w:r>
      <w:r w:rsidRPr="00A65B69">
        <w:rPr>
          <w:b/>
          <w:bCs/>
          <w:noProof/>
        </w:rPr>
        <w:t>Human Movement Science</w:t>
      </w:r>
      <w:r w:rsidRPr="00A65B69">
        <w:rPr>
          <w:noProof/>
        </w:rPr>
        <w:t xml:space="preserve">, v. 29, n. 5, p. 843–852, 2010. </w:t>
      </w:r>
    </w:p>
    <w:p w14:paraId="08A0434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GIRARD, O. et al. Gait asymmetries during perceptually-regulated interval running in hypoxia and normoxia. </w:t>
      </w:r>
      <w:r w:rsidRPr="00A65B69">
        <w:rPr>
          <w:b/>
          <w:bCs/>
          <w:noProof/>
        </w:rPr>
        <w:t>Sports Biomechanics</w:t>
      </w:r>
      <w:r w:rsidRPr="00A65B69">
        <w:rPr>
          <w:noProof/>
        </w:rPr>
        <w:t xml:space="preserve">, v. 00, n. 00, p. 1–17, 2021. </w:t>
      </w:r>
    </w:p>
    <w:p w14:paraId="0742E5F9"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GIRARD, O.; BROCHERIE, F.; MILLET, G. P. Effects of Altitude/Hypoxia on Single- and Multiple-Sprint Performance: A Comprehensive Review. </w:t>
      </w:r>
      <w:r w:rsidRPr="00A65B69">
        <w:rPr>
          <w:b/>
          <w:bCs/>
          <w:noProof/>
          <w:lang w:val="pt-BR"/>
        </w:rPr>
        <w:t>Sports Medicine</w:t>
      </w:r>
      <w:r w:rsidRPr="00A65B69">
        <w:rPr>
          <w:noProof/>
          <w:lang w:val="pt-BR"/>
        </w:rPr>
        <w:t xml:space="preserve">, v. 47, n. 10, p. 1931–1949, 2017. </w:t>
      </w:r>
    </w:p>
    <w:p w14:paraId="2C7D44BF"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GOBBI, L. T. B.; BARBIERI, F. A.; VITÓRIO, R. Doença de Parkinson e Exercício Físico. </w:t>
      </w:r>
      <w:r w:rsidRPr="00A65B69">
        <w:rPr>
          <w:b/>
          <w:bCs/>
          <w:noProof/>
        </w:rPr>
        <w:t>Editora CRV</w:t>
      </w:r>
      <w:r w:rsidRPr="00A65B69">
        <w:rPr>
          <w:noProof/>
        </w:rPr>
        <w:t xml:space="preserve">, 2014. </w:t>
      </w:r>
    </w:p>
    <w:p w14:paraId="5CC30B3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GUAN, X. et al. Influence of regional iron on the motor impairments of Parkinson’s disease: A quantitative susceptibility mapping study. </w:t>
      </w:r>
      <w:r w:rsidRPr="00A65B69">
        <w:rPr>
          <w:b/>
          <w:bCs/>
          <w:noProof/>
        </w:rPr>
        <w:t>Journal of Magnetic Resonance Imaging</w:t>
      </w:r>
      <w:r w:rsidRPr="00A65B69">
        <w:rPr>
          <w:noProof/>
        </w:rPr>
        <w:t xml:space="preserve">, v. 45, n. 5, p. 1335–1342, 2017. </w:t>
      </w:r>
    </w:p>
    <w:p w14:paraId="4191D67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HADOUSH, H. et al. Melatonin and dopamine serum level associations with the motor, cognitive, and sleep dysfunctions in patients with Parkinson’s disease: A cross-sectional research study roof. </w:t>
      </w:r>
      <w:r w:rsidRPr="00A65B69">
        <w:rPr>
          <w:b/>
          <w:bCs/>
          <w:noProof/>
        </w:rPr>
        <w:t>NeuroRehabilitation</w:t>
      </w:r>
      <w:r w:rsidRPr="00A65B69">
        <w:rPr>
          <w:noProof/>
        </w:rPr>
        <w:t xml:space="preserve">, v. 46, n. 4, p. X–XX, 2020. </w:t>
      </w:r>
    </w:p>
    <w:p w14:paraId="12DD170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HALSON, S. L. Sleep Monitoring in Athletes: Motivation, Methods, Miscalculations and Why it Matters. </w:t>
      </w:r>
      <w:r w:rsidRPr="00A65B69">
        <w:rPr>
          <w:b/>
          <w:bCs/>
          <w:noProof/>
        </w:rPr>
        <w:t>Sports Medicine</w:t>
      </w:r>
      <w:r w:rsidRPr="00A65B69">
        <w:rPr>
          <w:noProof/>
        </w:rPr>
        <w:t xml:space="preserve">, v. 49, n. 10, p. 1487–1497, 2019. </w:t>
      </w:r>
    </w:p>
    <w:p w14:paraId="46CA31AD"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HARTMANN, G. et al. High altitude increases circulating interleukin-6, interleukin-1 receptor antagonist and C-reactive protein. </w:t>
      </w:r>
      <w:r w:rsidRPr="00A65B69">
        <w:rPr>
          <w:b/>
          <w:bCs/>
          <w:noProof/>
        </w:rPr>
        <w:t>Cytokine</w:t>
      </w:r>
      <w:r w:rsidRPr="00A65B69">
        <w:rPr>
          <w:noProof/>
        </w:rPr>
        <w:t xml:space="preserve">, v. 12, n. 3, p. 246–252, 2000. </w:t>
      </w:r>
    </w:p>
    <w:p w14:paraId="55E09F86"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HAUSDORFF, J. M.; RIOS, D. A.; EDELBERG, H. K. Gait variability and fall risk in community-living older adults: A 1-year prospective study. </w:t>
      </w:r>
      <w:r w:rsidRPr="00A65B69">
        <w:rPr>
          <w:b/>
          <w:bCs/>
          <w:noProof/>
        </w:rPr>
        <w:t xml:space="preserve">Archives of Physical Medicine and </w:t>
      </w:r>
      <w:r w:rsidRPr="00A65B69">
        <w:rPr>
          <w:b/>
          <w:bCs/>
          <w:noProof/>
        </w:rPr>
        <w:lastRenderedPageBreak/>
        <w:t>Rehabilitation</w:t>
      </w:r>
      <w:r w:rsidRPr="00A65B69">
        <w:rPr>
          <w:noProof/>
        </w:rPr>
        <w:t xml:space="preserve">, v. 82, n. 8, p. 1050–1056, 2001. </w:t>
      </w:r>
    </w:p>
    <w:p w14:paraId="2554C42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HAYES, H. B. et al. Daily intermittent hypoxia enhances walking after chronic spinal cord injury A randomized trial. </w:t>
      </w:r>
      <w:r w:rsidRPr="00A65B69">
        <w:rPr>
          <w:b/>
          <w:bCs/>
          <w:noProof/>
        </w:rPr>
        <w:t>Neurology</w:t>
      </w:r>
      <w:r w:rsidRPr="00A65B69">
        <w:rPr>
          <w:noProof/>
        </w:rPr>
        <w:t xml:space="preserve">, v. 82, n. 2, p. 104–113, 2014. </w:t>
      </w:r>
    </w:p>
    <w:p w14:paraId="3FF6CCC9"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HEINONEN, I. H. A.; BOUSHEL, R.; KALLIOKOSKI, K. K. The circulatory and metabolic responses to hypoxia in humans - with special reference to adipose tissue physiology and obesity. </w:t>
      </w:r>
      <w:r w:rsidRPr="00A65B69">
        <w:rPr>
          <w:b/>
          <w:bCs/>
          <w:noProof/>
        </w:rPr>
        <w:t>Frontiers in Endocrinology</w:t>
      </w:r>
      <w:r w:rsidRPr="00A65B69">
        <w:rPr>
          <w:noProof/>
        </w:rPr>
        <w:t xml:space="preserve">, v. 7, n. AUG, p. 1–6, 2016. </w:t>
      </w:r>
    </w:p>
    <w:p w14:paraId="7A1B1E12"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HUGHES, A. J. et al. Accuracy of clinical diagnosis of idiopathic Parkinson ’ s disease : a clinico-pathological study of 100 cases. </w:t>
      </w:r>
      <w:r w:rsidRPr="00A65B69">
        <w:rPr>
          <w:b/>
          <w:bCs/>
          <w:noProof/>
        </w:rPr>
        <w:t>Journal of neurology, neurosurgery, and psychiatry</w:t>
      </w:r>
      <w:r w:rsidRPr="00A65B69">
        <w:rPr>
          <w:noProof/>
        </w:rPr>
        <w:t xml:space="preserve">, v. 55, p. 181–184, 1992. </w:t>
      </w:r>
    </w:p>
    <w:p w14:paraId="7D5D9DA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HUGHES, A. J. et al. The accuracy of diagnosis of parkinsonian syndromes in a specialist movement disorder service. </w:t>
      </w:r>
      <w:r w:rsidRPr="00A65B69">
        <w:rPr>
          <w:b/>
          <w:bCs/>
          <w:noProof/>
        </w:rPr>
        <w:t>Brain</w:t>
      </w:r>
      <w:r w:rsidRPr="00A65B69">
        <w:rPr>
          <w:noProof/>
        </w:rPr>
        <w:t xml:space="preserve">, v. 125, n. 4, p. 861–870, 2002. </w:t>
      </w:r>
    </w:p>
    <w:p w14:paraId="0B773A3D"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JULIFF, L. E. et al. Longer sleep durations are positively associated with finishing place during a national multiday netball competition. </w:t>
      </w:r>
      <w:r w:rsidRPr="00A65B69">
        <w:rPr>
          <w:b/>
          <w:bCs/>
          <w:noProof/>
        </w:rPr>
        <w:t>Journal of Strength and Conditioning Research</w:t>
      </w:r>
      <w:r w:rsidRPr="00A65B69">
        <w:rPr>
          <w:noProof/>
        </w:rPr>
        <w:t xml:space="preserve">, v. 32, n. 1, p. 189–194, 2018. </w:t>
      </w:r>
    </w:p>
    <w:p w14:paraId="7801ECC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KAUR, D. et al. Genetic or pharmacological iron chelation prevents MPTP-induced neurotoxicity in  vivo: a novel therapy for Parkinson’s disease. </w:t>
      </w:r>
      <w:r w:rsidRPr="00A65B69">
        <w:rPr>
          <w:b/>
          <w:bCs/>
          <w:noProof/>
        </w:rPr>
        <w:t>Neuron</w:t>
      </w:r>
      <w:r w:rsidRPr="00A65B69">
        <w:rPr>
          <w:noProof/>
        </w:rPr>
        <w:t xml:space="preserve">, v. 37, n. 6, p. 899–909, mar. 2003. </w:t>
      </w:r>
    </w:p>
    <w:p w14:paraId="7CE59E7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KELOTH, S. M. et al. Muscle activation strategies of people with early-stage Parkinson’s during walking. </w:t>
      </w:r>
      <w:r w:rsidRPr="00A65B69">
        <w:rPr>
          <w:b/>
          <w:bCs/>
          <w:noProof/>
        </w:rPr>
        <w:t>Journal of NeuroEngineering and Rehabilitation</w:t>
      </w:r>
      <w:r w:rsidRPr="00A65B69">
        <w:rPr>
          <w:noProof/>
        </w:rPr>
        <w:t xml:space="preserve">, v. 18, n. 1, p. 1–15, 2021. </w:t>
      </w:r>
    </w:p>
    <w:p w14:paraId="0FFCB44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KIM, R. et al. REM sleep behavior disorder predicts functional dependency in early Parkinson’s disease. </w:t>
      </w:r>
      <w:r w:rsidRPr="00A65B69">
        <w:rPr>
          <w:b/>
          <w:bCs/>
          <w:noProof/>
        </w:rPr>
        <w:t>Parkinsonism and Related Disorders</w:t>
      </w:r>
      <w:r w:rsidRPr="00A65B69">
        <w:rPr>
          <w:noProof/>
        </w:rPr>
        <w:t xml:space="preserve">, v. 66, n. July 2010, p. 138–142, 2019. </w:t>
      </w:r>
    </w:p>
    <w:p w14:paraId="6C9C4C5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KIM, S.; LEE, M.; CHOI, Y. K. The role of a neurovascular signaling pathway involving hypoxia-inducible factor and notch in the function of the central nervous system. </w:t>
      </w:r>
      <w:r w:rsidRPr="00A65B69">
        <w:rPr>
          <w:b/>
          <w:bCs/>
          <w:noProof/>
        </w:rPr>
        <w:t>Biomolecules and Therapeutics</w:t>
      </w:r>
      <w:r w:rsidRPr="00A65B69">
        <w:rPr>
          <w:noProof/>
        </w:rPr>
        <w:t xml:space="preserve">, v. 28, n. 1, p. 45–57, 2020. </w:t>
      </w:r>
    </w:p>
    <w:p w14:paraId="432AD72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KLEINER, A. et al. The Parkinsonian Gait Spatiotemporal Parameters Quantified by a Single Inertial Sensor before and after Automated Mechanical Peripheral Stimulation Treatment. </w:t>
      </w:r>
      <w:r w:rsidRPr="00A65B69">
        <w:rPr>
          <w:b/>
          <w:bCs/>
          <w:noProof/>
        </w:rPr>
        <w:t>Parkinson’s Disease</w:t>
      </w:r>
      <w:r w:rsidRPr="00A65B69">
        <w:rPr>
          <w:noProof/>
        </w:rPr>
        <w:t xml:space="preserve">, v. 2015, 2015. </w:t>
      </w:r>
    </w:p>
    <w:p w14:paraId="5D8C590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KOLESNIKOVA, E. É. et al. Aging- and experimental mitochondrial dysfunction-related modifications of energy metabolism in brainstem neurons. </w:t>
      </w:r>
      <w:r w:rsidRPr="00A65B69">
        <w:rPr>
          <w:b/>
          <w:bCs/>
          <w:noProof/>
        </w:rPr>
        <w:t>Neurophysiology</w:t>
      </w:r>
      <w:r w:rsidRPr="00A65B69">
        <w:rPr>
          <w:noProof/>
        </w:rPr>
        <w:t xml:space="preserve">, v. 44, n. 1, p. 14–19, 2012. </w:t>
      </w:r>
    </w:p>
    <w:p w14:paraId="6C3FDF9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LEE, D. W. et al. Inhibition of prolyl hydroxylase protects against  1-methyl-4-phenyl-1,2,3,6-tetrahydropyridine-induced neurotoxicity: model for the potential involvement of the hypoxia-inducible factor pathway in Parkinson disease. </w:t>
      </w:r>
      <w:r w:rsidRPr="00A65B69">
        <w:rPr>
          <w:b/>
          <w:bCs/>
          <w:noProof/>
        </w:rPr>
        <w:t>The Journal of biological chemistry</w:t>
      </w:r>
      <w:r w:rsidRPr="00A65B69">
        <w:rPr>
          <w:noProof/>
        </w:rPr>
        <w:t xml:space="preserve">, v. 284, n. 42, p. 29065–29076, out. 2009. </w:t>
      </w:r>
    </w:p>
    <w:p w14:paraId="6971AEB2"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LEE, J. H.; KIM, Y.; KIM, Y. L. Non-pharmacological therapies for sleep disturbances in people </w:t>
      </w:r>
      <w:r w:rsidRPr="00A65B69">
        <w:rPr>
          <w:noProof/>
        </w:rPr>
        <w:lastRenderedPageBreak/>
        <w:t xml:space="preserve">with Parkinson’s disease: A systematic review. </w:t>
      </w:r>
      <w:r w:rsidRPr="00A65B69">
        <w:rPr>
          <w:b/>
          <w:bCs/>
          <w:noProof/>
        </w:rPr>
        <w:t>Journal of Advanced Nursing</w:t>
      </w:r>
      <w:r w:rsidRPr="00A65B69">
        <w:rPr>
          <w:noProof/>
        </w:rPr>
        <w:t xml:space="preserve">, v. 74, n. 8, p. 1741–1751, 2018. </w:t>
      </w:r>
    </w:p>
    <w:p w14:paraId="4947D2D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LÖKK, J. The effects of mountain exercise in Parkinsonian persons - A preliminary study. </w:t>
      </w:r>
      <w:r w:rsidRPr="00A65B69">
        <w:rPr>
          <w:b/>
          <w:bCs/>
          <w:noProof/>
        </w:rPr>
        <w:t>Archives of Gerontology and Geriatrics</w:t>
      </w:r>
      <w:r w:rsidRPr="00A65B69">
        <w:rPr>
          <w:noProof/>
        </w:rPr>
        <w:t xml:space="preserve">, v. 31, n. 1, p. 19–25, 2000. </w:t>
      </w:r>
    </w:p>
    <w:p w14:paraId="63700BFF"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LUNDH, A.; GØTZSCHE, P. C. Recommendations by Cochrane Review Groups for assessment of the risk of bias in studies. </w:t>
      </w:r>
      <w:r w:rsidRPr="00A65B69">
        <w:rPr>
          <w:b/>
          <w:bCs/>
          <w:noProof/>
        </w:rPr>
        <w:t>BMC Medical Research Methodology</w:t>
      </w:r>
      <w:r w:rsidRPr="00A65B69">
        <w:rPr>
          <w:noProof/>
        </w:rPr>
        <w:t xml:space="preserve">, v. 8, p. 1–9, 2008. </w:t>
      </w:r>
    </w:p>
    <w:p w14:paraId="5C890E9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MARTIN-BASTIDA, A. et al. Brain iron chelation by deferiprone in a phase 2 randomised double-blinded  placebo controlled clinical trial in Parkinson’s disease. </w:t>
      </w:r>
      <w:r w:rsidRPr="00A65B69">
        <w:rPr>
          <w:b/>
          <w:bCs/>
          <w:noProof/>
        </w:rPr>
        <w:t>Scientific reports</w:t>
      </w:r>
      <w:r w:rsidRPr="00A65B69">
        <w:rPr>
          <w:noProof/>
        </w:rPr>
        <w:t xml:space="preserve">, v. 7, n. 1, p. 1398, maio 2017. </w:t>
      </w:r>
    </w:p>
    <w:p w14:paraId="11010E8C"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MAZZETTA, I. et al. Wearable sensors system for an improved analysis of freezing of gait in Parkinson’s disease using electromyography and inertial signals. </w:t>
      </w:r>
      <w:r w:rsidRPr="00A65B69">
        <w:rPr>
          <w:b/>
          <w:bCs/>
          <w:noProof/>
        </w:rPr>
        <w:t>Sensors (Switzerland)</w:t>
      </w:r>
      <w:r w:rsidRPr="00A65B69">
        <w:rPr>
          <w:noProof/>
        </w:rPr>
        <w:t xml:space="preserve">, v. 19, n. 4, 2019. </w:t>
      </w:r>
    </w:p>
    <w:p w14:paraId="7097CEF9"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MERLETTI, R.; HERMENS, H.; KADEFORS, R. EUROPEAN COMMUNITY PROJECTS ON SURFACE ELECTROMYOGRAPHY. </w:t>
      </w:r>
      <w:r w:rsidRPr="00A65B69">
        <w:rPr>
          <w:b/>
          <w:bCs/>
          <w:noProof/>
        </w:rPr>
        <w:t>Conference Proceedings of the 23rd Annual International Conference of the IEEE Engineering in Medicine and Biology Society</w:t>
      </w:r>
      <w:r w:rsidRPr="00A65B69">
        <w:rPr>
          <w:noProof/>
        </w:rPr>
        <w:t xml:space="preserve">, 2001. </w:t>
      </w:r>
    </w:p>
    <w:p w14:paraId="0AEC168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MOCHIZUKI, H.; CHOONG, C. J.; BABA, K. Parkinson’s disease and iron. </w:t>
      </w:r>
      <w:r w:rsidRPr="00A65B69">
        <w:rPr>
          <w:b/>
          <w:bCs/>
          <w:noProof/>
        </w:rPr>
        <w:t>Journal of Neural Transmission</w:t>
      </w:r>
      <w:r w:rsidRPr="00A65B69">
        <w:rPr>
          <w:noProof/>
        </w:rPr>
        <w:t xml:space="preserve">, v. 127, n. 2, p. 181–187, 2020. </w:t>
      </w:r>
    </w:p>
    <w:p w14:paraId="1E29EEE0"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MOHER, D. et al. Preferred reporting items for systematic reviews and meta-analyses: The PRISMA statement. </w:t>
      </w:r>
      <w:r w:rsidRPr="00A65B69">
        <w:rPr>
          <w:b/>
          <w:bCs/>
          <w:noProof/>
        </w:rPr>
        <w:t>International Journal of Surgery</w:t>
      </w:r>
      <w:r w:rsidRPr="00A65B69">
        <w:rPr>
          <w:noProof/>
        </w:rPr>
        <w:t xml:space="preserve">, v. 8, n. 5, p. 336–341, 2010. </w:t>
      </w:r>
    </w:p>
    <w:p w14:paraId="49BDBE13"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MONTEIRO, E. P. et al. </w:t>
      </w:r>
      <w:r w:rsidRPr="00A65B69">
        <w:rPr>
          <w:noProof/>
          <w:lang w:val="pt-BR"/>
        </w:rPr>
        <w:t xml:space="preserve">Aspectos biomecânicos da locomoção de pessoas com doença de Parkinson: revisão narrativa. </w:t>
      </w:r>
      <w:r w:rsidRPr="00A65B69">
        <w:rPr>
          <w:b/>
          <w:bCs/>
          <w:noProof/>
          <w:lang w:val="pt-BR"/>
        </w:rPr>
        <w:t>Revista Brasileira de Ciencias do Esporte</w:t>
      </w:r>
      <w:r w:rsidRPr="00A65B69">
        <w:rPr>
          <w:noProof/>
          <w:lang w:val="pt-BR"/>
        </w:rPr>
        <w:t xml:space="preserve">, v. 39, n. 4, p. 450–457, 2017. </w:t>
      </w:r>
    </w:p>
    <w:p w14:paraId="0F31A94F"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MOORE, S. T. et al. </w:t>
      </w:r>
      <w:r w:rsidRPr="00A65B69">
        <w:rPr>
          <w:noProof/>
        </w:rPr>
        <w:t xml:space="preserve">Locomotor response to levodopa in fluctuating Parkinson’s disease. </w:t>
      </w:r>
      <w:r w:rsidRPr="00A65B69">
        <w:rPr>
          <w:b/>
          <w:bCs/>
          <w:noProof/>
        </w:rPr>
        <w:t>Experimental Brain Research</w:t>
      </w:r>
      <w:r w:rsidRPr="00A65B69">
        <w:rPr>
          <w:noProof/>
        </w:rPr>
        <w:t xml:space="preserve">, v. 184, n. 4, p. 469–478, 2008. </w:t>
      </w:r>
    </w:p>
    <w:p w14:paraId="7F38FD5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NADUTHOTA, R. M. et al. Association of freezing of gait with nigral iron accumulation in patients with Parkinson’s disease. </w:t>
      </w:r>
      <w:r w:rsidRPr="00A65B69">
        <w:rPr>
          <w:b/>
          <w:bCs/>
          <w:noProof/>
        </w:rPr>
        <w:t>Journal of the Neurological Sciences</w:t>
      </w:r>
      <w:r w:rsidRPr="00A65B69">
        <w:rPr>
          <w:noProof/>
        </w:rPr>
        <w:t xml:space="preserve">, v. 382, n. August, p. 61–65, 2017. </w:t>
      </w:r>
    </w:p>
    <w:p w14:paraId="485BAA94"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NAVARRETE-OPAZO, A.; MITCHELL, G. S. Therapeutic potential of intermittent hypoxia: A matter of dose. </w:t>
      </w:r>
      <w:r w:rsidRPr="00A65B69">
        <w:rPr>
          <w:b/>
          <w:bCs/>
          <w:noProof/>
        </w:rPr>
        <w:t>American Journal of Physiology - Regulatory Integrative and Comparative Physiology</w:t>
      </w:r>
      <w:r w:rsidRPr="00A65B69">
        <w:rPr>
          <w:noProof/>
        </w:rPr>
        <w:t xml:space="preserve">, v. 307, n. 10, p. R1181–R1197, 2014. </w:t>
      </w:r>
    </w:p>
    <w:p w14:paraId="7FABBD9D" w14:textId="77777777" w:rsidR="00CF7A48" w:rsidRPr="00A65B69" w:rsidRDefault="00CF7A48" w:rsidP="00CF7A48">
      <w:pPr>
        <w:widowControl w:val="0"/>
        <w:autoSpaceDE w:val="0"/>
        <w:autoSpaceDN w:val="0"/>
        <w:adjustRightInd w:val="0"/>
        <w:spacing w:line="360" w:lineRule="auto"/>
        <w:rPr>
          <w:noProof/>
        </w:rPr>
      </w:pPr>
      <w:r w:rsidRPr="00A65B69">
        <w:rPr>
          <w:noProof/>
          <w:lang w:val="pt-BR"/>
        </w:rPr>
        <w:t xml:space="preserve">NÓBREGA, J. A. et al. </w:t>
      </w:r>
      <w:r w:rsidRPr="00A65B69">
        <w:rPr>
          <w:noProof/>
        </w:rPr>
        <w:t xml:space="preserve">Microwave-assisted digestion of organic samples: How simple can it become? </w:t>
      </w:r>
      <w:r w:rsidRPr="00A65B69">
        <w:rPr>
          <w:b/>
          <w:bCs/>
          <w:noProof/>
        </w:rPr>
        <w:t>Talanta</w:t>
      </w:r>
      <w:r w:rsidRPr="00A65B69">
        <w:rPr>
          <w:noProof/>
        </w:rPr>
        <w:t xml:space="preserve">, v. 98, p. 272–276, 2012. </w:t>
      </w:r>
    </w:p>
    <w:p w14:paraId="7A9625AB"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OBESO, J. A. et al. Functional organization of the basal ganglia: Therapeutic implications for Parkinson’s disease. </w:t>
      </w:r>
      <w:r w:rsidRPr="00A65B69">
        <w:rPr>
          <w:b/>
          <w:bCs/>
          <w:noProof/>
        </w:rPr>
        <w:t>Movement Disorders</w:t>
      </w:r>
      <w:r w:rsidRPr="00A65B69">
        <w:rPr>
          <w:noProof/>
        </w:rPr>
        <w:t xml:space="preserve">, v. 23, n. SUPPL. 3, p. 548–559, 2008. </w:t>
      </w:r>
    </w:p>
    <w:p w14:paraId="6D301837"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OLANOW, C. W.; STOCCHI, F. Levodopa: A new look at an old friend. </w:t>
      </w:r>
      <w:r w:rsidRPr="00A65B69">
        <w:rPr>
          <w:b/>
          <w:bCs/>
          <w:noProof/>
        </w:rPr>
        <w:t>Movement Disorders</w:t>
      </w:r>
      <w:r w:rsidRPr="00A65B69">
        <w:rPr>
          <w:noProof/>
        </w:rPr>
        <w:t xml:space="preserve">, </w:t>
      </w:r>
      <w:r w:rsidRPr="00A65B69">
        <w:rPr>
          <w:noProof/>
        </w:rPr>
        <w:lastRenderedPageBreak/>
        <w:t xml:space="preserve">v. 33, n. 6, p. 859–866, 2018. </w:t>
      </w:r>
    </w:p>
    <w:p w14:paraId="691DE300"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POSTUMA, R. B. et al. Rapid eye movement sleep behavior disorder and risk of dementia in Parkinson’s disease: A prospective study. </w:t>
      </w:r>
      <w:r w:rsidRPr="00A65B69">
        <w:rPr>
          <w:b/>
          <w:bCs/>
          <w:noProof/>
        </w:rPr>
        <w:t>Movement Disorders</w:t>
      </w:r>
      <w:r w:rsidRPr="00A65B69">
        <w:rPr>
          <w:noProof/>
        </w:rPr>
        <w:t xml:space="preserve">, v. 27, n. 6, p. 720–726, 2012. </w:t>
      </w:r>
    </w:p>
    <w:p w14:paraId="3A9A5BE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RENASSIA, C.; PEYSSONNAUX, C. New insights into the links between hypoxia and iron homeostasis. </w:t>
      </w:r>
      <w:r w:rsidRPr="00A65B69">
        <w:rPr>
          <w:b/>
          <w:bCs/>
          <w:noProof/>
        </w:rPr>
        <w:t>Current Opinion in Hematology</w:t>
      </w:r>
      <w:r w:rsidRPr="00A65B69">
        <w:rPr>
          <w:noProof/>
        </w:rPr>
        <w:t xml:space="preserve">, v. 26, n. 3, p. 125–130, 2019. </w:t>
      </w:r>
    </w:p>
    <w:p w14:paraId="4EC586A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ROCHESTER, L. et al. Targeting dopa-sensitive and dopa-resistant gait dysfunction in Parkinson’s disease: Selective responses to internal and external cues. </w:t>
      </w:r>
      <w:r w:rsidRPr="00A65B69">
        <w:rPr>
          <w:b/>
          <w:bCs/>
          <w:noProof/>
        </w:rPr>
        <w:t>Movement Disorders</w:t>
      </w:r>
      <w:r w:rsidRPr="00A65B69">
        <w:rPr>
          <w:noProof/>
        </w:rPr>
        <w:t xml:space="preserve">, v. 26, n. 3, p. 430–435, 2011. </w:t>
      </w:r>
    </w:p>
    <w:p w14:paraId="0ACAF881"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ROMANN, A. J. et al. Cognitive assessment instruments in Parkinson’s disease patients undergoing deep brain stimulation. </w:t>
      </w:r>
      <w:r w:rsidRPr="00A65B69">
        <w:rPr>
          <w:b/>
          <w:bCs/>
          <w:noProof/>
          <w:lang w:val="pt-BR"/>
        </w:rPr>
        <w:t>Dementia &amp; Neuropsychologia</w:t>
      </w:r>
      <w:r w:rsidRPr="00A65B69">
        <w:rPr>
          <w:noProof/>
          <w:lang w:val="pt-BR"/>
        </w:rPr>
        <w:t xml:space="preserve">, v. 6, n. 1, p. 2–11, 2012. </w:t>
      </w:r>
    </w:p>
    <w:p w14:paraId="27AC25D0" w14:textId="77777777" w:rsidR="00CF7A48" w:rsidRPr="00A65B69" w:rsidRDefault="00CF7A48" w:rsidP="00CF7A48">
      <w:pPr>
        <w:widowControl w:val="0"/>
        <w:autoSpaceDE w:val="0"/>
        <w:autoSpaceDN w:val="0"/>
        <w:adjustRightInd w:val="0"/>
        <w:spacing w:line="360" w:lineRule="auto"/>
        <w:rPr>
          <w:noProof/>
          <w:lang w:val="pt-BR"/>
        </w:rPr>
      </w:pPr>
      <w:r w:rsidRPr="00A65B69">
        <w:rPr>
          <w:noProof/>
          <w:lang w:val="pt-BR"/>
        </w:rPr>
        <w:t xml:space="preserve">SANT, C. R. DE et al. Abordagem fisioterapêutica na doença de Parkinson. </w:t>
      </w:r>
      <w:r w:rsidRPr="00A65B69">
        <w:rPr>
          <w:b/>
          <w:bCs/>
          <w:noProof/>
          <w:lang w:val="pt-BR"/>
        </w:rPr>
        <w:t>Revista Brasileira de Ciências do Envelhecimento Humano</w:t>
      </w:r>
      <w:r w:rsidRPr="00A65B69">
        <w:rPr>
          <w:noProof/>
          <w:lang w:val="pt-BR"/>
        </w:rPr>
        <w:t xml:space="preserve">, v. 5, n. 1, p. 80–89, 2008. </w:t>
      </w:r>
    </w:p>
    <w:p w14:paraId="123351D7"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SEREBROVSKAYA, T. et al. Hypoxic ventilatory responses and gas exchange in patients with Parkinson’s  disease. </w:t>
      </w:r>
      <w:r w:rsidRPr="00A65B69">
        <w:rPr>
          <w:b/>
          <w:bCs/>
          <w:noProof/>
        </w:rPr>
        <w:t>Respiration; international review of thoracic diseases</w:t>
      </w:r>
      <w:r w:rsidRPr="00A65B69">
        <w:rPr>
          <w:noProof/>
        </w:rPr>
        <w:t xml:space="preserve">, v. 65, n. 1, p. 28–33, 1998. </w:t>
      </w:r>
    </w:p>
    <w:p w14:paraId="55D75E3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SHEN, Y. et al. Association between physiological responses after exercise at low altitude and acute mountain sickness upon ascent is sex-dependent. </w:t>
      </w:r>
      <w:r w:rsidRPr="00A65B69">
        <w:rPr>
          <w:b/>
          <w:bCs/>
          <w:noProof/>
        </w:rPr>
        <w:t>Military Medical Research</w:t>
      </w:r>
      <w:r w:rsidRPr="00A65B69">
        <w:rPr>
          <w:noProof/>
        </w:rPr>
        <w:t xml:space="preserve">, v. 7, n. 1, p. 1–9, 2020. </w:t>
      </w:r>
    </w:p>
    <w:p w14:paraId="4245B41A"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SHVARTSMAN, M. et al. Non-transferrin-bound iron reaches mitochondria by a chelator-inaccessible  mechanism: biological and clinical implications. </w:t>
      </w:r>
      <w:r w:rsidRPr="00A65B69">
        <w:rPr>
          <w:b/>
          <w:bCs/>
          <w:noProof/>
        </w:rPr>
        <w:t>American journal of physiology. Cell physiology</w:t>
      </w:r>
      <w:r w:rsidRPr="00A65B69">
        <w:rPr>
          <w:noProof/>
        </w:rPr>
        <w:t xml:space="preserve">, v. 293, n. 4, p. C1383-94, out. 2007. </w:t>
      </w:r>
    </w:p>
    <w:p w14:paraId="071B20AA"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SI, Q. Q. et al. Plasma transferrin level correlates with the tremor-dominant phenotype of Parkinson’s disease. </w:t>
      </w:r>
      <w:r w:rsidRPr="00A65B69">
        <w:rPr>
          <w:b/>
          <w:bCs/>
          <w:noProof/>
        </w:rPr>
        <w:t>Neuroscience Letters</w:t>
      </w:r>
      <w:r w:rsidRPr="00A65B69">
        <w:rPr>
          <w:noProof/>
        </w:rPr>
        <w:t xml:space="preserve">, v. 684, n. 300, p. 42–46, 2018. </w:t>
      </w:r>
    </w:p>
    <w:p w14:paraId="36C0DDB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SIMIELI, L. et al. Gaze and motor behavior of pople with PD during obstacle circumvention. </w:t>
      </w:r>
      <w:r w:rsidRPr="00A65B69">
        <w:rPr>
          <w:b/>
          <w:bCs/>
          <w:noProof/>
        </w:rPr>
        <w:t>Gait and Posture</w:t>
      </w:r>
      <w:r w:rsidRPr="00A65B69">
        <w:rPr>
          <w:noProof/>
        </w:rPr>
        <w:t xml:space="preserve">, v. 58, p. 504–509, 2017. </w:t>
      </w:r>
    </w:p>
    <w:p w14:paraId="2006AC05"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SPEELMAN, A. D. et al. How might physical activity benefit patients with Parkinson disease? </w:t>
      </w:r>
      <w:r w:rsidRPr="00A65B69">
        <w:rPr>
          <w:b/>
          <w:bCs/>
          <w:noProof/>
        </w:rPr>
        <w:t>Nature Reviews Neurology</w:t>
      </w:r>
      <w:r w:rsidRPr="00A65B69">
        <w:rPr>
          <w:noProof/>
        </w:rPr>
        <w:t xml:space="preserve">, v. 7, n. 9, p. 528–534, 2011. </w:t>
      </w:r>
    </w:p>
    <w:p w14:paraId="3B01FCEE"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SUBRAMANIAN, I. </w:t>
      </w:r>
      <w:r w:rsidRPr="00A65B69">
        <w:rPr>
          <w:b/>
          <w:bCs/>
          <w:noProof/>
        </w:rPr>
        <w:t>Complementary and Alternative Medicine and Exercise in Nonmotor Symptoms of Parkinson’s Disease</w:t>
      </w:r>
      <w:r w:rsidRPr="00A65B69">
        <w:rPr>
          <w:noProof/>
        </w:rPr>
        <w:t>. 1. ed. [s.l.] Elsevier Inc., 2017. v. 134</w:t>
      </w:r>
    </w:p>
    <w:p w14:paraId="56510A61"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SUNVISSON, H. et al. </w:t>
      </w:r>
      <w:r w:rsidRPr="00A65B69">
        <w:rPr>
          <w:b/>
          <w:bCs/>
          <w:noProof/>
        </w:rPr>
        <w:t>Changes in motor performance in persons with Parkinson’s disease after exercise in a mountain area.The Journal of neuroscience nursing : journal of the American Association of Neuroscience Nurses</w:t>
      </w:r>
      <w:r w:rsidRPr="00A65B69">
        <w:rPr>
          <w:noProof/>
        </w:rPr>
        <w:t xml:space="preserve">, 1997. </w:t>
      </w:r>
    </w:p>
    <w:p w14:paraId="7E0815DC"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SUNVISSON, H.; EKMAN, S. L. Environmental influences on the experiences of people with Parkinson’s disease. </w:t>
      </w:r>
      <w:r w:rsidRPr="00A65B69">
        <w:rPr>
          <w:b/>
          <w:bCs/>
          <w:noProof/>
        </w:rPr>
        <w:t>Nursing Inquiry</w:t>
      </w:r>
      <w:r w:rsidRPr="00A65B69">
        <w:rPr>
          <w:noProof/>
        </w:rPr>
        <w:t xml:space="preserve">, v. 8, n. 1, p. 41–50, 2001. </w:t>
      </w:r>
    </w:p>
    <w:p w14:paraId="173B84F9"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TAN, A. Q. et al. Daily acute intermittent hypoxia combined with walking practice enhances </w:t>
      </w:r>
      <w:r w:rsidRPr="00A65B69">
        <w:rPr>
          <w:noProof/>
        </w:rPr>
        <w:lastRenderedPageBreak/>
        <w:t xml:space="preserve">walking performance but not intralimb motor coordination in persons with chronic incomplete spinal cord injury. </w:t>
      </w:r>
      <w:r w:rsidRPr="00A65B69">
        <w:rPr>
          <w:b/>
          <w:bCs/>
          <w:noProof/>
        </w:rPr>
        <w:t>Experimental Neurology</w:t>
      </w:r>
      <w:r w:rsidRPr="00A65B69">
        <w:rPr>
          <w:noProof/>
        </w:rPr>
        <w:t xml:space="preserve">, v. 340, p. 113669, jun. 2021. </w:t>
      </w:r>
    </w:p>
    <w:p w14:paraId="6168F53C"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TAN, A. Q. et al. Daily acute intermittent hypoxia combined with walking practice enhances walking performance but not intralimb motor coordination in persons with chronic incomplete spinal cord injury. </w:t>
      </w:r>
      <w:r w:rsidRPr="00A65B69">
        <w:rPr>
          <w:b/>
          <w:bCs/>
          <w:noProof/>
        </w:rPr>
        <w:t>Exp Neurol</w:t>
      </w:r>
      <w:r w:rsidRPr="00A65B69">
        <w:rPr>
          <w:noProof/>
        </w:rPr>
        <w:t xml:space="preserve">, p. 1–24, 2022. </w:t>
      </w:r>
    </w:p>
    <w:p w14:paraId="1294E22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TRUMBOWER, R. D. et al. Effects of acute intermittent hypoxia on hand use after spinal cord trauma: A preliminary study. </w:t>
      </w:r>
      <w:r w:rsidRPr="00A65B69">
        <w:rPr>
          <w:b/>
          <w:bCs/>
          <w:noProof/>
        </w:rPr>
        <w:t>Neurology</w:t>
      </w:r>
      <w:r w:rsidRPr="00A65B69">
        <w:rPr>
          <w:noProof/>
        </w:rPr>
        <w:t xml:space="preserve">, v. 89, n. 18, p. 1904–1907, 2017. </w:t>
      </w:r>
    </w:p>
    <w:p w14:paraId="74B4C676"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TYSNES, O. B.; STORSTEIN, A. Epidemiology of Parkinson’s disease. . </w:t>
      </w:r>
      <w:r w:rsidRPr="00A65B69">
        <w:rPr>
          <w:b/>
          <w:bCs/>
          <w:noProof/>
        </w:rPr>
        <w:t>Journal of Neural Transmission</w:t>
      </w:r>
      <w:r w:rsidRPr="00A65B69">
        <w:rPr>
          <w:noProof/>
        </w:rPr>
        <w:t xml:space="preserve">, v. 124, n. 8, p. 901–905, 2017. </w:t>
      </w:r>
    </w:p>
    <w:p w14:paraId="562E83F8"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VITÓRIO, R. et al. Effects of obstacle height on obstacle crossing in mild Parkinson’s disease. </w:t>
      </w:r>
      <w:r w:rsidRPr="00A65B69">
        <w:rPr>
          <w:b/>
          <w:bCs/>
          <w:noProof/>
        </w:rPr>
        <w:t>Gait and Posture</w:t>
      </w:r>
      <w:r w:rsidRPr="00A65B69">
        <w:rPr>
          <w:noProof/>
        </w:rPr>
        <w:t xml:space="preserve">, v. 31, n. 1, p. 143–146, 2010. </w:t>
      </w:r>
    </w:p>
    <w:p w14:paraId="51899889"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WANG, J. Y. et al. Meta-analysis of brain iron levels of Parkinson’s disease patients determined by postmortem and MRI measurements. </w:t>
      </w:r>
      <w:r w:rsidRPr="00A65B69">
        <w:rPr>
          <w:b/>
          <w:bCs/>
          <w:noProof/>
        </w:rPr>
        <w:t>Scientific Reports</w:t>
      </w:r>
      <w:r w:rsidRPr="00A65B69">
        <w:rPr>
          <w:noProof/>
        </w:rPr>
        <w:t xml:space="preserve">, v. 6, n. November, p. 1–13, 2016. </w:t>
      </w:r>
    </w:p>
    <w:p w14:paraId="26AD98A3"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WARD, R. J.; DEXTER, D. T.; CRICHTON, R. R. Neurodegenerative diseases and therapeutic strategies using iron chelators. </w:t>
      </w:r>
      <w:r w:rsidRPr="00A65B69">
        <w:rPr>
          <w:b/>
          <w:bCs/>
          <w:noProof/>
        </w:rPr>
        <w:t>Journal of trace elements in medicine and biology : organ of the Society for  Minerals and Trace Elements (GMS)</w:t>
      </w:r>
      <w:r w:rsidRPr="00A65B69">
        <w:rPr>
          <w:noProof/>
        </w:rPr>
        <w:t xml:space="preserve">, v. 31, p. 267–273, 2015. </w:t>
      </w:r>
    </w:p>
    <w:p w14:paraId="6CC56906"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XI, L.; SEREBROVSKAYA, T. </w:t>
      </w:r>
      <w:r w:rsidRPr="00A65B69">
        <w:rPr>
          <w:b/>
          <w:bCs/>
          <w:noProof/>
        </w:rPr>
        <w:t>Intermittent hypoxia: From molecular mechanisms to clinical applications</w:t>
      </w:r>
      <w:r w:rsidRPr="00A65B69">
        <w:rPr>
          <w:noProof/>
        </w:rPr>
        <w:t xml:space="preserve">. [s.l: s.n.]. </w:t>
      </w:r>
    </w:p>
    <w:p w14:paraId="6C5AF3C7"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XU, W. et al. Correlations between abnormal iron metabolism and non-motor symptoms in Parkinson’s disease. </w:t>
      </w:r>
      <w:r w:rsidRPr="00A65B69">
        <w:rPr>
          <w:b/>
          <w:bCs/>
          <w:noProof/>
        </w:rPr>
        <w:t>Journal of Neural Transmission</w:t>
      </w:r>
      <w:r w:rsidRPr="00A65B69">
        <w:rPr>
          <w:noProof/>
        </w:rPr>
        <w:t xml:space="preserve">, v. 125, n. 7, p. 1027–1032, 2018. </w:t>
      </w:r>
    </w:p>
    <w:p w14:paraId="78470902" w14:textId="77777777" w:rsidR="00CF7A48" w:rsidRPr="00A65B69" w:rsidRDefault="00CF7A48" w:rsidP="00CF7A48">
      <w:pPr>
        <w:widowControl w:val="0"/>
        <w:autoSpaceDE w:val="0"/>
        <w:autoSpaceDN w:val="0"/>
        <w:adjustRightInd w:val="0"/>
        <w:spacing w:line="360" w:lineRule="auto"/>
        <w:rPr>
          <w:noProof/>
        </w:rPr>
      </w:pPr>
      <w:r w:rsidRPr="00A65B69">
        <w:rPr>
          <w:noProof/>
        </w:rPr>
        <w:t xml:space="preserve">ZHANG, Z. et al. Hypoxia Inducible Factor-1 as a Target for Neurodegenerative Diseases. </w:t>
      </w:r>
      <w:r w:rsidRPr="00A65B69">
        <w:rPr>
          <w:b/>
          <w:bCs/>
          <w:noProof/>
        </w:rPr>
        <w:t>Current Medicinal Chemistry</w:t>
      </w:r>
      <w:r w:rsidRPr="00A65B69">
        <w:rPr>
          <w:noProof/>
        </w:rPr>
        <w:t xml:space="preserve">, v. 18, n. 28, p. 4335–4343, 2011. </w:t>
      </w:r>
    </w:p>
    <w:p w14:paraId="58318B56" w14:textId="77777777" w:rsidR="00CF7A48" w:rsidRPr="00A65B69" w:rsidRDefault="00CF7A48" w:rsidP="00CF7A48">
      <w:pPr>
        <w:widowControl w:val="0"/>
        <w:autoSpaceDE w:val="0"/>
        <w:autoSpaceDN w:val="0"/>
        <w:adjustRightInd w:val="0"/>
        <w:spacing w:line="360" w:lineRule="auto"/>
        <w:rPr>
          <w:noProof/>
          <w:lang w:val="pt-BR"/>
        </w:rPr>
      </w:pPr>
      <w:r w:rsidRPr="00A65B69">
        <w:rPr>
          <w:noProof/>
        </w:rPr>
        <w:t xml:space="preserve">ZIELINSKI, M. R.; MCKENNA, J. T.; MCCARLEY, R. W. Functions and mechanisms of sleep. </w:t>
      </w:r>
      <w:r w:rsidRPr="00A65B69">
        <w:rPr>
          <w:b/>
          <w:bCs/>
          <w:noProof/>
          <w:lang w:val="pt-BR"/>
        </w:rPr>
        <w:t>AIMS Neuroscience</w:t>
      </w:r>
      <w:r w:rsidRPr="00A65B69">
        <w:rPr>
          <w:noProof/>
          <w:lang w:val="pt-BR"/>
        </w:rPr>
        <w:t xml:space="preserve">, v. 3, n. 1, p. 67–104, 2016. </w:t>
      </w:r>
    </w:p>
    <w:p w14:paraId="5B3C26A8" w14:textId="7FBB3496" w:rsidR="00E807EF" w:rsidRPr="00E023C9" w:rsidRDefault="00A112DE" w:rsidP="00CF7A48">
      <w:pPr>
        <w:widowControl w:val="0"/>
        <w:autoSpaceDE w:val="0"/>
        <w:autoSpaceDN w:val="0"/>
        <w:adjustRightInd w:val="0"/>
        <w:spacing w:line="360" w:lineRule="auto"/>
        <w:rPr>
          <w:lang w:val="pt-BR"/>
        </w:rPr>
      </w:pPr>
      <w:r w:rsidRPr="00A65B69">
        <w:rPr>
          <w:color w:val="000000" w:themeColor="text1"/>
          <w:lang w:val="pt-BR"/>
        </w:rPr>
        <w:fldChar w:fldCharType="end"/>
      </w:r>
    </w:p>
    <w:sectPr w:rsidR="00E807EF" w:rsidRPr="00E023C9" w:rsidSect="003E5E06">
      <w:headerReference w:type="first" r:id="rId13"/>
      <w:pgSz w:w="11910" w:h="16840"/>
      <w:pgMar w:top="1134" w:right="1136" w:bottom="1134"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1CF4" w14:textId="77777777" w:rsidR="003F2969" w:rsidRDefault="003F2969" w:rsidP="002309CF">
      <w:r>
        <w:separator/>
      </w:r>
    </w:p>
  </w:endnote>
  <w:endnote w:type="continuationSeparator" w:id="0">
    <w:p w14:paraId="2FC260F6" w14:textId="77777777" w:rsidR="003F2969" w:rsidRDefault="003F2969" w:rsidP="0023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3806" w14:textId="60497043" w:rsidR="002309CF" w:rsidRDefault="002309CF">
    <w:pPr>
      <w:pStyle w:val="Footer"/>
    </w:pPr>
  </w:p>
  <w:p w14:paraId="1EDACF8D" w14:textId="77777777" w:rsidR="002309CF" w:rsidRDefault="00230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AE81C" w14:textId="77777777" w:rsidR="003F2969" w:rsidRDefault="003F2969" w:rsidP="002309CF">
      <w:r>
        <w:separator/>
      </w:r>
    </w:p>
  </w:footnote>
  <w:footnote w:type="continuationSeparator" w:id="0">
    <w:p w14:paraId="0D4C9B30" w14:textId="77777777" w:rsidR="003F2969" w:rsidRDefault="003F2969" w:rsidP="00230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3647299"/>
      <w:docPartObj>
        <w:docPartGallery w:val="Page Numbers (Top of Page)"/>
        <w:docPartUnique/>
      </w:docPartObj>
    </w:sdtPr>
    <w:sdtContent>
      <w:p w14:paraId="78CBAFDE" w14:textId="21EE9B0C" w:rsidR="00DD2E49" w:rsidRDefault="00DD2E49" w:rsidP="00A438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5CBD01" w14:textId="77777777" w:rsidR="00DD2E49" w:rsidRDefault="00DD2E49" w:rsidP="00A960F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3824482"/>
      <w:docPartObj>
        <w:docPartGallery w:val="Page Numbers (Top of Page)"/>
        <w:docPartUnique/>
      </w:docPartObj>
    </w:sdtPr>
    <w:sdtContent>
      <w:p w14:paraId="6AB57BBB" w14:textId="391D6BF7" w:rsidR="00DD2E49" w:rsidRDefault="00DD2E49" w:rsidP="00A438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0C7371" w14:textId="77777777" w:rsidR="00DD2E49" w:rsidRDefault="00DD2E49" w:rsidP="00947C3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CD64" w14:textId="77777777" w:rsidR="00222C2A" w:rsidRPr="0075573E" w:rsidRDefault="00222C2A" w:rsidP="00222C2A">
    <w:pPr>
      <w:spacing w:line="480" w:lineRule="auto"/>
      <w:jc w:val="center"/>
      <w:rPr>
        <w:lang w:val="pt-BR"/>
      </w:rPr>
    </w:pPr>
    <w:r w:rsidRPr="0075573E">
      <w:rPr>
        <w:color w:val="000000"/>
        <w:lang w:val="pt-BR"/>
      </w:rPr>
      <w:t>UNIVERSIDADE ESTADUAL PAULISTA - UNESP </w:t>
    </w:r>
  </w:p>
  <w:p w14:paraId="08784ECC" w14:textId="77777777" w:rsidR="00222C2A" w:rsidRPr="0075573E" w:rsidRDefault="00222C2A" w:rsidP="00222C2A">
    <w:pPr>
      <w:spacing w:line="480" w:lineRule="auto"/>
      <w:jc w:val="center"/>
      <w:rPr>
        <w:lang w:val="pt-BR"/>
      </w:rPr>
    </w:pPr>
    <w:r w:rsidRPr="0075573E">
      <w:rPr>
        <w:color w:val="000000"/>
        <w:lang w:val="pt-BR"/>
      </w:rPr>
      <w:t>FACULDADE DE CIÊNCIAS - CAMPUS DE BAURU </w:t>
    </w:r>
  </w:p>
  <w:p w14:paraId="0A7396F1" w14:textId="77777777" w:rsidR="00222C2A" w:rsidRPr="0075573E" w:rsidRDefault="00222C2A" w:rsidP="00222C2A">
    <w:pPr>
      <w:spacing w:line="480" w:lineRule="auto"/>
      <w:jc w:val="center"/>
      <w:rPr>
        <w:lang w:val="pt-BR"/>
      </w:rPr>
    </w:pPr>
    <w:r w:rsidRPr="0075573E">
      <w:rPr>
        <w:color w:val="000000"/>
        <w:lang w:val="pt-BR"/>
      </w:rPr>
      <w:t>DEPARTAMENTO DE EDUCAÇÃO FÍSICA </w:t>
    </w:r>
  </w:p>
  <w:p w14:paraId="0F72632F" w14:textId="77777777" w:rsidR="00222C2A" w:rsidRPr="0075573E" w:rsidRDefault="00222C2A" w:rsidP="00222C2A">
    <w:pPr>
      <w:spacing w:line="480" w:lineRule="auto"/>
      <w:jc w:val="center"/>
      <w:rPr>
        <w:lang w:val="pt-BR"/>
      </w:rPr>
    </w:pPr>
    <w:r w:rsidRPr="0075573E">
      <w:rPr>
        <w:color w:val="000000"/>
        <w:lang w:val="pt-BR"/>
      </w:rPr>
      <w:t>LABORATÓRIO DE PESQUISA EM MOVIMENTO HUMANO (MOVI-LAB)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9E91" w14:textId="5FF80357" w:rsidR="00DD2E49" w:rsidRPr="00CD7E88" w:rsidRDefault="00DD2E49" w:rsidP="00222C2A">
    <w:pPr>
      <w:spacing w:line="48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F73CF"/>
    <w:multiLevelType w:val="hybridMultilevel"/>
    <w:tmpl w:val="33B29C32"/>
    <w:lvl w:ilvl="0" w:tplc="8D021A82">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F2738"/>
    <w:multiLevelType w:val="hybridMultilevel"/>
    <w:tmpl w:val="8236E96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31179A"/>
    <w:multiLevelType w:val="multilevel"/>
    <w:tmpl w:val="34DEA5F2"/>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9B1860"/>
    <w:multiLevelType w:val="hybridMultilevel"/>
    <w:tmpl w:val="57AA9C8E"/>
    <w:lvl w:ilvl="0" w:tplc="F524F8FA">
      <w:start w:val="7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803CBC"/>
    <w:multiLevelType w:val="multilevel"/>
    <w:tmpl w:val="96189CD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BF2090"/>
    <w:multiLevelType w:val="multilevel"/>
    <w:tmpl w:val="BC720198"/>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B66437"/>
    <w:multiLevelType w:val="multilevel"/>
    <w:tmpl w:val="A530D502"/>
    <w:lvl w:ilvl="0">
      <w:start w:val="1"/>
      <w:numFmt w:val="decimal"/>
      <w:lvlText w:val="%1."/>
      <w:lvlJc w:val="left"/>
      <w:pPr>
        <w:ind w:left="348"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528" w:hanging="420"/>
      </w:pPr>
      <w:rPr>
        <w:rFonts w:ascii="Times New Roman" w:eastAsia="Times New Roman" w:hAnsi="Times New Roman" w:cs="Times New Roman" w:hint="default"/>
        <w:i/>
        <w:iCs/>
        <w:w w:val="100"/>
        <w:sz w:val="24"/>
        <w:szCs w:val="24"/>
        <w:lang w:val="pt-PT" w:eastAsia="en-US" w:bidi="ar-SA"/>
      </w:rPr>
    </w:lvl>
    <w:lvl w:ilvl="2">
      <w:numFmt w:val="bullet"/>
      <w:lvlText w:val="•"/>
      <w:lvlJc w:val="left"/>
      <w:pPr>
        <w:ind w:left="1431" w:hanging="420"/>
      </w:pPr>
      <w:rPr>
        <w:rFonts w:hint="default"/>
        <w:lang w:val="pt-PT" w:eastAsia="en-US" w:bidi="ar-SA"/>
      </w:rPr>
    </w:lvl>
    <w:lvl w:ilvl="3">
      <w:numFmt w:val="bullet"/>
      <w:lvlText w:val="•"/>
      <w:lvlJc w:val="left"/>
      <w:pPr>
        <w:ind w:left="2343" w:hanging="420"/>
      </w:pPr>
      <w:rPr>
        <w:rFonts w:hint="default"/>
        <w:lang w:val="pt-PT" w:eastAsia="en-US" w:bidi="ar-SA"/>
      </w:rPr>
    </w:lvl>
    <w:lvl w:ilvl="4">
      <w:numFmt w:val="bullet"/>
      <w:lvlText w:val="•"/>
      <w:lvlJc w:val="left"/>
      <w:pPr>
        <w:ind w:left="3255" w:hanging="420"/>
      </w:pPr>
      <w:rPr>
        <w:rFonts w:hint="default"/>
        <w:lang w:val="pt-PT" w:eastAsia="en-US" w:bidi="ar-SA"/>
      </w:rPr>
    </w:lvl>
    <w:lvl w:ilvl="5">
      <w:numFmt w:val="bullet"/>
      <w:lvlText w:val="•"/>
      <w:lvlJc w:val="left"/>
      <w:pPr>
        <w:ind w:left="4166" w:hanging="420"/>
      </w:pPr>
      <w:rPr>
        <w:rFonts w:hint="default"/>
        <w:lang w:val="pt-PT" w:eastAsia="en-US" w:bidi="ar-SA"/>
      </w:rPr>
    </w:lvl>
    <w:lvl w:ilvl="6">
      <w:numFmt w:val="bullet"/>
      <w:lvlText w:val="•"/>
      <w:lvlJc w:val="left"/>
      <w:pPr>
        <w:ind w:left="5078" w:hanging="420"/>
      </w:pPr>
      <w:rPr>
        <w:rFonts w:hint="default"/>
        <w:lang w:val="pt-PT" w:eastAsia="en-US" w:bidi="ar-SA"/>
      </w:rPr>
    </w:lvl>
    <w:lvl w:ilvl="7">
      <w:numFmt w:val="bullet"/>
      <w:lvlText w:val="•"/>
      <w:lvlJc w:val="left"/>
      <w:pPr>
        <w:ind w:left="5990" w:hanging="420"/>
      </w:pPr>
      <w:rPr>
        <w:rFonts w:hint="default"/>
        <w:lang w:val="pt-PT" w:eastAsia="en-US" w:bidi="ar-SA"/>
      </w:rPr>
    </w:lvl>
    <w:lvl w:ilvl="8">
      <w:numFmt w:val="bullet"/>
      <w:lvlText w:val="•"/>
      <w:lvlJc w:val="left"/>
      <w:pPr>
        <w:ind w:left="6902" w:hanging="420"/>
      </w:pPr>
      <w:rPr>
        <w:rFonts w:hint="default"/>
        <w:lang w:val="pt-PT" w:eastAsia="en-US" w:bidi="ar-SA"/>
      </w:rPr>
    </w:lvl>
  </w:abstractNum>
  <w:abstractNum w:abstractNumId="8" w15:restartNumberingAfterBreak="0">
    <w:nsid w:val="7CDC4746"/>
    <w:multiLevelType w:val="hybridMultilevel"/>
    <w:tmpl w:val="65700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287469">
    <w:abstractNumId w:val="7"/>
  </w:num>
  <w:num w:numId="2" w16cid:durableId="1429232335">
    <w:abstractNumId w:val="2"/>
  </w:num>
  <w:num w:numId="3" w16cid:durableId="1777939087">
    <w:abstractNumId w:val="1"/>
  </w:num>
  <w:num w:numId="4" w16cid:durableId="302777491">
    <w:abstractNumId w:val="5"/>
  </w:num>
  <w:num w:numId="5" w16cid:durableId="836920860">
    <w:abstractNumId w:val="4"/>
  </w:num>
  <w:num w:numId="6" w16cid:durableId="1824735292">
    <w:abstractNumId w:val="3"/>
  </w:num>
  <w:num w:numId="7" w16cid:durableId="671418095">
    <w:abstractNumId w:val="6"/>
  </w:num>
  <w:num w:numId="8" w16cid:durableId="382025949">
    <w:abstractNumId w:val="0"/>
  </w:num>
  <w:num w:numId="9" w16cid:durableId="131467324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3A"/>
    <w:rsid w:val="0000376A"/>
    <w:rsid w:val="00011C4D"/>
    <w:rsid w:val="00012561"/>
    <w:rsid w:val="00013162"/>
    <w:rsid w:val="00013B2D"/>
    <w:rsid w:val="00014425"/>
    <w:rsid w:val="00016D08"/>
    <w:rsid w:val="00021778"/>
    <w:rsid w:val="00037A8D"/>
    <w:rsid w:val="0004163B"/>
    <w:rsid w:val="00044B73"/>
    <w:rsid w:val="00045691"/>
    <w:rsid w:val="00052B20"/>
    <w:rsid w:val="00055515"/>
    <w:rsid w:val="000574A2"/>
    <w:rsid w:val="000614A4"/>
    <w:rsid w:val="00063AE7"/>
    <w:rsid w:val="00070BB0"/>
    <w:rsid w:val="00074776"/>
    <w:rsid w:val="0007549F"/>
    <w:rsid w:val="0007687B"/>
    <w:rsid w:val="00077545"/>
    <w:rsid w:val="00083003"/>
    <w:rsid w:val="000847AE"/>
    <w:rsid w:val="00094A92"/>
    <w:rsid w:val="0009695F"/>
    <w:rsid w:val="00096A9F"/>
    <w:rsid w:val="00096C1C"/>
    <w:rsid w:val="000971BA"/>
    <w:rsid w:val="000A7C86"/>
    <w:rsid w:val="000C252E"/>
    <w:rsid w:val="000C647D"/>
    <w:rsid w:val="000C6F4B"/>
    <w:rsid w:val="000D214D"/>
    <w:rsid w:val="000E06D8"/>
    <w:rsid w:val="000E3D52"/>
    <w:rsid w:val="000E5B8A"/>
    <w:rsid w:val="000F03C4"/>
    <w:rsid w:val="000F1922"/>
    <w:rsid w:val="000F29A2"/>
    <w:rsid w:val="000F3770"/>
    <w:rsid w:val="000F5F49"/>
    <w:rsid w:val="000F7383"/>
    <w:rsid w:val="00102166"/>
    <w:rsid w:val="001150F6"/>
    <w:rsid w:val="0012055C"/>
    <w:rsid w:val="00124769"/>
    <w:rsid w:val="00125AF6"/>
    <w:rsid w:val="00125F16"/>
    <w:rsid w:val="0012606C"/>
    <w:rsid w:val="00127656"/>
    <w:rsid w:val="001423EE"/>
    <w:rsid w:val="00145CF5"/>
    <w:rsid w:val="0015140C"/>
    <w:rsid w:val="001535F6"/>
    <w:rsid w:val="00155D7B"/>
    <w:rsid w:val="00167526"/>
    <w:rsid w:val="001720DD"/>
    <w:rsid w:val="00172D15"/>
    <w:rsid w:val="001758FD"/>
    <w:rsid w:val="00182B6F"/>
    <w:rsid w:val="001843E8"/>
    <w:rsid w:val="00191B1E"/>
    <w:rsid w:val="00192867"/>
    <w:rsid w:val="001A2251"/>
    <w:rsid w:val="001A6638"/>
    <w:rsid w:val="001A6A40"/>
    <w:rsid w:val="001B4996"/>
    <w:rsid w:val="001B4DF9"/>
    <w:rsid w:val="001B796E"/>
    <w:rsid w:val="001C0B3F"/>
    <w:rsid w:val="001C486E"/>
    <w:rsid w:val="001D713D"/>
    <w:rsid w:val="001E1D96"/>
    <w:rsid w:val="001E6090"/>
    <w:rsid w:val="00200D7D"/>
    <w:rsid w:val="0020609C"/>
    <w:rsid w:val="0020751A"/>
    <w:rsid w:val="00212E18"/>
    <w:rsid w:val="00213DCD"/>
    <w:rsid w:val="00217924"/>
    <w:rsid w:val="00222C2A"/>
    <w:rsid w:val="002269DC"/>
    <w:rsid w:val="002300BC"/>
    <w:rsid w:val="002309CF"/>
    <w:rsid w:val="00231107"/>
    <w:rsid w:val="00233DA6"/>
    <w:rsid w:val="00240AFF"/>
    <w:rsid w:val="002418F6"/>
    <w:rsid w:val="00244502"/>
    <w:rsid w:val="00246702"/>
    <w:rsid w:val="00251A6A"/>
    <w:rsid w:val="00252BF6"/>
    <w:rsid w:val="00254F8D"/>
    <w:rsid w:val="00262BC7"/>
    <w:rsid w:val="00262F09"/>
    <w:rsid w:val="00264A76"/>
    <w:rsid w:val="00272B26"/>
    <w:rsid w:val="0027586F"/>
    <w:rsid w:val="00275DA7"/>
    <w:rsid w:val="00276D48"/>
    <w:rsid w:val="00277AA5"/>
    <w:rsid w:val="00284EED"/>
    <w:rsid w:val="0028598C"/>
    <w:rsid w:val="00287028"/>
    <w:rsid w:val="00287BA0"/>
    <w:rsid w:val="00291C64"/>
    <w:rsid w:val="00292493"/>
    <w:rsid w:val="00293BE2"/>
    <w:rsid w:val="00294F41"/>
    <w:rsid w:val="00297E92"/>
    <w:rsid w:val="002A0138"/>
    <w:rsid w:val="002C651A"/>
    <w:rsid w:val="002D22AB"/>
    <w:rsid w:val="002D638E"/>
    <w:rsid w:val="002E1B33"/>
    <w:rsid w:val="002E23CF"/>
    <w:rsid w:val="002E4A5E"/>
    <w:rsid w:val="002E4D6D"/>
    <w:rsid w:val="002F2D3C"/>
    <w:rsid w:val="002F362F"/>
    <w:rsid w:val="002F402A"/>
    <w:rsid w:val="002F6AAE"/>
    <w:rsid w:val="00301869"/>
    <w:rsid w:val="00301F3E"/>
    <w:rsid w:val="00310029"/>
    <w:rsid w:val="0031195D"/>
    <w:rsid w:val="0031248D"/>
    <w:rsid w:val="00312A6E"/>
    <w:rsid w:val="00313D8F"/>
    <w:rsid w:val="00316B0B"/>
    <w:rsid w:val="00320ECA"/>
    <w:rsid w:val="003260FB"/>
    <w:rsid w:val="00326437"/>
    <w:rsid w:val="00326460"/>
    <w:rsid w:val="0032778A"/>
    <w:rsid w:val="00327948"/>
    <w:rsid w:val="00333009"/>
    <w:rsid w:val="0033323A"/>
    <w:rsid w:val="00333C35"/>
    <w:rsid w:val="003372D2"/>
    <w:rsid w:val="00346C64"/>
    <w:rsid w:val="00347AC8"/>
    <w:rsid w:val="00355575"/>
    <w:rsid w:val="00363B0E"/>
    <w:rsid w:val="003648B3"/>
    <w:rsid w:val="003650DA"/>
    <w:rsid w:val="003850CC"/>
    <w:rsid w:val="0039003A"/>
    <w:rsid w:val="00393B22"/>
    <w:rsid w:val="00396019"/>
    <w:rsid w:val="003A0DEC"/>
    <w:rsid w:val="003A326C"/>
    <w:rsid w:val="003B29E3"/>
    <w:rsid w:val="003B4476"/>
    <w:rsid w:val="003C033F"/>
    <w:rsid w:val="003C3ADC"/>
    <w:rsid w:val="003C5714"/>
    <w:rsid w:val="003C775C"/>
    <w:rsid w:val="003D15D9"/>
    <w:rsid w:val="003D2BB4"/>
    <w:rsid w:val="003D4314"/>
    <w:rsid w:val="003D5DC5"/>
    <w:rsid w:val="003D6581"/>
    <w:rsid w:val="003D753D"/>
    <w:rsid w:val="003E1FCC"/>
    <w:rsid w:val="003E3A90"/>
    <w:rsid w:val="003E5E06"/>
    <w:rsid w:val="003E61D7"/>
    <w:rsid w:val="003E6EFD"/>
    <w:rsid w:val="003E729C"/>
    <w:rsid w:val="003E7AD8"/>
    <w:rsid w:val="003F06C2"/>
    <w:rsid w:val="003F24E3"/>
    <w:rsid w:val="003F25DC"/>
    <w:rsid w:val="003F2969"/>
    <w:rsid w:val="003F2AE2"/>
    <w:rsid w:val="00401D89"/>
    <w:rsid w:val="0040231E"/>
    <w:rsid w:val="00406759"/>
    <w:rsid w:val="00407D22"/>
    <w:rsid w:val="00410304"/>
    <w:rsid w:val="004111DF"/>
    <w:rsid w:val="00411A42"/>
    <w:rsid w:val="00412A93"/>
    <w:rsid w:val="004170E4"/>
    <w:rsid w:val="004223D4"/>
    <w:rsid w:val="00427EDF"/>
    <w:rsid w:val="00431D69"/>
    <w:rsid w:val="00433331"/>
    <w:rsid w:val="0043535B"/>
    <w:rsid w:val="00435840"/>
    <w:rsid w:val="00441A9B"/>
    <w:rsid w:val="00441BF7"/>
    <w:rsid w:val="004430E4"/>
    <w:rsid w:val="00447787"/>
    <w:rsid w:val="00447DFD"/>
    <w:rsid w:val="00452371"/>
    <w:rsid w:val="0045523D"/>
    <w:rsid w:val="00455EF3"/>
    <w:rsid w:val="004573B9"/>
    <w:rsid w:val="004616AD"/>
    <w:rsid w:val="004640AF"/>
    <w:rsid w:val="00464CF5"/>
    <w:rsid w:val="004715AE"/>
    <w:rsid w:val="00472341"/>
    <w:rsid w:val="0047785C"/>
    <w:rsid w:val="00481CBB"/>
    <w:rsid w:val="00482996"/>
    <w:rsid w:val="004844EE"/>
    <w:rsid w:val="00486464"/>
    <w:rsid w:val="00486656"/>
    <w:rsid w:val="00490F51"/>
    <w:rsid w:val="00496479"/>
    <w:rsid w:val="0049682D"/>
    <w:rsid w:val="004A5136"/>
    <w:rsid w:val="004B1E88"/>
    <w:rsid w:val="004B2688"/>
    <w:rsid w:val="004B31D6"/>
    <w:rsid w:val="004B3C2D"/>
    <w:rsid w:val="004B4AFA"/>
    <w:rsid w:val="004B77E5"/>
    <w:rsid w:val="004C34B5"/>
    <w:rsid w:val="004C38A4"/>
    <w:rsid w:val="004C48A7"/>
    <w:rsid w:val="004D17F3"/>
    <w:rsid w:val="004D58E7"/>
    <w:rsid w:val="004E1524"/>
    <w:rsid w:val="004E1E10"/>
    <w:rsid w:val="004E503F"/>
    <w:rsid w:val="004F470E"/>
    <w:rsid w:val="004F5000"/>
    <w:rsid w:val="00503827"/>
    <w:rsid w:val="00503BE0"/>
    <w:rsid w:val="005064B8"/>
    <w:rsid w:val="005119E0"/>
    <w:rsid w:val="00512DB6"/>
    <w:rsid w:val="00516054"/>
    <w:rsid w:val="00516C23"/>
    <w:rsid w:val="0051718C"/>
    <w:rsid w:val="00517231"/>
    <w:rsid w:val="00521216"/>
    <w:rsid w:val="005221B9"/>
    <w:rsid w:val="00524768"/>
    <w:rsid w:val="00526032"/>
    <w:rsid w:val="005310DE"/>
    <w:rsid w:val="00532CBA"/>
    <w:rsid w:val="00532D0B"/>
    <w:rsid w:val="005330FC"/>
    <w:rsid w:val="00540160"/>
    <w:rsid w:val="005402C5"/>
    <w:rsid w:val="00541F98"/>
    <w:rsid w:val="00542734"/>
    <w:rsid w:val="00545BCE"/>
    <w:rsid w:val="005472C0"/>
    <w:rsid w:val="00555C65"/>
    <w:rsid w:val="00556B58"/>
    <w:rsid w:val="005574F8"/>
    <w:rsid w:val="0056731F"/>
    <w:rsid w:val="00567DC3"/>
    <w:rsid w:val="0057082A"/>
    <w:rsid w:val="005751F7"/>
    <w:rsid w:val="0058311B"/>
    <w:rsid w:val="005900FF"/>
    <w:rsid w:val="00591900"/>
    <w:rsid w:val="005921A1"/>
    <w:rsid w:val="00592C63"/>
    <w:rsid w:val="00592CEA"/>
    <w:rsid w:val="005954AA"/>
    <w:rsid w:val="005A123E"/>
    <w:rsid w:val="005A7AFA"/>
    <w:rsid w:val="005B711A"/>
    <w:rsid w:val="005C70ED"/>
    <w:rsid w:val="005D08C6"/>
    <w:rsid w:val="005D12B3"/>
    <w:rsid w:val="005D6CDE"/>
    <w:rsid w:val="005F082E"/>
    <w:rsid w:val="005F3358"/>
    <w:rsid w:val="005F3514"/>
    <w:rsid w:val="005F402A"/>
    <w:rsid w:val="005F480B"/>
    <w:rsid w:val="006010B6"/>
    <w:rsid w:val="00602AB5"/>
    <w:rsid w:val="00604834"/>
    <w:rsid w:val="006052A6"/>
    <w:rsid w:val="00607112"/>
    <w:rsid w:val="00610715"/>
    <w:rsid w:val="006112B0"/>
    <w:rsid w:val="00611328"/>
    <w:rsid w:val="0061160E"/>
    <w:rsid w:val="006144E9"/>
    <w:rsid w:val="00614BEA"/>
    <w:rsid w:val="00615E48"/>
    <w:rsid w:val="00615F50"/>
    <w:rsid w:val="0062145A"/>
    <w:rsid w:val="006249CF"/>
    <w:rsid w:val="00625CD5"/>
    <w:rsid w:val="00627CC0"/>
    <w:rsid w:val="006302C8"/>
    <w:rsid w:val="00633AE3"/>
    <w:rsid w:val="00636397"/>
    <w:rsid w:val="00644201"/>
    <w:rsid w:val="006450FB"/>
    <w:rsid w:val="00647A27"/>
    <w:rsid w:val="00653CB7"/>
    <w:rsid w:val="00661DBB"/>
    <w:rsid w:val="00662EF6"/>
    <w:rsid w:val="00667503"/>
    <w:rsid w:val="006702B9"/>
    <w:rsid w:val="00674631"/>
    <w:rsid w:val="00676196"/>
    <w:rsid w:val="00681DD8"/>
    <w:rsid w:val="00682723"/>
    <w:rsid w:val="0068509B"/>
    <w:rsid w:val="00685737"/>
    <w:rsid w:val="006929DF"/>
    <w:rsid w:val="006935BE"/>
    <w:rsid w:val="006A62CE"/>
    <w:rsid w:val="006B10F2"/>
    <w:rsid w:val="006B2BD3"/>
    <w:rsid w:val="006B770A"/>
    <w:rsid w:val="006B7918"/>
    <w:rsid w:val="006B7BF1"/>
    <w:rsid w:val="006C3B05"/>
    <w:rsid w:val="006C43F7"/>
    <w:rsid w:val="006C51D5"/>
    <w:rsid w:val="006C5223"/>
    <w:rsid w:val="006C6599"/>
    <w:rsid w:val="006C6E24"/>
    <w:rsid w:val="006C7D2A"/>
    <w:rsid w:val="006D018D"/>
    <w:rsid w:val="006D0C68"/>
    <w:rsid w:val="006D1AA7"/>
    <w:rsid w:val="006D2059"/>
    <w:rsid w:val="006D3483"/>
    <w:rsid w:val="006D40E6"/>
    <w:rsid w:val="006E0E55"/>
    <w:rsid w:val="006F7CD7"/>
    <w:rsid w:val="00700054"/>
    <w:rsid w:val="00711DD7"/>
    <w:rsid w:val="00711FA2"/>
    <w:rsid w:val="007175C2"/>
    <w:rsid w:val="007202D4"/>
    <w:rsid w:val="00726E91"/>
    <w:rsid w:val="007301F1"/>
    <w:rsid w:val="00731DAF"/>
    <w:rsid w:val="007327E8"/>
    <w:rsid w:val="007355AC"/>
    <w:rsid w:val="007365A3"/>
    <w:rsid w:val="007433C9"/>
    <w:rsid w:val="0075573E"/>
    <w:rsid w:val="00755E3C"/>
    <w:rsid w:val="007646B2"/>
    <w:rsid w:val="007710F8"/>
    <w:rsid w:val="007729CE"/>
    <w:rsid w:val="00783041"/>
    <w:rsid w:val="007852BD"/>
    <w:rsid w:val="00793BCF"/>
    <w:rsid w:val="00794EAB"/>
    <w:rsid w:val="0079650A"/>
    <w:rsid w:val="007B0230"/>
    <w:rsid w:val="007B0A9C"/>
    <w:rsid w:val="007B2739"/>
    <w:rsid w:val="007B47A6"/>
    <w:rsid w:val="007C7F77"/>
    <w:rsid w:val="007D0867"/>
    <w:rsid w:val="007D0C84"/>
    <w:rsid w:val="007D30EF"/>
    <w:rsid w:val="007D3213"/>
    <w:rsid w:val="007D4571"/>
    <w:rsid w:val="007D54A5"/>
    <w:rsid w:val="007D560C"/>
    <w:rsid w:val="007D64A7"/>
    <w:rsid w:val="007E033E"/>
    <w:rsid w:val="007E10DF"/>
    <w:rsid w:val="007E2E09"/>
    <w:rsid w:val="007E48AC"/>
    <w:rsid w:val="007E778C"/>
    <w:rsid w:val="007F005E"/>
    <w:rsid w:val="007F45F1"/>
    <w:rsid w:val="007F7419"/>
    <w:rsid w:val="008002D1"/>
    <w:rsid w:val="0080189E"/>
    <w:rsid w:val="00805AFB"/>
    <w:rsid w:val="00811355"/>
    <w:rsid w:val="008116C1"/>
    <w:rsid w:val="00814E6A"/>
    <w:rsid w:val="00815B61"/>
    <w:rsid w:val="008160FA"/>
    <w:rsid w:val="00817419"/>
    <w:rsid w:val="00823305"/>
    <w:rsid w:val="00824754"/>
    <w:rsid w:val="008251E2"/>
    <w:rsid w:val="008277D3"/>
    <w:rsid w:val="008300A4"/>
    <w:rsid w:val="008331A0"/>
    <w:rsid w:val="00841468"/>
    <w:rsid w:val="00843AEA"/>
    <w:rsid w:val="00845E6D"/>
    <w:rsid w:val="0084632A"/>
    <w:rsid w:val="0085048C"/>
    <w:rsid w:val="008520E4"/>
    <w:rsid w:val="00853ECF"/>
    <w:rsid w:val="008605BC"/>
    <w:rsid w:val="00862197"/>
    <w:rsid w:val="008622BC"/>
    <w:rsid w:val="0086505B"/>
    <w:rsid w:val="00866A28"/>
    <w:rsid w:val="00870117"/>
    <w:rsid w:val="00872BB5"/>
    <w:rsid w:val="008755A4"/>
    <w:rsid w:val="00881B89"/>
    <w:rsid w:val="00885E42"/>
    <w:rsid w:val="008908E1"/>
    <w:rsid w:val="00892D0E"/>
    <w:rsid w:val="00893A0A"/>
    <w:rsid w:val="008967D8"/>
    <w:rsid w:val="008A19BB"/>
    <w:rsid w:val="008A5066"/>
    <w:rsid w:val="008A50F0"/>
    <w:rsid w:val="008A556C"/>
    <w:rsid w:val="008A5832"/>
    <w:rsid w:val="008A6613"/>
    <w:rsid w:val="008B0FB1"/>
    <w:rsid w:val="008B7587"/>
    <w:rsid w:val="008B7A10"/>
    <w:rsid w:val="008C2A9B"/>
    <w:rsid w:val="008C5E27"/>
    <w:rsid w:val="008D26DC"/>
    <w:rsid w:val="008D4307"/>
    <w:rsid w:val="008E3812"/>
    <w:rsid w:val="008F1458"/>
    <w:rsid w:val="008F18BC"/>
    <w:rsid w:val="008F2173"/>
    <w:rsid w:val="008F2DC6"/>
    <w:rsid w:val="008F5E9B"/>
    <w:rsid w:val="008F6BB1"/>
    <w:rsid w:val="00901023"/>
    <w:rsid w:val="009045DD"/>
    <w:rsid w:val="00905192"/>
    <w:rsid w:val="00905372"/>
    <w:rsid w:val="00906C4E"/>
    <w:rsid w:val="009128F8"/>
    <w:rsid w:val="009143DC"/>
    <w:rsid w:val="00915E04"/>
    <w:rsid w:val="00922802"/>
    <w:rsid w:val="009228B5"/>
    <w:rsid w:val="00924BC7"/>
    <w:rsid w:val="00925B79"/>
    <w:rsid w:val="00926887"/>
    <w:rsid w:val="009345E1"/>
    <w:rsid w:val="0093715A"/>
    <w:rsid w:val="00941D3B"/>
    <w:rsid w:val="00943423"/>
    <w:rsid w:val="00945907"/>
    <w:rsid w:val="00945E1A"/>
    <w:rsid w:val="00947C34"/>
    <w:rsid w:val="00950ACF"/>
    <w:rsid w:val="00952711"/>
    <w:rsid w:val="009531F7"/>
    <w:rsid w:val="0095451B"/>
    <w:rsid w:val="009547E5"/>
    <w:rsid w:val="00955EF7"/>
    <w:rsid w:val="00956ABE"/>
    <w:rsid w:val="0096217C"/>
    <w:rsid w:val="0096615E"/>
    <w:rsid w:val="00966CDB"/>
    <w:rsid w:val="00970ECC"/>
    <w:rsid w:val="00972964"/>
    <w:rsid w:val="0097678B"/>
    <w:rsid w:val="00976F52"/>
    <w:rsid w:val="0098042E"/>
    <w:rsid w:val="00983315"/>
    <w:rsid w:val="009834FC"/>
    <w:rsid w:val="00983EC0"/>
    <w:rsid w:val="00986195"/>
    <w:rsid w:val="00986F5C"/>
    <w:rsid w:val="009877C5"/>
    <w:rsid w:val="00995EBB"/>
    <w:rsid w:val="009A340B"/>
    <w:rsid w:val="009A6E52"/>
    <w:rsid w:val="009B0508"/>
    <w:rsid w:val="009B2B0C"/>
    <w:rsid w:val="009B40DB"/>
    <w:rsid w:val="009C009B"/>
    <w:rsid w:val="009C1FE0"/>
    <w:rsid w:val="009C4D23"/>
    <w:rsid w:val="009C6FDA"/>
    <w:rsid w:val="009D1306"/>
    <w:rsid w:val="009D759B"/>
    <w:rsid w:val="009E2032"/>
    <w:rsid w:val="009E52D5"/>
    <w:rsid w:val="009E75F6"/>
    <w:rsid w:val="009F0639"/>
    <w:rsid w:val="009F0CD6"/>
    <w:rsid w:val="009F443E"/>
    <w:rsid w:val="009F4617"/>
    <w:rsid w:val="009F4E6A"/>
    <w:rsid w:val="00A0472B"/>
    <w:rsid w:val="00A047AE"/>
    <w:rsid w:val="00A10407"/>
    <w:rsid w:val="00A10A3C"/>
    <w:rsid w:val="00A112DE"/>
    <w:rsid w:val="00A207BA"/>
    <w:rsid w:val="00A25D8E"/>
    <w:rsid w:val="00A321DB"/>
    <w:rsid w:val="00A32B3F"/>
    <w:rsid w:val="00A33035"/>
    <w:rsid w:val="00A36CC0"/>
    <w:rsid w:val="00A4397F"/>
    <w:rsid w:val="00A513C5"/>
    <w:rsid w:val="00A60C40"/>
    <w:rsid w:val="00A610EE"/>
    <w:rsid w:val="00A6226E"/>
    <w:rsid w:val="00A65721"/>
    <w:rsid w:val="00A6575F"/>
    <w:rsid w:val="00A65B69"/>
    <w:rsid w:val="00A66150"/>
    <w:rsid w:val="00A7096A"/>
    <w:rsid w:val="00A72FCA"/>
    <w:rsid w:val="00A75479"/>
    <w:rsid w:val="00A7551D"/>
    <w:rsid w:val="00A808A2"/>
    <w:rsid w:val="00A8248D"/>
    <w:rsid w:val="00A87DF3"/>
    <w:rsid w:val="00A91498"/>
    <w:rsid w:val="00A91716"/>
    <w:rsid w:val="00A960F1"/>
    <w:rsid w:val="00AA7510"/>
    <w:rsid w:val="00AB0D93"/>
    <w:rsid w:val="00AB2416"/>
    <w:rsid w:val="00AB5BDD"/>
    <w:rsid w:val="00AC10C7"/>
    <w:rsid w:val="00AC1BD0"/>
    <w:rsid w:val="00AC2089"/>
    <w:rsid w:val="00AD55A0"/>
    <w:rsid w:val="00AE01FC"/>
    <w:rsid w:val="00AE5FB7"/>
    <w:rsid w:val="00AE602E"/>
    <w:rsid w:val="00AE671A"/>
    <w:rsid w:val="00AF1506"/>
    <w:rsid w:val="00AF49B8"/>
    <w:rsid w:val="00AF66B5"/>
    <w:rsid w:val="00AF77FC"/>
    <w:rsid w:val="00B02160"/>
    <w:rsid w:val="00B0248E"/>
    <w:rsid w:val="00B02CCD"/>
    <w:rsid w:val="00B02D1F"/>
    <w:rsid w:val="00B03524"/>
    <w:rsid w:val="00B176ED"/>
    <w:rsid w:val="00B271EE"/>
    <w:rsid w:val="00B310FF"/>
    <w:rsid w:val="00B33349"/>
    <w:rsid w:val="00B371C7"/>
    <w:rsid w:val="00B3722B"/>
    <w:rsid w:val="00B45062"/>
    <w:rsid w:val="00B4787C"/>
    <w:rsid w:val="00B52280"/>
    <w:rsid w:val="00B56B41"/>
    <w:rsid w:val="00B602AE"/>
    <w:rsid w:val="00B60AB7"/>
    <w:rsid w:val="00B62666"/>
    <w:rsid w:val="00B62C07"/>
    <w:rsid w:val="00B641FF"/>
    <w:rsid w:val="00B64A79"/>
    <w:rsid w:val="00B66259"/>
    <w:rsid w:val="00B6727D"/>
    <w:rsid w:val="00B778C5"/>
    <w:rsid w:val="00B81E47"/>
    <w:rsid w:val="00B87953"/>
    <w:rsid w:val="00B8798C"/>
    <w:rsid w:val="00B95E31"/>
    <w:rsid w:val="00B95F5D"/>
    <w:rsid w:val="00BA0857"/>
    <w:rsid w:val="00BA4492"/>
    <w:rsid w:val="00BA497C"/>
    <w:rsid w:val="00BA5149"/>
    <w:rsid w:val="00BA6E11"/>
    <w:rsid w:val="00BB2B69"/>
    <w:rsid w:val="00BB3D68"/>
    <w:rsid w:val="00BB55A7"/>
    <w:rsid w:val="00BC33FD"/>
    <w:rsid w:val="00BC6217"/>
    <w:rsid w:val="00BD1BEC"/>
    <w:rsid w:val="00BD2821"/>
    <w:rsid w:val="00BD61D0"/>
    <w:rsid w:val="00BD6F32"/>
    <w:rsid w:val="00BE00EC"/>
    <w:rsid w:val="00BE38E4"/>
    <w:rsid w:val="00BE6095"/>
    <w:rsid w:val="00BF0733"/>
    <w:rsid w:val="00BF1EC0"/>
    <w:rsid w:val="00BF4177"/>
    <w:rsid w:val="00C002EB"/>
    <w:rsid w:val="00C023EC"/>
    <w:rsid w:val="00C065C2"/>
    <w:rsid w:val="00C11854"/>
    <w:rsid w:val="00C1698D"/>
    <w:rsid w:val="00C20B55"/>
    <w:rsid w:val="00C23270"/>
    <w:rsid w:val="00C237BD"/>
    <w:rsid w:val="00C32BB8"/>
    <w:rsid w:val="00C32DA4"/>
    <w:rsid w:val="00C340C0"/>
    <w:rsid w:val="00C3747A"/>
    <w:rsid w:val="00C42392"/>
    <w:rsid w:val="00C4385F"/>
    <w:rsid w:val="00C47ED8"/>
    <w:rsid w:val="00C51EB8"/>
    <w:rsid w:val="00C55600"/>
    <w:rsid w:val="00C5660B"/>
    <w:rsid w:val="00C63109"/>
    <w:rsid w:val="00C64258"/>
    <w:rsid w:val="00C6436A"/>
    <w:rsid w:val="00C64ECB"/>
    <w:rsid w:val="00C72CB8"/>
    <w:rsid w:val="00C73D18"/>
    <w:rsid w:val="00C813DE"/>
    <w:rsid w:val="00C83525"/>
    <w:rsid w:val="00C90983"/>
    <w:rsid w:val="00C927A0"/>
    <w:rsid w:val="00C92873"/>
    <w:rsid w:val="00C965C2"/>
    <w:rsid w:val="00CB18DE"/>
    <w:rsid w:val="00CB2651"/>
    <w:rsid w:val="00CB772E"/>
    <w:rsid w:val="00CC29E1"/>
    <w:rsid w:val="00CC2F47"/>
    <w:rsid w:val="00CC6F4A"/>
    <w:rsid w:val="00CD3010"/>
    <w:rsid w:val="00CD3190"/>
    <w:rsid w:val="00CD3366"/>
    <w:rsid w:val="00CD5738"/>
    <w:rsid w:val="00CD76B3"/>
    <w:rsid w:val="00CD7E88"/>
    <w:rsid w:val="00CE1119"/>
    <w:rsid w:val="00CE26E9"/>
    <w:rsid w:val="00CE6422"/>
    <w:rsid w:val="00CE76FB"/>
    <w:rsid w:val="00CF0E0D"/>
    <w:rsid w:val="00CF7A48"/>
    <w:rsid w:val="00D0146E"/>
    <w:rsid w:val="00D01C4D"/>
    <w:rsid w:val="00D02C26"/>
    <w:rsid w:val="00D032DF"/>
    <w:rsid w:val="00D03374"/>
    <w:rsid w:val="00D05776"/>
    <w:rsid w:val="00D14D55"/>
    <w:rsid w:val="00D21363"/>
    <w:rsid w:val="00D22AAF"/>
    <w:rsid w:val="00D25171"/>
    <w:rsid w:val="00D25FFC"/>
    <w:rsid w:val="00D26A4E"/>
    <w:rsid w:val="00D27232"/>
    <w:rsid w:val="00D3057F"/>
    <w:rsid w:val="00D30CA9"/>
    <w:rsid w:val="00D408F5"/>
    <w:rsid w:val="00D428A3"/>
    <w:rsid w:val="00D43897"/>
    <w:rsid w:val="00D52664"/>
    <w:rsid w:val="00D53913"/>
    <w:rsid w:val="00D57B65"/>
    <w:rsid w:val="00D7095F"/>
    <w:rsid w:val="00D71050"/>
    <w:rsid w:val="00D76117"/>
    <w:rsid w:val="00D86A30"/>
    <w:rsid w:val="00D906AD"/>
    <w:rsid w:val="00D9353D"/>
    <w:rsid w:val="00D93768"/>
    <w:rsid w:val="00D94C67"/>
    <w:rsid w:val="00DA0696"/>
    <w:rsid w:val="00DA1E18"/>
    <w:rsid w:val="00DA2247"/>
    <w:rsid w:val="00DA3D97"/>
    <w:rsid w:val="00DB2A69"/>
    <w:rsid w:val="00DB32B6"/>
    <w:rsid w:val="00DB5285"/>
    <w:rsid w:val="00DC7DE0"/>
    <w:rsid w:val="00DD0881"/>
    <w:rsid w:val="00DD2E49"/>
    <w:rsid w:val="00DD44C5"/>
    <w:rsid w:val="00DE2A55"/>
    <w:rsid w:val="00DE2A99"/>
    <w:rsid w:val="00DE3EEC"/>
    <w:rsid w:val="00DE576F"/>
    <w:rsid w:val="00DE5B0F"/>
    <w:rsid w:val="00DE6D67"/>
    <w:rsid w:val="00DF4681"/>
    <w:rsid w:val="00E00F5D"/>
    <w:rsid w:val="00E023C9"/>
    <w:rsid w:val="00E03CFC"/>
    <w:rsid w:val="00E04D6B"/>
    <w:rsid w:val="00E127FE"/>
    <w:rsid w:val="00E13F86"/>
    <w:rsid w:val="00E14B58"/>
    <w:rsid w:val="00E17F1B"/>
    <w:rsid w:val="00E20157"/>
    <w:rsid w:val="00E2098A"/>
    <w:rsid w:val="00E20B33"/>
    <w:rsid w:val="00E2458C"/>
    <w:rsid w:val="00E25A02"/>
    <w:rsid w:val="00E27E6F"/>
    <w:rsid w:val="00E31B2E"/>
    <w:rsid w:val="00E33C24"/>
    <w:rsid w:val="00E40946"/>
    <w:rsid w:val="00E429DD"/>
    <w:rsid w:val="00E50F70"/>
    <w:rsid w:val="00E523A9"/>
    <w:rsid w:val="00E52B69"/>
    <w:rsid w:val="00E55F51"/>
    <w:rsid w:val="00E57985"/>
    <w:rsid w:val="00E60DD5"/>
    <w:rsid w:val="00E619C2"/>
    <w:rsid w:val="00E6279D"/>
    <w:rsid w:val="00E63A32"/>
    <w:rsid w:val="00E70F42"/>
    <w:rsid w:val="00E76043"/>
    <w:rsid w:val="00E77422"/>
    <w:rsid w:val="00E807EF"/>
    <w:rsid w:val="00E836D4"/>
    <w:rsid w:val="00E86C06"/>
    <w:rsid w:val="00E906A1"/>
    <w:rsid w:val="00E909D5"/>
    <w:rsid w:val="00E90FFC"/>
    <w:rsid w:val="00E92C97"/>
    <w:rsid w:val="00E92EC3"/>
    <w:rsid w:val="00E94E38"/>
    <w:rsid w:val="00E97171"/>
    <w:rsid w:val="00E9755A"/>
    <w:rsid w:val="00E97FDC"/>
    <w:rsid w:val="00EA1222"/>
    <w:rsid w:val="00EA6136"/>
    <w:rsid w:val="00EA6794"/>
    <w:rsid w:val="00EB119F"/>
    <w:rsid w:val="00EB25C0"/>
    <w:rsid w:val="00EB4ABE"/>
    <w:rsid w:val="00EB72CE"/>
    <w:rsid w:val="00EC04B5"/>
    <w:rsid w:val="00EC2B6F"/>
    <w:rsid w:val="00EC63C9"/>
    <w:rsid w:val="00EC6E1D"/>
    <w:rsid w:val="00EE0171"/>
    <w:rsid w:val="00EE65A2"/>
    <w:rsid w:val="00EE6F0A"/>
    <w:rsid w:val="00EE7C6E"/>
    <w:rsid w:val="00EF1818"/>
    <w:rsid w:val="00EF2E76"/>
    <w:rsid w:val="00EF68EC"/>
    <w:rsid w:val="00F038BC"/>
    <w:rsid w:val="00F071B9"/>
    <w:rsid w:val="00F1066F"/>
    <w:rsid w:val="00F11A3D"/>
    <w:rsid w:val="00F11AE5"/>
    <w:rsid w:val="00F2012A"/>
    <w:rsid w:val="00F20C5D"/>
    <w:rsid w:val="00F210C6"/>
    <w:rsid w:val="00F22FFA"/>
    <w:rsid w:val="00F2479A"/>
    <w:rsid w:val="00F30258"/>
    <w:rsid w:val="00F339A0"/>
    <w:rsid w:val="00F35E40"/>
    <w:rsid w:val="00F37509"/>
    <w:rsid w:val="00F423F8"/>
    <w:rsid w:val="00F437E0"/>
    <w:rsid w:val="00F4407E"/>
    <w:rsid w:val="00F4445D"/>
    <w:rsid w:val="00F46955"/>
    <w:rsid w:val="00F47014"/>
    <w:rsid w:val="00F5181D"/>
    <w:rsid w:val="00F523B9"/>
    <w:rsid w:val="00F60B81"/>
    <w:rsid w:val="00F64DEA"/>
    <w:rsid w:val="00F66CBA"/>
    <w:rsid w:val="00F738D6"/>
    <w:rsid w:val="00F73CF1"/>
    <w:rsid w:val="00F757B0"/>
    <w:rsid w:val="00F81C7D"/>
    <w:rsid w:val="00F86AF2"/>
    <w:rsid w:val="00F915AC"/>
    <w:rsid w:val="00F92354"/>
    <w:rsid w:val="00F94850"/>
    <w:rsid w:val="00F9539B"/>
    <w:rsid w:val="00F9577A"/>
    <w:rsid w:val="00F95ED4"/>
    <w:rsid w:val="00F961D5"/>
    <w:rsid w:val="00F9640C"/>
    <w:rsid w:val="00F97B7F"/>
    <w:rsid w:val="00FA5F52"/>
    <w:rsid w:val="00FA65E9"/>
    <w:rsid w:val="00FA6679"/>
    <w:rsid w:val="00FA7B4A"/>
    <w:rsid w:val="00FB0CF4"/>
    <w:rsid w:val="00FB2848"/>
    <w:rsid w:val="00FB3B6C"/>
    <w:rsid w:val="00FB48DD"/>
    <w:rsid w:val="00FB5B0D"/>
    <w:rsid w:val="00FB6D68"/>
    <w:rsid w:val="00FB70B2"/>
    <w:rsid w:val="00FC0824"/>
    <w:rsid w:val="00FC2A48"/>
    <w:rsid w:val="00FC2D9F"/>
    <w:rsid w:val="00FD2812"/>
    <w:rsid w:val="00FD5C95"/>
    <w:rsid w:val="00FD5CA6"/>
    <w:rsid w:val="00FE4905"/>
    <w:rsid w:val="00FE4B29"/>
    <w:rsid w:val="00FE7712"/>
    <w:rsid w:val="00FF4342"/>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898B6"/>
  <w15:docId w15:val="{11D62A19-DA9A-564A-959F-0FB664CC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983"/>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ind w:left="348" w:hanging="241"/>
      <w:jc w:val="both"/>
      <w:outlineLvl w:val="0"/>
    </w:pPr>
    <w:rPr>
      <w:b/>
      <w:bCs/>
    </w:rPr>
  </w:style>
  <w:style w:type="paragraph" w:styleId="Heading2">
    <w:name w:val="heading 2"/>
    <w:basedOn w:val="Normal"/>
    <w:next w:val="Normal"/>
    <w:link w:val="Heading2Char"/>
    <w:uiPriority w:val="9"/>
    <w:semiHidden/>
    <w:unhideWhenUsed/>
    <w:qFormat/>
    <w:rsid w:val="00011C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86C0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37"/>
      <w:ind w:left="108" w:right="110"/>
      <w:jc w:val="both"/>
    </w:pPr>
  </w:style>
  <w:style w:type="paragraph" w:styleId="ListParagraph">
    <w:name w:val="List Paragraph"/>
    <w:basedOn w:val="Normal"/>
    <w:uiPriority w:val="1"/>
    <w:qFormat/>
    <w:pPr>
      <w:ind w:left="348" w:hanging="24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309CF"/>
    <w:rPr>
      <w:sz w:val="16"/>
      <w:szCs w:val="16"/>
    </w:rPr>
  </w:style>
  <w:style w:type="paragraph" w:styleId="CommentText">
    <w:name w:val="annotation text"/>
    <w:basedOn w:val="Normal"/>
    <w:link w:val="CommentTextChar"/>
    <w:uiPriority w:val="99"/>
    <w:unhideWhenUsed/>
    <w:rsid w:val="002309CF"/>
    <w:rPr>
      <w:sz w:val="20"/>
      <w:szCs w:val="20"/>
    </w:rPr>
  </w:style>
  <w:style w:type="character" w:customStyle="1" w:styleId="CommentTextChar">
    <w:name w:val="Comment Text Char"/>
    <w:basedOn w:val="DefaultParagraphFont"/>
    <w:link w:val="CommentText"/>
    <w:uiPriority w:val="99"/>
    <w:rsid w:val="002309CF"/>
    <w:rPr>
      <w:rFonts w:ascii="Times New Roman" w:eastAsia="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sid w:val="002309CF"/>
    <w:rPr>
      <w:b/>
      <w:bCs/>
    </w:rPr>
  </w:style>
  <w:style w:type="character" w:customStyle="1" w:styleId="CommentSubjectChar">
    <w:name w:val="Comment Subject Char"/>
    <w:basedOn w:val="CommentTextChar"/>
    <w:link w:val="CommentSubject"/>
    <w:uiPriority w:val="99"/>
    <w:semiHidden/>
    <w:rsid w:val="002309CF"/>
    <w:rPr>
      <w:rFonts w:ascii="Times New Roman" w:eastAsia="Times New Roman" w:hAnsi="Times New Roman" w:cs="Times New Roman"/>
      <w:b/>
      <w:bCs/>
      <w:sz w:val="20"/>
      <w:szCs w:val="20"/>
      <w:lang w:val="pt-PT"/>
    </w:rPr>
  </w:style>
  <w:style w:type="paragraph" w:styleId="NormalWeb">
    <w:name w:val="Normal (Web)"/>
    <w:basedOn w:val="Normal"/>
    <w:uiPriority w:val="99"/>
    <w:unhideWhenUsed/>
    <w:rsid w:val="002309CF"/>
    <w:pPr>
      <w:spacing w:before="100" w:beforeAutospacing="1" w:after="100" w:afterAutospacing="1"/>
    </w:pPr>
  </w:style>
  <w:style w:type="paragraph" w:styleId="Header">
    <w:name w:val="header"/>
    <w:basedOn w:val="Normal"/>
    <w:link w:val="HeaderChar"/>
    <w:uiPriority w:val="99"/>
    <w:unhideWhenUsed/>
    <w:rsid w:val="002309CF"/>
    <w:pPr>
      <w:tabs>
        <w:tab w:val="center" w:pos="4680"/>
        <w:tab w:val="right" w:pos="9360"/>
      </w:tabs>
    </w:pPr>
  </w:style>
  <w:style w:type="character" w:customStyle="1" w:styleId="HeaderChar">
    <w:name w:val="Header Char"/>
    <w:basedOn w:val="DefaultParagraphFont"/>
    <w:link w:val="Header"/>
    <w:uiPriority w:val="99"/>
    <w:rsid w:val="002309CF"/>
    <w:rPr>
      <w:rFonts w:ascii="Times New Roman" w:eastAsia="Times New Roman" w:hAnsi="Times New Roman" w:cs="Times New Roman"/>
      <w:lang w:val="pt-PT"/>
    </w:rPr>
  </w:style>
  <w:style w:type="paragraph" w:styleId="Footer">
    <w:name w:val="footer"/>
    <w:basedOn w:val="Normal"/>
    <w:link w:val="FooterChar"/>
    <w:uiPriority w:val="99"/>
    <w:unhideWhenUsed/>
    <w:rsid w:val="002309CF"/>
    <w:pPr>
      <w:tabs>
        <w:tab w:val="center" w:pos="4680"/>
        <w:tab w:val="right" w:pos="9360"/>
      </w:tabs>
    </w:pPr>
  </w:style>
  <w:style w:type="character" w:customStyle="1" w:styleId="FooterChar">
    <w:name w:val="Footer Char"/>
    <w:basedOn w:val="DefaultParagraphFont"/>
    <w:link w:val="Footer"/>
    <w:uiPriority w:val="99"/>
    <w:rsid w:val="002309CF"/>
    <w:rPr>
      <w:rFonts w:ascii="Times New Roman" w:eastAsia="Times New Roman" w:hAnsi="Times New Roman" w:cs="Times New Roman"/>
      <w:lang w:val="pt-PT"/>
    </w:rPr>
  </w:style>
  <w:style w:type="character" w:customStyle="1" w:styleId="apple-tab-span">
    <w:name w:val="apple-tab-span"/>
    <w:basedOn w:val="DefaultParagraphFont"/>
    <w:rsid w:val="008A556C"/>
  </w:style>
  <w:style w:type="paragraph" w:styleId="Revision">
    <w:name w:val="Revision"/>
    <w:hidden/>
    <w:uiPriority w:val="99"/>
    <w:semiHidden/>
    <w:rsid w:val="00222C2A"/>
    <w:pPr>
      <w:widowControl/>
      <w:autoSpaceDE/>
      <w:autoSpaceDN/>
    </w:pPr>
    <w:rPr>
      <w:rFonts w:ascii="Times New Roman" w:eastAsia="Times New Roman" w:hAnsi="Times New Roman" w:cs="Times New Roman"/>
      <w:lang w:val="pt-PT"/>
    </w:rPr>
  </w:style>
  <w:style w:type="character" w:styleId="PageNumber">
    <w:name w:val="page number"/>
    <w:basedOn w:val="DefaultParagraphFont"/>
    <w:uiPriority w:val="99"/>
    <w:semiHidden/>
    <w:unhideWhenUsed/>
    <w:rsid w:val="00DD2E49"/>
  </w:style>
  <w:style w:type="table" w:styleId="TableGrid">
    <w:name w:val="Table Grid"/>
    <w:basedOn w:val="TableNormal"/>
    <w:uiPriority w:val="39"/>
    <w:rsid w:val="00182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B6F"/>
    <w:rPr>
      <w:color w:val="0000FF" w:themeColor="hyperlink"/>
      <w:u w:val="single"/>
    </w:rPr>
  </w:style>
  <w:style w:type="character" w:styleId="UnresolvedMention">
    <w:name w:val="Unresolved Mention"/>
    <w:basedOn w:val="DefaultParagraphFont"/>
    <w:uiPriority w:val="99"/>
    <w:semiHidden/>
    <w:unhideWhenUsed/>
    <w:rsid w:val="00182B6F"/>
    <w:rPr>
      <w:color w:val="605E5C"/>
      <w:shd w:val="clear" w:color="auto" w:fill="E1DFDD"/>
    </w:rPr>
  </w:style>
  <w:style w:type="paragraph" w:styleId="NoSpacing">
    <w:name w:val="No Spacing"/>
    <w:uiPriority w:val="1"/>
    <w:qFormat/>
    <w:rsid w:val="00915E04"/>
    <w:pPr>
      <w:widowControl/>
      <w:autoSpaceDE/>
      <w:autoSpaceDN/>
    </w:pPr>
    <w:rPr>
      <w:lang w:val="pt-BR"/>
    </w:rPr>
  </w:style>
  <w:style w:type="character" w:customStyle="1" w:styleId="Heading2Char">
    <w:name w:val="Heading 2 Char"/>
    <w:basedOn w:val="DefaultParagraphFont"/>
    <w:link w:val="Heading2"/>
    <w:uiPriority w:val="9"/>
    <w:semiHidden/>
    <w:rsid w:val="00011C4D"/>
    <w:rPr>
      <w:rFonts w:asciiTheme="majorHAnsi" w:eastAsiaTheme="majorEastAsia" w:hAnsiTheme="majorHAnsi" w:cstheme="majorBidi"/>
      <w:color w:val="365F91" w:themeColor="accent1" w:themeShade="BF"/>
      <w:sz w:val="26"/>
      <w:szCs w:val="26"/>
      <w:lang w:val="pt-PT"/>
    </w:rPr>
  </w:style>
  <w:style w:type="character" w:customStyle="1" w:styleId="BodyTextChar">
    <w:name w:val="Body Text Char"/>
    <w:basedOn w:val="DefaultParagraphFont"/>
    <w:link w:val="BodyText"/>
    <w:uiPriority w:val="1"/>
    <w:rsid w:val="008F18BC"/>
    <w:rPr>
      <w:rFonts w:ascii="Times New Roman" w:eastAsia="Times New Roman" w:hAnsi="Times New Roman" w:cs="Times New Roman"/>
      <w:sz w:val="24"/>
      <w:szCs w:val="24"/>
      <w:lang w:val="pt-PT"/>
    </w:rPr>
  </w:style>
  <w:style w:type="character" w:customStyle="1" w:styleId="Heading3Char">
    <w:name w:val="Heading 3 Char"/>
    <w:basedOn w:val="DefaultParagraphFont"/>
    <w:link w:val="Heading3"/>
    <w:uiPriority w:val="9"/>
    <w:semiHidden/>
    <w:rsid w:val="00E86C06"/>
    <w:rPr>
      <w:rFonts w:asciiTheme="majorHAnsi" w:eastAsiaTheme="majorEastAsia" w:hAnsiTheme="majorHAnsi" w:cstheme="majorBidi"/>
      <w:color w:val="243F60" w:themeColor="accent1" w:themeShade="7F"/>
      <w:sz w:val="24"/>
      <w:szCs w:val="24"/>
      <w:lang w:val="pt-PT"/>
    </w:rPr>
  </w:style>
  <w:style w:type="character" w:styleId="Emphasis">
    <w:name w:val="Emphasis"/>
    <w:basedOn w:val="DefaultParagraphFont"/>
    <w:uiPriority w:val="20"/>
    <w:qFormat/>
    <w:rsid w:val="001A6A40"/>
    <w:rPr>
      <w:i/>
      <w:iCs/>
    </w:rPr>
  </w:style>
  <w:style w:type="paragraph" w:customStyle="1" w:styleId="Default">
    <w:name w:val="Default"/>
    <w:rsid w:val="00E807EF"/>
    <w:pPr>
      <w:widowControl/>
      <w:adjustRightInd w:val="0"/>
    </w:pPr>
    <w:rPr>
      <w:rFonts w:ascii="Times New Roman" w:hAnsi="Times New Roman" w:cs="Times New Roman"/>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792">
      <w:bodyDiv w:val="1"/>
      <w:marLeft w:val="0"/>
      <w:marRight w:val="0"/>
      <w:marTop w:val="0"/>
      <w:marBottom w:val="0"/>
      <w:divBdr>
        <w:top w:val="none" w:sz="0" w:space="0" w:color="auto"/>
        <w:left w:val="none" w:sz="0" w:space="0" w:color="auto"/>
        <w:bottom w:val="none" w:sz="0" w:space="0" w:color="auto"/>
        <w:right w:val="none" w:sz="0" w:space="0" w:color="auto"/>
      </w:divBdr>
      <w:divsChild>
        <w:div w:id="1557815863">
          <w:marLeft w:val="0"/>
          <w:marRight w:val="0"/>
          <w:marTop w:val="0"/>
          <w:marBottom w:val="0"/>
          <w:divBdr>
            <w:top w:val="none" w:sz="0" w:space="0" w:color="auto"/>
            <w:left w:val="none" w:sz="0" w:space="0" w:color="auto"/>
            <w:bottom w:val="none" w:sz="0" w:space="0" w:color="auto"/>
            <w:right w:val="none" w:sz="0" w:space="0" w:color="auto"/>
          </w:divBdr>
          <w:divsChild>
            <w:div w:id="76247357">
              <w:marLeft w:val="0"/>
              <w:marRight w:val="0"/>
              <w:marTop w:val="0"/>
              <w:marBottom w:val="0"/>
              <w:divBdr>
                <w:top w:val="none" w:sz="0" w:space="0" w:color="auto"/>
                <w:left w:val="none" w:sz="0" w:space="0" w:color="auto"/>
                <w:bottom w:val="none" w:sz="0" w:space="0" w:color="auto"/>
                <w:right w:val="none" w:sz="0" w:space="0" w:color="auto"/>
              </w:divBdr>
              <w:divsChild>
                <w:div w:id="12671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993">
      <w:bodyDiv w:val="1"/>
      <w:marLeft w:val="0"/>
      <w:marRight w:val="0"/>
      <w:marTop w:val="0"/>
      <w:marBottom w:val="0"/>
      <w:divBdr>
        <w:top w:val="none" w:sz="0" w:space="0" w:color="auto"/>
        <w:left w:val="none" w:sz="0" w:space="0" w:color="auto"/>
        <w:bottom w:val="none" w:sz="0" w:space="0" w:color="auto"/>
        <w:right w:val="none" w:sz="0" w:space="0" w:color="auto"/>
      </w:divBdr>
      <w:divsChild>
        <w:div w:id="1365639598">
          <w:marLeft w:val="0"/>
          <w:marRight w:val="0"/>
          <w:marTop w:val="0"/>
          <w:marBottom w:val="0"/>
          <w:divBdr>
            <w:top w:val="none" w:sz="0" w:space="0" w:color="auto"/>
            <w:left w:val="none" w:sz="0" w:space="0" w:color="auto"/>
            <w:bottom w:val="none" w:sz="0" w:space="0" w:color="auto"/>
            <w:right w:val="none" w:sz="0" w:space="0" w:color="auto"/>
          </w:divBdr>
          <w:divsChild>
            <w:div w:id="594366168">
              <w:marLeft w:val="0"/>
              <w:marRight w:val="0"/>
              <w:marTop w:val="0"/>
              <w:marBottom w:val="0"/>
              <w:divBdr>
                <w:top w:val="none" w:sz="0" w:space="0" w:color="auto"/>
                <w:left w:val="none" w:sz="0" w:space="0" w:color="auto"/>
                <w:bottom w:val="none" w:sz="0" w:space="0" w:color="auto"/>
                <w:right w:val="none" w:sz="0" w:space="0" w:color="auto"/>
              </w:divBdr>
              <w:divsChild>
                <w:div w:id="8129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706">
      <w:bodyDiv w:val="1"/>
      <w:marLeft w:val="0"/>
      <w:marRight w:val="0"/>
      <w:marTop w:val="0"/>
      <w:marBottom w:val="0"/>
      <w:divBdr>
        <w:top w:val="none" w:sz="0" w:space="0" w:color="auto"/>
        <w:left w:val="none" w:sz="0" w:space="0" w:color="auto"/>
        <w:bottom w:val="none" w:sz="0" w:space="0" w:color="auto"/>
        <w:right w:val="none" w:sz="0" w:space="0" w:color="auto"/>
      </w:divBdr>
      <w:divsChild>
        <w:div w:id="649870677">
          <w:marLeft w:val="0"/>
          <w:marRight w:val="0"/>
          <w:marTop w:val="0"/>
          <w:marBottom w:val="0"/>
          <w:divBdr>
            <w:top w:val="none" w:sz="0" w:space="0" w:color="auto"/>
            <w:left w:val="none" w:sz="0" w:space="0" w:color="auto"/>
            <w:bottom w:val="none" w:sz="0" w:space="0" w:color="auto"/>
            <w:right w:val="none" w:sz="0" w:space="0" w:color="auto"/>
          </w:divBdr>
          <w:divsChild>
            <w:div w:id="1175531938">
              <w:marLeft w:val="0"/>
              <w:marRight w:val="0"/>
              <w:marTop w:val="0"/>
              <w:marBottom w:val="0"/>
              <w:divBdr>
                <w:top w:val="none" w:sz="0" w:space="0" w:color="auto"/>
                <w:left w:val="none" w:sz="0" w:space="0" w:color="auto"/>
                <w:bottom w:val="none" w:sz="0" w:space="0" w:color="auto"/>
                <w:right w:val="none" w:sz="0" w:space="0" w:color="auto"/>
              </w:divBdr>
              <w:divsChild>
                <w:div w:id="12259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488">
      <w:bodyDiv w:val="1"/>
      <w:marLeft w:val="0"/>
      <w:marRight w:val="0"/>
      <w:marTop w:val="0"/>
      <w:marBottom w:val="0"/>
      <w:divBdr>
        <w:top w:val="none" w:sz="0" w:space="0" w:color="auto"/>
        <w:left w:val="none" w:sz="0" w:space="0" w:color="auto"/>
        <w:bottom w:val="none" w:sz="0" w:space="0" w:color="auto"/>
        <w:right w:val="none" w:sz="0" w:space="0" w:color="auto"/>
      </w:divBdr>
      <w:divsChild>
        <w:div w:id="147332098">
          <w:marLeft w:val="0"/>
          <w:marRight w:val="0"/>
          <w:marTop w:val="0"/>
          <w:marBottom w:val="0"/>
          <w:divBdr>
            <w:top w:val="none" w:sz="0" w:space="0" w:color="auto"/>
            <w:left w:val="none" w:sz="0" w:space="0" w:color="auto"/>
            <w:bottom w:val="none" w:sz="0" w:space="0" w:color="auto"/>
            <w:right w:val="none" w:sz="0" w:space="0" w:color="auto"/>
          </w:divBdr>
          <w:divsChild>
            <w:div w:id="1589271302">
              <w:marLeft w:val="0"/>
              <w:marRight w:val="0"/>
              <w:marTop w:val="0"/>
              <w:marBottom w:val="0"/>
              <w:divBdr>
                <w:top w:val="none" w:sz="0" w:space="0" w:color="auto"/>
                <w:left w:val="none" w:sz="0" w:space="0" w:color="auto"/>
                <w:bottom w:val="none" w:sz="0" w:space="0" w:color="auto"/>
                <w:right w:val="none" w:sz="0" w:space="0" w:color="auto"/>
              </w:divBdr>
              <w:divsChild>
                <w:div w:id="9917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44116">
      <w:bodyDiv w:val="1"/>
      <w:marLeft w:val="0"/>
      <w:marRight w:val="0"/>
      <w:marTop w:val="0"/>
      <w:marBottom w:val="0"/>
      <w:divBdr>
        <w:top w:val="none" w:sz="0" w:space="0" w:color="auto"/>
        <w:left w:val="none" w:sz="0" w:space="0" w:color="auto"/>
        <w:bottom w:val="none" w:sz="0" w:space="0" w:color="auto"/>
        <w:right w:val="none" w:sz="0" w:space="0" w:color="auto"/>
      </w:divBdr>
    </w:div>
    <w:div w:id="94401539">
      <w:bodyDiv w:val="1"/>
      <w:marLeft w:val="0"/>
      <w:marRight w:val="0"/>
      <w:marTop w:val="0"/>
      <w:marBottom w:val="0"/>
      <w:divBdr>
        <w:top w:val="none" w:sz="0" w:space="0" w:color="auto"/>
        <w:left w:val="none" w:sz="0" w:space="0" w:color="auto"/>
        <w:bottom w:val="none" w:sz="0" w:space="0" w:color="auto"/>
        <w:right w:val="none" w:sz="0" w:space="0" w:color="auto"/>
      </w:divBdr>
      <w:divsChild>
        <w:div w:id="1219128144">
          <w:marLeft w:val="0"/>
          <w:marRight w:val="0"/>
          <w:marTop w:val="0"/>
          <w:marBottom w:val="0"/>
          <w:divBdr>
            <w:top w:val="none" w:sz="0" w:space="0" w:color="auto"/>
            <w:left w:val="none" w:sz="0" w:space="0" w:color="auto"/>
            <w:bottom w:val="none" w:sz="0" w:space="0" w:color="auto"/>
            <w:right w:val="none" w:sz="0" w:space="0" w:color="auto"/>
          </w:divBdr>
          <w:divsChild>
            <w:div w:id="904029056">
              <w:marLeft w:val="0"/>
              <w:marRight w:val="0"/>
              <w:marTop w:val="0"/>
              <w:marBottom w:val="0"/>
              <w:divBdr>
                <w:top w:val="none" w:sz="0" w:space="0" w:color="auto"/>
                <w:left w:val="none" w:sz="0" w:space="0" w:color="auto"/>
                <w:bottom w:val="none" w:sz="0" w:space="0" w:color="auto"/>
                <w:right w:val="none" w:sz="0" w:space="0" w:color="auto"/>
              </w:divBdr>
              <w:divsChild>
                <w:div w:id="204991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099">
      <w:bodyDiv w:val="1"/>
      <w:marLeft w:val="0"/>
      <w:marRight w:val="0"/>
      <w:marTop w:val="0"/>
      <w:marBottom w:val="0"/>
      <w:divBdr>
        <w:top w:val="none" w:sz="0" w:space="0" w:color="auto"/>
        <w:left w:val="none" w:sz="0" w:space="0" w:color="auto"/>
        <w:bottom w:val="none" w:sz="0" w:space="0" w:color="auto"/>
        <w:right w:val="none" w:sz="0" w:space="0" w:color="auto"/>
      </w:divBdr>
    </w:div>
    <w:div w:id="166601766">
      <w:bodyDiv w:val="1"/>
      <w:marLeft w:val="0"/>
      <w:marRight w:val="0"/>
      <w:marTop w:val="0"/>
      <w:marBottom w:val="0"/>
      <w:divBdr>
        <w:top w:val="none" w:sz="0" w:space="0" w:color="auto"/>
        <w:left w:val="none" w:sz="0" w:space="0" w:color="auto"/>
        <w:bottom w:val="none" w:sz="0" w:space="0" w:color="auto"/>
        <w:right w:val="none" w:sz="0" w:space="0" w:color="auto"/>
      </w:divBdr>
    </w:div>
    <w:div w:id="170919517">
      <w:bodyDiv w:val="1"/>
      <w:marLeft w:val="0"/>
      <w:marRight w:val="0"/>
      <w:marTop w:val="0"/>
      <w:marBottom w:val="0"/>
      <w:divBdr>
        <w:top w:val="none" w:sz="0" w:space="0" w:color="auto"/>
        <w:left w:val="none" w:sz="0" w:space="0" w:color="auto"/>
        <w:bottom w:val="none" w:sz="0" w:space="0" w:color="auto"/>
        <w:right w:val="none" w:sz="0" w:space="0" w:color="auto"/>
      </w:divBdr>
      <w:divsChild>
        <w:div w:id="818116390">
          <w:marLeft w:val="0"/>
          <w:marRight w:val="0"/>
          <w:marTop w:val="0"/>
          <w:marBottom w:val="0"/>
          <w:divBdr>
            <w:top w:val="none" w:sz="0" w:space="0" w:color="auto"/>
            <w:left w:val="none" w:sz="0" w:space="0" w:color="auto"/>
            <w:bottom w:val="none" w:sz="0" w:space="0" w:color="auto"/>
            <w:right w:val="none" w:sz="0" w:space="0" w:color="auto"/>
          </w:divBdr>
          <w:divsChild>
            <w:div w:id="414320929">
              <w:marLeft w:val="0"/>
              <w:marRight w:val="0"/>
              <w:marTop w:val="0"/>
              <w:marBottom w:val="0"/>
              <w:divBdr>
                <w:top w:val="none" w:sz="0" w:space="0" w:color="auto"/>
                <w:left w:val="none" w:sz="0" w:space="0" w:color="auto"/>
                <w:bottom w:val="none" w:sz="0" w:space="0" w:color="auto"/>
                <w:right w:val="none" w:sz="0" w:space="0" w:color="auto"/>
              </w:divBdr>
              <w:divsChild>
                <w:div w:id="14481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1882">
      <w:bodyDiv w:val="1"/>
      <w:marLeft w:val="0"/>
      <w:marRight w:val="0"/>
      <w:marTop w:val="0"/>
      <w:marBottom w:val="0"/>
      <w:divBdr>
        <w:top w:val="none" w:sz="0" w:space="0" w:color="auto"/>
        <w:left w:val="none" w:sz="0" w:space="0" w:color="auto"/>
        <w:bottom w:val="none" w:sz="0" w:space="0" w:color="auto"/>
        <w:right w:val="none" w:sz="0" w:space="0" w:color="auto"/>
      </w:divBdr>
      <w:divsChild>
        <w:div w:id="720791269">
          <w:marLeft w:val="0"/>
          <w:marRight w:val="0"/>
          <w:marTop w:val="0"/>
          <w:marBottom w:val="0"/>
          <w:divBdr>
            <w:top w:val="none" w:sz="0" w:space="0" w:color="auto"/>
            <w:left w:val="none" w:sz="0" w:space="0" w:color="auto"/>
            <w:bottom w:val="none" w:sz="0" w:space="0" w:color="auto"/>
            <w:right w:val="none" w:sz="0" w:space="0" w:color="auto"/>
          </w:divBdr>
          <w:divsChild>
            <w:div w:id="266423169">
              <w:marLeft w:val="0"/>
              <w:marRight w:val="0"/>
              <w:marTop w:val="0"/>
              <w:marBottom w:val="0"/>
              <w:divBdr>
                <w:top w:val="none" w:sz="0" w:space="0" w:color="auto"/>
                <w:left w:val="none" w:sz="0" w:space="0" w:color="auto"/>
                <w:bottom w:val="none" w:sz="0" w:space="0" w:color="auto"/>
                <w:right w:val="none" w:sz="0" w:space="0" w:color="auto"/>
              </w:divBdr>
              <w:divsChild>
                <w:div w:id="9775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9082">
      <w:bodyDiv w:val="1"/>
      <w:marLeft w:val="0"/>
      <w:marRight w:val="0"/>
      <w:marTop w:val="0"/>
      <w:marBottom w:val="0"/>
      <w:divBdr>
        <w:top w:val="none" w:sz="0" w:space="0" w:color="auto"/>
        <w:left w:val="none" w:sz="0" w:space="0" w:color="auto"/>
        <w:bottom w:val="none" w:sz="0" w:space="0" w:color="auto"/>
        <w:right w:val="none" w:sz="0" w:space="0" w:color="auto"/>
      </w:divBdr>
      <w:divsChild>
        <w:div w:id="222642865">
          <w:marLeft w:val="0"/>
          <w:marRight w:val="0"/>
          <w:marTop w:val="0"/>
          <w:marBottom w:val="0"/>
          <w:divBdr>
            <w:top w:val="none" w:sz="0" w:space="0" w:color="auto"/>
            <w:left w:val="none" w:sz="0" w:space="0" w:color="auto"/>
            <w:bottom w:val="none" w:sz="0" w:space="0" w:color="auto"/>
            <w:right w:val="none" w:sz="0" w:space="0" w:color="auto"/>
          </w:divBdr>
          <w:divsChild>
            <w:div w:id="1529101510">
              <w:marLeft w:val="0"/>
              <w:marRight w:val="0"/>
              <w:marTop w:val="0"/>
              <w:marBottom w:val="0"/>
              <w:divBdr>
                <w:top w:val="none" w:sz="0" w:space="0" w:color="auto"/>
                <w:left w:val="none" w:sz="0" w:space="0" w:color="auto"/>
                <w:bottom w:val="none" w:sz="0" w:space="0" w:color="auto"/>
                <w:right w:val="none" w:sz="0" w:space="0" w:color="auto"/>
              </w:divBdr>
              <w:divsChild>
                <w:div w:id="68433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7201">
      <w:bodyDiv w:val="1"/>
      <w:marLeft w:val="0"/>
      <w:marRight w:val="0"/>
      <w:marTop w:val="0"/>
      <w:marBottom w:val="0"/>
      <w:divBdr>
        <w:top w:val="none" w:sz="0" w:space="0" w:color="auto"/>
        <w:left w:val="none" w:sz="0" w:space="0" w:color="auto"/>
        <w:bottom w:val="none" w:sz="0" w:space="0" w:color="auto"/>
        <w:right w:val="none" w:sz="0" w:space="0" w:color="auto"/>
      </w:divBdr>
      <w:divsChild>
        <w:div w:id="594240953">
          <w:marLeft w:val="0"/>
          <w:marRight w:val="0"/>
          <w:marTop w:val="0"/>
          <w:marBottom w:val="0"/>
          <w:divBdr>
            <w:top w:val="none" w:sz="0" w:space="0" w:color="auto"/>
            <w:left w:val="none" w:sz="0" w:space="0" w:color="auto"/>
            <w:bottom w:val="none" w:sz="0" w:space="0" w:color="auto"/>
            <w:right w:val="none" w:sz="0" w:space="0" w:color="auto"/>
          </w:divBdr>
          <w:divsChild>
            <w:div w:id="1490947304">
              <w:marLeft w:val="0"/>
              <w:marRight w:val="0"/>
              <w:marTop w:val="0"/>
              <w:marBottom w:val="0"/>
              <w:divBdr>
                <w:top w:val="none" w:sz="0" w:space="0" w:color="auto"/>
                <w:left w:val="none" w:sz="0" w:space="0" w:color="auto"/>
                <w:bottom w:val="none" w:sz="0" w:space="0" w:color="auto"/>
                <w:right w:val="none" w:sz="0" w:space="0" w:color="auto"/>
              </w:divBdr>
              <w:divsChild>
                <w:div w:id="16596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0349">
      <w:bodyDiv w:val="1"/>
      <w:marLeft w:val="0"/>
      <w:marRight w:val="0"/>
      <w:marTop w:val="0"/>
      <w:marBottom w:val="0"/>
      <w:divBdr>
        <w:top w:val="none" w:sz="0" w:space="0" w:color="auto"/>
        <w:left w:val="none" w:sz="0" w:space="0" w:color="auto"/>
        <w:bottom w:val="none" w:sz="0" w:space="0" w:color="auto"/>
        <w:right w:val="none" w:sz="0" w:space="0" w:color="auto"/>
      </w:divBdr>
      <w:divsChild>
        <w:div w:id="1584606185">
          <w:marLeft w:val="0"/>
          <w:marRight w:val="0"/>
          <w:marTop w:val="0"/>
          <w:marBottom w:val="0"/>
          <w:divBdr>
            <w:top w:val="none" w:sz="0" w:space="0" w:color="auto"/>
            <w:left w:val="none" w:sz="0" w:space="0" w:color="auto"/>
            <w:bottom w:val="none" w:sz="0" w:space="0" w:color="auto"/>
            <w:right w:val="none" w:sz="0" w:space="0" w:color="auto"/>
          </w:divBdr>
          <w:divsChild>
            <w:div w:id="2041320685">
              <w:marLeft w:val="0"/>
              <w:marRight w:val="0"/>
              <w:marTop w:val="0"/>
              <w:marBottom w:val="0"/>
              <w:divBdr>
                <w:top w:val="none" w:sz="0" w:space="0" w:color="auto"/>
                <w:left w:val="none" w:sz="0" w:space="0" w:color="auto"/>
                <w:bottom w:val="none" w:sz="0" w:space="0" w:color="auto"/>
                <w:right w:val="none" w:sz="0" w:space="0" w:color="auto"/>
              </w:divBdr>
              <w:divsChild>
                <w:div w:id="242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430212">
      <w:bodyDiv w:val="1"/>
      <w:marLeft w:val="0"/>
      <w:marRight w:val="0"/>
      <w:marTop w:val="0"/>
      <w:marBottom w:val="0"/>
      <w:divBdr>
        <w:top w:val="none" w:sz="0" w:space="0" w:color="auto"/>
        <w:left w:val="none" w:sz="0" w:space="0" w:color="auto"/>
        <w:bottom w:val="none" w:sz="0" w:space="0" w:color="auto"/>
        <w:right w:val="none" w:sz="0" w:space="0" w:color="auto"/>
      </w:divBdr>
    </w:div>
    <w:div w:id="240868884">
      <w:bodyDiv w:val="1"/>
      <w:marLeft w:val="0"/>
      <w:marRight w:val="0"/>
      <w:marTop w:val="0"/>
      <w:marBottom w:val="0"/>
      <w:divBdr>
        <w:top w:val="none" w:sz="0" w:space="0" w:color="auto"/>
        <w:left w:val="none" w:sz="0" w:space="0" w:color="auto"/>
        <w:bottom w:val="none" w:sz="0" w:space="0" w:color="auto"/>
        <w:right w:val="none" w:sz="0" w:space="0" w:color="auto"/>
      </w:divBdr>
      <w:divsChild>
        <w:div w:id="910892338">
          <w:marLeft w:val="0"/>
          <w:marRight w:val="0"/>
          <w:marTop w:val="0"/>
          <w:marBottom w:val="0"/>
          <w:divBdr>
            <w:top w:val="none" w:sz="0" w:space="0" w:color="auto"/>
            <w:left w:val="none" w:sz="0" w:space="0" w:color="auto"/>
            <w:bottom w:val="none" w:sz="0" w:space="0" w:color="auto"/>
            <w:right w:val="none" w:sz="0" w:space="0" w:color="auto"/>
          </w:divBdr>
          <w:divsChild>
            <w:div w:id="1857159626">
              <w:marLeft w:val="0"/>
              <w:marRight w:val="0"/>
              <w:marTop w:val="0"/>
              <w:marBottom w:val="0"/>
              <w:divBdr>
                <w:top w:val="none" w:sz="0" w:space="0" w:color="auto"/>
                <w:left w:val="none" w:sz="0" w:space="0" w:color="auto"/>
                <w:bottom w:val="none" w:sz="0" w:space="0" w:color="auto"/>
                <w:right w:val="none" w:sz="0" w:space="0" w:color="auto"/>
              </w:divBdr>
              <w:divsChild>
                <w:div w:id="13154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68144">
      <w:bodyDiv w:val="1"/>
      <w:marLeft w:val="0"/>
      <w:marRight w:val="0"/>
      <w:marTop w:val="0"/>
      <w:marBottom w:val="0"/>
      <w:divBdr>
        <w:top w:val="none" w:sz="0" w:space="0" w:color="auto"/>
        <w:left w:val="none" w:sz="0" w:space="0" w:color="auto"/>
        <w:bottom w:val="none" w:sz="0" w:space="0" w:color="auto"/>
        <w:right w:val="none" w:sz="0" w:space="0" w:color="auto"/>
      </w:divBdr>
      <w:divsChild>
        <w:div w:id="621150525">
          <w:marLeft w:val="0"/>
          <w:marRight w:val="0"/>
          <w:marTop w:val="0"/>
          <w:marBottom w:val="0"/>
          <w:divBdr>
            <w:top w:val="none" w:sz="0" w:space="0" w:color="auto"/>
            <w:left w:val="none" w:sz="0" w:space="0" w:color="auto"/>
            <w:bottom w:val="none" w:sz="0" w:space="0" w:color="auto"/>
            <w:right w:val="none" w:sz="0" w:space="0" w:color="auto"/>
          </w:divBdr>
          <w:divsChild>
            <w:div w:id="922030809">
              <w:marLeft w:val="0"/>
              <w:marRight w:val="0"/>
              <w:marTop w:val="0"/>
              <w:marBottom w:val="0"/>
              <w:divBdr>
                <w:top w:val="none" w:sz="0" w:space="0" w:color="auto"/>
                <w:left w:val="none" w:sz="0" w:space="0" w:color="auto"/>
                <w:bottom w:val="none" w:sz="0" w:space="0" w:color="auto"/>
                <w:right w:val="none" w:sz="0" w:space="0" w:color="auto"/>
              </w:divBdr>
              <w:divsChild>
                <w:div w:id="42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76779">
      <w:bodyDiv w:val="1"/>
      <w:marLeft w:val="0"/>
      <w:marRight w:val="0"/>
      <w:marTop w:val="0"/>
      <w:marBottom w:val="0"/>
      <w:divBdr>
        <w:top w:val="none" w:sz="0" w:space="0" w:color="auto"/>
        <w:left w:val="none" w:sz="0" w:space="0" w:color="auto"/>
        <w:bottom w:val="none" w:sz="0" w:space="0" w:color="auto"/>
        <w:right w:val="none" w:sz="0" w:space="0" w:color="auto"/>
      </w:divBdr>
    </w:div>
    <w:div w:id="308897976">
      <w:bodyDiv w:val="1"/>
      <w:marLeft w:val="0"/>
      <w:marRight w:val="0"/>
      <w:marTop w:val="0"/>
      <w:marBottom w:val="0"/>
      <w:divBdr>
        <w:top w:val="none" w:sz="0" w:space="0" w:color="auto"/>
        <w:left w:val="none" w:sz="0" w:space="0" w:color="auto"/>
        <w:bottom w:val="none" w:sz="0" w:space="0" w:color="auto"/>
        <w:right w:val="none" w:sz="0" w:space="0" w:color="auto"/>
      </w:divBdr>
      <w:divsChild>
        <w:div w:id="442579055">
          <w:marLeft w:val="0"/>
          <w:marRight w:val="0"/>
          <w:marTop w:val="0"/>
          <w:marBottom w:val="0"/>
          <w:divBdr>
            <w:top w:val="none" w:sz="0" w:space="0" w:color="auto"/>
            <w:left w:val="none" w:sz="0" w:space="0" w:color="auto"/>
            <w:bottom w:val="none" w:sz="0" w:space="0" w:color="auto"/>
            <w:right w:val="none" w:sz="0" w:space="0" w:color="auto"/>
          </w:divBdr>
          <w:divsChild>
            <w:div w:id="144247029">
              <w:marLeft w:val="0"/>
              <w:marRight w:val="0"/>
              <w:marTop w:val="0"/>
              <w:marBottom w:val="0"/>
              <w:divBdr>
                <w:top w:val="none" w:sz="0" w:space="0" w:color="auto"/>
                <w:left w:val="none" w:sz="0" w:space="0" w:color="auto"/>
                <w:bottom w:val="none" w:sz="0" w:space="0" w:color="auto"/>
                <w:right w:val="none" w:sz="0" w:space="0" w:color="auto"/>
              </w:divBdr>
              <w:divsChild>
                <w:div w:id="1710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91582">
      <w:bodyDiv w:val="1"/>
      <w:marLeft w:val="0"/>
      <w:marRight w:val="0"/>
      <w:marTop w:val="0"/>
      <w:marBottom w:val="0"/>
      <w:divBdr>
        <w:top w:val="none" w:sz="0" w:space="0" w:color="auto"/>
        <w:left w:val="none" w:sz="0" w:space="0" w:color="auto"/>
        <w:bottom w:val="none" w:sz="0" w:space="0" w:color="auto"/>
        <w:right w:val="none" w:sz="0" w:space="0" w:color="auto"/>
      </w:divBdr>
      <w:divsChild>
        <w:div w:id="1907378228">
          <w:marLeft w:val="0"/>
          <w:marRight w:val="0"/>
          <w:marTop w:val="0"/>
          <w:marBottom w:val="0"/>
          <w:divBdr>
            <w:top w:val="none" w:sz="0" w:space="0" w:color="auto"/>
            <w:left w:val="none" w:sz="0" w:space="0" w:color="auto"/>
            <w:bottom w:val="none" w:sz="0" w:space="0" w:color="auto"/>
            <w:right w:val="none" w:sz="0" w:space="0" w:color="auto"/>
          </w:divBdr>
          <w:divsChild>
            <w:div w:id="1568686351">
              <w:marLeft w:val="0"/>
              <w:marRight w:val="0"/>
              <w:marTop w:val="0"/>
              <w:marBottom w:val="0"/>
              <w:divBdr>
                <w:top w:val="none" w:sz="0" w:space="0" w:color="auto"/>
                <w:left w:val="none" w:sz="0" w:space="0" w:color="auto"/>
                <w:bottom w:val="none" w:sz="0" w:space="0" w:color="auto"/>
                <w:right w:val="none" w:sz="0" w:space="0" w:color="auto"/>
              </w:divBdr>
              <w:divsChild>
                <w:div w:id="11519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139842">
      <w:bodyDiv w:val="1"/>
      <w:marLeft w:val="0"/>
      <w:marRight w:val="0"/>
      <w:marTop w:val="0"/>
      <w:marBottom w:val="0"/>
      <w:divBdr>
        <w:top w:val="none" w:sz="0" w:space="0" w:color="auto"/>
        <w:left w:val="none" w:sz="0" w:space="0" w:color="auto"/>
        <w:bottom w:val="none" w:sz="0" w:space="0" w:color="auto"/>
        <w:right w:val="none" w:sz="0" w:space="0" w:color="auto"/>
      </w:divBdr>
    </w:div>
    <w:div w:id="371418165">
      <w:bodyDiv w:val="1"/>
      <w:marLeft w:val="0"/>
      <w:marRight w:val="0"/>
      <w:marTop w:val="0"/>
      <w:marBottom w:val="0"/>
      <w:divBdr>
        <w:top w:val="none" w:sz="0" w:space="0" w:color="auto"/>
        <w:left w:val="none" w:sz="0" w:space="0" w:color="auto"/>
        <w:bottom w:val="none" w:sz="0" w:space="0" w:color="auto"/>
        <w:right w:val="none" w:sz="0" w:space="0" w:color="auto"/>
      </w:divBdr>
      <w:divsChild>
        <w:div w:id="1372922032">
          <w:marLeft w:val="0"/>
          <w:marRight w:val="0"/>
          <w:marTop w:val="0"/>
          <w:marBottom w:val="0"/>
          <w:divBdr>
            <w:top w:val="none" w:sz="0" w:space="0" w:color="auto"/>
            <w:left w:val="none" w:sz="0" w:space="0" w:color="auto"/>
            <w:bottom w:val="none" w:sz="0" w:space="0" w:color="auto"/>
            <w:right w:val="none" w:sz="0" w:space="0" w:color="auto"/>
          </w:divBdr>
          <w:divsChild>
            <w:div w:id="1909539253">
              <w:marLeft w:val="0"/>
              <w:marRight w:val="0"/>
              <w:marTop w:val="0"/>
              <w:marBottom w:val="0"/>
              <w:divBdr>
                <w:top w:val="none" w:sz="0" w:space="0" w:color="auto"/>
                <w:left w:val="none" w:sz="0" w:space="0" w:color="auto"/>
                <w:bottom w:val="none" w:sz="0" w:space="0" w:color="auto"/>
                <w:right w:val="none" w:sz="0" w:space="0" w:color="auto"/>
              </w:divBdr>
              <w:divsChild>
                <w:div w:id="1240750569">
                  <w:marLeft w:val="0"/>
                  <w:marRight w:val="0"/>
                  <w:marTop w:val="0"/>
                  <w:marBottom w:val="0"/>
                  <w:divBdr>
                    <w:top w:val="none" w:sz="0" w:space="0" w:color="auto"/>
                    <w:left w:val="none" w:sz="0" w:space="0" w:color="auto"/>
                    <w:bottom w:val="none" w:sz="0" w:space="0" w:color="auto"/>
                    <w:right w:val="none" w:sz="0" w:space="0" w:color="auto"/>
                  </w:divBdr>
                  <w:divsChild>
                    <w:div w:id="7491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314028">
      <w:bodyDiv w:val="1"/>
      <w:marLeft w:val="0"/>
      <w:marRight w:val="0"/>
      <w:marTop w:val="0"/>
      <w:marBottom w:val="0"/>
      <w:divBdr>
        <w:top w:val="none" w:sz="0" w:space="0" w:color="auto"/>
        <w:left w:val="none" w:sz="0" w:space="0" w:color="auto"/>
        <w:bottom w:val="none" w:sz="0" w:space="0" w:color="auto"/>
        <w:right w:val="none" w:sz="0" w:space="0" w:color="auto"/>
      </w:divBdr>
      <w:divsChild>
        <w:div w:id="1962762985">
          <w:marLeft w:val="0"/>
          <w:marRight w:val="0"/>
          <w:marTop w:val="0"/>
          <w:marBottom w:val="0"/>
          <w:divBdr>
            <w:top w:val="none" w:sz="0" w:space="0" w:color="auto"/>
            <w:left w:val="none" w:sz="0" w:space="0" w:color="auto"/>
            <w:bottom w:val="none" w:sz="0" w:space="0" w:color="auto"/>
            <w:right w:val="none" w:sz="0" w:space="0" w:color="auto"/>
          </w:divBdr>
          <w:divsChild>
            <w:div w:id="1393239186">
              <w:marLeft w:val="0"/>
              <w:marRight w:val="0"/>
              <w:marTop w:val="0"/>
              <w:marBottom w:val="0"/>
              <w:divBdr>
                <w:top w:val="none" w:sz="0" w:space="0" w:color="auto"/>
                <w:left w:val="none" w:sz="0" w:space="0" w:color="auto"/>
                <w:bottom w:val="none" w:sz="0" w:space="0" w:color="auto"/>
                <w:right w:val="none" w:sz="0" w:space="0" w:color="auto"/>
              </w:divBdr>
              <w:divsChild>
                <w:div w:id="59475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390666">
      <w:bodyDiv w:val="1"/>
      <w:marLeft w:val="0"/>
      <w:marRight w:val="0"/>
      <w:marTop w:val="0"/>
      <w:marBottom w:val="0"/>
      <w:divBdr>
        <w:top w:val="none" w:sz="0" w:space="0" w:color="auto"/>
        <w:left w:val="none" w:sz="0" w:space="0" w:color="auto"/>
        <w:bottom w:val="none" w:sz="0" w:space="0" w:color="auto"/>
        <w:right w:val="none" w:sz="0" w:space="0" w:color="auto"/>
      </w:divBdr>
      <w:divsChild>
        <w:div w:id="934091098">
          <w:marLeft w:val="0"/>
          <w:marRight w:val="0"/>
          <w:marTop w:val="0"/>
          <w:marBottom w:val="0"/>
          <w:divBdr>
            <w:top w:val="none" w:sz="0" w:space="0" w:color="auto"/>
            <w:left w:val="none" w:sz="0" w:space="0" w:color="auto"/>
            <w:bottom w:val="none" w:sz="0" w:space="0" w:color="auto"/>
            <w:right w:val="none" w:sz="0" w:space="0" w:color="auto"/>
          </w:divBdr>
          <w:divsChild>
            <w:div w:id="229538332">
              <w:marLeft w:val="0"/>
              <w:marRight w:val="0"/>
              <w:marTop w:val="0"/>
              <w:marBottom w:val="0"/>
              <w:divBdr>
                <w:top w:val="none" w:sz="0" w:space="0" w:color="auto"/>
                <w:left w:val="none" w:sz="0" w:space="0" w:color="auto"/>
                <w:bottom w:val="none" w:sz="0" w:space="0" w:color="auto"/>
                <w:right w:val="none" w:sz="0" w:space="0" w:color="auto"/>
              </w:divBdr>
              <w:divsChild>
                <w:div w:id="104248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00028">
      <w:bodyDiv w:val="1"/>
      <w:marLeft w:val="0"/>
      <w:marRight w:val="0"/>
      <w:marTop w:val="0"/>
      <w:marBottom w:val="0"/>
      <w:divBdr>
        <w:top w:val="none" w:sz="0" w:space="0" w:color="auto"/>
        <w:left w:val="none" w:sz="0" w:space="0" w:color="auto"/>
        <w:bottom w:val="none" w:sz="0" w:space="0" w:color="auto"/>
        <w:right w:val="none" w:sz="0" w:space="0" w:color="auto"/>
      </w:divBdr>
      <w:divsChild>
        <w:div w:id="985818814">
          <w:marLeft w:val="0"/>
          <w:marRight w:val="0"/>
          <w:marTop w:val="0"/>
          <w:marBottom w:val="0"/>
          <w:divBdr>
            <w:top w:val="none" w:sz="0" w:space="0" w:color="auto"/>
            <w:left w:val="none" w:sz="0" w:space="0" w:color="auto"/>
            <w:bottom w:val="none" w:sz="0" w:space="0" w:color="auto"/>
            <w:right w:val="none" w:sz="0" w:space="0" w:color="auto"/>
          </w:divBdr>
          <w:divsChild>
            <w:div w:id="1581669157">
              <w:marLeft w:val="0"/>
              <w:marRight w:val="0"/>
              <w:marTop w:val="0"/>
              <w:marBottom w:val="0"/>
              <w:divBdr>
                <w:top w:val="none" w:sz="0" w:space="0" w:color="auto"/>
                <w:left w:val="none" w:sz="0" w:space="0" w:color="auto"/>
                <w:bottom w:val="none" w:sz="0" w:space="0" w:color="auto"/>
                <w:right w:val="none" w:sz="0" w:space="0" w:color="auto"/>
              </w:divBdr>
              <w:divsChild>
                <w:div w:id="548959469">
                  <w:marLeft w:val="0"/>
                  <w:marRight w:val="0"/>
                  <w:marTop w:val="0"/>
                  <w:marBottom w:val="0"/>
                  <w:divBdr>
                    <w:top w:val="none" w:sz="0" w:space="0" w:color="auto"/>
                    <w:left w:val="none" w:sz="0" w:space="0" w:color="auto"/>
                    <w:bottom w:val="none" w:sz="0" w:space="0" w:color="auto"/>
                    <w:right w:val="none" w:sz="0" w:space="0" w:color="auto"/>
                  </w:divBdr>
                  <w:divsChild>
                    <w:div w:id="16840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660586">
      <w:bodyDiv w:val="1"/>
      <w:marLeft w:val="0"/>
      <w:marRight w:val="0"/>
      <w:marTop w:val="0"/>
      <w:marBottom w:val="0"/>
      <w:divBdr>
        <w:top w:val="none" w:sz="0" w:space="0" w:color="auto"/>
        <w:left w:val="none" w:sz="0" w:space="0" w:color="auto"/>
        <w:bottom w:val="none" w:sz="0" w:space="0" w:color="auto"/>
        <w:right w:val="none" w:sz="0" w:space="0" w:color="auto"/>
      </w:divBdr>
      <w:divsChild>
        <w:div w:id="891573455">
          <w:marLeft w:val="0"/>
          <w:marRight w:val="0"/>
          <w:marTop w:val="0"/>
          <w:marBottom w:val="0"/>
          <w:divBdr>
            <w:top w:val="none" w:sz="0" w:space="0" w:color="auto"/>
            <w:left w:val="none" w:sz="0" w:space="0" w:color="auto"/>
            <w:bottom w:val="none" w:sz="0" w:space="0" w:color="auto"/>
            <w:right w:val="none" w:sz="0" w:space="0" w:color="auto"/>
          </w:divBdr>
          <w:divsChild>
            <w:div w:id="1005744784">
              <w:marLeft w:val="0"/>
              <w:marRight w:val="0"/>
              <w:marTop w:val="0"/>
              <w:marBottom w:val="0"/>
              <w:divBdr>
                <w:top w:val="none" w:sz="0" w:space="0" w:color="auto"/>
                <w:left w:val="none" w:sz="0" w:space="0" w:color="auto"/>
                <w:bottom w:val="none" w:sz="0" w:space="0" w:color="auto"/>
                <w:right w:val="none" w:sz="0" w:space="0" w:color="auto"/>
              </w:divBdr>
              <w:divsChild>
                <w:div w:id="3306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86734">
      <w:bodyDiv w:val="1"/>
      <w:marLeft w:val="0"/>
      <w:marRight w:val="0"/>
      <w:marTop w:val="0"/>
      <w:marBottom w:val="0"/>
      <w:divBdr>
        <w:top w:val="none" w:sz="0" w:space="0" w:color="auto"/>
        <w:left w:val="none" w:sz="0" w:space="0" w:color="auto"/>
        <w:bottom w:val="none" w:sz="0" w:space="0" w:color="auto"/>
        <w:right w:val="none" w:sz="0" w:space="0" w:color="auto"/>
      </w:divBdr>
    </w:div>
    <w:div w:id="500001609">
      <w:bodyDiv w:val="1"/>
      <w:marLeft w:val="0"/>
      <w:marRight w:val="0"/>
      <w:marTop w:val="0"/>
      <w:marBottom w:val="0"/>
      <w:divBdr>
        <w:top w:val="none" w:sz="0" w:space="0" w:color="auto"/>
        <w:left w:val="none" w:sz="0" w:space="0" w:color="auto"/>
        <w:bottom w:val="none" w:sz="0" w:space="0" w:color="auto"/>
        <w:right w:val="none" w:sz="0" w:space="0" w:color="auto"/>
      </w:divBdr>
      <w:divsChild>
        <w:div w:id="1183396168">
          <w:marLeft w:val="0"/>
          <w:marRight w:val="0"/>
          <w:marTop w:val="0"/>
          <w:marBottom w:val="0"/>
          <w:divBdr>
            <w:top w:val="none" w:sz="0" w:space="0" w:color="auto"/>
            <w:left w:val="none" w:sz="0" w:space="0" w:color="auto"/>
            <w:bottom w:val="none" w:sz="0" w:space="0" w:color="auto"/>
            <w:right w:val="none" w:sz="0" w:space="0" w:color="auto"/>
          </w:divBdr>
          <w:divsChild>
            <w:div w:id="1751268425">
              <w:marLeft w:val="0"/>
              <w:marRight w:val="0"/>
              <w:marTop w:val="0"/>
              <w:marBottom w:val="0"/>
              <w:divBdr>
                <w:top w:val="none" w:sz="0" w:space="0" w:color="auto"/>
                <w:left w:val="none" w:sz="0" w:space="0" w:color="auto"/>
                <w:bottom w:val="none" w:sz="0" w:space="0" w:color="auto"/>
                <w:right w:val="none" w:sz="0" w:space="0" w:color="auto"/>
              </w:divBdr>
              <w:divsChild>
                <w:div w:id="13996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70354">
      <w:bodyDiv w:val="1"/>
      <w:marLeft w:val="0"/>
      <w:marRight w:val="0"/>
      <w:marTop w:val="0"/>
      <w:marBottom w:val="0"/>
      <w:divBdr>
        <w:top w:val="none" w:sz="0" w:space="0" w:color="auto"/>
        <w:left w:val="none" w:sz="0" w:space="0" w:color="auto"/>
        <w:bottom w:val="none" w:sz="0" w:space="0" w:color="auto"/>
        <w:right w:val="none" w:sz="0" w:space="0" w:color="auto"/>
      </w:divBdr>
      <w:divsChild>
        <w:div w:id="2130078181">
          <w:marLeft w:val="0"/>
          <w:marRight w:val="0"/>
          <w:marTop w:val="0"/>
          <w:marBottom w:val="0"/>
          <w:divBdr>
            <w:top w:val="none" w:sz="0" w:space="0" w:color="auto"/>
            <w:left w:val="none" w:sz="0" w:space="0" w:color="auto"/>
            <w:bottom w:val="none" w:sz="0" w:space="0" w:color="auto"/>
            <w:right w:val="none" w:sz="0" w:space="0" w:color="auto"/>
          </w:divBdr>
          <w:divsChild>
            <w:div w:id="978190836">
              <w:marLeft w:val="0"/>
              <w:marRight w:val="0"/>
              <w:marTop w:val="0"/>
              <w:marBottom w:val="0"/>
              <w:divBdr>
                <w:top w:val="none" w:sz="0" w:space="0" w:color="auto"/>
                <w:left w:val="none" w:sz="0" w:space="0" w:color="auto"/>
                <w:bottom w:val="none" w:sz="0" w:space="0" w:color="auto"/>
                <w:right w:val="none" w:sz="0" w:space="0" w:color="auto"/>
              </w:divBdr>
              <w:divsChild>
                <w:div w:id="18313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559704">
      <w:bodyDiv w:val="1"/>
      <w:marLeft w:val="0"/>
      <w:marRight w:val="0"/>
      <w:marTop w:val="0"/>
      <w:marBottom w:val="0"/>
      <w:divBdr>
        <w:top w:val="none" w:sz="0" w:space="0" w:color="auto"/>
        <w:left w:val="none" w:sz="0" w:space="0" w:color="auto"/>
        <w:bottom w:val="none" w:sz="0" w:space="0" w:color="auto"/>
        <w:right w:val="none" w:sz="0" w:space="0" w:color="auto"/>
      </w:divBdr>
      <w:divsChild>
        <w:div w:id="305822132">
          <w:marLeft w:val="0"/>
          <w:marRight w:val="0"/>
          <w:marTop w:val="0"/>
          <w:marBottom w:val="0"/>
          <w:divBdr>
            <w:top w:val="none" w:sz="0" w:space="0" w:color="auto"/>
            <w:left w:val="none" w:sz="0" w:space="0" w:color="auto"/>
            <w:bottom w:val="none" w:sz="0" w:space="0" w:color="auto"/>
            <w:right w:val="none" w:sz="0" w:space="0" w:color="auto"/>
          </w:divBdr>
          <w:divsChild>
            <w:div w:id="1800758630">
              <w:marLeft w:val="0"/>
              <w:marRight w:val="0"/>
              <w:marTop w:val="0"/>
              <w:marBottom w:val="0"/>
              <w:divBdr>
                <w:top w:val="none" w:sz="0" w:space="0" w:color="auto"/>
                <w:left w:val="none" w:sz="0" w:space="0" w:color="auto"/>
                <w:bottom w:val="none" w:sz="0" w:space="0" w:color="auto"/>
                <w:right w:val="none" w:sz="0" w:space="0" w:color="auto"/>
              </w:divBdr>
              <w:divsChild>
                <w:div w:id="19867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4854">
      <w:bodyDiv w:val="1"/>
      <w:marLeft w:val="0"/>
      <w:marRight w:val="0"/>
      <w:marTop w:val="0"/>
      <w:marBottom w:val="0"/>
      <w:divBdr>
        <w:top w:val="none" w:sz="0" w:space="0" w:color="auto"/>
        <w:left w:val="none" w:sz="0" w:space="0" w:color="auto"/>
        <w:bottom w:val="none" w:sz="0" w:space="0" w:color="auto"/>
        <w:right w:val="none" w:sz="0" w:space="0" w:color="auto"/>
      </w:divBdr>
    </w:div>
    <w:div w:id="581450239">
      <w:bodyDiv w:val="1"/>
      <w:marLeft w:val="0"/>
      <w:marRight w:val="0"/>
      <w:marTop w:val="0"/>
      <w:marBottom w:val="0"/>
      <w:divBdr>
        <w:top w:val="none" w:sz="0" w:space="0" w:color="auto"/>
        <w:left w:val="none" w:sz="0" w:space="0" w:color="auto"/>
        <w:bottom w:val="none" w:sz="0" w:space="0" w:color="auto"/>
        <w:right w:val="none" w:sz="0" w:space="0" w:color="auto"/>
      </w:divBdr>
      <w:divsChild>
        <w:div w:id="2045590299">
          <w:marLeft w:val="0"/>
          <w:marRight w:val="0"/>
          <w:marTop w:val="0"/>
          <w:marBottom w:val="0"/>
          <w:divBdr>
            <w:top w:val="none" w:sz="0" w:space="0" w:color="auto"/>
            <w:left w:val="none" w:sz="0" w:space="0" w:color="auto"/>
            <w:bottom w:val="none" w:sz="0" w:space="0" w:color="auto"/>
            <w:right w:val="none" w:sz="0" w:space="0" w:color="auto"/>
          </w:divBdr>
          <w:divsChild>
            <w:div w:id="705566488">
              <w:marLeft w:val="0"/>
              <w:marRight w:val="0"/>
              <w:marTop w:val="0"/>
              <w:marBottom w:val="0"/>
              <w:divBdr>
                <w:top w:val="none" w:sz="0" w:space="0" w:color="auto"/>
                <w:left w:val="none" w:sz="0" w:space="0" w:color="auto"/>
                <w:bottom w:val="none" w:sz="0" w:space="0" w:color="auto"/>
                <w:right w:val="none" w:sz="0" w:space="0" w:color="auto"/>
              </w:divBdr>
              <w:divsChild>
                <w:div w:id="244846090">
                  <w:marLeft w:val="0"/>
                  <w:marRight w:val="0"/>
                  <w:marTop w:val="0"/>
                  <w:marBottom w:val="0"/>
                  <w:divBdr>
                    <w:top w:val="none" w:sz="0" w:space="0" w:color="auto"/>
                    <w:left w:val="none" w:sz="0" w:space="0" w:color="auto"/>
                    <w:bottom w:val="none" w:sz="0" w:space="0" w:color="auto"/>
                    <w:right w:val="none" w:sz="0" w:space="0" w:color="auto"/>
                  </w:divBdr>
                  <w:divsChild>
                    <w:div w:id="17067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071060">
      <w:bodyDiv w:val="1"/>
      <w:marLeft w:val="0"/>
      <w:marRight w:val="0"/>
      <w:marTop w:val="0"/>
      <w:marBottom w:val="0"/>
      <w:divBdr>
        <w:top w:val="none" w:sz="0" w:space="0" w:color="auto"/>
        <w:left w:val="none" w:sz="0" w:space="0" w:color="auto"/>
        <w:bottom w:val="none" w:sz="0" w:space="0" w:color="auto"/>
        <w:right w:val="none" w:sz="0" w:space="0" w:color="auto"/>
      </w:divBdr>
    </w:div>
    <w:div w:id="629284038">
      <w:bodyDiv w:val="1"/>
      <w:marLeft w:val="0"/>
      <w:marRight w:val="0"/>
      <w:marTop w:val="0"/>
      <w:marBottom w:val="0"/>
      <w:divBdr>
        <w:top w:val="none" w:sz="0" w:space="0" w:color="auto"/>
        <w:left w:val="none" w:sz="0" w:space="0" w:color="auto"/>
        <w:bottom w:val="none" w:sz="0" w:space="0" w:color="auto"/>
        <w:right w:val="none" w:sz="0" w:space="0" w:color="auto"/>
      </w:divBdr>
      <w:divsChild>
        <w:div w:id="1776704686">
          <w:marLeft w:val="0"/>
          <w:marRight w:val="0"/>
          <w:marTop w:val="0"/>
          <w:marBottom w:val="0"/>
          <w:divBdr>
            <w:top w:val="none" w:sz="0" w:space="0" w:color="auto"/>
            <w:left w:val="none" w:sz="0" w:space="0" w:color="auto"/>
            <w:bottom w:val="none" w:sz="0" w:space="0" w:color="auto"/>
            <w:right w:val="none" w:sz="0" w:space="0" w:color="auto"/>
          </w:divBdr>
          <w:divsChild>
            <w:div w:id="90322050">
              <w:marLeft w:val="0"/>
              <w:marRight w:val="0"/>
              <w:marTop w:val="0"/>
              <w:marBottom w:val="0"/>
              <w:divBdr>
                <w:top w:val="none" w:sz="0" w:space="0" w:color="auto"/>
                <w:left w:val="none" w:sz="0" w:space="0" w:color="auto"/>
                <w:bottom w:val="none" w:sz="0" w:space="0" w:color="auto"/>
                <w:right w:val="none" w:sz="0" w:space="0" w:color="auto"/>
              </w:divBdr>
              <w:divsChild>
                <w:div w:id="43274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1906">
      <w:bodyDiv w:val="1"/>
      <w:marLeft w:val="0"/>
      <w:marRight w:val="0"/>
      <w:marTop w:val="0"/>
      <w:marBottom w:val="0"/>
      <w:divBdr>
        <w:top w:val="none" w:sz="0" w:space="0" w:color="auto"/>
        <w:left w:val="none" w:sz="0" w:space="0" w:color="auto"/>
        <w:bottom w:val="none" w:sz="0" w:space="0" w:color="auto"/>
        <w:right w:val="none" w:sz="0" w:space="0" w:color="auto"/>
      </w:divBdr>
      <w:divsChild>
        <w:div w:id="941836411">
          <w:marLeft w:val="0"/>
          <w:marRight w:val="0"/>
          <w:marTop w:val="0"/>
          <w:marBottom w:val="0"/>
          <w:divBdr>
            <w:top w:val="none" w:sz="0" w:space="0" w:color="auto"/>
            <w:left w:val="none" w:sz="0" w:space="0" w:color="auto"/>
            <w:bottom w:val="none" w:sz="0" w:space="0" w:color="auto"/>
            <w:right w:val="none" w:sz="0" w:space="0" w:color="auto"/>
          </w:divBdr>
          <w:divsChild>
            <w:div w:id="887496904">
              <w:marLeft w:val="0"/>
              <w:marRight w:val="0"/>
              <w:marTop w:val="0"/>
              <w:marBottom w:val="0"/>
              <w:divBdr>
                <w:top w:val="none" w:sz="0" w:space="0" w:color="auto"/>
                <w:left w:val="none" w:sz="0" w:space="0" w:color="auto"/>
                <w:bottom w:val="none" w:sz="0" w:space="0" w:color="auto"/>
                <w:right w:val="none" w:sz="0" w:space="0" w:color="auto"/>
              </w:divBdr>
              <w:divsChild>
                <w:div w:id="11726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68861">
      <w:bodyDiv w:val="1"/>
      <w:marLeft w:val="0"/>
      <w:marRight w:val="0"/>
      <w:marTop w:val="0"/>
      <w:marBottom w:val="0"/>
      <w:divBdr>
        <w:top w:val="none" w:sz="0" w:space="0" w:color="auto"/>
        <w:left w:val="none" w:sz="0" w:space="0" w:color="auto"/>
        <w:bottom w:val="none" w:sz="0" w:space="0" w:color="auto"/>
        <w:right w:val="none" w:sz="0" w:space="0" w:color="auto"/>
      </w:divBdr>
    </w:div>
    <w:div w:id="700514713">
      <w:bodyDiv w:val="1"/>
      <w:marLeft w:val="0"/>
      <w:marRight w:val="0"/>
      <w:marTop w:val="0"/>
      <w:marBottom w:val="0"/>
      <w:divBdr>
        <w:top w:val="none" w:sz="0" w:space="0" w:color="auto"/>
        <w:left w:val="none" w:sz="0" w:space="0" w:color="auto"/>
        <w:bottom w:val="none" w:sz="0" w:space="0" w:color="auto"/>
        <w:right w:val="none" w:sz="0" w:space="0" w:color="auto"/>
      </w:divBdr>
    </w:div>
    <w:div w:id="707877010">
      <w:bodyDiv w:val="1"/>
      <w:marLeft w:val="0"/>
      <w:marRight w:val="0"/>
      <w:marTop w:val="0"/>
      <w:marBottom w:val="0"/>
      <w:divBdr>
        <w:top w:val="none" w:sz="0" w:space="0" w:color="auto"/>
        <w:left w:val="none" w:sz="0" w:space="0" w:color="auto"/>
        <w:bottom w:val="none" w:sz="0" w:space="0" w:color="auto"/>
        <w:right w:val="none" w:sz="0" w:space="0" w:color="auto"/>
      </w:divBdr>
      <w:divsChild>
        <w:div w:id="946962425">
          <w:marLeft w:val="0"/>
          <w:marRight w:val="0"/>
          <w:marTop w:val="0"/>
          <w:marBottom w:val="0"/>
          <w:divBdr>
            <w:top w:val="none" w:sz="0" w:space="0" w:color="auto"/>
            <w:left w:val="none" w:sz="0" w:space="0" w:color="auto"/>
            <w:bottom w:val="none" w:sz="0" w:space="0" w:color="auto"/>
            <w:right w:val="none" w:sz="0" w:space="0" w:color="auto"/>
          </w:divBdr>
          <w:divsChild>
            <w:div w:id="560990570">
              <w:marLeft w:val="0"/>
              <w:marRight w:val="0"/>
              <w:marTop w:val="0"/>
              <w:marBottom w:val="0"/>
              <w:divBdr>
                <w:top w:val="none" w:sz="0" w:space="0" w:color="auto"/>
                <w:left w:val="none" w:sz="0" w:space="0" w:color="auto"/>
                <w:bottom w:val="none" w:sz="0" w:space="0" w:color="auto"/>
                <w:right w:val="none" w:sz="0" w:space="0" w:color="auto"/>
              </w:divBdr>
              <w:divsChild>
                <w:div w:id="18712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58997">
      <w:bodyDiv w:val="1"/>
      <w:marLeft w:val="0"/>
      <w:marRight w:val="0"/>
      <w:marTop w:val="0"/>
      <w:marBottom w:val="0"/>
      <w:divBdr>
        <w:top w:val="none" w:sz="0" w:space="0" w:color="auto"/>
        <w:left w:val="none" w:sz="0" w:space="0" w:color="auto"/>
        <w:bottom w:val="none" w:sz="0" w:space="0" w:color="auto"/>
        <w:right w:val="none" w:sz="0" w:space="0" w:color="auto"/>
      </w:divBdr>
    </w:div>
    <w:div w:id="773550314">
      <w:bodyDiv w:val="1"/>
      <w:marLeft w:val="0"/>
      <w:marRight w:val="0"/>
      <w:marTop w:val="0"/>
      <w:marBottom w:val="0"/>
      <w:divBdr>
        <w:top w:val="none" w:sz="0" w:space="0" w:color="auto"/>
        <w:left w:val="none" w:sz="0" w:space="0" w:color="auto"/>
        <w:bottom w:val="none" w:sz="0" w:space="0" w:color="auto"/>
        <w:right w:val="none" w:sz="0" w:space="0" w:color="auto"/>
      </w:divBdr>
      <w:divsChild>
        <w:div w:id="1212155569">
          <w:marLeft w:val="0"/>
          <w:marRight w:val="0"/>
          <w:marTop w:val="0"/>
          <w:marBottom w:val="0"/>
          <w:divBdr>
            <w:top w:val="none" w:sz="0" w:space="0" w:color="auto"/>
            <w:left w:val="none" w:sz="0" w:space="0" w:color="auto"/>
            <w:bottom w:val="none" w:sz="0" w:space="0" w:color="auto"/>
            <w:right w:val="none" w:sz="0" w:space="0" w:color="auto"/>
          </w:divBdr>
          <w:divsChild>
            <w:div w:id="2035616821">
              <w:marLeft w:val="0"/>
              <w:marRight w:val="0"/>
              <w:marTop w:val="0"/>
              <w:marBottom w:val="0"/>
              <w:divBdr>
                <w:top w:val="none" w:sz="0" w:space="0" w:color="auto"/>
                <w:left w:val="none" w:sz="0" w:space="0" w:color="auto"/>
                <w:bottom w:val="none" w:sz="0" w:space="0" w:color="auto"/>
                <w:right w:val="none" w:sz="0" w:space="0" w:color="auto"/>
              </w:divBdr>
              <w:divsChild>
                <w:div w:id="12552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987884">
      <w:bodyDiv w:val="1"/>
      <w:marLeft w:val="0"/>
      <w:marRight w:val="0"/>
      <w:marTop w:val="0"/>
      <w:marBottom w:val="0"/>
      <w:divBdr>
        <w:top w:val="none" w:sz="0" w:space="0" w:color="auto"/>
        <w:left w:val="none" w:sz="0" w:space="0" w:color="auto"/>
        <w:bottom w:val="none" w:sz="0" w:space="0" w:color="auto"/>
        <w:right w:val="none" w:sz="0" w:space="0" w:color="auto"/>
      </w:divBdr>
    </w:div>
    <w:div w:id="889197001">
      <w:bodyDiv w:val="1"/>
      <w:marLeft w:val="0"/>
      <w:marRight w:val="0"/>
      <w:marTop w:val="0"/>
      <w:marBottom w:val="0"/>
      <w:divBdr>
        <w:top w:val="none" w:sz="0" w:space="0" w:color="auto"/>
        <w:left w:val="none" w:sz="0" w:space="0" w:color="auto"/>
        <w:bottom w:val="none" w:sz="0" w:space="0" w:color="auto"/>
        <w:right w:val="none" w:sz="0" w:space="0" w:color="auto"/>
      </w:divBdr>
      <w:divsChild>
        <w:div w:id="1168403375">
          <w:marLeft w:val="0"/>
          <w:marRight w:val="0"/>
          <w:marTop w:val="0"/>
          <w:marBottom w:val="0"/>
          <w:divBdr>
            <w:top w:val="none" w:sz="0" w:space="0" w:color="auto"/>
            <w:left w:val="none" w:sz="0" w:space="0" w:color="auto"/>
            <w:bottom w:val="none" w:sz="0" w:space="0" w:color="auto"/>
            <w:right w:val="none" w:sz="0" w:space="0" w:color="auto"/>
          </w:divBdr>
          <w:divsChild>
            <w:div w:id="688334736">
              <w:marLeft w:val="0"/>
              <w:marRight w:val="0"/>
              <w:marTop w:val="0"/>
              <w:marBottom w:val="0"/>
              <w:divBdr>
                <w:top w:val="none" w:sz="0" w:space="0" w:color="auto"/>
                <w:left w:val="none" w:sz="0" w:space="0" w:color="auto"/>
                <w:bottom w:val="none" w:sz="0" w:space="0" w:color="auto"/>
                <w:right w:val="none" w:sz="0" w:space="0" w:color="auto"/>
              </w:divBdr>
              <w:divsChild>
                <w:div w:id="83337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174459">
      <w:bodyDiv w:val="1"/>
      <w:marLeft w:val="0"/>
      <w:marRight w:val="0"/>
      <w:marTop w:val="0"/>
      <w:marBottom w:val="0"/>
      <w:divBdr>
        <w:top w:val="none" w:sz="0" w:space="0" w:color="auto"/>
        <w:left w:val="none" w:sz="0" w:space="0" w:color="auto"/>
        <w:bottom w:val="none" w:sz="0" w:space="0" w:color="auto"/>
        <w:right w:val="none" w:sz="0" w:space="0" w:color="auto"/>
      </w:divBdr>
    </w:div>
    <w:div w:id="944388810">
      <w:bodyDiv w:val="1"/>
      <w:marLeft w:val="0"/>
      <w:marRight w:val="0"/>
      <w:marTop w:val="0"/>
      <w:marBottom w:val="0"/>
      <w:divBdr>
        <w:top w:val="none" w:sz="0" w:space="0" w:color="auto"/>
        <w:left w:val="none" w:sz="0" w:space="0" w:color="auto"/>
        <w:bottom w:val="none" w:sz="0" w:space="0" w:color="auto"/>
        <w:right w:val="none" w:sz="0" w:space="0" w:color="auto"/>
      </w:divBdr>
      <w:divsChild>
        <w:div w:id="1756173011">
          <w:marLeft w:val="0"/>
          <w:marRight w:val="0"/>
          <w:marTop w:val="0"/>
          <w:marBottom w:val="0"/>
          <w:divBdr>
            <w:top w:val="none" w:sz="0" w:space="0" w:color="auto"/>
            <w:left w:val="none" w:sz="0" w:space="0" w:color="auto"/>
            <w:bottom w:val="none" w:sz="0" w:space="0" w:color="auto"/>
            <w:right w:val="none" w:sz="0" w:space="0" w:color="auto"/>
          </w:divBdr>
          <w:divsChild>
            <w:div w:id="845948139">
              <w:marLeft w:val="0"/>
              <w:marRight w:val="0"/>
              <w:marTop w:val="0"/>
              <w:marBottom w:val="0"/>
              <w:divBdr>
                <w:top w:val="none" w:sz="0" w:space="0" w:color="auto"/>
                <w:left w:val="none" w:sz="0" w:space="0" w:color="auto"/>
                <w:bottom w:val="none" w:sz="0" w:space="0" w:color="auto"/>
                <w:right w:val="none" w:sz="0" w:space="0" w:color="auto"/>
              </w:divBdr>
              <w:divsChild>
                <w:div w:id="23659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90894">
      <w:bodyDiv w:val="1"/>
      <w:marLeft w:val="0"/>
      <w:marRight w:val="0"/>
      <w:marTop w:val="0"/>
      <w:marBottom w:val="0"/>
      <w:divBdr>
        <w:top w:val="none" w:sz="0" w:space="0" w:color="auto"/>
        <w:left w:val="none" w:sz="0" w:space="0" w:color="auto"/>
        <w:bottom w:val="none" w:sz="0" w:space="0" w:color="auto"/>
        <w:right w:val="none" w:sz="0" w:space="0" w:color="auto"/>
      </w:divBdr>
    </w:div>
    <w:div w:id="1038581363">
      <w:bodyDiv w:val="1"/>
      <w:marLeft w:val="0"/>
      <w:marRight w:val="0"/>
      <w:marTop w:val="0"/>
      <w:marBottom w:val="0"/>
      <w:divBdr>
        <w:top w:val="none" w:sz="0" w:space="0" w:color="auto"/>
        <w:left w:val="none" w:sz="0" w:space="0" w:color="auto"/>
        <w:bottom w:val="none" w:sz="0" w:space="0" w:color="auto"/>
        <w:right w:val="none" w:sz="0" w:space="0" w:color="auto"/>
      </w:divBdr>
      <w:divsChild>
        <w:div w:id="1558736061">
          <w:marLeft w:val="0"/>
          <w:marRight w:val="0"/>
          <w:marTop w:val="0"/>
          <w:marBottom w:val="0"/>
          <w:divBdr>
            <w:top w:val="none" w:sz="0" w:space="0" w:color="auto"/>
            <w:left w:val="none" w:sz="0" w:space="0" w:color="auto"/>
            <w:bottom w:val="none" w:sz="0" w:space="0" w:color="auto"/>
            <w:right w:val="none" w:sz="0" w:space="0" w:color="auto"/>
          </w:divBdr>
          <w:divsChild>
            <w:div w:id="533815091">
              <w:marLeft w:val="0"/>
              <w:marRight w:val="0"/>
              <w:marTop w:val="0"/>
              <w:marBottom w:val="0"/>
              <w:divBdr>
                <w:top w:val="none" w:sz="0" w:space="0" w:color="auto"/>
                <w:left w:val="none" w:sz="0" w:space="0" w:color="auto"/>
                <w:bottom w:val="none" w:sz="0" w:space="0" w:color="auto"/>
                <w:right w:val="none" w:sz="0" w:space="0" w:color="auto"/>
              </w:divBdr>
              <w:divsChild>
                <w:div w:id="109539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91906">
      <w:bodyDiv w:val="1"/>
      <w:marLeft w:val="0"/>
      <w:marRight w:val="0"/>
      <w:marTop w:val="0"/>
      <w:marBottom w:val="0"/>
      <w:divBdr>
        <w:top w:val="none" w:sz="0" w:space="0" w:color="auto"/>
        <w:left w:val="none" w:sz="0" w:space="0" w:color="auto"/>
        <w:bottom w:val="none" w:sz="0" w:space="0" w:color="auto"/>
        <w:right w:val="none" w:sz="0" w:space="0" w:color="auto"/>
      </w:divBdr>
      <w:divsChild>
        <w:div w:id="1086197202">
          <w:marLeft w:val="0"/>
          <w:marRight w:val="0"/>
          <w:marTop w:val="0"/>
          <w:marBottom w:val="0"/>
          <w:divBdr>
            <w:top w:val="none" w:sz="0" w:space="0" w:color="auto"/>
            <w:left w:val="none" w:sz="0" w:space="0" w:color="auto"/>
            <w:bottom w:val="none" w:sz="0" w:space="0" w:color="auto"/>
            <w:right w:val="none" w:sz="0" w:space="0" w:color="auto"/>
          </w:divBdr>
          <w:divsChild>
            <w:div w:id="1996569913">
              <w:marLeft w:val="0"/>
              <w:marRight w:val="0"/>
              <w:marTop w:val="0"/>
              <w:marBottom w:val="0"/>
              <w:divBdr>
                <w:top w:val="none" w:sz="0" w:space="0" w:color="auto"/>
                <w:left w:val="none" w:sz="0" w:space="0" w:color="auto"/>
                <w:bottom w:val="none" w:sz="0" w:space="0" w:color="auto"/>
                <w:right w:val="none" w:sz="0" w:space="0" w:color="auto"/>
              </w:divBdr>
              <w:divsChild>
                <w:div w:id="15454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1269">
      <w:bodyDiv w:val="1"/>
      <w:marLeft w:val="0"/>
      <w:marRight w:val="0"/>
      <w:marTop w:val="0"/>
      <w:marBottom w:val="0"/>
      <w:divBdr>
        <w:top w:val="none" w:sz="0" w:space="0" w:color="auto"/>
        <w:left w:val="none" w:sz="0" w:space="0" w:color="auto"/>
        <w:bottom w:val="none" w:sz="0" w:space="0" w:color="auto"/>
        <w:right w:val="none" w:sz="0" w:space="0" w:color="auto"/>
      </w:divBdr>
    </w:div>
    <w:div w:id="1064794852">
      <w:bodyDiv w:val="1"/>
      <w:marLeft w:val="0"/>
      <w:marRight w:val="0"/>
      <w:marTop w:val="0"/>
      <w:marBottom w:val="0"/>
      <w:divBdr>
        <w:top w:val="none" w:sz="0" w:space="0" w:color="auto"/>
        <w:left w:val="none" w:sz="0" w:space="0" w:color="auto"/>
        <w:bottom w:val="none" w:sz="0" w:space="0" w:color="auto"/>
        <w:right w:val="none" w:sz="0" w:space="0" w:color="auto"/>
      </w:divBdr>
      <w:divsChild>
        <w:div w:id="545870982">
          <w:marLeft w:val="0"/>
          <w:marRight w:val="0"/>
          <w:marTop w:val="100"/>
          <w:marBottom w:val="100"/>
          <w:divBdr>
            <w:top w:val="none" w:sz="0" w:space="0" w:color="auto"/>
            <w:left w:val="none" w:sz="0" w:space="0" w:color="auto"/>
            <w:bottom w:val="none" w:sz="0" w:space="0" w:color="auto"/>
            <w:right w:val="none" w:sz="0" w:space="0" w:color="auto"/>
          </w:divBdr>
        </w:div>
        <w:div w:id="1289554338">
          <w:marLeft w:val="0"/>
          <w:marRight w:val="0"/>
          <w:marTop w:val="0"/>
          <w:marBottom w:val="0"/>
          <w:divBdr>
            <w:top w:val="none" w:sz="0" w:space="0" w:color="auto"/>
            <w:left w:val="none" w:sz="0" w:space="0" w:color="auto"/>
            <w:bottom w:val="none" w:sz="0" w:space="0" w:color="auto"/>
            <w:right w:val="none" w:sz="0" w:space="0" w:color="auto"/>
          </w:divBdr>
          <w:divsChild>
            <w:div w:id="740325998">
              <w:marLeft w:val="0"/>
              <w:marRight w:val="0"/>
              <w:marTop w:val="0"/>
              <w:marBottom w:val="0"/>
              <w:divBdr>
                <w:top w:val="none" w:sz="0" w:space="0" w:color="auto"/>
                <w:left w:val="none" w:sz="0" w:space="0" w:color="auto"/>
                <w:bottom w:val="none" w:sz="0" w:space="0" w:color="auto"/>
                <w:right w:val="none" w:sz="0" w:space="0" w:color="auto"/>
              </w:divBdr>
            </w:div>
            <w:div w:id="1798450294">
              <w:marLeft w:val="0"/>
              <w:marRight w:val="0"/>
              <w:marTop w:val="0"/>
              <w:marBottom w:val="0"/>
              <w:divBdr>
                <w:top w:val="none" w:sz="0" w:space="0" w:color="auto"/>
                <w:left w:val="none" w:sz="0" w:space="0" w:color="auto"/>
                <w:bottom w:val="none" w:sz="0" w:space="0" w:color="auto"/>
                <w:right w:val="none" w:sz="0" w:space="0" w:color="auto"/>
              </w:divBdr>
            </w:div>
          </w:divsChild>
        </w:div>
        <w:div w:id="131604907">
          <w:marLeft w:val="0"/>
          <w:marRight w:val="0"/>
          <w:marTop w:val="0"/>
          <w:marBottom w:val="0"/>
          <w:divBdr>
            <w:top w:val="none" w:sz="0" w:space="0" w:color="auto"/>
            <w:left w:val="none" w:sz="0" w:space="0" w:color="auto"/>
            <w:bottom w:val="none" w:sz="0" w:space="0" w:color="auto"/>
            <w:right w:val="none" w:sz="0" w:space="0" w:color="auto"/>
          </w:divBdr>
        </w:div>
      </w:divsChild>
    </w:div>
    <w:div w:id="1069378669">
      <w:bodyDiv w:val="1"/>
      <w:marLeft w:val="0"/>
      <w:marRight w:val="0"/>
      <w:marTop w:val="0"/>
      <w:marBottom w:val="0"/>
      <w:divBdr>
        <w:top w:val="none" w:sz="0" w:space="0" w:color="auto"/>
        <w:left w:val="none" w:sz="0" w:space="0" w:color="auto"/>
        <w:bottom w:val="none" w:sz="0" w:space="0" w:color="auto"/>
        <w:right w:val="none" w:sz="0" w:space="0" w:color="auto"/>
      </w:divBdr>
    </w:div>
    <w:div w:id="1107506098">
      <w:bodyDiv w:val="1"/>
      <w:marLeft w:val="0"/>
      <w:marRight w:val="0"/>
      <w:marTop w:val="0"/>
      <w:marBottom w:val="0"/>
      <w:divBdr>
        <w:top w:val="none" w:sz="0" w:space="0" w:color="auto"/>
        <w:left w:val="none" w:sz="0" w:space="0" w:color="auto"/>
        <w:bottom w:val="none" w:sz="0" w:space="0" w:color="auto"/>
        <w:right w:val="none" w:sz="0" w:space="0" w:color="auto"/>
      </w:divBdr>
      <w:divsChild>
        <w:div w:id="223833161">
          <w:marLeft w:val="0"/>
          <w:marRight w:val="0"/>
          <w:marTop w:val="0"/>
          <w:marBottom w:val="0"/>
          <w:divBdr>
            <w:top w:val="none" w:sz="0" w:space="0" w:color="auto"/>
            <w:left w:val="none" w:sz="0" w:space="0" w:color="auto"/>
            <w:bottom w:val="none" w:sz="0" w:space="0" w:color="auto"/>
            <w:right w:val="none" w:sz="0" w:space="0" w:color="auto"/>
          </w:divBdr>
          <w:divsChild>
            <w:div w:id="1213999858">
              <w:marLeft w:val="0"/>
              <w:marRight w:val="0"/>
              <w:marTop w:val="0"/>
              <w:marBottom w:val="0"/>
              <w:divBdr>
                <w:top w:val="none" w:sz="0" w:space="0" w:color="auto"/>
                <w:left w:val="none" w:sz="0" w:space="0" w:color="auto"/>
                <w:bottom w:val="none" w:sz="0" w:space="0" w:color="auto"/>
                <w:right w:val="none" w:sz="0" w:space="0" w:color="auto"/>
              </w:divBdr>
              <w:divsChild>
                <w:div w:id="133025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4361">
      <w:bodyDiv w:val="1"/>
      <w:marLeft w:val="0"/>
      <w:marRight w:val="0"/>
      <w:marTop w:val="0"/>
      <w:marBottom w:val="0"/>
      <w:divBdr>
        <w:top w:val="none" w:sz="0" w:space="0" w:color="auto"/>
        <w:left w:val="none" w:sz="0" w:space="0" w:color="auto"/>
        <w:bottom w:val="none" w:sz="0" w:space="0" w:color="auto"/>
        <w:right w:val="none" w:sz="0" w:space="0" w:color="auto"/>
      </w:divBdr>
    </w:div>
    <w:div w:id="1143690615">
      <w:bodyDiv w:val="1"/>
      <w:marLeft w:val="0"/>
      <w:marRight w:val="0"/>
      <w:marTop w:val="0"/>
      <w:marBottom w:val="0"/>
      <w:divBdr>
        <w:top w:val="none" w:sz="0" w:space="0" w:color="auto"/>
        <w:left w:val="none" w:sz="0" w:space="0" w:color="auto"/>
        <w:bottom w:val="none" w:sz="0" w:space="0" w:color="auto"/>
        <w:right w:val="none" w:sz="0" w:space="0" w:color="auto"/>
      </w:divBdr>
      <w:divsChild>
        <w:div w:id="1430008057">
          <w:marLeft w:val="0"/>
          <w:marRight w:val="0"/>
          <w:marTop w:val="0"/>
          <w:marBottom w:val="0"/>
          <w:divBdr>
            <w:top w:val="none" w:sz="0" w:space="0" w:color="auto"/>
            <w:left w:val="none" w:sz="0" w:space="0" w:color="auto"/>
            <w:bottom w:val="none" w:sz="0" w:space="0" w:color="auto"/>
            <w:right w:val="none" w:sz="0" w:space="0" w:color="auto"/>
          </w:divBdr>
          <w:divsChild>
            <w:div w:id="1621767264">
              <w:marLeft w:val="0"/>
              <w:marRight w:val="0"/>
              <w:marTop w:val="0"/>
              <w:marBottom w:val="0"/>
              <w:divBdr>
                <w:top w:val="none" w:sz="0" w:space="0" w:color="auto"/>
                <w:left w:val="none" w:sz="0" w:space="0" w:color="auto"/>
                <w:bottom w:val="none" w:sz="0" w:space="0" w:color="auto"/>
                <w:right w:val="none" w:sz="0" w:space="0" w:color="auto"/>
              </w:divBdr>
              <w:divsChild>
                <w:div w:id="6503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5428">
      <w:bodyDiv w:val="1"/>
      <w:marLeft w:val="0"/>
      <w:marRight w:val="0"/>
      <w:marTop w:val="0"/>
      <w:marBottom w:val="0"/>
      <w:divBdr>
        <w:top w:val="none" w:sz="0" w:space="0" w:color="auto"/>
        <w:left w:val="none" w:sz="0" w:space="0" w:color="auto"/>
        <w:bottom w:val="none" w:sz="0" w:space="0" w:color="auto"/>
        <w:right w:val="none" w:sz="0" w:space="0" w:color="auto"/>
      </w:divBdr>
    </w:div>
    <w:div w:id="1172914139">
      <w:bodyDiv w:val="1"/>
      <w:marLeft w:val="0"/>
      <w:marRight w:val="0"/>
      <w:marTop w:val="0"/>
      <w:marBottom w:val="0"/>
      <w:divBdr>
        <w:top w:val="none" w:sz="0" w:space="0" w:color="auto"/>
        <w:left w:val="none" w:sz="0" w:space="0" w:color="auto"/>
        <w:bottom w:val="none" w:sz="0" w:space="0" w:color="auto"/>
        <w:right w:val="none" w:sz="0" w:space="0" w:color="auto"/>
      </w:divBdr>
      <w:divsChild>
        <w:div w:id="111478429">
          <w:marLeft w:val="0"/>
          <w:marRight w:val="0"/>
          <w:marTop w:val="0"/>
          <w:marBottom w:val="0"/>
          <w:divBdr>
            <w:top w:val="none" w:sz="0" w:space="0" w:color="auto"/>
            <w:left w:val="none" w:sz="0" w:space="0" w:color="auto"/>
            <w:bottom w:val="none" w:sz="0" w:space="0" w:color="auto"/>
            <w:right w:val="none" w:sz="0" w:space="0" w:color="auto"/>
          </w:divBdr>
          <w:divsChild>
            <w:div w:id="2029091855">
              <w:marLeft w:val="0"/>
              <w:marRight w:val="0"/>
              <w:marTop w:val="0"/>
              <w:marBottom w:val="0"/>
              <w:divBdr>
                <w:top w:val="none" w:sz="0" w:space="0" w:color="auto"/>
                <w:left w:val="none" w:sz="0" w:space="0" w:color="auto"/>
                <w:bottom w:val="none" w:sz="0" w:space="0" w:color="auto"/>
                <w:right w:val="none" w:sz="0" w:space="0" w:color="auto"/>
              </w:divBdr>
              <w:divsChild>
                <w:div w:id="208425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3212">
      <w:bodyDiv w:val="1"/>
      <w:marLeft w:val="0"/>
      <w:marRight w:val="0"/>
      <w:marTop w:val="0"/>
      <w:marBottom w:val="0"/>
      <w:divBdr>
        <w:top w:val="none" w:sz="0" w:space="0" w:color="auto"/>
        <w:left w:val="none" w:sz="0" w:space="0" w:color="auto"/>
        <w:bottom w:val="none" w:sz="0" w:space="0" w:color="auto"/>
        <w:right w:val="none" w:sz="0" w:space="0" w:color="auto"/>
      </w:divBdr>
    </w:div>
    <w:div w:id="1237547819">
      <w:bodyDiv w:val="1"/>
      <w:marLeft w:val="0"/>
      <w:marRight w:val="0"/>
      <w:marTop w:val="0"/>
      <w:marBottom w:val="0"/>
      <w:divBdr>
        <w:top w:val="none" w:sz="0" w:space="0" w:color="auto"/>
        <w:left w:val="none" w:sz="0" w:space="0" w:color="auto"/>
        <w:bottom w:val="none" w:sz="0" w:space="0" w:color="auto"/>
        <w:right w:val="none" w:sz="0" w:space="0" w:color="auto"/>
      </w:divBdr>
    </w:div>
    <w:div w:id="1254628113">
      <w:bodyDiv w:val="1"/>
      <w:marLeft w:val="0"/>
      <w:marRight w:val="0"/>
      <w:marTop w:val="0"/>
      <w:marBottom w:val="0"/>
      <w:divBdr>
        <w:top w:val="none" w:sz="0" w:space="0" w:color="auto"/>
        <w:left w:val="none" w:sz="0" w:space="0" w:color="auto"/>
        <w:bottom w:val="none" w:sz="0" w:space="0" w:color="auto"/>
        <w:right w:val="none" w:sz="0" w:space="0" w:color="auto"/>
      </w:divBdr>
    </w:div>
    <w:div w:id="1268075391">
      <w:bodyDiv w:val="1"/>
      <w:marLeft w:val="0"/>
      <w:marRight w:val="0"/>
      <w:marTop w:val="0"/>
      <w:marBottom w:val="0"/>
      <w:divBdr>
        <w:top w:val="none" w:sz="0" w:space="0" w:color="auto"/>
        <w:left w:val="none" w:sz="0" w:space="0" w:color="auto"/>
        <w:bottom w:val="none" w:sz="0" w:space="0" w:color="auto"/>
        <w:right w:val="none" w:sz="0" w:space="0" w:color="auto"/>
      </w:divBdr>
      <w:divsChild>
        <w:div w:id="61493736">
          <w:marLeft w:val="0"/>
          <w:marRight w:val="0"/>
          <w:marTop w:val="0"/>
          <w:marBottom w:val="0"/>
          <w:divBdr>
            <w:top w:val="none" w:sz="0" w:space="0" w:color="auto"/>
            <w:left w:val="none" w:sz="0" w:space="0" w:color="auto"/>
            <w:bottom w:val="none" w:sz="0" w:space="0" w:color="auto"/>
            <w:right w:val="none" w:sz="0" w:space="0" w:color="auto"/>
          </w:divBdr>
          <w:divsChild>
            <w:div w:id="584147892">
              <w:marLeft w:val="0"/>
              <w:marRight w:val="0"/>
              <w:marTop w:val="0"/>
              <w:marBottom w:val="0"/>
              <w:divBdr>
                <w:top w:val="none" w:sz="0" w:space="0" w:color="auto"/>
                <w:left w:val="none" w:sz="0" w:space="0" w:color="auto"/>
                <w:bottom w:val="none" w:sz="0" w:space="0" w:color="auto"/>
                <w:right w:val="none" w:sz="0" w:space="0" w:color="auto"/>
              </w:divBdr>
              <w:divsChild>
                <w:div w:id="15606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048796">
      <w:bodyDiv w:val="1"/>
      <w:marLeft w:val="0"/>
      <w:marRight w:val="0"/>
      <w:marTop w:val="0"/>
      <w:marBottom w:val="0"/>
      <w:divBdr>
        <w:top w:val="none" w:sz="0" w:space="0" w:color="auto"/>
        <w:left w:val="none" w:sz="0" w:space="0" w:color="auto"/>
        <w:bottom w:val="none" w:sz="0" w:space="0" w:color="auto"/>
        <w:right w:val="none" w:sz="0" w:space="0" w:color="auto"/>
      </w:divBdr>
    </w:div>
    <w:div w:id="1340230935">
      <w:bodyDiv w:val="1"/>
      <w:marLeft w:val="0"/>
      <w:marRight w:val="0"/>
      <w:marTop w:val="0"/>
      <w:marBottom w:val="0"/>
      <w:divBdr>
        <w:top w:val="none" w:sz="0" w:space="0" w:color="auto"/>
        <w:left w:val="none" w:sz="0" w:space="0" w:color="auto"/>
        <w:bottom w:val="none" w:sz="0" w:space="0" w:color="auto"/>
        <w:right w:val="none" w:sz="0" w:space="0" w:color="auto"/>
      </w:divBdr>
    </w:div>
    <w:div w:id="1343968479">
      <w:bodyDiv w:val="1"/>
      <w:marLeft w:val="0"/>
      <w:marRight w:val="0"/>
      <w:marTop w:val="0"/>
      <w:marBottom w:val="0"/>
      <w:divBdr>
        <w:top w:val="none" w:sz="0" w:space="0" w:color="auto"/>
        <w:left w:val="none" w:sz="0" w:space="0" w:color="auto"/>
        <w:bottom w:val="none" w:sz="0" w:space="0" w:color="auto"/>
        <w:right w:val="none" w:sz="0" w:space="0" w:color="auto"/>
      </w:divBdr>
    </w:div>
    <w:div w:id="1371153884">
      <w:bodyDiv w:val="1"/>
      <w:marLeft w:val="0"/>
      <w:marRight w:val="0"/>
      <w:marTop w:val="0"/>
      <w:marBottom w:val="0"/>
      <w:divBdr>
        <w:top w:val="none" w:sz="0" w:space="0" w:color="auto"/>
        <w:left w:val="none" w:sz="0" w:space="0" w:color="auto"/>
        <w:bottom w:val="none" w:sz="0" w:space="0" w:color="auto"/>
        <w:right w:val="none" w:sz="0" w:space="0" w:color="auto"/>
      </w:divBdr>
      <w:divsChild>
        <w:div w:id="879632014">
          <w:marLeft w:val="0"/>
          <w:marRight w:val="0"/>
          <w:marTop w:val="0"/>
          <w:marBottom w:val="0"/>
          <w:divBdr>
            <w:top w:val="none" w:sz="0" w:space="0" w:color="auto"/>
            <w:left w:val="none" w:sz="0" w:space="0" w:color="auto"/>
            <w:bottom w:val="none" w:sz="0" w:space="0" w:color="auto"/>
            <w:right w:val="none" w:sz="0" w:space="0" w:color="auto"/>
          </w:divBdr>
          <w:divsChild>
            <w:div w:id="982150883">
              <w:marLeft w:val="0"/>
              <w:marRight w:val="0"/>
              <w:marTop w:val="0"/>
              <w:marBottom w:val="0"/>
              <w:divBdr>
                <w:top w:val="none" w:sz="0" w:space="0" w:color="auto"/>
                <w:left w:val="none" w:sz="0" w:space="0" w:color="auto"/>
                <w:bottom w:val="none" w:sz="0" w:space="0" w:color="auto"/>
                <w:right w:val="none" w:sz="0" w:space="0" w:color="auto"/>
              </w:divBdr>
              <w:divsChild>
                <w:div w:id="21371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07019">
      <w:bodyDiv w:val="1"/>
      <w:marLeft w:val="0"/>
      <w:marRight w:val="0"/>
      <w:marTop w:val="0"/>
      <w:marBottom w:val="0"/>
      <w:divBdr>
        <w:top w:val="none" w:sz="0" w:space="0" w:color="auto"/>
        <w:left w:val="none" w:sz="0" w:space="0" w:color="auto"/>
        <w:bottom w:val="none" w:sz="0" w:space="0" w:color="auto"/>
        <w:right w:val="none" w:sz="0" w:space="0" w:color="auto"/>
      </w:divBdr>
    </w:div>
    <w:div w:id="1414279098">
      <w:bodyDiv w:val="1"/>
      <w:marLeft w:val="0"/>
      <w:marRight w:val="0"/>
      <w:marTop w:val="0"/>
      <w:marBottom w:val="0"/>
      <w:divBdr>
        <w:top w:val="none" w:sz="0" w:space="0" w:color="auto"/>
        <w:left w:val="none" w:sz="0" w:space="0" w:color="auto"/>
        <w:bottom w:val="none" w:sz="0" w:space="0" w:color="auto"/>
        <w:right w:val="none" w:sz="0" w:space="0" w:color="auto"/>
      </w:divBdr>
      <w:divsChild>
        <w:div w:id="1342315230">
          <w:marLeft w:val="0"/>
          <w:marRight w:val="0"/>
          <w:marTop w:val="0"/>
          <w:marBottom w:val="0"/>
          <w:divBdr>
            <w:top w:val="none" w:sz="0" w:space="0" w:color="auto"/>
            <w:left w:val="none" w:sz="0" w:space="0" w:color="auto"/>
            <w:bottom w:val="none" w:sz="0" w:space="0" w:color="auto"/>
            <w:right w:val="none" w:sz="0" w:space="0" w:color="auto"/>
          </w:divBdr>
          <w:divsChild>
            <w:div w:id="552468705">
              <w:marLeft w:val="0"/>
              <w:marRight w:val="0"/>
              <w:marTop w:val="0"/>
              <w:marBottom w:val="0"/>
              <w:divBdr>
                <w:top w:val="none" w:sz="0" w:space="0" w:color="auto"/>
                <w:left w:val="none" w:sz="0" w:space="0" w:color="auto"/>
                <w:bottom w:val="none" w:sz="0" w:space="0" w:color="auto"/>
                <w:right w:val="none" w:sz="0" w:space="0" w:color="auto"/>
              </w:divBdr>
              <w:divsChild>
                <w:div w:id="26689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370284">
      <w:bodyDiv w:val="1"/>
      <w:marLeft w:val="0"/>
      <w:marRight w:val="0"/>
      <w:marTop w:val="0"/>
      <w:marBottom w:val="0"/>
      <w:divBdr>
        <w:top w:val="none" w:sz="0" w:space="0" w:color="auto"/>
        <w:left w:val="none" w:sz="0" w:space="0" w:color="auto"/>
        <w:bottom w:val="none" w:sz="0" w:space="0" w:color="auto"/>
        <w:right w:val="none" w:sz="0" w:space="0" w:color="auto"/>
      </w:divBdr>
      <w:divsChild>
        <w:div w:id="516967505">
          <w:marLeft w:val="0"/>
          <w:marRight w:val="0"/>
          <w:marTop w:val="0"/>
          <w:marBottom w:val="0"/>
          <w:divBdr>
            <w:top w:val="none" w:sz="0" w:space="0" w:color="auto"/>
            <w:left w:val="none" w:sz="0" w:space="0" w:color="auto"/>
            <w:bottom w:val="none" w:sz="0" w:space="0" w:color="auto"/>
            <w:right w:val="none" w:sz="0" w:space="0" w:color="auto"/>
          </w:divBdr>
          <w:divsChild>
            <w:div w:id="982471330">
              <w:marLeft w:val="0"/>
              <w:marRight w:val="0"/>
              <w:marTop w:val="0"/>
              <w:marBottom w:val="0"/>
              <w:divBdr>
                <w:top w:val="none" w:sz="0" w:space="0" w:color="auto"/>
                <w:left w:val="none" w:sz="0" w:space="0" w:color="auto"/>
                <w:bottom w:val="none" w:sz="0" w:space="0" w:color="auto"/>
                <w:right w:val="none" w:sz="0" w:space="0" w:color="auto"/>
              </w:divBdr>
              <w:divsChild>
                <w:div w:id="11894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191735">
      <w:bodyDiv w:val="1"/>
      <w:marLeft w:val="0"/>
      <w:marRight w:val="0"/>
      <w:marTop w:val="0"/>
      <w:marBottom w:val="0"/>
      <w:divBdr>
        <w:top w:val="none" w:sz="0" w:space="0" w:color="auto"/>
        <w:left w:val="none" w:sz="0" w:space="0" w:color="auto"/>
        <w:bottom w:val="none" w:sz="0" w:space="0" w:color="auto"/>
        <w:right w:val="none" w:sz="0" w:space="0" w:color="auto"/>
      </w:divBdr>
      <w:divsChild>
        <w:div w:id="1590887400">
          <w:marLeft w:val="0"/>
          <w:marRight w:val="0"/>
          <w:marTop w:val="0"/>
          <w:marBottom w:val="0"/>
          <w:divBdr>
            <w:top w:val="none" w:sz="0" w:space="0" w:color="auto"/>
            <w:left w:val="none" w:sz="0" w:space="0" w:color="auto"/>
            <w:bottom w:val="none" w:sz="0" w:space="0" w:color="auto"/>
            <w:right w:val="none" w:sz="0" w:space="0" w:color="auto"/>
          </w:divBdr>
          <w:divsChild>
            <w:div w:id="1836339612">
              <w:marLeft w:val="0"/>
              <w:marRight w:val="0"/>
              <w:marTop w:val="0"/>
              <w:marBottom w:val="0"/>
              <w:divBdr>
                <w:top w:val="none" w:sz="0" w:space="0" w:color="auto"/>
                <w:left w:val="none" w:sz="0" w:space="0" w:color="auto"/>
                <w:bottom w:val="none" w:sz="0" w:space="0" w:color="auto"/>
                <w:right w:val="none" w:sz="0" w:space="0" w:color="auto"/>
              </w:divBdr>
              <w:divsChild>
                <w:div w:id="96288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0702">
      <w:bodyDiv w:val="1"/>
      <w:marLeft w:val="0"/>
      <w:marRight w:val="0"/>
      <w:marTop w:val="0"/>
      <w:marBottom w:val="0"/>
      <w:divBdr>
        <w:top w:val="none" w:sz="0" w:space="0" w:color="auto"/>
        <w:left w:val="none" w:sz="0" w:space="0" w:color="auto"/>
        <w:bottom w:val="none" w:sz="0" w:space="0" w:color="auto"/>
        <w:right w:val="none" w:sz="0" w:space="0" w:color="auto"/>
      </w:divBdr>
      <w:divsChild>
        <w:div w:id="802967753">
          <w:marLeft w:val="0"/>
          <w:marRight w:val="0"/>
          <w:marTop w:val="0"/>
          <w:marBottom w:val="0"/>
          <w:divBdr>
            <w:top w:val="none" w:sz="0" w:space="0" w:color="auto"/>
            <w:left w:val="none" w:sz="0" w:space="0" w:color="auto"/>
            <w:bottom w:val="none" w:sz="0" w:space="0" w:color="auto"/>
            <w:right w:val="none" w:sz="0" w:space="0" w:color="auto"/>
          </w:divBdr>
          <w:divsChild>
            <w:div w:id="1885217779">
              <w:marLeft w:val="0"/>
              <w:marRight w:val="0"/>
              <w:marTop w:val="0"/>
              <w:marBottom w:val="0"/>
              <w:divBdr>
                <w:top w:val="none" w:sz="0" w:space="0" w:color="auto"/>
                <w:left w:val="none" w:sz="0" w:space="0" w:color="auto"/>
                <w:bottom w:val="none" w:sz="0" w:space="0" w:color="auto"/>
                <w:right w:val="none" w:sz="0" w:space="0" w:color="auto"/>
              </w:divBdr>
              <w:divsChild>
                <w:div w:id="936404772">
                  <w:marLeft w:val="0"/>
                  <w:marRight w:val="0"/>
                  <w:marTop w:val="0"/>
                  <w:marBottom w:val="0"/>
                  <w:divBdr>
                    <w:top w:val="none" w:sz="0" w:space="0" w:color="auto"/>
                    <w:left w:val="none" w:sz="0" w:space="0" w:color="auto"/>
                    <w:bottom w:val="none" w:sz="0" w:space="0" w:color="auto"/>
                    <w:right w:val="none" w:sz="0" w:space="0" w:color="auto"/>
                  </w:divBdr>
                  <w:divsChild>
                    <w:div w:id="20058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853180">
      <w:bodyDiv w:val="1"/>
      <w:marLeft w:val="0"/>
      <w:marRight w:val="0"/>
      <w:marTop w:val="0"/>
      <w:marBottom w:val="0"/>
      <w:divBdr>
        <w:top w:val="none" w:sz="0" w:space="0" w:color="auto"/>
        <w:left w:val="none" w:sz="0" w:space="0" w:color="auto"/>
        <w:bottom w:val="none" w:sz="0" w:space="0" w:color="auto"/>
        <w:right w:val="none" w:sz="0" w:space="0" w:color="auto"/>
      </w:divBdr>
    </w:div>
    <w:div w:id="1476219547">
      <w:bodyDiv w:val="1"/>
      <w:marLeft w:val="0"/>
      <w:marRight w:val="0"/>
      <w:marTop w:val="0"/>
      <w:marBottom w:val="0"/>
      <w:divBdr>
        <w:top w:val="none" w:sz="0" w:space="0" w:color="auto"/>
        <w:left w:val="none" w:sz="0" w:space="0" w:color="auto"/>
        <w:bottom w:val="none" w:sz="0" w:space="0" w:color="auto"/>
        <w:right w:val="none" w:sz="0" w:space="0" w:color="auto"/>
      </w:divBdr>
      <w:divsChild>
        <w:div w:id="1038118148">
          <w:marLeft w:val="0"/>
          <w:marRight w:val="0"/>
          <w:marTop w:val="0"/>
          <w:marBottom w:val="0"/>
          <w:divBdr>
            <w:top w:val="none" w:sz="0" w:space="0" w:color="auto"/>
            <w:left w:val="none" w:sz="0" w:space="0" w:color="auto"/>
            <w:bottom w:val="none" w:sz="0" w:space="0" w:color="auto"/>
            <w:right w:val="none" w:sz="0" w:space="0" w:color="auto"/>
          </w:divBdr>
          <w:divsChild>
            <w:div w:id="418448092">
              <w:marLeft w:val="0"/>
              <w:marRight w:val="0"/>
              <w:marTop w:val="0"/>
              <w:marBottom w:val="0"/>
              <w:divBdr>
                <w:top w:val="none" w:sz="0" w:space="0" w:color="auto"/>
                <w:left w:val="none" w:sz="0" w:space="0" w:color="auto"/>
                <w:bottom w:val="none" w:sz="0" w:space="0" w:color="auto"/>
                <w:right w:val="none" w:sz="0" w:space="0" w:color="auto"/>
              </w:divBdr>
              <w:divsChild>
                <w:div w:id="13868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78019">
      <w:bodyDiv w:val="1"/>
      <w:marLeft w:val="0"/>
      <w:marRight w:val="0"/>
      <w:marTop w:val="0"/>
      <w:marBottom w:val="0"/>
      <w:divBdr>
        <w:top w:val="none" w:sz="0" w:space="0" w:color="auto"/>
        <w:left w:val="none" w:sz="0" w:space="0" w:color="auto"/>
        <w:bottom w:val="none" w:sz="0" w:space="0" w:color="auto"/>
        <w:right w:val="none" w:sz="0" w:space="0" w:color="auto"/>
      </w:divBdr>
    </w:div>
    <w:div w:id="1488551221">
      <w:bodyDiv w:val="1"/>
      <w:marLeft w:val="0"/>
      <w:marRight w:val="0"/>
      <w:marTop w:val="0"/>
      <w:marBottom w:val="0"/>
      <w:divBdr>
        <w:top w:val="none" w:sz="0" w:space="0" w:color="auto"/>
        <w:left w:val="none" w:sz="0" w:space="0" w:color="auto"/>
        <w:bottom w:val="none" w:sz="0" w:space="0" w:color="auto"/>
        <w:right w:val="none" w:sz="0" w:space="0" w:color="auto"/>
      </w:divBdr>
    </w:div>
    <w:div w:id="1492670677">
      <w:bodyDiv w:val="1"/>
      <w:marLeft w:val="0"/>
      <w:marRight w:val="0"/>
      <w:marTop w:val="0"/>
      <w:marBottom w:val="0"/>
      <w:divBdr>
        <w:top w:val="none" w:sz="0" w:space="0" w:color="auto"/>
        <w:left w:val="none" w:sz="0" w:space="0" w:color="auto"/>
        <w:bottom w:val="none" w:sz="0" w:space="0" w:color="auto"/>
        <w:right w:val="none" w:sz="0" w:space="0" w:color="auto"/>
      </w:divBdr>
      <w:divsChild>
        <w:div w:id="1180507250">
          <w:marLeft w:val="0"/>
          <w:marRight w:val="0"/>
          <w:marTop w:val="0"/>
          <w:marBottom w:val="0"/>
          <w:divBdr>
            <w:top w:val="none" w:sz="0" w:space="0" w:color="auto"/>
            <w:left w:val="none" w:sz="0" w:space="0" w:color="auto"/>
            <w:bottom w:val="none" w:sz="0" w:space="0" w:color="auto"/>
            <w:right w:val="none" w:sz="0" w:space="0" w:color="auto"/>
          </w:divBdr>
          <w:divsChild>
            <w:div w:id="2036803035">
              <w:marLeft w:val="0"/>
              <w:marRight w:val="0"/>
              <w:marTop w:val="0"/>
              <w:marBottom w:val="0"/>
              <w:divBdr>
                <w:top w:val="none" w:sz="0" w:space="0" w:color="auto"/>
                <w:left w:val="none" w:sz="0" w:space="0" w:color="auto"/>
                <w:bottom w:val="none" w:sz="0" w:space="0" w:color="auto"/>
                <w:right w:val="none" w:sz="0" w:space="0" w:color="auto"/>
              </w:divBdr>
              <w:divsChild>
                <w:div w:id="16323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30447">
      <w:bodyDiv w:val="1"/>
      <w:marLeft w:val="0"/>
      <w:marRight w:val="0"/>
      <w:marTop w:val="0"/>
      <w:marBottom w:val="0"/>
      <w:divBdr>
        <w:top w:val="none" w:sz="0" w:space="0" w:color="auto"/>
        <w:left w:val="none" w:sz="0" w:space="0" w:color="auto"/>
        <w:bottom w:val="none" w:sz="0" w:space="0" w:color="auto"/>
        <w:right w:val="none" w:sz="0" w:space="0" w:color="auto"/>
      </w:divBdr>
      <w:divsChild>
        <w:div w:id="412968089">
          <w:marLeft w:val="0"/>
          <w:marRight w:val="0"/>
          <w:marTop w:val="0"/>
          <w:marBottom w:val="0"/>
          <w:divBdr>
            <w:top w:val="none" w:sz="0" w:space="0" w:color="auto"/>
            <w:left w:val="none" w:sz="0" w:space="0" w:color="auto"/>
            <w:bottom w:val="none" w:sz="0" w:space="0" w:color="auto"/>
            <w:right w:val="none" w:sz="0" w:space="0" w:color="auto"/>
          </w:divBdr>
          <w:divsChild>
            <w:div w:id="665479089">
              <w:marLeft w:val="0"/>
              <w:marRight w:val="0"/>
              <w:marTop w:val="0"/>
              <w:marBottom w:val="0"/>
              <w:divBdr>
                <w:top w:val="none" w:sz="0" w:space="0" w:color="auto"/>
                <w:left w:val="none" w:sz="0" w:space="0" w:color="auto"/>
                <w:bottom w:val="none" w:sz="0" w:space="0" w:color="auto"/>
                <w:right w:val="none" w:sz="0" w:space="0" w:color="auto"/>
              </w:divBdr>
              <w:divsChild>
                <w:div w:id="142731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5312">
      <w:bodyDiv w:val="1"/>
      <w:marLeft w:val="0"/>
      <w:marRight w:val="0"/>
      <w:marTop w:val="0"/>
      <w:marBottom w:val="0"/>
      <w:divBdr>
        <w:top w:val="none" w:sz="0" w:space="0" w:color="auto"/>
        <w:left w:val="none" w:sz="0" w:space="0" w:color="auto"/>
        <w:bottom w:val="none" w:sz="0" w:space="0" w:color="auto"/>
        <w:right w:val="none" w:sz="0" w:space="0" w:color="auto"/>
      </w:divBdr>
      <w:divsChild>
        <w:div w:id="1373849617">
          <w:marLeft w:val="0"/>
          <w:marRight w:val="0"/>
          <w:marTop w:val="0"/>
          <w:marBottom w:val="0"/>
          <w:divBdr>
            <w:top w:val="none" w:sz="0" w:space="0" w:color="auto"/>
            <w:left w:val="none" w:sz="0" w:space="0" w:color="auto"/>
            <w:bottom w:val="none" w:sz="0" w:space="0" w:color="auto"/>
            <w:right w:val="none" w:sz="0" w:space="0" w:color="auto"/>
          </w:divBdr>
          <w:divsChild>
            <w:div w:id="1713769371">
              <w:marLeft w:val="0"/>
              <w:marRight w:val="0"/>
              <w:marTop w:val="0"/>
              <w:marBottom w:val="0"/>
              <w:divBdr>
                <w:top w:val="none" w:sz="0" w:space="0" w:color="auto"/>
                <w:left w:val="none" w:sz="0" w:space="0" w:color="auto"/>
                <w:bottom w:val="none" w:sz="0" w:space="0" w:color="auto"/>
                <w:right w:val="none" w:sz="0" w:space="0" w:color="auto"/>
              </w:divBdr>
              <w:divsChild>
                <w:div w:id="10811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4573">
      <w:bodyDiv w:val="1"/>
      <w:marLeft w:val="0"/>
      <w:marRight w:val="0"/>
      <w:marTop w:val="0"/>
      <w:marBottom w:val="0"/>
      <w:divBdr>
        <w:top w:val="none" w:sz="0" w:space="0" w:color="auto"/>
        <w:left w:val="none" w:sz="0" w:space="0" w:color="auto"/>
        <w:bottom w:val="none" w:sz="0" w:space="0" w:color="auto"/>
        <w:right w:val="none" w:sz="0" w:space="0" w:color="auto"/>
      </w:divBdr>
    </w:div>
    <w:div w:id="1613517939">
      <w:bodyDiv w:val="1"/>
      <w:marLeft w:val="0"/>
      <w:marRight w:val="0"/>
      <w:marTop w:val="0"/>
      <w:marBottom w:val="0"/>
      <w:divBdr>
        <w:top w:val="none" w:sz="0" w:space="0" w:color="auto"/>
        <w:left w:val="none" w:sz="0" w:space="0" w:color="auto"/>
        <w:bottom w:val="none" w:sz="0" w:space="0" w:color="auto"/>
        <w:right w:val="none" w:sz="0" w:space="0" w:color="auto"/>
      </w:divBdr>
      <w:divsChild>
        <w:div w:id="1015040518">
          <w:marLeft w:val="0"/>
          <w:marRight w:val="0"/>
          <w:marTop w:val="0"/>
          <w:marBottom w:val="0"/>
          <w:divBdr>
            <w:top w:val="none" w:sz="0" w:space="0" w:color="auto"/>
            <w:left w:val="none" w:sz="0" w:space="0" w:color="auto"/>
            <w:bottom w:val="none" w:sz="0" w:space="0" w:color="auto"/>
            <w:right w:val="none" w:sz="0" w:space="0" w:color="auto"/>
          </w:divBdr>
          <w:divsChild>
            <w:div w:id="83577556">
              <w:marLeft w:val="0"/>
              <w:marRight w:val="0"/>
              <w:marTop w:val="0"/>
              <w:marBottom w:val="0"/>
              <w:divBdr>
                <w:top w:val="none" w:sz="0" w:space="0" w:color="auto"/>
                <w:left w:val="none" w:sz="0" w:space="0" w:color="auto"/>
                <w:bottom w:val="none" w:sz="0" w:space="0" w:color="auto"/>
                <w:right w:val="none" w:sz="0" w:space="0" w:color="auto"/>
              </w:divBdr>
              <w:divsChild>
                <w:div w:id="102768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13485">
      <w:bodyDiv w:val="1"/>
      <w:marLeft w:val="0"/>
      <w:marRight w:val="0"/>
      <w:marTop w:val="0"/>
      <w:marBottom w:val="0"/>
      <w:divBdr>
        <w:top w:val="none" w:sz="0" w:space="0" w:color="auto"/>
        <w:left w:val="none" w:sz="0" w:space="0" w:color="auto"/>
        <w:bottom w:val="none" w:sz="0" w:space="0" w:color="auto"/>
        <w:right w:val="none" w:sz="0" w:space="0" w:color="auto"/>
      </w:divBdr>
    </w:div>
    <w:div w:id="1650667103">
      <w:bodyDiv w:val="1"/>
      <w:marLeft w:val="0"/>
      <w:marRight w:val="0"/>
      <w:marTop w:val="0"/>
      <w:marBottom w:val="0"/>
      <w:divBdr>
        <w:top w:val="none" w:sz="0" w:space="0" w:color="auto"/>
        <w:left w:val="none" w:sz="0" w:space="0" w:color="auto"/>
        <w:bottom w:val="none" w:sz="0" w:space="0" w:color="auto"/>
        <w:right w:val="none" w:sz="0" w:space="0" w:color="auto"/>
      </w:divBdr>
    </w:div>
    <w:div w:id="1657607690">
      <w:bodyDiv w:val="1"/>
      <w:marLeft w:val="0"/>
      <w:marRight w:val="0"/>
      <w:marTop w:val="0"/>
      <w:marBottom w:val="0"/>
      <w:divBdr>
        <w:top w:val="none" w:sz="0" w:space="0" w:color="auto"/>
        <w:left w:val="none" w:sz="0" w:space="0" w:color="auto"/>
        <w:bottom w:val="none" w:sz="0" w:space="0" w:color="auto"/>
        <w:right w:val="none" w:sz="0" w:space="0" w:color="auto"/>
      </w:divBdr>
      <w:divsChild>
        <w:div w:id="2063555343">
          <w:marLeft w:val="0"/>
          <w:marRight w:val="0"/>
          <w:marTop w:val="0"/>
          <w:marBottom w:val="0"/>
          <w:divBdr>
            <w:top w:val="none" w:sz="0" w:space="0" w:color="auto"/>
            <w:left w:val="none" w:sz="0" w:space="0" w:color="auto"/>
            <w:bottom w:val="none" w:sz="0" w:space="0" w:color="auto"/>
            <w:right w:val="none" w:sz="0" w:space="0" w:color="auto"/>
          </w:divBdr>
          <w:divsChild>
            <w:div w:id="1986931228">
              <w:marLeft w:val="0"/>
              <w:marRight w:val="0"/>
              <w:marTop w:val="0"/>
              <w:marBottom w:val="0"/>
              <w:divBdr>
                <w:top w:val="none" w:sz="0" w:space="0" w:color="auto"/>
                <w:left w:val="none" w:sz="0" w:space="0" w:color="auto"/>
                <w:bottom w:val="none" w:sz="0" w:space="0" w:color="auto"/>
                <w:right w:val="none" w:sz="0" w:space="0" w:color="auto"/>
              </w:divBdr>
              <w:divsChild>
                <w:div w:id="1674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4442">
      <w:bodyDiv w:val="1"/>
      <w:marLeft w:val="0"/>
      <w:marRight w:val="0"/>
      <w:marTop w:val="0"/>
      <w:marBottom w:val="0"/>
      <w:divBdr>
        <w:top w:val="none" w:sz="0" w:space="0" w:color="auto"/>
        <w:left w:val="none" w:sz="0" w:space="0" w:color="auto"/>
        <w:bottom w:val="none" w:sz="0" w:space="0" w:color="auto"/>
        <w:right w:val="none" w:sz="0" w:space="0" w:color="auto"/>
      </w:divBdr>
      <w:divsChild>
        <w:div w:id="1841699814">
          <w:marLeft w:val="0"/>
          <w:marRight w:val="0"/>
          <w:marTop w:val="0"/>
          <w:marBottom w:val="0"/>
          <w:divBdr>
            <w:top w:val="none" w:sz="0" w:space="0" w:color="auto"/>
            <w:left w:val="none" w:sz="0" w:space="0" w:color="auto"/>
            <w:bottom w:val="none" w:sz="0" w:space="0" w:color="auto"/>
            <w:right w:val="none" w:sz="0" w:space="0" w:color="auto"/>
          </w:divBdr>
          <w:divsChild>
            <w:div w:id="676812972">
              <w:marLeft w:val="0"/>
              <w:marRight w:val="0"/>
              <w:marTop w:val="0"/>
              <w:marBottom w:val="0"/>
              <w:divBdr>
                <w:top w:val="none" w:sz="0" w:space="0" w:color="auto"/>
                <w:left w:val="none" w:sz="0" w:space="0" w:color="auto"/>
                <w:bottom w:val="none" w:sz="0" w:space="0" w:color="auto"/>
                <w:right w:val="none" w:sz="0" w:space="0" w:color="auto"/>
              </w:divBdr>
              <w:divsChild>
                <w:div w:id="178784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59269">
      <w:bodyDiv w:val="1"/>
      <w:marLeft w:val="0"/>
      <w:marRight w:val="0"/>
      <w:marTop w:val="0"/>
      <w:marBottom w:val="0"/>
      <w:divBdr>
        <w:top w:val="none" w:sz="0" w:space="0" w:color="auto"/>
        <w:left w:val="none" w:sz="0" w:space="0" w:color="auto"/>
        <w:bottom w:val="none" w:sz="0" w:space="0" w:color="auto"/>
        <w:right w:val="none" w:sz="0" w:space="0" w:color="auto"/>
      </w:divBdr>
      <w:divsChild>
        <w:div w:id="1744641145">
          <w:marLeft w:val="0"/>
          <w:marRight w:val="0"/>
          <w:marTop w:val="0"/>
          <w:marBottom w:val="0"/>
          <w:divBdr>
            <w:top w:val="none" w:sz="0" w:space="0" w:color="auto"/>
            <w:left w:val="none" w:sz="0" w:space="0" w:color="auto"/>
            <w:bottom w:val="none" w:sz="0" w:space="0" w:color="auto"/>
            <w:right w:val="none" w:sz="0" w:space="0" w:color="auto"/>
          </w:divBdr>
        </w:div>
        <w:div w:id="1679114127">
          <w:marLeft w:val="0"/>
          <w:marRight w:val="0"/>
          <w:marTop w:val="0"/>
          <w:marBottom w:val="0"/>
          <w:divBdr>
            <w:top w:val="none" w:sz="0" w:space="0" w:color="auto"/>
            <w:left w:val="none" w:sz="0" w:space="0" w:color="auto"/>
            <w:bottom w:val="none" w:sz="0" w:space="0" w:color="auto"/>
            <w:right w:val="none" w:sz="0" w:space="0" w:color="auto"/>
          </w:divBdr>
        </w:div>
      </w:divsChild>
    </w:div>
    <w:div w:id="1680306549">
      <w:bodyDiv w:val="1"/>
      <w:marLeft w:val="0"/>
      <w:marRight w:val="0"/>
      <w:marTop w:val="0"/>
      <w:marBottom w:val="0"/>
      <w:divBdr>
        <w:top w:val="none" w:sz="0" w:space="0" w:color="auto"/>
        <w:left w:val="none" w:sz="0" w:space="0" w:color="auto"/>
        <w:bottom w:val="none" w:sz="0" w:space="0" w:color="auto"/>
        <w:right w:val="none" w:sz="0" w:space="0" w:color="auto"/>
      </w:divBdr>
      <w:divsChild>
        <w:div w:id="1692956543">
          <w:marLeft w:val="0"/>
          <w:marRight w:val="0"/>
          <w:marTop w:val="0"/>
          <w:marBottom w:val="0"/>
          <w:divBdr>
            <w:top w:val="none" w:sz="0" w:space="0" w:color="auto"/>
            <w:left w:val="none" w:sz="0" w:space="0" w:color="auto"/>
            <w:bottom w:val="none" w:sz="0" w:space="0" w:color="auto"/>
            <w:right w:val="none" w:sz="0" w:space="0" w:color="auto"/>
          </w:divBdr>
          <w:divsChild>
            <w:div w:id="1867979997">
              <w:marLeft w:val="0"/>
              <w:marRight w:val="0"/>
              <w:marTop w:val="0"/>
              <w:marBottom w:val="0"/>
              <w:divBdr>
                <w:top w:val="none" w:sz="0" w:space="0" w:color="auto"/>
                <w:left w:val="none" w:sz="0" w:space="0" w:color="auto"/>
                <w:bottom w:val="none" w:sz="0" w:space="0" w:color="auto"/>
                <w:right w:val="none" w:sz="0" w:space="0" w:color="auto"/>
              </w:divBdr>
              <w:divsChild>
                <w:div w:id="49141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369265">
      <w:bodyDiv w:val="1"/>
      <w:marLeft w:val="0"/>
      <w:marRight w:val="0"/>
      <w:marTop w:val="0"/>
      <w:marBottom w:val="0"/>
      <w:divBdr>
        <w:top w:val="none" w:sz="0" w:space="0" w:color="auto"/>
        <w:left w:val="none" w:sz="0" w:space="0" w:color="auto"/>
        <w:bottom w:val="none" w:sz="0" w:space="0" w:color="auto"/>
        <w:right w:val="none" w:sz="0" w:space="0" w:color="auto"/>
      </w:divBdr>
      <w:divsChild>
        <w:div w:id="2077312014">
          <w:marLeft w:val="0"/>
          <w:marRight w:val="0"/>
          <w:marTop w:val="0"/>
          <w:marBottom w:val="0"/>
          <w:divBdr>
            <w:top w:val="none" w:sz="0" w:space="0" w:color="auto"/>
            <w:left w:val="none" w:sz="0" w:space="0" w:color="auto"/>
            <w:bottom w:val="none" w:sz="0" w:space="0" w:color="auto"/>
            <w:right w:val="none" w:sz="0" w:space="0" w:color="auto"/>
          </w:divBdr>
          <w:divsChild>
            <w:div w:id="1120144915">
              <w:marLeft w:val="0"/>
              <w:marRight w:val="0"/>
              <w:marTop w:val="0"/>
              <w:marBottom w:val="0"/>
              <w:divBdr>
                <w:top w:val="none" w:sz="0" w:space="0" w:color="auto"/>
                <w:left w:val="none" w:sz="0" w:space="0" w:color="auto"/>
                <w:bottom w:val="none" w:sz="0" w:space="0" w:color="auto"/>
                <w:right w:val="none" w:sz="0" w:space="0" w:color="auto"/>
              </w:divBdr>
              <w:divsChild>
                <w:div w:id="18331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10226">
      <w:bodyDiv w:val="1"/>
      <w:marLeft w:val="0"/>
      <w:marRight w:val="0"/>
      <w:marTop w:val="0"/>
      <w:marBottom w:val="0"/>
      <w:divBdr>
        <w:top w:val="none" w:sz="0" w:space="0" w:color="auto"/>
        <w:left w:val="none" w:sz="0" w:space="0" w:color="auto"/>
        <w:bottom w:val="none" w:sz="0" w:space="0" w:color="auto"/>
        <w:right w:val="none" w:sz="0" w:space="0" w:color="auto"/>
      </w:divBdr>
    </w:div>
    <w:div w:id="1750152700">
      <w:bodyDiv w:val="1"/>
      <w:marLeft w:val="0"/>
      <w:marRight w:val="0"/>
      <w:marTop w:val="0"/>
      <w:marBottom w:val="0"/>
      <w:divBdr>
        <w:top w:val="none" w:sz="0" w:space="0" w:color="auto"/>
        <w:left w:val="none" w:sz="0" w:space="0" w:color="auto"/>
        <w:bottom w:val="none" w:sz="0" w:space="0" w:color="auto"/>
        <w:right w:val="none" w:sz="0" w:space="0" w:color="auto"/>
      </w:divBdr>
      <w:divsChild>
        <w:div w:id="582229690">
          <w:marLeft w:val="0"/>
          <w:marRight w:val="0"/>
          <w:marTop w:val="0"/>
          <w:marBottom w:val="0"/>
          <w:divBdr>
            <w:top w:val="none" w:sz="0" w:space="0" w:color="auto"/>
            <w:left w:val="none" w:sz="0" w:space="0" w:color="auto"/>
            <w:bottom w:val="none" w:sz="0" w:space="0" w:color="auto"/>
            <w:right w:val="none" w:sz="0" w:space="0" w:color="auto"/>
          </w:divBdr>
          <w:divsChild>
            <w:div w:id="1666281918">
              <w:marLeft w:val="0"/>
              <w:marRight w:val="0"/>
              <w:marTop w:val="0"/>
              <w:marBottom w:val="0"/>
              <w:divBdr>
                <w:top w:val="none" w:sz="0" w:space="0" w:color="auto"/>
                <w:left w:val="none" w:sz="0" w:space="0" w:color="auto"/>
                <w:bottom w:val="none" w:sz="0" w:space="0" w:color="auto"/>
                <w:right w:val="none" w:sz="0" w:space="0" w:color="auto"/>
              </w:divBdr>
              <w:divsChild>
                <w:div w:id="156699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4157">
      <w:bodyDiv w:val="1"/>
      <w:marLeft w:val="0"/>
      <w:marRight w:val="0"/>
      <w:marTop w:val="0"/>
      <w:marBottom w:val="0"/>
      <w:divBdr>
        <w:top w:val="none" w:sz="0" w:space="0" w:color="auto"/>
        <w:left w:val="none" w:sz="0" w:space="0" w:color="auto"/>
        <w:bottom w:val="none" w:sz="0" w:space="0" w:color="auto"/>
        <w:right w:val="none" w:sz="0" w:space="0" w:color="auto"/>
      </w:divBdr>
      <w:divsChild>
        <w:div w:id="1728797725">
          <w:marLeft w:val="0"/>
          <w:marRight w:val="0"/>
          <w:marTop w:val="0"/>
          <w:marBottom w:val="0"/>
          <w:divBdr>
            <w:top w:val="none" w:sz="0" w:space="0" w:color="auto"/>
            <w:left w:val="none" w:sz="0" w:space="0" w:color="auto"/>
            <w:bottom w:val="none" w:sz="0" w:space="0" w:color="auto"/>
            <w:right w:val="none" w:sz="0" w:space="0" w:color="auto"/>
          </w:divBdr>
          <w:divsChild>
            <w:div w:id="1417552237">
              <w:marLeft w:val="0"/>
              <w:marRight w:val="0"/>
              <w:marTop w:val="0"/>
              <w:marBottom w:val="0"/>
              <w:divBdr>
                <w:top w:val="none" w:sz="0" w:space="0" w:color="auto"/>
                <w:left w:val="none" w:sz="0" w:space="0" w:color="auto"/>
                <w:bottom w:val="none" w:sz="0" w:space="0" w:color="auto"/>
                <w:right w:val="none" w:sz="0" w:space="0" w:color="auto"/>
              </w:divBdr>
              <w:divsChild>
                <w:div w:id="1514029616">
                  <w:marLeft w:val="0"/>
                  <w:marRight w:val="0"/>
                  <w:marTop w:val="0"/>
                  <w:marBottom w:val="0"/>
                  <w:divBdr>
                    <w:top w:val="none" w:sz="0" w:space="0" w:color="auto"/>
                    <w:left w:val="none" w:sz="0" w:space="0" w:color="auto"/>
                    <w:bottom w:val="none" w:sz="0" w:space="0" w:color="auto"/>
                    <w:right w:val="none" w:sz="0" w:space="0" w:color="auto"/>
                  </w:divBdr>
                  <w:divsChild>
                    <w:div w:id="119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3169">
      <w:bodyDiv w:val="1"/>
      <w:marLeft w:val="0"/>
      <w:marRight w:val="0"/>
      <w:marTop w:val="0"/>
      <w:marBottom w:val="0"/>
      <w:divBdr>
        <w:top w:val="none" w:sz="0" w:space="0" w:color="auto"/>
        <w:left w:val="none" w:sz="0" w:space="0" w:color="auto"/>
        <w:bottom w:val="none" w:sz="0" w:space="0" w:color="auto"/>
        <w:right w:val="none" w:sz="0" w:space="0" w:color="auto"/>
      </w:divBdr>
    </w:div>
    <w:div w:id="1834447925">
      <w:bodyDiv w:val="1"/>
      <w:marLeft w:val="0"/>
      <w:marRight w:val="0"/>
      <w:marTop w:val="0"/>
      <w:marBottom w:val="0"/>
      <w:divBdr>
        <w:top w:val="none" w:sz="0" w:space="0" w:color="auto"/>
        <w:left w:val="none" w:sz="0" w:space="0" w:color="auto"/>
        <w:bottom w:val="none" w:sz="0" w:space="0" w:color="auto"/>
        <w:right w:val="none" w:sz="0" w:space="0" w:color="auto"/>
      </w:divBdr>
      <w:divsChild>
        <w:div w:id="808740420">
          <w:marLeft w:val="0"/>
          <w:marRight w:val="0"/>
          <w:marTop w:val="0"/>
          <w:marBottom w:val="0"/>
          <w:divBdr>
            <w:top w:val="none" w:sz="0" w:space="0" w:color="auto"/>
            <w:left w:val="none" w:sz="0" w:space="0" w:color="auto"/>
            <w:bottom w:val="none" w:sz="0" w:space="0" w:color="auto"/>
            <w:right w:val="none" w:sz="0" w:space="0" w:color="auto"/>
          </w:divBdr>
          <w:divsChild>
            <w:div w:id="1952321555">
              <w:marLeft w:val="0"/>
              <w:marRight w:val="0"/>
              <w:marTop w:val="0"/>
              <w:marBottom w:val="0"/>
              <w:divBdr>
                <w:top w:val="none" w:sz="0" w:space="0" w:color="auto"/>
                <w:left w:val="none" w:sz="0" w:space="0" w:color="auto"/>
                <w:bottom w:val="none" w:sz="0" w:space="0" w:color="auto"/>
                <w:right w:val="none" w:sz="0" w:space="0" w:color="auto"/>
              </w:divBdr>
              <w:divsChild>
                <w:div w:id="13554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9651">
      <w:bodyDiv w:val="1"/>
      <w:marLeft w:val="0"/>
      <w:marRight w:val="0"/>
      <w:marTop w:val="0"/>
      <w:marBottom w:val="0"/>
      <w:divBdr>
        <w:top w:val="none" w:sz="0" w:space="0" w:color="auto"/>
        <w:left w:val="none" w:sz="0" w:space="0" w:color="auto"/>
        <w:bottom w:val="none" w:sz="0" w:space="0" w:color="auto"/>
        <w:right w:val="none" w:sz="0" w:space="0" w:color="auto"/>
      </w:divBdr>
      <w:divsChild>
        <w:div w:id="1031104584">
          <w:marLeft w:val="0"/>
          <w:marRight w:val="0"/>
          <w:marTop w:val="0"/>
          <w:marBottom w:val="0"/>
          <w:divBdr>
            <w:top w:val="none" w:sz="0" w:space="0" w:color="auto"/>
            <w:left w:val="none" w:sz="0" w:space="0" w:color="auto"/>
            <w:bottom w:val="none" w:sz="0" w:space="0" w:color="auto"/>
            <w:right w:val="none" w:sz="0" w:space="0" w:color="auto"/>
          </w:divBdr>
          <w:divsChild>
            <w:div w:id="1455832024">
              <w:marLeft w:val="0"/>
              <w:marRight w:val="0"/>
              <w:marTop w:val="0"/>
              <w:marBottom w:val="0"/>
              <w:divBdr>
                <w:top w:val="none" w:sz="0" w:space="0" w:color="auto"/>
                <w:left w:val="none" w:sz="0" w:space="0" w:color="auto"/>
                <w:bottom w:val="none" w:sz="0" w:space="0" w:color="auto"/>
                <w:right w:val="none" w:sz="0" w:space="0" w:color="auto"/>
              </w:divBdr>
              <w:divsChild>
                <w:div w:id="44179454">
                  <w:marLeft w:val="0"/>
                  <w:marRight w:val="0"/>
                  <w:marTop w:val="0"/>
                  <w:marBottom w:val="0"/>
                  <w:divBdr>
                    <w:top w:val="none" w:sz="0" w:space="0" w:color="auto"/>
                    <w:left w:val="none" w:sz="0" w:space="0" w:color="auto"/>
                    <w:bottom w:val="none" w:sz="0" w:space="0" w:color="auto"/>
                    <w:right w:val="none" w:sz="0" w:space="0" w:color="auto"/>
                  </w:divBdr>
                </w:div>
              </w:divsChild>
            </w:div>
            <w:div w:id="711344117">
              <w:marLeft w:val="0"/>
              <w:marRight w:val="0"/>
              <w:marTop w:val="0"/>
              <w:marBottom w:val="0"/>
              <w:divBdr>
                <w:top w:val="none" w:sz="0" w:space="0" w:color="auto"/>
                <w:left w:val="none" w:sz="0" w:space="0" w:color="auto"/>
                <w:bottom w:val="none" w:sz="0" w:space="0" w:color="auto"/>
                <w:right w:val="none" w:sz="0" w:space="0" w:color="auto"/>
              </w:divBdr>
              <w:divsChild>
                <w:div w:id="19208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2632">
          <w:marLeft w:val="0"/>
          <w:marRight w:val="0"/>
          <w:marTop w:val="0"/>
          <w:marBottom w:val="0"/>
          <w:divBdr>
            <w:top w:val="none" w:sz="0" w:space="0" w:color="auto"/>
            <w:left w:val="none" w:sz="0" w:space="0" w:color="auto"/>
            <w:bottom w:val="none" w:sz="0" w:space="0" w:color="auto"/>
            <w:right w:val="none" w:sz="0" w:space="0" w:color="auto"/>
          </w:divBdr>
          <w:divsChild>
            <w:div w:id="609817315">
              <w:marLeft w:val="0"/>
              <w:marRight w:val="0"/>
              <w:marTop w:val="0"/>
              <w:marBottom w:val="0"/>
              <w:divBdr>
                <w:top w:val="none" w:sz="0" w:space="0" w:color="auto"/>
                <w:left w:val="none" w:sz="0" w:space="0" w:color="auto"/>
                <w:bottom w:val="none" w:sz="0" w:space="0" w:color="auto"/>
                <w:right w:val="none" w:sz="0" w:space="0" w:color="auto"/>
              </w:divBdr>
              <w:divsChild>
                <w:div w:id="7581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4880">
      <w:bodyDiv w:val="1"/>
      <w:marLeft w:val="0"/>
      <w:marRight w:val="0"/>
      <w:marTop w:val="0"/>
      <w:marBottom w:val="0"/>
      <w:divBdr>
        <w:top w:val="none" w:sz="0" w:space="0" w:color="auto"/>
        <w:left w:val="none" w:sz="0" w:space="0" w:color="auto"/>
        <w:bottom w:val="none" w:sz="0" w:space="0" w:color="auto"/>
        <w:right w:val="none" w:sz="0" w:space="0" w:color="auto"/>
      </w:divBdr>
      <w:divsChild>
        <w:div w:id="1128742632">
          <w:marLeft w:val="0"/>
          <w:marRight w:val="0"/>
          <w:marTop w:val="0"/>
          <w:marBottom w:val="0"/>
          <w:divBdr>
            <w:top w:val="none" w:sz="0" w:space="0" w:color="auto"/>
            <w:left w:val="none" w:sz="0" w:space="0" w:color="auto"/>
            <w:bottom w:val="none" w:sz="0" w:space="0" w:color="auto"/>
            <w:right w:val="none" w:sz="0" w:space="0" w:color="auto"/>
          </w:divBdr>
          <w:divsChild>
            <w:div w:id="748119502">
              <w:marLeft w:val="0"/>
              <w:marRight w:val="0"/>
              <w:marTop w:val="0"/>
              <w:marBottom w:val="0"/>
              <w:divBdr>
                <w:top w:val="none" w:sz="0" w:space="0" w:color="auto"/>
                <w:left w:val="none" w:sz="0" w:space="0" w:color="auto"/>
                <w:bottom w:val="none" w:sz="0" w:space="0" w:color="auto"/>
                <w:right w:val="none" w:sz="0" w:space="0" w:color="auto"/>
              </w:divBdr>
              <w:divsChild>
                <w:div w:id="14798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072810">
      <w:bodyDiv w:val="1"/>
      <w:marLeft w:val="0"/>
      <w:marRight w:val="0"/>
      <w:marTop w:val="0"/>
      <w:marBottom w:val="0"/>
      <w:divBdr>
        <w:top w:val="none" w:sz="0" w:space="0" w:color="auto"/>
        <w:left w:val="none" w:sz="0" w:space="0" w:color="auto"/>
        <w:bottom w:val="none" w:sz="0" w:space="0" w:color="auto"/>
        <w:right w:val="none" w:sz="0" w:space="0" w:color="auto"/>
      </w:divBdr>
      <w:divsChild>
        <w:div w:id="734427254">
          <w:marLeft w:val="0"/>
          <w:marRight w:val="0"/>
          <w:marTop w:val="0"/>
          <w:marBottom w:val="0"/>
          <w:divBdr>
            <w:top w:val="none" w:sz="0" w:space="0" w:color="auto"/>
            <w:left w:val="none" w:sz="0" w:space="0" w:color="auto"/>
            <w:bottom w:val="none" w:sz="0" w:space="0" w:color="auto"/>
            <w:right w:val="none" w:sz="0" w:space="0" w:color="auto"/>
          </w:divBdr>
          <w:divsChild>
            <w:div w:id="221794364">
              <w:marLeft w:val="0"/>
              <w:marRight w:val="0"/>
              <w:marTop w:val="0"/>
              <w:marBottom w:val="0"/>
              <w:divBdr>
                <w:top w:val="none" w:sz="0" w:space="0" w:color="auto"/>
                <w:left w:val="none" w:sz="0" w:space="0" w:color="auto"/>
                <w:bottom w:val="none" w:sz="0" w:space="0" w:color="auto"/>
                <w:right w:val="none" w:sz="0" w:space="0" w:color="auto"/>
              </w:divBdr>
              <w:divsChild>
                <w:div w:id="14177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4415">
      <w:bodyDiv w:val="1"/>
      <w:marLeft w:val="0"/>
      <w:marRight w:val="0"/>
      <w:marTop w:val="0"/>
      <w:marBottom w:val="0"/>
      <w:divBdr>
        <w:top w:val="none" w:sz="0" w:space="0" w:color="auto"/>
        <w:left w:val="none" w:sz="0" w:space="0" w:color="auto"/>
        <w:bottom w:val="none" w:sz="0" w:space="0" w:color="auto"/>
        <w:right w:val="none" w:sz="0" w:space="0" w:color="auto"/>
      </w:divBdr>
      <w:divsChild>
        <w:div w:id="867524594">
          <w:marLeft w:val="0"/>
          <w:marRight w:val="0"/>
          <w:marTop w:val="0"/>
          <w:marBottom w:val="0"/>
          <w:divBdr>
            <w:top w:val="none" w:sz="0" w:space="0" w:color="auto"/>
            <w:left w:val="none" w:sz="0" w:space="0" w:color="auto"/>
            <w:bottom w:val="none" w:sz="0" w:space="0" w:color="auto"/>
            <w:right w:val="none" w:sz="0" w:space="0" w:color="auto"/>
          </w:divBdr>
          <w:divsChild>
            <w:div w:id="1479572343">
              <w:marLeft w:val="0"/>
              <w:marRight w:val="0"/>
              <w:marTop w:val="0"/>
              <w:marBottom w:val="0"/>
              <w:divBdr>
                <w:top w:val="none" w:sz="0" w:space="0" w:color="auto"/>
                <w:left w:val="none" w:sz="0" w:space="0" w:color="auto"/>
                <w:bottom w:val="none" w:sz="0" w:space="0" w:color="auto"/>
                <w:right w:val="none" w:sz="0" w:space="0" w:color="auto"/>
              </w:divBdr>
              <w:divsChild>
                <w:div w:id="8306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229">
      <w:bodyDiv w:val="1"/>
      <w:marLeft w:val="0"/>
      <w:marRight w:val="0"/>
      <w:marTop w:val="0"/>
      <w:marBottom w:val="0"/>
      <w:divBdr>
        <w:top w:val="none" w:sz="0" w:space="0" w:color="auto"/>
        <w:left w:val="none" w:sz="0" w:space="0" w:color="auto"/>
        <w:bottom w:val="none" w:sz="0" w:space="0" w:color="auto"/>
        <w:right w:val="none" w:sz="0" w:space="0" w:color="auto"/>
      </w:divBdr>
      <w:divsChild>
        <w:div w:id="1962809035">
          <w:marLeft w:val="-89"/>
          <w:marRight w:val="0"/>
          <w:marTop w:val="0"/>
          <w:marBottom w:val="0"/>
          <w:divBdr>
            <w:top w:val="none" w:sz="0" w:space="0" w:color="auto"/>
            <w:left w:val="none" w:sz="0" w:space="0" w:color="auto"/>
            <w:bottom w:val="none" w:sz="0" w:space="0" w:color="auto"/>
            <w:right w:val="none" w:sz="0" w:space="0" w:color="auto"/>
          </w:divBdr>
        </w:div>
      </w:divsChild>
    </w:div>
    <w:div w:id="1914772071">
      <w:bodyDiv w:val="1"/>
      <w:marLeft w:val="0"/>
      <w:marRight w:val="0"/>
      <w:marTop w:val="0"/>
      <w:marBottom w:val="0"/>
      <w:divBdr>
        <w:top w:val="none" w:sz="0" w:space="0" w:color="auto"/>
        <w:left w:val="none" w:sz="0" w:space="0" w:color="auto"/>
        <w:bottom w:val="none" w:sz="0" w:space="0" w:color="auto"/>
        <w:right w:val="none" w:sz="0" w:space="0" w:color="auto"/>
      </w:divBdr>
      <w:divsChild>
        <w:div w:id="822550606">
          <w:marLeft w:val="0"/>
          <w:marRight w:val="0"/>
          <w:marTop w:val="0"/>
          <w:marBottom w:val="0"/>
          <w:divBdr>
            <w:top w:val="none" w:sz="0" w:space="0" w:color="auto"/>
            <w:left w:val="none" w:sz="0" w:space="0" w:color="auto"/>
            <w:bottom w:val="none" w:sz="0" w:space="0" w:color="auto"/>
            <w:right w:val="none" w:sz="0" w:space="0" w:color="auto"/>
          </w:divBdr>
          <w:divsChild>
            <w:div w:id="142091147">
              <w:marLeft w:val="0"/>
              <w:marRight w:val="0"/>
              <w:marTop w:val="0"/>
              <w:marBottom w:val="0"/>
              <w:divBdr>
                <w:top w:val="none" w:sz="0" w:space="0" w:color="auto"/>
                <w:left w:val="none" w:sz="0" w:space="0" w:color="auto"/>
                <w:bottom w:val="none" w:sz="0" w:space="0" w:color="auto"/>
                <w:right w:val="none" w:sz="0" w:space="0" w:color="auto"/>
              </w:divBdr>
              <w:divsChild>
                <w:div w:id="10943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250517">
      <w:bodyDiv w:val="1"/>
      <w:marLeft w:val="0"/>
      <w:marRight w:val="0"/>
      <w:marTop w:val="0"/>
      <w:marBottom w:val="0"/>
      <w:divBdr>
        <w:top w:val="none" w:sz="0" w:space="0" w:color="auto"/>
        <w:left w:val="none" w:sz="0" w:space="0" w:color="auto"/>
        <w:bottom w:val="none" w:sz="0" w:space="0" w:color="auto"/>
        <w:right w:val="none" w:sz="0" w:space="0" w:color="auto"/>
      </w:divBdr>
      <w:divsChild>
        <w:div w:id="1646620813">
          <w:marLeft w:val="0"/>
          <w:marRight w:val="0"/>
          <w:marTop w:val="0"/>
          <w:marBottom w:val="0"/>
          <w:divBdr>
            <w:top w:val="none" w:sz="0" w:space="0" w:color="auto"/>
            <w:left w:val="none" w:sz="0" w:space="0" w:color="auto"/>
            <w:bottom w:val="none" w:sz="0" w:space="0" w:color="auto"/>
            <w:right w:val="none" w:sz="0" w:space="0" w:color="auto"/>
          </w:divBdr>
          <w:divsChild>
            <w:div w:id="534582042">
              <w:marLeft w:val="0"/>
              <w:marRight w:val="0"/>
              <w:marTop w:val="0"/>
              <w:marBottom w:val="0"/>
              <w:divBdr>
                <w:top w:val="none" w:sz="0" w:space="0" w:color="auto"/>
                <w:left w:val="none" w:sz="0" w:space="0" w:color="auto"/>
                <w:bottom w:val="none" w:sz="0" w:space="0" w:color="auto"/>
                <w:right w:val="none" w:sz="0" w:space="0" w:color="auto"/>
              </w:divBdr>
              <w:divsChild>
                <w:div w:id="16378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33418">
      <w:bodyDiv w:val="1"/>
      <w:marLeft w:val="0"/>
      <w:marRight w:val="0"/>
      <w:marTop w:val="0"/>
      <w:marBottom w:val="0"/>
      <w:divBdr>
        <w:top w:val="none" w:sz="0" w:space="0" w:color="auto"/>
        <w:left w:val="none" w:sz="0" w:space="0" w:color="auto"/>
        <w:bottom w:val="none" w:sz="0" w:space="0" w:color="auto"/>
        <w:right w:val="none" w:sz="0" w:space="0" w:color="auto"/>
      </w:divBdr>
      <w:divsChild>
        <w:div w:id="1470320008">
          <w:marLeft w:val="0"/>
          <w:marRight w:val="0"/>
          <w:marTop w:val="0"/>
          <w:marBottom w:val="0"/>
          <w:divBdr>
            <w:top w:val="none" w:sz="0" w:space="0" w:color="auto"/>
            <w:left w:val="none" w:sz="0" w:space="0" w:color="auto"/>
            <w:bottom w:val="none" w:sz="0" w:space="0" w:color="auto"/>
            <w:right w:val="none" w:sz="0" w:space="0" w:color="auto"/>
          </w:divBdr>
          <w:divsChild>
            <w:div w:id="1808930763">
              <w:marLeft w:val="0"/>
              <w:marRight w:val="0"/>
              <w:marTop w:val="0"/>
              <w:marBottom w:val="0"/>
              <w:divBdr>
                <w:top w:val="none" w:sz="0" w:space="0" w:color="auto"/>
                <w:left w:val="none" w:sz="0" w:space="0" w:color="auto"/>
                <w:bottom w:val="none" w:sz="0" w:space="0" w:color="auto"/>
                <w:right w:val="none" w:sz="0" w:space="0" w:color="auto"/>
              </w:divBdr>
              <w:divsChild>
                <w:div w:id="109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2325">
      <w:bodyDiv w:val="1"/>
      <w:marLeft w:val="0"/>
      <w:marRight w:val="0"/>
      <w:marTop w:val="0"/>
      <w:marBottom w:val="0"/>
      <w:divBdr>
        <w:top w:val="none" w:sz="0" w:space="0" w:color="auto"/>
        <w:left w:val="none" w:sz="0" w:space="0" w:color="auto"/>
        <w:bottom w:val="none" w:sz="0" w:space="0" w:color="auto"/>
        <w:right w:val="none" w:sz="0" w:space="0" w:color="auto"/>
      </w:divBdr>
      <w:divsChild>
        <w:div w:id="2036885324">
          <w:marLeft w:val="0"/>
          <w:marRight w:val="0"/>
          <w:marTop w:val="0"/>
          <w:marBottom w:val="0"/>
          <w:divBdr>
            <w:top w:val="none" w:sz="0" w:space="0" w:color="auto"/>
            <w:left w:val="none" w:sz="0" w:space="0" w:color="auto"/>
            <w:bottom w:val="none" w:sz="0" w:space="0" w:color="auto"/>
            <w:right w:val="none" w:sz="0" w:space="0" w:color="auto"/>
          </w:divBdr>
          <w:divsChild>
            <w:div w:id="1150171380">
              <w:marLeft w:val="0"/>
              <w:marRight w:val="0"/>
              <w:marTop w:val="0"/>
              <w:marBottom w:val="0"/>
              <w:divBdr>
                <w:top w:val="none" w:sz="0" w:space="0" w:color="auto"/>
                <w:left w:val="none" w:sz="0" w:space="0" w:color="auto"/>
                <w:bottom w:val="none" w:sz="0" w:space="0" w:color="auto"/>
                <w:right w:val="none" w:sz="0" w:space="0" w:color="auto"/>
              </w:divBdr>
              <w:divsChild>
                <w:div w:id="9836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5499">
      <w:bodyDiv w:val="1"/>
      <w:marLeft w:val="0"/>
      <w:marRight w:val="0"/>
      <w:marTop w:val="0"/>
      <w:marBottom w:val="0"/>
      <w:divBdr>
        <w:top w:val="none" w:sz="0" w:space="0" w:color="auto"/>
        <w:left w:val="none" w:sz="0" w:space="0" w:color="auto"/>
        <w:bottom w:val="none" w:sz="0" w:space="0" w:color="auto"/>
        <w:right w:val="none" w:sz="0" w:space="0" w:color="auto"/>
      </w:divBdr>
      <w:divsChild>
        <w:div w:id="1936477803">
          <w:marLeft w:val="0"/>
          <w:marRight w:val="0"/>
          <w:marTop w:val="0"/>
          <w:marBottom w:val="0"/>
          <w:divBdr>
            <w:top w:val="none" w:sz="0" w:space="0" w:color="auto"/>
            <w:left w:val="none" w:sz="0" w:space="0" w:color="auto"/>
            <w:bottom w:val="none" w:sz="0" w:space="0" w:color="auto"/>
            <w:right w:val="none" w:sz="0" w:space="0" w:color="auto"/>
          </w:divBdr>
          <w:divsChild>
            <w:div w:id="111486912">
              <w:marLeft w:val="0"/>
              <w:marRight w:val="0"/>
              <w:marTop w:val="0"/>
              <w:marBottom w:val="0"/>
              <w:divBdr>
                <w:top w:val="none" w:sz="0" w:space="0" w:color="auto"/>
                <w:left w:val="none" w:sz="0" w:space="0" w:color="auto"/>
                <w:bottom w:val="none" w:sz="0" w:space="0" w:color="auto"/>
                <w:right w:val="none" w:sz="0" w:space="0" w:color="auto"/>
              </w:divBdr>
              <w:divsChild>
                <w:div w:id="1112281029">
                  <w:marLeft w:val="0"/>
                  <w:marRight w:val="0"/>
                  <w:marTop w:val="0"/>
                  <w:marBottom w:val="0"/>
                  <w:divBdr>
                    <w:top w:val="none" w:sz="0" w:space="0" w:color="auto"/>
                    <w:left w:val="none" w:sz="0" w:space="0" w:color="auto"/>
                    <w:bottom w:val="none" w:sz="0" w:space="0" w:color="auto"/>
                    <w:right w:val="none" w:sz="0" w:space="0" w:color="auto"/>
                  </w:divBdr>
                  <w:divsChild>
                    <w:div w:id="7559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574836">
      <w:bodyDiv w:val="1"/>
      <w:marLeft w:val="0"/>
      <w:marRight w:val="0"/>
      <w:marTop w:val="0"/>
      <w:marBottom w:val="0"/>
      <w:divBdr>
        <w:top w:val="none" w:sz="0" w:space="0" w:color="auto"/>
        <w:left w:val="none" w:sz="0" w:space="0" w:color="auto"/>
        <w:bottom w:val="none" w:sz="0" w:space="0" w:color="auto"/>
        <w:right w:val="none" w:sz="0" w:space="0" w:color="auto"/>
      </w:divBdr>
      <w:divsChild>
        <w:div w:id="858087777">
          <w:marLeft w:val="0"/>
          <w:marRight w:val="0"/>
          <w:marTop w:val="0"/>
          <w:marBottom w:val="0"/>
          <w:divBdr>
            <w:top w:val="none" w:sz="0" w:space="0" w:color="auto"/>
            <w:left w:val="none" w:sz="0" w:space="0" w:color="auto"/>
            <w:bottom w:val="none" w:sz="0" w:space="0" w:color="auto"/>
            <w:right w:val="none" w:sz="0" w:space="0" w:color="auto"/>
          </w:divBdr>
          <w:divsChild>
            <w:div w:id="766120365">
              <w:marLeft w:val="0"/>
              <w:marRight w:val="0"/>
              <w:marTop w:val="0"/>
              <w:marBottom w:val="0"/>
              <w:divBdr>
                <w:top w:val="none" w:sz="0" w:space="0" w:color="auto"/>
                <w:left w:val="none" w:sz="0" w:space="0" w:color="auto"/>
                <w:bottom w:val="none" w:sz="0" w:space="0" w:color="auto"/>
                <w:right w:val="none" w:sz="0" w:space="0" w:color="auto"/>
              </w:divBdr>
              <w:divsChild>
                <w:div w:id="887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E9C66-8F75-0D4C-94BC-A36DB4354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66689</Words>
  <Characters>380133</Characters>
  <Application>Microsoft Office Word</Application>
  <DocSecurity>0</DocSecurity>
  <Lines>3167</Lines>
  <Paragraphs>891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Microsoft Word - Pré projeto final_TP.docx</vt:lpstr>
      <vt:lpstr>Microsoft Word - Pré projeto final_TP.docx</vt:lpstr>
    </vt:vector>
  </TitlesOfParts>
  <Company/>
  <LinksUpToDate>false</LinksUpToDate>
  <CharactersWithSpaces>445931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Pré projeto final_TP.docx</dc:title>
  <cp:lastModifiedBy>murilo faria</cp:lastModifiedBy>
  <cp:revision>2</cp:revision>
  <dcterms:created xsi:type="dcterms:W3CDTF">2024-01-14T15:04:00Z</dcterms:created>
  <dcterms:modified xsi:type="dcterms:W3CDTF">2024-01-14T15:04:00Z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Word</vt:lpwstr>
  </property>
  <property fmtid="{D5CDD505-2E9C-101B-9397-08002B2CF9AE}" pid="4" name="LastSaved">
    <vt:filetime>2022-04-06T00:00:00Z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http://www.zotero.org/styles/associacao-brasileira-de-normas-tecnicas</vt:lpwstr>
  </property>
  <property fmtid="{D5CDD505-2E9C-101B-9397-08002B2CF9AE}" pid="8" name="Mendeley Recent Style Name 1_1">
    <vt:lpwstr>Associação Brasileira de Normas Técnicas (Portuguese - Brazil)</vt:lpwstr>
  </property>
  <property fmtid="{D5CDD505-2E9C-101B-9397-08002B2CF9AE}" pid="9" name="Mendeley Recent Style Id 2_1">
    <vt:lpwstr>http://www.zotero.org/styles/associacao-brasileira-de-normas-tecnicas-note</vt:lpwstr>
  </property>
  <property fmtid="{D5CDD505-2E9C-101B-9397-08002B2CF9AE}" pid="10" name="Mendeley Recent Style Name 2_1">
    <vt:lpwstr>Associação Brasileira de Normas Técnicas (note, Portuguese - Brazil)</vt:lpwstr>
  </property>
  <property fmtid="{D5CDD505-2E9C-101B-9397-08002B2CF9AE}" pid="11" name="Mendeley Recent Style Id 3_1">
    <vt:lpwstr>https://csl.mendeley.com/styles/18029341/BJMotorBeh</vt:lpwstr>
  </property>
  <property fmtid="{D5CDD505-2E9C-101B-9397-08002B2CF9AE}" pid="12" name="Mendeley Recent Style Name 3_1">
    <vt:lpwstr>BJMB - Fabio Barbieri</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http://www.zotero.org/styles/frontiers-in-aging-neuroscience</vt:lpwstr>
  </property>
  <property fmtid="{D5CDD505-2E9C-101B-9397-08002B2CF9AE}" pid="16" name="Mendeley Recent Style Name 5_1">
    <vt:lpwstr>Frontiers in Aging Neuroscience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http://www.zotero.org/styles/associacao-brasileira-de-normas-tecnicas-ufpr</vt:lpwstr>
  </property>
  <property fmtid="{D5CDD505-2E9C-101B-9397-08002B2CF9AE}" pid="24" name="Mendeley Recent Style Name 9_1">
    <vt:lpwstr>Universidade Federal do Paraná - ABNT (Portuguese - Brazil)</vt:lpwstr>
  </property>
  <property fmtid="{D5CDD505-2E9C-101B-9397-08002B2CF9AE}" pid="25" name="Mendeley Citation Style_1">
    <vt:lpwstr>http://www.zotero.org/styles/associacao-brasileira-de-normas-tecnicas</vt:lpwstr>
  </property>
  <property fmtid="{D5CDD505-2E9C-101B-9397-08002B2CF9AE}" pid="26" name="Mendeley Document_1">
    <vt:lpwstr>True</vt:lpwstr>
  </property>
  <property fmtid="{D5CDD505-2E9C-101B-9397-08002B2CF9AE}" pid="27" name="Mendeley Unique User Id_1">
    <vt:lpwstr>b7fe15e5-8517-3881-97d8-c4aedc3352c9</vt:lpwstr>
  </property>
</Properties>
</file>