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DC3F" w14:textId="77777777" w:rsidR="00BC5766"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INSTITUTO DE NEURODESENVOLVIMENTO, COGNIÇÃO E EDUCAÇÃO INCLUSIVA (INCEI).</w:t>
      </w:r>
    </w:p>
    <w:p w14:paraId="74E64961" w14:textId="77777777" w:rsidR="00BC5766" w:rsidRDefault="00BC5766">
      <w:pPr>
        <w:spacing w:before="240" w:after="240"/>
        <w:jc w:val="both"/>
        <w:rPr>
          <w:rFonts w:ascii="Times New Roman" w:eastAsia="Times New Roman" w:hAnsi="Times New Roman" w:cs="Times New Roman"/>
          <w:b/>
          <w:sz w:val="24"/>
          <w:szCs w:val="24"/>
        </w:rPr>
      </w:pPr>
    </w:p>
    <w:p w14:paraId="419A0F0A"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PÚBLICO</w:t>
      </w:r>
    </w:p>
    <w:p w14:paraId="4E3FD5C3" w14:textId="77777777" w:rsidR="00BC5766"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Método de Integração Global (MIG): um RCT de métodos mistos sobre os efeitos de um programa de treinamento motor integrado a estratégias cognitivas, comportamentais e narrativas em crianças com autismo.</w:t>
      </w:r>
    </w:p>
    <w:p w14:paraId="01F87F99"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PRINCIPAL</w:t>
      </w:r>
    </w:p>
    <w:p w14:paraId="3543B752"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Método de Integração Global (MIG): um RCT de métodos mistos sobre os efeitos de um programa de treinamento motor integrado a estratégias cognitivas, comportamentais e narrativas em crianças com autismo.</w:t>
      </w:r>
    </w:p>
    <w:p w14:paraId="01DC9B1D"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COORDENADOR/PESQUISADOR RESPONSÁVEL </w:t>
      </w:r>
    </w:p>
    <w:p w14:paraId="0737553F" w14:textId="77777777" w:rsidR="00BC5766"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 Deisiane Oliveira Souto </w:t>
      </w:r>
    </w:p>
    <w:p w14:paraId="70CDFDB8"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ASSISTENTE </w:t>
      </w:r>
    </w:p>
    <w:p w14:paraId="298B76A5"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 Thalita Karla Flores Cruz</w:t>
      </w:r>
    </w:p>
    <w:p w14:paraId="66535767"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EQUIPE DE PESQUISA </w:t>
      </w:r>
    </w:p>
    <w:p w14:paraId="264D04DA" w14:textId="77777777" w:rsidR="00BC5766"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Deisiane Oliveira Souto, Fisioterapeuta, Doutora em Neurociências pela UFMG</w:t>
      </w:r>
    </w:p>
    <w:p w14:paraId="73BFF164"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Thalita Karla Flores Cruz, Fisioterapeuta, Doutora em Neurociências pela UFMG</w:t>
      </w:r>
    </w:p>
    <w:p w14:paraId="259C6D22"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Amanda Aparecida Alves Cunha Nascimento, Terapeuta Ocupacional, Mestre em Neurociências pela UFMG</w:t>
      </w:r>
    </w:p>
    <w:p w14:paraId="7D138917"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Arthur Felipe Barroso de Lima, Fisioterapeuta pela UFMG.</w:t>
      </w:r>
    </w:p>
    <w:p w14:paraId="717F2C17"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Reinaldo da Costa Paulino Netto, Fisioterapeuta pela Faculdade de Santa Luzia (FACSAL)</w:t>
      </w:r>
    </w:p>
    <w:p w14:paraId="36CB6E8F"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Ana Clara de Carvalho Silva, Acadêmica de Fisioterapia pela UFMG.</w:t>
      </w:r>
    </w:p>
    <w:p w14:paraId="355D35B2" w14:textId="77777777" w:rsidR="00BC5766" w:rsidRDefault="00BC5766">
      <w:pPr>
        <w:jc w:val="right"/>
        <w:rPr>
          <w:rFonts w:ascii="Times New Roman" w:eastAsia="Times New Roman" w:hAnsi="Times New Roman" w:cs="Times New Roman"/>
          <w:b/>
          <w:sz w:val="24"/>
          <w:szCs w:val="24"/>
        </w:rPr>
      </w:pPr>
    </w:p>
    <w:p w14:paraId="53E1CE05" w14:textId="77777777" w:rsidR="00BC5766" w:rsidRDefault="00000000">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18A98649" w14:textId="0B388641" w:rsidR="00BC5766"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Transtorno do Espectro Autista (TEA) é um distúrbio do neurodesenvolvimento caracterizado por déficits na comunicação social, na interação e pela presença de comportamentos restritos e repetitivos. Além desses aspectos, é comum a presença de alterações motoras. No entanto, grande parte das intervenções terapêuticas foca nos aspectos comunicativos e sociais, negligenciando os comprometimentos motores. O Método de Integração Global (MIG) surge como uma proposta interdisciplinar que associa intervenções motoras, cognitivas e comportamentais. Este método utiliza a veste terapêutica MIG Flex, que promove melhora na propriocepção e na organização corporal, além do ambiente terapêutico </w:t>
      </w:r>
      <w:r>
        <w:rPr>
          <w:rFonts w:ascii="Times New Roman" w:eastAsia="Times New Roman" w:hAnsi="Times New Roman" w:cs="Times New Roman"/>
          <w:sz w:val="24"/>
          <w:szCs w:val="24"/>
        </w:rPr>
        <w:lastRenderedPageBreak/>
        <w:t xml:space="preserve">"Cidade do Amanhã", que simula situações do cotidiano para favorecer a aprendizagem social. Este estudo tem como objetivo comparar os efeitos do programa MIG com tratamento convencional sobre os desfechos motores e cognitivos de crianças com TEA. Este estudo adota um delineamento de métodos mistos. O componente quantitativo consiste em um ensaio clínico randomizado. Paralelamente, o componente qualitativo segue uma abordagem interpretativo-descritiva. Dezesseis crianças, de 6 a 12 anos, serão distribuídas aleatoriamente em </w:t>
      </w:r>
      <w:r w:rsidRPr="00EC2CD0">
        <w:rPr>
          <w:rFonts w:ascii="Times New Roman" w:eastAsia="Times New Roman" w:hAnsi="Times New Roman" w:cs="Times New Roman"/>
          <w:color w:val="EE0000"/>
          <w:sz w:val="24"/>
          <w:szCs w:val="24"/>
        </w:rPr>
        <w:t>dois grupos</w:t>
      </w:r>
      <w:r w:rsidR="00EC2CD0" w:rsidRPr="00EC2CD0">
        <w:rPr>
          <w:rFonts w:ascii="Times New Roman" w:eastAsia="Times New Roman" w:hAnsi="Times New Roman" w:cs="Times New Roman"/>
          <w:color w:val="EE0000"/>
          <w:sz w:val="24"/>
          <w:szCs w:val="24"/>
        </w:rPr>
        <w:t xml:space="preserve"> de 8 crianças cada</w:t>
      </w:r>
      <w:r>
        <w:rPr>
          <w:rFonts w:ascii="Times New Roman" w:eastAsia="Times New Roman" w:hAnsi="Times New Roman" w:cs="Times New Roman"/>
          <w:sz w:val="24"/>
          <w:szCs w:val="24"/>
        </w:rPr>
        <w:t>: grupo 1 (MIG) e grupo 2 (Tratamento convencional). As intervenções ocorrerão em 16 sessões de 50 minutos, três vezes por semana. Serão utilizados instrumentos como COPM, TGMD, VABS, fluência verbal, PROC e ABFW. As avaliações ocorrerão em três momentos e a análise será realizada no SPSS. O estudo busca gerar evidências sobre a eficácia do MIG na melhora dos aspectos motores, cognitivos e funcionais de crianças com TEA.</w:t>
      </w:r>
    </w:p>
    <w:p w14:paraId="3A916AA6" w14:textId="77777777" w:rsidR="00BC5766"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Palavras-chaves: </w:t>
      </w:r>
      <w:r>
        <w:rPr>
          <w:rFonts w:ascii="Times New Roman" w:eastAsia="Times New Roman" w:hAnsi="Times New Roman" w:cs="Times New Roman"/>
          <w:sz w:val="24"/>
          <w:szCs w:val="24"/>
        </w:rPr>
        <w:t xml:space="preserve">Transtorno do Espectro Autista; alterações motoras; sobrecarga cognitiva. </w:t>
      </w:r>
    </w:p>
    <w:p w14:paraId="77B52AC2" w14:textId="77777777" w:rsidR="00BC5766" w:rsidRDefault="00BC5766">
      <w:pPr>
        <w:jc w:val="both"/>
        <w:rPr>
          <w:rFonts w:ascii="Times New Roman" w:eastAsia="Times New Roman" w:hAnsi="Times New Roman" w:cs="Times New Roman"/>
          <w:b/>
          <w:sz w:val="24"/>
          <w:szCs w:val="24"/>
        </w:rPr>
      </w:pPr>
    </w:p>
    <w:p w14:paraId="7C36471D"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INTRODUÇÃO</w:t>
      </w:r>
    </w:p>
    <w:p w14:paraId="49532071" w14:textId="77777777" w:rsidR="00BC5766" w:rsidRDefault="00000000">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Transtorno do Espectro Autista (TEA) é uma condição do neurodesenvolvimento caracterizada por déficits persistentes na comunicação e interação social, bem como por padrões restritivos e repetitivos de comportamento, interesses ou atividades (APA, 2022). Trata-se de um transtorno de natureza heterogênea, cujas manifestações variam amplamente entre os indivíduos, tanto em termos de gravidade quanto de perfil sintomatológico. A etiologia do TEA é multifatorial, envolvendo interações complexas entre fatores genéticos e ambientais, os quais ainda estão sendo amplamente investigados (</w:t>
      </w:r>
      <w:proofErr w:type="spellStart"/>
      <w:r>
        <w:rPr>
          <w:rFonts w:ascii="Times New Roman" w:eastAsia="Times New Roman" w:hAnsi="Times New Roman" w:cs="Times New Roman"/>
          <w:sz w:val="24"/>
          <w:szCs w:val="24"/>
        </w:rPr>
        <w:t>Bauman</w:t>
      </w:r>
      <w:proofErr w:type="spellEnd"/>
      <w:r>
        <w:rPr>
          <w:rFonts w:ascii="Times New Roman" w:eastAsia="Times New Roman" w:hAnsi="Times New Roman" w:cs="Times New Roman"/>
          <w:sz w:val="24"/>
          <w:szCs w:val="24"/>
        </w:rPr>
        <w:t xml:space="preserve">, 2010). Estatísticas recentes do Centers for </w:t>
      </w:r>
      <w:proofErr w:type="spellStart"/>
      <w:r>
        <w:rPr>
          <w:rFonts w:ascii="Times New Roman" w:eastAsia="Times New Roman" w:hAnsi="Times New Roman" w:cs="Times New Roman"/>
          <w:sz w:val="24"/>
          <w:szCs w:val="24"/>
        </w:rPr>
        <w:t>Disease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(CDC) dos Estados Unidos indicam que a prevalência do transtorno é de aproximadamente 1 em cada 31 crianças. No Brasil, dados do Censo Demográfico de 2022, divulgados pelo Instituto Brasileiro de Geografia e Estatística (IBGE, 2025), apontam que cerca de 1 a cada 38 crianças possui diagnóstico de TEA. O aumento na prevalência observado nas últimas décadas pode ser atribuído, em parte, ao avanço das ferramentas diagnósticas, à ampliação dos critérios de diagnóstico e ao crescimento da conscientização social e profissional sobre o transtorno.</w:t>
      </w:r>
    </w:p>
    <w:p w14:paraId="1510611A" w14:textId="77777777" w:rsidR="00BC5766" w:rsidRDefault="00000000">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características clínicas do TEA incluem, além dos déficits na interação social e na comunicação, uma grande variedade de manifestações comportamentais, cognitivas e sensoriais (Vannucchi et al., 2014). Crianças com TEA podem apresentar hipersensibilidade ou </w:t>
      </w:r>
      <w:proofErr w:type="spellStart"/>
      <w:r>
        <w:rPr>
          <w:rFonts w:ascii="Times New Roman" w:eastAsia="Times New Roman" w:hAnsi="Times New Roman" w:cs="Times New Roman"/>
          <w:sz w:val="24"/>
          <w:szCs w:val="24"/>
        </w:rPr>
        <w:t>hipossensibilidade</w:t>
      </w:r>
      <w:proofErr w:type="spellEnd"/>
      <w:r>
        <w:rPr>
          <w:rFonts w:ascii="Times New Roman" w:eastAsia="Times New Roman" w:hAnsi="Times New Roman" w:cs="Times New Roman"/>
          <w:sz w:val="24"/>
          <w:szCs w:val="24"/>
        </w:rPr>
        <w:t xml:space="preserve"> a estímulos sensoriais, dificuldades no uso da linguagem expressiva e receptiva, e uma tendência à rigidez comportamental. Em muitos casos, há também alterações no desenvolvimento da imaginação e do jogo simbólico, o que compromete aspectos importantes da aprendizagem e da socialização (</w:t>
      </w: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et al., 2024). A presença de comorbidades, como transtornos do sono, distúrbios alimentares, epilepsia e ansiedade, é frequente e contribui para a complexidade do manejo clínico e educacional desses indivíduos. A fenomenologia complexa e heterogênea do TEA impacta todos os domínios da Classificação Internacional de Funcionalidade, Incapacidade e Saúde (CIF).</w:t>
      </w:r>
    </w:p>
    <w:p w14:paraId="3069D1F3"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Embora não sejam critérios de diagnóstico, os déficits motores são frequentemente presentes em crianças com TEA, incluindo déficits na coordenação motora fina e ampla, dificuldades no planejamento motor (praxia) e instabilidade postural (Bhat, 2024). Estas alterações comprometem não apenas o desempenho funcional cotidiano, mas também limitam a participação em contextos sociais e escolares (Oliveira et al., 2021). Em estudo recente utilizando dados do SPARK, Bhat (2024) identificou que aproximadamente 87% das crianças com TEA apresentam dificuldades motoras. Apesar dessa alta prevalência, apenas 31% recebem intervenções direcionadas, como fisioterapia ou atividades terapêuticas de base lúdica e motora. Em contraste, terapias mais convencionais para o autismo, como terapia comportamental e fonoaudiologia, apresentam maior taxa de adesão. Esses achados revelam uma lacuna substancial na oferta de cuidados voltados às demandas motoras no TEA, destacando a necessidade de estratégias clínicas mais integrativas e que contemplem a complexidade do quadro.</w:t>
      </w:r>
    </w:p>
    <w:p w14:paraId="66A83742"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o Método de Integração Global (MIG) surge como uma proposta inovadora, ao combinar o treinamento motor com abordagens cognitivas, comportamentais e de gramática narrativa (</w:t>
      </w: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et al., 2024; Nascimento et al., 2025; Souto et al., 2025). O MIG propõe atividades estruturadas que estimulam não apenas as habilidades motoras, mas também a capacidade de planejar, narrar ações e regular o comportamento, favorecendo uma reorganização mais ampla do funcionamento neuropsicomotor da criança com TEA. Essa abordagem visa uma intervenção mais abrangente, alinhada às necessidades reais das crianças e com potencial de melhorar sua qualidade de vida.</w:t>
      </w:r>
    </w:p>
    <w:p w14:paraId="5E5CD2F7"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MIG configura-se como uma proposta terapêutica inovadora voltada à reabilitação de crianças com TEA, fundamentada nos princípios da prática centrada na família e na colaboração ativa entre cuidadores e profissionais de saúde. O programa promove a corresponsabilização da família no processo terapêutico, por meio da tomada de decisões compartilhadas, e adota estratégias de intervenção capazes de abranger todas as dimensões funcionais previstas na CIF. Essa abordagem intensiva, transdisciplinar e contextualizada foi desenvolvida com base nas mais recentes evidências em reabilitação pediátrica (</w:t>
      </w: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et al., 2024).</w:t>
      </w:r>
    </w:p>
    <w:p w14:paraId="2A162E77"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Diferenciando-se dos modelos convencionais de reabilitação, o MIG propõe um formato de atendimento contínuo, realizado por uma equipe interdisciplinar fixa e integrada, operando de forma colaborativa em um único ambiente físico (Souto et al., 2025). A intervenção ocorre em um espaço terapêutico naturalístico denominado “Cidade do Amanhã”, o qual é estruturado para reproduzir cenários cotidianos, como residência, escola, comércio, vias públicas e ambientes esportivos. Esse cenário simulado busca proporcionar experiências de aprendizagem funcionais e contextualizadas, permitindo à criança desenvolver competências cognitivas e motoras de forma significativa e transferível para sua realidade diária.</w:t>
      </w:r>
    </w:p>
    <w:p w14:paraId="300151D0"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intervenções realizadas na “Cidade do Amanhã” são executadas com o auxílio do traje terapêutico denominado MIG Flex, desenvolvido com base nos princípios dos meridianos miofasciais. Essa vestimenta foi concebida para atuar sobre disfunções motoras, especialmente </w:t>
      </w:r>
      <w:r>
        <w:rPr>
          <w:rFonts w:ascii="Times New Roman" w:eastAsia="Times New Roman" w:hAnsi="Times New Roman" w:cs="Times New Roman"/>
          <w:sz w:val="24"/>
          <w:szCs w:val="24"/>
        </w:rPr>
        <w:lastRenderedPageBreak/>
        <w:t>em casos de hipotonia muscular, frequentemente observadas em crianças com TEA. O uso prolongado do MIG Flex tem como objetivo promover a modulação de estímulos proprioceptivos direcionados ao sistema nervoso central, contribuindo para o aprimoramento do controle motor e para uma execução mais precisa dos movimentos (</w:t>
      </w: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et al., 2024). Além disso, é hipótese dos autores que a diminuição da sobrecarga motora proporcionada por essa tecnologia possa favorecer a liberação de recursos neurais para funções cognitivas e sociais. No entanto, tais efeitos, tanto em domínios motores quanto não motores, foram pouco </w:t>
      </w:r>
      <w:proofErr w:type="spellStart"/>
      <w:r>
        <w:rPr>
          <w:rFonts w:ascii="Times New Roman" w:eastAsia="Times New Roman" w:hAnsi="Times New Roman" w:cs="Times New Roman"/>
          <w:sz w:val="24"/>
          <w:szCs w:val="24"/>
        </w:rPr>
        <w:t>esplorados</w:t>
      </w:r>
      <w:proofErr w:type="spellEnd"/>
      <w:r>
        <w:rPr>
          <w:rFonts w:ascii="Times New Roman" w:eastAsia="Times New Roman" w:hAnsi="Times New Roman" w:cs="Times New Roman"/>
          <w:sz w:val="24"/>
          <w:szCs w:val="24"/>
        </w:rPr>
        <w:t xml:space="preserve"> e demandam investigação adicional por meio de ensaios clínicos rigorosos. Estudos recentes têm explorado o impacto de equipes interdisciplinares atuando no contexto do MIG sobre desfechos relacionados aos componentes da CIF (estrutura e função do corpo, atividade e participação), demonstrando resultados preliminares promissores (Souto et al., 2025; Nascimento et al., 2025).</w:t>
      </w:r>
    </w:p>
    <w:p w14:paraId="3DAC7673"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incorporação de componentes motores nos programas terapêuticos representa uma oportunidade de suprir lacunas ainda pouco abordadas nas práticas clínicas convencionais voltadas para o TEA. Além disso, a adoção de uma abordagem integrativa, que articula elementos motores, cognitivos, comportamentais e narrativos, tem o potencial de promover efeitos terapêuticos mais amplos e sinérgicos, impactando diferentes domínios do desenvolvimento infantil de forma simultânea. Ademais, a aplicação de um delineamento metodológico misto possibilita uma análise abrangente da intervenção, ao conjugar evidências quantitativas de eficácia com dados qualitativos que refletem a experiência subjetiva de crianças, cuidadores e profissionais. Portanto, a avaliação científica do MIG não apenas contribuirá para sua validação empírica, mas também poderá fundamentar a construção de modelos de cuidado mais integrados e responsivos às complexidades do TEA.</w:t>
      </w:r>
    </w:p>
    <w:p w14:paraId="1C48E41C" w14:textId="77777777" w:rsidR="00BC5766" w:rsidRDefault="00000000">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 GERAL</w:t>
      </w:r>
    </w:p>
    <w:p w14:paraId="3363C0D8" w14:textId="128315A7" w:rsidR="00BC5766" w:rsidRDefault="00000000">
      <w:pPr>
        <w:numPr>
          <w:ilvl w:val="0"/>
          <w:numId w:val="8"/>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Investigar os efeitos de um protocolo motor do Programa MIG quando comparado ao tratamento convencional em desfechos motores e sociocomunicacionais de crianças com TEA.</w:t>
      </w:r>
    </w:p>
    <w:p w14:paraId="14E9DA90" w14:textId="77777777" w:rsidR="00BC5766" w:rsidRDefault="00000000">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 ESPECÍFICOS</w:t>
      </w:r>
    </w:p>
    <w:p w14:paraId="6A7293B6"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 os efeitos de um protocolo motor do Programa MIG no alcance de metas funcionais relacionadas às habilidades motoras de crianças com TEA quando comparado ao tratamento convencional.</w:t>
      </w:r>
    </w:p>
    <w:p w14:paraId="48999F4F"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 os efeitos de um protocolo motor do Programa MIG na melhora das habilidades motoras fundamentais de crianças com TEA quando comparado ao tratamento convencional.</w:t>
      </w:r>
    </w:p>
    <w:p w14:paraId="48816CA5"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Comparar os efeitos de um protocolo motor do Programa MIG na melhora do comportamento motor de crianças com TEA quando comparados ao tratamento convencional.</w:t>
      </w:r>
    </w:p>
    <w:p w14:paraId="2831D2B4"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Comparar os efeitos de um protocolo motor do Programa MIG na melhora do equilíbrio de crianças com TEA quando comparado quando comparado ao tratamento convencional.</w:t>
      </w:r>
    </w:p>
    <w:p w14:paraId="1A6D1849"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Comparar os efeitos de um protocolo motor do Programa MIG na melhora das habilidades sociocomunicacionais de crianças com TEA quando comparados ao tratamento convencional.</w:t>
      </w:r>
    </w:p>
    <w:p w14:paraId="66497AA4" w14:textId="77777777" w:rsidR="00BC5766"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Explorar as experiências dos pais e cuidadores das crianças que participaram do programa de Intervenção MIG sobre os resultados percebidos por eles nos diferentes domínios CIF.</w:t>
      </w:r>
    </w:p>
    <w:p w14:paraId="2BF2C26A"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Hipóteses:</w:t>
      </w:r>
    </w:p>
    <w:p w14:paraId="1B19385F" w14:textId="77777777" w:rsidR="00BC5766"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Espera-se que crianças com TEA submetidas ao protocolo motor do Programa MIG apresentem maior melhora nas habilidades motoras fundamentais, no comportamento motor, no equilíbrio, nas metas funcionais e nas habilidades sociocomunicacionais, quando comparadas àquelas submetidas ao tratamento convencional, além de melhores percepções de impacto funcional segundo pais e cuidadores.</w:t>
      </w:r>
    </w:p>
    <w:p w14:paraId="31946283"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METODOLOGIA</w:t>
      </w:r>
    </w:p>
    <w:p w14:paraId="249418CD"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Design do estudo</w:t>
      </w:r>
    </w:p>
    <w:p w14:paraId="608848D0" w14:textId="77777777" w:rsidR="00BC5766" w:rsidRDefault="00BC5766">
      <w:pPr>
        <w:jc w:val="both"/>
        <w:rPr>
          <w:rFonts w:ascii="Times New Roman" w:eastAsia="Times New Roman" w:hAnsi="Times New Roman" w:cs="Times New Roman"/>
          <w:b/>
          <w:sz w:val="24"/>
          <w:szCs w:val="24"/>
        </w:rPr>
      </w:pPr>
    </w:p>
    <w:p w14:paraId="675E3352"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estudo adota um delineamento de métodos mistos com integração simultânea (</w:t>
      </w:r>
      <w:proofErr w:type="spellStart"/>
      <w:r>
        <w:rPr>
          <w:rFonts w:ascii="Times New Roman" w:eastAsia="Times New Roman" w:hAnsi="Times New Roman" w:cs="Times New Roman"/>
          <w:sz w:val="24"/>
          <w:szCs w:val="24"/>
        </w:rPr>
        <w:t>Tashakkori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Teddlie</w:t>
      </w:r>
      <w:proofErr w:type="spellEnd"/>
      <w:r>
        <w:rPr>
          <w:rFonts w:ascii="Times New Roman" w:eastAsia="Times New Roman" w:hAnsi="Times New Roman" w:cs="Times New Roman"/>
          <w:sz w:val="24"/>
          <w:szCs w:val="24"/>
        </w:rPr>
        <w:t>, 2010). O componente quantitativo consiste em um ensaio clínico randomizado, estruturado em dois grupos, com avaliações de desfecho realizadas em três momentos: na baseline, imediatamente após a conclusão da intervenção e três meses após o término do protocolo. Paralelamente, o componente qualitativo segue uma abordagem interpretativo-descritiva (Thorne, 2008), com o objetivo de aprofundar a compreensão das experiências e percepções dos participantes em relação à intervenção. A descrição metodológica de cada componente, quantitativo e qualitativo, é apresentada de forma independente, respeitando suas especificidades e estratégias analíticas distintas.</w:t>
      </w:r>
    </w:p>
    <w:p w14:paraId="23E3AFE0" w14:textId="77777777" w:rsidR="00BC5766" w:rsidRDefault="00BC5766">
      <w:pPr>
        <w:jc w:val="both"/>
        <w:rPr>
          <w:rFonts w:ascii="Times New Roman" w:eastAsia="Times New Roman" w:hAnsi="Times New Roman" w:cs="Times New Roman"/>
          <w:sz w:val="24"/>
          <w:szCs w:val="24"/>
        </w:rPr>
      </w:pPr>
    </w:p>
    <w:p w14:paraId="70DEEB1B"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Ética </w:t>
      </w:r>
    </w:p>
    <w:p w14:paraId="32EE56A2" w14:textId="77777777" w:rsidR="00BC5766" w:rsidRDefault="00BC5766">
      <w:pPr>
        <w:jc w:val="both"/>
        <w:rPr>
          <w:rFonts w:ascii="Times New Roman" w:eastAsia="Times New Roman" w:hAnsi="Times New Roman" w:cs="Times New Roman"/>
          <w:b/>
          <w:sz w:val="24"/>
          <w:szCs w:val="24"/>
        </w:rPr>
      </w:pPr>
    </w:p>
    <w:p w14:paraId="7C7E4703"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estudo só será iniciado após a aprovação do Comitê de Ética em Pesquisa da Faculdade de Ciências Médicas de Minas Gerais. Para assegurar a participação voluntária e informada, será obtido o Termo de Consentimento Livre e Esclarecido (TCLE) de todos os participantes adultos. Adicionalmente, considerando a participação de crianças no estudo, será solicitado o Termo de Assentimento Livre e Esclarecido (TALE) destes participantes menores de idade, em linguagem apropriada à sua faixa etária e nível de compreensão. O protocolo desse estudo será registrado no Registro Brasileiro de Ensaios Clínicos (https://ensaiosclinicos.gov.br/).</w:t>
      </w:r>
    </w:p>
    <w:p w14:paraId="137726D8" w14:textId="77777777" w:rsidR="00BC5766" w:rsidRDefault="00BC5766">
      <w:pPr>
        <w:jc w:val="both"/>
        <w:rPr>
          <w:rFonts w:ascii="Times New Roman" w:eastAsia="Times New Roman" w:hAnsi="Times New Roman" w:cs="Times New Roman"/>
          <w:b/>
          <w:sz w:val="24"/>
          <w:szCs w:val="24"/>
        </w:rPr>
      </w:pPr>
    </w:p>
    <w:p w14:paraId="5D19DD8C"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Desenho de ensaio clínico randomizado</w:t>
      </w:r>
    </w:p>
    <w:p w14:paraId="44551CB9" w14:textId="77777777" w:rsidR="00BC5766" w:rsidRDefault="00BC5766">
      <w:pPr>
        <w:jc w:val="both"/>
        <w:rPr>
          <w:rFonts w:ascii="Times New Roman" w:eastAsia="Times New Roman" w:hAnsi="Times New Roman" w:cs="Times New Roman"/>
          <w:b/>
          <w:sz w:val="24"/>
          <w:szCs w:val="24"/>
        </w:rPr>
      </w:pPr>
    </w:p>
    <w:p w14:paraId="103BCF62"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Participantes do estudo</w:t>
      </w:r>
    </w:p>
    <w:p w14:paraId="618FA4D6" w14:textId="77777777" w:rsidR="00BC5766" w:rsidRDefault="00BC5766">
      <w:pPr>
        <w:jc w:val="both"/>
        <w:rPr>
          <w:rFonts w:ascii="Times New Roman" w:eastAsia="Times New Roman" w:hAnsi="Times New Roman" w:cs="Times New Roman"/>
          <w:b/>
          <w:sz w:val="24"/>
          <w:szCs w:val="24"/>
        </w:rPr>
      </w:pPr>
    </w:p>
    <w:p w14:paraId="5EB39575"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 participantes serão elegíveis para este estudo se tiverem entre 6 e 12 anos no início da intervenção, com diagnóstico de Transtorno do Espectro Autista (TEA), conforme os critérios estabelecidos no Manual Diagnóstico e Estatístico de Transtornos Mentais, Quinta Edição (DSM-5; APA, 2022); classificados nos níveis 1, 2 de suporte. Eles não devem apresentar alterações cognitivas, comportamentais ou médicas que os impeçam de seguir instruções e participar com segurança de atividades propostas no programa de intervenção. Os participantes serão recrutados por conveniência em instituições públicas ou filantrópicas e clínicas de fisioterapia privadas na região de Ribeirão das Neves, Minas Gerais - Brasil.</w:t>
      </w:r>
      <w:r>
        <w:rPr>
          <w:rFonts w:ascii="Times New Roman" w:eastAsia="Times New Roman" w:hAnsi="Times New Roman" w:cs="Times New Roman"/>
          <w:sz w:val="26"/>
          <w:szCs w:val="26"/>
        </w:rPr>
        <w:t xml:space="preserve"> </w:t>
      </w:r>
      <w:r>
        <w:rPr>
          <w:rFonts w:ascii="Times New Roman" w:eastAsia="Times New Roman" w:hAnsi="Times New Roman" w:cs="Times New Roman"/>
          <w:sz w:val="24"/>
          <w:szCs w:val="24"/>
        </w:rPr>
        <w:t>A participação nesta pesquisa não acarretará custos aos participantes. Quando necessário, havendo despesas envolvendo o transporte (tanto para o participante quanto para o acompanhante) ou alimentação, será feito o ressarcimento do custo ocasionado pela pesquisa.</w:t>
      </w:r>
    </w:p>
    <w:p w14:paraId="2A79A30A" w14:textId="77777777" w:rsidR="00BC5766" w:rsidRDefault="00BC5766">
      <w:pPr>
        <w:jc w:val="both"/>
        <w:rPr>
          <w:rFonts w:ascii="Times New Roman" w:eastAsia="Times New Roman" w:hAnsi="Times New Roman" w:cs="Times New Roman"/>
          <w:sz w:val="24"/>
          <w:szCs w:val="24"/>
        </w:rPr>
      </w:pPr>
    </w:p>
    <w:p w14:paraId="177081F0"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Tamanho amostral</w:t>
      </w:r>
    </w:p>
    <w:p w14:paraId="52359CB8" w14:textId="77777777" w:rsidR="00BC5766" w:rsidRDefault="00BC5766">
      <w:pPr>
        <w:jc w:val="both"/>
        <w:rPr>
          <w:rFonts w:ascii="Times New Roman" w:eastAsia="Times New Roman" w:hAnsi="Times New Roman" w:cs="Times New Roman"/>
          <w:b/>
          <w:sz w:val="24"/>
          <w:szCs w:val="24"/>
        </w:rPr>
      </w:pPr>
    </w:p>
    <w:p w14:paraId="6DCA1216" w14:textId="49294C32"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Serão recrutados </w:t>
      </w:r>
      <w:r w:rsidR="00EC2CD0" w:rsidRPr="00EC2CD0">
        <w:rPr>
          <w:rFonts w:ascii="Times New Roman" w:eastAsia="Times New Roman" w:hAnsi="Times New Roman" w:cs="Times New Roman"/>
          <w:color w:val="EE0000"/>
          <w:sz w:val="24"/>
          <w:szCs w:val="24"/>
        </w:rPr>
        <w:t xml:space="preserve">um total de </w:t>
      </w:r>
      <w:r w:rsidRPr="00EC2CD0">
        <w:rPr>
          <w:rFonts w:ascii="Times New Roman" w:eastAsia="Times New Roman" w:hAnsi="Times New Roman" w:cs="Times New Roman"/>
          <w:color w:val="EE0000"/>
          <w:sz w:val="24"/>
          <w:szCs w:val="24"/>
        </w:rPr>
        <w:t>16 participantes</w:t>
      </w:r>
      <w:r w:rsidR="00EC2CD0" w:rsidRPr="00EC2CD0">
        <w:rPr>
          <w:rFonts w:ascii="Times New Roman" w:eastAsia="Times New Roman" w:hAnsi="Times New Roman" w:cs="Times New Roman"/>
          <w:color w:val="EE0000"/>
          <w:sz w:val="24"/>
          <w:szCs w:val="24"/>
        </w:rPr>
        <w:t>, divididos em dois grupos, com 8 participantes em cada grupo</w:t>
      </w:r>
      <w:r w:rsidRPr="00EC2CD0">
        <w:rPr>
          <w:rFonts w:ascii="Times New Roman" w:eastAsia="Times New Roman" w:hAnsi="Times New Roman" w:cs="Times New Roman"/>
          <w:color w:val="EE0000"/>
          <w:sz w:val="24"/>
          <w:szCs w:val="24"/>
        </w:rPr>
        <w:t>.</w:t>
      </w:r>
      <w:r>
        <w:rPr>
          <w:rFonts w:ascii="Times New Roman" w:eastAsia="Times New Roman" w:hAnsi="Times New Roman" w:cs="Times New Roman"/>
          <w:sz w:val="24"/>
          <w:szCs w:val="24"/>
        </w:rPr>
        <w:t xml:space="preserve"> O tamanho da amostra foi determinado com base nos resultados de um estudo anterior que investigou os efeitos do programa MIG em crianças com TEA (Nascimento et al., 2025). O cálculo do tamanho da amostra foi baseado em um tamanho de efeito de 0,87 a partir dos resultados da Medida Canadense de Desempenho Ocupacional. Além disso, foram considerados um poder estatístico de 80%, um nível de significância de α = 5% e uma taxa de perda estimada de 20% ao longo do tempo, utilizando o software </w:t>
      </w:r>
      <w:proofErr w:type="spellStart"/>
      <w:r>
        <w:rPr>
          <w:rFonts w:ascii="Times New Roman" w:eastAsia="Times New Roman" w:hAnsi="Times New Roman" w:cs="Times New Roman"/>
          <w:sz w:val="24"/>
          <w:szCs w:val="24"/>
        </w:rPr>
        <w:t>GPower</w:t>
      </w:r>
      <w:proofErr w:type="spellEnd"/>
      <w:r>
        <w:rPr>
          <w:rFonts w:ascii="Times New Roman" w:eastAsia="Times New Roman" w:hAnsi="Times New Roman" w:cs="Times New Roman"/>
          <w:sz w:val="24"/>
          <w:szCs w:val="24"/>
        </w:rPr>
        <w:t xml:space="preserve"> 3.1 (</w:t>
      </w:r>
      <w:proofErr w:type="spellStart"/>
      <w:r>
        <w:rPr>
          <w:rFonts w:ascii="Times New Roman" w:eastAsia="Times New Roman" w:hAnsi="Times New Roman" w:cs="Times New Roman"/>
          <w:sz w:val="24"/>
          <w:szCs w:val="24"/>
        </w:rPr>
        <w:t>Faul</w:t>
      </w:r>
      <w:proofErr w:type="spellEnd"/>
      <w:r>
        <w:rPr>
          <w:rFonts w:ascii="Times New Roman" w:eastAsia="Times New Roman" w:hAnsi="Times New Roman" w:cs="Times New Roman"/>
          <w:sz w:val="24"/>
          <w:szCs w:val="24"/>
        </w:rPr>
        <w:t xml:space="preserve"> et al., 2007).</w:t>
      </w:r>
    </w:p>
    <w:p w14:paraId="7C24CEA0" w14:textId="77777777" w:rsidR="00BC5766" w:rsidRDefault="00BC5766">
      <w:pPr>
        <w:jc w:val="both"/>
        <w:rPr>
          <w:rFonts w:ascii="Times New Roman" w:eastAsia="Times New Roman" w:hAnsi="Times New Roman" w:cs="Times New Roman"/>
          <w:sz w:val="24"/>
          <w:szCs w:val="24"/>
        </w:rPr>
      </w:pPr>
    </w:p>
    <w:p w14:paraId="2B17BB0D"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Randomização e Cegamento</w:t>
      </w:r>
    </w:p>
    <w:p w14:paraId="486F9CFE" w14:textId="77777777" w:rsidR="00BC5766" w:rsidRDefault="00BC5766">
      <w:pPr>
        <w:jc w:val="both"/>
        <w:rPr>
          <w:rFonts w:ascii="Times New Roman" w:eastAsia="Times New Roman" w:hAnsi="Times New Roman" w:cs="Times New Roman"/>
          <w:b/>
          <w:sz w:val="24"/>
          <w:szCs w:val="24"/>
        </w:rPr>
      </w:pPr>
    </w:p>
    <w:p w14:paraId="7CE689BF"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crianças serão randomizadas individualmente em dois grupos: (1) intervenção através do protocolo motor do Programa MIG e (2) tratamento convencional. Um protocolo de randomização simples será elaborado por computador por um investigador do estudo que não participará diretamente da avaliação e tratamento dos pacientes. Para garantir o mascaramento da alocação, serão utilizados envelopes opacos, selados e organizados em sequência numérica. Aos pacientes elegíveis, a distribuição nos grupos de tratamento será realizada por um pesquisador, que procederá à abertura do próximo envelope numerado disponível imediatamente antes da sessão inicial de tratamento. Todas as avaliações de linha de base serão realizadas antes da alocação de cada participante. Os avaliadores estarão cegados quanto à alocação dos grupos. Devido às características da intervenção deste estudo, não é possível mascarar os participantes e os terapeutas que realizarão a intervenção. No final do estudo, os avaliadores serão questionados se os pacientes foram alocados ao grupo de tratamento MIG ou tratamento convencional, a fim de medir o cegamento. </w:t>
      </w:r>
    </w:p>
    <w:p w14:paraId="333F5D8C" w14:textId="77777777" w:rsidR="00BC5766" w:rsidRDefault="00BC5766">
      <w:pPr>
        <w:jc w:val="both"/>
        <w:rPr>
          <w:rFonts w:ascii="Times New Roman" w:eastAsia="Times New Roman" w:hAnsi="Times New Roman" w:cs="Times New Roman"/>
          <w:sz w:val="24"/>
          <w:szCs w:val="24"/>
        </w:rPr>
      </w:pPr>
    </w:p>
    <w:p w14:paraId="20F492C3"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Instrumentos de medida</w:t>
      </w:r>
    </w:p>
    <w:p w14:paraId="61AF0094" w14:textId="77777777" w:rsidR="00BC5766" w:rsidRDefault="00BC5766">
      <w:pPr>
        <w:jc w:val="both"/>
        <w:rPr>
          <w:rFonts w:ascii="Times New Roman" w:eastAsia="Times New Roman" w:hAnsi="Times New Roman" w:cs="Times New Roman"/>
          <w:b/>
          <w:sz w:val="24"/>
          <w:szCs w:val="24"/>
        </w:rPr>
      </w:pPr>
    </w:p>
    <w:p w14:paraId="11B62162"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Desfecho primário</w:t>
      </w:r>
    </w:p>
    <w:p w14:paraId="132B6A7F" w14:textId="77777777" w:rsidR="00BC5766" w:rsidRDefault="00BC5766">
      <w:pPr>
        <w:jc w:val="both"/>
        <w:rPr>
          <w:rFonts w:ascii="Times New Roman" w:eastAsia="Times New Roman" w:hAnsi="Times New Roman" w:cs="Times New Roman"/>
          <w:b/>
          <w:sz w:val="24"/>
          <w:szCs w:val="24"/>
        </w:rPr>
      </w:pPr>
    </w:p>
    <w:p w14:paraId="03A13EF7" w14:textId="77777777" w:rsidR="00BC5766"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O desfecho primário será a avaliação das habilidades motoras avaliadas pelo </w:t>
      </w:r>
      <w:r>
        <w:rPr>
          <w:rFonts w:ascii="Times New Roman" w:eastAsia="Times New Roman" w:hAnsi="Times New Roman" w:cs="Times New Roman"/>
          <w:sz w:val="24"/>
          <w:szCs w:val="24"/>
        </w:rPr>
        <w:t>Teste de Desenvolvimento Motor Grosso-2 (TGMD-2)</w:t>
      </w:r>
      <w:r>
        <w:rPr>
          <w:rFonts w:ascii="Times New Roman" w:eastAsia="Times New Roman" w:hAnsi="Times New Roman" w:cs="Times New Roman"/>
          <w:sz w:val="24"/>
          <w:szCs w:val="24"/>
          <w:highlight w:val="white"/>
        </w:rPr>
        <w:t xml:space="preserve"> e o alcance de metas relacionadas às habilidade motoras avaliadas pela </w:t>
      </w:r>
      <w:r>
        <w:rPr>
          <w:rFonts w:ascii="Times New Roman" w:eastAsia="Times New Roman" w:hAnsi="Times New Roman" w:cs="Times New Roman"/>
          <w:sz w:val="24"/>
          <w:szCs w:val="24"/>
        </w:rPr>
        <w:t xml:space="preserve">Canadian </w:t>
      </w:r>
      <w:proofErr w:type="spellStart"/>
      <w:r>
        <w:rPr>
          <w:rFonts w:ascii="Times New Roman" w:eastAsia="Times New Roman" w:hAnsi="Times New Roman" w:cs="Times New Roman"/>
          <w:sz w:val="24"/>
          <w:szCs w:val="24"/>
        </w:rPr>
        <w:t>Occupational</w:t>
      </w:r>
      <w:proofErr w:type="spellEnd"/>
      <w:r>
        <w:rPr>
          <w:rFonts w:ascii="Times New Roman" w:eastAsia="Times New Roman" w:hAnsi="Times New Roman" w:cs="Times New Roman"/>
          <w:sz w:val="24"/>
          <w:szCs w:val="24"/>
        </w:rPr>
        <w:t xml:space="preserve"> Performance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(COPM).</w:t>
      </w:r>
      <w:r>
        <w:rPr>
          <w:rFonts w:ascii="Times New Roman" w:eastAsia="Times New Roman" w:hAnsi="Times New Roman" w:cs="Times New Roman"/>
          <w:sz w:val="24"/>
          <w:szCs w:val="24"/>
          <w:highlight w:val="white"/>
        </w:rPr>
        <w:t xml:space="preserve"> As avaliações serão realizadas em três momentos distintos ao longo do estudo: na linha de base (pré-intervenção), imediatamente após o período de intervenção, e após doze semanas do final da intervenção.</w:t>
      </w:r>
    </w:p>
    <w:p w14:paraId="5BF93F61" w14:textId="77777777" w:rsidR="00BC5766" w:rsidRDefault="00BC5766">
      <w:pPr>
        <w:jc w:val="both"/>
        <w:rPr>
          <w:rFonts w:ascii="Times New Roman" w:eastAsia="Times New Roman" w:hAnsi="Times New Roman" w:cs="Times New Roman"/>
          <w:sz w:val="24"/>
          <w:szCs w:val="24"/>
          <w:highlight w:val="white"/>
        </w:rPr>
      </w:pPr>
    </w:p>
    <w:p w14:paraId="0401482E"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Teste de Desenvolvimento Motor Grosso-2 (TGMD-2)</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o TGMD-2 é um instrumento de avaliação padronizado que avalia quantitativa e qualitativamente 12 habilidades motoras fundamentais, subdivididas em duas categorias: seis habilidades locomotoras e seis habilidades de controle de objetos. A metodologia de pontuação envolve a soma dos escores brutos de cada </w:t>
      </w:r>
      <w:proofErr w:type="spellStart"/>
      <w:r>
        <w:rPr>
          <w:rFonts w:ascii="Times New Roman" w:eastAsia="Times New Roman" w:hAnsi="Times New Roman" w:cs="Times New Roman"/>
          <w:sz w:val="24"/>
          <w:szCs w:val="24"/>
        </w:rPr>
        <w:t>subteste</w:t>
      </w:r>
      <w:proofErr w:type="spellEnd"/>
      <w:r>
        <w:rPr>
          <w:rFonts w:ascii="Times New Roman" w:eastAsia="Times New Roman" w:hAnsi="Times New Roman" w:cs="Times New Roman"/>
          <w:sz w:val="24"/>
          <w:szCs w:val="24"/>
        </w:rPr>
        <w:t xml:space="preserve">, os quais são posteriormente convertidos em quocientes motores, permitindo uma análise normativa do desempenho (Ulrich, 2002). A validação e confiabilidade do TGMD-2 para a população infantil brasileira com desenvolvimento típico foram estabelecidas por Valentini et al. (2012). Subsequentemente, o instrumento tem sido aplicado em estudos envolvendo crianças com TEA (Fernandes et al., 2023), demonstrando sua versatilidade em populações </w:t>
      </w:r>
      <w:proofErr w:type="spellStart"/>
      <w:r>
        <w:rPr>
          <w:rFonts w:ascii="Times New Roman" w:eastAsia="Times New Roman" w:hAnsi="Times New Roman" w:cs="Times New Roman"/>
          <w:sz w:val="24"/>
          <w:szCs w:val="24"/>
        </w:rPr>
        <w:t>neurodiversas</w:t>
      </w:r>
      <w:proofErr w:type="spellEnd"/>
      <w:r>
        <w:rPr>
          <w:rFonts w:ascii="Times New Roman" w:eastAsia="Times New Roman" w:hAnsi="Times New Roman" w:cs="Times New Roman"/>
          <w:sz w:val="24"/>
          <w:szCs w:val="24"/>
        </w:rPr>
        <w:t>.</w:t>
      </w:r>
    </w:p>
    <w:p w14:paraId="403ABB51" w14:textId="77777777" w:rsidR="00BC5766" w:rsidRDefault="00000000">
      <w:pPr>
        <w:spacing w:before="200" w:after="200"/>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Canadian </w:t>
      </w:r>
      <w:proofErr w:type="spellStart"/>
      <w:r>
        <w:rPr>
          <w:rFonts w:ascii="Times New Roman" w:eastAsia="Times New Roman" w:hAnsi="Times New Roman" w:cs="Times New Roman"/>
          <w:b/>
          <w:i/>
          <w:sz w:val="24"/>
          <w:szCs w:val="24"/>
        </w:rPr>
        <w:t>Occupational</w:t>
      </w:r>
      <w:proofErr w:type="spellEnd"/>
      <w:r>
        <w:rPr>
          <w:rFonts w:ascii="Times New Roman" w:eastAsia="Times New Roman" w:hAnsi="Times New Roman" w:cs="Times New Roman"/>
          <w:b/>
          <w:i/>
          <w:sz w:val="24"/>
          <w:szCs w:val="24"/>
        </w:rPr>
        <w:t xml:space="preserve"> Performance </w:t>
      </w:r>
      <w:proofErr w:type="spellStart"/>
      <w:r>
        <w:rPr>
          <w:rFonts w:ascii="Times New Roman" w:eastAsia="Times New Roman" w:hAnsi="Times New Roman" w:cs="Times New Roman"/>
          <w:b/>
          <w:i/>
          <w:sz w:val="24"/>
          <w:szCs w:val="24"/>
        </w:rPr>
        <w:t>Measure</w:t>
      </w:r>
      <w:proofErr w:type="spellEnd"/>
      <w:r>
        <w:rPr>
          <w:rFonts w:ascii="Times New Roman" w:eastAsia="Times New Roman" w:hAnsi="Times New Roman" w:cs="Times New Roman"/>
          <w:b/>
          <w:i/>
          <w:sz w:val="24"/>
          <w:szCs w:val="24"/>
        </w:rPr>
        <w:t xml:space="preserve"> (COPM): </w:t>
      </w:r>
      <w:r>
        <w:rPr>
          <w:rFonts w:ascii="Times New Roman" w:eastAsia="Times New Roman" w:hAnsi="Times New Roman" w:cs="Times New Roman"/>
          <w:sz w:val="24"/>
          <w:szCs w:val="24"/>
        </w:rPr>
        <w:t>a COPM foi implementada para avaliar o alcance de metas funcionais (Law et al., 1994). A COPM consiste em uma entrevista semiestruturada em que os pais identificam e priorizam objetivos de tratamento para seus filhos. Cada prioridade recebe uma pontuação de 1 a 10, avaliando tanto a importância quanto o desempenho da criança e o nível de satisfação com a execução de cada atividade. Apesar de ser uma avaliação padronizada com diretrizes específicas para sua aplicação e pontuação, não é normatizada, pois se concentra nas experiências subjetivas de cada indivíduo. Considerada uma ferramenta de avaliação válida e confiável (</w:t>
      </w:r>
      <w:proofErr w:type="spellStart"/>
      <w:r>
        <w:rPr>
          <w:rFonts w:ascii="Times New Roman" w:eastAsia="Times New Roman" w:hAnsi="Times New Roman" w:cs="Times New Roman"/>
          <w:sz w:val="24"/>
          <w:szCs w:val="24"/>
        </w:rPr>
        <w:t>McColl</w:t>
      </w:r>
      <w:proofErr w:type="spellEnd"/>
      <w:r>
        <w:rPr>
          <w:rFonts w:ascii="Times New Roman" w:eastAsia="Times New Roman" w:hAnsi="Times New Roman" w:cs="Times New Roman"/>
          <w:sz w:val="24"/>
          <w:szCs w:val="24"/>
        </w:rPr>
        <w:t xml:space="preserve"> et al., 2000), a COPM é capaz de identificar mudanças no desempenho ao longo do tempo e após intervenções (Law et al., 1997), sendo assim uma excelente medida de resultados sensíveis a mudanças (</w:t>
      </w:r>
      <w:proofErr w:type="spellStart"/>
      <w:r>
        <w:rPr>
          <w:rFonts w:ascii="Times New Roman" w:eastAsia="Times New Roman" w:hAnsi="Times New Roman" w:cs="Times New Roman"/>
          <w:sz w:val="24"/>
          <w:szCs w:val="24"/>
        </w:rPr>
        <w:t>Carswell</w:t>
      </w:r>
      <w:proofErr w:type="spellEnd"/>
      <w:r>
        <w:rPr>
          <w:rFonts w:ascii="Times New Roman" w:eastAsia="Times New Roman" w:hAnsi="Times New Roman" w:cs="Times New Roman"/>
          <w:sz w:val="24"/>
          <w:szCs w:val="24"/>
        </w:rPr>
        <w:t xml:space="preserve"> et al., 2004).</w:t>
      </w:r>
    </w:p>
    <w:p w14:paraId="2830EB84"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Desfechos secundários</w:t>
      </w:r>
    </w:p>
    <w:p w14:paraId="77C7FFAA" w14:textId="77777777" w:rsidR="00BC5766" w:rsidRDefault="00BC5766">
      <w:pPr>
        <w:jc w:val="both"/>
        <w:rPr>
          <w:rFonts w:ascii="Times New Roman" w:eastAsia="Times New Roman" w:hAnsi="Times New Roman" w:cs="Times New Roman"/>
          <w:b/>
          <w:sz w:val="24"/>
          <w:szCs w:val="24"/>
        </w:rPr>
      </w:pPr>
    </w:p>
    <w:p w14:paraId="4EA81F5B"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Os desfechos secundários incluirá o equilíbrio, </w:t>
      </w:r>
      <w:r>
        <w:rPr>
          <w:rFonts w:ascii="Times New Roman" w:eastAsia="Times New Roman" w:hAnsi="Times New Roman" w:cs="Times New Roman"/>
          <w:sz w:val="24"/>
          <w:szCs w:val="24"/>
        </w:rPr>
        <w:t>habilidades sociocomunicativas e o comportamento motor.</w:t>
      </w:r>
      <w:r>
        <w:rPr>
          <w:rFonts w:ascii="Times New Roman" w:eastAsia="Times New Roman" w:hAnsi="Times New Roman" w:cs="Times New Roman"/>
          <w:sz w:val="24"/>
          <w:szCs w:val="24"/>
          <w:highlight w:val="white"/>
        </w:rPr>
        <w:t xml:space="preserve"> Todas essas medidas de resultados serão avaliadas três vezes durante o período do estudo: na linha de base (pré-intervenção), ao término das cinco semanas do período de intervenção, e após doze semanas do início da intervenção.</w:t>
      </w:r>
    </w:p>
    <w:p w14:paraId="22C7D6FA" w14:textId="77777777" w:rsidR="00BC5766" w:rsidRDefault="00BC5766">
      <w:pPr>
        <w:jc w:val="both"/>
        <w:rPr>
          <w:rFonts w:ascii="Times New Roman" w:eastAsia="Times New Roman" w:hAnsi="Times New Roman" w:cs="Times New Roman"/>
          <w:sz w:val="24"/>
          <w:szCs w:val="24"/>
          <w:highlight w:val="white"/>
        </w:rPr>
      </w:pPr>
    </w:p>
    <w:p w14:paraId="678F0464"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Escala de Equilíbrio Pediátrica (EEP). </w:t>
      </w:r>
      <w:r>
        <w:rPr>
          <w:rFonts w:ascii="Times New Roman" w:eastAsia="Times New Roman" w:hAnsi="Times New Roman" w:cs="Times New Roman"/>
          <w:sz w:val="24"/>
          <w:szCs w:val="24"/>
        </w:rPr>
        <w:t xml:space="preserve">A EEP foi utilizada para avaliar a capacidade de equilíbrio funcional dos participantes. A PBS foi desenvolvida para examinar o equilíbrio estático e dinâmico; consiste em 14 itens que avaliam as atividades funcionais que uma criança pode realizar durante a vida diária. A PBS foi adaptada para a população brasileira; suas propriedades de medição foram avaliadas e demonstraram boa responsividade (Ries et al., 2013; Chen et al., 2013).  </w:t>
      </w:r>
    </w:p>
    <w:p w14:paraId="74A86CC8" w14:textId="77777777" w:rsidR="00BC5766" w:rsidRDefault="00BC5766">
      <w:pPr>
        <w:jc w:val="both"/>
        <w:rPr>
          <w:rFonts w:ascii="Times New Roman" w:eastAsia="Times New Roman" w:hAnsi="Times New Roman" w:cs="Times New Roman"/>
          <w:sz w:val="24"/>
          <w:szCs w:val="24"/>
        </w:rPr>
      </w:pPr>
    </w:p>
    <w:p w14:paraId="7C62298B"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Teste ABFW:</w:t>
      </w:r>
      <w:r>
        <w:rPr>
          <w:rFonts w:ascii="Times New Roman" w:eastAsia="Times New Roman" w:hAnsi="Times New Roman" w:cs="Times New Roman"/>
          <w:sz w:val="24"/>
          <w:szCs w:val="24"/>
        </w:rPr>
        <w:t xml:space="preserve"> é um instrumento padronizado utilizado na mensuração das habilidades comunicativas funcionais de crianças e adolescentes. A metodologia de aplicação do teste é fundamentada na observação sistemática e no registro meticuloso de uma sessão de 30 minutos, durante a qual a criança interage livremente com um adulto familiar, geralmente um dos pais. Este procedimento permite a análise de múltiplos aspectos da comunicação, incluindo a quantificação dos atos comunicativos expressos pela criança, a identificação dos meios comunicativos empregados (sejam eles verbais, vocais ou gestuais) e a avaliação das funções comunicativas manifestadas durante a interação. O processo de pontuação do teste envolve uma análise tanto quantitativa quanto qualitativa dos atos comunicativos observados. Adicionalmente, procede-se à identificação das funções comunicativas predominantes na interação da criança, fornecendo assim um panorama abrangente de suas habilidades pragmáticas. A extensa utilização do ABFW em estudos clínicos e intervenções fonoaudiológicas atesta sua aplicabilidade e sensibilidade na avaliação das habilidades comunicativas funcionais (</w:t>
      </w:r>
      <w:proofErr w:type="spellStart"/>
      <w:r>
        <w:rPr>
          <w:rFonts w:ascii="Times New Roman" w:eastAsia="Times New Roman" w:hAnsi="Times New Roman" w:cs="Times New Roman"/>
          <w:sz w:val="24"/>
          <w:szCs w:val="24"/>
        </w:rPr>
        <w:t>Befi</w:t>
      </w:r>
      <w:proofErr w:type="spellEnd"/>
      <w:r>
        <w:rPr>
          <w:rFonts w:ascii="Times New Roman" w:eastAsia="Times New Roman" w:hAnsi="Times New Roman" w:cs="Times New Roman"/>
          <w:sz w:val="24"/>
          <w:szCs w:val="24"/>
        </w:rPr>
        <w:t xml:space="preserve">-Lopes et al., 2004; </w:t>
      </w:r>
      <w:proofErr w:type="spellStart"/>
      <w:r>
        <w:rPr>
          <w:rFonts w:ascii="Times New Roman" w:eastAsia="Times New Roman" w:hAnsi="Times New Roman" w:cs="Times New Roman"/>
          <w:sz w:val="24"/>
          <w:szCs w:val="24"/>
        </w:rPr>
        <w:t>Munive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Cuzcano</w:t>
      </w:r>
      <w:proofErr w:type="spellEnd"/>
      <w:r>
        <w:rPr>
          <w:rFonts w:ascii="Times New Roman" w:eastAsia="Times New Roman" w:hAnsi="Times New Roman" w:cs="Times New Roman"/>
          <w:sz w:val="24"/>
          <w:szCs w:val="24"/>
        </w:rPr>
        <w:t>, 2022). Além disso, o instrumento tem se mostrado eficaz no monitoramento do progresso terapêutico em diversas condições que impactam o desenvolvimento da linguagem na infância (</w:t>
      </w:r>
      <w:proofErr w:type="spellStart"/>
      <w:r>
        <w:rPr>
          <w:rFonts w:ascii="Times New Roman" w:eastAsia="Times New Roman" w:hAnsi="Times New Roman" w:cs="Times New Roman"/>
          <w:sz w:val="24"/>
          <w:szCs w:val="24"/>
        </w:rPr>
        <w:t>Befi</w:t>
      </w:r>
      <w:proofErr w:type="spellEnd"/>
      <w:r>
        <w:rPr>
          <w:rFonts w:ascii="Times New Roman" w:eastAsia="Times New Roman" w:hAnsi="Times New Roman" w:cs="Times New Roman"/>
          <w:sz w:val="24"/>
          <w:szCs w:val="24"/>
        </w:rPr>
        <w:t>-Lopes et al., 2004).</w:t>
      </w:r>
    </w:p>
    <w:p w14:paraId="5CE0A11F" w14:textId="77777777" w:rsidR="00BC5766" w:rsidRDefault="00000000">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Protocolo de Observação Comportamental (PROC):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 PROC será utilizado para avaliar as habilidades comunicativas e cognitivas dos participantes (</w:t>
      </w:r>
      <w:r>
        <w:rPr>
          <w:rFonts w:ascii="Times New Roman" w:eastAsia="Times New Roman" w:hAnsi="Times New Roman" w:cs="Times New Roman"/>
          <w:sz w:val="24"/>
          <w:szCs w:val="24"/>
          <w:highlight w:val="white"/>
        </w:rPr>
        <w:t>Hage et al., 2012)</w:t>
      </w:r>
      <w:r>
        <w:rPr>
          <w:rFonts w:ascii="Times New Roman" w:eastAsia="Times New Roman" w:hAnsi="Times New Roman" w:cs="Times New Roman"/>
          <w:sz w:val="24"/>
          <w:szCs w:val="24"/>
        </w:rPr>
        <w:t>. O PROC é uma ferramenta estruturada que permite a análise detalhada das interações e reações de crianças em ambientes naturais ou controlados. O PROC foi projetado para criar uma situação estruturada em que se pode observar e registrar em vídeo, ao longo de 30 a 40 minutos, a interação de crianças com um examinador, utilizando brinquedos previamente selecionados. Este método permite analisar a progressão normal do desenvolvimento da linguagem e do simbolismo, bem como a inter-relação entre esses aspectos do desenvolvimento infantil. Além disso, é especialmente útil para identificar e caracterizar os níveis de desenvolvimento e os padrões de funcionamento cognitivo e comunicativo em crianças que apresentam queixas de atrasos ou distúrbios no desenvolvimento (</w:t>
      </w:r>
      <w:r>
        <w:rPr>
          <w:rFonts w:ascii="Times New Roman" w:eastAsia="Times New Roman" w:hAnsi="Times New Roman" w:cs="Times New Roman"/>
          <w:sz w:val="24"/>
          <w:szCs w:val="24"/>
          <w:highlight w:val="white"/>
        </w:rPr>
        <w:t>Zorzi &amp; Hage, 2004</w:t>
      </w:r>
      <w:r>
        <w:rPr>
          <w:rFonts w:ascii="Times New Roman" w:eastAsia="Times New Roman" w:hAnsi="Times New Roman" w:cs="Times New Roman"/>
          <w:sz w:val="24"/>
          <w:szCs w:val="24"/>
        </w:rPr>
        <w:t>).</w:t>
      </w:r>
    </w:p>
    <w:p w14:paraId="30920432" w14:textId="77777777" w:rsidR="00BC5766" w:rsidRDefault="00000000">
      <w:pPr>
        <w:spacing w:before="240" w:after="240"/>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sz w:val="24"/>
          <w:szCs w:val="24"/>
        </w:rPr>
        <w:t>Víneland</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Adaptive</w:t>
      </w:r>
      <w:proofErr w:type="spellEnd"/>
      <w:r>
        <w:rPr>
          <w:rFonts w:ascii="Times New Roman" w:eastAsia="Times New Roman" w:hAnsi="Times New Roman" w:cs="Times New Roman"/>
          <w:b/>
          <w:i/>
          <w:sz w:val="24"/>
          <w:szCs w:val="24"/>
        </w:rPr>
        <w:t xml:space="preserve"> Behavior </w:t>
      </w:r>
      <w:proofErr w:type="spellStart"/>
      <w:r>
        <w:rPr>
          <w:rFonts w:ascii="Times New Roman" w:eastAsia="Times New Roman" w:hAnsi="Times New Roman" w:cs="Times New Roman"/>
          <w:b/>
          <w:i/>
          <w:sz w:val="24"/>
          <w:szCs w:val="24"/>
        </w:rPr>
        <w:t>Scales</w:t>
      </w:r>
      <w:proofErr w:type="spellEnd"/>
      <w:r>
        <w:rPr>
          <w:rFonts w:ascii="Times New Roman" w:eastAsia="Times New Roman" w:hAnsi="Times New Roman" w:cs="Times New Roman"/>
          <w:b/>
          <w:i/>
          <w:sz w:val="24"/>
          <w:szCs w:val="24"/>
        </w:rPr>
        <w:t xml:space="preserve"> (VABS):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Neste estudo, será utilizada exclusivamente a subescala motora da VABS, instrumento amplamente reconhecido para a avaliação do comportamento adaptativo em diferentes faixas etárias (Sparrow, Balla &amp; </w:t>
      </w:r>
      <w:proofErr w:type="spellStart"/>
      <w:r>
        <w:rPr>
          <w:rFonts w:ascii="Times New Roman" w:eastAsia="Times New Roman" w:hAnsi="Times New Roman" w:cs="Times New Roman"/>
          <w:sz w:val="24"/>
          <w:szCs w:val="24"/>
        </w:rPr>
        <w:t>Cicchetti</w:t>
      </w:r>
      <w:proofErr w:type="spellEnd"/>
      <w:r>
        <w:rPr>
          <w:rFonts w:ascii="Times New Roman" w:eastAsia="Times New Roman" w:hAnsi="Times New Roman" w:cs="Times New Roman"/>
          <w:sz w:val="24"/>
          <w:szCs w:val="24"/>
        </w:rPr>
        <w:t xml:space="preserve">). A subescala motora tem por objetivo mensurar o desenvolvimento de habilidades motoras grossas e finas, sendo particularmente relevante na identificação de atrasos motores em populações com transtornos do neurodesenvolvimento. As habilidades motoras grossas referem-se a movimentos amplos que requerem a coordenação de grandes grupos musculares, como correr, pular ou subir escadas, enquanto as habilidades motoras finas englobam atividades que demandam precisão e coordenação </w:t>
      </w:r>
      <w:proofErr w:type="spellStart"/>
      <w:r>
        <w:rPr>
          <w:rFonts w:ascii="Times New Roman" w:eastAsia="Times New Roman" w:hAnsi="Times New Roman" w:cs="Times New Roman"/>
          <w:sz w:val="24"/>
          <w:szCs w:val="24"/>
        </w:rPr>
        <w:t>visuomotora</w:t>
      </w:r>
      <w:proofErr w:type="spellEnd"/>
      <w:r>
        <w:rPr>
          <w:rFonts w:ascii="Times New Roman" w:eastAsia="Times New Roman" w:hAnsi="Times New Roman" w:cs="Times New Roman"/>
          <w:sz w:val="24"/>
          <w:szCs w:val="24"/>
        </w:rPr>
        <w:t>, como desenhar, escrever ou manusear pequenos objetos. A aplicação dessa subescala permite uma análise detalhada do perfil motor funcional da criança, contribuindo para o planejamento de intervenções direcionadas. Além disso, sua utilização é especialmente pertinente em contextos clínicos, como no Transtorno do Espectro Autista, ao oferecer dados que complementam a compreensão global do desenvolvimento adaptativo e favorecem estratégias terapêuticas personalizadas.</w:t>
      </w:r>
    </w:p>
    <w:p w14:paraId="6CB7B526"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Intervenções</w:t>
      </w:r>
    </w:p>
    <w:p w14:paraId="5EAD5B7A" w14:textId="77777777" w:rsidR="00BC5766" w:rsidRDefault="00BC5766">
      <w:pPr>
        <w:jc w:val="both"/>
        <w:rPr>
          <w:rFonts w:ascii="Times New Roman" w:eastAsia="Times New Roman" w:hAnsi="Times New Roman" w:cs="Times New Roman"/>
          <w:b/>
          <w:sz w:val="24"/>
          <w:szCs w:val="24"/>
        </w:rPr>
      </w:pPr>
    </w:p>
    <w:p w14:paraId="3B9B4E15" w14:textId="77777777" w:rsidR="00BC5766" w:rsidRDefault="00000000">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Protocolo motor do Programa MIG </w:t>
      </w:r>
    </w:p>
    <w:p w14:paraId="500F51A5" w14:textId="77777777" w:rsidR="00BC5766" w:rsidRDefault="00BC5766">
      <w:pPr>
        <w:jc w:val="both"/>
        <w:rPr>
          <w:rFonts w:ascii="Times New Roman" w:eastAsia="Times New Roman" w:hAnsi="Times New Roman" w:cs="Times New Roman"/>
          <w:b/>
          <w:sz w:val="24"/>
          <w:szCs w:val="24"/>
        </w:rPr>
      </w:pPr>
    </w:p>
    <w:p w14:paraId="76BC14DC"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programa de intervenção MIG é um programa interdisciplinar baseado nas teorias de codificação preditiva e cognição corporificada (</w:t>
      </w: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et al., 2024). O programa de intervenção MIG para habilidades motoras consiste em três componentes: 1) treinamento de habilidades motoras; 2) estratégias cognitivas e comportamentais para estimular o aprendizado de habilidades motoras; 3) gramáticas narrativas. </w:t>
      </w:r>
    </w:p>
    <w:p w14:paraId="287927AC" w14:textId="77777777" w:rsidR="00BC5766" w:rsidRDefault="00BC5766">
      <w:pPr>
        <w:jc w:val="both"/>
        <w:rPr>
          <w:rFonts w:ascii="Times New Roman" w:eastAsia="Times New Roman" w:hAnsi="Times New Roman" w:cs="Times New Roman"/>
          <w:sz w:val="24"/>
          <w:szCs w:val="24"/>
        </w:rPr>
      </w:pPr>
    </w:p>
    <w:p w14:paraId="4AF3ACC1" w14:textId="77777777" w:rsidR="00BC5766"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Treinamento de habilidades motoras</w:t>
      </w:r>
    </w:p>
    <w:p w14:paraId="01373598" w14:textId="77777777" w:rsidR="00BC5766" w:rsidRDefault="00BC5766">
      <w:pPr>
        <w:jc w:val="both"/>
        <w:rPr>
          <w:rFonts w:ascii="Times New Roman" w:eastAsia="Times New Roman" w:hAnsi="Times New Roman" w:cs="Times New Roman"/>
          <w:sz w:val="24"/>
          <w:szCs w:val="24"/>
        </w:rPr>
      </w:pPr>
    </w:p>
    <w:p w14:paraId="3E0FB4A7"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treinamento de habilidades motoras do programa MIG é realizado de forma funcional e orientado a objetivos, com várias capacidades físicas (como força, resistência, equilíbrio, flexibilidade, agilidade, potência e condicionamento) sendo trabalhadas de forma integrada em atividades relacionadas às habilidades motoras fundamentais, incluindo habilidades locomotoras (como correr, pular, saltar e galopar) e habilidades com bola (como pegar, arremessar e chutar). O treinamento de habilidades motoras adotará uma progressão gradual na dificuldade das atividades, sempre fornecendo feedback positivo e encorajamento constante aos participantes. Uma sessão típica pode incluir uma brincadeira de pega-pega com balões como aquecimento, seguida por atividades de equilíbrio (como caminhar sobre uma linha reta ou ficar em um pé só), exercícios locomotores (como corrida de obstáculos e saltos em distância) e práticas com bola (como quicar </w:t>
      </w:r>
      <w:proofErr w:type="gramStart"/>
      <w:r>
        <w:rPr>
          <w:rFonts w:ascii="Times New Roman" w:eastAsia="Times New Roman" w:hAnsi="Times New Roman" w:cs="Times New Roman"/>
          <w:sz w:val="24"/>
          <w:szCs w:val="24"/>
        </w:rPr>
        <w:t>bola  ou</w:t>
      </w:r>
      <w:proofErr w:type="gramEnd"/>
      <w:r>
        <w:rPr>
          <w:rFonts w:ascii="Times New Roman" w:eastAsia="Times New Roman" w:hAnsi="Times New Roman" w:cs="Times New Roman"/>
          <w:sz w:val="24"/>
          <w:szCs w:val="24"/>
        </w:rPr>
        <w:t xml:space="preserve"> chutar bola em direção a um gol). A sessão será concluída com alongamentos suaves acompanhados por música calma para o relaxamento. É importante ressaltar que as atividades serão adaptadas conforme as necessidades individuais de cada participante, mantendo um ambiente estruturado e previsível para reduzir a ansiedade. </w:t>
      </w:r>
    </w:p>
    <w:p w14:paraId="7B92397E" w14:textId="77777777" w:rsidR="00BC5766" w:rsidRDefault="00BC5766">
      <w:pPr>
        <w:jc w:val="both"/>
        <w:rPr>
          <w:rFonts w:ascii="Times New Roman" w:eastAsia="Times New Roman" w:hAnsi="Times New Roman" w:cs="Times New Roman"/>
          <w:sz w:val="24"/>
          <w:szCs w:val="24"/>
        </w:rPr>
      </w:pPr>
    </w:p>
    <w:p w14:paraId="33B47F60" w14:textId="77777777" w:rsidR="00BC5766"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Estratégias cognitivas e comportamentais para estimular o aprendizado de habilidades motoras</w:t>
      </w:r>
    </w:p>
    <w:p w14:paraId="2E874F3B" w14:textId="77777777" w:rsidR="00BC5766" w:rsidRDefault="00BC5766">
      <w:pPr>
        <w:jc w:val="both"/>
        <w:rPr>
          <w:rFonts w:ascii="Times New Roman" w:eastAsia="Times New Roman" w:hAnsi="Times New Roman" w:cs="Times New Roman"/>
          <w:sz w:val="24"/>
          <w:szCs w:val="24"/>
        </w:rPr>
      </w:pPr>
    </w:p>
    <w:p w14:paraId="17F75D9B"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estratégias cognitivas e comportamentais para estimular o aprendizado de habilidades motoras são baseadas em estratégias cognitivas e comportamentais específicas, incluindo suportes visuais, estímulo físico, modificação da tarefa, atenção, modelação e reforçamento, por exemplo. Tal componente da intervenção é caracterizado pela utilização de estratégias baseadas na ABA para potencializar a aprendizagem das habilidades motoras. Esse componente incluirá uma identificação das preferências dos participantes, bem como observações acerca de seu engajamento na intervenção. A partir disso, com o objetivo de promover seu engajamento e aprendizagem, serão utilizadas estratégias como: modelação, estratégias baseadas em reforçamento (e.g. reforço diferencial, </w:t>
      </w:r>
      <w:proofErr w:type="gramStart"/>
      <w:r>
        <w:rPr>
          <w:rFonts w:ascii="Times New Roman" w:eastAsia="Times New Roman" w:hAnsi="Times New Roman" w:cs="Times New Roman"/>
          <w:sz w:val="24"/>
          <w:szCs w:val="24"/>
        </w:rPr>
        <w:t>modelagem, etc.</w:t>
      </w:r>
      <w:proofErr w:type="gramEnd"/>
      <w:r>
        <w:rPr>
          <w:rFonts w:ascii="Times New Roman" w:eastAsia="Times New Roman" w:hAnsi="Times New Roman" w:cs="Times New Roman"/>
          <w:sz w:val="24"/>
          <w:szCs w:val="24"/>
        </w:rPr>
        <w:t xml:space="preserve">), estratégias baseadas em antecedentes (e.g. reforçamento não contingente, sequências de solicitação de alta </w:t>
      </w:r>
      <w:proofErr w:type="gramStart"/>
      <w:r>
        <w:rPr>
          <w:rFonts w:ascii="Times New Roman" w:eastAsia="Times New Roman" w:hAnsi="Times New Roman" w:cs="Times New Roman"/>
          <w:sz w:val="24"/>
          <w:szCs w:val="24"/>
        </w:rPr>
        <w:t>probabilidade, etc.</w:t>
      </w:r>
      <w:proofErr w:type="gramEnd"/>
      <w:r>
        <w:rPr>
          <w:rFonts w:ascii="Times New Roman" w:eastAsia="Times New Roman" w:hAnsi="Times New Roman" w:cs="Times New Roman"/>
          <w:sz w:val="24"/>
          <w:szCs w:val="24"/>
        </w:rPr>
        <w:t>), encadeamento comportamental e aprendizagem sem erro (oferecimento de suporte para que o participante desempenhe as atividades sem cometer erros);</w:t>
      </w:r>
    </w:p>
    <w:p w14:paraId="07CECE9E" w14:textId="77777777" w:rsidR="00BC5766" w:rsidRDefault="00BC5766">
      <w:pPr>
        <w:jc w:val="both"/>
        <w:rPr>
          <w:rFonts w:ascii="Times New Roman" w:eastAsia="Times New Roman" w:hAnsi="Times New Roman" w:cs="Times New Roman"/>
          <w:sz w:val="24"/>
          <w:szCs w:val="24"/>
        </w:rPr>
      </w:pPr>
    </w:p>
    <w:p w14:paraId="23D92591" w14:textId="77777777" w:rsidR="00BC5766"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Contextualização do treinamento de habilidades motoras através da gramática narrativa</w:t>
      </w:r>
    </w:p>
    <w:p w14:paraId="5C82FEEB" w14:textId="77777777" w:rsidR="00BC5766" w:rsidRDefault="00BC5766">
      <w:pPr>
        <w:jc w:val="both"/>
        <w:rPr>
          <w:rFonts w:ascii="Times New Roman" w:eastAsia="Times New Roman" w:hAnsi="Times New Roman" w:cs="Times New Roman"/>
          <w:sz w:val="24"/>
          <w:szCs w:val="24"/>
        </w:rPr>
      </w:pPr>
    </w:p>
    <w:p w14:paraId="287A7602"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gramática narrativa pode ser definida como a forma em que as narrativas são estruturadas e construídas. A gramática narrativa será integrada ao treinamento motor e trabalhada em duas sessões específicas de Fonoaudiologia semanais. Utilizá-la pode facilitar a compreensão e o aprendizado das crianças, pois é a forma que elas utilizam para processar e construir histórias. A gramática narrativa é composta por uma série de elementos: personagens, uma situação inicial, um evento ou situação-problema, um sentimento eliciado pelo conflito, um plano para resolução, a ação ou execução do plano e a situação final. A contextualização do treinamento de habilidades motoras através da gramática narrativa estimula e desafia a criança a se engajar na história, sendo um elemento motivador no treinamento. Assim, os participantes serão apresentados a uma narrativa e a ação/execução do plano para chegar à situação final será a execução do treinamento de habilidades motoras.</w:t>
      </w:r>
    </w:p>
    <w:p w14:paraId="7D0DEF22" w14:textId="77777777" w:rsidR="00BC5766" w:rsidRDefault="00BC5766">
      <w:pPr>
        <w:jc w:val="both"/>
        <w:rPr>
          <w:rFonts w:ascii="Times New Roman" w:eastAsia="Times New Roman" w:hAnsi="Times New Roman" w:cs="Times New Roman"/>
          <w:sz w:val="24"/>
          <w:szCs w:val="24"/>
        </w:rPr>
      </w:pPr>
    </w:p>
    <w:p w14:paraId="1A9BE556"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descritos como aspectos distintos, esses componentes são totalmente integrados às sessões através do atendimento realizado sob a orientação de profissionais das áreas de Fisioterapia, Fonoaudiologia e Psicologia com experiência em atendimento de crianças e jovens com deficiências. Cada uma das sessões terá duração de 50 minutos e serão realizadas no ambiente terapêutico Cidade do Amanhã, com o suporte postural e proprioceptivo oferecido pela veste MIG Flex, sendo ambas as tecnologias componentes do Programa MIG de intervenção. O protocolo das atividades realizadas no programa MIG está disponível no apêndice 1. O apêndice 2 apresenta um exemplo de como a gramática narrativa será empregada no protocolo motor, enquanto o apêndice 3 apresenta uma escala para avaliar o envolvimento do participante de ambos os grupos durante as sessões. </w:t>
      </w:r>
    </w:p>
    <w:p w14:paraId="69B9E2FD" w14:textId="77777777" w:rsidR="00BC5766" w:rsidRDefault="00BC5766">
      <w:pPr>
        <w:jc w:val="both"/>
        <w:rPr>
          <w:rFonts w:ascii="Times New Roman" w:eastAsia="Times New Roman" w:hAnsi="Times New Roman" w:cs="Times New Roman"/>
          <w:b/>
          <w:i/>
          <w:sz w:val="24"/>
          <w:szCs w:val="24"/>
        </w:rPr>
      </w:pPr>
    </w:p>
    <w:p w14:paraId="1B460072"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Tratamento convencional</w:t>
      </w:r>
    </w:p>
    <w:p w14:paraId="678BC48B" w14:textId="77777777" w:rsidR="00BC5766" w:rsidRDefault="00BC5766">
      <w:pPr>
        <w:jc w:val="both"/>
        <w:rPr>
          <w:rFonts w:ascii="Times New Roman" w:eastAsia="Times New Roman" w:hAnsi="Times New Roman" w:cs="Times New Roman"/>
          <w:b/>
          <w:sz w:val="24"/>
          <w:szCs w:val="24"/>
        </w:rPr>
      </w:pPr>
    </w:p>
    <w:p w14:paraId="77FFEBFF" w14:textId="77777777" w:rsidR="00BC5766" w:rsidRDefault="00000000">
      <w:pPr>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Os participantes desse grupo receberão seus cuidados padrão. Espera-se que crianças e adolescentes com TEA no Brasil recebam de 2 a 3 sessões de terapia multidisciplinar por semana em centros especializados, clínicas públicas ou privadas. Isso pode incluir intervenções como terapia ocupacional, incluindo o uso da abordagem de integração sensorial, Treinamento de pais, fonoaudiologia, psicoterapia e fisioterapia. As atividades realizadas pelos participantes desse grupo e a adesão ao tratamento serão registradas em um diário de atividades pelo principal terapeuta ou cuidador do participante e posteriormente analisadas pelos investigadores. Após terem participado das avaliações pós-intervenção e de acompanhamento, os participantes serão convidados a receber a intervenção com programa MIG. </w:t>
      </w:r>
    </w:p>
    <w:p w14:paraId="300D9E3B" w14:textId="77777777" w:rsidR="00BC5766" w:rsidRDefault="00BC5766">
      <w:pPr>
        <w:jc w:val="both"/>
        <w:rPr>
          <w:rFonts w:ascii="Times New Roman" w:eastAsia="Times New Roman" w:hAnsi="Times New Roman" w:cs="Times New Roman"/>
          <w:sz w:val="24"/>
          <w:szCs w:val="24"/>
        </w:rPr>
      </w:pPr>
    </w:p>
    <w:p w14:paraId="157C1C5F"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Procedimentos</w:t>
      </w:r>
    </w:p>
    <w:p w14:paraId="5559214E" w14:textId="77777777" w:rsidR="00BC5766" w:rsidRDefault="00BC5766">
      <w:pPr>
        <w:jc w:val="both"/>
        <w:rPr>
          <w:rFonts w:ascii="Times New Roman" w:eastAsia="Times New Roman" w:hAnsi="Times New Roman" w:cs="Times New Roman"/>
          <w:sz w:val="24"/>
          <w:szCs w:val="24"/>
        </w:rPr>
      </w:pPr>
    </w:p>
    <w:p w14:paraId="575FA166"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participantes serão submetidos a avaliações em três momentos distintos: (1) avaliação de linha de base (semana 0); (2) avaliação pós-intervenção (semana 6); e (3) avaliação de acompanhamento (semana 12). Todas as avaliações serão realizadas por um avaliador que não terá conhecimento prévio da alocação nos grupos dos participantes (avaliador cegado). O protocolo motor do programa MIG será ministrado por fisioterapeutas altamente experientes, com pelo menos 5 anos de atuação na reabilitação de crianças e </w:t>
      </w:r>
      <w:r>
        <w:rPr>
          <w:rFonts w:ascii="Times New Roman" w:eastAsia="Times New Roman" w:hAnsi="Times New Roman" w:cs="Times New Roman"/>
          <w:sz w:val="24"/>
          <w:szCs w:val="24"/>
        </w:rPr>
        <w:lastRenderedPageBreak/>
        <w:t>adolescentes. Além disso, ao final das sessões os terapeutas responsáveis por realizar o protocolo, deverá aplicar a Escala de Envolvimento do Participante (Apêndice 2) para o registro dos dados relacionados ao envolvimento do participante na sessão. Todos os procedimentos de coleta de dados, incluindo os programas de intervenção, serão realizados nas instalações do INCEI.</w:t>
      </w:r>
    </w:p>
    <w:p w14:paraId="0ABFADC2" w14:textId="77777777" w:rsidR="00BC5766" w:rsidRDefault="00BC5766">
      <w:pPr>
        <w:jc w:val="both"/>
        <w:rPr>
          <w:rFonts w:ascii="Times New Roman" w:eastAsia="Times New Roman" w:hAnsi="Times New Roman" w:cs="Times New Roman"/>
          <w:sz w:val="24"/>
          <w:szCs w:val="24"/>
        </w:rPr>
      </w:pPr>
    </w:p>
    <w:p w14:paraId="7679ADEF"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Eventos Adversos</w:t>
      </w:r>
    </w:p>
    <w:p w14:paraId="3512AE73" w14:textId="77777777" w:rsidR="00BC5766" w:rsidRDefault="00BC5766">
      <w:pPr>
        <w:jc w:val="both"/>
        <w:rPr>
          <w:rFonts w:ascii="Times New Roman" w:eastAsia="Times New Roman" w:hAnsi="Times New Roman" w:cs="Times New Roman"/>
          <w:sz w:val="24"/>
          <w:szCs w:val="24"/>
        </w:rPr>
      </w:pPr>
    </w:p>
    <w:p w14:paraId="28BB38BC"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Qualquer evento adverso será relatado pelo fisioterapeuta responsável pelo tratamento após cada sessão. Todos os eventos ocorridos serão categorizados pelos investigadores e relatados ao final do estudo.</w:t>
      </w:r>
    </w:p>
    <w:p w14:paraId="317C5EA9" w14:textId="77777777" w:rsidR="00BC5766" w:rsidRDefault="00BC5766">
      <w:pPr>
        <w:jc w:val="both"/>
        <w:rPr>
          <w:rFonts w:ascii="Times New Roman" w:eastAsia="Times New Roman" w:hAnsi="Times New Roman" w:cs="Times New Roman"/>
          <w:sz w:val="24"/>
          <w:szCs w:val="24"/>
        </w:rPr>
      </w:pPr>
    </w:p>
    <w:p w14:paraId="0B48557C"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Análise dos dados</w:t>
      </w:r>
    </w:p>
    <w:p w14:paraId="71043296" w14:textId="77777777" w:rsidR="00BC5766" w:rsidRDefault="00BC5766">
      <w:pPr>
        <w:jc w:val="both"/>
        <w:rPr>
          <w:rFonts w:ascii="Times New Roman" w:eastAsia="Times New Roman" w:hAnsi="Times New Roman" w:cs="Times New Roman"/>
          <w:sz w:val="24"/>
          <w:szCs w:val="24"/>
        </w:rPr>
      </w:pPr>
    </w:p>
    <w:p w14:paraId="49159BB4"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estatística será conduzida utilizando o software IBM SPSS </w:t>
      </w:r>
      <w:proofErr w:type="spellStart"/>
      <w:r>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 xml:space="preserve">, versão 24 (IBM </w:t>
      </w:r>
      <w:proofErr w:type="spellStart"/>
      <w:r>
        <w:rPr>
          <w:rFonts w:ascii="Times New Roman" w:eastAsia="Times New Roman" w:hAnsi="Times New Roman" w:cs="Times New Roman"/>
          <w:sz w:val="24"/>
          <w:szCs w:val="24"/>
        </w:rPr>
        <w:t>Corp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Armonk</w:t>
      </w:r>
      <w:proofErr w:type="spellEnd"/>
      <w:r>
        <w:rPr>
          <w:rFonts w:ascii="Times New Roman" w:eastAsia="Times New Roman" w:hAnsi="Times New Roman" w:cs="Times New Roman"/>
          <w:sz w:val="24"/>
          <w:szCs w:val="24"/>
        </w:rPr>
        <w:t>, NY). Inicialmente, serão aplicadas estatísticas descritivas para caracterização da amostra, incluindo variáveis sociodemográficas e clínicas, como idade, sexo e nível de suporte necessário. A verificação da normalidade das distribuições será realizada por meio do teste de Shapiro-Wilk. Para variáveis contínuas, os dados serão apresentados como média e desvio padrão quando atenderem aos pressupostos de normalidade; caso contrário, serão expressos como mediana e intervalo interquartil. Variáveis categóricas serão descritas em termos de frequência absoluta e percentual.</w:t>
      </w:r>
    </w:p>
    <w:p w14:paraId="5D0321EE"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seleção dos testes estatísticos será orientada pela distribuição dos dados. A análise seguirá os princípios de intenção de tratar (</w:t>
      </w:r>
      <w:proofErr w:type="spellStart"/>
      <w:r>
        <w:rPr>
          <w:rFonts w:ascii="Times New Roman" w:eastAsia="Times New Roman" w:hAnsi="Times New Roman" w:cs="Times New Roman"/>
          <w:sz w:val="24"/>
          <w:szCs w:val="24"/>
        </w:rPr>
        <w:t>intention</w:t>
      </w:r>
      <w:proofErr w:type="spellEnd"/>
      <w:r>
        <w:rPr>
          <w:rFonts w:ascii="Times New Roman" w:eastAsia="Times New Roman" w:hAnsi="Times New Roman" w:cs="Times New Roman"/>
          <w:sz w:val="24"/>
          <w:szCs w:val="24"/>
        </w:rPr>
        <w:t>-to-</w:t>
      </w:r>
      <w:proofErr w:type="spellStart"/>
      <w:r>
        <w:rPr>
          <w:rFonts w:ascii="Times New Roman" w:eastAsia="Times New Roman" w:hAnsi="Times New Roman" w:cs="Times New Roman"/>
          <w:sz w:val="24"/>
          <w:szCs w:val="24"/>
        </w:rPr>
        <w:t>treat</w:t>
      </w:r>
      <w:proofErr w:type="spellEnd"/>
      <w:r>
        <w:rPr>
          <w:rFonts w:ascii="Times New Roman" w:eastAsia="Times New Roman" w:hAnsi="Times New Roman" w:cs="Times New Roman"/>
          <w:sz w:val="24"/>
          <w:szCs w:val="24"/>
        </w:rPr>
        <w:t>), garantindo que todos os participantes randomizados sejam incluídos nas análises conforme os grupos originalmente designados. Para avaliar os efeitos da intervenção ao longo do tempo, serão construídos modelos lineares mistos, que incluirão termos de interação entre grupo (intervenção vs. controle) e tempo (avaliações pós-intervenção imediata e tardia). Esses modelos permitirão estimar diferenças entre os grupos ao longo do tempo, com respectivos intervalos de confiança de 95%, ajustando-se para as medidas de linha de base.</w:t>
      </w:r>
    </w:p>
    <w:p w14:paraId="5C39839F" w14:textId="77777777" w:rsidR="00BC5766"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presença de interações significativas entre grupo e tempo, serão conduzidas análises post hoc com correção de Bonferroni, a fim de controlar o erro do tipo I em comparações múltiplas. Essa abordagem permitirá identificar em quais momentos ocorrem diferenças estatisticamente significativas entre os grupos, proporcionando uma interpretação mais precisa dos efeitos da intervenção. Todas as análises serão realizadas adotando-se um nível de significância estatística de 5% (p &lt; 0,05).</w:t>
      </w:r>
    </w:p>
    <w:p w14:paraId="257B54A3" w14:textId="77777777" w:rsidR="00BC5766" w:rsidRDefault="00BC5766">
      <w:pPr>
        <w:jc w:val="both"/>
        <w:rPr>
          <w:rFonts w:ascii="Times New Roman" w:eastAsia="Times New Roman" w:hAnsi="Times New Roman" w:cs="Times New Roman"/>
          <w:b/>
          <w:sz w:val="24"/>
          <w:szCs w:val="24"/>
        </w:rPr>
      </w:pPr>
    </w:p>
    <w:p w14:paraId="076ABDF2" w14:textId="77777777" w:rsidR="00BC576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Desenho Qualitativo</w:t>
      </w:r>
    </w:p>
    <w:p w14:paraId="2505A064" w14:textId="77777777" w:rsidR="00BC5766" w:rsidRDefault="00000000">
      <w:pPr>
        <w:spacing w:before="240"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os RCTs sejam considerados o padrão-ouro para determinar relações causais entre intervenções e desfechos clínicos, há um reconhecimento crescente da necessidade de abordagens metodológicas mais amplas. Isso se deve à limitação dos RCTs em capturar a complexidade das experiências humanas e contextos subjetivos. Compreender por que uma intervenção funciona, ou falha, é tão essencial quanto demonstrar sua eficácia, especialmente </w:t>
      </w:r>
      <w:r>
        <w:rPr>
          <w:rFonts w:ascii="Times New Roman" w:eastAsia="Times New Roman" w:hAnsi="Times New Roman" w:cs="Times New Roman"/>
          <w:sz w:val="24"/>
          <w:szCs w:val="24"/>
        </w:rPr>
        <w:lastRenderedPageBreak/>
        <w:t>para promover sua aplicação eficaz em contextos clínicos reais. A pesquisa qualitativa pode oferecer dados contextuais valiosos, elucidando como fatores como valores pessoais, experiências anteriores, percepção dos desfechos e motivação para participar de estudos influenciam a adesão às intervenções e aos protocolos clínicos.</w:t>
      </w:r>
    </w:p>
    <w:p w14:paraId="63E6EE00" w14:textId="77777777" w:rsidR="00BC5766"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Os objetivos da pesquisa qualitativa são</w:t>
      </w:r>
      <w:r>
        <w:rPr>
          <w:rFonts w:ascii="Times New Roman" w:eastAsia="Times New Roman" w:hAnsi="Times New Roman" w:cs="Times New Roman"/>
          <w:sz w:val="24"/>
          <w:szCs w:val="24"/>
        </w:rPr>
        <w:t xml:space="preserve">: </w:t>
      </w:r>
    </w:p>
    <w:p w14:paraId="2D454F64" w14:textId="77777777" w:rsidR="00BC5766" w:rsidRDefault="00000000">
      <w:pPr>
        <w:numPr>
          <w:ilvl w:val="0"/>
          <w:numId w:val="2"/>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Explorar as experiências dos pais e cuidadores das crianças que participaram do programa de Intervenção </w:t>
      </w:r>
    </w:p>
    <w:p w14:paraId="57037D8D" w14:textId="77777777" w:rsidR="00BC5766"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 os resultados percebidos por eles nos diferentes domínios da Classificação Internacional de Funcionalidade, Incapacidade e Saúde (CIF).</w:t>
      </w:r>
    </w:p>
    <w:p w14:paraId="3BF47C57" w14:textId="77777777" w:rsidR="00BC5766" w:rsidRDefault="00BC5766">
      <w:pPr>
        <w:ind w:left="720"/>
        <w:jc w:val="both"/>
        <w:rPr>
          <w:rFonts w:ascii="Times New Roman" w:eastAsia="Times New Roman" w:hAnsi="Times New Roman" w:cs="Times New Roman"/>
          <w:sz w:val="24"/>
          <w:szCs w:val="24"/>
        </w:rPr>
      </w:pPr>
    </w:p>
    <w:p w14:paraId="2D52E196" w14:textId="77777777" w:rsidR="00BC576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Participantes</w:t>
      </w:r>
    </w:p>
    <w:p w14:paraId="5FA4F202"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Crianças participantes dos programas de intervenção da fase 1, com Transtorno do Espectro Autista, classificados nos níveis 1 e 2 de suporte, de 6 a 12 anos e seu cuidador principal serão recrutados por conveniência. Serão excluídos participantes que se desligarem dos programas de intervenção antes da sua finalização (16 sessões). Os participantes serão recrutados até que a saturação dos dados seja atingida. </w:t>
      </w:r>
    </w:p>
    <w:p w14:paraId="55E5319C" w14:textId="77777777" w:rsidR="00BC5766"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Procedimentos e coleta de dados</w:t>
      </w:r>
    </w:p>
    <w:p w14:paraId="54AD0350"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participarem dos programas de intervenção, serão realizados grupos focais para a coleta de dados com os familiares de cada participante. Cada grupo focal será realizado apenas uma vez, presencialmente. Haverá treinamento para os entrevistadores responsáveis por realizar os grupos focais antes da coleta de dados, para que as entrevistas e grupos sejam conduzidos de maneira semelhante. A expectativa é que cada coleta tenha tempo médio de duração de uma hora, podendo esse tempo ser estendido se houver necessidade. Antes de cada grupo focal os participantes serão esclarecidos sobre os objetivos do estudo e se concordarem participar, irão assinar os termos de consentimento livre e esclarecido.  A coleta de dados será realizada na sede do INCEI, em Ribeirão das Neves, MG. No momento da entrevista, apenas os participantes e entrevistadores estarão presentes.</w:t>
      </w:r>
    </w:p>
    <w:p w14:paraId="0C650582" w14:textId="77777777" w:rsidR="00BC5766"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Grupos Focais</w:t>
      </w:r>
    </w:p>
    <w:p w14:paraId="1A90FFDB"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grupos focais, será utilizada uma entrevista </w:t>
      </w:r>
      <w:proofErr w:type="gramStart"/>
      <w:r>
        <w:rPr>
          <w:rFonts w:ascii="Times New Roman" w:eastAsia="Times New Roman" w:hAnsi="Times New Roman" w:cs="Times New Roman"/>
          <w:sz w:val="24"/>
          <w:szCs w:val="24"/>
        </w:rPr>
        <w:t>semi-estruturada</w:t>
      </w:r>
      <w:proofErr w:type="gramEnd"/>
      <w:r>
        <w:rPr>
          <w:rFonts w:ascii="Times New Roman" w:eastAsia="Times New Roman" w:hAnsi="Times New Roman" w:cs="Times New Roman"/>
          <w:sz w:val="24"/>
          <w:szCs w:val="24"/>
        </w:rPr>
        <w:t xml:space="preserve"> (apêndice 3). Como forma de estimular os participantes a fornecerem mais informações, poderão ser utilizadas perguntas auxiliadoras acerca do tema abordado. Os grupos focais serão realizados imediatamente após a intervenção e serão gravados para posterior transcrição e análise de dados. </w:t>
      </w:r>
    </w:p>
    <w:p w14:paraId="47B42DCE" w14:textId="77777777" w:rsidR="00BC5766" w:rsidRDefault="00000000">
      <w:pPr>
        <w:spacing w:before="240"/>
        <w:ind w:firstLine="720"/>
        <w:jc w:val="both"/>
        <w:rPr>
          <w:rFonts w:ascii="Times New Roman" w:eastAsia="Times New Roman" w:hAnsi="Times New Roman" w:cs="Times New Roman"/>
          <w:sz w:val="24"/>
          <w:szCs w:val="24"/>
          <w:shd w:val="clear" w:color="auto" w:fill="F4CCCC"/>
        </w:rPr>
      </w:pPr>
      <w:r>
        <w:rPr>
          <w:rFonts w:ascii="Times New Roman" w:eastAsia="Times New Roman" w:hAnsi="Times New Roman" w:cs="Times New Roman"/>
          <w:sz w:val="24"/>
          <w:szCs w:val="24"/>
        </w:rPr>
        <w:t>Os áudios das entrevistas serão gravados para posterior transcrição. Após esse processo, o entrevistado terá acesso a transcrição para confirmação dos dados e informações presentes antes da análise do conteúdo pelos pesquisadores. Além disso, durante as entrevistas e condução dos grupos focais, caso o avaliador julgue necessário, serão feitas anotações.</w:t>
      </w:r>
    </w:p>
    <w:p w14:paraId="664E08FB" w14:textId="77777777" w:rsidR="00BC5766"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Análise de dados</w:t>
      </w:r>
      <w:r>
        <w:rPr>
          <w:rFonts w:ascii="Times New Roman" w:eastAsia="Times New Roman" w:hAnsi="Times New Roman" w:cs="Times New Roman"/>
          <w:sz w:val="24"/>
          <w:szCs w:val="24"/>
        </w:rPr>
        <w:t xml:space="preserve"> </w:t>
      </w:r>
    </w:p>
    <w:p w14:paraId="5ABB7A85" w14:textId="77777777" w:rsidR="00BC5766" w:rsidRDefault="00000000">
      <w:pPr>
        <w:spacing w:before="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relatos dos participantes serão transcritos integralmente. Em seguida, os textos serão submetidos à análise qualitativa por meio da técnica de análise de conteúdo. As respostas serão codificadas e organizadas em categorias temáticas com o auxílio do software </w:t>
      </w:r>
      <w:proofErr w:type="spellStart"/>
      <w:r>
        <w:rPr>
          <w:rFonts w:ascii="Times New Roman" w:eastAsia="Times New Roman" w:hAnsi="Times New Roman" w:cs="Times New Roman"/>
          <w:sz w:val="24"/>
          <w:szCs w:val="24"/>
        </w:rPr>
        <w:t>NVivo</w:t>
      </w:r>
      <w:proofErr w:type="spellEnd"/>
      <w:r>
        <w:rPr>
          <w:rFonts w:ascii="Times New Roman" w:eastAsia="Times New Roman" w:hAnsi="Times New Roman" w:cs="Times New Roman"/>
          <w:sz w:val="24"/>
          <w:szCs w:val="24"/>
        </w:rPr>
        <w:t>. A codificação será conduzida de forma independente por dois pesquisadores, e eventuais divergências serão resolvidas com a participação de um terceiro revisor. As citações mais representativas dos temas emergentes serão destacadas, e os códigos gerados serão associados aos domínios da Classificação Internacional de Funcionalidade, Incapacidade e Saúde (CIF), conforme os critérios estabelecidos pela Organização Mundial da Saúde (ver Tabela 1). Um sumário preliminar da codificação será compartilhado com os participantes para verificação da fidelidade das informações.</w:t>
      </w:r>
    </w:p>
    <w:p w14:paraId="65582B63" w14:textId="77777777" w:rsidR="00BC5766" w:rsidRDefault="00BC5766">
      <w:pPr>
        <w:spacing w:before="240"/>
        <w:ind w:firstLine="720"/>
        <w:jc w:val="both"/>
        <w:rPr>
          <w:rFonts w:ascii="Times New Roman" w:eastAsia="Times New Roman" w:hAnsi="Times New Roman" w:cs="Times New Roman"/>
          <w:sz w:val="24"/>
          <w:szCs w:val="24"/>
        </w:rPr>
      </w:pPr>
    </w:p>
    <w:p w14:paraId="02856476" w14:textId="77777777" w:rsidR="00BC5766" w:rsidRDefault="00BC5766">
      <w:pPr>
        <w:jc w:val="both"/>
        <w:rPr>
          <w:rFonts w:ascii="Times New Roman" w:eastAsia="Times New Roman" w:hAnsi="Times New Roman" w:cs="Times New Roman"/>
          <w:sz w:val="24"/>
          <w:szCs w:val="24"/>
        </w:rPr>
      </w:pPr>
    </w:p>
    <w:tbl>
      <w:tblPr>
        <w:tblStyle w:val="a"/>
        <w:tblW w:w="11158"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8889"/>
      </w:tblGrid>
      <w:tr w:rsidR="00BC5766" w14:paraId="0ADD0D06" w14:textId="77777777">
        <w:trPr>
          <w:trHeight w:val="324"/>
        </w:trPr>
        <w:tc>
          <w:tcPr>
            <w:tcW w:w="11158" w:type="dxa"/>
            <w:gridSpan w:val="2"/>
          </w:tcPr>
          <w:p w14:paraId="526BC122" w14:textId="77777777" w:rsidR="00BC5766" w:rsidRDefault="00000000">
            <w:p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Tabela 1. Critérios para codificação das informações com base nos domínios da CIF</w:t>
            </w:r>
          </w:p>
        </w:tc>
      </w:tr>
      <w:tr w:rsidR="00BC5766" w14:paraId="708BB61C" w14:textId="77777777">
        <w:trPr>
          <w:trHeight w:val="447"/>
        </w:trPr>
        <w:tc>
          <w:tcPr>
            <w:tcW w:w="2269" w:type="dxa"/>
          </w:tcPr>
          <w:p w14:paraId="5D495739"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Atividade</w:t>
            </w:r>
          </w:p>
        </w:tc>
        <w:tc>
          <w:tcPr>
            <w:tcW w:w="8889" w:type="dxa"/>
          </w:tcPr>
          <w:p w14:paraId="61A420D0"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Citações relacionadas com o que a criança/adolescente é capaz de fazer e como ele(a) se envolve dentro das situações de vida. </w:t>
            </w:r>
          </w:p>
        </w:tc>
      </w:tr>
      <w:tr w:rsidR="00BC5766" w14:paraId="2981ABB3" w14:textId="77777777">
        <w:trPr>
          <w:trHeight w:val="270"/>
        </w:trPr>
        <w:tc>
          <w:tcPr>
            <w:tcW w:w="2269" w:type="dxa"/>
          </w:tcPr>
          <w:p w14:paraId="3AD63540"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Fatores ambientais</w:t>
            </w:r>
          </w:p>
        </w:tc>
        <w:tc>
          <w:tcPr>
            <w:tcW w:w="8889" w:type="dxa"/>
          </w:tcPr>
          <w:p w14:paraId="46C5B370"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Citações relacionadas com o ambiente da criança/adolescente. </w:t>
            </w:r>
          </w:p>
        </w:tc>
      </w:tr>
      <w:tr w:rsidR="00BC5766" w14:paraId="60111944" w14:textId="77777777">
        <w:trPr>
          <w:trHeight w:val="307"/>
        </w:trPr>
        <w:tc>
          <w:tcPr>
            <w:tcW w:w="2269" w:type="dxa"/>
          </w:tcPr>
          <w:p w14:paraId="6EA4CDF6"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Estrutura e Funções do corpo</w:t>
            </w:r>
          </w:p>
        </w:tc>
        <w:tc>
          <w:tcPr>
            <w:tcW w:w="8889" w:type="dxa"/>
          </w:tcPr>
          <w:p w14:paraId="437E51B3"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Citações relacionadas às funções corporais da criança/adolescente. </w:t>
            </w:r>
          </w:p>
        </w:tc>
      </w:tr>
      <w:tr w:rsidR="00BC5766" w14:paraId="324FAB51" w14:textId="77777777">
        <w:trPr>
          <w:trHeight w:val="326"/>
        </w:trPr>
        <w:tc>
          <w:tcPr>
            <w:tcW w:w="2269" w:type="dxa"/>
          </w:tcPr>
          <w:p w14:paraId="0B032C5C"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Participação</w:t>
            </w:r>
          </w:p>
        </w:tc>
        <w:tc>
          <w:tcPr>
            <w:tcW w:w="8889" w:type="dxa"/>
          </w:tcPr>
          <w:p w14:paraId="13C9730E"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Citações relacionadas ao que a criança/adolescente gosta de fazer ou o que é significativo.  </w:t>
            </w:r>
          </w:p>
        </w:tc>
      </w:tr>
      <w:tr w:rsidR="00BC5766" w14:paraId="7232EDB0" w14:textId="77777777">
        <w:trPr>
          <w:trHeight w:val="275"/>
        </w:trPr>
        <w:tc>
          <w:tcPr>
            <w:tcW w:w="2269" w:type="dxa"/>
          </w:tcPr>
          <w:p w14:paraId="356C03FD"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Fatores pessoais</w:t>
            </w:r>
          </w:p>
        </w:tc>
        <w:tc>
          <w:tcPr>
            <w:tcW w:w="8889" w:type="dxa"/>
          </w:tcPr>
          <w:p w14:paraId="0BE1D848"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Citações relacionadas às relações sociais da criança/adolescente. Estas citações são relacionadas aos fatores pessoais.</w:t>
            </w:r>
          </w:p>
        </w:tc>
      </w:tr>
      <w:tr w:rsidR="00BC5766" w14:paraId="0FFF6246" w14:textId="77777777">
        <w:trPr>
          <w:trHeight w:val="178"/>
        </w:trPr>
        <w:tc>
          <w:tcPr>
            <w:tcW w:w="2269" w:type="dxa"/>
          </w:tcPr>
          <w:p w14:paraId="26D5673C" w14:textId="77777777" w:rsidR="00BC5766" w:rsidRDefault="00000000">
            <w:pPr>
              <w:numPr>
                <w:ilvl w:val="0"/>
                <w:numId w:val="3"/>
              </w:num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Outros</w:t>
            </w:r>
          </w:p>
        </w:tc>
        <w:tc>
          <w:tcPr>
            <w:tcW w:w="8889" w:type="dxa"/>
          </w:tcPr>
          <w:p w14:paraId="63E62AA8" w14:textId="77777777" w:rsidR="00BC5766" w:rsidRDefault="0000000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Citações relacionadas a outras questões que não se enquadrem nos domínios da CIF</w:t>
            </w:r>
          </w:p>
        </w:tc>
      </w:tr>
    </w:tbl>
    <w:p w14:paraId="5369D8D7" w14:textId="77777777" w:rsidR="00BC5766" w:rsidRDefault="00BC5766">
      <w:pPr>
        <w:jc w:val="both"/>
        <w:rPr>
          <w:rFonts w:ascii="Times New Roman" w:eastAsia="Times New Roman" w:hAnsi="Times New Roman" w:cs="Times New Roman"/>
          <w:sz w:val="24"/>
          <w:szCs w:val="24"/>
        </w:rPr>
      </w:pPr>
    </w:p>
    <w:p w14:paraId="1EB09FE7" w14:textId="77777777" w:rsidR="00BC5766"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RISCOS </w:t>
      </w:r>
    </w:p>
    <w:p w14:paraId="78F314B1" w14:textId="77777777" w:rsidR="00BC5766" w:rsidRDefault="00000000">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participação na pesquisa envolve riscos </w:t>
      </w:r>
      <w:proofErr w:type="spellStart"/>
      <w:r>
        <w:rPr>
          <w:rFonts w:ascii="Times New Roman" w:eastAsia="Times New Roman" w:hAnsi="Times New Roman" w:cs="Times New Roman"/>
          <w:sz w:val="24"/>
          <w:szCs w:val="24"/>
        </w:rPr>
        <w:t>mínimos.Os</w:t>
      </w:r>
      <w:proofErr w:type="spellEnd"/>
      <w:r>
        <w:rPr>
          <w:rFonts w:ascii="Times New Roman" w:eastAsia="Times New Roman" w:hAnsi="Times New Roman" w:cs="Times New Roman"/>
          <w:sz w:val="24"/>
          <w:szCs w:val="24"/>
        </w:rPr>
        <w:t xml:space="preserve"> possíveis riscos desse projeto estão associados à quebra de sigilo dos dados, mas os pesquisadores se comprometem a utilizar as seguintes medidas de proteção da confidencialidade e privacidade dos dados coletados: i) não será identificado o nome da participante da pesquisa nos questionários, nem mesmo as iniciais do nome (serão utilizados códigos numéricos);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será limitado o acesso aos dados coletados apenas às pesquisadoras; e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xml:space="preserve">) garantia da não violação e integração dos documentos (sem cópias). Outro risco diz respeito </w:t>
      </w:r>
      <w:proofErr w:type="gramStart"/>
      <w:r>
        <w:rPr>
          <w:rFonts w:ascii="Times New Roman" w:eastAsia="Times New Roman" w:hAnsi="Times New Roman" w:cs="Times New Roman"/>
          <w:sz w:val="24"/>
          <w:szCs w:val="24"/>
        </w:rPr>
        <w:t>a  aplicação</w:t>
      </w:r>
      <w:proofErr w:type="gramEnd"/>
      <w:r>
        <w:rPr>
          <w:rFonts w:ascii="Times New Roman" w:eastAsia="Times New Roman" w:hAnsi="Times New Roman" w:cs="Times New Roman"/>
          <w:sz w:val="24"/>
          <w:szCs w:val="24"/>
        </w:rPr>
        <w:t xml:space="preserve"> dos instrumentos de avaliação, que poderá causar leve fadiga, sendo prevista a interrupção imediata das atividades em caso de cansaço, com retomada posterior conforme a condição do participante. O programa de intervenção MIG inclui atividades de treinamento motor, com risco potencial, embora baixo, de cansaço, quedas ou lesões. Para minimizar esses riscos, todas as atividades serão conduzidas sob supervisão direta de um profissional qualificado. Em caso de incidentes, as ações serão suspensas imediatamente e será prestada assistência adequada, incluindo primeiros socorros, se necessário. Os participantes poderão interromper, a qualquer momento, qualquer avaliação ou </w:t>
      </w:r>
      <w:r>
        <w:rPr>
          <w:rFonts w:ascii="Times New Roman" w:eastAsia="Times New Roman" w:hAnsi="Times New Roman" w:cs="Times New Roman"/>
          <w:sz w:val="24"/>
          <w:szCs w:val="24"/>
        </w:rPr>
        <w:lastRenderedPageBreak/>
        <w:t>atividade, sem justificativa e sem prejuízo de sua participação no estudo. A proteção da integridade física e emocional dos participantes será assegurada em todas as etapas do estudo.</w:t>
      </w:r>
    </w:p>
    <w:p w14:paraId="206DB7D9"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BENEFÍCIOS </w:t>
      </w:r>
    </w:p>
    <w:p w14:paraId="2C32C8E3" w14:textId="77777777" w:rsidR="00BC5766" w:rsidRDefault="00000000">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participação neste estudo proporciona benefícios diretos e indiretos aos voluntários, em conformidade com os princípios éticos da pesquisa. Entre os benefícios diretos, destaca-se o acesso a intervenções voltadas à melhora das habilidades motoras, comunicativas e sociais, com potencial para promover maior qualidade de vida. Indiretamente, os participantes contribuem para a produção de conhecimento científico, colaborando com a avaliação da eficácia das intervenções propostas. Os achados poderão subsidiar o desenvolvimento de estratégias terapêuticas mais eficazes, com impacto positivo para a comunidade em geral. Todos os procedimentos serão realizados mediante consentimento informado, com acompanhamento rigoroso por profissionais qualificados, assegurando a segurança e o respeito aos direitos dos participantes em todas as fases do estudo.</w:t>
      </w:r>
    </w:p>
    <w:p w14:paraId="33518A20"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 DE EXECUÇÃO DO PROJETO</w:t>
      </w:r>
    </w:p>
    <w:tbl>
      <w:tblPr>
        <w:tblStyle w:val="a0"/>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260"/>
      </w:tblGrid>
      <w:tr w:rsidR="00BC5766" w14:paraId="0A2FC578" w14:textId="77777777">
        <w:trPr>
          <w:trHeight w:val="434"/>
        </w:trPr>
        <w:tc>
          <w:tcPr>
            <w:tcW w:w="5524" w:type="dxa"/>
          </w:tcPr>
          <w:p w14:paraId="5A2CC969" w14:textId="77777777" w:rsidR="00BC5766"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Etapa</w:t>
            </w:r>
          </w:p>
        </w:tc>
        <w:tc>
          <w:tcPr>
            <w:tcW w:w="3260" w:type="dxa"/>
          </w:tcPr>
          <w:p w14:paraId="0337AE8B" w14:textId="77777777" w:rsidR="00BC5766"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Início - Término</w:t>
            </w:r>
          </w:p>
        </w:tc>
      </w:tr>
      <w:tr w:rsidR="00BC5766" w14:paraId="6302EA06" w14:textId="77777777">
        <w:tc>
          <w:tcPr>
            <w:tcW w:w="5524" w:type="dxa"/>
          </w:tcPr>
          <w:p w14:paraId="65B73E32"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Escrita do projeto</w:t>
            </w:r>
          </w:p>
        </w:tc>
        <w:tc>
          <w:tcPr>
            <w:tcW w:w="3260" w:type="dxa"/>
          </w:tcPr>
          <w:p w14:paraId="41D9FE70"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Maio de 2025</w:t>
            </w:r>
          </w:p>
        </w:tc>
      </w:tr>
      <w:tr w:rsidR="00BC5766" w14:paraId="4820824B" w14:textId="77777777">
        <w:tc>
          <w:tcPr>
            <w:tcW w:w="5524" w:type="dxa"/>
          </w:tcPr>
          <w:p w14:paraId="01D8D222"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Submissão ao comitê de ética e pesquisa</w:t>
            </w:r>
          </w:p>
        </w:tc>
        <w:tc>
          <w:tcPr>
            <w:tcW w:w="3260" w:type="dxa"/>
          </w:tcPr>
          <w:p w14:paraId="76020FAE"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Junho de 2025</w:t>
            </w:r>
          </w:p>
        </w:tc>
      </w:tr>
      <w:tr w:rsidR="00BC5766" w14:paraId="6082D6D7" w14:textId="77777777">
        <w:tc>
          <w:tcPr>
            <w:tcW w:w="5524" w:type="dxa"/>
          </w:tcPr>
          <w:p w14:paraId="2233605F"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Treinamento da equipe </w:t>
            </w:r>
          </w:p>
        </w:tc>
        <w:tc>
          <w:tcPr>
            <w:tcW w:w="3260" w:type="dxa"/>
          </w:tcPr>
          <w:p w14:paraId="2804F049"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Julho de 2025</w:t>
            </w:r>
          </w:p>
        </w:tc>
      </w:tr>
      <w:tr w:rsidR="00BC5766" w14:paraId="1ADB7F4A" w14:textId="77777777">
        <w:tc>
          <w:tcPr>
            <w:tcW w:w="5524" w:type="dxa"/>
          </w:tcPr>
          <w:p w14:paraId="1678EA66"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Avaliações iniciais e início da Intervenção (fase 1)</w:t>
            </w:r>
          </w:p>
        </w:tc>
        <w:tc>
          <w:tcPr>
            <w:tcW w:w="3260" w:type="dxa"/>
          </w:tcPr>
          <w:p w14:paraId="37C4FAEF"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Agosto de 2025</w:t>
            </w:r>
          </w:p>
        </w:tc>
      </w:tr>
      <w:tr w:rsidR="00BC5766" w14:paraId="01687205" w14:textId="77777777">
        <w:tc>
          <w:tcPr>
            <w:tcW w:w="5524" w:type="dxa"/>
          </w:tcPr>
          <w:p w14:paraId="71AEF2E7"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Aplicação dos programas de intervenção</w:t>
            </w:r>
          </w:p>
        </w:tc>
        <w:tc>
          <w:tcPr>
            <w:tcW w:w="3260" w:type="dxa"/>
          </w:tcPr>
          <w:p w14:paraId="5FA96A86"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Agosto Setembro de 2025</w:t>
            </w:r>
          </w:p>
        </w:tc>
      </w:tr>
      <w:tr w:rsidR="00BC5766" w14:paraId="30B4A5C2" w14:textId="77777777">
        <w:tc>
          <w:tcPr>
            <w:tcW w:w="5524" w:type="dxa"/>
          </w:tcPr>
          <w:p w14:paraId="1EEAED67"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Reavaliações (fase 1) e início fase 2 </w:t>
            </w:r>
          </w:p>
        </w:tc>
        <w:tc>
          <w:tcPr>
            <w:tcW w:w="3260" w:type="dxa"/>
          </w:tcPr>
          <w:p w14:paraId="35A25C1D"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Setembro 2025 </w:t>
            </w:r>
          </w:p>
        </w:tc>
      </w:tr>
      <w:tr w:rsidR="00BC5766" w14:paraId="3C48FA81" w14:textId="77777777">
        <w:tc>
          <w:tcPr>
            <w:tcW w:w="5524" w:type="dxa"/>
          </w:tcPr>
          <w:p w14:paraId="1D47BDC6"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Avaliações de Follow-up  </w:t>
            </w:r>
          </w:p>
        </w:tc>
        <w:tc>
          <w:tcPr>
            <w:tcW w:w="3260" w:type="dxa"/>
          </w:tcPr>
          <w:p w14:paraId="6448148B"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Dezembro 2025</w:t>
            </w:r>
          </w:p>
        </w:tc>
      </w:tr>
      <w:tr w:rsidR="00BC5766" w14:paraId="2D4D4D62" w14:textId="77777777">
        <w:tc>
          <w:tcPr>
            <w:tcW w:w="5524" w:type="dxa"/>
          </w:tcPr>
          <w:p w14:paraId="56BEF0D1"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dos dados</w:t>
            </w:r>
          </w:p>
        </w:tc>
        <w:tc>
          <w:tcPr>
            <w:tcW w:w="3260" w:type="dxa"/>
          </w:tcPr>
          <w:p w14:paraId="7629667A"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Janeiro a fevereiro de 2026</w:t>
            </w:r>
          </w:p>
        </w:tc>
      </w:tr>
      <w:tr w:rsidR="00BC5766" w14:paraId="18A2CD60" w14:textId="77777777">
        <w:trPr>
          <w:trHeight w:val="98"/>
        </w:trPr>
        <w:tc>
          <w:tcPr>
            <w:tcW w:w="5524" w:type="dxa"/>
          </w:tcPr>
          <w:p w14:paraId="099E7435"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Escrita do artigo científico</w:t>
            </w:r>
          </w:p>
        </w:tc>
        <w:tc>
          <w:tcPr>
            <w:tcW w:w="3260" w:type="dxa"/>
          </w:tcPr>
          <w:p w14:paraId="1EDCD34C" w14:textId="77777777" w:rsidR="00BC5766"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Fevereiro a abril 2026</w:t>
            </w:r>
          </w:p>
        </w:tc>
      </w:tr>
    </w:tbl>
    <w:p w14:paraId="38AD8948" w14:textId="77777777" w:rsidR="00BC5766" w:rsidRDefault="00000000">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ORÇAMENTO</w:t>
      </w:r>
    </w:p>
    <w:p w14:paraId="74786BD7" w14:textId="44F73E67" w:rsidR="00BC5766" w:rsidRPr="00BE69A2" w:rsidRDefault="00000000">
      <w:pPr>
        <w:spacing w:before="240" w:after="240"/>
        <w:ind w:firstLine="720"/>
        <w:jc w:val="both"/>
        <w:rPr>
          <w:rFonts w:ascii="Times New Roman" w:eastAsia="Times New Roman" w:hAnsi="Times New Roman" w:cs="Times New Roman"/>
          <w:color w:val="EE0000"/>
          <w:sz w:val="24"/>
          <w:szCs w:val="24"/>
        </w:rPr>
      </w:pPr>
      <w:bookmarkStart w:id="0" w:name="_Hlk204850528"/>
      <w:r w:rsidRPr="00BE69A2">
        <w:rPr>
          <w:rFonts w:ascii="Times New Roman" w:eastAsia="Times New Roman" w:hAnsi="Times New Roman" w:cs="Times New Roman"/>
          <w:color w:val="EE0000"/>
          <w:sz w:val="24"/>
          <w:szCs w:val="24"/>
        </w:rPr>
        <w:t>Os custos do projeto como materiais esportivos, material de escritório e vestes terapêuticas serão arcados</w:t>
      </w:r>
      <w:r w:rsidR="00BE69A2" w:rsidRPr="00BE69A2">
        <w:rPr>
          <w:rFonts w:ascii="Times New Roman" w:eastAsia="Times New Roman" w:hAnsi="Times New Roman" w:cs="Times New Roman"/>
          <w:color w:val="EE0000"/>
          <w:sz w:val="24"/>
          <w:szCs w:val="24"/>
        </w:rPr>
        <w:t xml:space="preserve"> pelo Instituto de Neurodesenvolvimento, Cognição e Educação Inclusiva</w:t>
      </w:r>
      <w:r w:rsidR="00BE69A2">
        <w:rPr>
          <w:rFonts w:ascii="Times New Roman" w:eastAsia="Times New Roman" w:hAnsi="Times New Roman" w:cs="Times New Roman"/>
          <w:color w:val="EE0000"/>
          <w:sz w:val="24"/>
          <w:szCs w:val="24"/>
        </w:rPr>
        <w:t xml:space="preserve"> (INCEI)</w:t>
      </w:r>
      <w:r w:rsidR="00BE69A2" w:rsidRPr="00BE69A2">
        <w:rPr>
          <w:rFonts w:ascii="Times New Roman" w:eastAsia="Times New Roman" w:hAnsi="Times New Roman" w:cs="Times New Roman"/>
          <w:color w:val="EE0000"/>
          <w:sz w:val="24"/>
          <w:szCs w:val="24"/>
        </w:rPr>
        <w:t>, constituído</w:t>
      </w:r>
      <w:r w:rsidRPr="00BE69A2">
        <w:rPr>
          <w:rFonts w:ascii="Times New Roman" w:eastAsia="Times New Roman" w:hAnsi="Times New Roman" w:cs="Times New Roman"/>
          <w:color w:val="EE0000"/>
          <w:sz w:val="24"/>
          <w:szCs w:val="24"/>
        </w:rPr>
        <w:t xml:space="preserve"> pelos pesquisadores</w:t>
      </w:r>
      <w:r w:rsidR="00BE69A2" w:rsidRPr="00BE69A2">
        <w:rPr>
          <w:rFonts w:ascii="Times New Roman" w:eastAsia="Times New Roman" w:hAnsi="Times New Roman" w:cs="Times New Roman"/>
          <w:color w:val="EE0000"/>
          <w:sz w:val="24"/>
          <w:szCs w:val="24"/>
        </w:rPr>
        <w:t xml:space="preserve"> deste estudo.</w:t>
      </w: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1905"/>
        <w:gridCol w:w="4095"/>
      </w:tblGrid>
      <w:tr w:rsidR="00BC5766" w14:paraId="2C2097E8" w14:textId="77777777">
        <w:tc>
          <w:tcPr>
            <w:tcW w:w="3000" w:type="dxa"/>
            <w:tcMar>
              <w:top w:w="100" w:type="dxa"/>
              <w:left w:w="100" w:type="dxa"/>
              <w:bottom w:w="100" w:type="dxa"/>
              <w:right w:w="100" w:type="dxa"/>
            </w:tcMar>
          </w:tcPr>
          <w:bookmarkEnd w:id="0"/>
          <w:p w14:paraId="4ACE0B65" w14:textId="77777777" w:rsidR="00BC5766"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1905" w:type="dxa"/>
            <w:tcMar>
              <w:top w:w="100" w:type="dxa"/>
              <w:left w:w="100" w:type="dxa"/>
              <w:bottom w:w="100" w:type="dxa"/>
              <w:right w:w="100" w:type="dxa"/>
            </w:tcMar>
          </w:tcPr>
          <w:p w14:paraId="5D97F7EF" w14:textId="77777777" w:rsidR="00BC5766"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w:t>
            </w:r>
          </w:p>
        </w:tc>
        <w:tc>
          <w:tcPr>
            <w:tcW w:w="4095" w:type="dxa"/>
            <w:tcMar>
              <w:top w:w="100" w:type="dxa"/>
              <w:left w:w="100" w:type="dxa"/>
              <w:bottom w:w="100" w:type="dxa"/>
              <w:right w:w="100" w:type="dxa"/>
            </w:tcMar>
          </w:tcPr>
          <w:p w14:paraId="2A0F684A" w14:textId="77777777" w:rsidR="00BC5766"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Detalhamento</w:t>
            </w:r>
          </w:p>
        </w:tc>
      </w:tr>
      <w:tr w:rsidR="00BC5766" w14:paraId="45CFF0FC" w14:textId="77777777">
        <w:tc>
          <w:tcPr>
            <w:tcW w:w="3000" w:type="dxa"/>
            <w:tcMar>
              <w:top w:w="100" w:type="dxa"/>
              <w:left w:w="100" w:type="dxa"/>
              <w:bottom w:w="100" w:type="dxa"/>
              <w:right w:w="100" w:type="dxa"/>
            </w:tcMar>
          </w:tcPr>
          <w:p w14:paraId="79705B85"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 de escritório</w:t>
            </w:r>
          </w:p>
        </w:tc>
        <w:tc>
          <w:tcPr>
            <w:tcW w:w="1905" w:type="dxa"/>
            <w:tcMar>
              <w:top w:w="100" w:type="dxa"/>
              <w:left w:w="100" w:type="dxa"/>
              <w:bottom w:w="100" w:type="dxa"/>
              <w:right w:w="100" w:type="dxa"/>
            </w:tcMar>
          </w:tcPr>
          <w:p w14:paraId="6673FF04"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R$50,00</w:t>
            </w:r>
          </w:p>
        </w:tc>
        <w:tc>
          <w:tcPr>
            <w:tcW w:w="4095" w:type="dxa"/>
            <w:tcMar>
              <w:top w:w="100" w:type="dxa"/>
              <w:left w:w="100" w:type="dxa"/>
              <w:bottom w:w="100" w:type="dxa"/>
              <w:right w:w="100" w:type="dxa"/>
            </w:tcMar>
          </w:tcPr>
          <w:p w14:paraId="0B0B267B"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Folhas A4, impressões de avaliações.</w:t>
            </w:r>
          </w:p>
        </w:tc>
      </w:tr>
      <w:tr w:rsidR="00BC5766" w14:paraId="0341203C" w14:textId="77777777">
        <w:tc>
          <w:tcPr>
            <w:tcW w:w="3000" w:type="dxa"/>
            <w:tcMar>
              <w:top w:w="100" w:type="dxa"/>
              <w:left w:w="100" w:type="dxa"/>
              <w:bottom w:w="100" w:type="dxa"/>
              <w:right w:w="100" w:type="dxa"/>
            </w:tcMar>
          </w:tcPr>
          <w:p w14:paraId="555CC525"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Veste terapêuticas</w:t>
            </w:r>
          </w:p>
        </w:tc>
        <w:tc>
          <w:tcPr>
            <w:tcW w:w="1905" w:type="dxa"/>
            <w:tcMar>
              <w:top w:w="100" w:type="dxa"/>
              <w:left w:w="100" w:type="dxa"/>
              <w:bottom w:w="100" w:type="dxa"/>
              <w:right w:w="100" w:type="dxa"/>
            </w:tcMar>
          </w:tcPr>
          <w:p w14:paraId="6303EEDC"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R$2.000,00</w:t>
            </w:r>
          </w:p>
        </w:tc>
        <w:tc>
          <w:tcPr>
            <w:tcW w:w="4095" w:type="dxa"/>
            <w:tcMar>
              <w:top w:w="100" w:type="dxa"/>
              <w:left w:w="100" w:type="dxa"/>
              <w:bottom w:w="100" w:type="dxa"/>
              <w:right w:w="100" w:type="dxa"/>
            </w:tcMar>
          </w:tcPr>
          <w:p w14:paraId="28EF66A2"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Kit da veste MIG Flex envolvendo macacão, tiras flex, disco rígido para fixação das tiras e capa para armazenamento da veste.</w:t>
            </w:r>
          </w:p>
        </w:tc>
      </w:tr>
      <w:tr w:rsidR="00BC5766" w14:paraId="4D279E27" w14:textId="77777777">
        <w:tc>
          <w:tcPr>
            <w:tcW w:w="3000" w:type="dxa"/>
            <w:tcMar>
              <w:top w:w="100" w:type="dxa"/>
              <w:left w:w="100" w:type="dxa"/>
              <w:bottom w:w="100" w:type="dxa"/>
              <w:right w:w="100" w:type="dxa"/>
            </w:tcMar>
          </w:tcPr>
          <w:p w14:paraId="747E46EE"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 esportivo</w:t>
            </w:r>
          </w:p>
        </w:tc>
        <w:tc>
          <w:tcPr>
            <w:tcW w:w="1905" w:type="dxa"/>
            <w:tcMar>
              <w:top w:w="100" w:type="dxa"/>
              <w:left w:w="100" w:type="dxa"/>
              <w:bottom w:w="100" w:type="dxa"/>
              <w:right w:w="100" w:type="dxa"/>
            </w:tcMar>
          </w:tcPr>
          <w:p w14:paraId="2B740DF4"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R$560,00</w:t>
            </w:r>
          </w:p>
        </w:tc>
        <w:tc>
          <w:tcPr>
            <w:tcW w:w="4095" w:type="dxa"/>
            <w:tcMar>
              <w:top w:w="100" w:type="dxa"/>
              <w:left w:w="100" w:type="dxa"/>
              <w:bottom w:w="100" w:type="dxa"/>
              <w:right w:w="100" w:type="dxa"/>
            </w:tcMar>
          </w:tcPr>
          <w:p w14:paraId="1E480D01"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Cones, escada de agilidade, bolas, step, bastão, prancha de equilíbrio, bambolê, </w:t>
            </w:r>
            <w:r>
              <w:rPr>
                <w:rFonts w:ascii="Times New Roman" w:eastAsia="Times New Roman" w:hAnsi="Times New Roman" w:cs="Times New Roman"/>
                <w:sz w:val="24"/>
                <w:szCs w:val="24"/>
              </w:rPr>
              <w:lastRenderedPageBreak/>
              <w:t>pinos de boliche.</w:t>
            </w:r>
          </w:p>
        </w:tc>
      </w:tr>
      <w:tr w:rsidR="00BC5766" w14:paraId="60F6BA04" w14:textId="77777777">
        <w:tc>
          <w:tcPr>
            <w:tcW w:w="3000" w:type="dxa"/>
            <w:tcMar>
              <w:top w:w="100" w:type="dxa"/>
              <w:left w:w="100" w:type="dxa"/>
              <w:bottom w:w="100" w:type="dxa"/>
              <w:right w:w="100" w:type="dxa"/>
            </w:tcMar>
          </w:tcPr>
          <w:p w14:paraId="03EB2041"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Ressarcimento </w:t>
            </w:r>
          </w:p>
        </w:tc>
        <w:tc>
          <w:tcPr>
            <w:tcW w:w="1905" w:type="dxa"/>
            <w:tcMar>
              <w:top w:w="100" w:type="dxa"/>
              <w:left w:w="100" w:type="dxa"/>
              <w:bottom w:w="100" w:type="dxa"/>
              <w:right w:w="100" w:type="dxa"/>
            </w:tcMar>
          </w:tcPr>
          <w:p w14:paraId="6E41082C"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R$2.000,00</w:t>
            </w:r>
          </w:p>
        </w:tc>
        <w:tc>
          <w:tcPr>
            <w:tcW w:w="4095" w:type="dxa"/>
            <w:tcMar>
              <w:top w:w="100" w:type="dxa"/>
              <w:left w:w="100" w:type="dxa"/>
              <w:bottom w:w="100" w:type="dxa"/>
              <w:right w:w="100" w:type="dxa"/>
            </w:tcMar>
          </w:tcPr>
          <w:p w14:paraId="4FE3606B" w14:textId="77777777" w:rsidR="00BC5766"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Referente aos possíveis custos com transporte e alimentação dos participantes e seus acompanhantes.</w:t>
            </w:r>
          </w:p>
        </w:tc>
      </w:tr>
    </w:tbl>
    <w:p w14:paraId="744B20CA" w14:textId="77777777" w:rsidR="00BC5766" w:rsidRDefault="00BC5766">
      <w:pPr>
        <w:jc w:val="both"/>
        <w:rPr>
          <w:rFonts w:ascii="Times New Roman" w:eastAsia="Times New Roman" w:hAnsi="Times New Roman" w:cs="Times New Roman"/>
          <w:sz w:val="24"/>
          <w:szCs w:val="24"/>
        </w:rPr>
      </w:pPr>
    </w:p>
    <w:p w14:paraId="0135D076" w14:textId="77777777" w:rsidR="00BC5766"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88AE1B6" w14:textId="77777777" w:rsidR="00BC5766" w:rsidRDefault="00000000">
      <w:pPr>
        <w:numPr>
          <w:ilvl w:val="0"/>
          <w:numId w:val="5"/>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Psychiatric Association. </w:t>
      </w:r>
      <w:proofErr w:type="spellStart"/>
      <w:r>
        <w:rPr>
          <w:rFonts w:ascii="Times New Roman" w:eastAsia="Times New Roman" w:hAnsi="Times New Roman" w:cs="Times New Roman"/>
          <w:sz w:val="24"/>
          <w:szCs w:val="24"/>
        </w:rPr>
        <w:t>Diagnostic</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statistical</w:t>
      </w:r>
      <w:proofErr w:type="spellEnd"/>
      <w:r>
        <w:rPr>
          <w:rFonts w:ascii="Times New Roman" w:eastAsia="Times New Roman" w:hAnsi="Times New Roman" w:cs="Times New Roman"/>
          <w:sz w:val="24"/>
          <w:szCs w:val="24"/>
        </w:rPr>
        <w:t xml:space="preserve"> manual of mental </w:t>
      </w:r>
      <w:proofErr w:type="spellStart"/>
      <w:r>
        <w:rPr>
          <w:rFonts w:ascii="Times New Roman" w:eastAsia="Times New Roman" w:hAnsi="Times New Roman" w:cs="Times New Roman"/>
          <w:sz w:val="24"/>
          <w:szCs w:val="24"/>
        </w:rPr>
        <w:t>disorders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Fifth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Text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Revision</w:t>
      </w:r>
      <w:proofErr w:type="spellEnd"/>
      <w:r>
        <w:rPr>
          <w:rFonts w:ascii="Times New Roman" w:eastAsia="Times New Roman" w:hAnsi="Times New Roman" w:cs="Times New Roman"/>
          <w:sz w:val="24"/>
          <w:szCs w:val="24"/>
        </w:rPr>
        <w:t xml:space="preserve"> (DSM-5-TR) [Internet]. 2022 [</w:t>
      </w:r>
      <w:proofErr w:type="spellStart"/>
      <w:r>
        <w:rPr>
          <w:rFonts w:ascii="Times New Roman" w:eastAsia="Times New Roman" w:hAnsi="Times New Roman" w:cs="Times New Roman"/>
          <w:sz w:val="24"/>
          <w:szCs w:val="24"/>
        </w:rPr>
        <w:t>cited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Jan.</w:t>
      </w:r>
      <w:proofErr w:type="gramEnd"/>
      <w:r>
        <w:rPr>
          <w:rFonts w:ascii="Times New Roman" w:eastAsia="Times New Roman" w:hAnsi="Times New Roman" w:cs="Times New Roman"/>
          <w:sz w:val="24"/>
          <w:szCs w:val="24"/>
        </w:rPr>
        <w:t xml:space="preserve"> 15, 2025]. </w:t>
      </w:r>
      <w:proofErr w:type="spellStart"/>
      <w:r>
        <w:rPr>
          <w:rFonts w:ascii="Times New Roman" w:eastAsia="Times New Roman" w:hAnsi="Times New Roman" w:cs="Times New Roman"/>
          <w:sz w:val="24"/>
          <w:szCs w:val="24"/>
        </w:rPr>
        <w:t>Available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https://dsm.psychiatryonline.org/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/book/10.1176/appi.books.9780890425787.</w:t>
      </w:r>
    </w:p>
    <w:p w14:paraId="5301C85A"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Vannucchi, G., Masi, G., Toni, C., </w:t>
      </w:r>
      <w:proofErr w:type="spellStart"/>
      <w:r>
        <w:rPr>
          <w:rFonts w:ascii="Times New Roman" w:eastAsia="Times New Roman" w:hAnsi="Times New Roman" w:cs="Times New Roman"/>
          <w:sz w:val="24"/>
          <w:szCs w:val="24"/>
        </w:rPr>
        <w:t>Dell'Osso</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Marazziti</w:t>
      </w:r>
      <w:proofErr w:type="spellEnd"/>
      <w:r>
        <w:rPr>
          <w:rFonts w:ascii="Times New Roman" w:eastAsia="Times New Roman" w:hAnsi="Times New Roman" w:cs="Times New Roman"/>
          <w:sz w:val="24"/>
          <w:szCs w:val="24"/>
        </w:rPr>
        <w:t xml:space="preserve">, D., &amp; </w:t>
      </w:r>
      <w:proofErr w:type="spellStart"/>
      <w:r>
        <w:rPr>
          <w:rFonts w:ascii="Times New Roman" w:eastAsia="Times New Roman" w:hAnsi="Times New Roman" w:cs="Times New Roman"/>
          <w:sz w:val="24"/>
          <w:szCs w:val="24"/>
        </w:rPr>
        <w:t>Perugi</w:t>
      </w:r>
      <w:proofErr w:type="spellEnd"/>
      <w:r>
        <w:rPr>
          <w:rFonts w:ascii="Times New Roman" w:eastAsia="Times New Roman" w:hAnsi="Times New Roman" w:cs="Times New Roman"/>
          <w:sz w:val="24"/>
          <w:szCs w:val="24"/>
        </w:rPr>
        <w:t xml:space="preserve">, G. (2014). Clinical features, </w:t>
      </w:r>
      <w:proofErr w:type="spellStart"/>
      <w:r>
        <w:rPr>
          <w:rFonts w:ascii="Times New Roman" w:eastAsia="Times New Roman" w:hAnsi="Times New Roman" w:cs="Times New Roman"/>
          <w:sz w:val="24"/>
          <w:szCs w:val="24"/>
        </w:rPr>
        <w:t>developmental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course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psychiatric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comorbidity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adult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disorders</w:t>
      </w:r>
      <w:proofErr w:type="spellEnd"/>
      <w:r>
        <w:rPr>
          <w:rFonts w:ascii="Times New Roman" w:eastAsia="Times New Roman" w:hAnsi="Times New Roman" w:cs="Times New Roman"/>
          <w:sz w:val="24"/>
          <w:szCs w:val="24"/>
        </w:rPr>
        <w:t xml:space="preserve">. CNS </w:t>
      </w:r>
      <w:proofErr w:type="spellStart"/>
      <w:r>
        <w:rPr>
          <w:rFonts w:ascii="Times New Roman" w:eastAsia="Times New Roman" w:hAnsi="Times New Roman" w:cs="Times New Roman"/>
          <w:sz w:val="24"/>
          <w:szCs w:val="24"/>
        </w:rPr>
        <w:t>spectrums</w:t>
      </w:r>
      <w:proofErr w:type="spellEnd"/>
      <w:r>
        <w:rPr>
          <w:rFonts w:ascii="Times New Roman" w:eastAsia="Times New Roman" w:hAnsi="Times New Roman" w:cs="Times New Roman"/>
          <w:sz w:val="24"/>
          <w:szCs w:val="24"/>
        </w:rPr>
        <w:t>, 19(2), 157-164.</w:t>
      </w:r>
    </w:p>
    <w:p w14:paraId="067003BF"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Loffi</w:t>
      </w:r>
      <w:proofErr w:type="spellEnd"/>
      <w:r>
        <w:rPr>
          <w:rFonts w:ascii="Times New Roman" w:eastAsia="Times New Roman" w:hAnsi="Times New Roman" w:cs="Times New Roman"/>
          <w:sz w:val="24"/>
          <w:szCs w:val="24"/>
        </w:rPr>
        <w:t xml:space="preserve"> RG, Cruz TKF, Paiva GM, Souto DO, Barreto SR, Santana PAN, et al. </w:t>
      </w:r>
      <w:proofErr w:type="spellStart"/>
      <w:r>
        <w:rPr>
          <w:rFonts w:ascii="Times New Roman" w:eastAsia="Times New Roman" w:hAnsi="Times New Roman" w:cs="Times New Roman"/>
          <w:sz w:val="24"/>
          <w:szCs w:val="24"/>
        </w:rPr>
        <w:t>Theoretical-Methodological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Foundations</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Integration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w:t>
      </w:r>
      <w:proofErr w:type="spellEnd"/>
      <w:r>
        <w:rPr>
          <w:rFonts w:ascii="Times New Roman" w:eastAsia="Times New Roman" w:hAnsi="Times New Roman" w:cs="Times New Roman"/>
          <w:sz w:val="24"/>
          <w:szCs w:val="24"/>
        </w:rPr>
        <w:t xml:space="preserve"> (Método de Integração Global-MIG)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Children (Basel). 2024;11(2):191. https://doi.org/10.3390/chil dren11020191 </w:t>
      </w:r>
    </w:p>
    <w:p w14:paraId="124C667E"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Bhat AN. </w:t>
      </w:r>
      <w:proofErr w:type="spellStart"/>
      <w:r>
        <w:rPr>
          <w:rFonts w:ascii="Times New Roman" w:eastAsia="Times New Roman" w:hAnsi="Times New Roman" w:cs="Times New Roman"/>
          <w:sz w:val="24"/>
          <w:szCs w:val="24"/>
        </w:rPr>
        <w:t>Fewer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motor </w:t>
      </w:r>
      <w:proofErr w:type="spellStart"/>
      <w:r>
        <w:rPr>
          <w:rFonts w:ascii="Times New Roman" w:eastAsia="Times New Roman" w:hAnsi="Times New Roman" w:cs="Times New Roman"/>
          <w:sz w:val="24"/>
          <w:szCs w:val="24"/>
        </w:rPr>
        <w:t>chal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receive</w:t>
      </w:r>
      <w:proofErr w:type="spellEnd"/>
      <w:r>
        <w:rPr>
          <w:rFonts w:ascii="Times New Roman" w:eastAsia="Times New Roman" w:hAnsi="Times New Roman" w:cs="Times New Roman"/>
          <w:sz w:val="24"/>
          <w:szCs w:val="24"/>
        </w:rPr>
        <w:t xml:space="preserve"> physical and </w:t>
      </w:r>
      <w:proofErr w:type="spellStart"/>
      <w:r>
        <w:rPr>
          <w:rFonts w:ascii="Times New Roman" w:eastAsia="Times New Roman" w:hAnsi="Times New Roman" w:cs="Times New Roman"/>
          <w:sz w:val="24"/>
          <w:szCs w:val="24"/>
        </w:rPr>
        <w:t>recreational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therapies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compared</w:t>
      </w:r>
      <w:proofErr w:type="spellEnd"/>
      <w:r>
        <w:rPr>
          <w:rFonts w:ascii="Times New Roman" w:eastAsia="Times New Roman" w:hAnsi="Times New Roman" w:cs="Times New Roman"/>
          <w:sz w:val="24"/>
          <w:szCs w:val="24"/>
        </w:rPr>
        <w:t xml:space="preserve"> to standard </w:t>
      </w:r>
      <w:proofErr w:type="spellStart"/>
      <w:r>
        <w:rPr>
          <w:rFonts w:ascii="Times New Roman" w:eastAsia="Times New Roman" w:hAnsi="Times New Roman" w:cs="Times New Roman"/>
          <w:sz w:val="24"/>
          <w:szCs w:val="24"/>
        </w:rPr>
        <w:t>therapies</w:t>
      </w:r>
      <w:proofErr w:type="spellEnd"/>
      <w:r>
        <w:rPr>
          <w:rFonts w:ascii="Times New Roman" w:eastAsia="Times New Roman" w:hAnsi="Times New Roman" w:cs="Times New Roman"/>
          <w:sz w:val="24"/>
          <w:szCs w:val="24"/>
        </w:rPr>
        <w:t xml:space="preserve">: a SPARK data set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2024;28(5):1161-74. https://doi.org/10.1177/13623613231193196 6. 7. 8. 9. </w:t>
      </w:r>
    </w:p>
    <w:p w14:paraId="1804BAC8"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Bhat AN.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motor </w:t>
      </w:r>
      <w:proofErr w:type="spellStart"/>
      <w:r>
        <w:rPr>
          <w:rFonts w:ascii="Times New Roman" w:eastAsia="Times New Roman" w:hAnsi="Times New Roman" w:cs="Times New Roman"/>
          <w:sz w:val="24"/>
          <w:szCs w:val="24"/>
        </w:rPr>
        <w:t>impairment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distinct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coordination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report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SPARK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w:t>
      </w:r>
      <w:proofErr w:type="spellEnd"/>
      <w:r>
        <w:rPr>
          <w:rFonts w:ascii="Times New Roman" w:eastAsia="Times New Roman" w:hAnsi="Times New Roman" w:cs="Times New Roman"/>
          <w:sz w:val="24"/>
          <w:szCs w:val="24"/>
        </w:rPr>
        <w:t xml:space="preserve"> 2020; 100: 633–44.</w:t>
      </w:r>
    </w:p>
    <w:p w14:paraId="087E3751"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Bhat, A. N., </w:t>
      </w:r>
      <w:proofErr w:type="spellStart"/>
      <w:r>
        <w:rPr>
          <w:rFonts w:ascii="Times New Roman" w:eastAsia="Times New Roman" w:hAnsi="Times New Roman" w:cs="Times New Roman"/>
          <w:sz w:val="24"/>
          <w:szCs w:val="24"/>
        </w:rPr>
        <w:t>Boulton</w:t>
      </w:r>
      <w:proofErr w:type="spellEnd"/>
      <w:r>
        <w:rPr>
          <w:rFonts w:ascii="Times New Roman" w:eastAsia="Times New Roman" w:hAnsi="Times New Roman" w:cs="Times New Roman"/>
          <w:sz w:val="24"/>
          <w:szCs w:val="24"/>
        </w:rPr>
        <w:t xml:space="preserve">, A. J., &amp; </w:t>
      </w:r>
      <w:proofErr w:type="spellStart"/>
      <w:r>
        <w:rPr>
          <w:rFonts w:ascii="Times New Roman" w:eastAsia="Times New Roman" w:hAnsi="Times New Roman" w:cs="Times New Roman"/>
          <w:sz w:val="24"/>
          <w:szCs w:val="24"/>
        </w:rPr>
        <w:t>Tulsky</w:t>
      </w:r>
      <w:proofErr w:type="spellEnd"/>
      <w:r>
        <w:rPr>
          <w:rFonts w:ascii="Times New Roman" w:eastAsia="Times New Roman" w:hAnsi="Times New Roman" w:cs="Times New Roman"/>
          <w:sz w:val="24"/>
          <w:szCs w:val="24"/>
        </w:rPr>
        <w:t xml:space="preserve">, D. S. (2022). A </w:t>
      </w:r>
      <w:proofErr w:type="spellStart"/>
      <w:r>
        <w:rPr>
          <w:rFonts w:ascii="Times New Roman" w:eastAsia="Times New Roman" w:hAnsi="Times New Roman" w:cs="Times New Roman"/>
          <w:sz w:val="24"/>
          <w:szCs w:val="24"/>
        </w:rPr>
        <w:t>further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between motor </w:t>
      </w:r>
      <w:proofErr w:type="spellStart"/>
      <w:r>
        <w:rPr>
          <w:rFonts w:ascii="Times New Roman" w:eastAsia="Times New Roman" w:hAnsi="Times New Roman" w:cs="Times New Roman"/>
          <w:sz w:val="24"/>
          <w:szCs w:val="24"/>
        </w:rPr>
        <w:t>impairment</w:t>
      </w:r>
      <w:proofErr w:type="spellEnd"/>
      <w:r>
        <w:rPr>
          <w:rFonts w:ascii="Times New Roman" w:eastAsia="Times New Roman" w:hAnsi="Times New Roman" w:cs="Times New Roman"/>
          <w:sz w:val="24"/>
          <w:szCs w:val="24"/>
        </w:rPr>
        <w:t xml:space="preserve"> and social communication, </w:t>
      </w:r>
      <w:proofErr w:type="spellStart"/>
      <w:r>
        <w:rPr>
          <w:rFonts w:ascii="Times New Roman" w:eastAsia="Times New Roman" w:hAnsi="Times New Roman" w:cs="Times New Roman"/>
          <w:sz w:val="24"/>
          <w:szCs w:val="24"/>
        </w:rPr>
        <w:t>cognitive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functional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impairments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repetitive</w:t>
      </w:r>
      <w:proofErr w:type="spellEnd"/>
      <w:r>
        <w:rPr>
          <w:rFonts w:ascii="Times New Roman" w:eastAsia="Times New Roman" w:hAnsi="Times New Roman" w:cs="Times New Roman"/>
          <w:sz w:val="24"/>
          <w:szCs w:val="24"/>
        </w:rPr>
        <w:t xml:space="preserve"> behavior </w:t>
      </w:r>
      <w:proofErr w:type="spellStart"/>
      <w:r>
        <w:rPr>
          <w:rFonts w:ascii="Times New Roman" w:eastAsia="Times New Roman" w:hAnsi="Times New Roman" w:cs="Times New Roman"/>
          <w:sz w:val="24"/>
          <w:szCs w:val="24"/>
        </w:rPr>
        <w:t>severity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ASD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SPARK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dataset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official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Society for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15(6), 1156–1178. </w:t>
      </w:r>
      <w:hyperlink r:id="rId5">
        <w:r>
          <w:rPr>
            <w:rFonts w:ascii="Times New Roman" w:eastAsia="Times New Roman" w:hAnsi="Times New Roman" w:cs="Times New Roman"/>
            <w:color w:val="1155CC"/>
            <w:sz w:val="24"/>
            <w:szCs w:val="24"/>
            <w:u w:val="single"/>
          </w:rPr>
          <w:t>https://doi.org/10.1002/aur.2711</w:t>
        </w:r>
      </w:hyperlink>
    </w:p>
    <w:p w14:paraId="6D1CDBCA"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K. S. C., Fontes, D. E., Longo, E., Leite, H. R., &amp; Camargos, A. C. R. (2021). Motor skills are </w:t>
      </w:r>
      <w:proofErr w:type="spellStart"/>
      <w:r>
        <w:rPr>
          <w:rFonts w:ascii="Times New Roman" w:eastAsia="Times New Roman" w:hAnsi="Times New Roman" w:cs="Times New Roman"/>
          <w:sz w:val="24"/>
          <w:szCs w:val="24"/>
        </w:rPr>
        <w:t>associated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participation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Journal of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Developmental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Disorders</w:t>
      </w:r>
      <w:proofErr w:type="spellEnd"/>
      <w:r>
        <w:rPr>
          <w:rFonts w:ascii="Times New Roman" w:eastAsia="Times New Roman" w:hAnsi="Times New Roman" w:cs="Times New Roman"/>
          <w:sz w:val="24"/>
          <w:szCs w:val="24"/>
        </w:rPr>
        <w:t>, 1-10.</w:t>
      </w:r>
    </w:p>
    <w:p w14:paraId="0728CB86"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Souto, D. O., Nascimento, A. A. A. C., Cruz, T. K. F., Lima, A. F. B. D., Oliveira, G. S., Fernandes, A. C. S., &amp; Haase, V. G. (2025). Assessment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Integration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perception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functional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goals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adolescents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Dementia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Neuropsychologia</w:t>
      </w:r>
      <w:proofErr w:type="spellEnd"/>
      <w:r>
        <w:rPr>
          <w:rFonts w:ascii="Times New Roman" w:eastAsia="Times New Roman" w:hAnsi="Times New Roman" w:cs="Times New Roman"/>
          <w:sz w:val="24"/>
          <w:szCs w:val="24"/>
        </w:rPr>
        <w:t>, 19, e20240154.</w:t>
      </w:r>
    </w:p>
    <w:p w14:paraId="43147FF6"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A. A. A. C., Souto, D. O., Cruz, T. K. F., de Lima, A. F. B., Oliveira, G. S., &amp; Haase, V. G. (2025). </w:t>
      </w:r>
      <w:proofErr w:type="spellStart"/>
      <w:r>
        <w:rPr>
          <w:rFonts w:ascii="Times New Roman" w:eastAsia="Times New Roman" w:hAnsi="Times New Roman" w:cs="Times New Roman"/>
          <w:sz w:val="24"/>
          <w:szCs w:val="24"/>
        </w:rPr>
        <w:t>Benefits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Integration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w:t>
      </w:r>
      <w:proofErr w:type="spellEnd"/>
      <w:r>
        <w:rPr>
          <w:rFonts w:ascii="Times New Roman" w:eastAsia="Times New Roman" w:hAnsi="Times New Roman" w:cs="Times New Roman"/>
          <w:sz w:val="24"/>
          <w:szCs w:val="24"/>
        </w:rPr>
        <w:t xml:space="preserve"> (Método de Integração Global-MIG) in </w:t>
      </w:r>
      <w:proofErr w:type="spellStart"/>
      <w:r>
        <w:rPr>
          <w:rFonts w:ascii="Times New Roman" w:eastAsia="Times New Roman" w:hAnsi="Times New Roman" w:cs="Times New Roman"/>
          <w:sz w:val="24"/>
          <w:szCs w:val="24"/>
        </w:rPr>
        <w:t>functional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priorities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parents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adolescents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BMC </w:t>
      </w:r>
      <w:proofErr w:type="spellStart"/>
      <w:r>
        <w:rPr>
          <w:rFonts w:ascii="Times New Roman" w:eastAsia="Times New Roman" w:hAnsi="Times New Roman" w:cs="Times New Roman"/>
          <w:sz w:val="24"/>
          <w:szCs w:val="24"/>
        </w:rPr>
        <w:t>pediatrics</w:t>
      </w:r>
      <w:proofErr w:type="spellEnd"/>
      <w:r>
        <w:rPr>
          <w:rFonts w:ascii="Times New Roman" w:eastAsia="Times New Roman" w:hAnsi="Times New Roman" w:cs="Times New Roman"/>
          <w:sz w:val="24"/>
          <w:szCs w:val="24"/>
        </w:rPr>
        <w:t>, 25(1), 75.</w:t>
      </w:r>
    </w:p>
    <w:p w14:paraId="047DE79F"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Tashakkori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Teddlie</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Sage</w:t>
      </w:r>
      <w:proofErr w:type="spellEnd"/>
      <w:r>
        <w:rPr>
          <w:rFonts w:ascii="Times New Roman" w:eastAsia="Times New Roman" w:hAnsi="Times New Roman" w:cs="Times New Roman"/>
          <w:sz w:val="24"/>
          <w:szCs w:val="24"/>
        </w:rPr>
        <w:t xml:space="preserve"> handbook of </w:t>
      </w:r>
      <w:proofErr w:type="spellStart"/>
      <w:r>
        <w:rPr>
          <w:rFonts w:ascii="Times New Roman" w:eastAsia="Times New Roman" w:hAnsi="Times New Roman" w:cs="Times New Roman"/>
          <w:sz w:val="24"/>
          <w:szCs w:val="24"/>
        </w:rPr>
        <w:t>mixed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quantitative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approaches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social and </w:t>
      </w:r>
      <w:proofErr w:type="spellStart"/>
      <w:r>
        <w:rPr>
          <w:rFonts w:ascii="Times New Roman" w:eastAsia="Times New Roman" w:hAnsi="Times New Roman" w:cs="Times New Roman"/>
          <w:sz w:val="24"/>
          <w:szCs w:val="24"/>
        </w:rPr>
        <w:t>behavioural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sciences</w:t>
      </w:r>
      <w:proofErr w:type="spellEnd"/>
      <w:r>
        <w:rPr>
          <w:rFonts w:ascii="Times New Roman" w:eastAsia="Times New Roman" w:hAnsi="Times New Roman" w:cs="Times New Roman"/>
          <w:sz w:val="24"/>
          <w:szCs w:val="24"/>
        </w:rPr>
        <w:t xml:space="preserve">. Thousand Oaks: </w:t>
      </w:r>
      <w:proofErr w:type="spellStart"/>
      <w:r>
        <w:rPr>
          <w:rFonts w:ascii="Times New Roman" w:eastAsia="Times New Roman" w:hAnsi="Times New Roman" w:cs="Times New Roman"/>
          <w:sz w:val="24"/>
          <w:szCs w:val="24"/>
        </w:rPr>
        <w:t>Sage</w:t>
      </w:r>
      <w:proofErr w:type="spellEnd"/>
      <w:r>
        <w:rPr>
          <w:rFonts w:ascii="Times New Roman" w:eastAsia="Times New Roman" w:hAnsi="Times New Roman" w:cs="Times New Roman"/>
          <w:sz w:val="24"/>
          <w:szCs w:val="24"/>
        </w:rPr>
        <w:t>; 2010.</w:t>
      </w:r>
    </w:p>
    <w:p w14:paraId="6D2B7DC6"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Thorne S. </w:t>
      </w:r>
      <w:proofErr w:type="spellStart"/>
      <w:r>
        <w:rPr>
          <w:rFonts w:ascii="Times New Roman" w:eastAsia="Times New Roman" w:hAnsi="Times New Roman" w:cs="Times New Roman"/>
          <w:sz w:val="24"/>
          <w:szCs w:val="24"/>
        </w:rPr>
        <w:t>Interpretive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description</w:t>
      </w:r>
      <w:proofErr w:type="spellEnd"/>
      <w:r>
        <w:rPr>
          <w:rFonts w:ascii="Times New Roman" w:eastAsia="Times New Roman" w:hAnsi="Times New Roman" w:cs="Times New Roman"/>
          <w:sz w:val="24"/>
          <w:szCs w:val="24"/>
        </w:rPr>
        <w:t xml:space="preserve">. 1st ed. </w:t>
      </w:r>
      <w:proofErr w:type="spellStart"/>
      <w:r>
        <w:rPr>
          <w:rFonts w:ascii="Times New Roman" w:eastAsia="Times New Roman" w:hAnsi="Times New Roman" w:cs="Times New Roman"/>
          <w:sz w:val="24"/>
          <w:szCs w:val="24"/>
        </w:rPr>
        <w:t>Walnut</w:t>
      </w:r>
      <w:proofErr w:type="spellEnd"/>
      <w:r>
        <w:rPr>
          <w:rFonts w:ascii="Times New Roman" w:eastAsia="Times New Roman" w:hAnsi="Times New Roman" w:cs="Times New Roman"/>
          <w:sz w:val="24"/>
          <w:szCs w:val="24"/>
        </w:rPr>
        <w:t xml:space="preserve"> Creek: </w:t>
      </w:r>
      <w:proofErr w:type="spellStart"/>
      <w:r>
        <w:rPr>
          <w:rFonts w:ascii="Times New Roman" w:eastAsia="Times New Roman" w:hAnsi="Times New Roman" w:cs="Times New Roman"/>
          <w:sz w:val="24"/>
          <w:szCs w:val="24"/>
        </w:rPr>
        <w:t>Left</w:t>
      </w:r>
      <w:proofErr w:type="spellEnd"/>
      <w:r>
        <w:rPr>
          <w:rFonts w:ascii="Times New Roman" w:eastAsia="Times New Roman" w:hAnsi="Times New Roman" w:cs="Times New Roman"/>
          <w:sz w:val="24"/>
          <w:szCs w:val="24"/>
        </w:rPr>
        <w:t xml:space="preserve"> Coast Press; 2008.</w:t>
      </w:r>
    </w:p>
    <w:p w14:paraId="38850BEB"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Faul</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Erdfelder</w:t>
      </w:r>
      <w:proofErr w:type="spellEnd"/>
      <w:r>
        <w:rPr>
          <w:rFonts w:ascii="Times New Roman" w:eastAsia="Times New Roman" w:hAnsi="Times New Roman" w:cs="Times New Roman"/>
          <w:sz w:val="24"/>
          <w:szCs w:val="24"/>
        </w:rPr>
        <w:t xml:space="preserve">, E., Lang, A.-G., &amp; </w:t>
      </w:r>
      <w:proofErr w:type="spellStart"/>
      <w:r>
        <w:rPr>
          <w:rFonts w:ascii="Times New Roman" w:eastAsia="Times New Roman" w:hAnsi="Times New Roman" w:cs="Times New Roman"/>
          <w:sz w:val="24"/>
          <w:szCs w:val="24"/>
        </w:rPr>
        <w:t>Buchner</w:t>
      </w:r>
      <w:proofErr w:type="spellEnd"/>
      <w:r>
        <w:rPr>
          <w:rFonts w:ascii="Times New Roman" w:eastAsia="Times New Roman" w:hAnsi="Times New Roman" w:cs="Times New Roman"/>
          <w:sz w:val="24"/>
          <w:szCs w:val="24"/>
        </w:rPr>
        <w:t xml:space="preserve">, A. (2007). G*Power 3: A </w:t>
      </w:r>
      <w:proofErr w:type="spellStart"/>
      <w:r>
        <w:rPr>
          <w:rFonts w:ascii="Times New Roman" w:eastAsia="Times New Roman" w:hAnsi="Times New Roman" w:cs="Times New Roman"/>
          <w:sz w:val="24"/>
          <w:szCs w:val="24"/>
        </w:rPr>
        <w:t>flexible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power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behavioral</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biomedical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sciences</w:t>
      </w:r>
      <w:proofErr w:type="spellEnd"/>
      <w:r>
        <w:rPr>
          <w:rFonts w:ascii="Times New Roman" w:eastAsia="Times New Roman" w:hAnsi="Times New Roman" w:cs="Times New Roman"/>
          <w:sz w:val="24"/>
          <w:szCs w:val="24"/>
        </w:rPr>
        <w:t xml:space="preserve">. Behavior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Methods, 39(2), 175–191. </w:t>
      </w:r>
      <w:hyperlink r:id="rId6">
        <w:r>
          <w:rPr>
            <w:rFonts w:ascii="Times New Roman" w:eastAsia="Times New Roman" w:hAnsi="Times New Roman" w:cs="Times New Roman"/>
            <w:color w:val="1155CC"/>
            <w:sz w:val="24"/>
            <w:szCs w:val="24"/>
            <w:u w:val="single"/>
          </w:rPr>
          <w:t>https://doi.org/10.3758/bf03193146</w:t>
        </w:r>
      </w:hyperlink>
    </w:p>
    <w:p w14:paraId="6326FAEE"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Ulrich DA. Test of Gross Motor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2nd ed. n. </w:t>
      </w:r>
      <w:proofErr w:type="spellStart"/>
      <w:r>
        <w:rPr>
          <w:rFonts w:ascii="Times New Roman" w:eastAsia="Times New Roman" w:hAnsi="Times New Roman" w:cs="Times New Roman"/>
          <w:sz w:val="24"/>
          <w:szCs w:val="24"/>
        </w:rPr>
        <w:t>June</w:t>
      </w:r>
      <w:proofErr w:type="spellEnd"/>
      <w:r>
        <w:rPr>
          <w:rFonts w:ascii="Times New Roman" w:eastAsia="Times New Roman" w:hAnsi="Times New Roman" w:cs="Times New Roman"/>
          <w:sz w:val="24"/>
          <w:szCs w:val="24"/>
        </w:rPr>
        <w:t>, 2000.</w:t>
      </w:r>
    </w:p>
    <w:p w14:paraId="69755E04"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Valentini NC. </w:t>
      </w:r>
      <w:proofErr w:type="spellStart"/>
      <w:r>
        <w:rPr>
          <w:rFonts w:ascii="Times New Roman" w:eastAsia="Times New Roman" w:hAnsi="Times New Roman" w:cs="Times New Roman"/>
          <w:sz w:val="24"/>
          <w:szCs w:val="24"/>
        </w:rPr>
        <w:t>Validity</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reliability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TGMD-2 for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Mot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Behav</w:t>
      </w:r>
      <w:proofErr w:type="spellEnd"/>
      <w:r>
        <w:rPr>
          <w:rFonts w:ascii="Times New Roman" w:eastAsia="Times New Roman" w:hAnsi="Times New Roman" w:cs="Times New Roman"/>
          <w:sz w:val="24"/>
          <w:szCs w:val="24"/>
        </w:rPr>
        <w:t>. 2012; 44 (4):275–80. https://doi.org/10.1080/00222895.2012.700967 PMID: 22857518</w:t>
      </w:r>
    </w:p>
    <w:p w14:paraId="56A4AC53"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 M, Baptiste S, </w:t>
      </w:r>
      <w:proofErr w:type="spellStart"/>
      <w:r>
        <w:rPr>
          <w:rFonts w:ascii="Times New Roman" w:eastAsia="Times New Roman" w:hAnsi="Times New Roman" w:cs="Times New Roman"/>
          <w:sz w:val="24"/>
          <w:szCs w:val="24"/>
        </w:rPr>
        <w:t>McColl</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Opzoomer</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Polatajko</w:t>
      </w:r>
      <w:proofErr w:type="spellEnd"/>
      <w:r>
        <w:rPr>
          <w:rFonts w:ascii="Times New Roman" w:eastAsia="Times New Roman" w:hAnsi="Times New Roman" w:cs="Times New Roman"/>
          <w:sz w:val="24"/>
          <w:szCs w:val="24"/>
        </w:rPr>
        <w:t xml:space="preserve"> H, Pollock N. The Canadian </w:t>
      </w:r>
      <w:proofErr w:type="spellStart"/>
      <w:r>
        <w:rPr>
          <w:rFonts w:ascii="Times New Roman" w:eastAsia="Times New Roman" w:hAnsi="Times New Roman" w:cs="Times New Roman"/>
          <w:sz w:val="24"/>
          <w:szCs w:val="24"/>
        </w:rPr>
        <w:t>occupational</w:t>
      </w:r>
      <w:proofErr w:type="spellEnd"/>
      <w:r>
        <w:rPr>
          <w:rFonts w:ascii="Times New Roman" w:eastAsia="Times New Roman" w:hAnsi="Times New Roman" w:cs="Times New Roman"/>
          <w:sz w:val="24"/>
          <w:szCs w:val="24"/>
        </w:rPr>
        <w:t xml:space="preserve"> performance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outcome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occupational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therapy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Occup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w:t>
      </w:r>
      <w:proofErr w:type="spellEnd"/>
      <w:r>
        <w:rPr>
          <w:rFonts w:ascii="Times New Roman" w:eastAsia="Times New Roman" w:hAnsi="Times New Roman" w:cs="Times New Roman"/>
          <w:sz w:val="24"/>
          <w:szCs w:val="24"/>
        </w:rPr>
        <w:t xml:space="preserve">. 1990;57(2):82-7. https://doi. </w:t>
      </w: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/10.1177/000841749005700207</w:t>
      </w:r>
    </w:p>
    <w:p w14:paraId="0673C313"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McColl</w:t>
      </w:r>
      <w:proofErr w:type="spellEnd"/>
      <w:r>
        <w:rPr>
          <w:rFonts w:ascii="Times New Roman" w:eastAsia="Times New Roman" w:hAnsi="Times New Roman" w:cs="Times New Roman"/>
          <w:sz w:val="24"/>
          <w:szCs w:val="24"/>
        </w:rPr>
        <w:t xml:space="preserve"> MA, Paterson M, Davies D, </w:t>
      </w:r>
      <w:proofErr w:type="spellStart"/>
      <w:r>
        <w:rPr>
          <w:rFonts w:ascii="Times New Roman" w:eastAsia="Times New Roman" w:hAnsi="Times New Roman" w:cs="Times New Roman"/>
          <w:sz w:val="24"/>
          <w:szCs w:val="24"/>
        </w:rPr>
        <w:t>Doubt</w:t>
      </w:r>
      <w:proofErr w:type="spellEnd"/>
      <w:r>
        <w:rPr>
          <w:rFonts w:ascii="Times New Roman" w:eastAsia="Times New Roman" w:hAnsi="Times New Roman" w:cs="Times New Roman"/>
          <w:sz w:val="24"/>
          <w:szCs w:val="24"/>
        </w:rPr>
        <w:t xml:space="preserve"> L, Law M. </w:t>
      </w:r>
      <w:proofErr w:type="spellStart"/>
      <w:r>
        <w:rPr>
          <w:rFonts w:ascii="Times New Roman" w:eastAsia="Times New Roman" w:hAnsi="Times New Roman" w:cs="Times New Roman"/>
          <w:sz w:val="24"/>
          <w:szCs w:val="24"/>
        </w:rPr>
        <w:t>Validity</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utility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Canadian </w:t>
      </w:r>
      <w:proofErr w:type="spellStart"/>
      <w:r>
        <w:rPr>
          <w:rFonts w:ascii="Times New Roman" w:eastAsia="Times New Roman" w:hAnsi="Times New Roman" w:cs="Times New Roman"/>
          <w:sz w:val="24"/>
          <w:szCs w:val="24"/>
        </w:rPr>
        <w:t>Occupational</w:t>
      </w:r>
      <w:proofErr w:type="spellEnd"/>
      <w:r>
        <w:rPr>
          <w:rFonts w:ascii="Times New Roman" w:eastAsia="Times New Roman" w:hAnsi="Times New Roman" w:cs="Times New Roman"/>
          <w:sz w:val="24"/>
          <w:szCs w:val="24"/>
        </w:rPr>
        <w:t xml:space="preserve"> Performance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Occup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w:t>
      </w:r>
      <w:proofErr w:type="spellEnd"/>
      <w:r>
        <w:rPr>
          <w:rFonts w:ascii="Times New Roman" w:eastAsia="Times New Roman" w:hAnsi="Times New Roman" w:cs="Times New Roman"/>
          <w:sz w:val="24"/>
          <w:szCs w:val="24"/>
        </w:rPr>
        <w:t xml:space="preserve">. 2000;67(1):22-30. https://doi.org/10.1177/000841740006700105 30. </w:t>
      </w:r>
    </w:p>
    <w:p w14:paraId="220F57FE"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Carswell</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McColl</w:t>
      </w:r>
      <w:proofErr w:type="spellEnd"/>
      <w:r>
        <w:rPr>
          <w:rFonts w:ascii="Times New Roman" w:eastAsia="Times New Roman" w:hAnsi="Times New Roman" w:cs="Times New Roman"/>
          <w:sz w:val="24"/>
          <w:szCs w:val="24"/>
        </w:rPr>
        <w:t xml:space="preserve"> MA, Baptiste S, Law M, </w:t>
      </w:r>
      <w:proofErr w:type="spellStart"/>
      <w:r>
        <w:rPr>
          <w:rFonts w:ascii="Times New Roman" w:eastAsia="Times New Roman" w:hAnsi="Times New Roman" w:cs="Times New Roman"/>
          <w:sz w:val="24"/>
          <w:szCs w:val="24"/>
        </w:rPr>
        <w:t>Polatajko</w:t>
      </w:r>
      <w:proofErr w:type="spellEnd"/>
      <w:r>
        <w:rPr>
          <w:rFonts w:ascii="Times New Roman" w:eastAsia="Times New Roman" w:hAnsi="Times New Roman" w:cs="Times New Roman"/>
          <w:sz w:val="24"/>
          <w:szCs w:val="24"/>
        </w:rPr>
        <w:t xml:space="preserve"> H, Pollock N. The Canadian </w:t>
      </w:r>
      <w:proofErr w:type="spellStart"/>
      <w:r>
        <w:rPr>
          <w:rFonts w:ascii="Times New Roman" w:eastAsia="Times New Roman" w:hAnsi="Times New Roman" w:cs="Times New Roman"/>
          <w:sz w:val="24"/>
          <w:szCs w:val="24"/>
        </w:rPr>
        <w:t>Occupational</w:t>
      </w:r>
      <w:proofErr w:type="spellEnd"/>
      <w:r>
        <w:rPr>
          <w:rFonts w:ascii="Times New Roman" w:eastAsia="Times New Roman" w:hAnsi="Times New Roman" w:cs="Times New Roman"/>
          <w:sz w:val="24"/>
          <w:szCs w:val="24"/>
        </w:rPr>
        <w:t xml:space="preserve"> Performance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literature</w:t>
      </w:r>
      <w:proofErr w:type="spellEnd"/>
      <w:r>
        <w:rPr>
          <w:rFonts w:ascii="Times New Roman" w:eastAsia="Times New Roman" w:hAnsi="Times New Roman" w:cs="Times New Roman"/>
          <w:sz w:val="24"/>
          <w:szCs w:val="24"/>
        </w:rPr>
        <w:t xml:space="preserve"> review.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Occup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w:t>
      </w:r>
      <w:proofErr w:type="spellEnd"/>
      <w:r>
        <w:rPr>
          <w:rFonts w:ascii="Times New Roman" w:eastAsia="Times New Roman" w:hAnsi="Times New Roman" w:cs="Times New Roman"/>
          <w:sz w:val="24"/>
          <w:szCs w:val="24"/>
        </w:rPr>
        <w:t xml:space="preserve">. 2004;71(4):210-22. https://doi. </w:t>
      </w: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/10.1177/000841740407100406 </w:t>
      </w:r>
    </w:p>
    <w:p w14:paraId="41AF6591"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Ries LG, </w:t>
      </w:r>
      <w:proofErr w:type="spellStart"/>
      <w:r>
        <w:rPr>
          <w:rFonts w:ascii="Times New Roman" w:eastAsia="Times New Roman" w:hAnsi="Times New Roman" w:cs="Times New Roman"/>
          <w:sz w:val="24"/>
          <w:szCs w:val="24"/>
        </w:rPr>
        <w:t>Michaelsen</w:t>
      </w:r>
      <w:proofErr w:type="spellEnd"/>
      <w:r>
        <w:rPr>
          <w:rFonts w:ascii="Times New Roman" w:eastAsia="Times New Roman" w:hAnsi="Times New Roman" w:cs="Times New Roman"/>
          <w:sz w:val="24"/>
          <w:szCs w:val="24"/>
        </w:rPr>
        <w:t xml:space="preserve"> SM, Soares PS, Monteiro VC, Allegretti KM. Cross-cultural </w:t>
      </w:r>
      <w:proofErr w:type="spellStart"/>
      <w:r>
        <w:rPr>
          <w:rFonts w:ascii="Times New Roman" w:eastAsia="Times New Roman" w:hAnsi="Times New Roman" w:cs="Times New Roman"/>
          <w:sz w:val="24"/>
          <w:szCs w:val="24"/>
        </w:rPr>
        <w:t>adaptation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reliability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version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pediatric</w:t>
      </w:r>
      <w:proofErr w:type="spellEnd"/>
      <w:r>
        <w:rPr>
          <w:rFonts w:ascii="Times New Roman" w:eastAsia="Times New Roman" w:hAnsi="Times New Roman" w:cs="Times New Roman"/>
          <w:sz w:val="24"/>
          <w:szCs w:val="24"/>
        </w:rPr>
        <w:t xml:space="preserve"> balance </w:t>
      </w:r>
      <w:proofErr w:type="spellStart"/>
      <w:r>
        <w:rPr>
          <w:rFonts w:ascii="Times New Roman" w:eastAsia="Times New Roman" w:hAnsi="Times New Roman" w:cs="Times New Roman"/>
          <w:sz w:val="24"/>
          <w:szCs w:val="24"/>
        </w:rPr>
        <w:t>scale</w:t>
      </w:r>
      <w:proofErr w:type="spellEnd"/>
      <w:r>
        <w:rPr>
          <w:rFonts w:ascii="Times New Roman" w:eastAsia="Times New Roman" w:hAnsi="Times New Roman" w:cs="Times New Roman"/>
          <w:sz w:val="24"/>
          <w:szCs w:val="24"/>
        </w:rPr>
        <w:t xml:space="preserve"> (PBS). </w:t>
      </w:r>
      <w:proofErr w:type="spellStart"/>
      <w:r>
        <w:rPr>
          <w:rFonts w:ascii="Times New Roman" w:eastAsia="Times New Roman" w:hAnsi="Times New Roman" w:cs="Times New Roman"/>
          <w:sz w:val="24"/>
          <w:szCs w:val="24"/>
        </w:rPr>
        <w:t>Rev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Fisioter</w:t>
      </w:r>
      <w:proofErr w:type="spellEnd"/>
      <w:r>
        <w:rPr>
          <w:rFonts w:ascii="Times New Roman" w:eastAsia="Times New Roman" w:hAnsi="Times New Roman" w:cs="Times New Roman"/>
          <w:sz w:val="24"/>
          <w:szCs w:val="24"/>
        </w:rPr>
        <w:t xml:space="preserve">. (2012) 16(3):205–15. </w:t>
      </w:r>
      <w:proofErr w:type="spellStart"/>
      <w:r>
        <w:rPr>
          <w:rFonts w:ascii="Times New Roman" w:eastAsia="Times New Roman" w:hAnsi="Times New Roman" w:cs="Times New Roman"/>
          <w:sz w:val="24"/>
          <w:szCs w:val="24"/>
        </w:rPr>
        <w:t>English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Portuguese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10.1590/ S1413-35552012005000026 27. Chen CL, Shen IH, Chen CY, Wu CY, Liu WY, Chung CY.</w:t>
      </w:r>
    </w:p>
    <w:p w14:paraId="00D851A8" w14:textId="77777777" w:rsidR="00BC5766"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CL, Shen IH, Chen CY, Wu CY, Liu WY, Chung CY. </w:t>
      </w:r>
      <w:proofErr w:type="spellStart"/>
      <w:r>
        <w:rPr>
          <w:rFonts w:ascii="Times New Roman" w:eastAsia="Times New Roman" w:hAnsi="Times New Roman" w:cs="Times New Roman"/>
          <w:sz w:val="24"/>
          <w:szCs w:val="24"/>
        </w:rPr>
        <w:t>Validity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responsiveness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minimal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detectable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minimal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clinically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pediatric</w:t>
      </w:r>
      <w:proofErr w:type="spellEnd"/>
      <w:r>
        <w:rPr>
          <w:rFonts w:ascii="Times New Roman" w:eastAsia="Times New Roman" w:hAnsi="Times New Roman" w:cs="Times New Roman"/>
          <w:sz w:val="24"/>
          <w:szCs w:val="24"/>
        </w:rPr>
        <w:t xml:space="preserve"> balance </w:t>
      </w:r>
      <w:proofErr w:type="spellStart"/>
      <w:r>
        <w:rPr>
          <w:rFonts w:ascii="Times New Roman" w:eastAsia="Times New Roman" w:hAnsi="Times New Roman" w:cs="Times New Roman"/>
          <w:sz w:val="24"/>
          <w:szCs w:val="24"/>
        </w:rPr>
        <w:t>scale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cerebral </w:t>
      </w:r>
      <w:proofErr w:type="spellStart"/>
      <w:r>
        <w:rPr>
          <w:rFonts w:ascii="Times New Roman" w:eastAsia="Times New Roman" w:hAnsi="Times New Roman" w:cs="Times New Roman"/>
          <w:sz w:val="24"/>
          <w:szCs w:val="24"/>
        </w:rPr>
        <w:t>palsy</w:t>
      </w:r>
      <w:proofErr w:type="spellEnd"/>
      <w:r>
        <w:rPr>
          <w:rFonts w:ascii="Times New Roman" w:eastAsia="Times New Roman" w:hAnsi="Times New Roman" w:cs="Times New Roman"/>
          <w:sz w:val="24"/>
          <w:szCs w:val="24"/>
        </w:rPr>
        <w:t xml:space="preserve">. Res </w:t>
      </w:r>
      <w:proofErr w:type="spellStart"/>
      <w:r>
        <w:rPr>
          <w:rFonts w:ascii="Times New Roman" w:eastAsia="Times New Roman" w:hAnsi="Times New Roman" w:cs="Times New Roman"/>
          <w:sz w:val="24"/>
          <w:szCs w:val="24"/>
        </w:rPr>
        <w:t>Dev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Disabil</w:t>
      </w:r>
      <w:proofErr w:type="spellEnd"/>
      <w:r>
        <w:rPr>
          <w:rFonts w:ascii="Times New Roman" w:eastAsia="Times New Roman" w:hAnsi="Times New Roman" w:cs="Times New Roman"/>
          <w:sz w:val="24"/>
          <w:szCs w:val="24"/>
        </w:rPr>
        <w:t xml:space="preserve">. (2013) 34(3):916–22.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10.1016/j.ridd.2012.11.006</w:t>
      </w:r>
    </w:p>
    <w:p w14:paraId="05C155AE"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Befi</w:t>
      </w:r>
      <w:proofErr w:type="spellEnd"/>
      <w:r>
        <w:rPr>
          <w:rFonts w:ascii="Times New Roman" w:eastAsia="Times New Roman" w:hAnsi="Times New Roman" w:cs="Times New Roman"/>
          <w:sz w:val="24"/>
          <w:szCs w:val="24"/>
        </w:rPr>
        <w:t xml:space="preserve">-Lopes, D. M., Andrade, C. D., </w:t>
      </w:r>
      <w:proofErr w:type="spellStart"/>
      <w:r>
        <w:rPr>
          <w:rFonts w:ascii="Times New Roman" w:eastAsia="Times New Roman" w:hAnsi="Times New Roman" w:cs="Times New Roman"/>
          <w:sz w:val="24"/>
          <w:szCs w:val="24"/>
        </w:rPr>
        <w:t>Befi</w:t>
      </w:r>
      <w:proofErr w:type="spellEnd"/>
      <w:r>
        <w:rPr>
          <w:rFonts w:ascii="Times New Roman" w:eastAsia="Times New Roman" w:hAnsi="Times New Roman" w:cs="Times New Roman"/>
          <w:sz w:val="24"/>
          <w:szCs w:val="24"/>
        </w:rPr>
        <w:t xml:space="preserve">-Lopes, D. M., Fernandes, F. D. M., &amp; </w:t>
      </w:r>
      <w:proofErr w:type="spellStart"/>
      <w:r>
        <w:rPr>
          <w:rFonts w:ascii="Times New Roman" w:eastAsia="Times New Roman" w:hAnsi="Times New Roman" w:cs="Times New Roman"/>
          <w:sz w:val="24"/>
          <w:szCs w:val="24"/>
        </w:rPr>
        <w:t>Wertzner</w:t>
      </w:r>
      <w:proofErr w:type="spellEnd"/>
      <w:r>
        <w:rPr>
          <w:rFonts w:ascii="Times New Roman" w:eastAsia="Times New Roman" w:hAnsi="Times New Roman" w:cs="Times New Roman"/>
          <w:sz w:val="24"/>
          <w:szCs w:val="24"/>
        </w:rPr>
        <w:t xml:space="preserve">, H. F. (2004). ABFW: teste de linguagem infantil nas áreas de fonologia, vocabulário, fluência e pragmática. rev. </w:t>
      </w:r>
      <w:proofErr w:type="spellStart"/>
      <w:r>
        <w:rPr>
          <w:rFonts w:ascii="Times New Roman" w:eastAsia="Times New Roman" w:hAnsi="Times New Roman" w:cs="Times New Roman"/>
          <w:sz w:val="24"/>
          <w:szCs w:val="24"/>
        </w:rPr>
        <w:t>ampl</w:t>
      </w:r>
      <w:proofErr w:type="spellEnd"/>
      <w:r>
        <w:rPr>
          <w:rFonts w:ascii="Times New Roman" w:eastAsia="Times New Roman" w:hAnsi="Times New Roman" w:cs="Times New Roman"/>
          <w:sz w:val="24"/>
          <w:szCs w:val="24"/>
        </w:rPr>
        <w:t>. atual., 33-50.</w:t>
      </w:r>
    </w:p>
    <w:p w14:paraId="650097CD" w14:textId="77777777" w:rsidR="00BC5766" w:rsidRDefault="00000000">
      <w:pPr>
        <w:numPr>
          <w:ilvl w:val="0"/>
          <w:numId w:val="5"/>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Munive</w:t>
      </w:r>
      <w:proofErr w:type="spellEnd"/>
      <w:r>
        <w:rPr>
          <w:rFonts w:ascii="Times New Roman" w:eastAsia="Times New Roman" w:hAnsi="Times New Roman" w:cs="Times New Roman"/>
          <w:sz w:val="24"/>
          <w:szCs w:val="24"/>
        </w:rPr>
        <w:t xml:space="preserve">, J. N. A., &amp; </w:t>
      </w:r>
      <w:proofErr w:type="spellStart"/>
      <w:r>
        <w:rPr>
          <w:rFonts w:ascii="Times New Roman" w:eastAsia="Times New Roman" w:hAnsi="Times New Roman" w:cs="Times New Roman"/>
          <w:sz w:val="24"/>
          <w:szCs w:val="24"/>
        </w:rPr>
        <w:t>Cuzcano</w:t>
      </w:r>
      <w:proofErr w:type="spellEnd"/>
      <w:r>
        <w:rPr>
          <w:rFonts w:ascii="Times New Roman" w:eastAsia="Times New Roman" w:hAnsi="Times New Roman" w:cs="Times New Roman"/>
          <w:sz w:val="24"/>
          <w:szCs w:val="24"/>
        </w:rPr>
        <w:t xml:space="preserve">, S. E. C. (2022). </w:t>
      </w:r>
      <w:proofErr w:type="spellStart"/>
      <w:r>
        <w:rPr>
          <w:rFonts w:ascii="Times New Roman" w:eastAsia="Times New Roman" w:hAnsi="Times New Roman" w:cs="Times New Roman"/>
          <w:sz w:val="24"/>
          <w:szCs w:val="24"/>
        </w:rPr>
        <w:t>Adaptación</w:t>
      </w:r>
      <w:proofErr w:type="spellEnd"/>
      <w:r>
        <w:rPr>
          <w:rFonts w:ascii="Times New Roman" w:eastAsia="Times New Roman" w:hAnsi="Times New Roman" w:cs="Times New Roman"/>
          <w:sz w:val="24"/>
          <w:szCs w:val="24"/>
        </w:rPr>
        <w:t xml:space="preserve"> Psicométrica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Test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Lenguaje</w:t>
      </w:r>
      <w:proofErr w:type="spellEnd"/>
      <w:r>
        <w:rPr>
          <w:rFonts w:ascii="Times New Roman" w:eastAsia="Times New Roman" w:hAnsi="Times New Roman" w:cs="Times New Roman"/>
          <w:sz w:val="24"/>
          <w:szCs w:val="24"/>
        </w:rPr>
        <w:t xml:space="preserve"> Infantil “</w:t>
      </w:r>
      <w:proofErr w:type="gramStart"/>
      <w:r>
        <w:rPr>
          <w:rFonts w:ascii="Times New Roman" w:eastAsia="Times New Roman" w:hAnsi="Times New Roman" w:cs="Times New Roman"/>
          <w:sz w:val="24"/>
          <w:szCs w:val="24"/>
        </w:rPr>
        <w:t>ABFW”–</w:t>
      </w:r>
      <w:proofErr w:type="gramEnd"/>
      <w:r>
        <w:rPr>
          <w:rFonts w:ascii="Times New Roman" w:eastAsia="Times New Roman" w:hAnsi="Times New Roman" w:cs="Times New Roman"/>
          <w:sz w:val="24"/>
          <w:szCs w:val="24"/>
        </w:rPr>
        <w:t xml:space="preserve">Área de </w:t>
      </w:r>
      <w:proofErr w:type="spellStart"/>
      <w:r>
        <w:rPr>
          <w:rFonts w:ascii="Times New Roman" w:eastAsia="Times New Roman" w:hAnsi="Times New Roman" w:cs="Times New Roman"/>
          <w:sz w:val="24"/>
          <w:szCs w:val="24"/>
        </w:rPr>
        <w:t>Vocabulario</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Niños</w:t>
      </w:r>
      <w:proofErr w:type="spellEnd"/>
      <w:r>
        <w:rPr>
          <w:rFonts w:ascii="Times New Roman" w:eastAsia="Times New Roman" w:hAnsi="Times New Roman" w:cs="Times New Roman"/>
          <w:sz w:val="24"/>
          <w:szCs w:val="24"/>
        </w:rPr>
        <w:t xml:space="preserve"> de 3 A 6 </w:t>
      </w:r>
      <w:proofErr w:type="spellStart"/>
      <w:r>
        <w:rPr>
          <w:rFonts w:ascii="Times New Roman" w:eastAsia="Times New Roman" w:hAnsi="Times New Roman" w:cs="Times New Roman"/>
          <w:sz w:val="24"/>
          <w:szCs w:val="24"/>
        </w:rPr>
        <w:t>Años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Una </w:t>
      </w:r>
      <w:proofErr w:type="spellStart"/>
      <w:r>
        <w:rPr>
          <w:rFonts w:ascii="Times New Roman" w:eastAsia="Times New Roman" w:hAnsi="Times New Roman" w:cs="Times New Roman"/>
          <w:sz w:val="24"/>
          <w:szCs w:val="24"/>
        </w:rPr>
        <w:t>Institución</w:t>
      </w:r>
      <w:proofErr w:type="spellEnd"/>
      <w:r>
        <w:rPr>
          <w:rFonts w:ascii="Times New Roman" w:eastAsia="Times New Roman" w:hAnsi="Times New Roman" w:cs="Times New Roman"/>
          <w:sz w:val="24"/>
          <w:szCs w:val="24"/>
        </w:rPr>
        <w:t xml:space="preserve"> Pública Y Privada de Lima (</w:t>
      </w:r>
      <w:proofErr w:type="spellStart"/>
      <w:r>
        <w:rPr>
          <w:rFonts w:ascii="Times New Roman" w:eastAsia="Times New Roman" w:hAnsi="Times New Roman" w:cs="Times New Roman"/>
          <w:sz w:val="24"/>
          <w:szCs w:val="24"/>
        </w:rPr>
        <w:t>Master's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Pontificia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Catolica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Peru).</w:t>
      </w:r>
    </w:p>
    <w:p w14:paraId="62CC8385" w14:textId="77777777" w:rsidR="00BC5766" w:rsidRDefault="00000000">
      <w:pPr>
        <w:numPr>
          <w:ilvl w:val="0"/>
          <w:numId w:val="5"/>
        </w:numPr>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4"/>
          <w:szCs w:val="24"/>
          <w:highlight w:val="white"/>
        </w:rPr>
        <w:t xml:space="preserve">Hage, S. R. D. V., Pereira, T. C., &amp; Zorzi, J. L. (2012). Protocolo de Observação Comportamental-PROC: valores de referência para uma análise quantitativa. </w:t>
      </w:r>
      <w:r>
        <w:rPr>
          <w:rFonts w:ascii="Times New Roman" w:eastAsia="Times New Roman" w:hAnsi="Times New Roman" w:cs="Times New Roman"/>
          <w:i/>
          <w:color w:val="222222"/>
          <w:sz w:val="24"/>
          <w:szCs w:val="24"/>
          <w:highlight w:val="white"/>
        </w:rPr>
        <w:t>Revista CEFAC</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14</w:t>
      </w:r>
      <w:r>
        <w:rPr>
          <w:rFonts w:ascii="Times New Roman" w:eastAsia="Times New Roman" w:hAnsi="Times New Roman" w:cs="Times New Roman"/>
          <w:color w:val="222222"/>
          <w:sz w:val="24"/>
          <w:szCs w:val="24"/>
          <w:highlight w:val="white"/>
        </w:rPr>
        <w:t>, 677-690.</w:t>
      </w:r>
    </w:p>
    <w:p w14:paraId="5ADE836B"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Zorzi, J. L., &amp; Hage, S. R. V. (2004). PROC-Protocolo de observação comportamental. São José dos Campos: Pulso, 93.</w:t>
      </w:r>
    </w:p>
    <w:p w14:paraId="2564949C"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lastRenderedPageBreak/>
        <w:t xml:space="preserve">Kruger GR, Silveira JR, &amp; Marques AC. Motor skills of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cineantropom</w:t>
      </w:r>
      <w:proofErr w:type="spellEnd"/>
      <w:r>
        <w:rPr>
          <w:rFonts w:ascii="Times New Roman" w:eastAsia="Times New Roman" w:hAnsi="Times New Roman" w:cs="Times New Roman"/>
          <w:sz w:val="24"/>
          <w:szCs w:val="24"/>
        </w:rPr>
        <w:t xml:space="preserve">. desempenho </w:t>
      </w:r>
      <w:proofErr w:type="spellStart"/>
      <w:r>
        <w:rPr>
          <w:rFonts w:ascii="Times New Roman" w:eastAsia="Times New Roman" w:hAnsi="Times New Roman" w:cs="Times New Roman"/>
          <w:sz w:val="24"/>
          <w:szCs w:val="24"/>
        </w:rPr>
        <w:t>hum</w:t>
      </w:r>
      <w:proofErr w:type="spellEnd"/>
      <w:r>
        <w:rPr>
          <w:rFonts w:ascii="Times New Roman" w:eastAsia="Times New Roman" w:hAnsi="Times New Roman" w:cs="Times New Roman"/>
          <w:sz w:val="24"/>
          <w:szCs w:val="24"/>
        </w:rPr>
        <w:t xml:space="preserve">. 2019;21. </w:t>
      </w:r>
      <w:hyperlink r:id="rId7">
        <w:r>
          <w:rPr>
            <w:rFonts w:ascii="Times New Roman" w:eastAsia="Times New Roman" w:hAnsi="Times New Roman" w:cs="Times New Roman"/>
            <w:sz w:val="24"/>
            <w:szCs w:val="24"/>
            <w:u w:val="single"/>
          </w:rPr>
          <w:t>https://doi.org/10.1590/1980-0037.2019v21e60515</w:t>
        </w:r>
      </w:hyperlink>
    </w:p>
    <w:p w14:paraId="1EA5FE5D"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Middleton, A., Fritz, S. L., &amp; </w:t>
      </w:r>
      <w:proofErr w:type="spellStart"/>
      <w:r>
        <w:rPr>
          <w:rFonts w:ascii="Times New Roman" w:eastAsia="Times New Roman" w:hAnsi="Times New Roman" w:cs="Times New Roman"/>
          <w:sz w:val="24"/>
          <w:szCs w:val="24"/>
        </w:rPr>
        <w:t>Lusardi</w:t>
      </w:r>
      <w:proofErr w:type="spellEnd"/>
      <w:r>
        <w:rPr>
          <w:rFonts w:ascii="Times New Roman" w:eastAsia="Times New Roman" w:hAnsi="Times New Roman" w:cs="Times New Roman"/>
          <w:sz w:val="24"/>
          <w:szCs w:val="24"/>
        </w:rPr>
        <w:t xml:space="preserve">, M. (2015). </w:t>
      </w:r>
      <w:proofErr w:type="spellStart"/>
      <w:r>
        <w:rPr>
          <w:rFonts w:ascii="Times New Roman" w:eastAsia="Times New Roman" w:hAnsi="Times New Roman" w:cs="Times New Roman"/>
          <w:sz w:val="24"/>
          <w:szCs w:val="24"/>
        </w:rPr>
        <w:t>Walking</w:t>
      </w:r>
      <w:proofErr w:type="spellEnd"/>
      <w:r>
        <w:rPr>
          <w:rFonts w:ascii="Times New Roman" w:eastAsia="Times New Roman" w:hAnsi="Times New Roman" w:cs="Times New Roman"/>
          <w:sz w:val="24"/>
          <w:szCs w:val="24"/>
        </w:rPr>
        <w:t xml:space="preserve"> speed: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functional</w:t>
      </w:r>
      <w:proofErr w:type="spellEnd"/>
      <w:r>
        <w:rPr>
          <w:rFonts w:ascii="Times New Roman" w:eastAsia="Times New Roman" w:hAnsi="Times New Roman" w:cs="Times New Roman"/>
          <w:sz w:val="24"/>
          <w:szCs w:val="24"/>
        </w:rPr>
        <w:t xml:space="preserve"> vital sign. Journal of </w:t>
      </w:r>
      <w:proofErr w:type="spellStart"/>
      <w:r>
        <w:rPr>
          <w:rFonts w:ascii="Times New Roman" w:eastAsia="Times New Roman" w:hAnsi="Times New Roman" w:cs="Times New Roman"/>
          <w:sz w:val="24"/>
          <w:szCs w:val="24"/>
        </w:rPr>
        <w:t>aging</w:t>
      </w:r>
      <w:proofErr w:type="spellEnd"/>
      <w:r>
        <w:rPr>
          <w:rFonts w:ascii="Times New Roman" w:eastAsia="Times New Roman" w:hAnsi="Times New Roman" w:cs="Times New Roman"/>
          <w:sz w:val="24"/>
          <w:szCs w:val="24"/>
        </w:rPr>
        <w:t xml:space="preserve"> and physical activity, 23(2), 314–322. </w:t>
      </w:r>
      <w:hyperlink r:id="rId8">
        <w:r>
          <w:rPr>
            <w:rFonts w:ascii="Times New Roman" w:eastAsia="Times New Roman" w:hAnsi="Times New Roman" w:cs="Times New Roman"/>
            <w:color w:val="1155CC"/>
            <w:sz w:val="24"/>
            <w:szCs w:val="24"/>
            <w:u w:val="single"/>
          </w:rPr>
          <w:t>https://doi.org/10.1123/japa.2013-0236</w:t>
        </w:r>
      </w:hyperlink>
    </w:p>
    <w:p w14:paraId="611BF985"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sz w:val="24"/>
          <w:szCs w:val="24"/>
        </w:rPr>
        <w:t>Mundy</w:t>
      </w:r>
      <w:proofErr w:type="spellEnd"/>
      <w:r>
        <w:rPr>
          <w:rFonts w:ascii="Times New Roman" w:eastAsia="Times New Roman" w:hAnsi="Times New Roman" w:cs="Times New Roman"/>
          <w:sz w:val="24"/>
          <w:szCs w:val="24"/>
        </w:rPr>
        <w:t xml:space="preserve"> P. A review of joint </w:t>
      </w:r>
      <w:proofErr w:type="spellStart"/>
      <w:r>
        <w:rPr>
          <w:rFonts w:ascii="Times New Roman" w:eastAsia="Times New Roman" w:hAnsi="Times New Roman" w:cs="Times New Roman"/>
          <w:sz w:val="24"/>
          <w:szCs w:val="24"/>
        </w:rPr>
        <w:t>attention</w:t>
      </w:r>
      <w:proofErr w:type="spellEnd"/>
      <w:r>
        <w:rPr>
          <w:rFonts w:ascii="Times New Roman" w:eastAsia="Times New Roman" w:hAnsi="Times New Roman" w:cs="Times New Roman"/>
          <w:sz w:val="24"/>
          <w:szCs w:val="24"/>
        </w:rPr>
        <w:t xml:space="preserve"> and social-</w:t>
      </w:r>
      <w:proofErr w:type="spellStart"/>
      <w:r>
        <w:rPr>
          <w:rFonts w:ascii="Times New Roman" w:eastAsia="Times New Roman" w:hAnsi="Times New Roman" w:cs="Times New Roman"/>
          <w:sz w:val="24"/>
          <w:szCs w:val="24"/>
        </w:rPr>
        <w:t>cognitive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brain</w:t>
      </w:r>
      <w:proofErr w:type="spellEnd"/>
      <w:r>
        <w:rPr>
          <w:rFonts w:ascii="Times New Roman" w:eastAsia="Times New Roman" w:hAnsi="Times New Roman" w:cs="Times New Roman"/>
          <w:sz w:val="24"/>
          <w:szCs w:val="24"/>
        </w:rPr>
        <w:t xml:space="preserve"> systems in </w:t>
      </w:r>
      <w:proofErr w:type="spellStart"/>
      <w:r>
        <w:rPr>
          <w:rFonts w:ascii="Times New Roman" w:eastAsia="Times New Roman" w:hAnsi="Times New Roman" w:cs="Times New Roman"/>
          <w:sz w:val="24"/>
          <w:szCs w:val="24"/>
        </w:rPr>
        <w:t>typical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Eur. J. </w:t>
      </w:r>
      <w:proofErr w:type="spellStart"/>
      <w:r>
        <w:rPr>
          <w:rFonts w:ascii="Times New Roman" w:eastAsia="Times New Roman" w:hAnsi="Times New Roman" w:cs="Times New Roman"/>
          <w:sz w:val="24"/>
          <w:szCs w:val="24"/>
        </w:rPr>
        <w:t>Neurosci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2018;47:497</w:t>
      </w:r>
      <w:proofErr w:type="gramEnd"/>
      <w:r>
        <w:rPr>
          <w:rFonts w:ascii="Times New Roman" w:eastAsia="Times New Roman" w:hAnsi="Times New Roman" w:cs="Times New Roman"/>
          <w:sz w:val="24"/>
          <w:szCs w:val="24"/>
        </w:rPr>
        <w:t xml:space="preserve">–514.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10.1111/ejn.13720.</w:t>
      </w:r>
    </w:p>
    <w:p w14:paraId="094044F4"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sz w:val="24"/>
          <w:szCs w:val="24"/>
        </w:rPr>
        <w:t>Najafabadi</w:t>
      </w:r>
      <w:proofErr w:type="spellEnd"/>
      <w:r>
        <w:rPr>
          <w:rFonts w:ascii="Times New Roman" w:eastAsia="Times New Roman" w:hAnsi="Times New Roman" w:cs="Times New Roman"/>
          <w:sz w:val="24"/>
          <w:szCs w:val="24"/>
        </w:rPr>
        <w:t xml:space="preserve">, M. G., Sheikh, M., </w:t>
      </w:r>
      <w:proofErr w:type="spellStart"/>
      <w:r>
        <w:rPr>
          <w:rFonts w:ascii="Times New Roman" w:eastAsia="Times New Roman" w:hAnsi="Times New Roman" w:cs="Times New Roman"/>
          <w:sz w:val="24"/>
          <w:szCs w:val="24"/>
        </w:rPr>
        <w:t>Hemayattalab</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Memari</w:t>
      </w:r>
      <w:proofErr w:type="spellEnd"/>
      <w:r>
        <w:rPr>
          <w:rFonts w:ascii="Times New Roman" w:eastAsia="Times New Roman" w:hAnsi="Times New Roman" w:cs="Times New Roman"/>
          <w:sz w:val="24"/>
          <w:szCs w:val="24"/>
        </w:rPr>
        <w:t xml:space="preserve">, A. H., </w:t>
      </w:r>
      <w:proofErr w:type="spellStart"/>
      <w:r>
        <w:rPr>
          <w:rFonts w:ascii="Times New Roman" w:eastAsia="Times New Roman" w:hAnsi="Times New Roman" w:cs="Times New Roman"/>
          <w:sz w:val="24"/>
          <w:szCs w:val="24"/>
        </w:rPr>
        <w:t>Aderyani</w:t>
      </w:r>
      <w:proofErr w:type="spellEnd"/>
      <w:r>
        <w:rPr>
          <w:rFonts w:ascii="Times New Roman" w:eastAsia="Times New Roman" w:hAnsi="Times New Roman" w:cs="Times New Roman"/>
          <w:sz w:val="24"/>
          <w:szCs w:val="24"/>
        </w:rPr>
        <w:t xml:space="preserve">, M. R., &amp; </w:t>
      </w:r>
      <w:proofErr w:type="spellStart"/>
      <w:r>
        <w:rPr>
          <w:rFonts w:ascii="Times New Roman" w:eastAsia="Times New Roman" w:hAnsi="Times New Roman" w:cs="Times New Roman"/>
          <w:sz w:val="24"/>
          <w:szCs w:val="24"/>
        </w:rPr>
        <w:t>Hafizi</w:t>
      </w:r>
      <w:proofErr w:type="spellEnd"/>
      <w:r>
        <w:rPr>
          <w:rFonts w:ascii="Times New Roman" w:eastAsia="Times New Roman" w:hAnsi="Times New Roman" w:cs="Times New Roman"/>
          <w:sz w:val="24"/>
          <w:szCs w:val="24"/>
        </w:rPr>
        <w:t xml:space="preserve">, S. (2018). The effect of SPARK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social and motor skills of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Pediatrics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Neonatology</w:t>
      </w:r>
      <w:proofErr w:type="spellEnd"/>
      <w:r>
        <w:rPr>
          <w:rFonts w:ascii="Times New Roman" w:eastAsia="Times New Roman" w:hAnsi="Times New Roman" w:cs="Times New Roman"/>
          <w:sz w:val="24"/>
          <w:szCs w:val="24"/>
        </w:rPr>
        <w:t>, 59(5), 481-487.</w:t>
      </w:r>
    </w:p>
    <w:p w14:paraId="01A1EBC2"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Pena, G. M., Pavão, S. L., Oliveira, M. F. P., Godoi, D., de Campos, A. C., &amp; Rocha, N. A. C. F. (2019). Dual-</w:t>
      </w:r>
      <w:proofErr w:type="spellStart"/>
      <w:r>
        <w:rPr>
          <w:rFonts w:ascii="Times New Roman" w:eastAsia="Times New Roman" w:hAnsi="Times New Roman" w:cs="Times New Roman"/>
          <w:sz w:val="24"/>
          <w:szCs w:val="24"/>
        </w:rPr>
        <w:t>task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postural </w:t>
      </w:r>
      <w:proofErr w:type="spellStart"/>
      <w:r>
        <w:rPr>
          <w:rFonts w:ascii="Times New Roman" w:eastAsia="Times New Roman" w:hAnsi="Times New Roman" w:cs="Times New Roman"/>
          <w:sz w:val="24"/>
          <w:szCs w:val="24"/>
        </w:rPr>
        <w:t>sway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to-stand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Down </w:t>
      </w:r>
      <w:proofErr w:type="spellStart"/>
      <w:r>
        <w:rPr>
          <w:rFonts w:ascii="Times New Roman" w:eastAsia="Times New Roman" w:hAnsi="Times New Roman" w:cs="Times New Roman"/>
          <w:sz w:val="24"/>
          <w:szCs w:val="24"/>
        </w:rPr>
        <w:t>syndrome</w:t>
      </w:r>
      <w:proofErr w:type="spellEnd"/>
      <w:r>
        <w:rPr>
          <w:rFonts w:ascii="Times New Roman" w:eastAsia="Times New Roman" w:hAnsi="Times New Roman" w:cs="Times New Roman"/>
          <w:sz w:val="24"/>
          <w:szCs w:val="24"/>
        </w:rPr>
        <w:t xml:space="preserve">. Journal of </w:t>
      </w:r>
      <w:proofErr w:type="spellStart"/>
      <w:r>
        <w:rPr>
          <w:rFonts w:ascii="Times New Roman" w:eastAsia="Times New Roman" w:hAnsi="Times New Roman" w:cs="Times New Roman"/>
          <w:sz w:val="24"/>
          <w:szCs w:val="24"/>
        </w:rPr>
        <w:t>intellectual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disability</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JIDR, 63(6), 576–586. </w:t>
      </w:r>
      <w:hyperlink r:id="rId9">
        <w:r>
          <w:rPr>
            <w:rFonts w:ascii="Times New Roman" w:eastAsia="Times New Roman" w:hAnsi="Times New Roman" w:cs="Times New Roman"/>
            <w:color w:val="1155CC"/>
            <w:sz w:val="24"/>
            <w:szCs w:val="24"/>
            <w:u w:val="single"/>
          </w:rPr>
          <w:t>https://doi.org/10.1111/jir.12599</w:t>
        </w:r>
      </w:hyperlink>
    </w:p>
    <w:p w14:paraId="3BDE1DE9"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Pineda, R. C., </w:t>
      </w:r>
      <w:proofErr w:type="spellStart"/>
      <w:r>
        <w:rPr>
          <w:rFonts w:ascii="Times New Roman" w:eastAsia="Times New Roman" w:hAnsi="Times New Roman" w:cs="Times New Roman"/>
          <w:sz w:val="24"/>
          <w:szCs w:val="24"/>
        </w:rPr>
        <w:t>Krampe</w:t>
      </w:r>
      <w:proofErr w:type="spellEnd"/>
      <w:r>
        <w:rPr>
          <w:rFonts w:ascii="Times New Roman" w:eastAsia="Times New Roman" w:hAnsi="Times New Roman" w:cs="Times New Roman"/>
          <w:sz w:val="24"/>
          <w:szCs w:val="24"/>
        </w:rPr>
        <w:t xml:space="preserve">, R. T., </w:t>
      </w:r>
      <w:proofErr w:type="spellStart"/>
      <w:r>
        <w:rPr>
          <w:rFonts w:ascii="Times New Roman" w:eastAsia="Times New Roman" w:hAnsi="Times New Roman" w:cs="Times New Roman"/>
          <w:sz w:val="24"/>
          <w:szCs w:val="24"/>
        </w:rPr>
        <w:t>Vanlandewijck</w:t>
      </w:r>
      <w:proofErr w:type="spellEnd"/>
      <w:r>
        <w:rPr>
          <w:rFonts w:ascii="Times New Roman" w:eastAsia="Times New Roman" w:hAnsi="Times New Roman" w:cs="Times New Roman"/>
          <w:sz w:val="24"/>
          <w:szCs w:val="24"/>
        </w:rPr>
        <w:t xml:space="preserve">, Y., &amp; Van </w:t>
      </w:r>
      <w:proofErr w:type="spellStart"/>
      <w:r>
        <w:rPr>
          <w:rFonts w:ascii="Times New Roman" w:eastAsia="Times New Roman" w:hAnsi="Times New Roman" w:cs="Times New Roman"/>
          <w:sz w:val="24"/>
          <w:szCs w:val="24"/>
        </w:rPr>
        <w:t>Biesen</w:t>
      </w:r>
      <w:proofErr w:type="spellEnd"/>
      <w:r>
        <w:rPr>
          <w:rFonts w:ascii="Times New Roman" w:eastAsia="Times New Roman" w:hAnsi="Times New Roman" w:cs="Times New Roman"/>
          <w:sz w:val="24"/>
          <w:szCs w:val="24"/>
        </w:rPr>
        <w:t>, D. (2023). Scoping review of dual-</w:t>
      </w:r>
      <w:proofErr w:type="spellStart"/>
      <w:r>
        <w:rPr>
          <w:rFonts w:ascii="Times New Roman" w:eastAsia="Times New Roman" w:hAnsi="Times New Roman" w:cs="Times New Roman"/>
          <w:sz w:val="24"/>
          <w:szCs w:val="24"/>
        </w:rPr>
        <w:t>task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interference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individuals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intellectual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Frontiers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psychology</w:t>
      </w:r>
      <w:proofErr w:type="spellEnd"/>
      <w:r>
        <w:rPr>
          <w:rFonts w:ascii="Times New Roman" w:eastAsia="Times New Roman" w:hAnsi="Times New Roman" w:cs="Times New Roman"/>
          <w:sz w:val="24"/>
          <w:szCs w:val="24"/>
        </w:rPr>
        <w:t xml:space="preserve">, 14, 1223288. </w:t>
      </w:r>
      <w:hyperlink r:id="rId10">
        <w:r>
          <w:rPr>
            <w:rFonts w:ascii="Times New Roman" w:eastAsia="Times New Roman" w:hAnsi="Times New Roman" w:cs="Times New Roman"/>
            <w:color w:val="1155CC"/>
            <w:sz w:val="24"/>
            <w:szCs w:val="24"/>
            <w:u w:val="single"/>
          </w:rPr>
          <w:t>https://doi.org/10.3389/fpsyg.2023.1223288</w:t>
        </w:r>
      </w:hyperlink>
    </w:p>
    <w:p w14:paraId="532E4278" w14:textId="77777777" w:rsidR="00BC5766" w:rsidRDefault="00000000">
      <w:pPr>
        <w:numPr>
          <w:ilvl w:val="0"/>
          <w:numId w:val="5"/>
        </w:numPr>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sz w:val="24"/>
          <w:szCs w:val="24"/>
        </w:rPr>
        <w:t>Portney</w:t>
      </w:r>
      <w:proofErr w:type="spellEnd"/>
      <w:r>
        <w:rPr>
          <w:rFonts w:ascii="Times New Roman" w:eastAsia="Times New Roman" w:hAnsi="Times New Roman" w:cs="Times New Roman"/>
          <w:sz w:val="24"/>
          <w:szCs w:val="24"/>
        </w:rPr>
        <w:t xml:space="preserve"> LG, Watkins MP. </w:t>
      </w:r>
      <w:proofErr w:type="spellStart"/>
      <w:r>
        <w:rPr>
          <w:rFonts w:ascii="Times New Roman" w:eastAsia="Times New Roman" w:hAnsi="Times New Roman" w:cs="Times New Roman"/>
          <w:sz w:val="24"/>
          <w:szCs w:val="24"/>
        </w:rPr>
        <w:t>Foundations</w:t>
      </w:r>
      <w:proofErr w:type="spellEnd"/>
      <w:r>
        <w:rPr>
          <w:rFonts w:ascii="Times New Roman" w:eastAsia="Times New Roman" w:hAnsi="Times New Roman" w:cs="Times New Roman"/>
          <w:sz w:val="24"/>
          <w:szCs w:val="24"/>
        </w:rPr>
        <w:t xml:space="preserve"> of Clinical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Practice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Vol</w:t>
      </w:r>
      <w:proofErr w:type="spellEnd"/>
      <w:r>
        <w:rPr>
          <w:rFonts w:ascii="Times New Roman" w:eastAsia="Times New Roman" w:hAnsi="Times New Roman" w:cs="Times New Roman"/>
          <w:sz w:val="24"/>
          <w:szCs w:val="24"/>
        </w:rPr>
        <w:t xml:space="preserve"> 892. Upper </w:t>
      </w:r>
      <w:proofErr w:type="spellStart"/>
      <w:r>
        <w:rPr>
          <w:rFonts w:ascii="Times New Roman" w:eastAsia="Times New Roman" w:hAnsi="Times New Roman" w:cs="Times New Roman"/>
          <w:sz w:val="24"/>
          <w:szCs w:val="24"/>
        </w:rPr>
        <w:t>Saddle</w:t>
      </w:r>
      <w:proofErr w:type="spellEnd"/>
      <w:r>
        <w:rPr>
          <w:rFonts w:ascii="Times New Roman" w:eastAsia="Times New Roman" w:hAnsi="Times New Roman" w:cs="Times New Roman"/>
          <w:sz w:val="24"/>
          <w:szCs w:val="24"/>
        </w:rPr>
        <w:t xml:space="preserve"> River, NJ: Pearson/Prentice Hall; 2009.</w:t>
      </w:r>
    </w:p>
    <w:p w14:paraId="30B8DE32" w14:textId="77777777" w:rsidR="00BC5766" w:rsidRDefault="00BC5766">
      <w:pPr>
        <w:ind w:left="566"/>
        <w:jc w:val="both"/>
        <w:rPr>
          <w:rFonts w:ascii="Times New Roman" w:eastAsia="Times New Roman" w:hAnsi="Times New Roman" w:cs="Times New Roman"/>
          <w:sz w:val="24"/>
          <w:szCs w:val="24"/>
        </w:rPr>
      </w:pPr>
    </w:p>
    <w:p w14:paraId="3F30ED85" w14:textId="77777777" w:rsidR="00BC5766" w:rsidRDefault="00BC5766">
      <w:pPr>
        <w:ind w:left="566"/>
        <w:jc w:val="both"/>
        <w:rPr>
          <w:rFonts w:ascii="Times New Roman" w:eastAsia="Times New Roman" w:hAnsi="Times New Roman" w:cs="Times New Roman"/>
          <w:sz w:val="24"/>
          <w:szCs w:val="24"/>
        </w:rPr>
      </w:pPr>
    </w:p>
    <w:p w14:paraId="5314DA7C" w14:textId="77777777" w:rsidR="00BC5766" w:rsidRDefault="00BC5766">
      <w:pPr>
        <w:ind w:left="566"/>
        <w:jc w:val="both"/>
        <w:rPr>
          <w:rFonts w:ascii="Times New Roman" w:eastAsia="Times New Roman" w:hAnsi="Times New Roman" w:cs="Times New Roman"/>
          <w:sz w:val="24"/>
          <w:szCs w:val="24"/>
        </w:rPr>
      </w:pPr>
    </w:p>
    <w:p w14:paraId="620EB8B6" w14:textId="77777777" w:rsidR="00BC5766" w:rsidRDefault="00BC5766">
      <w:pPr>
        <w:ind w:left="566"/>
        <w:jc w:val="both"/>
        <w:rPr>
          <w:rFonts w:ascii="Times New Roman" w:eastAsia="Times New Roman" w:hAnsi="Times New Roman" w:cs="Times New Roman"/>
          <w:sz w:val="24"/>
          <w:szCs w:val="24"/>
        </w:rPr>
      </w:pPr>
    </w:p>
    <w:p w14:paraId="69D10D02" w14:textId="77777777" w:rsidR="00BC5766" w:rsidRDefault="00BC5766">
      <w:pPr>
        <w:ind w:left="566"/>
        <w:jc w:val="both"/>
        <w:rPr>
          <w:rFonts w:ascii="Times New Roman" w:eastAsia="Times New Roman" w:hAnsi="Times New Roman" w:cs="Times New Roman"/>
          <w:sz w:val="24"/>
          <w:szCs w:val="24"/>
        </w:rPr>
      </w:pPr>
    </w:p>
    <w:p w14:paraId="13ECFF57" w14:textId="77777777" w:rsidR="00BC5766" w:rsidRDefault="00BC5766">
      <w:pPr>
        <w:ind w:left="566"/>
        <w:jc w:val="both"/>
        <w:rPr>
          <w:rFonts w:ascii="Times New Roman" w:eastAsia="Times New Roman" w:hAnsi="Times New Roman" w:cs="Times New Roman"/>
          <w:sz w:val="24"/>
          <w:szCs w:val="24"/>
        </w:rPr>
      </w:pPr>
    </w:p>
    <w:p w14:paraId="060C5884" w14:textId="77777777" w:rsidR="00BC5766" w:rsidRDefault="00BC5766">
      <w:pPr>
        <w:ind w:left="566"/>
        <w:jc w:val="both"/>
        <w:rPr>
          <w:rFonts w:ascii="Times New Roman" w:eastAsia="Times New Roman" w:hAnsi="Times New Roman" w:cs="Times New Roman"/>
          <w:sz w:val="24"/>
          <w:szCs w:val="24"/>
        </w:rPr>
      </w:pPr>
    </w:p>
    <w:p w14:paraId="22AC845D" w14:textId="77777777" w:rsidR="00BC5766" w:rsidRDefault="00BC5766">
      <w:pPr>
        <w:ind w:left="566"/>
        <w:jc w:val="both"/>
        <w:rPr>
          <w:rFonts w:ascii="Times New Roman" w:eastAsia="Times New Roman" w:hAnsi="Times New Roman" w:cs="Times New Roman"/>
          <w:sz w:val="24"/>
          <w:szCs w:val="24"/>
        </w:rPr>
      </w:pPr>
    </w:p>
    <w:p w14:paraId="4F5EB768" w14:textId="77777777" w:rsidR="00BC5766" w:rsidRDefault="00BC5766">
      <w:pPr>
        <w:ind w:left="566"/>
        <w:jc w:val="both"/>
        <w:rPr>
          <w:rFonts w:ascii="Times New Roman" w:eastAsia="Times New Roman" w:hAnsi="Times New Roman" w:cs="Times New Roman"/>
          <w:sz w:val="24"/>
          <w:szCs w:val="24"/>
        </w:rPr>
      </w:pPr>
    </w:p>
    <w:p w14:paraId="7FAEDF87" w14:textId="77777777" w:rsidR="00BC5766" w:rsidRDefault="00BC5766">
      <w:pPr>
        <w:ind w:left="566"/>
        <w:jc w:val="both"/>
        <w:rPr>
          <w:rFonts w:ascii="Times New Roman" w:eastAsia="Times New Roman" w:hAnsi="Times New Roman" w:cs="Times New Roman"/>
          <w:sz w:val="24"/>
          <w:szCs w:val="24"/>
        </w:rPr>
        <w:sectPr w:rsidR="00BC5766">
          <w:pgSz w:w="11909" w:h="16834"/>
          <w:pgMar w:top="1440" w:right="1440" w:bottom="1440" w:left="1440" w:header="720" w:footer="720" w:gutter="0"/>
          <w:pgNumType w:start="1"/>
          <w:cols w:space="720"/>
        </w:sectPr>
      </w:pPr>
    </w:p>
    <w:p w14:paraId="72C23A92" w14:textId="77777777" w:rsidR="00BC5766" w:rsidRDefault="00BC5766">
      <w:pPr>
        <w:jc w:val="both"/>
        <w:rPr>
          <w:rFonts w:ascii="Times New Roman" w:eastAsia="Times New Roman" w:hAnsi="Times New Roman" w:cs="Times New Roman"/>
          <w:sz w:val="24"/>
          <w:szCs w:val="24"/>
        </w:rPr>
      </w:pPr>
    </w:p>
    <w:p w14:paraId="204DEF0C" w14:textId="77777777" w:rsidR="00BC5766" w:rsidRDefault="00BC5766">
      <w:pPr>
        <w:jc w:val="both"/>
        <w:rPr>
          <w:rFonts w:ascii="Times New Roman" w:eastAsia="Times New Roman" w:hAnsi="Times New Roman" w:cs="Times New Roman"/>
          <w:sz w:val="24"/>
          <w:szCs w:val="24"/>
        </w:rPr>
      </w:pPr>
    </w:p>
    <w:p w14:paraId="68D86A83" w14:textId="77777777" w:rsidR="00BC5766" w:rsidRDefault="00BC5766">
      <w:pPr>
        <w:jc w:val="both"/>
        <w:rPr>
          <w:rFonts w:ascii="Times New Roman" w:eastAsia="Times New Roman" w:hAnsi="Times New Roman" w:cs="Times New Roman"/>
          <w:sz w:val="24"/>
          <w:szCs w:val="24"/>
        </w:rPr>
      </w:pPr>
    </w:p>
    <w:p w14:paraId="517B048C" w14:textId="77777777" w:rsidR="00BC5766" w:rsidRDefault="00000000">
      <w:pPr>
        <w:jc w:val="center"/>
        <w:rPr>
          <w:b/>
        </w:rPr>
      </w:pPr>
      <w:r>
        <w:rPr>
          <w:b/>
        </w:rPr>
        <w:t>Apêndice 1. Protocolo MIG</w:t>
      </w:r>
    </w:p>
    <w:p w14:paraId="776A4A58" w14:textId="77777777" w:rsidR="00BC5766" w:rsidRDefault="00BC5766">
      <w:pPr>
        <w:jc w:val="center"/>
        <w:rPr>
          <w:b/>
        </w:rPr>
      </w:pPr>
    </w:p>
    <w:p w14:paraId="43B309DB" w14:textId="77777777" w:rsidR="00BC5766" w:rsidRDefault="00000000">
      <w:pPr>
        <w:jc w:val="center"/>
        <w:rPr>
          <w:b/>
        </w:rPr>
      </w:pPr>
      <w:r>
        <w:rPr>
          <w:b/>
          <w:noProof/>
        </w:rPr>
        <w:lastRenderedPageBreak/>
        <w:drawing>
          <wp:inline distT="114300" distB="114300" distL="114300" distR="114300" wp14:anchorId="0CCE1321" wp14:editId="58C08D23">
            <wp:extent cx="8863200" cy="7150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863200" cy="7150100"/>
                    </a:xfrm>
                    <a:prstGeom prst="rect">
                      <a:avLst/>
                    </a:prstGeom>
                    <a:ln/>
                  </pic:spPr>
                </pic:pic>
              </a:graphicData>
            </a:graphic>
          </wp:inline>
        </w:drawing>
      </w:r>
    </w:p>
    <w:p w14:paraId="468DE203" w14:textId="77777777" w:rsidR="00BC5766" w:rsidRDefault="00BC5766">
      <w:pPr>
        <w:jc w:val="center"/>
        <w:rPr>
          <w:b/>
        </w:rPr>
      </w:pPr>
    </w:p>
    <w:p w14:paraId="4C24638F" w14:textId="77777777" w:rsidR="00BC5766" w:rsidRDefault="00BC5766">
      <w:pPr>
        <w:jc w:val="both"/>
        <w:rPr>
          <w:b/>
          <w:u w:val="single"/>
        </w:rPr>
      </w:pPr>
    </w:p>
    <w:p w14:paraId="2B0C2FF4" w14:textId="77777777" w:rsidR="00BC5766" w:rsidRDefault="00BC5766">
      <w:pPr>
        <w:jc w:val="center"/>
        <w:rPr>
          <w:b/>
          <w:u w:val="single"/>
        </w:rPr>
      </w:pPr>
    </w:p>
    <w:p w14:paraId="0D9876AA" w14:textId="77777777" w:rsidR="00BC5766"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Apêndice 2. Gramática narrativa</w:t>
      </w:r>
    </w:p>
    <w:p w14:paraId="2D0D1520" w14:textId="77777777" w:rsidR="00BC5766" w:rsidRDefault="00BC5766">
      <w:pPr>
        <w:rPr>
          <w:rFonts w:ascii="Times New Roman" w:eastAsia="Times New Roman" w:hAnsi="Times New Roman" w:cs="Times New Roman"/>
          <w:b/>
          <w:sz w:val="24"/>
          <w:szCs w:val="24"/>
        </w:rPr>
      </w:pPr>
    </w:p>
    <w:p w14:paraId="69F03D65" w14:textId="77777777" w:rsidR="00BC5766" w:rsidRDefault="00BC5766">
      <w:pPr>
        <w:rPr>
          <w:rFonts w:ascii="Times New Roman" w:eastAsia="Times New Roman" w:hAnsi="Times New Roman" w:cs="Times New Roman"/>
          <w:b/>
          <w:sz w:val="24"/>
          <w:szCs w:val="24"/>
        </w:rPr>
      </w:pPr>
    </w:p>
    <w:p w14:paraId="4070448D" w14:textId="77777777" w:rsidR="00BC5766" w:rsidRDefault="00BC5766">
      <w:pPr>
        <w:jc w:val="center"/>
        <w:rPr>
          <w:b/>
          <w:u w:val="single"/>
        </w:rPr>
      </w:pPr>
    </w:p>
    <w:p w14:paraId="2E02AE8A" w14:textId="77777777" w:rsidR="00BC5766" w:rsidRDefault="00BC5766">
      <w:pPr>
        <w:jc w:val="center"/>
        <w:rPr>
          <w:b/>
          <w:u w:val="single"/>
        </w:rPr>
        <w:sectPr w:rsidR="00BC5766">
          <w:pgSz w:w="16834" w:h="11909" w:orient="landscape"/>
          <w:pgMar w:top="1440" w:right="1440" w:bottom="1440" w:left="1440" w:header="720" w:footer="720" w:gutter="0"/>
          <w:cols w:space="720"/>
        </w:sectPr>
      </w:pPr>
    </w:p>
    <w:p w14:paraId="37EEAB64" w14:textId="77777777" w:rsidR="00BC5766" w:rsidRDefault="00BC5766"/>
    <w:tbl>
      <w:tblPr>
        <w:tblStyle w:val="a2"/>
        <w:tblW w:w="104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3480"/>
        <w:gridCol w:w="3480"/>
      </w:tblGrid>
      <w:tr w:rsidR="00BC5766" w14:paraId="008EC72E" w14:textId="77777777">
        <w:trPr>
          <w:trHeight w:val="420"/>
        </w:trPr>
        <w:tc>
          <w:tcPr>
            <w:tcW w:w="6960" w:type="dxa"/>
            <w:gridSpan w:val="2"/>
            <w:tcBorders>
              <w:top w:val="nil"/>
              <w:left w:val="nil"/>
              <w:bottom w:val="nil"/>
            </w:tcBorders>
            <w:tcMar>
              <w:top w:w="100" w:type="dxa"/>
              <w:left w:w="100" w:type="dxa"/>
              <w:bottom w:w="100" w:type="dxa"/>
              <w:right w:w="100" w:type="dxa"/>
            </w:tcMar>
          </w:tcPr>
          <w:p w14:paraId="5A31EB33" w14:textId="77777777" w:rsidR="00BC5766" w:rsidRDefault="00000000">
            <w:pPr>
              <w:rPr>
                <w:b/>
                <w:sz w:val="20"/>
                <w:szCs w:val="20"/>
              </w:rPr>
            </w:pPr>
            <w:r>
              <w:rPr>
                <w:rFonts w:ascii="Times New Roman" w:eastAsia="Times New Roman" w:hAnsi="Times New Roman" w:cs="Times New Roman"/>
                <w:b/>
                <w:sz w:val="24"/>
                <w:szCs w:val="24"/>
              </w:rPr>
              <w:t>Apêndice 3. Escala de Envolvimento do Participante</w:t>
            </w:r>
            <w:r>
              <w:rPr>
                <w:b/>
                <w:sz w:val="20"/>
                <w:szCs w:val="20"/>
              </w:rPr>
              <w:t xml:space="preserve"> </w:t>
            </w:r>
          </w:p>
        </w:tc>
        <w:tc>
          <w:tcPr>
            <w:tcW w:w="3480" w:type="dxa"/>
            <w:tcMar>
              <w:top w:w="100" w:type="dxa"/>
              <w:left w:w="100" w:type="dxa"/>
              <w:bottom w:w="100" w:type="dxa"/>
              <w:right w:w="100" w:type="dxa"/>
            </w:tcMar>
          </w:tcPr>
          <w:p w14:paraId="4818F57E" w14:textId="77777777" w:rsidR="00BC5766" w:rsidRDefault="00000000">
            <w:pPr>
              <w:widowControl w:val="0"/>
              <w:spacing w:line="240" w:lineRule="auto"/>
              <w:rPr>
                <w:sz w:val="18"/>
                <w:szCs w:val="18"/>
              </w:rPr>
            </w:pPr>
            <w:r>
              <w:rPr>
                <w:sz w:val="18"/>
                <w:szCs w:val="18"/>
              </w:rPr>
              <w:t>Código do Participante:</w:t>
            </w:r>
          </w:p>
        </w:tc>
      </w:tr>
      <w:tr w:rsidR="00BC5766" w14:paraId="2E11DFBB" w14:textId="77777777">
        <w:trPr>
          <w:trHeight w:val="162"/>
        </w:trPr>
        <w:tc>
          <w:tcPr>
            <w:tcW w:w="10440" w:type="dxa"/>
            <w:gridSpan w:val="3"/>
            <w:tcBorders>
              <w:top w:val="nil"/>
              <w:left w:val="nil"/>
            </w:tcBorders>
            <w:tcMar>
              <w:top w:w="100" w:type="dxa"/>
              <w:left w:w="100" w:type="dxa"/>
              <w:bottom w:w="100" w:type="dxa"/>
              <w:right w:w="100" w:type="dxa"/>
            </w:tcMar>
          </w:tcPr>
          <w:p w14:paraId="007BF27A" w14:textId="77777777" w:rsidR="00BC5766" w:rsidRDefault="00BC5766">
            <w:pPr>
              <w:widowControl w:val="0"/>
              <w:spacing w:line="240" w:lineRule="auto"/>
              <w:rPr>
                <w:sz w:val="2"/>
                <w:szCs w:val="2"/>
              </w:rPr>
            </w:pPr>
          </w:p>
        </w:tc>
      </w:tr>
      <w:tr w:rsidR="00BC5766" w14:paraId="452F3A0C" w14:textId="77777777">
        <w:trPr>
          <w:trHeight w:val="420"/>
        </w:trPr>
        <w:tc>
          <w:tcPr>
            <w:tcW w:w="10440" w:type="dxa"/>
            <w:gridSpan w:val="3"/>
            <w:tcMar>
              <w:top w:w="100" w:type="dxa"/>
              <w:left w:w="100" w:type="dxa"/>
              <w:bottom w:w="100" w:type="dxa"/>
              <w:right w:w="100" w:type="dxa"/>
            </w:tcMar>
          </w:tcPr>
          <w:p w14:paraId="7EC0CAC1" w14:textId="77777777" w:rsidR="00BC5766" w:rsidRDefault="00000000">
            <w:pPr>
              <w:widowControl w:val="0"/>
              <w:spacing w:line="240" w:lineRule="auto"/>
              <w:rPr>
                <w:sz w:val="18"/>
                <w:szCs w:val="18"/>
              </w:rPr>
            </w:pPr>
            <w:r>
              <w:rPr>
                <w:sz w:val="18"/>
                <w:szCs w:val="18"/>
              </w:rPr>
              <w:t>Intervencionista:</w:t>
            </w:r>
          </w:p>
        </w:tc>
      </w:tr>
      <w:tr w:rsidR="00BC5766" w14:paraId="7314BCD1" w14:textId="77777777">
        <w:tc>
          <w:tcPr>
            <w:tcW w:w="3480" w:type="dxa"/>
            <w:tcMar>
              <w:top w:w="100" w:type="dxa"/>
              <w:left w:w="100" w:type="dxa"/>
              <w:bottom w:w="100" w:type="dxa"/>
              <w:right w:w="100" w:type="dxa"/>
            </w:tcMar>
          </w:tcPr>
          <w:p w14:paraId="3FD2BE31"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12D743DB"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6752EB2B"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44C05A46" w14:textId="77777777">
        <w:tc>
          <w:tcPr>
            <w:tcW w:w="3480" w:type="dxa"/>
            <w:tcMar>
              <w:top w:w="100" w:type="dxa"/>
              <w:left w:w="100" w:type="dxa"/>
              <w:bottom w:w="100" w:type="dxa"/>
              <w:right w:w="100" w:type="dxa"/>
            </w:tcMar>
          </w:tcPr>
          <w:p w14:paraId="7D9C82DA"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7854D8CE"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6A0E6187"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65E74F88" w14:textId="77777777">
        <w:tc>
          <w:tcPr>
            <w:tcW w:w="3480" w:type="dxa"/>
            <w:tcMar>
              <w:top w:w="100" w:type="dxa"/>
              <w:left w:w="100" w:type="dxa"/>
              <w:bottom w:w="100" w:type="dxa"/>
              <w:right w:w="100" w:type="dxa"/>
            </w:tcMar>
          </w:tcPr>
          <w:p w14:paraId="22540E4B"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0DB50514"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74907BB9"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719D8CDB" w14:textId="77777777">
        <w:tc>
          <w:tcPr>
            <w:tcW w:w="3480" w:type="dxa"/>
            <w:tcMar>
              <w:top w:w="100" w:type="dxa"/>
              <w:left w:w="100" w:type="dxa"/>
              <w:bottom w:w="100" w:type="dxa"/>
              <w:right w:w="100" w:type="dxa"/>
            </w:tcMar>
          </w:tcPr>
          <w:p w14:paraId="75E300D3"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20A3987D"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3F1DB460"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79D59E34" w14:textId="77777777">
        <w:tc>
          <w:tcPr>
            <w:tcW w:w="3480" w:type="dxa"/>
            <w:tcMar>
              <w:top w:w="100" w:type="dxa"/>
              <w:left w:w="100" w:type="dxa"/>
              <w:bottom w:w="100" w:type="dxa"/>
              <w:right w:w="100" w:type="dxa"/>
            </w:tcMar>
          </w:tcPr>
          <w:p w14:paraId="4431A06C"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3EE43A9B"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54A93150"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09DDF307" w14:textId="77777777">
        <w:tc>
          <w:tcPr>
            <w:tcW w:w="3480" w:type="dxa"/>
            <w:tcMar>
              <w:top w:w="100" w:type="dxa"/>
              <w:left w:w="100" w:type="dxa"/>
              <w:bottom w:w="100" w:type="dxa"/>
              <w:right w:w="100" w:type="dxa"/>
            </w:tcMar>
          </w:tcPr>
          <w:p w14:paraId="1323306C"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480558B4"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1028D772"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7E96085F" w14:textId="77777777">
        <w:tc>
          <w:tcPr>
            <w:tcW w:w="3480" w:type="dxa"/>
            <w:tcMar>
              <w:top w:w="100" w:type="dxa"/>
              <w:left w:w="100" w:type="dxa"/>
              <w:bottom w:w="100" w:type="dxa"/>
              <w:right w:w="100" w:type="dxa"/>
            </w:tcMar>
          </w:tcPr>
          <w:p w14:paraId="22C11961"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64F75CCD"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00B01804"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40CC7D24" w14:textId="77777777">
        <w:tc>
          <w:tcPr>
            <w:tcW w:w="3480" w:type="dxa"/>
            <w:tcMar>
              <w:top w:w="100" w:type="dxa"/>
              <w:left w:w="100" w:type="dxa"/>
              <w:bottom w:w="100" w:type="dxa"/>
              <w:right w:w="100" w:type="dxa"/>
            </w:tcMar>
          </w:tcPr>
          <w:p w14:paraId="5CCC2A2F"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1F7B3441"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549059A9"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127A7077" w14:textId="77777777">
        <w:tc>
          <w:tcPr>
            <w:tcW w:w="3480" w:type="dxa"/>
            <w:tcMar>
              <w:top w:w="100" w:type="dxa"/>
              <w:left w:w="100" w:type="dxa"/>
              <w:bottom w:w="100" w:type="dxa"/>
              <w:right w:w="100" w:type="dxa"/>
            </w:tcMar>
          </w:tcPr>
          <w:p w14:paraId="7FE99242"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3E9CF96B"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27195910"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172644A2" w14:textId="77777777">
        <w:tc>
          <w:tcPr>
            <w:tcW w:w="3480" w:type="dxa"/>
            <w:tcMar>
              <w:top w:w="100" w:type="dxa"/>
              <w:left w:w="100" w:type="dxa"/>
              <w:bottom w:w="100" w:type="dxa"/>
              <w:right w:w="100" w:type="dxa"/>
            </w:tcMar>
          </w:tcPr>
          <w:p w14:paraId="7E393ACD"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7491C5CD"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175E4914"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01C5F649" w14:textId="77777777">
        <w:tc>
          <w:tcPr>
            <w:tcW w:w="3480" w:type="dxa"/>
            <w:tcMar>
              <w:top w:w="100" w:type="dxa"/>
              <w:left w:w="100" w:type="dxa"/>
              <w:bottom w:w="100" w:type="dxa"/>
              <w:right w:w="100" w:type="dxa"/>
            </w:tcMar>
          </w:tcPr>
          <w:p w14:paraId="3223AF74" w14:textId="77777777" w:rsidR="00BC5766" w:rsidRDefault="00000000">
            <w:pPr>
              <w:widowControl w:val="0"/>
              <w:spacing w:line="240" w:lineRule="auto"/>
              <w:rPr>
                <w:sz w:val="18"/>
                <w:szCs w:val="18"/>
              </w:rPr>
            </w:pPr>
            <w:r>
              <w:rPr>
                <w:sz w:val="18"/>
                <w:szCs w:val="18"/>
              </w:rPr>
              <w:lastRenderedPageBreak/>
              <w:t>Data:  00000/00000/2025</w:t>
            </w:r>
          </w:p>
        </w:tc>
        <w:tc>
          <w:tcPr>
            <w:tcW w:w="3480" w:type="dxa"/>
            <w:tcMar>
              <w:top w:w="100" w:type="dxa"/>
              <w:left w:w="100" w:type="dxa"/>
              <w:bottom w:w="100" w:type="dxa"/>
              <w:right w:w="100" w:type="dxa"/>
            </w:tcMar>
          </w:tcPr>
          <w:p w14:paraId="1E0EBC40"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3658A530"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01070072" w14:textId="77777777">
        <w:tc>
          <w:tcPr>
            <w:tcW w:w="3480" w:type="dxa"/>
            <w:tcMar>
              <w:top w:w="100" w:type="dxa"/>
              <w:left w:w="100" w:type="dxa"/>
              <w:bottom w:w="100" w:type="dxa"/>
              <w:right w:w="100" w:type="dxa"/>
            </w:tcMar>
          </w:tcPr>
          <w:p w14:paraId="22860BD0"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0B7FF45F"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46CEA7C5"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1D6CCFB6" w14:textId="77777777">
        <w:tc>
          <w:tcPr>
            <w:tcW w:w="3480" w:type="dxa"/>
            <w:tcMar>
              <w:top w:w="100" w:type="dxa"/>
              <w:left w:w="100" w:type="dxa"/>
              <w:bottom w:w="100" w:type="dxa"/>
              <w:right w:w="100" w:type="dxa"/>
            </w:tcMar>
          </w:tcPr>
          <w:p w14:paraId="04A8BAA8"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580D7D12"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1884102A"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190769B9" w14:textId="77777777">
        <w:tc>
          <w:tcPr>
            <w:tcW w:w="3480" w:type="dxa"/>
            <w:tcMar>
              <w:top w:w="100" w:type="dxa"/>
              <w:left w:w="100" w:type="dxa"/>
              <w:bottom w:w="100" w:type="dxa"/>
              <w:right w:w="100" w:type="dxa"/>
            </w:tcMar>
          </w:tcPr>
          <w:p w14:paraId="72693249"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48BB0B10"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4AA4380F"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2EC799EB" w14:textId="77777777">
        <w:tc>
          <w:tcPr>
            <w:tcW w:w="3480" w:type="dxa"/>
            <w:tcMar>
              <w:top w:w="100" w:type="dxa"/>
              <w:left w:w="100" w:type="dxa"/>
              <w:bottom w:w="100" w:type="dxa"/>
              <w:right w:w="100" w:type="dxa"/>
            </w:tcMar>
          </w:tcPr>
          <w:p w14:paraId="4C6FA29E"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71BE5B04"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2EB69D91"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3603A1C1" w14:textId="77777777">
        <w:tc>
          <w:tcPr>
            <w:tcW w:w="3480" w:type="dxa"/>
            <w:tcMar>
              <w:top w:w="100" w:type="dxa"/>
              <w:left w:w="100" w:type="dxa"/>
              <w:bottom w:w="100" w:type="dxa"/>
              <w:right w:w="100" w:type="dxa"/>
            </w:tcMar>
          </w:tcPr>
          <w:p w14:paraId="3A68A8D5"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5C21D2C3"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189F6573"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73F51E24" w14:textId="77777777">
        <w:tc>
          <w:tcPr>
            <w:tcW w:w="3480" w:type="dxa"/>
            <w:tcMar>
              <w:top w:w="100" w:type="dxa"/>
              <w:left w:w="100" w:type="dxa"/>
              <w:bottom w:w="100" w:type="dxa"/>
              <w:right w:w="100" w:type="dxa"/>
            </w:tcMar>
          </w:tcPr>
          <w:p w14:paraId="44612CB3"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5EFCA2B8"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1CFB68ED"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4EF12D0A" w14:textId="77777777">
        <w:tc>
          <w:tcPr>
            <w:tcW w:w="3480" w:type="dxa"/>
            <w:tcMar>
              <w:top w:w="100" w:type="dxa"/>
              <w:left w:w="100" w:type="dxa"/>
              <w:bottom w:w="100" w:type="dxa"/>
              <w:right w:w="100" w:type="dxa"/>
            </w:tcMar>
          </w:tcPr>
          <w:p w14:paraId="1D924750"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0FC681D6"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4D6FA3F1"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r w:rsidR="00BC5766" w14:paraId="041645B3" w14:textId="77777777">
        <w:tc>
          <w:tcPr>
            <w:tcW w:w="3480" w:type="dxa"/>
            <w:tcMar>
              <w:top w:w="100" w:type="dxa"/>
              <w:left w:w="100" w:type="dxa"/>
              <w:bottom w:w="100" w:type="dxa"/>
              <w:right w:w="100" w:type="dxa"/>
            </w:tcMar>
          </w:tcPr>
          <w:p w14:paraId="1559C655" w14:textId="77777777" w:rsidR="00BC5766" w:rsidRDefault="00000000">
            <w:pPr>
              <w:widowControl w:val="0"/>
              <w:spacing w:line="240" w:lineRule="auto"/>
              <w:rPr>
                <w:sz w:val="18"/>
                <w:szCs w:val="18"/>
              </w:rPr>
            </w:pPr>
            <w:r>
              <w:rPr>
                <w:sz w:val="18"/>
                <w:szCs w:val="18"/>
              </w:rPr>
              <w:t>Data:  00000/00000/2025</w:t>
            </w:r>
          </w:p>
        </w:tc>
        <w:tc>
          <w:tcPr>
            <w:tcW w:w="3480" w:type="dxa"/>
            <w:tcMar>
              <w:top w:w="100" w:type="dxa"/>
              <w:left w:w="100" w:type="dxa"/>
              <w:bottom w:w="100" w:type="dxa"/>
              <w:right w:w="100" w:type="dxa"/>
            </w:tcMar>
          </w:tcPr>
          <w:p w14:paraId="301A5B5C" w14:textId="77777777" w:rsidR="00BC5766" w:rsidRDefault="00000000">
            <w:pPr>
              <w:widowControl w:val="0"/>
              <w:spacing w:line="240" w:lineRule="auto"/>
              <w:rPr>
                <w:sz w:val="18"/>
                <w:szCs w:val="18"/>
              </w:rPr>
            </w:pPr>
            <w:r>
              <w:rPr>
                <w:rFonts w:ascii="Arial Unicode MS" w:eastAsia="Arial Unicode MS" w:hAnsi="Arial Unicode MS" w:cs="Arial Unicode MS"/>
                <w:sz w:val="18"/>
                <w:szCs w:val="18"/>
              </w:rPr>
              <w:t xml:space="preserve">Envolvimento na sessão:   ①    ②    ③    ④ </w:t>
            </w:r>
          </w:p>
        </w:tc>
        <w:tc>
          <w:tcPr>
            <w:tcW w:w="3480" w:type="dxa"/>
            <w:tcMar>
              <w:top w:w="100" w:type="dxa"/>
              <w:left w:w="100" w:type="dxa"/>
              <w:bottom w:w="100" w:type="dxa"/>
              <w:right w:w="100" w:type="dxa"/>
            </w:tcMar>
          </w:tcPr>
          <w:p w14:paraId="7E2F9FE6" w14:textId="77777777" w:rsidR="00BC5766" w:rsidRDefault="00000000">
            <w:pPr>
              <w:widowControl w:val="0"/>
              <w:spacing w:line="240" w:lineRule="auto"/>
              <w:rPr>
                <w:sz w:val="18"/>
                <w:szCs w:val="18"/>
              </w:rPr>
            </w:pPr>
            <w:proofErr w:type="spellStart"/>
            <w:r>
              <w:rPr>
                <w:sz w:val="18"/>
                <w:szCs w:val="18"/>
              </w:rPr>
              <w:t>Obs</w:t>
            </w:r>
            <w:proofErr w:type="spellEnd"/>
            <w:r>
              <w:rPr>
                <w:sz w:val="18"/>
                <w:szCs w:val="18"/>
              </w:rPr>
              <w:t>:</w:t>
            </w:r>
          </w:p>
        </w:tc>
      </w:tr>
    </w:tbl>
    <w:p w14:paraId="657CA357" w14:textId="77777777" w:rsidR="00BC5766" w:rsidRDefault="00000000">
      <w:pPr>
        <w:rPr>
          <w:rFonts w:ascii="Times New Roman" w:eastAsia="Times New Roman" w:hAnsi="Times New Roman" w:cs="Times New Roman"/>
          <w:b/>
          <w:sz w:val="20"/>
          <w:szCs w:val="20"/>
        </w:rPr>
        <w:sectPr w:rsidR="00BC5766">
          <w:pgSz w:w="16834" w:h="11909" w:orient="landscape"/>
          <w:pgMar w:top="0" w:right="1440" w:bottom="1440" w:left="1440" w:header="720" w:footer="720" w:gutter="0"/>
          <w:cols w:space="720"/>
        </w:sectPr>
      </w:pPr>
      <w:r>
        <w:rPr>
          <w:sz w:val="18"/>
          <w:szCs w:val="18"/>
        </w:rPr>
        <w:t>Legenda: 1: Muito pouco envolvimento; 2= Pouco envolvimento; 3= Bom envolvimento; 4= Muito bom envolvimento. (Marque conforme o envolvimento percebido ao longo da sessão)</w:t>
      </w:r>
    </w:p>
    <w:p w14:paraId="79932D19" w14:textId="77777777" w:rsidR="00BC5766" w:rsidRDefault="00BC5766">
      <w:pPr>
        <w:jc w:val="center"/>
        <w:rPr>
          <w:rFonts w:ascii="Times New Roman" w:eastAsia="Times New Roman" w:hAnsi="Times New Roman" w:cs="Times New Roman"/>
          <w:b/>
          <w:sz w:val="24"/>
          <w:szCs w:val="24"/>
        </w:rPr>
      </w:pPr>
    </w:p>
    <w:p w14:paraId="1E3618E3" w14:textId="77777777" w:rsidR="00BC576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Apêndice 4. Roteiro inicial da entrevista para o grupo focal</w:t>
      </w:r>
    </w:p>
    <w:p w14:paraId="1C65793C" w14:textId="77777777" w:rsidR="00BC5766" w:rsidRDefault="00BC5766">
      <w:pPr>
        <w:spacing w:after="200"/>
        <w:rPr>
          <w:rFonts w:ascii="Times New Roman" w:eastAsia="Times New Roman" w:hAnsi="Times New Roman" w:cs="Times New Roman"/>
          <w:b/>
          <w:sz w:val="24"/>
          <w:szCs w:val="24"/>
        </w:rPr>
      </w:pPr>
    </w:p>
    <w:p w14:paraId="7BE8B22F" w14:textId="77777777" w:rsidR="00BC5766" w:rsidRDefault="00000000">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Agradecimento e Apresentação:</w:t>
      </w:r>
    </w:p>
    <w:p w14:paraId="2908A88A" w14:textId="77777777" w:rsidR="00BC5766" w:rsidRDefault="00000000">
      <w:pPr>
        <w:numPr>
          <w:ilvl w:val="0"/>
          <w:numId w:val="6"/>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"Obrigado por estarem aqui hoje. Gostaríamos de ouvir suas experiências e percepções sobre os programas de intervenção que seus filhos participaram. Suas opiniões são extremamente valiosas para nós".</w:t>
      </w:r>
    </w:p>
    <w:p w14:paraId="4C368C86" w14:textId="77777777" w:rsidR="00BC5766" w:rsidRDefault="00000000">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Explicação sobre o Propósito do Grupo Focal:</w:t>
      </w:r>
    </w:p>
    <w:p w14:paraId="63B9DB13" w14:textId="77777777" w:rsidR="00BC5766" w:rsidRDefault="00000000">
      <w:pPr>
        <w:numPr>
          <w:ilvl w:val="0"/>
          <w:numId w:val="6"/>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"Estamos aqui para discutir as melhorias observadas em seus filhos em várias áreas de desenvolvimento e para entender suas percepções sobre os programas de intervenção".</w:t>
      </w:r>
    </w:p>
    <w:p w14:paraId="6C166568" w14:textId="77777777" w:rsidR="00BC5766"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seus filhos já receberam algum outro tipo de intervenção antes? Qual? Onde? </w:t>
      </w:r>
    </w:p>
    <w:p w14:paraId="323D2A23" w14:textId="77777777" w:rsidR="00BC5766"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Fale sua percepção sobre os programas de intervenção que seus filhos receberam antes?</w:t>
      </w:r>
    </w:p>
    <w:p w14:paraId="6F865528" w14:textId="77777777" w:rsidR="00BC5766"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Pensando nos programas de intervenções que seus filhos receberam nas últimas semanas: </w:t>
      </w:r>
    </w:p>
    <w:p w14:paraId="0F7DD493"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mudança nas atividades diárias que seus filhos conseguem realizar após a intervenção?</w:t>
      </w:r>
    </w:p>
    <w:p w14:paraId="6950B463"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perceberam se seus filhos estão mais independentes em realizar tarefas diárias, como se vestir ou brincar sozinhos?</w:t>
      </w:r>
    </w:p>
    <w:p w14:paraId="58252184"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mudança na participação dos seus filhos em atividades em casa, na escola e na comunidade?</w:t>
      </w:r>
    </w:p>
    <w:p w14:paraId="23839FD8"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Vocês notaram alguma mudança nas habilidades motoras (ex: </w:t>
      </w:r>
      <w:r>
        <w:rPr>
          <w:rFonts w:ascii="Times New Roman" w:eastAsia="Times New Roman" w:hAnsi="Times New Roman" w:cs="Times New Roman"/>
          <w:i/>
          <w:sz w:val="24"/>
          <w:szCs w:val="24"/>
        </w:rPr>
        <w:t>correr, subir e descer escadas)</w:t>
      </w:r>
    </w:p>
    <w:p w14:paraId="0B97E19C"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melhoria no equilíbrio, controle postural, força muscular, agilidade e postura?</w:t>
      </w:r>
    </w:p>
    <w:p w14:paraId="5CB6E3BA"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melhoria nas habilidades de interação social?</w:t>
      </w:r>
    </w:p>
    <w:p w14:paraId="6F4B5067"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melhoria na maneira como seus filhos interagem com o ambiente ao redor deles, como em casa ou na escola?</w:t>
      </w:r>
    </w:p>
    <w:p w14:paraId="37586698"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melhoria na saúde física geral deles?</w:t>
      </w:r>
    </w:p>
    <w:p w14:paraId="5564B3B4"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melhoria na capacidade de concentração de atenção?</w:t>
      </w:r>
    </w:p>
    <w:p w14:paraId="134EDC1B"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vocês descreveriam a confiança ou a autoestima dos seus filhos após a participação no programa?</w:t>
      </w:r>
    </w:p>
    <w:p w14:paraId="535EB7DF"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notaram alguma mudança na forma como eles se relacionam com outras pessoas?</w:t>
      </w:r>
    </w:p>
    <w:p w14:paraId="73C0CB76" w14:textId="77777777" w:rsidR="00BC5766"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Vocês acham que seus filhos estão se envolvendo mais em atividades com outras crianças, como brincar em grupo ou participar de jogos?</w:t>
      </w:r>
    </w:p>
    <w:p w14:paraId="464A6BD2" w14:textId="77777777" w:rsidR="00BC5766"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Os objetivos que vocês estabeleceram com os terapeutas no início do projeto foram alcançados?</w:t>
      </w:r>
    </w:p>
    <w:p w14:paraId="30173E2B" w14:textId="77777777" w:rsidR="00BC5766"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Como foi para vocês participarem dos programas de intervenção fornecidos neste projeto? Falem sobre as suas experiências.</w:t>
      </w:r>
    </w:p>
    <w:p w14:paraId="06B8BA29" w14:textId="77777777" w:rsidR="00BC5766"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Vocês recomendariam estes programas para outras famílias? Por quê?</w:t>
      </w:r>
    </w:p>
    <w:p w14:paraId="77CA75C2" w14:textId="77777777" w:rsidR="00BC5766"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Os resultados dos programas de intervenção fornecidos no projeto atenderam às suas expectativas iniciais?</w:t>
      </w:r>
    </w:p>
    <w:p w14:paraId="2D147C87" w14:textId="77777777" w:rsidR="00BC5766"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Como vocês veem o impacto a longo prazo desse programa na vida de seus filhos?</w:t>
      </w:r>
    </w:p>
    <w:p w14:paraId="05FA1400" w14:textId="77777777" w:rsidR="00BC5766" w:rsidRDefault="00000000">
      <w:pPr>
        <w:numPr>
          <w:ilvl w:val="0"/>
          <w:numId w:val="4"/>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Vocês gostariam de acrescentar ou de falar mais alguma coisa?</w:t>
      </w:r>
    </w:p>
    <w:p w14:paraId="65DDE604" w14:textId="77777777" w:rsidR="00BC5766" w:rsidRDefault="00BC5766"/>
    <w:sectPr w:rsidR="00BC5766">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1205"/>
    <w:multiLevelType w:val="multilevel"/>
    <w:tmpl w:val="E1BC76F8"/>
    <w:lvl w:ilvl="0">
      <w:start w:val="1"/>
      <w:numFmt w:val="bullet"/>
      <w:lvlText w:val="●"/>
      <w:lvlJc w:val="left"/>
      <w:pPr>
        <w:ind w:left="1068" w:hanging="360"/>
      </w:pPr>
      <w:rPr>
        <w:u w:val="none"/>
      </w:rPr>
    </w:lvl>
    <w:lvl w:ilvl="1">
      <w:start w:val="1"/>
      <w:numFmt w:val="lowerRoman"/>
      <w:lvlText w:val="%2)"/>
      <w:lvlJc w:val="right"/>
      <w:pPr>
        <w:ind w:left="1788" w:hanging="360"/>
      </w:pPr>
      <w:rPr>
        <w:u w:val="none"/>
      </w:rPr>
    </w:lvl>
    <w:lvl w:ilvl="2">
      <w:start w:val="1"/>
      <w:numFmt w:val="decimal"/>
      <w:lvlText w:val="%3)"/>
      <w:lvlJc w:val="left"/>
      <w:pPr>
        <w:ind w:left="2126" w:hanging="360"/>
      </w:pPr>
      <w:rPr>
        <w:u w:val="none"/>
      </w:rPr>
    </w:lvl>
    <w:lvl w:ilvl="3">
      <w:start w:val="1"/>
      <w:numFmt w:val="lowerLetter"/>
      <w:lvlText w:val="(%4)"/>
      <w:lvlJc w:val="left"/>
      <w:pPr>
        <w:ind w:left="3228" w:hanging="360"/>
      </w:pPr>
      <w:rPr>
        <w:u w:val="none"/>
      </w:rPr>
    </w:lvl>
    <w:lvl w:ilvl="4">
      <w:start w:val="1"/>
      <w:numFmt w:val="lowerRoman"/>
      <w:lvlText w:val="(%5)"/>
      <w:lvlJc w:val="right"/>
      <w:pPr>
        <w:ind w:left="3948" w:hanging="360"/>
      </w:pPr>
      <w:rPr>
        <w:u w:val="none"/>
      </w:rPr>
    </w:lvl>
    <w:lvl w:ilvl="5">
      <w:start w:val="1"/>
      <w:numFmt w:val="decimal"/>
      <w:lvlText w:val="(%6)"/>
      <w:lvlJc w:val="left"/>
      <w:pPr>
        <w:ind w:left="4668" w:hanging="360"/>
      </w:pPr>
      <w:rPr>
        <w:u w:val="none"/>
      </w:rPr>
    </w:lvl>
    <w:lvl w:ilvl="6">
      <w:start w:val="1"/>
      <w:numFmt w:val="lowerLetter"/>
      <w:lvlText w:val="%7."/>
      <w:lvlJc w:val="left"/>
      <w:pPr>
        <w:ind w:left="5388" w:hanging="360"/>
      </w:pPr>
      <w:rPr>
        <w:u w:val="none"/>
      </w:rPr>
    </w:lvl>
    <w:lvl w:ilvl="7">
      <w:start w:val="1"/>
      <w:numFmt w:val="lowerRoman"/>
      <w:lvlText w:val="%8."/>
      <w:lvlJc w:val="right"/>
      <w:pPr>
        <w:ind w:left="6108" w:hanging="360"/>
      </w:pPr>
      <w:rPr>
        <w:u w:val="none"/>
      </w:rPr>
    </w:lvl>
    <w:lvl w:ilvl="8">
      <w:start w:val="1"/>
      <w:numFmt w:val="decimal"/>
      <w:lvlText w:val="%9."/>
      <w:lvlJc w:val="left"/>
      <w:pPr>
        <w:ind w:left="6828" w:hanging="360"/>
      </w:pPr>
      <w:rPr>
        <w:u w:val="none"/>
      </w:rPr>
    </w:lvl>
  </w:abstractNum>
  <w:abstractNum w:abstractNumId="1" w15:restartNumberingAfterBreak="0">
    <w:nsid w:val="23CB5A33"/>
    <w:multiLevelType w:val="multilevel"/>
    <w:tmpl w:val="43C66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0B5261"/>
    <w:multiLevelType w:val="multilevel"/>
    <w:tmpl w:val="3B44FF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1778"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13E762B"/>
    <w:multiLevelType w:val="multilevel"/>
    <w:tmpl w:val="6254AD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1FD2F79"/>
    <w:multiLevelType w:val="multilevel"/>
    <w:tmpl w:val="D654F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F0374B"/>
    <w:multiLevelType w:val="multilevel"/>
    <w:tmpl w:val="EE0A8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F75B00"/>
    <w:multiLevelType w:val="multilevel"/>
    <w:tmpl w:val="A5286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9352C0"/>
    <w:multiLevelType w:val="multilevel"/>
    <w:tmpl w:val="A85E9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516311701">
    <w:abstractNumId w:val="0"/>
  </w:num>
  <w:num w:numId="2" w16cid:durableId="387461098">
    <w:abstractNumId w:val="1"/>
  </w:num>
  <w:num w:numId="3" w16cid:durableId="820655855">
    <w:abstractNumId w:val="7"/>
  </w:num>
  <w:num w:numId="4" w16cid:durableId="1690519298">
    <w:abstractNumId w:val="2"/>
  </w:num>
  <w:num w:numId="5" w16cid:durableId="504904867">
    <w:abstractNumId w:val="4"/>
  </w:num>
  <w:num w:numId="6" w16cid:durableId="485130154">
    <w:abstractNumId w:val="3"/>
  </w:num>
  <w:num w:numId="7" w16cid:durableId="511797666">
    <w:abstractNumId w:val="6"/>
  </w:num>
  <w:num w:numId="8" w16cid:durableId="1899508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66"/>
    <w:rsid w:val="00321050"/>
    <w:rsid w:val="00BC5766"/>
    <w:rsid w:val="00BE69A2"/>
    <w:rsid w:val="00E411D4"/>
    <w:rsid w:val="00EC2C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2EEA"/>
  <w15:docId w15:val="{446EB743-4D7A-4B77-A71D-6DCD35C0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23/japa.2013-02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590/1980-0037.2019v21e605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758/bf03193146" TargetMode="External"/><Relationship Id="rId11" Type="http://schemas.openxmlformats.org/officeDocument/2006/relationships/image" Target="media/image1.png"/><Relationship Id="rId5" Type="http://schemas.openxmlformats.org/officeDocument/2006/relationships/hyperlink" Target="https://doi.org/10.1002/aur.2711" TargetMode="External"/><Relationship Id="rId10" Type="http://schemas.openxmlformats.org/officeDocument/2006/relationships/hyperlink" Target="https://doi.org/10.3389/fpsyg.2023.1223288" TargetMode="External"/><Relationship Id="rId4" Type="http://schemas.openxmlformats.org/officeDocument/2006/relationships/webSettings" Target="webSettings.xml"/><Relationship Id="rId9" Type="http://schemas.openxmlformats.org/officeDocument/2006/relationships/hyperlink" Target="https://doi.org/10.1111/jir.125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7994</Words>
  <Characters>43172</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Deisiane</dc:creator>
  <cp:lastModifiedBy>Deisiane Souto</cp:lastModifiedBy>
  <cp:revision>4</cp:revision>
  <dcterms:created xsi:type="dcterms:W3CDTF">2025-07-31T12:53:00Z</dcterms:created>
  <dcterms:modified xsi:type="dcterms:W3CDTF">2025-07-31T13:35:00Z</dcterms:modified>
</cp:coreProperties>
</file>