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143F9" w14:textId="731AAAD8" w:rsidR="00F205C2" w:rsidRPr="00432A86" w:rsidRDefault="00F205C2" w:rsidP="00432A86">
      <w:pPr>
        <w:spacing w:after="0" w:line="360" w:lineRule="auto"/>
        <w:rPr>
          <w:rFonts w:cstheme="minorHAnsi"/>
          <w:b/>
          <w:bCs/>
        </w:rPr>
      </w:pPr>
      <w:r w:rsidRPr="00432A86">
        <w:rPr>
          <w:rFonts w:cstheme="minorHAnsi"/>
          <w:b/>
          <w:bCs/>
        </w:rPr>
        <w:t>Tipo de estudo</w:t>
      </w:r>
    </w:p>
    <w:p w14:paraId="61190A1E" w14:textId="79C26671" w:rsidR="00F205C2" w:rsidRPr="00432A86" w:rsidRDefault="00F205C2" w:rsidP="00432A86">
      <w:pPr>
        <w:spacing w:after="0" w:line="360" w:lineRule="auto"/>
        <w:rPr>
          <w:rFonts w:cstheme="minorHAnsi"/>
        </w:rPr>
      </w:pPr>
      <w:r w:rsidRPr="00432A86">
        <w:rPr>
          <w:rFonts w:cstheme="minorHAnsi"/>
        </w:rPr>
        <w:t>Ensaio clínico randomizado de superioridade, do tipo aberto.</w:t>
      </w:r>
    </w:p>
    <w:p w14:paraId="0800AD6D" w14:textId="77777777" w:rsidR="00F205C2" w:rsidRPr="00432A86" w:rsidRDefault="00F205C2" w:rsidP="00432A86">
      <w:pPr>
        <w:spacing w:after="0" w:line="360" w:lineRule="auto"/>
        <w:rPr>
          <w:rFonts w:cstheme="minorHAnsi"/>
          <w:b/>
          <w:bCs/>
        </w:rPr>
      </w:pPr>
    </w:p>
    <w:p w14:paraId="2F1A416D" w14:textId="17BFBDA7" w:rsidR="00194540" w:rsidRPr="00432A86" w:rsidRDefault="00C30015" w:rsidP="00432A86">
      <w:pPr>
        <w:spacing w:after="0" w:line="360" w:lineRule="auto"/>
        <w:rPr>
          <w:rFonts w:cstheme="minorHAnsi"/>
          <w:b/>
          <w:bCs/>
        </w:rPr>
      </w:pPr>
      <w:r w:rsidRPr="00432A86">
        <w:rPr>
          <w:rFonts w:cstheme="minorHAnsi"/>
          <w:b/>
          <w:bCs/>
        </w:rPr>
        <w:t>Cálculo amostral</w:t>
      </w:r>
    </w:p>
    <w:p w14:paraId="31DB7055" w14:textId="01A045B8" w:rsidR="00F205C2" w:rsidRPr="00432A86" w:rsidRDefault="00F205C2" w:rsidP="00432A86">
      <w:pPr>
        <w:spacing w:after="0" w:line="360" w:lineRule="auto"/>
        <w:rPr>
          <w:rFonts w:cstheme="minorHAnsi"/>
        </w:rPr>
      </w:pPr>
      <w:r w:rsidRPr="00432A86">
        <w:rPr>
          <w:rFonts w:cstheme="minorHAnsi"/>
        </w:rPr>
        <w:t>O cálculo amostral foi considerado a partir de uma população (N) de 240 mulheres com DPC.</w:t>
      </w:r>
    </w:p>
    <w:p w14:paraId="46FB0BCE" w14:textId="2B06633F" w:rsidR="00C30015" w:rsidRPr="00432A86" w:rsidRDefault="00C30015" w:rsidP="00432A86">
      <w:pPr>
        <w:spacing w:after="0" w:line="360" w:lineRule="auto"/>
        <w:jc w:val="both"/>
        <w:rPr>
          <w:rFonts w:cstheme="minorHAnsi"/>
        </w:rPr>
      </w:pPr>
      <w:r w:rsidRPr="00432A86">
        <w:rPr>
          <w:rFonts w:cstheme="minorHAnsi"/>
        </w:rPr>
        <w:t xml:space="preserve">Um cálculo amostral para estudos de superioridade </w:t>
      </w:r>
      <w:r w:rsidR="006D5DCD" w:rsidRPr="00432A86">
        <w:rPr>
          <w:rFonts w:cstheme="minorHAnsi"/>
        </w:rPr>
        <w:t xml:space="preserve">com dois braços </w:t>
      </w:r>
      <w:r w:rsidRPr="00432A86">
        <w:rPr>
          <w:rFonts w:cstheme="minorHAnsi"/>
        </w:rPr>
        <w:t xml:space="preserve">foi realizado para testar a hipótese que </w:t>
      </w:r>
      <w:r w:rsidR="00B24B86" w:rsidRPr="00432A86">
        <w:rPr>
          <w:rFonts w:cstheme="minorHAnsi"/>
        </w:rPr>
        <w:t xml:space="preserve">as mulheres com dor crônica pélvica (DCP) que realizarão a constelação </w:t>
      </w:r>
      <w:r w:rsidR="008D129B" w:rsidRPr="00432A86">
        <w:rPr>
          <w:rFonts w:cstheme="minorHAnsi"/>
        </w:rPr>
        <w:t>familiar</w:t>
      </w:r>
      <w:r w:rsidR="00B24B86" w:rsidRPr="00432A86">
        <w:rPr>
          <w:rFonts w:cstheme="minorHAnsi"/>
        </w:rPr>
        <w:t xml:space="preserve"> apresentarão menores escores de dor na escala visual analógica de dor </w:t>
      </w:r>
      <w:r w:rsidR="00194540" w:rsidRPr="00432A86">
        <w:rPr>
          <w:rFonts w:cstheme="minorHAnsi"/>
        </w:rPr>
        <w:t xml:space="preserve">e melhores escores de qualidade de vida mensurado no WHOQOL-abreviado </w:t>
      </w:r>
      <w:r w:rsidR="00B24B86" w:rsidRPr="00432A86">
        <w:rPr>
          <w:rFonts w:cstheme="minorHAnsi"/>
        </w:rPr>
        <w:t>(desfecho</w:t>
      </w:r>
      <w:r w:rsidR="00194540" w:rsidRPr="00432A86">
        <w:rPr>
          <w:rFonts w:cstheme="minorHAnsi"/>
        </w:rPr>
        <w:t>s</w:t>
      </w:r>
      <w:r w:rsidR="00B24B86" w:rsidRPr="00432A86">
        <w:rPr>
          <w:rFonts w:cstheme="minorHAnsi"/>
        </w:rPr>
        <w:t xml:space="preserve"> primário</w:t>
      </w:r>
      <w:r w:rsidR="00194540" w:rsidRPr="00432A86">
        <w:rPr>
          <w:rFonts w:cstheme="minorHAnsi"/>
        </w:rPr>
        <w:t>s</w:t>
      </w:r>
      <w:r w:rsidR="00B24B86" w:rsidRPr="00432A86">
        <w:rPr>
          <w:rFonts w:cstheme="minorHAnsi"/>
        </w:rPr>
        <w:t>)</w:t>
      </w:r>
      <w:r w:rsidR="008D129B" w:rsidRPr="00432A86">
        <w:rPr>
          <w:rFonts w:cstheme="minorHAnsi"/>
        </w:rPr>
        <w:t xml:space="preserve">. </w:t>
      </w:r>
      <w:r w:rsidR="005A4DE9" w:rsidRPr="00432A86">
        <w:rPr>
          <w:rFonts w:cstheme="minorHAnsi"/>
        </w:rPr>
        <w:t>Para o</w:t>
      </w:r>
      <w:r w:rsidR="008D129B" w:rsidRPr="00432A86">
        <w:rPr>
          <w:rFonts w:cstheme="minorHAnsi"/>
        </w:rPr>
        <w:t xml:space="preserve"> cálculo amostral</w:t>
      </w:r>
      <w:r w:rsidR="00174177" w:rsidRPr="00432A86">
        <w:rPr>
          <w:rFonts w:cstheme="minorHAnsi"/>
        </w:rPr>
        <w:t xml:space="preserve"> utilizou-se como parâmetro-base </w:t>
      </w:r>
      <w:r w:rsidR="008D129B" w:rsidRPr="00432A86">
        <w:rPr>
          <w:rFonts w:cstheme="minorHAnsi"/>
        </w:rPr>
        <w:t xml:space="preserve">o desfecho primário </w:t>
      </w:r>
      <w:r w:rsidR="00174177" w:rsidRPr="00432A86">
        <w:rPr>
          <w:rFonts w:cstheme="minorHAnsi"/>
        </w:rPr>
        <w:t>(escores</w:t>
      </w:r>
      <w:r w:rsidR="008D129B" w:rsidRPr="00432A86">
        <w:rPr>
          <w:rFonts w:cstheme="minorHAnsi"/>
        </w:rPr>
        <w:t xml:space="preserve"> </w:t>
      </w:r>
      <w:r w:rsidR="00174177" w:rsidRPr="00432A86">
        <w:rPr>
          <w:rFonts w:cstheme="minorHAnsi"/>
        </w:rPr>
        <w:t>de dor n</w:t>
      </w:r>
      <w:r w:rsidR="008D129B" w:rsidRPr="00432A86">
        <w:rPr>
          <w:rFonts w:cstheme="minorHAnsi"/>
        </w:rPr>
        <w:t>a escala visual analógica</w:t>
      </w:r>
      <w:r w:rsidR="00174177" w:rsidRPr="00432A86">
        <w:rPr>
          <w:rFonts w:cstheme="minorHAnsi"/>
        </w:rPr>
        <w:t xml:space="preserve">). </w:t>
      </w:r>
      <w:r w:rsidR="00AA1B60" w:rsidRPr="00432A86">
        <w:rPr>
          <w:rFonts w:cstheme="minorHAnsi"/>
        </w:rPr>
        <w:t xml:space="preserve">Considerando </w:t>
      </w:r>
      <w:r w:rsidR="005A4DE9" w:rsidRPr="00432A86">
        <w:rPr>
          <w:rFonts w:cstheme="minorHAnsi"/>
        </w:rPr>
        <w:t xml:space="preserve">a probabilidade de erro tipo I ou </w:t>
      </w:r>
      <w:r w:rsidR="00AA1B60" w:rsidRPr="00432A86">
        <w:rPr>
          <w:rFonts w:cstheme="minorHAnsi"/>
        </w:rPr>
        <w:t>um nível de significância de 5% (</w:t>
      </w:r>
      <w:r w:rsidR="00AA1B60" w:rsidRPr="00432A86">
        <w:rPr>
          <w:rFonts w:cstheme="minorHAnsi"/>
          <w:i/>
          <w:iCs/>
        </w:rPr>
        <w:t>α</w:t>
      </w:r>
      <w:r w:rsidR="00AA1B60" w:rsidRPr="00432A86">
        <w:rPr>
          <w:rFonts w:cstheme="minorHAnsi"/>
        </w:rPr>
        <w:t xml:space="preserve">=0.05), </w:t>
      </w:r>
      <w:r w:rsidR="005E13BC" w:rsidRPr="00432A86">
        <w:rPr>
          <w:rFonts w:cstheme="minorHAnsi"/>
        </w:rPr>
        <w:t xml:space="preserve">probabilidade de erro tipo II ou </w:t>
      </w:r>
      <w:r w:rsidR="00AA1B60" w:rsidRPr="00432A86">
        <w:rPr>
          <w:rFonts w:cstheme="minorHAnsi"/>
        </w:rPr>
        <w:t>poder do estudo de 80% (ou seja, 1-</w:t>
      </w:r>
      <w:r w:rsidR="006D5DCD" w:rsidRPr="00432A86">
        <w:rPr>
          <w:rFonts w:cstheme="minorHAnsi"/>
        </w:rPr>
        <w:t>β</w:t>
      </w:r>
      <w:r w:rsidR="00AA1B60" w:rsidRPr="00432A86">
        <w:rPr>
          <w:rFonts w:cstheme="minorHAnsi"/>
        </w:rPr>
        <w:t xml:space="preserve">=0,8), </w:t>
      </w:r>
      <w:r w:rsidR="0016707E" w:rsidRPr="00432A86">
        <w:rPr>
          <w:rFonts w:cstheme="minorHAnsi"/>
        </w:rPr>
        <w:t>uma margem de superioridade escolhida de 0,0</w:t>
      </w:r>
      <w:r w:rsidR="00D40574" w:rsidRPr="00432A86">
        <w:rPr>
          <w:rFonts w:cstheme="minorHAnsi"/>
        </w:rPr>
        <w:t>5</w:t>
      </w:r>
      <w:r w:rsidR="0016707E" w:rsidRPr="00432A86">
        <w:rPr>
          <w:rFonts w:cstheme="minorHAnsi"/>
        </w:rPr>
        <w:t xml:space="preserve"> (ou seja, </w:t>
      </w:r>
      <w:r w:rsidR="0016707E" w:rsidRPr="00432A86">
        <w:rPr>
          <w:rFonts w:cstheme="minorHAnsi"/>
          <w:i/>
          <w:iCs/>
        </w:rPr>
        <w:t>δ</w:t>
      </w:r>
      <w:r w:rsidR="0016707E" w:rsidRPr="00432A86">
        <w:rPr>
          <w:rFonts w:cstheme="minorHAnsi"/>
        </w:rPr>
        <w:t>=0,0</w:t>
      </w:r>
      <w:r w:rsidR="00D40574" w:rsidRPr="00432A86">
        <w:rPr>
          <w:rFonts w:cstheme="minorHAnsi"/>
        </w:rPr>
        <w:t>5</w:t>
      </w:r>
      <w:r w:rsidR="0016707E" w:rsidRPr="00432A86">
        <w:rPr>
          <w:rFonts w:cstheme="minorHAnsi"/>
        </w:rPr>
        <w:t>)</w:t>
      </w:r>
      <w:r w:rsidR="006D5DCD" w:rsidRPr="00432A86">
        <w:rPr>
          <w:rFonts w:cstheme="minorHAnsi"/>
        </w:rPr>
        <w:t xml:space="preserve"> (</w:t>
      </w:r>
      <w:proofErr w:type="spellStart"/>
      <w:r w:rsidR="006D5DCD" w:rsidRPr="00432A86">
        <w:rPr>
          <w:rFonts w:cstheme="minorHAnsi"/>
        </w:rPr>
        <w:t>Gayet-Ageron</w:t>
      </w:r>
      <w:proofErr w:type="spellEnd"/>
      <w:r w:rsidR="006D5DCD" w:rsidRPr="00432A86">
        <w:rPr>
          <w:rFonts w:cstheme="minorHAnsi"/>
        </w:rPr>
        <w:t xml:space="preserve"> et al., 2010),</w:t>
      </w:r>
      <w:r w:rsidR="0016707E" w:rsidRPr="00432A86">
        <w:rPr>
          <w:rFonts w:cstheme="minorHAnsi"/>
        </w:rPr>
        <w:t xml:space="preserve"> </w:t>
      </w:r>
      <w:r w:rsidR="00174177" w:rsidRPr="00432A86">
        <w:rPr>
          <w:rFonts w:cstheme="minorHAnsi"/>
        </w:rPr>
        <w:t xml:space="preserve">uma verdadeira diferença </w:t>
      </w:r>
      <w:r w:rsidR="00AD1F00" w:rsidRPr="00432A86">
        <w:rPr>
          <w:rFonts w:cstheme="minorHAnsi"/>
        </w:rPr>
        <w:t xml:space="preserve">na média </w:t>
      </w:r>
      <w:r w:rsidR="00E14747" w:rsidRPr="00432A86">
        <w:rPr>
          <w:rFonts w:cstheme="minorHAnsi"/>
        </w:rPr>
        <w:t xml:space="preserve">entre os grupos </w:t>
      </w:r>
      <w:r w:rsidR="00AD1F00" w:rsidRPr="00432A86">
        <w:rPr>
          <w:rFonts w:cstheme="minorHAnsi"/>
        </w:rPr>
        <w:t xml:space="preserve">de dor </w:t>
      </w:r>
      <w:r w:rsidR="005E13BC" w:rsidRPr="00432A86">
        <w:rPr>
          <w:rFonts w:cstheme="minorHAnsi"/>
        </w:rPr>
        <w:t>1,6</w:t>
      </w:r>
      <w:r w:rsidR="00AD1F00" w:rsidRPr="00432A86">
        <w:rPr>
          <w:rFonts w:cstheme="minorHAnsi"/>
        </w:rPr>
        <w:t xml:space="preserve"> </w:t>
      </w:r>
      <w:r w:rsidR="00E14747" w:rsidRPr="00432A86">
        <w:rPr>
          <w:rFonts w:cstheme="minorHAnsi"/>
        </w:rPr>
        <w:t xml:space="preserve">pontos </w:t>
      </w:r>
      <w:proofErr w:type="spellStart"/>
      <w:r w:rsidR="00E14747" w:rsidRPr="00432A86">
        <w:rPr>
          <w:rFonts w:cstheme="minorHAnsi"/>
        </w:rPr>
        <w:t>ouuma</w:t>
      </w:r>
      <w:proofErr w:type="spellEnd"/>
      <w:r w:rsidR="00E14747" w:rsidRPr="00432A86">
        <w:rPr>
          <w:rFonts w:cstheme="minorHAnsi"/>
        </w:rPr>
        <w:t xml:space="preserve"> redução basal </w:t>
      </w:r>
      <w:r w:rsidR="005E13BC" w:rsidRPr="00432A86">
        <w:rPr>
          <w:rFonts w:cstheme="minorHAnsi"/>
        </w:rPr>
        <w:t>de 20% nos escores de dor</w:t>
      </w:r>
      <w:r w:rsidR="00E14747" w:rsidRPr="00432A86">
        <w:rPr>
          <w:rFonts w:cstheme="minorHAnsi"/>
        </w:rPr>
        <w:t xml:space="preserve">, considerando </w:t>
      </w:r>
      <w:r w:rsidR="001122BF" w:rsidRPr="00432A86">
        <w:rPr>
          <w:rFonts w:cstheme="minorHAnsi"/>
        </w:rPr>
        <w:t xml:space="preserve">em um estudo anterior </w:t>
      </w:r>
      <w:r w:rsidR="005E13BC" w:rsidRPr="00432A86">
        <w:rPr>
          <w:rFonts w:cstheme="minorHAnsi"/>
        </w:rPr>
        <w:t>que encontrou uma intensidade média de dor de 7,8</w:t>
      </w:r>
      <w:r w:rsidR="001122BF" w:rsidRPr="00432A86">
        <w:rPr>
          <w:rFonts w:cstheme="minorHAnsi"/>
        </w:rPr>
        <w:t xml:space="preserve"> </w:t>
      </w:r>
      <w:r w:rsidR="00E14747" w:rsidRPr="00432A86">
        <w:rPr>
          <w:rFonts w:cstheme="minorHAnsi"/>
        </w:rPr>
        <w:t>em mulheres com DCP que não foram submetidas a intervenção para redução da dor</w:t>
      </w:r>
      <w:r w:rsidR="00AD1F00" w:rsidRPr="00432A86">
        <w:rPr>
          <w:rFonts w:cstheme="minorHAnsi"/>
        </w:rPr>
        <w:t>(</w:t>
      </w:r>
      <w:r w:rsidR="00E14747" w:rsidRPr="00432A86">
        <w:rPr>
          <w:rFonts w:cstheme="minorHAnsi"/>
        </w:rPr>
        <w:t>Reis et al., 2020</w:t>
      </w:r>
      <w:r w:rsidR="00AD1F00" w:rsidRPr="00432A86">
        <w:rPr>
          <w:rFonts w:cstheme="minorHAnsi"/>
        </w:rPr>
        <w:t>)</w:t>
      </w:r>
      <w:r w:rsidR="00174177" w:rsidRPr="00432A86">
        <w:rPr>
          <w:rFonts w:cstheme="minorHAnsi"/>
        </w:rPr>
        <w:t xml:space="preserve"> </w:t>
      </w:r>
      <w:r w:rsidR="006D5DCD" w:rsidRPr="00432A86">
        <w:rPr>
          <w:rFonts w:cstheme="minorHAnsi"/>
        </w:rPr>
        <w:t xml:space="preserve">e um desvio padrão </w:t>
      </w:r>
      <w:r w:rsidR="00E14747" w:rsidRPr="00432A86">
        <w:rPr>
          <w:rFonts w:cstheme="minorHAnsi"/>
        </w:rPr>
        <w:t>de 2,1</w:t>
      </w:r>
      <w:r w:rsidR="006D5DCD" w:rsidRPr="00432A86">
        <w:rPr>
          <w:rFonts w:cstheme="minorHAnsi"/>
        </w:rPr>
        <w:t xml:space="preserve">, </w:t>
      </w:r>
      <w:r w:rsidR="00174177" w:rsidRPr="00432A86">
        <w:rPr>
          <w:rFonts w:cstheme="minorHAnsi"/>
        </w:rPr>
        <w:t>taxa de abandono (</w:t>
      </w:r>
      <w:proofErr w:type="spellStart"/>
      <w:r w:rsidR="00174177" w:rsidRPr="00432A86">
        <w:rPr>
          <w:rFonts w:cstheme="minorHAnsi"/>
          <w:i/>
          <w:iCs/>
        </w:rPr>
        <w:t>drop</w:t>
      </w:r>
      <w:proofErr w:type="spellEnd"/>
      <w:r w:rsidR="00174177" w:rsidRPr="00432A86">
        <w:rPr>
          <w:rFonts w:cstheme="minorHAnsi"/>
          <w:i/>
          <w:iCs/>
        </w:rPr>
        <w:t xml:space="preserve"> rate</w:t>
      </w:r>
      <w:r w:rsidR="00174177" w:rsidRPr="00432A86">
        <w:rPr>
          <w:rFonts w:cstheme="minorHAnsi"/>
        </w:rPr>
        <w:t xml:space="preserve">) no acompanhamento de </w:t>
      </w:r>
      <w:r w:rsidR="00E14747" w:rsidRPr="00432A86">
        <w:rPr>
          <w:rFonts w:cstheme="minorHAnsi"/>
        </w:rPr>
        <w:t>30</w:t>
      </w:r>
      <w:r w:rsidR="00174177" w:rsidRPr="00432A86">
        <w:rPr>
          <w:rFonts w:cstheme="minorHAnsi"/>
        </w:rPr>
        <w:t xml:space="preserve">% e </w:t>
      </w:r>
      <w:r w:rsidR="00AA1B60" w:rsidRPr="00432A86">
        <w:rPr>
          <w:rFonts w:cstheme="minorHAnsi"/>
        </w:rPr>
        <w:t xml:space="preserve">uma taxa de alocação igual (ou seja k=1) a amostra esperada para o grupo em </w:t>
      </w:r>
      <w:r w:rsidR="00E14747" w:rsidRPr="00432A86">
        <w:rPr>
          <w:rFonts w:cstheme="minorHAnsi"/>
        </w:rPr>
        <w:t xml:space="preserve">intervenção </w:t>
      </w:r>
      <w:r w:rsidR="00AA1B60" w:rsidRPr="00432A86">
        <w:rPr>
          <w:rFonts w:cstheme="minorHAnsi"/>
        </w:rPr>
        <w:t>e controle sã</w:t>
      </w:r>
      <w:r w:rsidR="001122BF" w:rsidRPr="00432A86">
        <w:rPr>
          <w:rFonts w:cstheme="minorHAnsi"/>
        </w:rPr>
        <w:t xml:space="preserve">o de </w:t>
      </w:r>
      <w:r w:rsidR="00E14747" w:rsidRPr="00432A86">
        <w:rPr>
          <w:rFonts w:cstheme="minorHAnsi"/>
        </w:rPr>
        <w:t>3</w:t>
      </w:r>
      <w:r w:rsidR="00D40574" w:rsidRPr="00432A86">
        <w:rPr>
          <w:rFonts w:cstheme="minorHAnsi"/>
        </w:rPr>
        <w:t>3</w:t>
      </w:r>
      <w:r w:rsidR="001122BF" w:rsidRPr="00432A86">
        <w:rPr>
          <w:rFonts w:cstheme="minorHAnsi"/>
        </w:rPr>
        <w:t xml:space="preserve"> e </w:t>
      </w:r>
      <w:r w:rsidR="00E14747" w:rsidRPr="00432A86">
        <w:rPr>
          <w:rFonts w:cstheme="minorHAnsi"/>
        </w:rPr>
        <w:t>3</w:t>
      </w:r>
      <w:r w:rsidR="00D40574" w:rsidRPr="00432A86">
        <w:rPr>
          <w:rFonts w:cstheme="minorHAnsi"/>
        </w:rPr>
        <w:t>3 totalizando 66 mulheres</w:t>
      </w:r>
      <w:r w:rsidR="001122BF" w:rsidRPr="00432A86">
        <w:rPr>
          <w:rFonts w:cstheme="minorHAnsi"/>
        </w:rPr>
        <w:t>, respectivamente.</w:t>
      </w:r>
    </w:p>
    <w:p w14:paraId="5ADBB035" w14:textId="10CBCA89" w:rsidR="00D40574" w:rsidRPr="00432A86" w:rsidRDefault="00B02BDD" w:rsidP="00432A86">
      <w:pPr>
        <w:spacing w:after="0" w:line="360" w:lineRule="auto"/>
        <w:jc w:val="both"/>
        <w:rPr>
          <w:rFonts w:cstheme="minorHAnsi"/>
        </w:rPr>
      </w:pPr>
      <w:r w:rsidRPr="00432A86">
        <w:rPr>
          <w:rFonts w:cstheme="minorHAnsi"/>
        </w:rPr>
        <w:t>Realizou-se um cálculo amostral para verificar qual amostra teria poder suficiente para mostrar redução da intervenção nos escores de qualidade de vida. Assim, para novo cálculo utilizou-se o escore médio dos quatro domínios do WHOQOL-abreviado como parâmetro.</w:t>
      </w:r>
      <w:r w:rsidR="00D40574" w:rsidRPr="00432A86">
        <w:rPr>
          <w:rFonts w:cstheme="minorHAnsi"/>
        </w:rPr>
        <w:t xml:space="preserve"> Considerando assim a probabilidade de erro tipo I ou um nível de significância de 5% (</w:t>
      </w:r>
      <w:r w:rsidR="00D40574" w:rsidRPr="00432A86">
        <w:rPr>
          <w:rFonts w:cstheme="minorHAnsi"/>
          <w:i/>
          <w:iCs/>
        </w:rPr>
        <w:t>α</w:t>
      </w:r>
      <w:r w:rsidR="00D40574" w:rsidRPr="00432A86">
        <w:rPr>
          <w:rFonts w:cstheme="minorHAnsi"/>
        </w:rPr>
        <w:t xml:space="preserve">=0.05), probabilidade de erro tipo II ou poder do estudo de 80% (ou seja, 1-β=0,8), uma margem de superioridade escolhida de 0,05 (ou seja, </w:t>
      </w:r>
      <w:r w:rsidR="00D40574" w:rsidRPr="00432A86">
        <w:rPr>
          <w:rFonts w:cstheme="minorHAnsi"/>
          <w:i/>
          <w:iCs/>
        </w:rPr>
        <w:t>δ</w:t>
      </w:r>
      <w:r w:rsidR="00D40574" w:rsidRPr="00432A86">
        <w:rPr>
          <w:rFonts w:cstheme="minorHAnsi"/>
        </w:rPr>
        <w:t>=0,05) (</w:t>
      </w:r>
      <w:proofErr w:type="spellStart"/>
      <w:r w:rsidR="00D40574" w:rsidRPr="00432A86">
        <w:rPr>
          <w:rFonts w:cstheme="minorHAnsi"/>
        </w:rPr>
        <w:t>Gayet-Ageron</w:t>
      </w:r>
      <w:proofErr w:type="spellEnd"/>
      <w:r w:rsidR="00D40574" w:rsidRPr="00432A86">
        <w:rPr>
          <w:rFonts w:cstheme="minorHAnsi"/>
        </w:rPr>
        <w:t xml:space="preserve"> et al., 2010), uma verdadeira diferença na média entre os grupos de dor 12,4 pontos ou uma redução basal de 20% nos escores médios dos domínios do WOQHOL-abreviado, considerando em um estudo anterior que encontrou escores médios </w:t>
      </w:r>
      <w:r w:rsidR="00194540" w:rsidRPr="00432A86">
        <w:rPr>
          <w:rFonts w:cstheme="minorHAnsi"/>
        </w:rPr>
        <w:t xml:space="preserve">de 62,22 </w:t>
      </w:r>
      <w:r w:rsidR="00D40574" w:rsidRPr="00432A86">
        <w:rPr>
          <w:rFonts w:cstheme="minorHAnsi"/>
        </w:rPr>
        <w:t xml:space="preserve">nos quatro domínios do WHOQOL- abreviado em mulheres com DCP que não foram submetidas a intervenção </w:t>
      </w:r>
      <w:r w:rsidR="00194540" w:rsidRPr="00432A86">
        <w:rPr>
          <w:rFonts w:cstheme="minorHAnsi"/>
        </w:rPr>
        <w:t xml:space="preserve">para dor </w:t>
      </w:r>
      <w:r w:rsidR="00D40574" w:rsidRPr="00432A86">
        <w:rPr>
          <w:rFonts w:cstheme="minorHAnsi"/>
        </w:rPr>
        <w:t>(</w:t>
      </w:r>
      <w:r w:rsidR="00194540" w:rsidRPr="00432A86">
        <w:rPr>
          <w:rFonts w:cstheme="minorHAnsi"/>
        </w:rPr>
        <w:t>Luz et al., 2018)</w:t>
      </w:r>
      <w:r w:rsidR="00D40574" w:rsidRPr="00432A86">
        <w:rPr>
          <w:rFonts w:cstheme="minorHAnsi"/>
        </w:rPr>
        <w:t xml:space="preserve"> e um desvio padrão de </w:t>
      </w:r>
      <w:r w:rsidR="00194540" w:rsidRPr="00432A86">
        <w:rPr>
          <w:rFonts w:cstheme="minorHAnsi"/>
        </w:rPr>
        <w:t>19,4</w:t>
      </w:r>
      <w:r w:rsidR="00D40574" w:rsidRPr="00432A86">
        <w:rPr>
          <w:rFonts w:cstheme="minorHAnsi"/>
        </w:rPr>
        <w:t>, taxa de abandono (</w:t>
      </w:r>
      <w:proofErr w:type="spellStart"/>
      <w:r w:rsidR="00D40574" w:rsidRPr="00432A86">
        <w:rPr>
          <w:rFonts w:cstheme="minorHAnsi"/>
          <w:i/>
          <w:iCs/>
        </w:rPr>
        <w:t>drop</w:t>
      </w:r>
      <w:proofErr w:type="spellEnd"/>
      <w:r w:rsidR="00D40574" w:rsidRPr="00432A86">
        <w:rPr>
          <w:rFonts w:cstheme="minorHAnsi"/>
          <w:i/>
          <w:iCs/>
        </w:rPr>
        <w:t xml:space="preserve"> rate</w:t>
      </w:r>
      <w:r w:rsidR="00D40574" w:rsidRPr="00432A86">
        <w:rPr>
          <w:rFonts w:cstheme="minorHAnsi"/>
        </w:rPr>
        <w:t xml:space="preserve">) no acompanhamento de 30% e uma taxa de alocação igual (ou seja k=1) a amostra esperada para o grupo em intervenção e controle são de </w:t>
      </w:r>
      <w:r w:rsidR="00194540" w:rsidRPr="00432A86">
        <w:rPr>
          <w:rFonts w:cstheme="minorHAnsi"/>
        </w:rPr>
        <w:t>44</w:t>
      </w:r>
      <w:r w:rsidR="00D40574" w:rsidRPr="00432A86">
        <w:rPr>
          <w:rFonts w:cstheme="minorHAnsi"/>
        </w:rPr>
        <w:t xml:space="preserve"> e </w:t>
      </w:r>
      <w:r w:rsidR="00194540" w:rsidRPr="00432A86">
        <w:rPr>
          <w:rFonts w:cstheme="minorHAnsi"/>
        </w:rPr>
        <w:t>44, totalizando 88 participantes</w:t>
      </w:r>
      <w:r w:rsidR="00D40574" w:rsidRPr="00432A86">
        <w:rPr>
          <w:rFonts w:cstheme="minorHAnsi"/>
        </w:rPr>
        <w:t>, respectivamente.</w:t>
      </w:r>
    </w:p>
    <w:p w14:paraId="20C57235" w14:textId="374D1F42" w:rsidR="00AA1B60" w:rsidRPr="00432A86" w:rsidRDefault="00F205C2" w:rsidP="00432A86">
      <w:pPr>
        <w:spacing w:after="0" w:line="360" w:lineRule="auto"/>
        <w:jc w:val="both"/>
        <w:rPr>
          <w:rFonts w:cstheme="minorHAnsi"/>
        </w:rPr>
      </w:pPr>
      <w:r w:rsidRPr="00432A86">
        <w:rPr>
          <w:rFonts w:cstheme="minorHAnsi"/>
        </w:rPr>
        <w:t xml:space="preserve">Assim, um cálculo amostral de 88 mulheres tem poder para detecção de diferenças para os dois desfechos primários: intensidade da dor e escores médios de qualidade de vida. Esse total será randomizado utilizando um software específico para randomização (SPSS ou STATA) em dois </w:t>
      </w:r>
      <w:r w:rsidRPr="00432A86">
        <w:rPr>
          <w:rFonts w:cstheme="minorHAnsi"/>
        </w:rPr>
        <w:lastRenderedPageBreak/>
        <w:t>grupos: grupo A</w:t>
      </w:r>
      <w:r w:rsidR="00605C59" w:rsidRPr="00432A86">
        <w:rPr>
          <w:rFonts w:cstheme="minorHAnsi"/>
        </w:rPr>
        <w:t xml:space="preserve"> (grupo intervenção)</w:t>
      </w:r>
      <w:r w:rsidRPr="00432A86">
        <w:rPr>
          <w:rFonts w:cstheme="minorHAnsi"/>
        </w:rPr>
        <w:t>, que englobará 44 mulheres que participarão das sessões de constelação familiar</w:t>
      </w:r>
      <w:r w:rsidR="00605C59" w:rsidRPr="00432A86">
        <w:rPr>
          <w:rFonts w:cstheme="minorHAnsi"/>
        </w:rPr>
        <w:t xml:space="preserve"> e grupo B (grupo controle), que englobará 44 mulheres que não participarão da intervenção. </w:t>
      </w:r>
      <w:r w:rsidR="00605C59" w:rsidRPr="00432A86">
        <w:rPr>
          <w:rFonts w:cstheme="minorHAnsi"/>
          <w:highlight w:val="cyan"/>
        </w:rPr>
        <w:t>Dentro do grupo A, a metade (n=22) participará como ouvinte/representantes e a metade (n=22) serão consteladas.</w:t>
      </w:r>
    </w:p>
    <w:p w14:paraId="24B4EC10" w14:textId="0998A056" w:rsidR="00605C59" w:rsidRPr="00432A86" w:rsidRDefault="00605C59" w:rsidP="00432A86">
      <w:pPr>
        <w:spacing w:after="0" w:line="360" w:lineRule="auto"/>
        <w:jc w:val="both"/>
        <w:rPr>
          <w:rFonts w:cstheme="minorHAnsi"/>
        </w:rPr>
      </w:pPr>
      <w:r w:rsidRPr="00432A86">
        <w:rPr>
          <w:rFonts w:cstheme="minorHAnsi"/>
          <w:highlight w:val="cyan"/>
        </w:rPr>
        <w:t>Obs.: veja se é interessante mais essa divisão; acho que poderá diminuir o poder e pode prejudicar a análise no final. Sugiro utilizar apenas dois grupos – A e B.</w:t>
      </w:r>
    </w:p>
    <w:p w14:paraId="3F4BAF60" w14:textId="5593CF30" w:rsidR="00605C59" w:rsidRPr="00432A86" w:rsidRDefault="00605C59" w:rsidP="00432A86">
      <w:pPr>
        <w:spacing w:after="0" w:line="360" w:lineRule="auto"/>
        <w:jc w:val="both"/>
        <w:rPr>
          <w:rFonts w:cstheme="minorHAnsi"/>
        </w:rPr>
      </w:pPr>
    </w:p>
    <w:p w14:paraId="7E64BF83" w14:textId="7C6BF536" w:rsidR="00605C59" w:rsidRPr="00432A86" w:rsidRDefault="00605C59" w:rsidP="00432A86">
      <w:pPr>
        <w:spacing w:after="0" w:line="360" w:lineRule="auto"/>
        <w:jc w:val="both"/>
        <w:rPr>
          <w:rFonts w:cstheme="minorHAnsi"/>
          <w:b/>
          <w:bCs/>
          <w:lang w:val="pt-PT"/>
        </w:rPr>
      </w:pPr>
      <w:r w:rsidRPr="00432A86">
        <w:rPr>
          <w:rFonts w:cstheme="minorHAnsi"/>
          <w:b/>
          <w:bCs/>
          <w:lang w:val="pt-PT"/>
        </w:rPr>
        <w:t>Coleta de dados</w:t>
      </w:r>
    </w:p>
    <w:p w14:paraId="7A1400E5" w14:textId="7FC45E34" w:rsidR="00605C59" w:rsidRPr="00432A86" w:rsidRDefault="00605C59" w:rsidP="00432A86">
      <w:pPr>
        <w:spacing w:after="0" w:line="360" w:lineRule="auto"/>
        <w:ind w:firstLine="708"/>
        <w:jc w:val="both"/>
        <w:rPr>
          <w:rFonts w:cstheme="minorHAnsi"/>
          <w:lang w:val="pt-PT"/>
        </w:rPr>
      </w:pPr>
      <w:r w:rsidRPr="00432A86">
        <w:rPr>
          <w:rFonts w:cstheme="minorHAnsi"/>
          <w:lang w:val="pt-PT"/>
        </w:rPr>
        <w:t xml:space="preserve">Os dados serão coletados diretamente pelos pesquisadores junto às participantes, através de seis instrumentos no </w:t>
      </w:r>
      <w:r w:rsidRPr="00432A86">
        <w:rPr>
          <w:rFonts w:cstheme="minorHAnsi"/>
          <w:b/>
          <w:bCs/>
          <w:lang w:val="pt-PT"/>
        </w:rPr>
        <w:t xml:space="preserve">baseline </w:t>
      </w:r>
      <w:r w:rsidRPr="00432A86">
        <w:rPr>
          <w:rFonts w:cstheme="minorHAnsi"/>
          <w:lang w:val="pt-PT"/>
        </w:rPr>
        <w:t>e aos</w:t>
      </w:r>
      <w:r w:rsidRPr="00432A86">
        <w:rPr>
          <w:rFonts w:cstheme="minorHAnsi"/>
          <w:b/>
          <w:bCs/>
          <w:lang w:val="pt-PT"/>
        </w:rPr>
        <w:t xml:space="preserve"> </w:t>
      </w:r>
      <w:r w:rsidRPr="00432A86">
        <w:rPr>
          <w:rFonts w:cstheme="minorHAnsi"/>
          <w:lang w:val="pt-PT"/>
        </w:rPr>
        <w:t>3, 6 e 12 meses da coorte:</w:t>
      </w:r>
    </w:p>
    <w:p w14:paraId="6C733837" w14:textId="77777777" w:rsidR="00605C59" w:rsidRPr="00432A86" w:rsidRDefault="00605C59" w:rsidP="00432A86">
      <w:pPr>
        <w:spacing w:after="0" w:line="360" w:lineRule="auto"/>
        <w:jc w:val="both"/>
        <w:rPr>
          <w:rFonts w:cstheme="minorHAnsi"/>
          <w:lang w:val="pt-PT"/>
        </w:rPr>
      </w:pPr>
      <w:r w:rsidRPr="00432A86">
        <w:rPr>
          <w:rFonts w:cstheme="minorHAnsi"/>
          <w:lang w:val="pt-PT"/>
        </w:rPr>
        <w:t>•</w:t>
      </w:r>
      <w:r w:rsidRPr="00432A86">
        <w:rPr>
          <w:rFonts w:cstheme="minorHAnsi"/>
          <w:lang w:val="pt-PT"/>
        </w:rPr>
        <w:tab/>
        <w:t>Formulário sobre características sociodemográficas e reprodutivas das participantes, bem como aspectos clínicos da DPC (Apêndice III-1 e 2), preenchido sob forma de entrevista;</w:t>
      </w:r>
    </w:p>
    <w:p w14:paraId="1B408CE5" w14:textId="79BEDB9D" w:rsidR="00605C59" w:rsidRPr="00432A86" w:rsidRDefault="00605C59" w:rsidP="00432A86">
      <w:pPr>
        <w:spacing w:after="0" w:line="360" w:lineRule="auto"/>
        <w:jc w:val="both"/>
        <w:rPr>
          <w:rFonts w:cstheme="minorHAnsi"/>
          <w:lang w:val="pt-PT"/>
        </w:rPr>
      </w:pPr>
      <w:r w:rsidRPr="00432A86">
        <w:rPr>
          <w:rFonts w:cstheme="minorHAnsi"/>
          <w:lang w:val="pt-PT"/>
        </w:rPr>
        <w:t>•</w:t>
      </w:r>
      <w:r w:rsidRPr="00432A86">
        <w:rPr>
          <w:rFonts w:cstheme="minorHAnsi"/>
          <w:lang w:val="pt-PT"/>
        </w:rPr>
        <w:tab/>
        <w:t>Escala de qualidade de vida WHOQOL- abreviado (Anexo A)</w:t>
      </w:r>
    </w:p>
    <w:p w14:paraId="1669EADC" w14:textId="77777777" w:rsidR="00605C59" w:rsidRPr="00432A86" w:rsidRDefault="00605C59" w:rsidP="00432A86">
      <w:pPr>
        <w:spacing w:after="0" w:line="360" w:lineRule="auto"/>
        <w:jc w:val="both"/>
        <w:rPr>
          <w:rFonts w:cstheme="minorHAnsi"/>
          <w:lang w:val="pt-PT"/>
        </w:rPr>
      </w:pPr>
      <w:r w:rsidRPr="00432A86">
        <w:rPr>
          <w:rFonts w:cstheme="minorHAnsi"/>
          <w:lang w:val="pt-PT"/>
        </w:rPr>
        <w:t>•</w:t>
      </w:r>
      <w:r w:rsidRPr="00432A86">
        <w:rPr>
          <w:rFonts w:cstheme="minorHAnsi"/>
          <w:lang w:val="pt-PT"/>
        </w:rPr>
        <w:tab/>
        <w:t>Escala de Ansiedade (GAD-7) (Anexo B) e de Depressão (PHQ-9) (Anexo C), que são questionários autoaplicáveis;</w:t>
      </w:r>
    </w:p>
    <w:p w14:paraId="7863C034" w14:textId="77777777" w:rsidR="00605C59" w:rsidRPr="00432A86" w:rsidRDefault="00605C59" w:rsidP="00432A86">
      <w:pPr>
        <w:spacing w:after="0" w:line="360" w:lineRule="auto"/>
        <w:jc w:val="both"/>
        <w:rPr>
          <w:rFonts w:cstheme="minorHAnsi"/>
          <w:lang w:val="pt-PT"/>
        </w:rPr>
      </w:pPr>
      <w:r w:rsidRPr="00432A86">
        <w:rPr>
          <w:rFonts w:cstheme="minorHAnsi"/>
          <w:lang w:val="pt-PT"/>
        </w:rPr>
        <w:t>•</w:t>
      </w:r>
      <w:r w:rsidRPr="00432A86">
        <w:rPr>
          <w:rFonts w:cstheme="minorHAnsi"/>
          <w:lang w:val="pt-PT"/>
        </w:rPr>
        <w:tab/>
        <w:t>Escala CD-10 de Resiliência (Anexo D)</w:t>
      </w:r>
    </w:p>
    <w:p w14:paraId="2280520F" w14:textId="25D17345" w:rsidR="00605C59" w:rsidRPr="00432A86" w:rsidRDefault="00605C59" w:rsidP="00432A86">
      <w:pPr>
        <w:spacing w:after="0" w:line="360" w:lineRule="auto"/>
        <w:jc w:val="both"/>
        <w:rPr>
          <w:rFonts w:cstheme="minorHAnsi"/>
          <w:lang w:val="pt-PT"/>
        </w:rPr>
      </w:pPr>
      <w:r w:rsidRPr="00432A86">
        <w:rPr>
          <w:rFonts w:cstheme="minorHAnsi"/>
          <w:lang w:val="pt-PT"/>
        </w:rPr>
        <w:t>•</w:t>
      </w:r>
      <w:r w:rsidRPr="00432A86">
        <w:rPr>
          <w:rFonts w:cstheme="minorHAnsi"/>
          <w:lang w:val="pt-PT"/>
        </w:rPr>
        <w:tab/>
        <w:t>Escala visual analógica de dor (Anexo E)</w:t>
      </w:r>
    </w:p>
    <w:p w14:paraId="772E18F3" w14:textId="26462F06" w:rsidR="00B02BDD" w:rsidRPr="00432A86" w:rsidRDefault="00B02BDD" w:rsidP="00432A86">
      <w:pPr>
        <w:spacing w:after="0" w:line="360" w:lineRule="auto"/>
        <w:jc w:val="both"/>
        <w:rPr>
          <w:rFonts w:cstheme="minorHAnsi"/>
        </w:rPr>
      </w:pPr>
    </w:p>
    <w:p w14:paraId="60F5C2E1" w14:textId="10424D59" w:rsidR="00605C59" w:rsidRPr="00432A86" w:rsidRDefault="00605C59" w:rsidP="00432A86">
      <w:pPr>
        <w:spacing w:after="0" w:line="360" w:lineRule="auto"/>
        <w:jc w:val="both"/>
        <w:rPr>
          <w:rFonts w:cstheme="minorHAnsi"/>
          <w:b/>
          <w:bCs/>
          <w:lang w:val="pt-PT"/>
        </w:rPr>
      </w:pPr>
      <w:r w:rsidRPr="00432A86">
        <w:rPr>
          <w:rFonts w:cstheme="minorHAnsi"/>
          <w:b/>
          <w:bCs/>
          <w:lang w:val="pt-PT"/>
        </w:rPr>
        <w:t>Variáveis para análise</w:t>
      </w:r>
    </w:p>
    <w:p w14:paraId="6187C386" w14:textId="4BF3A4E3" w:rsidR="00605C59" w:rsidRPr="00432A86" w:rsidRDefault="00605C59" w:rsidP="00432A86">
      <w:pPr>
        <w:spacing w:after="0" w:line="360" w:lineRule="auto"/>
        <w:jc w:val="both"/>
        <w:rPr>
          <w:rFonts w:cstheme="minorHAnsi"/>
          <w:lang w:val="pt-PT"/>
        </w:rPr>
      </w:pPr>
      <w:r w:rsidRPr="00432A86">
        <w:rPr>
          <w:rFonts w:cstheme="minorHAnsi"/>
          <w:lang w:val="pt-PT"/>
        </w:rPr>
        <w:t>Desfechos primários</w:t>
      </w:r>
    </w:p>
    <w:p w14:paraId="5D0983B0" w14:textId="25486DFE" w:rsidR="00605C59" w:rsidRPr="00432A86" w:rsidRDefault="00605C59" w:rsidP="00432A86">
      <w:pPr>
        <w:spacing w:after="0" w:line="360" w:lineRule="auto"/>
        <w:jc w:val="both"/>
        <w:rPr>
          <w:rFonts w:cstheme="minorHAnsi"/>
          <w:lang w:val="pt-PT"/>
        </w:rPr>
      </w:pPr>
      <w:r w:rsidRPr="00432A86">
        <w:rPr>
          <w:rFonts w:cstheme="minorHAnsi"/>
          <w:lang w:val="pt-PT"/>
        </w:rPr>
        <w:t xml:space="preserve">Os desfechos primários serão: </w:t>
      </w:r>
    </w:p>
    <w:p w14:paraId="66B05E65" w14:textId="1EA821C4" w:rsidR="00605C59" w:rsidRPr="00432A86" w:rsidRDefault="00605C59" w:rsidP="00432A86">
      <w:pPr>
        <w:pStyle w:val="PargrafodaLista"/>
        <w:numPr>
          <w:ilvl w:val="0"/>
          <w:numId w:val="1"/>
        </w:numPr>
        <w:spacing w:after="0" w:line="360" w:lineRule="auto"/>
        <w:jc w:val="both"/>
        <w:rPr>
          <w:rFonts w:cstheme="minorHAnsi"/>
          <w:lang w:val="pt-PT"/>
        </w:rPr>
      </w:pPr>
      <w:r w:rsidRPr="00432A86">
        <w:rPr>
          <w:rFonts w:cstheme="minorHAnsi"/>
          <w:lang w:val="pt-PT"/>
        </w:rPr>
        <w:t>Intensidade da dor mensurada na EVA;</w:t>
      </w:r>
    </w:p>
    <w:p w14:paraId="3324118E" w14:textId="51B28E1C" w:rsidR="00605C59" w:rsidRPr="00432A86" w:rsidRDefault="00605C59" w:rsidP="00432A86">
      <w:pPr>
        <w:pStyle w:val="PargrafodaLista"/>
        <w:numPr>
          <w:ilvl w:val="0"/>
          <w:numId w:val="1"/>
        </w:numPr>
        <w:spacing w:after="0" w:line="360" w:lineRule="auto"/>
        <w:jc w:val="both"/>
        <w:rPr>
          <w:rFonts w:cstheme="minorHAnsi"/>
          <w:lang w:val="pt-PT"/>
        </w:rPr>
      </w:pPr>
      <w:r w:rsidRPr="00432A86">
        <w:rPr>
          <w:rFonts w:cstheme="minorHAnsi"/>
          <w:lang w:val="pt-PT"/>
        </w:rPr>
        <w:t>Escores de qualidade de vida nos domínios físico, psicológico,ambiental e social menurados no WHOQOL- abreviado;</w:t>
      </w:r>
    </w:p>
    <w:p w14:paraId="4A02B08C" w14:textId="5EFFFF81" w:rsidR="00605C59" w:rsidRPr="00432A86" w:rsidRDefault="00605C59" w:rsidP="00432A86">
      <w:pPr>
        <w:spacing w:after="0" w:line="360" w:lineRule="auto"/>
        <w:jc w:val="both"/>
        <w:rPr>
          <w:rFonts w:cstheme="minorHAnsi"/>
          <w:lang w:val="pt-PT"/>
        </w:rPr>
      </w:pPr>
    </w:p>
    <w:p w14:paraId="1DF9E809" w14:textId="68C3F9AC" w:rsidR="00605C59" w:rsidRPr="00432A86" w:rsidRDefault="00605C59" w:rsidP="00432A86">
      <w:pPr>
        <w:spacing w:after="0" w:line="360" w:lineRule="auto"/>
        <w:jc w:val="both"/>
        <w:rPr>
          <w:rFonts w:cstheme="minorHAnsi"/>
          <w:lang w:val="pt-PT"/>
        </w:rPr>
      </w:pPr>
      <w:r w:rsidRPr="00432A86">
        <w:rPr>
          <w:rFonts w:cstheme="minorHAnsi"/>
          <w:lang w:val="pt-PT"/>
        </w:rPr>
        <w:t>Os desfechos secundários serão:</w:t>
      </w:r>
    </w:p>
    <w:p w14:paraId="6DB9D015" w14:textId="6929608A" w:rsidR="00432A86" w:rsidRPr="00432A86" w:rsidRDefault="00432A86" w:rsidP="00432A86">
      <w:pPr>
        <w:pStyle w:val="PargrafodaLista"/>
        <w:numPr>
          <w:ilvl w:val="0"/>
          <w:numId w:val="2"/>
        </w:numPr>
        <w:spacing w:after="0" w:line="360" w:lineRule="auto"/>
        <w:jc w:val="both"/>
        <w:rPr>
          <w:rFonts w:cstheme="minorHAnsi"/>
          <w:lang w:val="pt-PT"/>
        </w:rPr>
      </w:pPr>
      <w:r w:rsidRPr="00432A86">
        <w:rPr>
          <w:rFonts w:cstheme="minorHAnsi"/>
          <w:lang w:val="pt-PT"/>
        </w:rPr>
        <w:t xml:space="preserve">Escores de Ansiedade (GAD-7) </w:t>
      </w:r>
    </w:p>
    <w:p w14:paraId="3BE0B87D" w14:textId="01E08BA5" w:rsidR="00432A86" w:rsidRPr="00432A86" w:rsidRDefault="00432A86" w:rsidP="00432A86">
      <w:pPr>
        <w:pStyle w:val="PargrafodaLista"/>
        <w:numPr>
          <w:ilvl w:val="0"/>
          <w:numId w:val="2"/>
        </w:numPr>
        <w:spacing w:after="0" w:line="360" w:lineRule="auto"/>
        <w:jc w:val="both"/>
        <w:rPr>
          <w:rFonts w:cstheme="minorHAnsi"/>
          <w:lang w:val="pt-PT"/>
        </w:rPr>
      </w:pPr>
      <w:r w:rsidRPr="00432A86">
        <w:rPr>
          <w:rFonts w:cstheme="minorHAnsi"/>
          <w:lang w:val="pt-PT"/>
        </w:rPr>
        <w:t>Escores de Depressão (PHQ-9);</w:t>
      </w:r>
    </w:p>
    <w:p w14:paraId="37125E7D" w14:textId="6D0AE049" w:rsidR="00432A86" w:rsidRPr="00432A86" w:rsidRDefault="00432A86" w:rsidP="00432A86">
      <w:pPr>
        <w:pStyle w:val="PargrafodaLista"/>
        <w:numPr>
          <w:ilvl w:val="0"/>
          <w:numId w:val="2"/>
        </w:numPr>
        <w:spacing w:after="0" w:line="360" w:lineRule="auto"/>
        <w:jc w:val="both"/>
        <w:rPr>
          <w:rFonts w:cstheme="minorHAnsi"/>
          <w:lang w:val="pt-PT"/>
        </w:rPr>
      </w:pPr>
      <w:r w:rsidRPr="00432A86">
        <w:rPr>
          <w:rFonts w:cstheme="minorHAnsi"/>
          <w:lang w:val="pt-PT"/>
        </w:rPr>
        <w:t>Escores de Resiliência (Escala CD-10 de Resiliência).</w:t>
      </w:r>
    </w:p>
    <w:p w14:paraId="414E304C" w14:textId="35A7F6AE" w:rsidR="00605C59" w:rsidRPr="00432A86" w:rsidRDefault="00432A86" w:rsidP="00432A86">
      <w:pPr>
        <w:spacing w:after="0" w:line="360" w:lineRule="auto"/>
        <w:ind w:firstLine="360"/>
        <w:jc w:val="both"/>
        <w:rPr>
          <w:rFonts w:cstheme="minorHAnsi"/>
          <w:lang w:val="pt-PT"/>
        </w:rPr>
      </w:pPr>
      <w:r w:rsidRPr="00432A86">
        <w:rPr>
          <w:rFonts w:cstheme="minorHAnsi"/>
          <w:lang w:val="pt-PT"/>
        </w:rPr>
        <w:t>A variável independente será o grupo em estudo, que apresentará duas categorias: grupo A (intervenção) e grupo B (controle).</w:t>
      </w:r>
    </w:p>
    <w:p w14:paraId="351BEEEB" w14:textId="0BB1D6CE" w:rsidR="00605C59" w:rsidRPr="00432A86" w:rsidRDefault="00432A86" w:rsidP="00432A86">
      <w:pPr>
        <w:spacing w:after="0" w:line="360" w:lineRule="auto"/>
        <w:ind w:firstLine="360"/>
        <w:jc w:val="both"/>
        <w:rPr>
          <w:rFonts w:cstheme="minorHAnsi"/>
          <w:lang w:val="pt-PT"/>
        </w:rPr>
      </w:pPr>
      <w:r w:rsidRPr="00432A86">
        <w:rPr>
          <w:rFonts w:cstheme="minorHAnsi"/>
          <w:lang w:val="pt-PT"/>
        </w:rPr>
        <w:t xml:space="preserve">As covariáveis potenciais de confundimento serão: </w:t>
      </w:r>
      <w:r w:rsidR="00605C59" w:rsidRPr="00432A86">
        <w:rPr>
          <w:rFonts w:cstheme="minorHAnsi"/>
          <w:lang w:val="pt-PT"/>
        </w:rPr>
        <w:t xml:space="preserve">idade, raça, índice de massa corpórea, escolaridade, renda mensal, trabalho remunerado, estado marital, tabagismo, ingestão de álcool, violência física, violência sexual, aborto, filhos, cirurgia abdominal ou pélvica, laparoscopia por DPC, aderências pélvicas, endometriose, intensidade da dor, uso de </w:t>
      </w:r>
      <w:r w:rsidR="00605C59" w:rsidRPr="00432A86">
        <w:rPr>
          <w:rFonts w:cstheme="minorHAnsi"/>
          <w:lang w:val="pt-PT"/>
        </w:rPr>
        <w:lastRenderedPageBreak/>
        <w:t>analgésicos/antiinflamatório, uso de opioide, medicação hormonal, antidepressivos, psicoterapia, qualidade de vida, ansiedade, depressão e resiliência.</w:t>
      </w:r>
    </w:p>
    <w:p w14:paraId="0BA98AF6" w14:textId="7BE264B3" w:rsidR="00605C59" w:rsidRPr="00432A86" w:rsidRDefault="00605C59" w:rsidP="00432A86">
      <w:pPr>
        <w:spacing w:after="0" w:line="360" w:lineRule="auto"/>
        <w:jc w:val="both"/>
        <w:rPr>
          <w:rFonts w:cstheme="minorHAnsi"/>
          <w:lang w:val="pt-PT"/>
        </w:rPr>
      </w:pPr>
    </w:p>
    <w:p w14:paraId="2088B9CC" w14:textId="1551BD93" w:rsidR="00605C59" w:rsidRPr="00432A86" w:rsidRDefault="00605C59" w:rsidP="00432A86">
      <w:pPr>
        <w:spacing w:after="0" w:line="360" w:lineRule="auto"/>
        <w:jc w:val="both"/>
        <w:rPr>
          <w:rFonts w:cstheme="minorHAnsi"/>
          <w:b/>
          <w:bCs/>
          <w:lang w:val="pt-PT"/>
        </w:rPr>
      </w:pPr>
      <w:r w:rsidRPr="00432A86">
        <w:rPr>
          <w:rFonts w:cstheme="minorHAnsi"/>
          <w:b/>
          <w:bCs/>
          <w:lang w:val="pt-PT"/>
        </w:rPr>
        <w:t>Análise dos Dados</w:t>
      </w:r>
    </w:p>
    <w:p w14:paraId="384C933D" w14:textId="50C5E9EE" w:rsidR="00605C59" w:rsidRDefault="00605C59" w:rsidP="00432A86">
      <w:pPr>
        <w:spacing w:after="0" w:line="360" w:lineRule="auto"/>
        <w:jc w:val="both"/>
        <w:rPr>
          <w:rFonts w:cstheme="minorHAnsi"/>
          <w:lang w:val="pt-PT"/>
        </w:rPr>
      </w:pPr>
      <w:r w:rsidRPr="00432A86">
        <w:rPr>
          <w:rFonts w:cstheme="minorHAnsi"/>
          <w:lang w:val="pt-PT"/>
        </w:rPr>
        <w:t>Inicialmente, os dados serão registrados e codificados em um banco de dados do programa Microsoft Office Excel, versão 365 e exportados, posteriormente, para o programa Statistical Package for Social Science para Personal Computer (SPSS-PC)</w:t>
      </w:r>
      <w:r w:rsidR="00432A86">
        <w:rPr>
          <w:rFonts w:cstheme="minorHAnsi"/>
          <w:lang w:val="pt-PT"/>
        </w:rPr>
        <w:t>, versão 24.0</w:t>
      </w:r>
      <w:r w:rsidRPr="00432A86">
        <w:rPr>
          <w:rFonts w:cstheme="minorHAnsi"/>
          <w:lang w:val="pt-PT"/>
        </w:rPr>
        <w:t>.</w:t>
      </w:r>
    </w:p>
    <w:p w14:paraId="761C6A05" w14:textId="3890A8E7" w:rsidR="00605C59" w:rsidRPr="00432A86" w:rsidRDefault="00432A86" w:rsidP="00432A86">
      <w:pPr>
        <w:spacing w:after="0" w:line="360" w:lineRule="auto"/>
        <w:jc w:val="both"/>
        <w:rPr>
          <w:rFonts w:cstheme="minorHAnsi"/>
          <w:lang w:val="pt-PT"/>
        </w:rPr>
      </w:pPr>
      <w:r>
        <w:rPr>
          <w:rFonts w:cstheme="minorHAnsi"/>
          <w:lang w:val="pt-PT"/>
        </w:rPr>
        <w:t>Os grupos A e B serão comparados utilizando teste de qui-quadrado de Perason ou exato de Fisher para variáveis categóricas ou teste t de Student para amostras independentes para as variáveis quantitativas</w:t>
      </w:r>
      <w:r w:rsidR="00605C59" w:rsidRPr="00432A86">
        <w:rPr>
          <w:rFonts w:cstheme="minorHAnsi"/>
          <w:lang w:val="pt-PT"/>
        </w:rPr>
        <w:t xml:space="preserve"> (BUSSAB, MORETTIN, 1987)</w:t>
      </w:r>
      <w:r>
        <w:rPr>
          <w:rFonts w:cstheme="minorHAnsi"/>
          <w:lang w:val="pt-PT"/>
        </w:rPr>
        <w:t>. A normalidade dos dados será verificada pelo teste de Kolmoogorv-Smirnov com correção de Lilliefors.</w:t>
      </w:r>
    </w:p>
    <w:p w14:paraId="558651A3" w14:textId="039AC7BC" w:rsidR="00A058BE" w:rsidRPr="00432A86" w:rsidRDefault="00A058BE" w:rsidP="00432A86">
      <w:pPr>
        <w:spacing w:after="0" w:line="360" w:lineRule="auto"/>
        <w:jc w:val="both"/>
        <w:rPr>
          <w:rFonts w:cstheme="minorHAnsi"/>
          <w:lang w:val="pt-PT"/>
        </w:rPr>
      </w:pPr>
      <w:r>
        <w:rPr>
          <w:rFonts w:cstheme="minorHAnsi"/>
          <w:lang w:val="pt-PT"/>
        </w:rPr>
        <w:t>Os escores das escalas dos desfechos primários e secundários serão, inicialmente, comparados pelo teste t de Student para amostras independentes. A seguir, serão realizados modelos lineares generalizados considerando a família linear para analisar o impacto da intervenção nos desfechos após ajuste por potenciais variáveis confundidoras. O teste de bondagem de ajuste será utilizado para verificar a adequabilidade dos modelos aos dados. O</w:t>
      </w:r>
      <w:r w:rsidR="00605C59" w:rsidRPr="00432A86">
        <w:rPr>
          <w:rFonts w:cstheme="minorHAnsi"/>
          <w:lang w:val="pt-PT"/>
        </w:rPr>
        <w:t>nível de significância estatística adotado será menor ou igual a 0,05.</w:t>
      </w:r>
    </w:p>
    <w:p w14:paraId="43FE4415" w14:textId="77777777" w:rsidR="00605C59" w:rsidRPr="00432A86" w:rsidRDefault="00605C59" w:rsidP="00432A86">
      <w:pPr>
        <w:spacing w:after="0" w:line="360" w:lineRule="auto"/>
        <w:jc w:val="both"/>
        <w:rPr>
          <w:rFonts w:cstheme="minorHAnsi"/>
          <w:lang w:val="pt-PT"/>
        </w:rPr>
      </w:pPr>
    </w:p>
    <w:p w14:paraId="0C86A636" w14:textId="77777777" w:rsidR="00605C59" w:rsidRPr="00432A86" w:rsidRDefault="00605C59" w:rsidP="00432A86">
      <w:pPr>
        <w:spacing w:after="0" w:line="360" w:lineRule="auto"/>
        <w:jc w:val="both"/>
        <w:rPr>
          <w:rFonts w:cstheme="minorHAnsi"/>
          <w:lang w:val="pt-PT"/>
        </w:rPr>
      </w:pPr>
    </w:p>
    <w:p w14:paraId="24A30B29" w14:textId="77777777" w:rsidR="00605C59" w:rsidRPr="00432A86" w:rsidRDefault="00605C59" w:rsidP="00432A86">
      <w:pPr>
        <w:spacing w:after="0" w:line="360" w:lineRule="auto"/>
        <w:jc w:val="both"/>
        <w:rPr>
          <w:rFonts w:cstheme="minorHAnsi"/>
          <w:lang w:val="pt-PT"/>
        </w:rPr>
      </w:pPr>
      <w:r w:rsidRPr="00432A86">
        <w:rPr>
          <w:rFonts w:cstheme="minorHAnsi"/>
          <w:lang w:val="pt-PT"/>
        </w:rPr>
        <w:t>7.</w:t>
      </w:r>
      <w:r w:rsidRPr="00432A86">
        <w:rPr>
          <w:rFonts w:cstheme="minorHAnsi"/>
          <w:lang w:val="pt-PT"/>
        </w:rPr>
        <w:tab/>
        <w:t>HIPÓTESES</w:t>
      </w:r>
    </w:p>
    <w:p w14:paraId="1DEFD773" w14:textId="77777777" w:rsidR="00605C59" w:rsidRPr="00432A86" w:rsidRDefault="00605C59" w:rsidP="00432A86">
      <w:pPr>
        <w:spacing w:after="0" w:line="360" w:lineRule="auto"/>
        <w:jc w:val="both"/>
        <w:rPr>
          <w:rFonts w:cstheme="minorHAnsi"/>
          <w:lang w:val="pt-PT"/>
        </w:rPr>
      </w:pPr>
    </w:p>
    <w:p w14:paraId="6D86B14D" w14:textId="1529090F" w:rsidR="00605C59" w:rsidRPr="00432A86" w:rsidRDefault="00605C59" w:rsidP="00432A86">
      <w:pPr>
        <w:spacing w:after="0" w:line="360" w:lineRule="auto"/>
        <w:jc w:val="both"/>
        <w:rPr>
          <w:rFonts w:cstheme="minorHAnsi"/>
          <w:lang w:val="pt-PT"/>
        </w:rPr>
      </w:pPr>
      <w:r w:rsidRPr="00432A86">
        <w:rPr>
          <w:rFonts w:cstheme="minorHAnsi"/>
          <w:lang w:val="pt-PT"/>
        </w:rPr>
        <w:t>A constelação familiar pode melhorar os escores de qualidade de vida, de ansiedade, de depressão e de resiliência, bem como reduzir a intensidade da dor em mulheres com dor pélvica crônica.</w:t>
      </w:r>
    </w:p>
    <w:p w14:paraId="12290631" w14:textId="77777777" w:rsidR="00605C59" w:rsidRPr="00432A86" w:rsidRDefault="00605C59" w:rsidP="00432A86">
      <w:pPr>
        <w:spacing w:after="0" w:line="360" w:lineRule="auto"/>
        <w:jc w:val="both"/>
        <w:rPr>
          <w:rFonts w:cstheme="minorHAnsi"/>
        </w:rPr>
      </w:pPr>
    </w:p>
    <w:p w14:paraId="14ABDA02" w14:textId="0700546B" w:rsidR="00AA1B60" w:rsidRPr="00432A86" w:rsidRDefault="00AA1B60" w:rsidP="00432A86">
      <w:pPr>
        <w:spacing w:after="0" w:line="360" w:lineRule="auto"/>
        <w:jc w:val="both"/>
        <w:rPr>
          <w:rFonts w:cstheme="minorHAnsi"/>
          <w:b/>
          <w:bCs/>
          <w:lang w:val="en-US"/>
        </w:rPr>
      </w:pPr>
      <w:proofErr w:type="spellStart"/>
      <w:r w:rsidRPr="00432A86">
        <w:rPr>
          <w:rFonts w:cstheme="minorHAnsi"/>
          <w:b/>
          <w:bCs/>
          <w:lang w:val="en-US"/>
        </w:rPr>
        <w:t>Referência</w:t>
      </w:r>
      <w:r w:rsidR="001122BF" w:rsidRPr="00432A86">
        <w:rPr>
          <w:rFonts w:cstheme="minorHAnsi"/>
          <w:b/>
          <w:bCs/>
          <w:lang w:val="en-US"/>
        </w:rPr>
        <w:t>s</w:t>
      </w:r>
      <w:proofErr w:type="spellEnd"/>
      <w:r w:rsidRPr="00432A86">
        <w:rPr>
          <w:rFonts w:cstheme="minorHAnsi"/>
          <w:b/>
          <w:bCs/>
          <w:lang w:val="en-US"/>
        </w:rPr>
        <w:t>:</w:t>
      </w:r>
    </w:p>
    <w:p w14:paraId="4D913E8F" w14:textId="295FF424" w:rsidR="006D5DCD" w:rsidRPr="00432A86" w:rsidRDefault="006D5DCD" w:rsidP="00432A86">
      <w:pPr>
        <w:spacing w:after="0" w:line="360" w:lineRule="auto"/>
        <w:jc w:val="both"/>
        <w:rPr>
          <w:rFonts w:cstheme="minorHAnsi"/>
          <w:lang w:val="en-US"/>
        </w:rPr>
      </w:pPr>
      <w:proofErr w:type="spellStart"/>
      <w:r w:rsidRPr="00432A86">
        <w:rPr>
          <w:rFonts w:cstheme="minorHAnsi"/>
          <w:lang w:val="en-US"/>
        </w:rPr>
        <w:t>Gayet-Ageron</w:t>
      </w:r>
      <w:proofErr w:type="spellEnd"/>
      <w:r w:rsidRPr="00432A86">
        <w:rPr>
          <w:rFonts w:cstheme="minorHAnsi"/>
          <w:lang w:val="en-US"/>
        </w:rPr>
        <w:t xml:space="preserve">, A. What differences are detected by superiority trials or ruled out by noninferiority trials? A cross-sectional study on a random sample of two-hundred two-arms parallel group randomized clinical trials. BMC Med Res </w:t>
      </w:r>
      <w:proofErr w:type="spellStart"/>
      <w:r w:rsidRPr="00432A86">
        <w:rPr>
          <w:rFonts w:cstheme="minorHAnsi"/>
          <w:lang w:val="en-US"/>
        </w:rPr>
        <w:t>Methodol</w:t>
      </w:r>
      <w:proofErr w:type="spellEnd"/>
      <w:r w:rsidRPr="00432A86">
        <w:rPr>
          <w:rFonts w:cstheme="minorHAnsi"/>
          <w:lang w:val="en-US"/>
        </w:rPr>
        <w:t>. 2010; 10: 93.</w:t>
      </w:r>
    </w:p>
    <w:p w14:paraId="4C6F8CBA" w14:textId="4FC34A25" w:rsidR="00B63995" w:rsidRPr="00432A86" w:rsidRDefault="00B63995" w:rsidP="00432A86">
      <w:pPr>
        <w:spacing w:after="0" w:line="360" w:lineRule="auto"/>
        <w:jc w:val="both"/>
        <w:rPr>
          <w:rFonts w:cstheme="minorHAnsi"/>
          <w:lang w:val="en-US"/>
        </w:rPr>
      </w:pPr>
      <w:r w:rsidRPr="00432A86">
        <w:rPr>
          <w:rFonts w:cstheme="minorHAnsi"/>
          <w:lang w:val="en-US"/>
        </w:rPr>
        <w:t>Antunes-Reis, A.R. Association of religiosity with mental health and quality of life in women with chronic pelvic pain. The International Journal of Psychiatry in Medicine.0(0);1-14.</w:t>
      </w:r>
    </w:p>
    <w:p w14:paraId="6E259EBA" w14:textId="7121C4EB" w:rsidR="00194540" w:rsidRPr="00432A86" w:rsidRDefault="00194540" w:rsidP="00432A86">
      <w:pPr>
        <w:spacing w:after="0" w:line="360" w:lineRule="auto"/>
        <w:jc w:val="both"/>
        <w:rPr>
          <w:rFonts w:cstheme="minorHAnsi"/>
          <w:lang w:val="en-US"/>
        </w:rPr>
      </w:pPr>
      <w:r w:rsidRPr="00432A86">
        <w:rPr>
          <w:rFonts w:cstheme="minorHAnsi"/>
          <w:lang w:val="en-US"/>
        </w:rPr>
        <w:t>Luz et al. Quality of life and associated factors in Brazilian women with chronic pelvic pain. J Pain Res. 2018; 11: 1367–1374.</w:t>
      </w:r>
    </w:p>
    <w:p w14:paraId="0C42FD5F" w14:textId="77777777" w:rsidR="00B63995" w:rsidRPr="0016707E" w:rsidRDefault="00B63995" w:rsidP="001122BF">
      <w:pPr>
        <w:jc w:val="both"/>
        <w:rPr>
          <w:lang w:val="en-US"/>
        </w:rPr>
      </w:pPr>
    </w:p>
    <w:sectPr w:rsidR="00B63995" w:rsidRPr="001670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0465F"/>
    <w:multiLevelType w:val="hybridMultilevel"/>
    <w:tmpl w:val="2E2236BC"/>
    <w:lvl w:ilvl="0" w:tplc="5FAE2FD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40D1671"/>
    <w:multiLevelType w:val="hybridMultilevel"/>
    <w:tmpl w:val="A40E35CE"/>
    <w:lvl w:ilvl="0" w:tplc="BFA25D2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81249337">
    <w:abstractNumId w:val="0"/>
  </w:num>
  <w:num w:numId="2" w16cid:durableId="603391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15"/>
    <w:rsid w:val="001122BF"/>
    <w:rsid w:val="0016707E"/>
    <w:rsid w:val="00174177"/>
    <w:rsid w:val="00194540"/>
    <w:rsid w:val="00432A86"/>
    <w:rsid w:val="005A4DE9"/>
    <w:rsid w:val="005E13BC"/>
    <w:rsid w:val="00605C59"/>
    <w:rsid w:val="006D5DCD"/>
    <w:rsid w:val="008D129B"/>
    <w:rsid w:val="008E18E2"/>
    <w:rsid w:val="00A058BE"/>
    <w:rsid w:val="00AA1B60"/>
    <w:rsid w:val="00AD1F00"/>
    <w:rsid w:val="00B02BDD"/>
    <w:rsid w:val="00B24B86"/>
    <w:rsid w:val="00B63995"/>
    <w:rsid w:val="00BD2282"/>
    <w:rsid w:val="00C30015"/>
    <w:rsid w:val="00C308A4"/>
    <w:rsid w:val="00D40574"/>
    <w:rsid w:val="00E14747"/>
    <w:rsid w:val="00F205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D239"/>
  <w15:chartTrackingRefBased/>
  <w15:docId w15:val="{0B2BE9D1-8B3F-450C-B521-0D3CA0F1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05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978913">
      <w:bodyDiv w:val="1"/>
      <w:marLeft w:val="0"/>
      <w:marRight w:val="0"/>
      <w:marTop w:val="0"/>
      <w:marBottom w:val="0"/>
      <w:divBdr>
        <w:top w:val="none" w:sz="0" w:space="0" w:color="auto"/>
        <w:left w:val="none" w:sz="0" w:space="0" w:color="auto"/>
        <w:bottom w:val="none" w:sz="0" w:space="0" w:color="auto"/>
        <w:right w:val="none" w:sz="0" w:space="0" w:color="auto"/>
      </w:divBdr>
    </w:div>
    <w:div w:id="1521161301">
      <w:bodyDiv w:val="1"/>
      <w:marLeft w:val="0"/>
      <w:marRight w:val="0"/>
      <w:marTop w:val="0"/>
      <w:marBottom w:val="0"/>
      <w:divBdr>
        <w:top w:val="none" w:sz="0" w:space="0" w:color="auto"/>
        <w:left w:val="none" w:sz="0" w:space="0" w:color="auto"/>
        <w:bottom w:val="none" w:sz="0" w:space="0" w:color="auto"/>
        <w:right w:val="none" w:sz="0" w:space="0" w:color="auto"/>
      </w:divBdr>
      <w:divsChild>
        <w:div w:id="1466194322">
          <w:marLeft w:val="0"/>
          <w:marRight w:val="0"/>
          <w:marTop w:val="0"/>
          <w:marBottom w:val="0"/>
          <w:divBdr>
            <w:top w:val="none" w:sz="0" w:space="0" w:color="auto"/>
            <w:left w:val="none" w:sz="0" w:space="0" w:color="auto"/>
            <w:bottom w:val="none" w:sz="0" w:space="0" w:color="auto"/>
            <w:right w:val="none" w:sz="0" w:space="0" w:color="auto"/>
          </w:divBdr>
          <w:divsChild>
            <w:div w:id="11773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6505">
      <w:bodyDiv w:val="1"/>
      <w:marLeft w:val="0"/>
      <w:marRight w:val="0"/>
      <w:marTop w:val="0"/>
      <w:marBottom w:val="0"/>
      <w:divBdr>
        <w:top w:val="none" w:sz="0" w:space="0" w:color="auto"/>
        <w:left w:val="none" w:sz="0" w:space="0" w:color="auto"/>
        <w:bottom w:val="none" w:sz="0" w:space="0" w:color="auto"/>
        <w:right w:val="none" w:sz="0" w:space="0" w:color="auto"/>
      </w:divBdr>
    </w:div>
    <w:div w:id="1871989956">
      <w:bodyDiv w:val="1"/>
      <w:marLeft w:val="0"/>
      <w:marRight w:val="0"/>
      <w:marTop w:val="0"/>
      <w:marBottom w:val="0"/>
      <w:divBdr>
        <w:top w:val="none" w:sz="0" w:space="0" w:color="auto"/>
        <w:left w:val="none" w:sz="0" w:space="0" w:color="auto"/>
        <w:bottom w:val="none" w:sz="0" w:space="0" w:color="auto"/>
        <w:right w:val="none" w:sz="0" w:space="0" w:color="auto"/>
      </w:divBdr>
    </w:div>
    <w:div w:id="209600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1068</Words>
  <Characters>5770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Alves Guimarães</dc:creator>
  <cp:keywords/>
  <dc:description/>
  <cp:lastModifiedBy>Vania Meira e Siqueira Campos</cp:lastModifiedBy>
  <cp:revision>2</cp:revision>
  <dcterms:created xsi:type="dcterms:W3CDTF">2022-11-01T11:48:00Z</dcterms:created>
  <dcterms:modified xsi:type="dcterms:W3CDTF">2022-11-01T11:48:00Z</dcterms:modified>
</cp:coreProperties>
</file>