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</w:pPr>
      <w:r>
        <w:t>HOSPITAL DAS CLÍNICAS DA FACULDADE DE MEDICINA DA USP</w:t>
      </w:r>
    </w:p>
    <w:p w14:paraId="00000002" w14:textId="77777777" w:rsidR="00E4777B" w:rsidRDefault="00000000">
      <w:pPr>
        <w:tabs>
          <w:tab w:val="center" w:pos="4252"/>
          <w:tab w:val="right" w:pos="8478"/>
          <w:tab w:val="left" w:pos="8496"/>
          <w:tab w:val="left" w:pos="9204"/>
        </w:tabs>
        <w:spacing w:after="160" w:line="480" w:lineRule="auto"/>
        <w:jc w:val="center"/>
      </w:pPr>
      <w:r>
        <w:tab/>
        <w:t>INSTITUTO DE ORTOPEDIA E TRAUMATOLOGIA</w:t>
      </w:r>
      <w:r>
        <w:tab/>
      </w:r>
    </w:p>
    <w:p w14:paraId="00000003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</w:pPr>
    </w:p>
    <w:p w14:paraId="00000004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</w:pPr>
    </w:p>
    <w:p w14:paraId="00000005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</w:pPr>
    </w:p>
    <w:p w14:paraId="00000006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Posicionamento do Componente Acetabular na Artroplastia Total do Quadril Realizada Através do Acesso Posterior Convencional x Acesso Posterior Modificado (SPAIRE): Estudo Comparativo Prospectivo Randomizado</w:t>
      </w:r>
    </w:p>
    <w:p w14:paraId="00000007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b/>
          <w:sz w:val="28"/>
          <w:szCs w:val="28"/>
          <w:highlight w:val="white"/>
        </w:rPr>
      </w:pPr>
    </w:p>
    <w:p w14:paraId="00000008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b/>
          <w:sz w:val="28"/>
          <w:szCs w:val="28"/>
          <w:highlight w:val="white"/>
        </w:rPr>
      </w:pPr>
    </w:p>
    <w:p w14:paraId="00000009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highlight w:val="white"/>
        </w:rPr>
      </w:pPr>
    </w:p>
    <w:p w14:paraId="0000000A" w14:textId="77777777" w:rsidR="00E4777B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Pesquisador Executante</w:t>
      </w:r>
      <w:r>
        <w:rPr>
          <w:sz w:val="24"/>
          <w:szCs w:val="24"/>
        </w:rPr>
        <w:t>: Bruno Alves Rudelli</w:t>
      </w:r>
    </w:p>
    <w:p w14:paraId="0000000B" w14:textId="77777777" w:rsidR="00E4777B" w:rsidRDefault="00E4777B">
      <w:pPr>
        <w:spacing w:line="360" w:lineRule="auto"/>
        <w:jc w:val="both"/>
        <w:rPr>
          <w:sz w:val="24"/>
          <w:szCs w:val="24"/>
        </w:rPr>
      </w:pPr>
    </w:p>
    <w:p w14:paraId="0000000C" w14:textId="77777777" w:rsidR="00E4777B" w:rsidRDefault="00000000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Pesquisador Responsável:</w:t>
      </w:r>
      <w:r>
        <w:rPr>
          <w:sz w:val="24"/>
          <w:szCs w:val="24"/>
        </w:rPr>
        <w:t xml:space="preserve"> Henrique Melo de Campos Gurgel</w:t>
      </w:r>
    </w:p>
    <w:p w14:paraId="0000000D" w14:textId="77777777" w:rsidR="00E4777B" w:rsidRDefault="00E4777B">
      <w:pPr>
        <w:spacing w:line="360" w:lineRule="auto"/>
        <w:jc w:val="both"/>
        <w:rPr>
          <w:b/>
          <w:sz w:val="24"/>
          <w:szCs w:val="24"/>
        </w:rPr>
      </w:pPr>
    </w:p>
    <w:p w14:paraId="0000000E" w14:textId="1E70DAA6" w:rsidR="00E4777B" w:rsidRDefault="00000000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Co-autores</w:t>
      </w:r>
      <w:proofErr w:type="spellEnd"/>
      <w:r>
        <w:rPr>
          <w:sz w:val="24"/>
          <w:szCs w:val="24"/>
        </w:rPr>
        <w:t xml:space="preserve">: Helder de Souza </w:t>
      </w:r>
      <w:proofErr w:type="spellStart"/>
      <w:r>
        <w:rPr>
          <w:sz w:val="24"/>
          <w:szCs w:val="24"/>
        </w:rPr>
        <w:t>Miyahara</w:t>
      </w:r>
      <w:proofErr w:type="spellEnd"/>
      <w:r w:rsidR="00441209">
        <w:rPr>
          <w:sz w:val="24"/>
          <w:szCs w:val="24"/>
        </w:rPr>
        <w:t xml:space="preserve">, João Carlos Rodrigues, </w:t>
      </w:r>
      <w:r>
        <w:rPr>
          <w:sz w:val="24"/>
          <w:szCs w:val="24"/>
        </w:rPr>
        <w:t xml:space="preserve">José Ricardo Negreiros Vicente, Alberto </w:t>
      </w:r>
      <w:proofErr w:type="spellStart"/>
      <w:r>
        <w:rPr>
          <w:sz w:val="24"/>
          <w:szCs w:val="24"/>
        </w:rPr>
        <w:t>Tesconi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Croci</w:t>
      </w:r>
      <w:proofErr w:type="spellEnd"/>
      <w:r>
        <w:rPr>
          <w:sz w:val="24"/>
          <w:szCs w:val="24"/>
        </w:rPr>
        <w:t>, Olavo Pires de Camargo</w:t>
      </w:r>
    </w:p>
    <w:p w14:paraId="0000000F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  <w:jc w:val="right"/>
        <w:rPr>
          <w:sz w:val="24"/>
          <w:szCs w:val="24"/>
        </w:rPr>
      </w:pPr>
    </w:p>
    <w:p w14:paraId="00000010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/>
      </w:pPr>
    </w:p>
    <w:p w14:paraId="00000011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</w:pPr>
    </w:p>
    <w:p w14:paraId="00000012" w14:textId="77777777" w:rsidR="00E4777B" w:rsidRDefault="00000000">
      <w:pPr>
        <w:tabs>
          <w:tab w:val="center" w:pos="4252"/>
          <w:tab w:val="left" w:pos="5790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40" w:lineRule="auto"/>
        <w:jc w:val="center"/>
      </w:pPr>
      <w:r>
        <w:lastRenderedPageBreak/>
        <w:t>São Paulo, 2023</w:t>
      </w:r>
    </w:p>
    <w:p w14:paraId="00000013" w14:textId="77777777" w:rsidR="00E4777B" w:rsidRDefault="00E4777B">
      <w:pPr>
        <w:tabs>
          <w:tab w:val="center" w:pos="4252"/>
          <w:tab w:val="left" w:pos="5790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40" w:lineRule="auto"/>
        <w:jc w:val="center"/>
      </w:pPr>
    </w:p>
    <w:p w14:paraId="00000014" w14:textId="77777777" w:rsidR="00E4777B" w:rsidRDefault="00000000">
      <w:pPr>
        <w:numPr>
          <w:ilvl w:val="0"/>
          <w:numId w:val="1"/>
        </w:numPr>
        <w:spacing w:after="160" w:line="48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INTRODUÇÃO </w:t>
      </w:r>
    </w:p>
    <w:p w14:paraId="00000015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artroplastia total do quadril (ATQ) é um procedimento amplamente utilizado no tratamento de afecções do quadril, tendo sido considerada a cirurgia do século pelo </w:t>
      </w:r>
      <w:r>
        <w:rPr>
          <w:i/>
          <w:sz w:val="24"/>
          <w:szCs w:val="24"/>
        </w:rPr>
        <w:t xml:space="preserve">Lancet </w:t>
      </w:r>
      <w:r>
        <w:rPr>
          <w:sz w:val="24"/>
          <w:szCs w:val="24"/>
        </w:rPr>
        <w:t xml:space="preserve">no ano de 2007 devido ao seu alto índice de sucesso </w:t>
      </w:r>
      <w:hyperlink r:id="rId5">
        <w:r>
          <w:rPr>
            <w:color w:val="000000"/>
            <w:sz w:val="24"/>
            <w:szCs w:val="24"/>
          </w:rPr>
          <w:t>(1)</w:t>
        </w:r>
      </w:hyperlink>
      <w:r>
        <w:rPr>
          <w:sz w:val="24"/>
          <w:szCs w:val="24"/>
        </w:rPr>
        <w:t xml:space="preserve">. Devido ao êxito em aliviar a dor e otimizar níveis funcionais, o número de cirurgias de prótese de quadril vem aumentando nos últimos anos quando analisamos as bases de dados nacionais </w:t>
      </w:r>
      <w:hyperlink r:id="rId6">
        <w:r>
          <w:rPr>
            <w:color w:val="000000"/>
            <w:sz w:val="24"/>
            <w:szCs w:val="24"/>
          </w:rPr>
          <w:t>(2,3)</w:t>
        </w:r>
      </w:hyperlink>
      <w:r>
        <w:rPr>
          <w:sz w:val="24"/>
          <w:szCs w:val="24"/>
        </w:rPr>
        <w:t xml:space="preserve">. Paralelamente ao aumento dos números absolutos de </w:t>
      </w:r>
      <w:proofErr w:type="spellStart"/>
      <w:r>
        <w:rPr>
          <w:sz w:val="24"/>
          <w:szCs w:val="24"/>
        </w:rPr>
        <w:t>ATQs</w:t>
      </w:r>
      <w:proofErr w:type="spellEnd"/>
      <w:r>
        <w:rPr>
          <w:sz w:val="24"/>
          <w:szCs w:val="24"/>
        </w:rPr>
        <w:t xml:space="preserve"> realizadas, existe um aumento na expectativa dos pacientes e médicos com o procedimento fazendo com que haja uma pressão para o desenvolvimento de implantes mais duráveis e estáveis além de novas técnicas menos invasivas que permitam uma reabilitação mais precoce e melhores ganhos funcionais</w:t>
      </w:r>
      <w:hyperlink r:id="rId7">
        <w:r>
          <w:rPr>
            <w:color w:val="000000"/>
            <w:sz w:val="24"/>
            <w:szCs w:val="24"/>
          </w:rPr>
          <w:t>(4)</w:t>
        </w:r>
      </w:hyperlink>
      <w:r>
        <w:rPr>
          <w:sz w:val="24"/>
          <w:szCs w:val="24"/>
        </w:rPr>
        <w:t xml:space="preserve">. </w:t>
      </w:r>
    </w:p>
    <w:p w14:paraId="00000016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tipo de via de acesso escolhido pelo cirurgião para realização da ATQ é um assunto bastante discutido atualmente, uma vez que está diretamente relacionada com a reabilitação </w:t>
      </w:r>
      <w:proofErr w:type="gramStart"/>
      <w:r>
        <w:rPr>
          <w:sz w:val="24"/>
          <w:szCs w:val="24"/>
        </w:rPr>
        <w:t>pós operatória</w:t>
      </w:r>
      <w:proofErr w:type="gramEnd"/>
      <w:r>
        <w:rPr>
          <w:sz w:val="24"/>
          <w:szCs w:val="24"/>
        </w:rPr>
        <w:t xml:space="preserve"> e risco de complicações</w:t>
      </w:r>
      <w:hyperlink r:id="rId8">
        <w:r>
          <w:rPr>
            <w:color w:val="000000"/>
            <w:sz w:val="24"/>
            <w:szCs w:val="24"/>
          </w:rPr>
          <w:t>(5)</w:t>
        </w:r>
      </w:hyperlink>
      <w:r>
        <w:rPr>
          <w:sz w:val="24"/>
          <w:szCs w:val="24"/>
        </w:rPr>
        <w:t xml:space="preserve">. </w:t>
      </w:r>
    </w:p>
    <w:p w14:paraId="00000017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Dentre as diversas vias cirúrgicas descritas, uma das mais utilizadas no mundo é o acesso posterior descrito por Moore em 1952</w:t>
      </w:r>
      <w:hyperlink r:id="rId9">
        <w:r>
          <w:rPr>
            <w:color w:val="000000"/>
            <w:sz w:val="24"/>
            <w:szCs w:val="24"/>
          </w:rPr>
          <w:t>(6)</w:t>
        </w:r>
      </w:hyperlink>
      <w:r>
        <w:rPr>
          <w:sz w:val="24"/>
          <w:szCs w:val="24"/>
        </w:rPr>
        <w:t xml:space="preserve">, que consiste na dissecção romba do glúteo máximo e </w:t>
      </w:r>
      <w:proofErr w:type="spellStart"/>
      <w:r>
        <w:rPr>
          <w:sz w:val="24"/>
          <w:szCs w:val="24"/>
        </w:rPr>
        <w:t>desinserção</w:t>
      </w:r>
      <w:proofErr w:type="spellEnd"/>
      <w:r>
        <w:rPr>
          <w:sz w:val="24"/>
          <w:szCs w:val="24"/>
        </w:rPr>
        <w:t xml:space="preserve"> dos rotadores externos. As vantagens desta via são a preservação da musculatura abdutora do quadril e ampla exposição articular, tendo como desvantagem o maior risco de luxação posterior </w:t>
      </w:r>
      <w:hyperlink r:id="rId10">
        <w:r>
          <w:rPr>
            <w:color w:val="000000"/>
            <w:sz w:val="24"/>
            <w:szCs w:val="24"/>
          </w:rPr>
          <w:t>(7)</w:t>
        </w:r>
      </w:hyperlink>
      <w:r>
        <w:rPr>
          <w:sz w:val="24"/>
          <w:szCs w:val="24"/>
        </w:rPr>
        <w:t xml:space="preserve">. Outras vias frequentemente utilizadas são a via lateral descrita por </w:t>
      </w:r>
      <w:proofErr w:type="spellStart"/>
      <w:r>
        <w:rPr>
          <w:sz w:val="24"/>
          <w:szCs w:val="24"/>
        </w:rPr>
        <w:t>Hardinge</w:t>
      </w:r>
      <w:proofErr w:type="spellEnd"/>
      <w:r>
        <w:rPr>
          <w:sz w:val="24"/>
          <w:szCs w:val="24"/>
        </w:rPr>
        <w:t xml:space="preserve">, que acessa a articulação do quadril através da </w:t>
      </w:r>
      <w:proofErr w:type="spellStart"/>
      <w:r>
        <w:rPr>
          <w:sz w:val="24"/>
          <w:szCs w:val="24"/>
        </w:rPr>
        <w:t>desinserção</w:t>
      </w:r>
      <w:proofErr w:type="spellEnd"/>
      <w:r>
        <w:rPr>
          <w:sz w:val="24"/>
          <w:szCs w:val="24"/>
        </w:rPr>
        <w:t xml:space="preserve"> parcial do tendão do glúteo médio </w:t>
      </w:r>
      <w:hyperlink r:id="rId11">
        <w:r>
          <w:rPr>
            <w:color w:val="000000"/>
            <w:sz w:val="24"/>
            <w:szCs w:val="24"/>
          </w:rPr>
          <w:t>(8)</w:t>
        </w:r>
      </w:hyperlink>
      <w:r>
        <w:rPr>
          <w:sz w:val="24"/>
          <w:szCs w:val="24"/>
        </w:rPr>
        <w:t xml:space="preserve"> permitindo excelente exposição, porém com críticas a respeito da violação do mecanismo abdutor, e o acesso anterior direto descrito inicialmente por </w:t>
      </w:r>
      <w:proofErr w:type="spellStart"/>
      <w:r>
        <w:rPr>
          <w:sz w:val="24"/>
          <w:szCs w:val="24"/>
        </w:rPr>
        <w:t>Hueter</w:t>
      </w:r>
      <w:proofErr w:type="spellEnd"/>
      <w:r>
        <w:rPr>
          <w:sz w:val="24"/>
          <w:szCs w:val="24"/>
        </w:rPr>
        <w:t xml:space="preserve"> em </w:t>
      </w:r>
      <w:r>
        <w:rPr>
          <w:sz w:val="24"/>
          <w:szCs w:val="24"/>
        </w:rPr>
        <w:lastRenderedPageBreak/>
        <w:t>1883</w:t>
      </w:r>
      <w:hyperlink r:id="rId12">
        <w:r>
          <w:rPr>
            <w:color w:val="000000"/>
            <w:sz w:val="24"/>
            <w:szCs w:val="24"/>
          </w:rPr>
          <w:t>(9)</w:t>
        </w:r>
      </w:hyperlink>
      <w:r>
        <w:rPr>
          <w:sz w:val="24"/>
          <w:szCs w:val="24"/>
        </w:rPr>
        <w:t>, revivido por Smith-</w:t>
      </w:r>
      <w:proofErr w:type="spellStart"/>
      <w:r>
        <w:rPr>
          <w:sz w:val="24"/>
          <w:szCs w:val="24"/>
        </w:rPr>
        <w:t>Petersen</w:t>
      </w:r>
      <w:proofErr w:type="spellEnd"/>
      <w:r>
        <w:fldChar w:fldCharType="begin"/>
      </w:r>
      <w:r>
        <w:instrText>HYPERLINK "https://paperpile.com/c/oX1Wi4/OSE4" \h</w:instrText>
      </w:r>
      <w:r>
        <w:fldChar w:fldCharType="separate"/>
      </w:r>
      <w:r>
        <w:rPr>
          <w:color w:val="000000"/>
          <w:sz w:val="24"/>
          <w:szCs w:val="24"/>
        </w:rPr>
        <w:t>(10)</w:t>
      </w:r>
      <w:r>
        <w:rPr>
          <w:color w:val="000000"/>
          <w:sz w:val="24"/>
          <w:szCs w:val="24"/>
        </w:rPr>
        <w:fldChar w:fldCharType="end"/>
      </w:r>
      <w:r>
        <w:rPr>
          <w:sz w:val="24"/>
          <w:szCs w:val="24"/>
        </w:rPr>
        <w:t xml:space="preserve"> e em crescente utilização nos dias atuais pela sua preservação </w:t>
      </w:r>
      <w:proofErr w:type="spellStart"/>
      <w:r>
        <w:rPr>
          <w:sz w:val="24"/>
          <w:szCs w:val="24"/>
        </w:rPr>
        <w:t>musculotendínea</w:t>
      </w:r>
      <w:proofErr w:type="spellEnd"/>
      <w:r>
        <w:rPr>
          <w:sz w:val="24"/>
          <w:szCs w:val="24"/>
        </w:rPr>
        <w:t xml:space="preserve">. Ainda não há consenso a respeito do acesso perfeito, sendo que cada um apresenta riscos e vantagens que devem ser levados em consideração caso a caso, assim como a experiência do cirurgião com a técnica. </w:t>
      </w:r>
    </w:p>
    <w:p w14:paraId="00000018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Mais recentemente, no ano de 2017, o grupo de Exeter publicou uma variação da via posterior com o intuito de preservar alguns dos rotadores externos habitualmente desinseridos no acesso posterior convencional. Nessa via, os tendões dos músculos piriforme, obturador interno, gêmeo superior e inferior são preservados, sendo realizado apenas a </w:t>
      </w:r>
      <w:proofErr w:type="spellStart"/>
      <w:r>
        <w:rPr>
          <w:sz w:val="24"/>
          <w:szCs w:val="24"/>
        </w:rPr>
        <w:t>desinserção</w:t>
      </w:r>
      <w:proofErr w:type="spellEnd"/>
      <w:r>
        <w:rPr>
          <w:sz w:val="24"/>
          <w:szCs w:val="24"/>
        </w:rPr>
        <w:t xml:space="preserve"> do tendão do obturador externo e do músculo quadrado femoral</w:t>
      </w:r>
      <w:hyperlink r:id="rId13">
        <w:r>
          <w:rPr>
            <w:color w:val="000000"/>
            <w:sz w:val="24"/>
            <w:szCs w:val="24"/>
          </w:rPr>
          <w:t>(11)</w:t>
        </w:r>
      </w:hyperlink>
      <w:r>
        <w:rPr>
          <w:sz w:val="24"/>
          <w:szCs w:val="24"/>
        </w:rPr>
        <w:t xml:space="preserve">. O nome dado a essa variação é </w:t>
      </w:r>
      <w:r>
        <w:rPr>
          <w:i/>
          <w:sz w:val="24"/>
          <w:szCs w:val="24"/>
        </w:rPr>
        <w:t>SPAIRE</w:t>
      </w:r>
      <w:r>
        <w:rPr>
          <w:sz w:val="24"/>
          <w:szCs w:val="24"/>
        </w:rPr>
        <w:t xml:space="preserve"> que em português significa "poupar" e é acrônimo na língua inglesa para os tendões preservados e </w:t>
      </w:r>
      <w:proofErr w:type="spellStart"/>
      <w:r>
        <w:rPr>
          <w:sz w:val="24"/>
          <w:szCs w:val="24"/>
        </w:rPr>
        <w:t>tenotomizados</w:t>
      </w:r>
      <w:proofErr w:type="spellEnd"/>
      <w:r>
        <w:rPr>
          <w:sz w:val="24"/>
          <w:szCs w:val="24"/>
        </w:rPr>
        <w:t xml:space="preserve"> (</w:t>
      </w:r>
      <w:r>
        <w:rPr>
          <w:b/>
          <w:i/>
          <w:sz w:val="24"/>
          <w:szCs w:val="24"/>
        </w:rPr>
        <w:t>SPAIRE</w:t>
      </w:r>
      <w:r>
        <w:rPr>
          <w:i/>
          <w:sz w:val="24"/>
          <w:szCs w:val="24"/>
        </w:rPr>
        <w:t xml:space="preserve"> - </w:t>
      </w:r>
      <w:proofErr w:type="spellStart"/>
      <w:r>
        <w:rPr>
          <w:b/>
          <w:i/>
          <w:sz w:val="24"/>
          <w:szCs w:val="24"/>
        </w:rPr>
        <w:t>S</w:t>
      </w:r>
      <w:r>
        <w:rPr>
          <w:i/>
          <w:sz w:val="24"/>
          <w:szCs w:val="24"/>
        </w:rPr>
        <w:t>ave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</w:t>
      </w:r>
      <w:r>
        <w:rPr>
          <w:i/>
          <w:sz w:val="24"/>
          <w:szCs w:val="24"/>
        </w:rPr>
        <w:t>iriformis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A</w:t>
      </w:r>
      <w:r>
        <w:rPr>
          <w:i/>
          <w:sz w:val="24"/>
          <w:szCs w:val="24"/>
        </w:rPr>
        <w:t>nd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I</w:t>
      </w:r>
      <w:r>
        <w:rPr>
          <w:i/>
          <w:sz w:val="24"/>
          <w:szCs w:val="24"/>
        </w:rPr>
        <w:t>nternus</w:t>
      </w:r>
      <w:proofErr w:type="spellEnd"/>
      <w:r>
        <w:rPr>
          <w:i/>
          <w:sz w:val="24"/>
          <w:szCs w:val="24"/>
        </w:rPr>
        <w:t>,</w:t>
      </w:r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R</w:t>
      </w:r>
      <w:r>
        <w:rPr>
          <w:i/>
          <w:sz w:val="24"/>
          <w:szCs w:val="24"/>
        </w:rPr>
        <w:t>epair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E</w:t>
      </w:r>
      <w:r>
        <w:rPr>
          <w:i/>
          <w:sz w:val="24"/>
          <w:szCs w:val="24"/>
        </w:rPr>
        <w:t>xternus</w:t>
      </w:r>
      <w:proofErr w:type="spellEnd"/>
      <w:r>
        <w:rPr>
          <w:sz w:val="24"/>
          <w:szCs w:val="24"/>
        </w:rPr>
        <w:t xml:space="preserve">). Acredita-se que a preservação desses tendões está relacionada com aumento de estabilidade da prótese e ganho funcional no pós-operatório. </w:t>
      </w:r>
    </w:p>
    <w:p w14:paraId="00000019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Uma das maiores críticas a vias cirúrgicas que tentam ser menos invasivas no sentido de evitar </w:t>
      </w:r>
      <w:proofErr w:type="spellStart"/>
      <w:r>
        <w:rPr>
          <w:sz w:val="24"/>
          <w:szCs w:val="24"/>
        </w:rPr>
        <w:t>desinserções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tendíneas</w:t>
      </w:r>
      <w:proofErr w:type="spellEnd"/>
      <w:r>
        <w:rPr>
          <w:sz w:val="24"/>
          <w:szCs w:val="24"/>
        </w:rPr>
        <w:t xml:space="preserve"> e musculares é a dificuldade de se conseguir uma boa exposição acarretando num pior posicionamento dos componentes e maior risco de complicações</w:t>
      </w:r>
      <w:hyperlink r:id="rId14">
        <w:r>
          <w:rPr>
            <w:color w:val="000000"/>
            <w:sz w:val="24"/>
            <w:szCs w:val="24"/>
          </w:rPr>
          <w:t>(12)</w:t>
        </w:r>
      </w:hyperlink>
      <w:r>
        <w:rPr>
          <w:sz w:val="24"/>
          <w:szCs w:val="24"/>
        </w:rPr>
        <w:t>.</w:t>
      </w:r>
    </w:p>
    <w:p w14:paraId="0000001A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 xml:space="preserve">Desde o clássico trabalho de </w:t>
      </w:r>
      <w:proofErr w:type="spellStart"/>
      <w:r>
        <w:rPr>
          <w:sz w:val="24"/>
          <w:szCs w:val="24"/>
        </w:rPr>
        <w:t>Lewinnek</w:t>
      </w:r>
      <w:proofErr w:type="spellEnd"/>
      <w:r>
        <w:fldChar w:fldCharType="begin"/>
      </w:r>
      <w:r>
        <w:instrText>HYPERLINK "https://paperpile.com/c/oX1Wi4/XCb7" \h</w:instrText>
      </w:r>
      <w:r>
        <w:fldChar w:fldCharType="separate"/>
      </w:r>
      <w:r>
        <w:rPr>
          <w:color w:val="000000"/>
          <w:sz w:val="24"/>
          <w:szCs w:val="24"/>
        </w:rPr>
        <w:t>(13)</w:t>
      </w:r>
      <w:r>
        <w:rPr>
          <w:color w:val="000000"/>
          <w:sz w:val="24"/>
          <w:szCs w:val="24"/>
        </w:rPr>
        <w:fldChar w:fldCharType="end"/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que definiu uma zona de segurança para o posicionamento acetabular, muito se discute a respeito de qual seria o melhor posicionamento da taça acetabular para evitar luxações</w:t>
      </w:r>
      <w:hyperlink r:id="rId15">
        <w:r>
          <w:rPr>
            <w:color w:val="000000"/>
            <w:sz w:val="24"/>
            <w:szCs w:val="24"/>
          </w:rPr>
          <w:t>(14–16)</w:t>
        </w:r>
      </w:hyperlink>
      <w:r>
        <w:rPr>
          <w:sz w:val="24"/>
          <w:szCs w:val="24"/>
        </w:rPr>
        <w:t>. Independente das controvérsias a respeito da zona ideal, sabemos que o adequado posicionamento é fundamental para evitar complicações como instabilidade, desgaste acelerado do polietileno e fraturas dos insertes de cerâmica</w:t>
      </w:r>
      <w:hyperlink r:id="rId16">
        <w:r>
          <w:rPr>
            <w:color w:val="000000"/>
            <w:sz w:val="24"/>
            <w:szCs w:val="24"/>
          </w:rPr>
          <w:t>(15,17)</w:t>
        </w:r>
      </w:hyperlink>
      <w:r>
        <w:rPr>
          <w:sz w:val="24"/>
          <w:szCs w:val="24"/>
        </w:rPr>
        <w:t>.</w:t>
      </w:r>
    </w:p>
    <w:p w14:paraId="0000001B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A forma mais precisa de se calcular o posicionamento acetabular (inclinação e </w:t>
      </w:r>
      <w:proofErr w:type="spellStart"/>
      <w:r>
        <w:rPr>
          <w:sz w:val="24"/>
          <w:szCs w:val="24"/>
        </w:rPr>
        <w:t>anteversão</w:t>
      </w:r>
      <w:proofErr w:type="spellEnd"/>
      <w:r>
        <w:rPr>
          <w:sz w:val="24"/>
          <w:szCs w:val="24"/>
        </w:rPr>
        <w:t>) é através da tomografia computadorizada, que consegue retirar vieses de posicionamento da pelve no espaço e imprecisões de medidas nas radiografias</w:t>
      </w:r>
      <w:hyperlink r:id="rId17">
        <w:r>
          <w:rPr>
            <w:color w:val="000000"/>
            <w:sz w:val="24"/>
            <w:szCs w:val="24"/>
          </w:rPr>
          <w:t>(18)</w:t>
        </w:r>
      </w:hyperlink>
      <w:r>
        <w:rPr>
          <w:sz w:val="24"/>
          <w:szCs w:val="24"/>
        </w:rPr>
        <w:t>.</w:t>
      </w:r>
    </w:p>
    <w:p w14:paraId="0000001C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Desconhecemos, até o momento, qualquer trabalho que avalie o posicionamento do componente acetabular através da tomografia computadorizada entre o acesso posterior adaptado (</w:t>
      </w:r>
      <w:r>
        <w:rPr>
          <w:i/>
          <w:sz w:val="24"/>
          <w:szCs w:val="24"/>
        </w:rPr>
        <w:t>SPAIRE</w:t>
      </w:r>
      <w:r>
        <w:rPr>
          <w:sz w:val="24"/>
          <w:szCs w:val="24"/>
        </w:rPr>
        <w:t xml:space="preserve">) e o acesso posterior convencional. </w:t>
      </w:r>
    </w:p>
    <w:p w14:paraId="0000001D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000001E" w14:textId="77777777" w:rsidR="00E4777B" w:rsidRDefault="00000000">
      <w:pPr>
        <w:numPr>
          <w:ilvl w:val="0"/>
          <w:numId w:val="1"/>
        </w:numPr>
        <w:tabs>
          <w:tab w:val="left" w:pos="708"/>
        </w:tabs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OBJETIVO</w:t>
      </w:r>
    </w:p>
    <w:p w14:paraId="0000001F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 OBJETIVO PRIMÁRIO</w:t>
      </w:r>
    </w:p>
    <w:p w14:paraId="00000020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O objetivo principal da pesquisa é comparar o posicionamento do componente acetabular entre o acesso posterior convencional e o acesso posterior modificado através da tomografia computadorizada.</w:t>
      </w:r>
    </w:p>
    <w:p w14:paraId="00000021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22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2.2 OBJETIVOS SECUNDÁRIOS </w:t>
      </w:r>
    </w:p>
    <w:p w14:paraId="00000023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Comparar as taxas de complicações clínicas e ortopédicas, tempo cirúrgico, sangramento, escore de dor e escores funcionais ("time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go" e força de abdução) entre as duas vias cirúrgicas.</w:t>
      </w:r>
    </w:p>
    <w:p w14:paraId="00000024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color w:val="FF0000"/>
          <w:sz w:val="24"/>
          <w:szCs w:val="24"/>
        </w:rPr>
      </w:pPr>
    </w:p>
    <w:p w14:paraId="00000025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26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MATERIAIS E MÉTODOS </w:t>
      </w:r>
    </w:p>
    <w:p w14:paraId="00000027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Estudo clínico controlado e randomizado de pacientes submetidos à artroplastia total de quadril através das vias posterior convencional e posterior modificada (SPAIRE). Serão  selecionados 50 pacientes da fila de prótese primária do IOT-HCMUSP (o cálculo amostral realizado pelo site </w:t>
      </w:r>
      <w:hyperlink r:id="rId18">
        <w:r>
          <w:rPr>
            <w:color w:val="1155CC"/>
            <w:sz w:val="24"/>
            <w:szCs w:val="24"/>
            <w:u w:val="single"/>
          </w:rPr>
          <w:t>https://clincalc.com/stats/samplesize.aspx</w:t>
        </w:r>
      </w:hyperlink>
      <w:r>
        <w:rPr>
          <w:sz w:val="24"/>
          <w:szCs w:val="24"/>
        </w:rPr>
        <w:t xml:space="preserve"> baseado na previsão do desfecho de </w:t>
      </w:r>
      <w:proofErr w:type="spellStart"/>
      <w:r>
        <w:rPr>
          <w:sz w:val="24"/>
          <w:szCs w:val="24"/>
        </w:rPr>
        <w:t>anteversão</w:t>
      </w:r>
      <w:proofErr w:type="spellEnd"/>
      <w:r>
        <w:rPr>
          <w:sz w:val="24"/>
          <w:szCs w:val="24"/>
        </w:rPr>
        <w:t xml:space="preserve"> do componente acetabular de 15 graus com desvio padrão de 5 graus aceitando um erro alpha de 5% e poder do teste de 80% forneceu o valor de n de 32 pacientes). Optamos por aumentar esse valor para 50 casos, prevendo perdas de seguimento ao longo do estudo e alterações na previsão de desvio padrão</w:t>
      </w:r>
      <w:proofErr w:type="gramStart"/>
      <w:r>
        <w:rPr>
          <w:sz w:val="24"/>
          <w:szCs w:val="24"/>
        </w:rPr>
        <w:t>) .</w:t>
      </w:r>
      <w:proofErr w:type="gramEnd"/>
      <w:r>
        <w:rPr>
          <w:sz w:val="24"/>
          <w:szCs w:val="24"/>
        </w:rPr>
        <w:t xml:space="preserve"> Os pacientes serão alocados </w:t>
      </w:r>
      <w:proofErr w:type="spellStart"/>
      <w:r>
        <w:rPr>
          <w:sz w:val="24"/>
          <w:szCs w:val="24"/>
        </w:rPr>
        <w:t>randomizadamente</w:t>
      </w:r>
      <w:proofErr w:type="spellEnd"/>
      <w:r>
        <w:rPr>
          <w:sz w:val="24"/>
          <w:szCs w:val="24"/>
        </w:rPr>
        <w:t xml:space="preserve"> em 2 grupos: via posterior convencional e via posterior modificada (SPAIRE). As vias comparadas serão a posterior convencional conforme descrita por Moore</w:t>
      </w:r>
      <w:hyperlink r:id="rId19">
        <w:r>
          <w:rPr>
            <w:color w:val="000000"/>
            <w:sz w:val="24"/>
            <w:szCs w:val="24"/>
          </w:rPr>
          <w:t>(6)</w:t>
        </w:r>
      </w:hyperlink>
      <w:r>
        <w:rPr>
          <w:sz w:val="24"/>
          <w:szCs w:val="24"/>
        </w:rPr>
        <w:t xml:space="preserve"> e a via posterior modificada descrita pela equipe de Exeter em 2017 através do artigo </w:t>
      </w:r>
      <w:hyperlink r:id="rId20">
        <w:r>
          <w:rPr>
            <w:color w:val="000000"/>
            <w:sz w:val="24"/>
            <w:szCs w:val="24"/>
          </w:rPr>
          <w:t>(11)</w:t>
        </w:r>
      </w:hyperlink>
      <w:r>
        <w:rPr>
          <w:sz w:val="24"/>
          <w:szCs w:val="24"/>
        </w:rPr>
        <w:t>. Não será necessário a utilização de nenhum material especial na realização desses procedimentos. Todos os procedimentos serão operados pelo mesmo cirurgião com a mesma prótese (Johnson).</w:t>
      </w:r>
    </w:p>
    <w:p w14:paraId="00000028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color w:val="374151"/>
          <w:sz w:val="24"/>
          <w:szCs w:val="24"/>
        </w:rPr>
        <w:tab/>
      </w:r>
      <w:r>
        <w:rPr>
          <w:sz w:val="24"/>
          <w:szCs w:val="24"/>
        </w:rPr>
        <w:t xml:space="preserve">As tomografias de </w:t>
      </w:r>
      <w:proofErr w:type="gramStart"/>
      <w:r>
        <w:rPr>
          <w:sz w:val="24"/>
          <w:szCs w:val="24"/>
        </w:rPr>
        <w:t>bacia  serão</w:t>
      </w:r>
      <w:proofErr w:type="gramEnd"/>
      <w:r>
        <w:rPr>
          <w:sz w:val="24"/>
          <w:szCs w:val="24"/>
        </w:rPr>
        <w:t xml:space="preserve"> realizadas durante a internação no período de pós operatório no IOT - HCFMUSP. A captação das imagens pelo aparelho de tomografia será através da técnica "</w:t>
      </w:r>
      <w:proofErr w:type="spellStart"/>
      <w:r>
        <w:rPr>
          <w:sz w:val="24"/>
          <w:szCs w:val="24"/>
        </w:rPr>
        <w:t>multislice</w:t>
      </w:r>
      <w:proofErr w:type="spellEnd"/>
      <w:r>
        <w:rPr>
          <w:sz w:val="24"/>
          <w:szCs w:val="24"/>
        </w:rPr>
        <w:t xml:space="preserve">", em que o tubo tomográfico gira e captura múltiplas imagens simultâneas enquanto a mesa também se move. Serão obtidos cortes axiais com espessura de 0,6mm, com 50% de sobreposição entre eles, permitindo uma reconstrução </w:t>
      </w:r>
      <w:proofErr w:type="spellStart"/>
      <w:r>
        <w:rPr>
          <w:sz w:val="24"/>
          <w:szCs w:val="24"/>
        </w:rPr>
        <w:t>multiplanar</w:t>
      </w:r>
      <w:proofErr w:type="spellEnd"/>
      <w:r>
        <w:rPr>
          <w:sz w:val="24"/>
          <w:szCs w:val="24"/>
        </w:rPr>
        <w:t xml:space="preserve"> detalhada nos três eixos ortogonais - coronal, axial e sagital. As imagens serão reconstruídas considerando o plano coronal como referência o plano pélvico anterior (PPA), formado pelas duas espinhas ilíacas </w:t>
      </w:r>
      <w:proofErr w:type="spellStart"/>
      <w:r>
        <w:rPr>
          <w:sz w:val="24"/>
          <w:szCs w:val="24"/>
        </w:rPr>
        <w:t>ântero-superiores</w:t>
      </w:r>
      <w:proofErr w:type="spellEnd"/>
      <w:r>
        <w:rPr>
          <w:sz w:val="24"/>
          <w:szCs w:val="24"/>
        </w:rPr>
        <w:t xml:space="preserve"> e pelos dois tubérculos púbicos. Os planos sagital e axial serão determinados como sendo perpendiculares ao PPA.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Todas as medições tomográficas serão analisadas por três radiologistas especializados em </w:t>
      </w:r>
      <w:proofErr w:type="spellStart"/>
      <w:r>
        <w:rPr>
          <w:sz w:val="24"/>
          <w:szCs w:val="24"/>
        </w:rPr>
        <w:t>músculo-esquelético</w:t>
      </w:r>
      <w:proofErr w:type="spellEnd"/>
      <w:r>
        <w:rPr>
          <w:sz w:val="24"/>
          <w:szCs w:val="24"/>
        </w:rPr>
        <w:t xml:space="preserve">, sem conhecimento do grupo ao qual o paciente pertence. Será considerado o valor médio da análise. Os ângulos cirúrgicos de </w:t>
      </w:r>
      <w:proofErr w:type="spellStart"/>
      <w:r>
        <w:rPr>
          <w:sz w:val="24"/>
          <w:szCs w:val="24"/>
        </w:rPr>
        <w:t>anteversão</w:t>
      </w:r>
      <w:proofErr w:type="spellEnd"/>
      <w:r>
        <w:rPr>
          <w:sz w:val="24"/>
          <w:szCs w:val="24"/>
        </w:rPr>
        <w:t xml:space="preserve"> e </w:t>
      </w:r>
      <w:r>
        <w:rPr>
          <w:sz w:val="24"/>
          <w:szCs w:val="24"/>
        </w:rPr>
        <w:lastRenderedPageBreak/>
        <w:t>inclinação serão medidos conforme o estudo de Murray</w:t>
      </w:r>
      <w:hyperlink r:id="rId21">
        <w:r>
          <w:rPr>
            <w:color w:val="000000"/>
            <w:sz w:val="24"/>
            <w:szCs w:val="24"/>
          </w:rPr>
          <w:t>(19)</w:t>
        </w:r>
      </w:hyperlink>
      <w:r>
        <w:rPr>
          <w:color w:val="374151"/>
          <w:sz w:val="24"/>
          <w:szCs w:val="24"/>
        </w:rPr>
        <w:t xml:space="preserve"> </w:t>
      </w:r>
      <w:r>
        <w:rPr>
          <w:sz w:val="24"/>
          <w:szCs w:val="24"/>
        </w:rPr>
        <w:t xml:space="preserve">tendo como referência o plano coronal. </w:t>
      </w:r>
    </w:p>
    <w:p w14:paraId="00000029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Os desfechos secundários analisados serão: tempo cirúrgico; sangramento (avaliado pela hemoglobina </w:t>
      </w:r>
      <w:proofErr w:type="spellStart"/>
      <w:r>
        <w:rPr>
          <w:sz w:val="24"/>
          <w:szCs w:val="24"/>
        </w:rPr>
        <w:t>pré</w:t>
      </w:r>
      <w:proofErr w:type="spellEnd"/>
      <w:r>
        <w:rPr>
          <w:sz w:val="24"/>
          <w:szCs w:val="24"/>
        </w:rPr>
        <w:t xml:space="preserve"> e pós); presença de complicações ortopédicas (luxação, infecção, fratura </w:t>
      </w:r>
      <w:proofErr w:type="spellStart"/>
      <w:r>
        <w:rPr>
          <w:sz w:val="24"/>
          <w:szCs w:val="24"/>
        </w:rPr>
        <w:t>periprotética</w:t>
      </w:r>
      <w:proofErr w:type="spellEnd"/>
      <w:r>
        <w:rPr>
          <w:sz w:val="24"/>
          <w:szCs w:val="24"/>
        </w:rPr>
        <w:t>, lesão neurológica, soltura precoce) e clínicas (tromboembolismo venoso, acidente vascular cerebral , infarto agudo do miocárdio e óbito); dor no período pós-operatório, avaliado pela escala analógica de dor (EVA); e a recuperação funcional através do teste "</w:t>
      </w:r>
      <w:r>
        <w:rPr>
          <w:i/>
          <w:sz w:val="24"/>
          <w:szCs w:val="24"/>
        </w:rPr>
        <w:t xml:space="preserve">time </w:t>
      </w:r>
      <w:proofErr w:type="spellStart"/>
      <w:r>
        <w:rPr>
          <w:i/>
          <w:sz w:val="24"/>
          <w:szCs w:val="24"/>
        </w:rPr>
        <w:t>up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</w:t>
      </w:r>
      <w:proofErr w:type="spellEnd"/>
      <w:r>
        <w:rPr>
          <w:i/>
          <w:sz w:val="24"/>
          <w:szCs w:val="24"/>
        </w:rPr>
        <w:t xml:space="preserve"> go"</w:t>
      </w:r>
      <w:hyperlink r:id="rId22">
        <w:r>
          <w:rPr>
            <w:i/>
            <w:color w:val="000000"/>
            <w:sz w:val="24"/>
            <w:szCs w:val="24"/>
          </w:rPr>
          <w:t>(20)</w:t>
        </w:r>
      </w:hyperlink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realizado no </w:t>
      </w:r>
      <w:proofErr w:type="spellStart"/>
      <w:r>
        <w:rPr>
          <w:sz w:val="24"/>
          <w:szCs w:val="24"/>
        </w:rPr>
        <w:t>pré</w:t>
      </w:r>
      <w:proofErr w:type="spellEnd"/>
      <w:r>
        <w:rPr>
          <w:sz w:val="24"/>
          <w:szCs w:val="24"/>
        </w:rPr>
        <w:t xml:space="preserve"> operatório, pós operatório de 3 dias, 3 semanas, 3 meses e 6 meses.</w:t>
      </w:r>
    </w:p>
    <w:p w14:paraId="4BBA29E8" w14:textId="31096559" w:rsidR="009167D9" w:rsidRDefault="009167D9" w:rsidP="00916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respeito da análise estatística, a</w:t>
      </w:r>
      <w:r w:rsidRPr="009167D9">
        <w:rPr>
          <w:sz w:val="24"/>
          <w:szCs w:val="24"/>
        </w:rPr>
        <w:t xml:space="preserve"> comparação entre</w:t>
      </w:r>
      <w:r>
        <w:rPr>
          <w:sz w:val="24"/>
          <w:szCs w:val="24"/>
        </w:rPr>
        <w:t xml:space="preserve"> os</w:t>
      </w:r>
      <w:r w:rsidRPr="009167D9">
        <w:rPr>
          <w:sz w:val="24"/>
          <w:szCs w:val="24"/>
        </w:rPr>
        <w:t xml:space="preserve"> grupos em relação à porcentagem de casos que </w:t>
      </w:r>
      <w:r>
        <w:rPr>
          <w:sz w:val="24"/>
          <w:szCs w:val="24"/>
        </w:rPr>
        <w:t>se encontra</w:t>
      </w:r>
      <w:r w:rsidRPr="009167D9">
        <w:rPr>
          <w:sz w:val="24"/>
          <w:szCs w:val="24"/>
        </w:rPr>
        <w:t xml:space="preserve"> ou não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dentro da zona de segurança</w:t>
      </w:r>
      <w:r>
        <w:rPr>
          <w:sz w:val="24"/>
          <w:szCs w:val="24"/>
        </w:rPr>
        <w:t xml:space="preserve"> e </w:t>
      </w:r>
      <w:r w:rsidRPr="009167D9">
        <w:rPr>
          <w:sz w:val="24"/>
          <w:szCs w:val="24"/>
        </w:rPr>
        <w:t>à porcentagem</w:t>
      </w:r>
      <w:r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dos sexos</w:t>
      </w:r>
      <w:r>
        <w:rPr>
          <w:sz w:val="24"/>
          <w:szCs w:val="24"/>
        </w:rPr>
        <w:t>, será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realizada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através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9167D9">
        <w:rPr>
          <w:sz w:val="24"/>
          <w:szCs w:val="24"/>
        </w:rPr>
        <w:t xml:space="preserve">o teste </w:t>
      </w:r>
      <w:r>
        <w:rPr>
          <w:sz w:val="24"/>
          <w:szCs w:val="24"/>
        </w:rPr>
        <w:t xml:space="preserve">de </w:t>
      </w:r>
      <w:proofErr w:type="spellStart"/>
      <w:r w:rsidRPr="009167D9">
        <w:rPr>
          <w:sz w:val="24"/>
          <w:szCs w:val="24"/>
        </w:rPr>
        <w:t>quiquadrado</w:t>
      </w:r>
      <w:proofErr w:type="spellEnd"/>
      <w:r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 xml:space="preserve">de Pearson ou </w:t>
      </w:r>
      <w:r w:rsidR="00A74213">
        <w:rPr>
          <w:sz w:val="24"/>
          <w:szCs w:val="24"/>
        </w:rPr>
        <w:t>d</w:t>
      </w:r>
      <w:r w:rsidRPr="009167D9">
        <w:rPr>
          <w:sz w:val="24"/>
          <w:szCs w:val="24"/>
        </w:rPr>
        <w:t>o teste exato de Fisher</w:t>
      </w:r>
      <w:r>
        <w:rPr>
          <w:sz w:val="24"/>
          <w:szCs w:val="24"/>
        </w:rPr>
        <w:t xml:space="preserve"> (no caso do primeiro não ser adequado). 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As distribuições das variáveis “</w:t>
      </w:r>
      <w:proofErr w:type="spellStart"/>
      <w:r w:rsidRPr="009167D9">
        <w:rPr>
          <w:sz w:val="24"/>
          <w:szCs w:val="24"/>
        </w:rPr>
        <w:t>anteversão</w:t>
      </w:r>
      <w:proofErr w:type="spellEnd"/>
      <w:r w:rsidRPr="009167D9">
        <w:rPr>
          <w:sz w:val="24"/>
          <w:szCs w:val="24"/>
        </w:rPr>
        <w:t xml:space="preserve">”, “inclinação”, “desvio da </w:t>
      </w:r>
      <w:proofErr w:type="spellStart"/>
      <w:r w:rsidRPr="009167D9">
        <w:rPr>
          <w:sz w:val="24"/>
          <w:szCs w:val="24"/>
        </w:rPr>
        <w:t>anteversão</w:t>
      </w:r>
      <w:proofErr w:type="spellEnd"/>
      <w:r w:rsidRPr="009167D9">
        <w:rPr>
          <w:sz w:val="24"/>
          <w:szCs w:val="24"/>
        </w:rPr>
        <w:t xml:space="preserve"> em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relação</w:t>
      </w:r>
      <w:r>
        <w:rPr>
          <w:sz w:val="24"/>
          <w:szCs w:val="24"/>
        </w:rPr>
        <w:t xml:space="preserve"> a</w:t>
      </w:r>
      <w:r w:rsidRPr="009167D9">
        <w:rPr>
          <w:sz w:val="24"/>
          <w:szCs w:val="24"/>
        </w:rPr>
        <w:t xml:space="preserve"> 15º” e “desvio </w:t>
      </w:r>
      <w:r w:rsidR="00A74213">
        <w:rPr>
          <w:sz w:val="24"/>
          <w:szCs w:val="24"/>
        </w:rPr>
        <w:t xml:space="preserve">da </w:t>
      </w:r>
      <w:r w:rsidRPr="009167D9">
        <w:rPr>
          <w:sz w:val="24"/>
          <w:szCs w:val="24"/>
        </w:rPr>
        <w:t>inclinação em relação à 40º”,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 xml:space="preserve">segundo os grupos de estudo, </w:t>
      </w:r>
      <w:r>
        <w:rPr>
          <w:sz w:val="24"/>
          <w:szCs w:val="24"/>
        </w:rPr>
        <w:t>serão</w:t>
      </w:r>
      <w:r w:rsidRPr="009167D9">
        <w:rPr>
          <w:sz w:val="24"/>
          <w:szCs w:val="24"/>
        </w:rPr>
        <w:t xml:space="preserve"> comparadas por meio do teste não paramétrico de Mann-Whitney. A comparação das médias destas variáveis em relação aos grupos </w:t>
      </w:r>
      <w:r>
        <w:rPr>
          <w:sz w:val="24"/>
          <w:szCs w:val="24"/>
        </w:rPr>
        <w:t>será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realizada</w:t>
      </w:r>
      <w:r w:rsidRPr="009167D9">
        <w:rPr>
          <w:sz w:val="24"/>
          <w:szCs w:val="24"/>
        </w:rPr>
        <w:t xml:space="preserve"> </w:t>
      </w:r>
      <w:r w:rsidR="00A74213">
        <w:rPr>
          <w:sz w:val="24"/>
          <w:szCs w:val="24"/>
        </w:rPr>
        <w:t>pelo</w:t>
      </w:r>
      <w:r w:rsidRPr="009167D9">
        <w:rPr>
          <w:sz w:val="24"/>
          <w:szCs w:val="24"/>
        </w:rPr>
        <w:t xml:space="preserve"> teste t de </w:t>
      </w:r>
      <w:proofErr w:type="spellStart"/>
      <w:r w:rsidRPr="009167D9">
        <w:rPr>
          <w:sz w:val="24"/>
          <w:szCs w:val="24"/>
        </w:rPr>
        <w:t>Student</w:t>
      </w:r>
      <w:proofErr w:type="spellEnd"/>
      <w:r w:rsidRPr="009167D9">
        <w:rPr>
          <w:sz w:val="24"/>
          <w:szCs w:val="24"/>
        </w:rPr>
        <w:t>.</w:t>
      </w:r>
    </w:p>
    <w:p w14:paraId="0000002A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</w:p>
    <w:p w14:paraId="0000002B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3.1 CRITÉRIOS DE INCLUSÃO</w:t>
      </w:r>
    </w:p>
    <w:p w14:paraId="0000002C" w14:textId="77777777" w:rsidR="00E4777B" w:rsidRDefault="00000000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Pacientes da fila de prótese primária que tenham artrose do quadril </w:t>
      </w:r>
    </w:p>
    <w:p w14:paraId="0000002D" w14:textId="77777777" w:rsidR="00E4777B" w:rsidRDefault="00000000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Paciente em condições de ler e compreender o termo de consentimento livre e esclarecido (TCLE).</w:t>
      </w:r>
    </w:p>
    <w:p w14:paraId="0000002E" w14:textId="77777777" w:rsidR="00E4777B" w:rsidRDefault="00E4777B">
      <w:pPr>
        <w:spacing w:after="200"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F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b/>
          <w:sz w:val="24"/>
          <w:szCs w:val="24"/>
        </w:rPr>
        <w:t>3.2 CRITÉRIOS DE EXCLUSÃO</w:t>
      </w:r>
    </w:p>
    <w:p w14:paraId="00000030" w14:textId="77777777" w:rsidR="00E4777B" w:rsidRDefault="00000000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Pacientes com idade abaixo de 18 anos.</w:t>
      </w:r>
    </w:p>
    <w:p w14:paraId="00000031" w14:textId="77777777" w:rsidR="00E4777B" w:rsidRDefault="00000000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Doenças neurológicas ou ortopédicas que alterem o padrão de marcha e possam influenciar nos testes funcionais </w:t>
      </w:r>
    </w:p>
    <w:p w14:paraId="00000032" w14:textId="77777777" w:rsidR="00E4777B" w:rsidRDefault="00000000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Necessidade de procedimentos adicionais além da prótese de quadril (osteotomias de encurtamento, necessidade de enxerto ósseo estruturado ou impactado e quadris anquilosados ou que necessitem de osteotomia in situ) </w:t>
      </w:r>
    </w:p>
    <w:p w14:paraId="00000033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</w:p>
    <w:p w14:paraId="00000034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ANÁLISE DE RISCO</w:t>
      </w:r>
    </w:p>
    <w:p w14:paraId="0CA5D8F0" w14:textId="25271F32" w:rsidR="00FD7F16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A via cirúrgica proposta pelo estudo (SPAIRE) é segura e está sendo utilizada de rotina em alguns centros na Inglaterra com resultados promissores na reabilitação e sem complicações descritas relacionadas.</w:t>
      </w:r>
      <w:r w:rsidR="00FD7F16">
        <w:rPr>
          <w:sz w:val="24"/>
          <w:szCs w:val="24"/>
        </w:rPr>
        <w:t xml:space="preserve"> Um possível risco apresentado pela via cirúrgica SPAIRE é uma maior dificuldade de exposição acetabular por desinserir menos músculos, o que poderia prejudicar o posicionamento do componente acetabular. Todavia é</w:t>
      </w:r>
      <w:r>
        <w:rPr>
          <w:sz w:val="24"/>
          <w:szCs w:val="24"/>
        </w:rPr>
        <w:t xml:space="preserve"> importante relatar que a via proposta é muito similar a via posterior já utilizada </w:t>
      </w:r>
      <w:r w:rsidR="00FD7F16">
        <w:rPr>
          <w:sz w:val="24"/>
          <w:szCs w:val="24"/>
        </w:rPr>
        <w:t xml:space="preserve">há décadas </w:t>
      </w:r>
      <w:r>
        <w:rPr>
          <w:sz w:val="24"/>
          <w:szCs w:val="24"/>
        </w:rPr>
        <w:t xml:space="preserve">pelo grupo sendo que qualquer dificuldade que possa ser encontrada para realização da via no intraoperatório, a mesma poderá ser convertida para a via posterior convencional sem nenhum dano ao paciente ou à qualidade do </w:t>
      </w:r>
      <w:r w:rsidR="00FD7F16">
        <w:rPr>
          <w:sz w:val="24"/>
          <w:szCs w:val="24"/>
        </w:rPr>
        <w:t>resultado</w:t>
      </w:r>
      <w:r>
        <w:rPr>
          <w:sz w:val="24"/>
          <w:szCs w:val="24"/>
        </w:rPr>
        <w:t xml:space="preserve"> da cirúrgica. </w:t>
      </w:r>
      <w:r w:rsidR="00FD7F16">
        <w:rPr>
          <w:sz w:val="24"/>
          <w:szCs w:val="24"/>
        </w:rPr>
        <w:t xml:space="preserve">Outro fato importante de ser mencionado é que a via SPAIRE já está sendo utilizada de rotina pelo grupo sem nenhuma complicação até o momento há mais de um ano. </w:t>
      </w:r>
    </w:p>
    <w:p w14:paraId="00000035" w14:textId="433613E4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risco de exposição do paciente à radiação pela tomografia computadorizada no pós operatório é mínimo com as técnicas e aparelhos modernos e será discutida com o paciente no momento do preenchimento do termo de consentimento livre e esclarecido. </w:t>
      </w:r>
    </w:p>
    <w:p w14:paraId="00000036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37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CRONOGRAMA</w:t>
      </w:r>
    </w:p>
    <w:p w14:paraId="00000038" w14:textId="77777777" w:rsidR="00E4777B" w:rsidRDefault="00000000">
      <w:pPr>
        <w:ind w:firstLine="4"/>
        <w:jc w:val="both"/>
        <w:rPr>
          <w:sz w:val="24"/>
          <w:szCs w:val="24"/>
        </w:rPr>
      </w:pPr>
      <w:bookmarkStart w:id="0" w:name="kix.qp2aunx5h4e" w:colFirst="0" w:colLast="0"/>
      <w:bookmarkEnd w:id="0"/>
      <w:r>
        <w:rPr>
          <w:sz w:val="24"/>
          <w:szCs w:val="24"/>
        </w:rPr>
        <w:t>Idealizamos um protocolo inicial com número estimado de 50 pacientes, sendo assim:</w:t>
      </w:r>
    </w:p>
    <w:p w14:paraId="00000039" w14:textId="77777777" w:rsidR="00E4777B" w:rsidRDefault="00E4777B">
      <w:pPr>
        <w:ind w:left="705"/>
        <w:jc w:val="both"/>
        <w:rPr>
          <w:sz w:val="24"/>
          <w:szCs w:val="24"/>
        </w:rPr>
      </w:pPr>
    </w:p>
    <w:p w14:paraId="0000003A" w14:textId="77777777" w:rsidR="00E4777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 Seleção dos pacientes ocorrerá continuamente durante o projeto até atingir a casuística.</w:t>
      </w:r>
    </w:p>
    <w:p w14:paraId="0000003B" w14:textId="77777777" w:rsidR="00E4777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- 0 a 12 meses– realização de todos os procedimentos cirúrgico de prótese de quadril (média de 4 cirurgias por mês)</w:t>
      </w:r>
    </w:p>
    <w:p w14:paraId="0000003C" w14:textId="77777777" w:rsidR="00E4777B" w:rsidRDefault="00000000">
      <w:pPr>
        <w:ind w:left="7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- 12 a 18 meses – coleta de dados (após o último procedimento será necessário 6 </w:t>
      </w:r>
    </w:p>
    <w:p w14:paraId="0000003D" w14:textId="77777777" w:rsidR="00E4777B" w:rsidRDefault="00000000">
      <w:pPr>
        <w:ind w:left="705"/>
        <w:jc w:val="both"/>
        <w:rPr>
          <w:sz w:val="24"/>
          <w:szCs w:val="24"/>
        </w:rPr>
      </w:pPr>
      <w:r>
        <w:rPr>
          <w:sz w:val="24"/>
          <w:szCs w:val="24"/>
        </w:rPr>
        <w:t>meses para a última medida do desfecho secundário)</w:t>
      </w:r>
    </w:p>
    <w:p w14:paraId="0000003E" w14:textId="77777777" w:rsidR="00E4777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- 18 a 24 meses - análise estatística e confecção do texto final do trabalho.</w:t>
      </w:r>
    </w:p>
    <w:p w14:paraId="0000003F" w14:textId="77777777" w:rsidR="00E4777B" w:rsidRDefault="00E4777B">
      <w:pPr>
        <w:ind w:left="705"/>
        <w:jc w:val="both"/>
        <w:rPr>
          <w:sz w:val="24"/>
          <w:szCs w:val="24"/>
        </w:rPr>
      </w:pPr>
      <w:bookmarkStart w:id="1" w:name="_1fob9te" w:colFirst="0" w:colLast="0"/>
      <w:bookmarkEnd w:id="1"/>
    </w:p>
    <w:p w14:paraId="00000040" w14:textId="77777777" w:rsidR="00E4777B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Tempo total: 24 meses.</w:t>
      </w:r>
    </w:p>
    <w:p w14:paraId="00000041" w14:textId="77777777" w:rsidR="00E4777B" w:rsidRDefault="00E4777B">
      <w:pPr>
        <w:jc w:val="both"/>
        <w:rPr>
          <w:sz w:val="24"/>
          <w:szCs w:val="24"/>
        </w:rPr>
      </w:pPr>
    </w:p>
    <w:p w14:paraId="00000042" w14:textId="77777777" w:rsidR="00E4777B" w:rsidRDefault="00E4777B">
      <w:pPr>
        <w:jc w:val="both"/>
        <w:rPr>
          <w:sz w:val="24"/>
          <w:szCs w:val="24"/>
        </w:rPr>
      </w:pPr>
    </w:p>
    <w:p w14:paraId="00000043" w14:textId="77777777" w:rsidR="00E4777B" w:rsidRDefault="00E4777B">
      <w:pPr>
        <w:jc w:val="both"/>
        <w:rPr>
          <w:sz w:val="24"/>
          <w:szCs w:val="24"/>
        </w:rPr>
      </w:pPr>
    </w:p>
    <w:p w14:paraId="00000044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6. CUSTOS E ORIGEM DOS RECURSOS FINANCEIROS </w:t>
      </w:r>
    </w:p>
    <w:p w14:paraId="00000045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As cirurgias de prótese de quadril e seu acompanhamento </w:t>
      </w:r>
      <w:proofErr w:type="gramStart"/>
      <w:r>
        <w:rPr>
          <w:sz w:val="24"/>
          <w:szCs w:val="24"/>
        </w:rPr>
        <w:t>pós operatório</w:t>
      </w:r>
      <w:proofErr w:type="gramEnd"/>
      <w:r>
        <w:rPr>
          <w:sz w:val="24"/>
          <w:szCs w:val="24"/>
        </w:rPr>
        <w:t xml:space="preserve"> serão realizadas com o mesmo protocolo utilizado de rotina pelo grupo do quadril, sem nenhum custo adicional.</w:t>
      </w:r>
    </w:p>
    <w:p w14:paraId="00000046" w14:textId="77777777" w:rsidR="00E4777B" w:rsidRDefault="00E4777B">
      <w:pPr>
        <w:jc w:val="both"/>
        <w:rPr>
          <w:sz w:val="24"/>
          <w:szCs w:val="24"/>
        </w:rPr>
      </w:pPr>
    </w:p>
    <w:p w14:paraId="00000047" w14:textId="77777777" w:rsidR="00E4777B" w:rsidRDefault="00E4777B">
      <w:pPr>
        <w:jc w:val="both"/>
        <w:rPr>
          <w:sz w:val="24"/>
          <w:szCs w:val="24"/>
        </w:rPr>
      </w:pPr>
    </w:p>
    <w:p w14:paraId="00000048" w14:textId="77777777" w:rsidR="00E4777B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APÓS A REALIZAÇÃO DA PESQUISA</w:t>
      </w:r>
    </w:p>
    <w:p w14:paraId="00000049" w14:textId="77777777" w:rsidR="00E4777B" w:rsidRDefault="00E4777B">
      <w:pPr>
        <w:jc w:val="both"/>
        <w:rPr>
          <w:sz w:val="24"/>
          <w:szCs w:val="24"/>
        </w:rPr>
      </w:pPr>
    </w:p>
    <w:p w14:paraId="0000004A" w14:textId="77777777" w:rsidR="00E4777B" w:rsidRDefault="0000000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Pacientes – poderão ser beneficiados por uma via de acesso cirúrgica mais efetiva na reabilitação e mais segura para complicações como luxação.</w:t>
      </w:r>
    </w:p>
    <w:p w14:paraId="0000004B" w14:textId="77777777" w:rsidR="00E4777B" w:rsidRDefault="0000000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Pesquisa – Será realizada publicação idealmente em periódico internacional. Existem apenas 2 trabalhos publicados e 1 registro de ensaio clínico sobre esse acesso cirúrgico na literatura, existindo um excelente espaço para os nossos resultados. </w:t>
      </w:r>
    </w:p>
    <w:p w14:paraId="0000004C" w14:textId="77777777" w:rsidR="00E4777B" w:rsidRDefault="00E4777B">
      <w:pPr>
        <w:jc w:val="both"/>
        <w:rPr>
          <w:sz w:val="24"/>
          <w:szCs w:val="24"/>
        </w:rPr>
      </w:pPr>
    </w:p>
    <w:p w14:paraId="0000004D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4E" w14:textId="77777777" w:rsidR="00E4777B" w:rsidRPr="009167D9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color w:val="374151"/>
          <w:sz w:val="24"/>
          <w:szCs w:val="24"/>
          <w:lang w:val="en-US"/>
        </w:rPr>
      </w:pPr>
      <w:r w:rsidRPr="009167D9">
        <w:rPr>
          <w:b/>
          <w:sz w:val="24"/>
          <w:szCs w:val="24"/>
          <w:lang w:val="en-US"/>
        </w:rPr>
        <w:t xml:space="preserve">8. BIBLIOGRAFIA </w:t>
      </w:r>
    </w:p>
    <w:p w14:paraId="0000004F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1.</w:t>
      </w:r>
      <w:r w:rsidRPr="009167D9">
        <w:rPr>
          <w:color w:val="000000"/>
          <w:sz w:val="24"/>
          <w:szCs w:val="24"/>
          <w:lang w:val="en-US"/>
        </w:rPr>
        <w:tab/>
      </w:r>
      <w:hyperlink r:id="rId23">
        <w:r w:rsidRPr="009167D9">
          <w:rPr>
            <w:color w:val="000000"/>
            <w:sz w:val="24"/>
            <w:szCs w:val="24"/>
            <w:lang w:val="en-US"/>
          </w:rPr>
          <w:t xml:space="preserve">Learmonth ID, Young C, Rorabeck C. The operation of the century: total hip replacement. Lancet [Internet]. 2007 Oct 27 [cited 2018 Dec 12];370(9597):1508–19. Available from: </w:t>
        </w:r>
      </w:hyperlink>
      <w:hyperlink r:id="rId24">
        <w:r w:rsidRPr="009167D9">
          <w:rPr>
            <w:color w:val="000000"/>
            <w:sz w:val="24"/>
            <w:szCs w:val="24"/>
            <w:lang w:val="en-US"/>
          </w:rPr>
          <w:t>http://www.thelancet.com/article/S0140673607604577/abstract</w:t>
        </w:r>
      </w:hyperlink>
    </w:p>
    <w:p w14:paraId="00000050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2.</w:t>
      </w:r>
      <w:r w:rsidRPr="009167D9">
        <w:rPr>
          <w:color w:val="000000"/>
          <w:sz w:val="24"/>
          <w:szCs w:val="24"/>
          <w:lang w:val="en-US"/>
        </w:rPr>
        <w:tab/>
      </w:r>
      <w:hyperlink r:id="rId25">
        <w:r w:rsidRPr="009167D9">
          <w:rPr>
            <w:color w:val="000000"/>
            <w:sz w:val="24"/>
            <w:szCs w:val="24"/>
            <w:lang w:val="en-US"/>
          </w:rPr>
          <w:t xml:space="preserve">Ferguson BMBCh RJ, Palmer AJR, Frcs AT, Porter FRCS ML, Malchau H, Glyn-Jones S. Hip replacement. Lancet [Internet]. 2018;392(10158):1662–71. Available from: </w:t>
        </w:r>
      </w:hyperlink>
      <w:hyperlink r:id="rId26">
        <w:r w:rsidRPr="009167D9">
          <w:rPr>
            <w:color w:val="000000"/>
            <w:sz w:val="24"/>
            <w:szCs w:val="24"/>
            <w:lang w:val="en-US"/>
          </w:rPr>
          <w:t>http://dx.doi.org/10.1016/S0140-6736(18)31777-X</w:t>
        </w:r>
      </w:hyperlink>
    </w:p>
    <w:p w14:paraId="00000051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lastRenderedPageBreak/>
        <w:t>3.</w:t>
      </w:r>
      <w:r w:rsidRPr="009167D9">
        <w:rPr>
          <w:color w:val="000000"/>
          <w:sz w:val="24"/>
          <w:szCs w:val="24"/>
          <w:lang w:val="en-US"/>
        </w:rPr>
        <w:tab/>
      </w:r>
      <w:hyperlink r:id="rId27">
        <w:r w:rsidRPr="009167D9">
          <w:rPr>
            <w:color w:val="000000"/>
            <w:sz w:val="24"/>
            <w:szCs w:val="24"/>
            <w:lang w:val="en-US"/>
          </w:rPr>
          <w:t xml:space="preserve">Kurtz S, Ong K, Lau E, Mowat F, Halpern M. Projections of primary and revision hip and knee arthroplasty in the United States from 2005 to 2030. J Bone Joint Surg Am [Internet]. 2007 Apr;89(4):780–5. Available from: </w:t>
        </w:r>
      </w:hyperlink>
      <w:hyperlink r:id="rId28">
        <w:r w:rsidRPr="009167D9">
          <w:rPr>
            <w:color w:val="000000"/>
            <w:sz w:val="24"/>
            <w:szCs w:val="24"/>
            <w:lang w:val="en-US"/>
          </w:rPr>
          <w:t>http://dx.doi.org/10.2106/JBJS.F.00222</w:t>
        </w:r>
      </w:hyperlink>
    </w:p>
    <w:p w14:paraId="00000052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4.</w:t>
      </w:r>
      <w:r w:rsidRPr="009167D9">
        <w:rPr>
          <w:color w:val="000000"/>
          <w:sz w:val="24"/>
          <w:szCs w:val="24"/>
          <w:lang w:val="en-US"/>
        </w:rPr>
        <w:tab/>
      </w:r>
      <w:hyperlink r:id="rId29">
        <w:r w:rsidRPr="009167D9">
          <w:rPr>
            <w:color w:val="000000"/>
            <w:sz w:val="24"/>
            <w:szCs w:val="24"/>
            <w:lang w:val="en-US"/>
          </w:rPr>
          <w:t xml:space="preserve">Scott CEH, Clement ND, Davis ET, Haddad FS. Modern total hip arthroplasty: peak of perfection or room for improvement? Bone Joint J [Internet]. 2022;104(B(2)):89–192. Available from: </w:t>
        </w:r>
      </w:hyperlink>
      <w:hyperlink r:id="rId30">
        <w:r w:rsidRPr="009167D9">
          <w:rPr>
            <w:color w:val="000000"/>
            <w:sz w:val="24"/>
            <w:szCs w:val="24"/>
            <w:lang w:val="en-US"/>
          </w:rPr>
          <w:t>http://dx.doi.org/10.1302/0301-620X.104B2</w:t>
        </w:r>
      </w:hyperlink>
    </w:p>
    <w:p w14:paraId="00000053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5.</w:t>
      </w:r>
      <w:r w:rsidRPr="009167D9">
        <w:rPr>
          <w:color w:val="000000"/>
          <w:sz w:val="24"/>
          <w:szCs w:val="24"/>
          <w:lang w:val="en-US"/>
        </w:rPr>
        <w:tab/>
      </w:r>
      <w:hyperlink r:id="rId31">
        <w:r w:rsidRPr="009167D9">
          <w:rPr>
            <w:color w:val="000000"/>
            <w:sz w:val="24"/>
            <w:szCs w:val="24"/>
            <w:lang w:val="en-US"/>
          </w:rPr>
          <w:t xml:space="preserve">Miller LE, Gondusky JS, Bhattacharyya S, Kamath AF, Boettner F, Wright J. Does Surgical Approach Affect Outcomes in Total Hip Arthroplasty Through 90 Days of Follow-Up? A Systematic Review With Meta-Analysis. J Arthroplasty [Internet]. 2018 Apr;33(4):1296–302. Available from: </w:t>
        </w:r>
      </w:hyperlink>
      <w:hyperlink r:id="rId32">
        <w:r w:rsidRPr="009167D9">
          <w:rPr>
            <w:color w:val="000000"/>
            <w:sz w:val="24"/>
            <w:szCs w:val="24"/>
            <w:lang w:val="en-US"/>
          </w:rPr>
          <w:t>http://dx.doi.org/10.1016/j.arth.2017.11.011</w:t>
        </w:r>
      </w:hyperlink>
    </w:p>
    <w:p w14:paraId="00000054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6.</w:t>
      </w:r>
      <w:r w:rsidRPr="009167D9">
        <w:rPr>
          <w:color w:val="000000"/>
          <w:sz w:val="24"/>
          <w:szCs w:val="24"/>
          <w:lang w:val="en-US"/>
        </w:rPr>
        <w:tab/>
      </w:r>
      <w:hyperlink r:id="rId33">
        <w:r w:rsidRPr="009167D9">
          <w:rPr>
            <w:color w:val="000000"/>
            <w:sz w:val="24"/>
            <w:szCs w:val="24"/>
            <w:lang w:val="en-US"/>
          </w:rPr>
          <w:t xml:space="preserve">Moore AT. Metal hip joint; a new self-locking vitallium prosthesis. South Med J [Internet]. 1952 Nov;45](11):1015–9. Available from: </w:t>
        </w:r>
      </w:hyperlink>
      <w:hyperlink r:id="rId34">
        <w:r w:rsidRPr="009167D9">
          <w:rPr>
            <w:color w:val="000000"/>
            <w:sz w:val="24"/>
            <w:szCs w:val="24"/>
            <w:lang w:val="en-US"/>
          </w:rPr>
          <w:t>http://dx.doi.org/10.1097/00007611-195211000-00001</w:t>
        </w:r>
      </w:hyperlink>
    </w:p>
    <w:p w14:paraId="00000055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7.</w:t>
      </w:r>
      <w:r w:rsidRPr="009167D9">
        <w:rPr>
          <w:color w:val="000000"/>
          <w:sz w:val="24"/>
          <w:szCs w:val="24"/>
          <w:lang w:val="en-US"/>
        </w:rPr>
        <w:tab/>
      </w:r>
      <w:hyperlink r:id="rId35">
        <w:r w:rsidRPr="009167D9">
          <w:rPr>
            <w:color w:val="000000"/>
            <w:sz w:val="24"/>
            <w:szCs w:val="24"/>
            <w:lang w:val="en-US"/>
          </w:rPr>
          <w:t xml:space="preserve">Somford MP, Hoornenborg D, Wiegerinck JI, Bolder SBT, Schreurs BW. Eponymous hip joint approaches. Arch Orthop Trauma Surg [Internet]. 2016 Jul;136(7):1007–14. Available from: </w:t>
        </w:r>
      </w:hyperlink>
      <w:hyperlink r:id="rId36">
        <w:r w:rsidRPr="009167D9">
          <w:rPr>
            <w:color w:val="000000"/>
            <w:sz w:val="24"/>
            <w:szCs w:val="24"/>
            <w:lang w:val="en-US"/>
          </w:rPr>
          <w:t>http://dx.doi.org/10.1007/s00402-016-2456-2</w:t>
        </w:r>
      </w:hyperlink>
    </w:p>
    <w:p w14:paraId="00000056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8.</w:t>
      </w:r>
      <w:r w:rsidRPr="009167D9">
        <w:rPr>
          <w:color w:val="000000"/>
          <w:sz w:val="24"/>
          <w:szCs w:val="24"/>
          <w:lang w:val="en-US"/>
        </w:rPr>
        <w:tab/>
      </w:r>
      <w:hyperlink r:id="rId37">
        <w:r w:rsidRPr="009167D9">
          <w:rPr>
            <w:color w:val="000000"/>
            <w:sz w:val="24"/>
            <w:szCs w:val="24"/>
            <w:lang w:val="en-US"/>
          </w:rPr>
          <w:t xml:space="preserve">Hardinge K. The direct lateral approach to the hip. J Bone Joint Surg Br [Internet]. 1982;64(1):17–9. Available from: </w:t>
        </w:r>
      </w:hyperlink>
      <w:hyperlink r:id="rId38">
        <w:r w:rsidRPr="009167D9">
          <w:rPr>
            <w:color w:val="000000"/>
            <w:sz w:val="24"/>
            <w:szCs w:val="24"/>
            <w:lang w:val="en-US"/>
          </w:rPr>
          <w:t>http://dx.doi.org/10.1302/0301-620X.64B1.7068713</w:t>
        </w:r>
      </w:hyperlink>
    </w:p>
    <w:p w14:paraId="00000057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9.</w:t>
      </w:r>
      <w:r>
        <w:rPr>
          <w:color w:val="000000"/>
          <w:sz w:val="24"/>
          <w:szCs w:val="24"/>
        </w:rPr>
        <w:tab/>
      </w:r>
      <w:hyperlink r:id="rId39">
        <w:proofErr w:type="spellStart"/>
        <w:r>
          <w:rPr>
            <w:color w:val="000000"/>
            <w:sz w:val="24"/>
            <w:szCs w:val="24"/>
          </w:rPr>
          <w:t>Hueter</w:t>
        </w:r>
        <w:proofErr w:type="spellEnd"/>
        <w:r>
          <w:rPr>
            <w:color w:val="000000"/>
            <w:sz w:val="24"/>
            <w:szCs w:val="24"/>
          </w:rPr>
          <w:t xml:space="preserve"> C. </w:t>
        </w:r>
        <w:proofErr w:type="spellStart"/>
        <w:r>
          <w:rPr>
            <w:color w:val="000000"/>
            <w:sz w:val="24"/>
            <w:szCs w:val="24"/>
          </w:rPr>
          <w:t>Grundriss</w:t>
        </w:r>
        <w:proofErr w:type="spellEnd"/>
        <w:r>
          <w:rPr>
            <w:color w:val="000000"/>
            <w:sz w:val="24"/>
            <w:szCs w:val="24"/>
          </w:rPr>
          <w:t xml:space="preserve"> der </w:t>
        </w:r>
        <w:proofErr w:type="spellStart"/>
        <w:r>
          <w:rPr>
            <w:color w:val="000000"/>
            <w:sz w:val="24"/>
            <w:szCs w:val="24"/>
          </w:rPr>
          <w:t>Chirurgie</w:t>
        </w:r>
        <w:proofErr w:type="spellEnd"/>
        <w:r>
          <w:rPr>
            <w:color w:val="000000"/>
            <w:sz w:val="24"/>
            <w:szCs w:val="24"/>
          </w:rPr>
          <w:t xml:space="preserve"> 2. </w:t>
        </w:r>
        <w:r w:rsidRPr="009167D9">
          <w:rPr>
            <w:color w:val="000000"/>
            <w:sz w:val="24"/>
            <w:szCs w:val="24"/>
            <w:lang w:val="en-US"/>
          </w:rPr>
          <w:t>FCW Vogel. 1883;129–200.</w:t>
        </w:r>
      </w:hyperlink>
    </w:p>
    <w:p w14:paraId="00000058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10.</w:t>
      </w:r>
      <w:r w:rsidRPr="009167D9">
        <w:rPr>
          <w:color w:val="000000"/>
          <w:sz w:val="24"/>
          <w:szCs w:val="24"/>
          <w:lang w:val="en-US"/>
        </w:rPr>
        <w:tab/>
      </w:r>
      <w:hyperlink r:id="rId40">
        <w:r w:rsidRPr="009167D9">
          <w:rPr>
            <w:color w:val="000000"/>
            <w:sz w:val="24"/>
            <w:szCs w:val="24"/>
            <w:lang w:val="en-US"/>
          </w:rPr>
          <w:t xml:space="preserve">Smith-Petersen MN. Evolution of mould arthroplasty of the hip joint. J Bone Joint Surg Br [Internet]. 1948 Feb;30B(1):59–75. Available from: </w:t>
        </w:r>
      </w:hyperlink>
      <w:hyperlink r:id="rId41">
        <w:r w:rsidRPr="009167D9">
          <w:rPr>
            <w:color w:val="000000"/>
            <w:sz w:val="24"/>
            <w:szCs w:val="24"/>
            <w:lang w:val="en-US"/>
          </w:rPr>
          <w:t>https://www.ncbi.nlm.nih.gov/pubmed/18864947</w:t>
        </w:r>
      </w:hyperlink>
    </w:p>
    <w:p w14:paraId="00000059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11.</w:t>
      </w:r>
      <w:r w:rsidRPr="009167D9">
        <w:rPr>
          <w:color w:val="000000"/>
          <w:sz w:val="24"/>
          <w:szCs w:val="24"/>
          <w:lang w:val="en-US"/>
        </w:rPr>
        <w:tab/>
      </w:r>
      <w:hyperlink r:id="rId42">
        <w:r w:rsidRPr="009167D9">
          <w:rPr>
            <w:color w:val="000000"/>
            <w:sz w:val="24"/>
            <w:szCs w:val="24"/>
            <w:lang w:val="en-US"/>
          </w:rPr>
          <w:t xml:space="preserve">Hanly RJ, Sokolowski S, Timperley AJ. The SPAIRE technique allows sparing of the piriformis and obturator internus in a modified posterior approach to the hip. Hip Int [Internet]. 2017 Mar 31;27(2):205–9. Available from: </w:t>
        </w:r>
      </w:hyperlink>
      <w:hyperlink r:id="rId43">
        <w:r w:rsidRPr="009167D9">
          <w:rPr>
            <w:color w:val="000000"/>
            <w:sz w:val="24"/>
            <w:szCs w:val="24"/>
            <w:lang w:val="en-US"/>
          </w:rPr>
          <w:t>http://dx.doi.org/10.5301/hipint.5000490</w:t>
        </w:r>
      </w:hyperlink>
    </w:p>
    <w:p w14:paraId="0000005A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12.</w:t>
      </w:r>
      <w:r w:rsidRPr="009167D9">
        <w:rPr>
          <w:color w:val="000000"/>
          <w:sz w:val="24"/>
          <w:szCs w:val="24"/>
          <w:lang w:val="en-US"/>
        </w:rPr>
        <w:tab/>
      </w:r>
      <w:hyperlink r:id="rId44">
        <w:r w:rsidRPr="009167D9">
          <w:rPr>
            <w:color w:val="000000"/>
            <w:sz w:val="24"/>
            <w:szCs w:val="24"/>
            <w:lang w:val="en-US"/>
          </w:rPr>
          <w:t xml:space="preserve">Kucukdurmaz F, Sukeik M, Parvizi J. A meta-analysis comparing the direct anterior with other approaches in primary total hip arthroplasty. Surgeon [Internet]. 2018 Oct 22; Available from: </w:t>
        </w:r>
      </w:hyperlink>
      <w:hyperlink r:id="rId45">
        <w:r w:rsidRPr="009167D9">
          <w:rPr>
            <w:color w:val="000000"/>
            <w:sz w:val="24"/>
            <w:szCs w:val="24"/>
            <w:lang w:val="en-US"/>
          </w:rPr>
          <w:t>http://dx.doi.org/10.1016/j.surge.2018.09.001</w:t>
        </w:r>
      </w:hyperlink>
    </w:p>
    <w:p w14:paraId="0000005B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13.</w:t>
      </w:r>
      <w:r w:rsidRPr="009167D9">
        <w:rPr>
          <w:color w:val="000000"/>
          <w:sz w:val="24"/>
          <w:szCs w:val="24"/>
          <w:lang w:val="en-US"/>
        </w:rPr>
        <w:tab/>
      </w:r>
      <w:hyperlink r:id="rId46">
        <w:r w:rsidRPr="009167D9">
          <w:rPr>
            <w:color w:val="000000"/>
            <w:sz w:val="24"/>
            <w:szCs w:val="24"/>
            <w:lang w:val="en-US"/>
          </w:rPr>
          <w:t xml:space="preserve">Lewinnek GE, Lewis JL, Tarr R, Compere CL, Zimmerman JR. Dislocations after total hip-replacement arthroplasties. J Bone Joint Surg Am [Internet]. 1978 Mar;60(2):217–20. Available from: </w:t>
        </w:r>
      </w:hyperlink>
      <w:hyperlink r:id="rId47">
        <w:r w:rsidRPr="009167D9">
          <w:rPr>
            <w:color w:val="000000"/>
            <w:sz w:val="24"/>
            <w:szCs w:val="24"/>
            <w:lang w:val="en-US"/>
          </w:rPr>
          <w:t>https://www.ncbi.nlm.nih.gov/pubmed/641088</w:t>
        </w:r>
      </w:hyperlink>
    </w:p>
    <w:p w14:paraId="0000005C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14.</w:t>
      </w:r>
      <w:r w:rsidRPr="009167D9">
        <w:rPr>
          <w:color w:val="000000"/>
          <w:sz w:val="24"/>
          <w:szCs w:val="24"/>
          <w:lang w:val="en-US"/>
        </w:rPr>
        <w:tab/>
      </w:r>
      <w:hyperlink r:id="rId48">
        <w:r w:rsidRPr="009167D9">
          <w:rPr>
            <w:color w:val="000000"/>
            <w:sz w:val="24"/>
            <w:szCs w:val="24"/>
            <w:lang w:val="en-US"/>
          </w:rPr>
          <w:t xml:space="preserve">Murphy WS, Yun HH, Hayden B, Kowal JH, Murphy SB. The Safe Zone Range for Cup Anteversion Is Narrower Than for Inclination in THA. Clin Orthop Relat </w:t>
        </w:r>
        <w:r w:rsidRPr="009167D9">
          <w:rPr>
            <w:color w:val="000000"/>
            <w:sz w:val="24"/>
            <w:szCs w:val="24"/>
            <w:lang w:val="en-US"/>
          </w:rPr>
          <w:lastRenderedPageBreak/>
          <w:t xml:space="preserve">Res [Internet]. 2018 Feb;476(2):325–35. Available from: </w:t>
        </w:r>
      </w:hyperlink>
      <w:hyperlink r:id="rId49">
        <w:r w:rsidRPr="009167D9">
          <w:rPr>
            <w:color w:val="000000"/>
            <w:sz w:val="24"/>
            <w:szCs w:val="24"/>
            <w:lang w:val="en-US"/>
          </w:rPr>
          <w:t>http://dx.doi.org/10.1007/s11999.0000000000000051</w:t>
        </w:r>
      </w:hyperlink>
    </w:p>
    <w:p w14:paraId="0000005D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15.</w:t>
      </w:r>
      <w:r w:rsidRPr="009167D9">
        <w:rPr>
          <w:color w:val="000000"/>
          <w:sz w:val="24"/>
          <w:szCs w:val="24"/>
          <w:lang w:val="en-US"/>
        </w:rPr>
        <w:tab/>
      </w:r>
      <w:hyperlink r:id="rId50">
        <w:r w:rsidRPr="009167D9">
          <w:rPr>
            <w:color w:val="000000"/>
            <w:sz w:val="24"/>
            <w:szCs w:val="24"/>
            <w:lang w:val="en-US"/>
          </w:rPr>
          <w:t xml:space="preserve">Seagrave KG, Troelsen A, Malchau H, Husted H, Gromov K. Acetabular cup position and risk of dislocation in primary total hip arthroplasty. Acta Orthop [Internet]. 2017 Feb;88(1):10–7. Available from: </w:t>
        </w:r>
      </w:hyperlink>
      <w:hyperlink r:id="rId51">
        <w:r w:rsidRPr="009167D9">
          <w:rPr>
            <w:color w:val="000000"/>
            <w:sz w:val="24"/>
            <w:szCs w:val="24"/>
            <w:lang w:val="en-US"/>
          </w:rPr>
          <w:t>http://dx.doi.org/10.1080/17453674.2016.1251255</w:t>
        </w:r>
      </w:hyperlink>
    </w:p>
    <w:p w14:paraId="0000005E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16.</w:t>
      </w:r>
      <w:r w:rsidRPr="009167D9">
        <w:rPr>
          <w:color w:val="000000"/>
          <w:sz w:val="24"/>
          <w:szCs w:val="24"/>
          <w:lang w:val="en-US"/>
        </w:rPr>
        <w:tab/>
      </w:r>
      <w:hyperlink r:id="rId52">
        <w:r w:rsidRPr="009167D9">
          <w:rPr>
            <w:color w:val="000000"/>
            <w:sz w:val="24"/>
            <w:szCs w:val="24"/>
            <w:lang w:val="en-US"/>
          </w:rPr>
          <w:t xml:space="preserve">Timperley AJ, Biau D, Chew D, Whitehouse SL. Dislocation after total hip replacement - there is no such thing as a safe zone for socket placement with the posterior approach. Hip Int [Internet]. 2016 Mar;26(2):121–7. Available from: </w:t>
        </w:r>
      </w:hyperlink>
      <w:hyperlink r:id="rId53">
        <w:r w:rsidRPr="009167D9">
          <w:rPr>
            <w:color w:val="000000"/>
            <w:sz w:val="24"/>
            <w:szCs w:val="24"/>
            <w:lang w:val="en-US"/>
          </w:rPr>
          <w:t>http://dx.doi.org/10.5301/hipint.5000318</w:t>
        </w:r>
      </w:hyperlink>
    </w:p>
    <w:p w14:paraId="0000005F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17.</w:t>
      </w:r>
      <w:r w:rsidRPr="009167D9">
        <w:rPr>
          <w:color w:val="000000"/>
          <w:sz w:val="24"/>
          <w:szCs w:val="24"/>
          <w:lang w:val="en-US"/>
        </w:rPr>
        <w:tab/>
      </w:r>
      <w:hyperlink r:id="rId54">
        <w:r w:rsidRPr="009167D9">
          <w:rPr>
            <w:color w:val="000000"/>
            <w:sz w:val="24"/>
            <w:szCs w:val="24"/>
            <w:lang w:val="en-US"/>
          </w:rPr>
          <w:t xml:space="preserve">Jolles BM, Zangger P, Leyvraz PF Prof. Factors predisposing to dislocation after primary total hip arthroplasty. J Arthroplasty [Internet]. 2002 Apr;17(3):282–8. Available from: </w:t>
        </w:r>
      </w:hyperlink>
      <w:hyperlink r:id="rId55">
        <w:r w:rsidRPr="009167D9">
          <w:rPr>
            <w:color w:val="000000"/>
            <w:sz w:val="24"/>
            <w:szCs w:val="24"/>
            <w:lang w:val="en-US"/>
          </w:rPr>
          <w:t>http://linkinghub.elsevier.com/retrieve/pii/S0883540302884819</w:t>
        </w:r>
      </w:hyperlink>
    </w:p>
    <w:p w14:paraId="00000060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18.</w:t>
      </w:r>
      <w:r w:rsidRPr="009167D9">
        <w:rPr>
          <w:color w:val="000000"/>
          <w:sz w:val="24"/>
          <w:szCs w:val="24"/>
          <w:lang w:val="en-US"/>
        </w:rPr>
        <w:tab/>
      </w:r>
      <w:hyperlink r:id="rId56">
        <w:r w:rsidRPr="009167D9">
          <w:rPr>
            <w:color w:val="000000"/>
            <w:sz w:val="24"/>
            <w:szCs w:val="24"/>
            <w:lang w:val="en-US"/>
          </w:rPr>
          <w:t xml:space="preserve">Kalteis T, Handel M, Herold T, Perlick L, Paetzel C, Grifka J. Position of the acetabular cup -- accuracy of radiographic calculation compared to CT-based measurement. Eur J Radiol [Internet]. 2006 May;58(2):294–300. Available from: </w:t>
        </w:r>
      </w:hyperlink>
      <w:hyperlink r:id="rId57">
        <w:r w:rsidRPr="009167D9">
          <w:rPr>
            <w:color w:val="000000"/>
            <w:sz w:val="24"/>
            <w:szCs w:val="24"/>
            <w:lang w:val="en-US"/>
          </w:rPr>
          <w:t>http://dx.doi.org/10.1016/j.ejrad.2005.10.003</w:t>
        </w:r>
      </w:hyperlink>
    </w:p>
    <w:p w14:paraId="00000061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19.</w:t>
      </w:r>
      <w:r w:rsidRPr="009167D9">
        <w:rPr>
          <w:color w:val="000000"/>
          <w:sz w:val="24"/>
          <w:szCs w:val="24"/>
          <w:lang w:val="en-US"/>
        </w:rPr>
        <w:tab/>
      </w:r>
      <w:hyperlink r:id="rId58">
        <w:r w:rsidRPr="009167D9">
          <w:rPr>
            <w:color w:val="000000"/>
            <w:sz w:val="24"/>
            <w:szCs w:val="24"/>
            <w:lang w:val="en-US"/>
          </w:rPr>
          <w:t xml:space="preserve">Murray DW. The definition and measurement of acetabular orientation. J Bone Joint Surg Br [Internet]. 1993 Mar;75(2):228–32. Available from: </w:t>
        </w:r>
      </w:hyperlink>
      <w:hyperlink r:id="rId59">
        <w:r w:rsidRPr="009167D9">
          <w:rPr>
            <w:color w:val="000000"/>
            <w:sz w:val="24"/>
            <w:szCs w:val="24"/>
            <w:lang w:val="en-US"/>
          </w:rPr>
          <w:t>http://dx.doi.org/10.1302/0301-620X.75B2.8444942</w:t>
        </w:r>
      </w:hyperlink>
    </w:p>
    <w:p w14:paraId="00000062" w14:textId="77777777" w:rsidR="00E4777B" w:rsidRPr="009167D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20.</w:t>
      </w:r>
      <w:r w:rsidRPr="009167D9">
        <w:rPr>
          <w:color w:val="000000"/>
          <w:sz w:val="24"/>
          <w:szCs w:val="24"/>
          <w:lang w:val="en-US"/>
        </w:rPr>
        <w:tab/>
      </w:r>
      <w:hyperlink r:id="rId60">
        <w:r w:rsidRPr="009167D9">
          <w:rPr>
            <w:color w:val="000000"/>
            <w:sz w:val="24"/>
            <w:szCs w:val="24"/>
            <w:lang w:val="en-US"/>
          </w:rPr>
          <w:t xml:space="preserve">Browne W, Nair BKR. The Timed Up and Go test. Med J Aust [Internet]. 2019 Jan;210(1):13–4.e1. Available from: </w:t>
        </w:r>
      </w:hyperlink>
      <w:hyperlink r:id="rId61">
        <w:r w:rsidRPr="009167D9">
          <w:rPr>
            <w:color w:val="000000"/>
            <w:sz w:val="24"/>
            <w:szCs w:val="24"/>
            <w:lang w:val="en-US"/>
          </w:rPr>
          <w:t>http://dx.doi.org/10.5694/mja2.12045</w:t>
        </w:r>
      </w:hyperlink>
    </w:p>
    <w:p w14:paraId="00000063" w14:textId="77777777" w:rsidR="00E4777B" w:rsidRPr="009167D9" w:rsidRDefault="00E477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74151"/>
          <w:sz w:val="24"/>
          <w:szCs w:val="24"/>
          <w:lang w:val="en-US"/>
        </w:rPr>
      </w:pPr>
    </w:p>
    <w:sectPr w:rsidR="00E4777B" w:rsidRPr="009167D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D4A41"/>
    <w:multiLevelType w:val="multilevel"/>
    <w:tmpl w:val="DD9AFAE0"/>
    <w:lvl w:ilvl="0">
      <w:start w:val="1"/>
      <w:numFmt w:val="bullet"/>
      <w:lvlText w:val="•"/>
      <w:lvlJc w:val="left"/>
      <w:pPr>
        <w:ind w:left="480" w:hanging="4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–"/>
      <w:lvlJc w:val="left"/>
      <w:pPr>
        <w:ind w:left="1200" w:hanging="4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20" w:hanging="4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–"/>
      <w:lvlJc w:val="left"/>
      <w:pPr>
        <w:ind w:left="2640" w:hanging="4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360" w:hanging="4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–"/>
      <w:lvlJc w:val="left"/>
      <w:pPr>
        <w:ind w:left="4080" w:hanging="4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00" w:hanging="4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5520" w:hanging="4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6240" w:hanging="4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6D9B1727"/>
    <w:multiLevelType w:val="multilevel"/>
    <w:tmpl w:val="C5366520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15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15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15"/>
      </w:pPr>
      <w:rPr>
        <w:b/>
        <w:smallCaps w:val="0"/>
        <w:strike w:val="0"/>
        <w:shd w:val="clear" w:color="auto" w:fill="auto"/>
        <w:vertAlign w:val="baseline"/>
      </w:rPr>
    </w:lvl>
  </w:abstractNum>
  <w:num w:numId="1" w16cid:durableId="1720400187">
    <w:abstractNumId w:val="1"/>
  </w:num>
  <w:num w:numId="2" w16cid:durableId="1576165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77B"/>
    <w:rsid w:val="00441209"/>
    <w:rsid w:val="009167D9"/>
    <w:rsid w:val="00A74213"/>
    <w:rsid w:val="00E4777B"/>
    <w:rsid w:val="00FD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2F4978"/>
  <w15:docId w15:val="{1C43CBF5-D09F-E149-8520-F2F90617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perpile.com/c/oX1Wi4/kgpq" TargetMode="External"/><Relationship Id="rId18" Type="http://schemas.openxmlformats.org/officeDocument/2006/relationships/hyperlink" Target="https://clincalc.com/stats/samplesize.aspx" TargetMode="External"/><Relationship Id="rId26" Type="http://schemas.openxmlformats.org/officeDocument/2006/relationships/hyperlink" Target="http://dx.doi.org/10.1016/S0140-6736(18)31777-X" TargetMode="External"/><Relationship Id="rId39" Type="http://schemas.openxmlformats.org/officeDocument/2006/relationships/hyperlink" Target="http://paperpile.com/b/oX1Wi4/pheY" TargetMode="External"/><Relationship Id="rId21" Type="http://schemas.openxmlformats.org/officeDocument/2006/relationships/hyperlink" Target="https://paperpile.com/c/oX1Wi4/xQbj" TargetMode="External"/><Relationship Id="rId34" Type="http://schemas.openxmlformats.org/officeDocument/2006/relationships/hyperlink" Target="http://dx.doi.org/10.1097/00007611-195211000-00001" TargetMode="External"/><Relationship Id="rId42" Type="http://schemas.openxmlformats.org/officeDocument/2006/relationships/hyperlink" Target="http://paperpile.com/b/oX1Wi4/kgpq" TargetMode="External"/><Relationship Id="rId47" Type="http://schemas.openxmlformats.org/officeDocument/2006/relationships/hyperlink" Target="https://www.ncbi.nlm.nih.gov/pubmed/641088" TargetMode="External"/><Relationship Id="rId50" Type="http://schemas.openxmlformats.org/officeDocument/2006/relationships/hyperlink" Target="http://paperpile.com/b/oX1Wi4/OPc4" TargetMode="External"/><Relationship Id="rId55" Type="http://schemas.openxmlformats.org/officeDocument/2006/relationships/hyperlink" Target="http://linkinghub.elsevier.com/retrieve/pii/S0883540302884819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paperpile.com/c/oX1Wi4/5z5P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perpile.com/c/oX1Wi4/v2UW+OPc4" TargetMode="External"/><Relationship Id="rId29" Type="http://schemas.openxmlformats.org/officeDocument/2006/relationships/hyperlink" Target="http://paperpile.com/b/oX1Wi4/5z5P" TargetMode="External"/><Relationship Id="rId11" Type="http://schemas.openxmlformats.org/officeDocument/2006/relationships/hyperlink" Target="https://paperpile.com/c/oX1Wi4/HFYi" TargetMode="External"/><Relationship Id="rId24" Type="http://schemas.openxmlformats.org/officeDocument/2006/relationships/hyperlink" Target="http://www.thelancet.com/article/S0140673607604577/abstract" TargetMode="External"/><Relationship Id="rId32" Type="http://schemas.openxmlformats.org/officeDocument/2006/relationships/hyperlink" Target="http://dx.doi.org/10.1016/j.arth.2017.11.011" TargetMode="External"/><Relationship Id="rId37" Type="http://schemas.openxmlformats.org/officeDocument/2006/relationships/hyperlink" Target="http://paperpile.com/b/oX1Wi4/HFYi" TargetMode="External"/><Relationship Id="rId40" Type="http://schemas.openxmlformats.org/officeDocument/2006/relationships/hyperlink" Target="http://paperpile.com/b/oX1Wi4/OSE4" TargetMode="External"/><Relationship Id="rId45" Type="http://schemas.openxmlformats.org/officeDocument/2006/relationships/hyperlink" Target="http://dx.doi.org/10.1016/j.surge.2018.09.001" TargetMode="External"/><Relationship Id="rId53" Type="http://schemas.openxmlformats.org/officeDocument/2006/relationships/hyperlink" Target="http://dx.doi.org/10.5301/hipint.5000318" TargetMode="External"/><Relationship Id="rId58" Type="http://schemas.openxmlformats.org/officeDocument/2006/relationships/hyperlink" Target="http://paperpile.com/b/oX1Wi4/xQbj" TargetMode="External"/><Relationship Id="rId5" Type="http://schemas.openxmlformats.org/officeDocument/2006/relationships/hyperlink" Target="https://paperpile.com/c/oX1Wi4/3xbR" TargetMode="External"/><Relationship Id="rId61" Type="http://schemas.openxmlformats.org/officeDocument/2006/relationships/hyperlink" Target="http://dx.doi.org/10.5694/mja2.12045" TargetMode="External"/><Relationship Id="rId19" Type="http://schemas.openxmlformats.org/officeDocument/2006/relationships/hyperlink" Target="https://paperpile.com/c/oX1Wi4/jEux" TargetMode="External"/><Relationship Id="rId14" Type="http://schemas.openxmlformats.org/officeDocument/2006/relationships/hyperlink" Target="https://paperpile.com/c/oX1Wi4/AWh3" TargetMode="External"/><Relationship Id="rId22" Type="http://schemas.openxmlformats.org/officeDocument/2006/relationships/hyperlink" Target="https://paperpile.com/c/oX1Wi4/Tdim" TargetMode="External"/><Relationship Id="rId27" Type="http://schemas.openxmlformats.org/officeDocument/2006/relationships/hyperlink" Target="http://paperpile.com/b/oX1Wi4/cs0L" TargetMode="External"/><Relationship Id="rId30" Type="http://schemas.openxmlformats.org/officeDocument/2006/relationships/hyperlink" Target="http://dx.doi.org/10.1302/0301-620X.104B2" TargetMode="External"/><Relationship Id="rId35" Type="http://schemas.openxmlformats.org/officeDocument/2006/relationships/hyperlink" Target="http://paperpile.com/b/oX1Wi4/RAZK" TargetMode="External"/><Relationship Id="rId43" Type="http://schemas.openxmlformats.org/officeDocument/2006/relationships/hyperlink" Target="http://dx.doi.org/10.5301/hipint.5000490" TargetMode="External"/><Relationship Id="rId48" Type="http://schemas.openxmlformats.org/officeDocument/2006/relationships/hyperlink" Target="http://paperpile.com/b/oX1Wi4/vSZT" TargetMode="External"/><Relationship Id="rId56" Type="http://schemas.openxmlformats.org/officeDocument/2006/relationships/hyperlink" Target="http://paperpile.com/b/oX1Wi4/C4JK" TargetMode="External"/><Relationship Id="rId8" Type="http://schemas.openxmlformats.org/officeDocument/2006/relationships/hyperlink" Target="https://paperpile.com/c/oX1Wi4/qWmQ" TargetMode="External"/><Relationship Id="rId51" Type="http://schemas.openxmlformats.org/officeDocument/2006/relationships/hyperlink" Target="http://dx.doi.org/10.1080/17453674.2016.12512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aperpile.com/c/oX1Wi4/pheY" TargetMode="External"/><Relationship Id="rId17" Type="http://schemas.openxmlformats.org/officeDocument/2006/relationships/hyperlink" Target="https://paperpile.com/c/oX1Wi4/C4JK" TargetMode="External"/><Relationship Id="rId25" Type="http://schemas.openxmlformats.org/officeDocument/2006/relationships/hyperlink" Target="http://paperpile.com/b/oX1Wi4/nUa7" TargetMode="External"/><Relationship Id="rId33" Type="http://schemas.openxmlformats.org/officeDocument/2006/relationships/hyperlink" Target="http://paperpile.com/b/oX1Wi4/jEux" TargetMode="External"/><Relationship Id="rId38" Type="http://schemas.openxmlformats.org/officeDocument/2006/relationships/hyperlink" Target="http://dx.doi.org/10.1302/0301-620X.64B1.7068713" TargetMode="External"/><Relationship Id="rId46" Type="http://schemas.openxmlformats.org/officeDocument/2006/relationships/hyperlink" Target="http://paperpile.com/b/oX1Wi4/XCb7" TargetMode="External"/><Relationship Id="rId59" Type="http://schemas.openxmlformats.org/officeDocument/2006/relationships/hyperlink" Target="http://dx.doi.org/10.1302/0301-620X.75B2.8444942" TargetMode="External"/><Relationship Id="rId20" Type="http://schemas.openxmlformats.org/officeDocument/2006/relationships/hyperlink" Target="https://paperpile.com/c/oX1Wi4/kgpq" TargetMode="External"/><Relationship Id="rId41" Type="http://schemas.openxmlformats.org/officeDocument/2006/relationships/hyperlink" Target="https://www.ncbi.nlm.nih.gov/pubmed/18864947" TargetMode="External"/><Relationship Id="rId54" Type="http://schemas.openxmlformats.org/officeDocument/2006/relationships/hyperlink" Target="http://paperpile.com/b/oX1Wi4/v2UW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aperpile.com/c/oX1Wi4/nUa7+cs0L" TargetMode="External"/><Relationship Id="rId15" Type="http://schemas.openxmlformats.org/officeDocument/2006/relationships/hyperlink" Target="https://paperpile.com/c/oX1Wi4/vSZT+OPc4+PMPu" TargetMode="External"/><Relationship Id="rId23" Type="http://schemas.openxmlformats.org/officeDocument/2006/relationships/hyperlink" Target="http://paperpile.com/b/oX1Wi4/3xbR" TargetMode="External"/><Relationship Id="rId28" Type="http://schemas.openxmlformats.org/officeDocument/2006/relationships/hyperlink" Target="http://dx.doi.org/10.2106/JBJS.F.00222" TargetMode="External"/><Relationship Id="rId36" Type="http://schemas.openxmlformats.org/officeDocument/2006/relationships/hyperlink" Target="http://dx.doi.org/10.1007/s00402-016-2456-2" TargetMode="External"/><Relationship Id="rId49" Type="http://schemas.openxmlformats.org/officeDocument/2006/relationships/hyperlink" Target="http://dx.doi.org/10.1007/s11999.0000000000000051" TargetMode="External"/><Relationship Id="rId57" Type="http://schemas.openxmlformats.org/officeDocument/2006/relationships/hyperlink" Target="http://dx.doi.org/10.1016/j.ejrad.2005.10.003" TargetMode="External"/><Relationship Id="rId10" Type="http://schemas.openxmlformats.org/officeDocument/2006/relationships/hyperlink" Target="https://paperpile.com/c/oX1Wi4/RAZK" TargetMode="External"/><Relationship Id="rId31" Type="http://schemas.openxmlformats.org/officeDocument/2006/relationships/hyperlink" Target="http://paperpile.com/b/oX1Wi4/qWmQ" TargetMode="External"/><Relationship Id="rId44" Type="http://schemas.openxmlformats.org/officeDocument/2006/relationships/hyperlink" Target="http://paperpile.com/b/oX1Wi4/AWh3" TargetMode="External"/><Relationship Id="rId52" Type="http://schemas.openxmlformats.org/officeDocument/2006/relationships/hyperlink" Target="http://paperpile.com/b/oX1Wi4/PMPu" TargetMode="External"/><Relationship Id="rId60" Type="http://schemas.openxmlformats.org/officeDocument/2006/relationships/hyperlink" Target="http://paperpile.com/b/oX1Wi4/Tdi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perpile.com/c/oX1Wi4/jEu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3032</Words>
  <Characters>16375</Characters>
  <Application>Microsoft Office Word</Application>
  <DocSecurity>0</DocSecurity>
  <Lines>136</Lines>
  <Paragraphs>38</Paragraphs>
  <ScaleCrop>false</ScaleCrop>
  <Company/>
  <LinksUpToDate>false</LinksUpToDate>
  <CharactersWithSpaces>19369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Bruno Rudelli</cp:lastModifiedBy>
  <cp:revision>5</cp:revision>
  <dcterms:created xsi:type="dcterms:W3CDTF">2023-09-01T11:39:00Z</dcterms:created>
  <dcterms:modified xsi:type="dcterms:W3CDTF">2024-01-30T15:24:00Z</dcterms:modified>
</cp:coreProperties>
</file>