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3CD63" w14:textId="1868601D" w:rsidR="00F871E3" w:rsidRPr="00F871E3" w:rsidRDefault="00F871E3" w:rsidP="00F871E3">
      <w:pPr>
        <w:spacing w:line="360" w:lineRule="auto"/>
        <w:jc w:val="center"/>
        <w:rPr>
          <w:rFonts w:ascii="Arial" w:hAnsi="Arial" w:cs="Arial"/>
          <w:sz w:val="28"/>
          <w:szCs w:val="28"/>
        </w:rPr>
      </w:pPr>
      <w:r w:rsidRPr="00F871E3">
        <w:rPr>
          <w:rFonts w:ascii="Arial" w:hAnsi="Arial" w:cs="Arial"/>
          <w:sz w:val="28"/>
          <w:szCs w:val="28"/>
        </w:rPr>
        <w:t>Hospital das Clínicas da Universidade de S</w:t>
      </w:r>
      <w:r>
        <w:rPr>
          <w:rFonts w:ascii="Arial" w:hAnsi="Arial" w:cs="Arial"/>
          <w:sz w:val="28"/>
          <w:szCs w:val="28"/>
        </w:rPr>
        <w:t>ão Paulo</w:t>
      </w:r>
    </w:p>
    <w:p w14:paraId="724529F7" w14:textId="77777777" w:rsidR="00F871E3" w:rsidRPr="00F871E3" w:rsidRDefault="00F871E3" w:rsidP="00F871E3">
      <w:pPr>
        <w:spacing w:line="360" w:lineRule="auto"/>
        <w:rPr>
          <w:rFonts w:ascii="Arial" w:hAnsi="Arial" w:cs="Arial"/>
          <w:sz w:val="28"/>
          <w:szCs w:val="28"/>
        </w:rPr>
      </w:pPr>
    </w:p>
    <w:p w14:paraId="4471AC66" w14:textId="77777777" w:rsidR="00F871E3" w:rsidRPr="00F871E3" w:rsidRDefault="00F871E3" w:rsidP="00F871E3">
      <w:pPr>
        <w:spacing w:line="360" w:lineRule="auto"/>
        <w:rPr>
          <w:rFonts w:ascii="Arial" w:hAnsi="Arial" w:cs="Arial"/>
          <w:sz w:val="28"/>
          <w:szCs w:val="28"/>
        </w:rPr>
      </w:pPr>
    </w:p>
    <w:p w14:paraId="20EB8F21" w14:textId="77777777" w:rsidR="00F871E3" w:rsidRPr="00F871E3" w:rsidRDefault="00F871E3" w:rsidP="00F871E3">
      <w:pPr>
        <w:spacing w:line="360" w:lineRule="auto"/>
        <w:rPr>
          <w:rFonts w:ascii="Arial" w:hAnsi="Arial" w:cs="Arial"/>
          <w:sz w:val="28"/>
          <w:szCs w:val="28"/>
        </w:rPr>
      </w:pPr>
    </w:p>
    <w:p w14:paraId="24BF4401" w14:textId="77777777" w:rsidR="00F871E3" w:rsidRPr="00F871E3" w:rsidRDefault="00F871E3" w:rsidP="00F871E3">
      <w:pPr>
        <w:spacing w:line="360" w:lineRule="auto"/>
        <w:rPr>
          <w:rFonts w:ascii="Arial" w:hAnsi="Arial" w:cs="Arial"/>
          <w:sz w:val="28"/>
          <w:szCs w:val="28"/>
        </w:rPr>
      </w:pPr>
    </w:p>
    <w:p w14:paraId="24AA490B" w14:textId="77777777" w:rsidR="00F871E3" w:rsidRPr="00F871E3" w:rsidRDefault="00F871E3" w:rsidP="00F871E3">
      <w:pPr>
        <w:spacing w:line="360" w:lineRule="auto"/>
        <w:rPr>
          <w:rFonts w:ascii="Arial" w:hAnsi="Arial" w:cs="Arial"/>
          <w:sz w:val="28"/>
          <w:szCs w:val="28"/>
        </w:rPr>
      </w:pPr>
    </w:p>
    <w:p w14:paraId="050F966D" w14:textId="77777777" w:rsidR="00F871E3" w:rsidRPr="00F871E3" w:rsidRDefault="00F871E3" w:rsidP="00F871E3">
      <w:pPr>
        <w:spacing w:line="360" w:lineRule="auto"/>
        <w:rPr>
          <w:rFonts w:ascii="Arial" w:hAnsi="Arial" w:cs="Arial"/>
          <w:b/>
          <w:bCs/>
          <w:sz w:val="48"/>
          <w:szCs w:val="48"/>
        </w:rPr>
      </w:pPr>
    </w:p>
    <w:p w14:paraId="2B063D64" w14:textId="6BDFA333" w:rsidR="00F871E3" w:rsidRPr="00F871E3" w:rsidRDefault="00F871E3" w:rsidP="00F871E3">
      <w:pPr>
        <w:spacing w:line="360" w:lineRule="auto"/>
        <w:jc w:val="center"/>
        <w:rPr>
          <w:rFonts w:ascii="Arial" w:hAnsi="Arial" w:cs="Arial"/>
          <w:b/>
          <w:bCs/>
          <w:sz w:val="40"/>
          <w:szCs w:val="40"/>
          <w:lang w:val="en-US"/>
        </w:rPr>
      </w:pPr>
      <w:r w:rsidRPr="00F871E3">
        <w:rPr>
          <w:rFonts w:ascii="Arial" w:hAnsi="Arial" w:cs="Arial"/>
          <w:b/>
          <w:bCs/>
          <w:sz w:val="40"/>
          <w:szCs w:val="40"/>
          <w:lang w:val="en-US"/>
        </w:rPr>
        <w:t xml:space="preserve">Positioning of the Acetabular Component in Total Hip Arthroplasty Performed Through the Conventional Posterior Approach </w:t>
      </w:r>
      <w:r w:rsidR="00B30ECD" w:rsidRPr="00F871E3">
        <w:rPr>
          <w:rFonts w:ascii="Arial" w:hAnsi="Arial" w:cs="Arial"/>
          <w:b/>
          <w:bCs/>
          <w:sz w:val="40"/>
          <w:szCs w:val="40"/>
          <w:lang w:val="en-US"/>
        </w:rPr>
        <w:t>X</w:t>
      </w:r>
      <w:r w:rsidR="00B30ECD">
        <w:rPr>
          <w:rFonts w:ascii="Arial" w:hAnsi="Arial" w:cs="Arial"/>
          <w:b/>
          <w:bCs/>
          <w:sz w:val="40"/>
          <w:szCs w:val="40"/>
          <w:lang w:val="en-US"/>
        </w:rPr>
        <w:t xml:space="preserve"> Adapted Posterior</w:t>
      </w:r>
      <w:r w:rsidRPr="00F871E3">
        <w:rPr>
          <w:rFonts w:ascii="Arial" w:hAnsi="Arial" w:cs="Arial"/>
          <w:b/>
          <w:bCs/>
          <w:sz w:val="40"/>
          <w:szCs w:val="40"/>
          <w:lang w:val="en-US"/>
        </w:rPr>
        <w:t xml:space="preserve"> Approach</w:t>
      </w:r>
      <w:r w:rsidR="00B30ECD" w:rsidRPr="00B30ECD">
        <w:rPr>
          <w:rFonts w:ascii="Arial" w:hAnsi="Arial" w:cs="Arial"/>
          <w:b/>
          <w:bCs/>
          <w:sz w:val="40"/>
          <w:szCs w:val="40"/>
          <w:lang w:val="en-US"/>
        </w:rPr>
        <w:t xml:space="preserve"> </w:t>
      </w:r>
      <w:r w:rsidR="00B30ECD">
        <w:rPr>
          <w:rFonts w:ascii="Arial" w:hAnsi="Arial" w:cs="Arial"/>
          <w:b/>
          <w:bCs/>
          <w:sz w:val="40"/>
          <w:szCs w:val="40"/>
          <w:lang w:val="en-US"/>
        </w:rPr>
        <w:t>(</w:t>
      </w:r>
      <w:r w:rsidR="00B30ECD" w:rsidRPr="00F871E3">
        <w:rPr>
          <w:rFonts w:ascii="Arial" w:hAnsi="Arial" w:cs="Arial"/>
          <w:b/>
          <w:bCs/>
          <w:sz w:val="40"/>
          <w:szCs w:val="40"/>
          <w:lang w:val="en-US"/>
        </w:rPr>
        <w:t>SPAIRE</w:t>
      </w:r>
      <w:r w:rsidR="00B30ECD">
        <w:rPr>
          <w:rFonts w:ascii="Arial" w:hAnsi="Arial" w:cs="Arial"/>
          <w:b/>
          <w:bCs/>
          <w:sz w:val="40"/>
          <w:szCs w:val="40"/>
          <w:lang w:val="en-US"/>
        </w:rPr>
        <w:t>)</w:t>
      </w:r>
      <w:r w:rsidRPr="00F871E3">
        <w:rPr>
          <w:rFonts w:ascii="Arial" w:hAnsi="Arial" w:cs="Arial"/>
          <w:b/>
          <w:bCs/>
          <w:sz w:val="40"/>
          <w:szCs w:val="40"/>
          <w:lang w:val="en-US"/>
        </w:rPr>
        <w:t xml:space="preserve">: </w:t>
      </w:r>
      <w:r w:rsidR="00B30ECD">
        <w:rPr>
          <w:rFonts w:ascii="Arial" w:hAnsi="Arial" w:cs="Arial"/>
          <w:b/>
          <w:bCs/>
          <w:sz w:val="40"/>
          <w:szCs w:val="40"/>
          <w:lang w:val="en-US"/>
        </w:rPr>
        <w:t xml:space="preserve">A </w:t>
      </w:r>
      <w:r w:rsidRPr="00F871E3">
        <w:rPr>
          <w:rFonts w:ascii="Arial" w:hAnsi="Arial" w:cs="Arial"/>
          <w:b/>
          <w:bCs/>
          <w:sz w:val="40"/>
          <w:szCs w:val="40"/>
          <w:lang w:val="en-US"/>
        </w:rPr>
        <w:t>Randomized Prospective Control Study</w:t>
      </w:r>
    </w:p>
    <w:p w14:paraId="7B504CE3" w14:textId="77777777" w:rsidR="00F871E3" w:rsidRPr="00F871E3" w:rsidRDefault="00F871E3" w:rsidP="00F871E3">
      <w:pPr>
        <w:spacing w:line="360" w:lineRule="auto"/>
        <w:rPr>
          <w:rFonts w:ascii="Arial" w:hAnsi="Arial" w:cs="Arial"/>
          <w:sz w:val="28"/>
          <w:szCs w:val="28"/>
          <w:lang w:val="en-US"/>
        </w:rPr>
      </w:pPr>
    </w:p>
    <w:p w14:paraId="40E9D540" w14:textId="77777777" w:rsidR="00F871E3" w:rsidRPr="00F871E3" w:rsidRDefault="00F871E3" w:rsidP="00F871E3">
      <w:pPr>
        <w:spacing w:line="360" w:lineRule="auto"/>
        <w:rPr>
          <w:rFonts w:ascii="Arial" w:hAnsi="Arial" w:cs="Arial"/>
          <w:sz w:val="28"/>
          <w:szCs w:val="28"/>
          <w:lang w:val="en-US"/>
        </w:rPr>
      </w:pPr>
    </w:p>
    <w:p w14:paraId="49FC435E" w14:textId="77777777" w:rsidR="00F871E3" w:rsidRPr="00F871E3" w:rsidRDefault="00F871E3" w:rsidP="00F871E3">
      <w:pPr>
        <w:spacing w:line="360" w:lineRule="auto"/>
        <w:rPr>
          <w:rFonts w:ascii="Arial" w:hAnsi="Arial" w:cs="Arial"/>
          <w:sz w:val="28"/>
          <w:szCs w:val="28"/>
          <w:lang w:val="en-US"/>
        </w:rPr>
      </w:pPr>
    </w:p>
    <w:p w14:paraId="43569C98" w14:textId="77777777" w:rsidR="00F871E3" w:rsidRPr="00F871E3" w:rsidRDefault="00F871E3" w:rsidP="00F871E3">
      <w:pPr>
        <w:spacing w:line="360" w:lineRule="auto"/>
        <w:rPr>
          <w:rFonts w:ascii="Arial" w:hAnsi="Arial" w:cs="Arial"/>
          <w:sz w:val="28"/>
          <w:szCs w:val="28"/>
          <w:lang w:val="en-US"/>
        </w:rPr>
      </w:pPr>
    </w:p>
    <w:p w14:paraId="73D1189A" w14:textId="77777777" w:rsidR="00F871E3" w:rsidRPr="00F871E3" w:rsidRDefault="00F871E3" w:rsidP="00F871E3">
      <w:pPr>
        <w:spacing w:line="360" w:lineRule="auto"/>
        <w:rPr>
          <w:rFonts w:ascii="Arial" w:hAnsi="Arial" w:cs="Arial"/>
          <w:sz w:val="28"/>
          <w:szCs w:val="28"/>
          <w:lang w:val="en-US"/>
        </w:rPr>
      </w:pPr>
    </w:p>
    <w:p w14:paraId="73BD3B68" w14:textId="77777777" w:rsidR="00F871E3" w:rsidRPr="00F871E3" w:rsidRDefault="00F871E3" w:rsidP="00F871E3">
      <w:pPr>
        <w:spacing w:line="360" w:lineRule="auto"/>
        <w:rPr>
          <w:rFonts w:ascii="Arial" w:hAnsi="Arial" w:cs="Arial"/>
          <w:sz w:val="28"/>
          <w:szCs w:val="28"/>
          <w:lang w:val="en-US"/>
        </w:rPr>
      </w:pPr>
    </w:p>
    <w:p w14:paraId="48291382" w14:textId="7BDFC6D0" w:rsidR="00F871E3" w:rsidRPr="00F871E3" w:rsidRDefault="00F871E3" w:rsidP="00F871E3">
      <w:pPr>
        <w:spacing w:line="360" w:lineRule="auto"/>
        <w:rPr>
          <w:rFonts w:ascii="Arial" w:hAnsi="Arial" w:cs="Arial"/>
          <w:sz w:val="28"/>
          <w:szCs w:val="28"/>
        </w:rPr>
      </w:pPr>
      <w:proofErr w:type="spellStart"/>
      <w:r w:rsidRPr="00E816AD">
        <w:rPr>
          <w:rFonts w:ascii="Arial" w:hAnsi="Arial" w:cs="Arial"/>
          <w:b/>
          <w:bCs/>
          <w:sz w:val="28"/>
          <w:szCs w:val="28"/>
        </w:rPr>
        <w:t>Authors</w:t>
      </w:r>
      <w:proofErr w:type="spellEnd"/>
      <w:r w:rsidRPr="00E816AD">
        <w:rPr>
          <w:rFonts w:ascii="Arial" w:hAnsi="Arial" w:cs="Arial"/>
          <w:b/>
          <w:bCs/>
          <w:sz w:val="28"/>
          <w:szCs w:val="28"/>
        </w:rPr>
        <w:t>:</w:t>
      </w:r>
      <w:r w:rsidRPr="00F871E3">
        <w:rPr>
          <w:rFonts w:ascii="Arial" w:hAnsi="Arial" w:cs="Arial"/>
          <w:sz w:val="28"/>
          <w:szCs w:val="28"/>
        </w:rPr>
        <w:t xml:space="preserve"> Bruno </w:t>
      </w:r>
      <w:r>
        <w:rPr>
          <w:rFonts w:ascii="Arial" w:hAnsi="Arial" w:cs="Arial"/>
          <w:sz w:val="28"/>
          <w:szCs w:val="28"/>
        </w:rPr>
        <w:t xml:space="preserve">Alves </w:t>
      </w:r>
      <w:r w:rsidRPr="00F871E3">
        <w:rPr>
          <w:rFonts w:ascii="Arial" w:hAnsi="Arial" w:cs="Arial"/>
          <w:sz w:val="28"/>
          <w:szCs w:val="28"/>
        </w:rPr>
        <w:t>Rudelli, Henrique</w:t>
      </w:r>
      <w:r>
        <w:rPr>
          <w:rFonts w:ascii="Arial" w:hAnsi="Arial" w:cs="Arial"/>
          <w:sz w:val="28"/>
          <w:szCs w:val="28"/>
        </w:rPr>
        <w:t xml:space="preserve"> Melo de Campos</w:t>
      </w:r>
      <w:r w:rsidRPr="00F871E3">
        <w:rPr>
          <w:rFonts w:ascii="Arial" w:hAnsi="Arial" w:cs="Arial"/>
          <w:sz w:val="28"/>
          <w:szCs w:val="28"/>
        </w:rPr>
        <w:t xml:space="preserve"> Gurgel, Helder de Souza </w:t>
      </w:r>
      <w:proofErr w:type="spellStart"/>
      <w:r w:rsidRPr="00F871E3">
        <w:rPr>
          <w:rFonts w:ascii="Arial" w:hAnsi="Arial" w:cs="Arial"/>
          <w:sz w:val="28"/>
          <w:szCs w:val="28"/>
        </w:rPr>
        <w:t>Miyahara</w:t>
      </w:r>
      <w:proofErr w:type="spellEnd"/>
      <w:r w:rsidRPr="00F871E3">
        <w:rPr>
          <w:rFonts w:ascii="Arial" w:hAnsi="Arial" w:cs="Arial"/>
          <w:sz w:val="28"/>
          <w:szCs w:val="28"/>
        </w:rPr>
        <w:t xml:space="preserve">, João Carlos Rodrigues, José Ricardo Negreiros Vicente, Alberto </w:t>
      </w:r>
      <w:proofErr w:type="spellStart"/>
      <w:r w:rsidRPr="00F871E3">
        <w:rPr>
          <w:rFonts w:ascii="Arial" w:hAnsi="Arial" w:cs="Arial"/>
          <w:sz w:val="28"/>
          <w:szCs w:val="28"/>
        </w:rPr>
        <w:t>Tesconi</w:t>
      </w:r>
      <w:proofErr w:type="spellEnd"/>
      <w:r w:rsidRPr="00F871E3">
        <w:rPr>
          <w:rFonts w:ascii="Arial" w:hAnsi="Arial" w:cs="Arial"/>
          <w:sz w:val="28"/>
          <w:szCs w:val="28"/>
        </w:rPr>
        <w:t xml:space="preserve"> </w:t>
      </w:r>
      <w:proofErr w:type="spellStart"/>
      <w:r w:rsidRPr="00F871E3">
        <w:rPr>
          <w:rFonts w:ascii="Arial" w:hAnsi="Arial" w:cs="Arial"/>
          <w:sz w:val="28"/>
          <w:szCs w:val="28"/>
        </w:rPr>
        <w:t>Croci</w:t>
      </w:r>
      <w:proofErr w:type="spellEnd"/>
      <w:r w:rsidRPr="00F871E3">
        <w:rPr>
          <w:rFonts w:ascii="Arial" w:hAnsi="Arial" w:cs="Arial"/>
          <w:sz w:val="28"/>
          <w:szCs w:val="28"/>
        </w:rPr>
        <w:t>, Olavo Pires de Camargo</w:t>
      </w:r>
    </w:p>
    <w:p w14:paraId="1C0E0BD8" w14:textId="77777777" w:rsidR="00F871E3" w:rsidRPr="00F871E3" w:rsidRDefault="00F871E3" w:rsidP="00F871E3">
      <w:pPr>
        <w:spacing w:line="360" w:lineRule="auto"/>
        <w:rPr>
          <w:rFonts w:ascii="Arial" w:hAnsi="Arial" w:cs="Arial"/>
          <w:sz w:val="28"/>
          <w:szCs w:val="28"/>
        </w:rPr>
      </w:pPr>
    </w:p>
    <w:p w14:paraId="082C1E01" w14:textId="77777777" w:rsidR="00F871E3" w:rsidRPr="00F871E3" w:rsidRDefault="00F871E3" w:rsidP="00F871E3">
      <w:pPr>
        <w:spacing w:line="360" w:lineRule="auto"/>
        <w:rPr>
          <w:rFonts w:ascii="Arial" w:hAnsi="Arial" w:cs="Arial"/>
          <w:sz w:val="28"/>
          <w:szCs w:val="28"/>
        </w:rPr>
      </w:pPr>
    </w:p>
    <w:p w14:paraId="2C8258C7" w14:textId="77777777" w:rsidR="00F871E3" w:rsidRPr="00F871E3" w:rsidRDefault="00F871E3" w:rsidP="00F871E3">
      <w:pPr>
        <w:spacing w:line="360" w:lineRule="auto"/>
        <w:rPr>
          <w:rFonts w:ascii="Arial" w:hAnsi="Arial" w:cs="Arial"/>
          <w:sz w:val="28"/>
          <w:szCs w:val="28"/>
        </w:rPr>
      </w:pPr>
    </w:p>
    <w:p w14:paraId="21BD5CCE" w14:textId="77777777" w:rsidR="00F871E3" w:rsidRPr="00F871E3" w:rsidRDefault="00F871E3" w:rsidP="00F871E3">
      <w:pPr>
        <w:spacing w:line="360" w:lineRule="auto"/>
        <w:jc w:val="both"/>
        <w:rPr>
          <w:rFonts w:ascii="Arial" w:hAnsi="Arial" w:cs="Arial"/>
          <w:sz w:val="28"/>
          <w:szCs w:val="28"/>
        </w:rPr>
      </w:pPr>
    </w:p>
    <w:p w14:paraId="4E4A4EAE" w14:textId="77777777" w:rsidR="00F871E3" w:rsidRDefault="00F871E3" w:rsidP="00F871E3">
      <w:pPr>
        <w:spacing w:line="360" w:lineRule="auto"/>
        <w:jc w:val="both"/>
        <w:rPr>
          <w:rFonts w:ascii="Arial" w:hAnsi="Arial" w:cs="Arial"/>
          <w:sz w:val="28"/>
          <w:szCs w:val="28"/>
        </w:rPr>
      </w:pPr>
    </w:p>
    <w:p w14:paraId="46A6051F" w14:textId="348464A7" w:rsidR="00F871E3" w:rsidRPr="001F7B11" w:rsidRDefault="00F871E3" w:rsidP="001F7B11">
      <w:pPr>
        <w:pStyle w:val="PargrafodaLista"/>
        <w:numPr>
          <w:ilvl w:val="0"/>
          <w:numId w:val="1"/>
        </w:numPr>
        <w:spacing w:line="360" w:lineRule="auto"/>
        <w:jc w:val="both"/>
        <w:rPr>
          <w:rFonts w:ascii="Arial" w:hAnsi="Arial" w:cs="Arial"/>
          <w:b/>
          <w:bCs/>
          <w:sz w:val="28"/>
          <w:szCs w:val="28"/>
          <w:lang w:val="en-US"/>
        </w:rPr>
      </w:pPr>
      <w:r w:rsidRPr="001F7B11">
        <w:rPr>
          <w:rFonts w:ascii="Arial" w:hAnsi="Arial" w:cs="Arial"/>
          <w:b/>
          <w:bCs/>
          <w:sz w:val="28"/>
          <w:szCs w:val="28"/>
          <w:lang w:val="en-US"/>
        </w:rPr>
        <w:lastRenderedPageBreak/>
        <w:t xml:space="preserve">Introduction </w:t>
      </w:r>
    </w:p>
    <w:p w14:paraId="4E4547A2" w14:textId="77777777" w:rsidR="00F871E3" w:rsidRPr="00F871E3" w:rsidRDefault="00F871E3" w:rsidP="00F871E3">
      <w:pPr>
        <w:spacing w:line="360" w:lineRule="auto"/>
        <w:jc w:val="both"/>
        <w:rPr>
          <w:rFonts w:ascii="Arial" w:hAnsi="Arial" w:cs="Arial"/>
          <w:sz w:val="28"/>
          <w:szCs w:val="28"/>
          <w:lang w:val="en-GB"/>
        </w:rPr>
      </w:pPr>
    </w:p>
    <w:p w14:paraId="429977B4" w14:textId="1CDDA3C7" w:rsidR="00F871E3" w:rsidRDefault="00F871E3" w:rsidP="00F871E3">
      <w:pPr>
        <w:spacing w:line="360" w:lineRule="auto"/>
        <w:ind w:firstLine="708"/>
        <w:jc w:val="both"/>
        <w:rPr>
          <w:rFonts w:ascii="Arial" w:hAnsi="Arial" w:cs="Arial"/>
          <w:sz w:val="28"/>
          <w:szCs w:val="28"/>
          <w:lang w:val="en-US"/>
        </w:rPr>
      </w:pPr>
      <w:r w:rsidRPr="00F871E3">
        <w:rPr>
          <w:rFonts w:ascii="Arial" w:hAnsi="Arial" w:cs="Arial"/>
          <w:sz w:val="28"/>
          <w:szCs w:val="28"/>
          <w:lang w:val="en-US"/>
        </w:rPr>
        <w:t xml:space="preserve">Total hip arthroplasty (THA) is a </w:t>
      </w:r>
      <w:r w:rsidR="008B27A5" w:rsidRPr="00F871E3">
        <w:rPr>
          <w:rFonts w:ascii="Arial" w:hAnsi="Arial" w:cs="Arial"/>
          <w:sz w:val="28"/>
          <w:szCs w:val="28"/>
          <w:lang w:val="en-US"/>
        </w:rPr>
        <w:t xml:space="preserve">widely </w:t>
      </w:r>
      <w:r w:rsidR="008B27A5">
        <w:rPr>
          <w:rFonts w:ascii="Arial" w:hAnsi="Arial" w:cs="Arial"/>
          <w:sz w:val="28"/>
          <w:szCs w:val="28"/>
          <w:lang w:val="en-US"/>
        </w:rPr>
        <w:t xml:space="preserve">used </w:t>
      </w:r>
      <w:r w:rsidRPr="00F871E3">
        <w:rPr>
          <w:rFonts w:ascii="Arial" w:hAnsi="Arial" w:cs="Arial"/>
          <w:sz w:val="28"/>
          <w:szCs w:val="28"/>
          <w:lang w:val="en-US"/>
        </w:rPr>
        <w:t xml:space="preserve">procedure in the treatment </w:t>
      </w:r>
      <w:r w:rsidRPr="008B27A5">
        <w:rPr>
          <w:rFonts w:ascii="Arial" w:hAnsi="Arial" w:cs="Arial"/>
          <w:color w:val="000000" w:themeColor="text1"/>
          <w:sz w:val="28"/>
          <w:szCs w:val="28"/>
          <w:lang w:val="en-US"/>
        </w:rPr>
        <w:t xml:space="preserve">of hip conditions, having been considered the surgery of the century by the Lancet in 2007 </w:t>
      </w:r>
      <w:r w:rsidR="007311DF" w:rsidRPr="008B27A5">
        <w:rPr>
          <w:rFonts w:ascii="Arial" w:hAnsi="Arial" w:cs="Arial"/>
          <w:color w:val="000000" w:themeColor="text1"/>
          <w:sz w:val="28"/>
          <w:szCs w:val="28"/>
          <w:lang w:val="en-US"/>
        </w:rPr>
        <w:t>because of</w:t>
      </w:r>
      <w:r w:rsidRPr="008B27A5">
        <w:rPr>
          <w:rFonts w:ascii="Arial" w:hAnsi="Arial" w:cs="Arial"/>
          <w:color w:val="000000" w:themeColor="text1"/>
          <w:sz w:val="28"/>
          <w:szCs w:val="28"/>
          <w:lang w:val="en-US"/>
        </w:rPr>
        <w:t xml:space="preserve"> its high success rate (1). Due to the improvement in pain relief and optimization of </w:t>
      </w:r>
      <w:r w:rsidR="008B27A5" w:rsidRPr="008B27A5">
        <w:rPr>
          <w:rFonts w:ascii="Arial" w:hAnsi="Arial" w:cs="Arial"/>
          <w:color w:val="000000" w:themeColor="text1"/>
          <w:sz w:val="28"/>
          <w:szCs w:val="28"/>
          <w:lang w:val="en-US"/>
        </w:rPr>
        <w:t>hip</w:t>
      </w:r>
      <w:r w:rsidR="007311DF" w:rsidRPr="008B27A5">
        <w:rPr>
          <w:rFonts w:ascii="Arial" w:hAnsi="Arial" w:cs="Arial"/>
          <w:color w:val="000000" w:themeColor="text1"/>
          <w:sz w:val="28"/>
          <w:szCs w:val="28"/>
          <w:lang w:val="en-US"/>
        </w:rPr>
        <w:t xml:space="preserve"> </w:t>
      </w:r>
      <w:r w:rsidRPr="008B27A5">
        <w:rPr>
          <w:rFonts w:ascii="Arial" w:hAnsi="Arial" w:cs="Arial"/>
          <w:color w:val="000000" w:themeColor="text1"/>
          <w:sz w:val="28"/>
          <w:szCs w:val="28"/>
          <w:lang w:val="en-US"/>
        </w:rPr>
        <w:t xml:space="preserve">function, the number of hip replacement surgeries has been increasing in recent years when we analyze national databases (2,3). In parallel with the increase in the absolute numbers of THAs performed, there is an increase in patients' and doctors' expectations of the procedure, causing pressure </w:t>
      </w:r>
      <w:r w:rsidRPr="00F871E3">
        <w:rPr>
          <w:rFonts w:ascii="Arial" w:hAnsi="Arial" w:cs="Arial"/>
          <w:sz w:val="28"/>
          <w:szCs w:val="28"/>
          <w:lang w:val="en-US"/>
        </w:rPr>
        <w:t>to develop implants</w:t>
      </w:r>
      <w:r w:rsidR="007311DF">
        <w:rPr>
          <w:rFonts w:ascii="Arial" w:hAnsi="Arial" w:cs="Arial"/>
          <w:sz w:val="28"/>
          <w:szCs w:val="28"/>
          <w:lang w:val="en-US"/>
        </w:rPr>
        <w:t xml:space="preserve"> that provide more stability and longevity</w:t>
      </w:r>
      <w:r w:rsidRPr="00F871E3">
        <w:rPr>
          <w:rFonts w:ascii="Arial" w:hAnsi="Arial" w:cs="Arial"/>
          <w:sz w:val="28"/>
          <w:szCs w:val="28"/>
          <w:lang w:val="en-US"/>
        </w:rPr>
        <w:t xml:space="preserve"> in addition to</w:t>
      </w:r>
      <w:r w:rsidR="008B27A5">
        <w:rPr>
          <w:rFonts w:ascii="Arial" w:hAnsi="Arial" w:cs="Arial"/>
          <w:sz w:val="28"/>
          <w:szCs w:val="28"/>
          <w:lang w:val="en-US"/>
        </w:rPr>
        <w:t xml:space="preserve"> </w:t>
      </w:r>
      <w:r w:rsidRPr="00F871E3">
        <w:rPr>
          <w:rFonts w:ascii="Arial" w:hAnsi="Arial" w:cs="Arial"/>
          <w:sz w:val="28"/>
          <w:szCs w:val="28"/>
          <w:lang w:val="en-US"/>
        </w:rPr>
        <w:t xml:space="preserve">less invasive </w:t>
      </w:r>
      <w:r w:rsidR="007311DF">
        <w:rPr>
          <w:rFonts w:ascii="Arial" w:hAnsi="Arial" w:cs="Arial"/>
          <w:sz w:val="28"/>
          <w:szCs w:val="28"/>
          <w:lang w:val="en-US"/>
        </w:rPr>
        <w:t xml:space="preserve">surgical </w:t>
      </w:r>
      <w:r w:rsidRPr="00F871E3">
        <w:rPr>
          <w:rFonts w:ascii="Arial" w:hAnsi="Arial" w:cs="Arial"/>
          <w:sz w:val="28"/>
          <w:szCs w:val="28"/>
          <w:lang w:val="en-US"/>
        </w:rPr>
        <w:t>techniques that allow for earlier and more effective rehabilitation</w:t>
      </w:r>
      <w:r w:rsidR="007311DF">
        <w:rPr>
          <w:rFonts w:ascii="Arial" w:hAnsi="Arial" w:cs="Arial"/>
          <w:sz w:val="28"/>
          <w:szCs w:val="28"/>
          <w:lang w:val="en-US"/>
        </w:rPr>
        <w:t xml:space="preserve"> and</w:t>
      </w:r>
      <w:r w:rsidRPr="00F871E3">
        <w:rPr>
          <w:rFonts w:ascii="Arial" w:hAnsi="Arial" w:cs="Arial"/>
          <w:sz w:val="28"/>
          <w:szCs w:val="28"/>
          <w:lang w:val="en-US"/>
        </w:rPr>
        <w:t xml:space="preserve"> better functional </w:t>
      </w:r>
      <w:r w:rsidR="007311DF" w:rsidRPr="00F871E3">
        <w:rPr>
          <w:rFonts w:ascii="Arial" w:hAnsi="Arial" w:cs="Arial"/>
          <w:sz w:val="28"/>
          <w:szCs w:val="28"/>
          <w:lang w:val="en-US"/>
        </w:rPr>
        <w:t>gains (</w:t>
      </w:r>
      <w:r w:rsidRPr="00F871E3">
        <w:rPr>
          <w:rFonts w:ascii="Arial" w:hAnsi="Arial" w:cs="Arial"/>
          <w:sz w:val="28"/>
          <w:szCs w:val="28"/>
          <w:lang w:val="en-US"/>
        </w:rPr>
        <w:t>4).</w:t>
      </w:r>
    </w:p>
    <w:p w14:paraId="67EBFAB0" w14:textId="7DE0CDD9" w:rsidR="00F871E3" w:rsidRPr="00F871E3" w:rsidRDefault="00F871E3" w:rsidP="007311DF">
      <w:pPr>
        <w:spacing w:line="360" w:lineRule="auto"/>
        <w:ind w:firstLine="708"/>
        <w:jc w:val="both"/>
        <w:rPr>
          <w:rFonts w:ascii="Arial" w:hAnsi="Arial" w:cs="Arial"/>
          <w:sz w:val="28"/>
          <w:szCs w:val="28"/>
          <w:lang w:val="en-US"/>
        </w:rPr>
      </w:pPr>
      <w:r w:rsidRPr="00F871E3">
        <w:rPr>
          <w:rFonts w:ascii="Arial" w:hAnsi="Arial" w:cs="Arial"/>
          <w:sz w:val="28"/>
          <w:szCs w:val="28"/>
          <w:lang w:val="en-US"/>
        </w:rPr>
        <w:t xml:space="preserve">The type of </w:t>
      </w:r>
      <w:r w:rsidR="007311DF">
        <w:rPr>
          <w:rFonts w:ascii="Arial" w:hAnsi="Arial" w:cs="Arial"/>
          <w:sz w:val="28"/>
          <w:szCs w:val="28"/>
          <w:lang w:val="en-US"/>
        </w:rPr>
        <w:t>surgical access</w:t>
      </w:r>
      <w:r w:rsidRPr="00F871E3">
        <w:rPr>
          <w:rFonts w:ascii="Arial" w:hAnsi="Arial" w:cs="Arial"/>
          <w:sz w:val="28"/>
          <w:szCs w:val="28"/>
          <w:lang w:val="en-US"/>
        </w:rPr>
        <w:t xml:space="preserve"> </w:t>
      </w:r>
      <w:r w:rsidR="007311DF">
        <w:rPr>
          <w:rFonts w:ascii="Arial" w:hAnsi="Arial" w:cs="Arial"/>
          <w:sz w:val="28"/>
          <w:szCs w:val="28"/>
          <w:lang w:val="en-US"/>
        </w:rPr>
        <w:t xml:space="preserve">chosen </w:t>
      </w:r>
      <w:r w:rsidRPr="00F871E3">
        <w:rPr>
          <w:rFonts w:ascii="Arial" w:hAnsi="Arial" w:cs="Arial"/>
          <w:sz w:val="28"/>
          <w:szCs w:val="28"/>
          <w:lang w:val="en-US"/>
        </w:rPr>
        <w:t xml:space="preserve">by the </w:t>
      </w:r>
      <w:r w:rsidR="007311DF">
        <w:rPr>
          <w:rFonts w:ascii="Arial" w:hAnsi="Arial" w:cs="Arial"/>
          <w:sz w:val="28"/>
          <w:szCs w:val="28"/>
          <w:lang w:val="en-US"/>
        </w:rPr>
        <w:t xml:space="preserve">surgeon </w:t>
      </w:r>
      <w:r w:rsidRPr="00F871E3">
        <w:rPr>
          <w:rFonts w:ascii="Arial" w:hAnsi="Arial" w:cs="Arial"/>
          <w:sz w:val="28"/>
          <w:szCs w:val="28"/>
          <w:lang w:val="en-US"/>
        </w:rPr>
        <w:t xml:space="preserve">to </w:t>
      </w:r>
      <w:r w:rsidR="007311DF">
        <w:rPr>
          <w:rFonts w:ascii="Arial" w:hAnsi="Arial" w:cs="Arial"/>
          <w:sz w:val="28"/>
          <w:szCs w:val="28"/>
          <w:lang w:val="en-US"/>
        </w:rPr>
        <w:t>carry out</w:t>
      </w:r>
      <w:r w:rsidRPr="00F871E3">
        <w:rPr>
          <w:rFonts w:ascii="Arial" w:hAnsi="Arial" w:cs="Arial"/>
          <w:sz w:val="28"/>
          <w:szCs w:val="28"/>
          <w:lang w:val="en-US"/>
        </w:rPr>
        <w:t xml:space="preserve"> THA </w:t>
      </w:r>
      <w:r w:rsidR="007311DF">
        <w:rPr>
          <w:rFonts w:ascii="Arial" w:hAnsi="Arial" w:cs="Arial"/>
          <w:sz w:val="28"/>
          <w:szCs w:val="28"/>
          <w:lang w:val="en-US"/>
        </w:rPr>
        <w:t>is current a much-discuss issue</w:t>
      </w:r>
      <w:r w:rsidRPr="00F871E3">
        <w:rPr>
          <w:rFonts w:ascii="Arial" w:hAnsi="Arial" w:cs="Arial"/>
          <w:sz w:val="28"/>
          <w:szCs w:val="28"/>
          <w:lang w:val="en-US"/>
        </w:rPr>
        <w:t>, as it is directly related to postoperative rehabilitation and risk of complications</w:t>
      </w:r>
      <w:r w:rsidR="007311DF">
        <w:rPr>
          <w:rFonts w:ascii="Arial" w:hAnsi="Arial" w:cs="Arial"/>
          <w:sz w:val="28"/>
          <w:szCs w:val="28"/>
          <w:lang w:val="en-US"/>
        </w:rPr>
        <w:t xml:space="preserve"> </w:t>
      </w:r>
      <w:r w:rsidRPr="00F871E3">
        <w:rPr>
          <w:rFonts w:ascii="Arial" w:hAnsi="Arial" w:cs="Arial"/>
          <w:sz w:val="28"/>
          <w:szCs w:val="28"/>
          <w:lang w:val="en-US"/>
        </w:rPr>
        <w:t>(5).</w:t>
      </w:r>
    </w:p>
    <w:p w14:paraId="62FD1DE8" w14:textId="2552C9F6" w:rsidR="00F871E3" w:rsidRPr="00F871E3" w:rsidRDefault="00F871E3" w:rsidP="007311DF">
      <w:pPr>
        <w:spacing w:line="360" w:lineRule="auto"/>
        <w:ind w:firstLine="708"/>
        <w:jc w:val="both"/>
        <w:rPr>
          <w:rFonts w:ascii="Arial" w:hAnsi="Arial" w:cs="Arial"/>
          <w:sz w:val="28"/>
          <w:szCs w:val="28"/>
          <w:lang w:val="en-US"/>
        </w:rPr>
      </w:pPr>
      <w:r w:rsidRPr="00F871E3">
        <w:rPr>
          <w:rFonts w:ascii="Arial" w:hAnsi="Arial" w:cs="Arial"/>
          <w:sz w:val="28"/>
          <w:szCs w:val="28"/>
          <w:lang w:val="en-US"/>
        </w:rPr>
        <w:t xml:space="preserve">Among the various </w:t>
      </w:r>
      <w:r w:rsidR="007311DF">
        <w:rPr>
          <w:rFonts w:ascii="Arial" w:hAnsi="Arial" w:cs="Arial"/>
          <w:sz w:val="28"/>
          <w:szCs w:val="28"/>
          <w:lang w:val="en-US"/>
        </w:rPr>
        <w:t xml:space="preserve">possible </w:t>
      </w:r>
      <w:r w:rsidRPr="00F871E3">
        <w:rPr>
          <w:rFonts w:ascii="Arial" w:hAnsi="Arial" w:cs="Arial"/>
          <w:sz w:val="28"/>
          <w:szCs w:val="28"/>
          <w:lang w:val="en-US"/>
        </w:rPr>
        <w:t xml:space="preserve">surgical </w:t>
      </w:r>
      <w:r w:rsidR="007311DF">
        <w:rPr>
          <w:rFonts w:ascii="Arial" w:hAnsi="Arial" w:cs="Arial"/>
          <w:sz w:val="28"/>
          <w:szCs w:val="28"/>
          <w:lang w:val="en-US"/>
        </w:rPr>
        <w:t>access</w:t>
      </w:r>
      <w:r w:rsidRPr="00F871E3">
        <w:rPr>
          <w:rFonts w:ascii="Arial" w:hAnsi="Arial" w:cs="Arial"/>
          <w:sz w:val="28"/>
          <w:szCs w:val="28"/>
          <w:lang w:val="en-US"/>
        </w:rPr>
        <w:t>, one of the most used is the posterior approach described by Moore in 1952</w:t>
      </w:r>
      <w:r w:rsidR="008409E9">
        <w:rPr>
          <w:rFonts w:ascii="Arial" w:hAnsi="Arial" w:cs="Arial"/>
          <w:sz w:val="28"/>
          <w:szCs w:val="28"/>
          <w:lang w:val="en-US"/>
        </w:rPr>
        <w:t xml:space="preserve"> </w:t>
      </w:r>
      <w:r w:rsidRPr="00F871E3">
        <w:rPr>
          <w:rFonts w:ascii="Arial" w:hAnsi="Arial" w:cs="Arial"/>
          <w:sz w:val="28"/>
          <w:szCs w:val="28"/>
          <w:lang w:val="en-US"/>
        </w:rPr>
        <w:t xml:space="preserve">(6), which consists of blunt dissection of the gluteus maximus and disinsertion of the external rotators. The advantages of this </w:t>
      </w:r>
      <w:r w:rsidR="007311DF">
        <w:rPr>
          <w:rFonts w:ascii="Arial" w:hAnsi="Arial" w:cs="Arial"/>
          <w:sz w:val="28"/>
          <w:szCs w:val="28"/>
          <w:lang w:val="en-US"/>
        </w:rPr>
        <w:t>access</w:t>
      </w:r>
      <w:r w:rsidRPr="00F871E3">
        <w:rPr>
          <w:rFonts w:ascii="Arial" w:hAnsi="Arial" w:cs="Arial"/>
          <w:sz w:val="28"/>
          <w:szCs w:val="28"/>
          <w:lang w:val="en-US"/>
        </w:rPr>
        <w:t xml:space="preserve"> are the preservation of the hip abductor muscles and wide joint exposure, with the</w:t>
      </w:r>
      <w:r w:rsidR="008B27A5">
        <w:rPr>
          <w:rFonts w:ascii="Arial" w:hAnsi="Arial" w:cs="Arial"/>
          <w:sz w:val="28"/>
          <w:szCs w:val="28"/>
          <w:lang w:val="en-US"/>
        </w:rPr>
        <w:t xml:space="preserve"> supposed</w:t>
      </w:r>
      <w:r w:rsidRPr="00F871E3">
        <w:rPr>
          <w:rFonts w:ascii="Arial" w:hAnsi="Arial" w:cs="Arial"/>
          <w:sz w:val="28"/>
          <w:szCs w:val="28"/>
          <w:lang w:val="en-US"/>
        </w:rPr>
        <w:t xml:space="preserve"> disadvantage</w:t>
      </w:r>
      <w:r w:rsidR="008409E9">
        <w:rPr>
          <w:rFonts w:ascii="Arial" w:hAnsi="Arial" w:cs="Arial"/>
          <w:sz w:val="28"/>
          <w:szCs w:val="28"/>
          <w:lang w:val="en-US"/>
        </w:rPr>
        <w:t xml:space="preserve"> of a</w:t>
      </w:r>
      <w:r w:rsidRPr="00F871E3">
        <w:rPr>
          <w:rFonts w:ascii="Arial" w:hAnsi="Arial" w:cs="Arial"/>
          <w:sz w:val="28"/>
          <w:szCs w:val="28"/>
          <w:lang w:val="en-US"/>
        </w:rPr>
        <w:t xml:space="preserve"> </w:t>
      </w:r>
      <w:r w:rsidR="008409E9">
        <w:rPr>
          <w:rFonts w:ascii="Arial" w:hAnsi="Arial" w:cs="Arial"/>
          <w:sz w:val="28"/>
          <w:szCs w:val="28"/>
          <w:lang w:val="en-US"/>
        </w:rPr>
        <w:t>higher</w:t>
      </w:r>
      <w:r w:rsidRPr="00F871E3">
        <w:rPr>
          <w:rFonts w:ascii="Arial" w:hAnsi="Arial" w:cs="Arial"/>
          <w:sz w:val="28"/>
          <w:szCs w:val="28"/>
          <w:lang w:val="en-US"/>
        </w:rPr>
        <w:t xml:space="preserve"> risk of posterior </w:t>
      </w:r>
      <w:r w:rsidR="008409E9" w:rsidRPr="00F871E3">
        <w:rPr>
          <w:rFonts w:ascii="Arial" w:hAnsi="Arial" w:cs="Arial"/>
          <w:sz w:val="28"/>
          <w:szCs w:val="28"/>
          <w:lang w:val="en-US"/>
        </w:rPr>
        <w:t>dislocation (</w:t>
      </w:r>
      <w:r w:rsidRPr="00F871E3">
        <w:rPr>
          <w:rFonts w:ascii="Arial" w:hAnsi="Arial" w:cs="Arial"/>
          <w:sz w:val="28"/>
          <w:szCs w:val="28"/>
          <w:lang w:val="en-US"/>
        </w:rPr>
        <w:t xml:space="preserve">7). Other frequently used </w:t>
      </w:r>
      <w:r w:rsidR="008409E9">
        <w:rPr>
          <w:rFonts w:ascii="Arial" w:hAnsi="Arial" w:cs="Arial"/>
          <w:sz w:val="28"/>
          <w:szCs w:val="28"/>
          <w:lang w:val="en-US"/>
        </w:rPr>
        <w:t>approaches</w:t>
      </w:r>
      <w:r w:rsidRPr="00F871E3">
        <w:rPr>
          <w:rFonts w:ascii="Arial" w:hAnsi="Arial" w:cs="Arial"/>
          <w:sz w:val="28"/>
          <w:szCs w:val="28"/>
          <w:lang w:val="en-US"/>
        </w:rPr>
        <w:t xml:space="preserve"> are the lateral </w:t>
      </w:r>
      <w:r w:rsidR="008409E9">
        <w:rPr>
          <w:rFonts w:ascii="Arial" w:hAnsi="Arial" w:cs="Arial"/>
          <w:sz w:val="28"/>
          <w:szCs w:val="28"/>
          <w:lang w:val="en-US"/>
        </w:rPr>
        <w:t>access</w:t>
      </w:r>
      <w:r w:rsidRPr="00F871E3">
        <w:rPr>
          <w:rFonts w:ascii="Arial" w:hAnsi="Arial" w:cs="Arial"/>
          <w:sz w:val="28"/>
          <w:szCs w:val="28"/>
          <w:lang w:val="en-US"/>
        </w:rPr>
        <w:t xml:space="preserve"> described by </w:t>
      </w:r>
      <w:proofErr w:type="spellStart"/>
      <w:r w:rsidRPr="00F871E3">
        <w:rPr>
          <w:rFonts w:ascii="Arial" w:hAnsi="Arial" w:cs="Arial"/>
          <w:sz w:val="28"/>
          <w:szCs w:val="28"/>
          <w:lang w:val="en-US"/>
        </w:rPr>
        <w:t>Hardinge</w:t>
      </w:r>
      <w:proofErr w:type="spellEnd"/>
      <w:r w:rsidRPr="00F871E3">
        <w:rPr>
          <w:rFonts w:ascii="Arial" w:hAnsi="Arial" w:cs="Arial"/>
          <w:sz w:val="28"/>
          <w:szCs w:val="28"/>
          <w:lang w:val="en-US"/>
        </w:rPr>
        <w:t xml:space="preserve">, which accesses the hip joint through partial disinsertion of the gluteus </w:t>
      </w:r>
      <w:proofErr w:type="spellStart"/>
      <w:r w:rsidRPr="00F871E3">
        <w:rPr>
          <w:rFonts w:ascii="Arial" w:hAnsi="Arial" w:cs="Arial"/>
          <w:sz w:val="28"/>
          <w:szCs w:val="28"/>
          <w:lang w:val="en-US"/>
        </w:rPr>
        <w:t>medius</w:t>
      </w:r>
      <w:proofErr w:type="spellEnd"/>
      <w:r w:rsidRPr="00F871E3">
        <w:rPr>
          <w:rFonts w:ascii="Arial" w:hAnsi="Arial" w:cs="Arial"/>
          <w:sz w:val="28"/>
          <w:szCs w:val="28"/>
          <w:lang w:val="en-US"/>
        </w:rPr>
        <w:t xml:space="preserve"> tendon (8) allowing excellent exposure, but with criticism regarding the </w:t>
      </w:r>
      <w:r w:rsidRPr="008B27A5">
        <w:rPr>
          <w:rFonts w:ascii="Arial" w:hAnsi="Arial" w:cs="Arial"/>
          <w:color w:val="FF0000"/>
          <w:sz w:val="28"/>
          <w:szCs w:val="28"/>
          <w:lang w:val="en-US"/>
        </w:rPr>
        <w:t>violation</w:t>
      </w:r>
      <w:r w:rsidRPr="00F871E3">
        <w:rPr>
          <w:rFonts w:ascii="Arial" w:hAnsi="Arial" w:cs="Arial"/>
          <w:sz w:val="28"/>
          <w:szCs w:val="28"/>
          <w:lang w:val="en-US"/>
        </w:rPr>
        <w:t xml:space="preserve"> of the abductor mechanism, and the direct anterior </w:t>
      </w:r>
      <w:r w:rsidR="008409E9">
        <w:rPr>
          <w:rFonts w:ascii="Arial" w:hAnsi="Arial" w:cs="Arial"/>
          <w:sz w:val="28"/>
          <w:szCs w:val="28"/>
          <w:lang w:val="en-US"/>
        </w:rPr>
        <w:t>approach</w:t>
      </w:r>
      <w:r w:rsidRPr="00F871E3">
        <w:rPr>
          <w:rFonts w:ascii="Arial" w:hAnsi="Arial" w:cs="Arial"/>
          <w:sz w:val="28"/>
          <w:szCs w:val="28"/>
          <w:lang w:val="en-US"/>
        </w:rPr>
        <w:t xml:space="preserve"> initially described by </w:t>
      </w:r>
      <w:proofErr w:type="spellStart"/>
      <w:r w:rsidRPr="00F871E3">
        <w:rPr>
          <w:rFonts w:ascii="Arial" w:hAnsi="Arial" w:cs="Arial"/>
          <w:sz w:val="28"/>
          <w:szCs w:val="28"/>
          <w:lang w:val="en-US"/>
        </w:rPr>
        <w:t>Hueter</w:t>
      </w:r>
      <w:proofErr w:type="spellEnd"/>
      <w:r w:rsidRPr="00F871E3">
        <w:rPr>
          <w:rFonts w:ascii="Arial" w:hAnsi="Arial" w:cs="Arial"/>
          <w:sz w:val="28"/>
          <w:szCs w:val="28"/>
          <w:lang w:val="en-US"/>
        </w:rPr>
        <w:t xml:space="preserve"> in 1883</w:t>
      </w:r>
      <w:r w:rsidR="008409E9">
        <w:rPr>
          <w:rFonts w:ascii="Arial" w:hAnsi="Arial" w:cs="Arial"/>
          <w:sz w:val="28"/>
          <w:szCs w:val="28"/>
          <w:lang w:val="en-US"/>
        </w:rPr>
        <w:t xml:space="preserve"> </w:t>
      </w:r>
      <w:r w:rsidRPr="00F871E3">
        <w:rPr>
          <w:rFonts w:ascii="Arial" w:hAnsi="Arial" w:cs="Arial"/>
          <w:sz w:val="28"/>
          <w:szCs w:val="28"/>
          <w:lang w:val="en-US"/>
        </w:rPr>
        <w:t>(9), revived by Smith-Petersen</w:t>
      </w:r>
      <w:r w:rsidR="008409E9">
        <w:rPr>
          <w:rFonts w:ascii="Arial" w:hAnsi="Arial" w:cs="Arial"/>
          <w:sz w:val="28"/>
          <w:szCs w:val="28"/>
          <w:lang w:val="en-US"/>
        </w:rPr>
        <w:t xml:space="preserve"> </w:t>
      </w:r>
      <w:r w:rsidRPr="00F871E3">
        <w:rPr>
          <w:rFonts w:ascii="Arial" w:hAnsi="Arial" w:cs="Arial"/>
          <w:sz w:val="28"/>
          <w:szCs w:val="28"/>
          <w:lang w:val="en-US"/>
        </w:rPr>
        <w:t xml:space="preserve">(10) and increasingly </w:t>
      </w:r>
      <w:r w:rsidRPr="00F871E3">
        <w:rPr>
          <w:rFonts w:ascii="Arial" w:hAnsi="Arial" w:cs="Arial"/>
          <w:sz w:val="28"/>
          <w:szCs w:val="28"/>
          <w:lang w:val="en-US"/>
        </w:rPr>
        <w:lastRenderedPageBreak/>
        <w:t xml:space="preserve">used today for its musculotendinous preservation. There is still no consensus regarding </w:t>
      </w:r>
      <w:r w:rsidR="008409E9">
        <w:rPr>
          <w:rFonts w:ascii="Arial" w:hAnsi="Arial" w:cs="Arial"/>
          <w:sz w:val="28"/>
          <w:szCs w:val="28"/>
          <w:lang w:val="en-US"/>
        </w:rPr>
        <w:t xml:space="preserve">the </w:t>
      </w:r>
      <w:r w:rsidRPr="00F871E3">
        <w:rPr>
          <w:rFonts w:ascii="Arial" w:hAnsi="Arial" w:cs="Arial"/>
          <w:sz w:val="28"/>
          <w:szCs w:val="28"/>
          <w:lang w:val="en-US"/>
        </w:rPr>
        <w:t xml:space="preserve">perfect access, and each one presents risks and advantages that must be taken into consideration on a case-by-case basis, as well as the </w:t>
      </w:r>
      <w:r w:rsidR="008409E9">
        <w:rPr>
          <w:rFonts w:ascii="Arial" w:hAnsi="Arial" w:cs="Arial"/>
          <w:sz w:val="28"/>
          <w:szCs w:val="28"/>
          <w:lang w:val="en-US"/>
        </w:rPr>
        <w:t>surgeon</w:t>
      </w:r>
      <w:r w:rsidRPr="00F871E3">
        <w:rPr>
          <w:rFonts w:ascii="Arial" w:hAnsi="Arial" w:cs="Arial"/>
          <w:sz w:val="28"/>
          <w:szCs w:val="28"/>
          <w:lang w:val="en-US"/>
        </w:rPr>
        <w:t xml:space="preserve"> experience.</w:t>
      </w:r>
    </w:p>
    <w:p w14:paraId="237143AC" w14:textId="0A0E5D03" w:rsidR="00F871E3" w:rsidRPr="00F871E3" w:rsidRDefault="00F871E3" w:rsidP="008409E9">
      <w:pPr>
        <w:spacing w:line="360" w:lineRule="auto"/>
        <w:ind w:firstLine="708"/>
        <w:jc w:val="both"/>
        <w:rPr>
          <w:rFonts w:ascii="Arial" w:hAnsi="Arial" w:cs="Arial"/>
          <w:sz w:val="28"/>
          <w:szCs w:val="28"/>
          <w:lang w:val="en-US"/>
        </w:rPr>
      </w:pPr>
      <w:r w:rsidRPr="00F871E3">
        <w:rPr>
          <w:rFonts w:ascii="Arial" w:hAnsi="Arial" w:cs="Arial"/>
          <w:sz w:val="28"/>
          <w:szCs w:val="28"/>
          <w:lang w:val="en-US"/>
        </w:rPr>
        <w:t xml:space="preserve">More recently, in 2017, the Exeter group published a variation of the posterior approach with the aim of preserving some of the external rotators usually </w:t>
      </w:r>
      <w:r w:rsidR="008409E9">
        <w:rPr>
          <w:rFonts w:ascii="Arial" w:hAnsi="Arial" w:cs="Arial"/>
          <w:sz w:val="28"/>
          <w:szCs w:val="28"/>
          <w:lang w:val="en-US"/>
        </w:rPr>
        <w:t>detached</w:t>
      </w:r>
      <w:r w:rsidRPr="00F871E3">
        <w:rPr>
          <w:rFonts w:ascii="Arial" w:hAnsi="Arial" w:cs="Arial"/>
          <w:sz w:val="28"/>
          <w:szCs w:val="28"/>
          <w:lang w:val="en-US"/>
        </w:rPr>
        <w:t xml:space="preserve"> in the conventional posterior approach. In this </w:t>
      </w:r>
      <w:r w:rsidR="008409E9">
        <w:rPr>
          <w:rFonts w:ascii="Arial" w:hAnsi="Arial" w:cs="Arial"/>
          <w:sz w:val="28"/>
          <w:szCs w:val="28"/>
          <w:lang w:val="en-US"/>
        </w:rPr>
        <w:t>access</w:t>
      </w:r>
      <w:r w:rsidRPr="00F871E3">
        <w:rPr>
          <w:rFonts w:ascii="Arial" w:hAnsi="Arial" w:cs="Arial"/>
          <w:sz w:val="28"/>
          <w:szCs w:val="28"/>
          <w:lang w:val="en-US"/>
        </w:rPr>
        <w:t>, the tendons of the piriformis, obturator internus, superior and inferior</w:t>
      </w:r>
      <w:r w:rsidR="008409E9">
        <w:rPr>
          <w:rFonts w:ascii="Arial" w:hAnsi="Arial" w:cs="Arial"/>
          <w:sz w:val="28"/>
          <w:szCs w:val="28"/>
          <w:lang w:val="en-US"/>
        </w:rPr>
        <w:t xml:space="preserve"> gemelli </w:t>
      </w:r>
      <w:r w:rsidRPr="00F871E3">
        <w:rPr>
          <w:rFonts w:ascii="Arial" w:hAnsi="Arial" w:cs="Arial"/>
          <w:sz w:val="28"/>
          <w:szCs w:val="28"/>
          <w:lang w:val="en-US"/>
        </w:rPr>
        <w:t xml:space="preserve">are preserved, </w:t>
      </w:r>
      <w:r w:rsidR="008409E9">
        <w:rPr>
          <w:rFonts w:ascii="Arial" w:hAnsi="Arial" w:cs="Arial"/>
          <w:sz w:val="28"/>
          <w:szCs w:val="28"/>
          <w:lang w:val="en-US"/>
        </w:rPr>
        <w:t>performing only the</w:t>
      </w:r>
      <w:r w:rsidRPr="00F871E3">
        <w:rPr>
          <w:rFonts w:ascii="Arial" w:hAnsi="Arial" w:cs="Arial"/>
          <w:sz w:val="28"/>
          <w:szCs w:val="28"/>
          <w:lang w:val="en-US"/>
        </w:rPr>
        <w:t xml:space="preserve"> disinsertion of the obturator externus</w:t>
      </w:r>
      <w:r w:rsidR="00B30ECD">
        <w:rPr>
          <w:rFonts w:ascii="Arial" w:hAnsi="Arial" w:cs="Arial"/>
          <w:sz w:val="28"/>
          <w:szCs w:val="28"/>
          <w:lang w:val="en-US"/>
        </w:rPr>
        <w:t xml:space="preserve"> tendon</w:t>
      </w:r>
      <w:r w:rsidRPr="00F871E3">
        <w:rPr>
          <w:rFonts w:ascii="Arial" w:hAnsi="Arial" w:cs="Arial"/>
          <w:sz w:val="28"/>
          <w:szCs w:val="28"/>
          <w:lang w:val="en-US"/>
        </w:rPr>
        <w:t xml:space="preserve"> and the quadratus femoris muscle</w:t>
      </w:r>
      <w:r w:rsidR="008409E9">
        <w:rPr>
          <w:rFonts w:ascii="Arial" w:hAnsi="Arial" w:cs="Arial"/>
          <w:sz w:val="28"/>
          <w:szCs w:val="28"/>
          <w:lang w:val="en-US"/>
        </w:rPr>
        <w:t xml:space="preserve"> </w:t>
      </w:r>
      <w:r w:rsidRPr="00F871E3">
        <w:rPr>
          <w:rFonts w:ascii="Arial" w:hAnsi="Arial" w:cs="Arial"/>
          <w:sz w:val="28"/>
          <w:szCs w:val="28"/>
          <w:lang w:val="en-US"/>
        </w:rPr>
        <w:t xml:space="preserve">(11). The name given to this </w:t>
      </w:r>
      <w:r w:rsidR="008409E9">
        <w:rPr>
          <w:rFonts w:ascii="Arial" w:hAnsi="Arial" w:cs="Arial"/>
          <w:sz w:val="28"/>
          <w:szCs w:val="28"/>
          <w:lang w:val="en-US"/>
        </w:rPr>
        <w:t xml:space="preserve">new </w:t>
      </w:r>
      <w:r w:rsidR="00B30ECD">
        <w:rPr>
          <w:rFonts w:ascii="Arial" w:hAnsi="Arial" w:cs="Arial"/>
          <w:sz w:val="28"/>
          <w:szCs w:val="28"/>
          <w:lang w:val="en-US"/>
        </w:rPr>
        <w:t xml:space="preserve">adapted posterior </w:t>
      </w:r>
      <w:r w:rsidR="008409E9">
        <w:rPr>
          <w:rFonts w:ascii="Arial" w:hAnsi="Arial" w:cs="Arial"/>
          <w:sz w:val="28"/>
          <w:szCs w:val="28"/>
          <w:lang w:val="en-US"/>
        </w:rPr>
        <w:t>approach</w:t>
      </w:r>
      <w:r w:rsidRPr="00F871E3">
        <w:rPr>
          <w:rFonts w:ascii="Arial" w:hAnsi="Arial" w:cs="Arial"/>
          <w:sz w:val="28"/>
          <w:szCs w:val="28"/>
          <w:lang w:val="en-US"/>
        </w:rPr>
        <w:t xml:space="preserve"> is SPAIRE</w:t>
      </w:r>
      <w:r w:rsidR="008409E9">
        <w:rPr>
          <w:rFonts w:ascii="Arial" w:hAnsi="Arial" w:cs="Arial"/>
          <w:sz w:val="28"/>
          <w:szCs w:val="28"/>
          <w:lang w:val="en-US"/>
        </w:rPr>
        <w:t xml:space="preserve">, </w:t>
      </w:r>
      <w:r w:rsidRPr="00F871E3">
        <w:rPr>
          <w:rFonts w:ascii="Arial" w:hAnsi="Arial" w:cs="Arial"/>
          <w:sz w:val="28"/>
          <w:szCs w:val="28"/>
          <w:lang w:val="en-US"/>
        </w:rPr>
        <w:t>whic</w:t>
      </w:r>
      <w:r w:rsidR="008409E9">
        <w:rPr>
          <w:rFonts w:ascii="Arial" w:hAnsi="Arial" w:cs="Arial"/>
          <w:sz w:val="28"/>
          <w:szCs w:val="28"/>
          <w:lang w:val="en-US"/>
        </w:rPr>
        <w:t xml:space="preserve">h </w:t>
      </w:r>
      <w:r w:rsidRPr="00F871E3">
        <w:rPr>
          <w:rFonts w:ascii="Arial" w:hAnsi="Arial" w:cs="Arial"/>
          <w:sz w:val="28"/>
          <w:szCs w:val="28"/>
          <w:lang w:val="en-US"/>
        </w:rPr>
        <w:t xml:space="preserve">is an acronym for </w:t>
      </w:r>
      <w:r w:rsidR="008B27A5">
        <w:rPr>
          <w:rFonts w:ascii="Arial" w:hAnsi="Arial" w:cs="Arial"/>
          <w:sz w:val="28"/>
          <w:szCs w:val="28"/>
          <w:lang w:val="en-US"/>
        </w:rPr>
        <w:t xml:space="preserve">the </w:t>
      </w:r>
      <w:r w:rsidRPr="00F871E3">
        <w:rPr>
          <w:rFonts w:ascii="Arial" w:hAnsi="Arial" w:cs="Arial"/>
          <w:sz w:val="28"/>
          <w:szCs w:val="28"/>
          <w:lang w:val="en-US"/>
        </w:rPr>
        <w:t xml:space="preserve">preserved and </w:t>
      </w:r>
      <w:r w:rsidR="008B27A5">
        <w:rPr>
          <w:rFonts w:ascii="Arial" w:hAnsi="Arial" w:cs="Arial"/>
          <w:sz w:val="28"/>
          <w:szCs w:val="28"/>
          <w:lang w:val="en-US"/>
        </w:rPr>
        <w:t>detached</w:t>
      </w:r>
      <w:r w:rsidRPr="00F871E3">
        <w:rPr>
          <w:rFonts w:ascii="Arial" w:hAnsi="Arial" w:cs="Arial"/>
          <w:sz w:val="28"/>
          <w:szCs w:val="28"/>
          <w:lang w:val="en-US"/>
        </w:rPr>
        <w:t xml:space="preserve"> tendons (SPAIRE - Save Piriformis </w:t>
      </w:r>
      <w:r w:rsidR="008B27A5">
        <w:rPr>
          <w:rFonts w:ascii="Arial" w:hAnsi="Arial" w:cs="Arial"/>
          <w:sz w:val="28"/>
          <w:szCs w:val="28"/>
          <w:lang w:val="en-US"/>
        </w:rPr>
        <w:t>a</w:t>
      </w:r>
      <w:r w:rsidRPr="00F871E3">
        <w:rPr>
          <w:rFonts w:ascii="Arial" w:hAnsi="Arial" w:cs="Arial"/>
          <w:sz w:val="28"/>
          <w:szCs w:val="28"/>
          <w:lang w:val="en-US"/>
        </w:rPr>
        <w:t xml:space="preserve">nd Internus, Repair Externus). It is believed that the preservation of these tendons is related to increased stability of the prosthesis and </w:t>
      </w:r>
      <w:r w:rsidR="008409E9">
        <w:rPr>
          <w:rFonts w:ascii="Arial" w:hAnsi="Arial" w:cs="Arial"/>
          <w:sz w:val="28"/>
          <w:szCs w:val="28"/>
          <w:lang w:val="en-US"/>
        </w:rPr>
        <w:t xml:space="preserve">improved </w:t>
      </w:r>
      <w:r w:rsidRPr="00F871E3">
        <w:rPr>
          <w:rFonts w:ascii="Arial" w:hAnsi="Arial" w:cs="Arial"/>
          <w:sz w:val="28"/>
          <w:szCs w:val="28"/>
          <w:lang w:val="en-US"/>
        </w:rPr>
        <w:t>functional gain.</w:t>
      </w:r>
    </w:p>
    <w:p w14:paraId="4B3DD0A9" w14:textId="57CB8FF9" w:rsidR="00F871E3" w:rsidRPr="00F871E3" w:rsidRDefault="00F871E3" w:rsidP="008409E9">
      <w:pPr>
        <w:spacing w:line="360" w:lineRule="auto"/>
        <w:ind w:firstLine="708"/>
        <w:jc w:val="both"/>
        <w:rPr>
          <w:rFonts w:ascii="Arial" w:hAnsi="Arial" w:cs="Arial"/>
          <w:sz w:val="28"/>
          <w:szCs w:val="28"/>
          <w:lang w:val="en-US"/>
        </w:rPr>
      </w:pPr>
      <w:r w:rsidRPr="00F871E3">
        <w:rPr>
          <w:rFonts w:ascii="Arial" w:hAnsi="Arial" w:cs="Arial"/>
          <w:sz w:val="28"/>
          <w:szCs w:val="28"/>
          <w:lang w:val="en-US"/>
        </w:rPr>
        <w:t>One of the biggest criticisms of surgical approaches that try to be less invasive avoid</w:t>
      </w:r>
      <w:r w:rsidR="00B30ECD">
        <w:rPr>
          <w:rFonts w:ascii="Arial" w:hAnsi="Arial" w:cs="Arial"/>
          <w:sz w:val="28"/>
          <w:szCs w:val="28"/>
          <w:lang w:val="en-US"/>
        </w:rPr>
        <w:t>ing</w:t>
      </w:r>
      <w:r w:rsidRPr="00F871E3">
        <w:rPr>
          <w:rFonts w:ascii="Arial" w:hAnsi="Arial" w:cs="Arial"/>
          <w:sz w:val="28"/>
          <w:szCs w:val="28"/>
          <w:lang w:val="en-US"/>
        </w:rPr>
        <w:t xml:space="preserve"> tendon and muscle disinsertion is the difficulty in achieving good exposure, resulting in </w:t>
      </w:r>
      <w:r w:rsidR="00B30ECD">
        <w:rPr>
          <w:rFonts w:ascii="Arial" w:hAnsi="Arial" w:cs="Arial"/>
          <w:sz w:val="28"/>
          <w:szCs w:val="28"/>
          <w:lang w:val="en-US"/>
        </w:rPr>
        <w:t>inappropriate</w:t>
      </w:r>
      <w:r w:rsidRPr="00F871E3">
        <w:rPr>
          <w:rFonts w:ascii="Arial" w:hAnsi="Arial" w:cs="Arial"/>
          <w:sz w:val="28"/>
          <w:szCs w:val="28"/>
          <w:lang w:val="en-US"/>
        </w:rPr>
        <w:t xml:space="preserve"> positioning of the </w:t>
      </w:r>
      <w:r w:rsidR="00B30ECD">
        <w:rPr>
          <w:rFonts w:ascii="Arial" w:hAnsi="Arial" w:cs="Arial"/>
          <w:sz w:val="28"/>
          <w:szCs w:val="28"/>
          <w:lang w:val="en-US"/>
        </w:rPr>
        <w:t xml:space="preserve">prosthesis </w:t>
      </w:r>
      <w:r w:rsidRPr="00F871E3">
        <w:rPr>
          <w:rFonts w:ascii="Arial" w:hAnsi="Arial" w:cs="Arial"/>
          <w:sz w:val="28"/>
          <w:szCs w:val="28"/>
          <w:lang w:val="en-US"/>
        </w:rPr>
        <w:t>components and a greater risk of complications</w:t>
      </w:r>
      <w:r w:rsidR="008409E9">
        <w:rPr>
          <w:rFonts w:ascii="Arial" w:hAnsi="Arial" w:cs="Arial"/>
          <w:sz w:val="28"/>
          <w:szCs w:val="28"/>
          <w:lang w:val="en-US"/>
        </w:rPr>
        <w:t xml:space="preserve"> </w:t>
      </w:r>
      <w:r w:rsidRPr="00F871E3">
        <w:rPr>
          <w:rFonts w:ascii="Arial" w:hAnsi="Arial" w:cs="Arial"/>
          <w:sz w:val="28"/>
          <w:szCs w:val="28"/>
          <w:lang w:val="en-US"/>
        </w:rPr>
        <w:t>(12).</w:t>
      </w:r>
    </w:p>
    <w:p w14:paraId="1D7ABF8F" w14:textId="437C3407" w:rsidR="00F871E3" w:rsidRPr="00F871E3" w:rsidRDefault="00F871E3" w:rsidP="00B30ECD">
      <w:pPr>
        <w:spacing w:line="360" w:lineRule="auto"/>
        <w:ind w:firstLine="708"/>
        <w:jc w:val="both"/>
        <w:rPr>
          <w:rFonts w:ascii="Arial" w:hAnsi="Arial" w:cs="Arial"/>
          <w:sz w:val="28"/>
          <w:szCs w:val="28"/>
          <w:lang w:val="en-US"/>
        </w:rPr>
      </w:pPr>
      <w:r w:rsidRPr="00F871E3">
        <w:rPr>
          <w:rFonts w:ascii="Arial" w:hAnsi="Arial" w:cs="Arial"/>
          <w:sz w:val="28"/>
          <w:szCs w:val="28"/>
          <w:lang w:val="en-US"/>
        </w:rPr>
        <w:t xml:space="preserve">Since the classic </w:t>
      </w:r>
      <w:r w:rsidR="00B30ECD">
        <w:rPr>
          <w:rFonts w:ascii="Arial" w:hAnsi="Arial" w:cs="Arial"/>
          <w:sz w:val="28"/>
          <w:szCs w:val="28"/>
          <w:lang w:val="en-US"/>
        </w:rPr>
        <w:t>paper published</w:t>
      </w:r>
      <w:r w:rsidRPr="00F871E3">
        <w:rPr>
          <w:rFonts w:ascii="Arial" w:hAnsi="Arial" w:cs="Arial"/>
          <w:sz w:val="28"/>
          <w:szCs w:val="28"/>
          <w:lang w:val="en-US"/>
        </w:rPr>
        <w:t xml:space="preserve"> by </w:t>
      </w:r>
      <w:proofErr w:type="spellStart"/>
      <w:r w:rsidRPr="00F871E3">
        <w:rPr>
          <w:rFonts w:ascii="Arial" w:hAnsi="Arial" w:cs="Arial"/>
          <w:sz w:val="28"/>
          <w:szCs w:val="28"/>
          <w:lang w:val="en-US"/>
        </w:rPr>
        <w:t>Lewinnek</w:t>
      </w:r>
      <w:proofErr w:type="spellEnd"/>
      <w:r w:rsidR="008409E9">
        <w:rPr>
          <w:rFonts w:ascii="Arial" w:hAnsi="Arial" w:cs="Arial"/>
          <w:sz w:val="28"/>
          <w:szCs w:val="28"/>
          <w:lang w:val="en-US"/>
        </w:rPr>
        <w:t xml:space="preserve"> </w:t>
      </w:r>
      <w:r w:rsidRPr="00F871E3">
        <w:rPr>
          <w:rFonts w:ascii="Arial" w:hAnsi="Arial" w:cs="Arial"/>
          <w:sz w:val="28"/>
          <w:szCs w:val="28"/>
          <w:lang w:val="en-US"/>
        </w:rPr>
        <w:t xml:space="preserve">(13), which defined a safety zone for acetabular positioning, there has been much discussion regarding the best positioning of the acetabular cup to avoid </w:t>
      </w:r>
      <w:r w:rsidR="008409E9" w:rsidRPr="00F871E3">
        <w:rPr>
          <w:rFonts w:ascii="Arial" w:hAnsi="Arial" w:cs="Arial"/>
          <w:sz w:val="28"/>
          <w:szCs w:val="28"/>
          <w:lang w:val="en-US"/>
        </w:rPr>
        <w:t>dislocations (</w:t>
      </w:r>
      <w:r w:rsidRPr="00F871E3">
        <w:rPr>
          <w:rFonts w:ascii="Arial" w:hAnsi="Arial" w:cs="Arial"/>
          <w:sz w:val="28"/>
          <w:szCs w:val="28"/>
          <w:lang w:val="en-US"/>
        </w:rPr>
        <w:t xml:space="preserve">14–16). Regardless of the controversies </w:t>
      </w:r>
      <w:r w:rsidR="008B27A5">
        <w:rPr>
          <w:rFonts w:ascii="Arial" w:hAnsi="Arial" w:cs="Arial"/>
          <w:sz w:val="28"/>
          <w:szCs w:val="28"/>
          <w:lang w:val="en-US"/>
        </w:rPr>
        <w:t>about</w:t>
      </w:r>
      <w:r w:rsidRPr="00F871E3">
        <w:rPr>
          <w:rFonts w:ascii="Arial" w:hAnsi="Arial" w:cs="Arial"/>
          <w:sz w:val="28"/>
          <w:szCs w:val="28"/>
          <w:lang w:val="en-US"/>
        </w:rPr>
        <w:t xml:space="preserve"> the ideal </w:t>
      </w:r>
      <w:r w:rsidR="008B27A5">
        <w:rPr>
          <w:rFonts w:ascii="Arial" w:hAnsi="Arial" w:cs="Arial"/>
          <w:sz w:val="28"/>
          <w:szCs w:val="28"/>
          <w:lang w:val="en-US"/>
        </w:rPr>
        <w:t xml:space="preserve">safe </w:t>
      </w:r>
      <w:r w:rsidRPr="00F871E3">
        <w:rPr>
          <w:rFonts w:ascii="Arial" w:hAnsi="Arial" w:cs="Arial"/>
          <w:sz w:val="28"/>
          <w:szCs w:val="28"/>
          <w:lang w:val="en-US"/>
        </w:rPr>
        <w:t xml:space="preserve">zone, we know that adequate positioning is essential to avoid complications such as instability, </w:t>
      </w:r>
      <w:r w:rsidR="008409E9">
        <w:rPr>
          <w:rFonts w:ascii="Arial" w:hAnsi="Arial" w:cs="Arial"/>
          <w:sz w:val="28"/>
          <w:szCs w:val="28"/>
          <w:lang w:val="en-US"/>
        </w:rPr>
        <w:t>higher</w:t>
      </w:r>
      <w:r w:rsidRPr="00F871E3">
        <w:rPr>
          <w:rFonts w:ascii="Arial" w:hAnsi="Arial" w:cs="Arial"/>
          <w:sz w:val="28"/>
          <w:szCs w:val="28"/>
          <w:lang w:val="en-US"/>
        </w:rPr>
        <w:t xml:space="preserve"> wear of </w:t>
      </w:r>
      <w:r w:rsidR="008409E9">
        <w:rPr>
          <w:rFonts w:ascii="Arial" w:hAnsi="Arial" w:cs="Arial"/>
          <w:sz w:val="28"/>
          <w:szCs w:val="28"/>
          <w:lang w:val="en-US"/>
        </w:rPr>
        <w:t xml:space="preserve">the </w:t>
      </w:r>
      <w:r w:rsidRPr="00F871E3">
        <w:rPr>
          <w:rFonts w:ascii="Arial" w:hAnsi="Arial" w:cs="Arial"/>
          <w:sz w:val="28"/>
          <w:szCs w:val="28"/>
          <w:lang w:val="en-US"/>
        </w:rPr>
        <w:t>polyethylene and fractures of ceramic inserts</w:t>
      </w:r>
      <w:r w:rsidR="008409E9">
        <w:rPr>
          <w:rFonts w:ascii="Arial" w:hAnsi="Arial" w:cs="Arial"/>
          <w:sz w:val="28"/>
          <w:szCs w:val="28"/>
          <w:lang w:val="en-US"/>
        </w:rPr>
        <w:t xml:space="preserve"> </w:t>
      </w:r>
      <w:r w:rsidRPr="00F871E3">
        <w:rPr>
          <w:rFonts w:ascii="Arial" w:hAnsi="Arial" w:cs="Arial"/>
          <w:sz w:val="28"/>
          <w:szCs w:val="28"/>
          <w:lang w:val="en-US"/>
        </w:rPr>
        <w:t>(15,17).</w:t>
      </w:r>
    </w:p>
    <w:p w14:paraId="09139477" w14:textId="771276A8" w:rsidR="00F871E3" w:rsidRPr="00F871E3" w:rsidRDefault="00F871E3" w:rsidP="008409E9">
      <w:pPr>
        <w:spacing w:line="360" w:lineRule="auto"/>
        <w:ind w:firstLine="708"/>
        <w:jc w:val="both"/>
        <w:rPr>
          <w:rFonts w:ascii="Arial" w:hAnsi="Arial" w:cs="Arial"/>
          <w:sz w:val="28"/>
          <w:szCs w:val="28"/>
          <w:lang w:val="en-US"/>
        </w:rPr>
      </w:pPr>
      <w:r w:rsidRPr="00F871E3">
        <w:rPr>
          <w:rFonts w:ascii="Arial" w:hAnsi="Arial" w:cs="Arial"/>
          <w:sz w:val="28"/>
          <w:szCs w:val="28"/>
          <w:lang w:val="en-US"/>
        </w:rPr>
        <w:lastRenderedPageBreak/>
        <w:t>The most accurate way to calculate acetabular positioning (</w:t>
      </w:r>
      <w:r w:rsidR="00B30ECD">
        <w:rPr>
          <w:rFonts w:ascii="Arial" w:hAnsi="Arial" w:cs="Arial"/>
          <w:sz w:val="28"/>
          <w:szCs w:val="28"/>
          <w:lang w:val="en-US"/>
        </w:rPr>
        <w:t>inclination</w:t>
      </w:r>
      <w:r w:rsidRPr="00F871E3">
        <w:rPr>
          <w:rFonts w:ascii="Arial" w:hAnsi="Arial" w:cs="Arial"/>
          <w:sz w:val="28"/>
          <w:szCs w:val="28"/>
          <w:lang w:val="en-US"/>
        </w:rPr>
        <w:t xml:space="preserve"> and anteversion) is through computed tomography, which can remove </w:t>
      </w:r>
      <w:r w:rsidR="008409E9">
        <w:rPr>
          <w:rFonts w:ascii="Arial" w:hAnsi="Arial" w:cs="Arial"/>
          <w:sz w:val="28"/>
          <w:szCs w:val="28"/>
          <w:lang w:val="en-US"/>
        </w:rPr>
        <w:t>biases</w:t>
      </w:r>
      <w:r w:rsidRPr="00F871E3">
        <w:rPr>
          <w:rFonts w:ascii="Arial" w:hAnsi="Arial" w:cs="Arial"/>
          <w:sz w:val="28"/>
          <w:szCs w:val="28"/>
          <w:lang w:val="en-US"/>
        </w:rPr>
        <w:t xml:space="preserve"> </w:t>
      </w:r>
      <w:r w:rsidR="008409E9">
        <w:rPr>
          <w:rFonts w:ascii="Arial" w:hAnsi="Arial" w:cs="Arial"/>
          <w:sz w:val="28"/>
          <w:szCs w:val="28"/>
          <w:lang w:val="en-US"/>
        </w:rPr>
        <w:t>in the</w:t>
      </w:r>
      <w:r w:rsidRPr="00F871E3">
        <w:rPr>
          <w:rFonts w:ascii="Arial" w:hAnsi="Arial" w:cs="Arial"/>
          <w:sz w:val="28"/>
          <w:szCs w:val="28"/>
          <w:lang w:val="en-US"/>
        </w:rPr>
        <w:t xml:space="preserve"> positioning of the pelvis in space and inaccuracies </w:t>
      </w:r>
      <w:r w:rsidR="008409E9">
        <w:rPr>
          <w:rFonts w:ascii="Arial" w:hAnsi="Arial" w:cs="Arial"/>
          <w:sz w:val="28"/>
          <w:szCs w:val="28"/>
          <w:lang w:val="en-US"/>
        </w:rPr>
        <w:t>in</w:t>
      </w:r>
      <w:r w:rsidRPr="00F871E3">
        <w:rPr>
          <w:rFonts w:ascii="Arial" w:hAnsi="Arial" w:cs="Arial"/>
          <w:sz w:val="28"/>
          <w:szCs w:val="28"/>
          <w:lang w:val="en-US"/>
        </w:rPr>
        <w:t xml:space="preserve"> radiograph</w:t>
      </w:r>
      <w:r w:rsidR="008409E9">
        <w:rPr>
          <w:rFonts w:ascii="Arial" w:hAnsi="Arial" w:cs="Arial"/>
          <w:sz w:val="28"/>
          <w:szCs w:val="28"/>
          <w:lang w:val="en-US"/>
        </w:rPr>
        <w:t xml:space="preserve">ic measurements </w:t>
      </w:r>
      <w:r w:rsidRPr="00F871E3">
        <w:rPr>
          <w:rFonts w:ascii="Arial" w:hAnsi="Arial" w:cs="Arial"/>
          <w:sz w:val="28"/>
          <w:szCs w:val="28"/>
          <w:lang w:val="en-US"/>
        </w:rPr>
        <w:t>(18).</w:t>
      </w:r>
    </w:p>
    <w:p w14:paraId="68284EC1" w14:textId="4F333F98" w:rsidR="00450129" w:rsidRDefault="00F871E3" w:rsidP="009456F0">
      <w:pPr>
        <w:spacing w:line="360" w:lineRule="auto"/>
        <w:ind w:firstLine="708"/>
        <w:jc w:val="both"/>
        <w:rPr>
          <w:rFonts w:ascii="Arial" w:hAnsi="Arial" w:cs="Arial"/>
          <w:sz w:val="28"/>
          <w:szCs w:val="28"/>
          <w:lang w:val="en-US"/>
        </w:rPr>
      </w:pPr>
      <w:r w:rsidRPr="00F871E3">
        <w:rPr>
          <w:rFonts w:ascii="Arial" w:hAnsi="Arial" w:cs="Arial"/>
          <w:sz w:val="28"/>
          <w:szCs w:val="28"/>
          <w:lang w:val="en-US"/>
        </w:rPr>
        <w:t>To date, we are unaware of any work that evaluated the positioning of the acetabular component using computed tomography between the adapted posterior access (SPAIRE) and the conventional posterior access.</w:t>
      </w:r>
    </w:p>
    <w:p w14:paraId="5ACECC3A" w14:textId="77777777" w:rsidR="001F7B11" w:rsidRDefault="001F7B11" w:rsidP="009456F0">
      <w:pPr>
        <w:spacing w:line="360" w:lineRule="auto"/>
        <w:jc w:val="both"/>
        <w:rPr>
          <w:rFonts w:ascii="Arial" w:hAnsi="Arial" w:cs="Arial"/>
          <w:sz w:val="28"/>
          <w:szCs w:val="28"/>
          <w:lang w:val="en-US"/>
        </w:rPr>
      </w:pPr>
    </w:p>
    <w:p w14:paraId="7F720C91" w14:textId="53733FD4" w:rsidR="001F7B11" w:rsidRPr="009456F0" w:rsidRDefault="001F7B11" w:rsidP="009456F0">
      <w:pPr>
        <w:pStyle w:val="PargrafodaLista"/>
        <w:numPr>
          <w:ilvl w:val="0"/>
          <w:numId w:val="1"/>
        </w:numPr>
        <w:spacing w:line="360" w:lineRule="auto"/>
        <w:jc w:val="both"/>
        <w:rPr>
          <w:rFonts w:ascii="Arial" w:hAnsi="Arial" w:cs="Arial"/>
          <w:b/>
          <w:bCs/>
          <w:sz w:val="28"/>
          <w:szCs w:val="28"/>
          <w:lang w:val="en-US"/>
        </w:rPr>
      </w:pPr>
      <w:r w:rsidRPr="009456F0">
        <w:rPr>
          <w:rFonts w:ascii="Arial" w:hAnsi="Arial" w:cs="Arial"/>
          <w:b/>
          <w:bCs/>
          <w:sz w:val="28"/>
          <w:szCs w:val="28"/>
          <w:lang w:val="en-US"/>
        </w:rPr>
        <w:t>Objectives</w:t>
      </w:r>
    </w:p>
    <w:p w14:paraId="680620CB" w14:textId="77777777" w:rsidR="001F7B11" w:rsidRDefault="001F7B11" w:rsidP="009456F0">
      <w:pPr>
        <w:pStyle w:val="PargrafodaLista"/>
        <w:spacing w:line="360" w:lineRule="auto"/>
        <w:jc w:val="both"/>
        <w:rPr>
          <w:rFonts w:ascii="Arial" w:hAnsi="Arial" w:cs="Arial"/>
          <w:sz w:val="28"/>
          <w:szCs w:val="28"/>
          <w:lang w:val="en-US"/>
        </w:rPr>
      </w:pPr>
    </w:p>
    <w:p w14:paraId="30D3BAEE" w14:textId="77777777" w:rsidR="001F7B11" w:rsidRDefault="001F7B11" w:rsidP="009456F0">
      <w:pPr>
        <w:spacing w:line="360" w:lineRule="auto"/>
        <w:ind w:firstLine="360"/>
        <w:jc w:val="both"/>
        <w:rPr>
          <w:rFonts w:ascii="Arial" w:hAnsi="Arial" w:cs="Arial"/>
          <w:sz w:val="28"/>
          <w:szCs w:val="28"/>
          <w:lang w:val="en-US"/>
        </w:rPr>
      </w:pPr>
      <w:r w:rsidRPr="001F7B11">
        <w:rPr>
          <w:rFonts w:ascii="Arial" w:hAnsi="Arial" w:cs="Arial"/>
          <w:sz w:val="28"/>
          <w:szCs w:val="28"/>
          <w:lang w:val="en-US"/>
        </w:rPr>
        <w:t xml:space="preserve">The </w:t>
      </w:r>
      <w:r>
        <w:rPr>
          <w:rFonts w:ascii="Arial" w:hAnsi="Arial" w:cs="Arial"/>
          <w:sz w:val="28"/>
          <w:szCs w:val="28"/>
          <w:lang w:val="en-US"/>
        </w:rPr>
        <w:t>primarily</w:t>
      </w:r>
      <w:r w:rsidRPr="001F7B11">
        <w:rPr>
          <w:rFonts w:ascii="Arial" w:hAnsi="Arial" w:cs="Arial"/>
          <w:sz w:val="28"/>
          <w:szCs w:val="28"/>
          <w:lang w:val="en-US"/>
        </w:rPr>
        <w:t xml:space="preserve"> objective of th</w:t>
      </w:r>
      <w:r>
        <w:rPr>
          <w:rFonts w:ascii="Arial" w:hAnsi="Arial" w:cs="Arial"/>
          <w:sz w:val="28"/>
          <w:szCs w:val="28"/>
          <w:lang w:val="en-US"/>
        </w:rPr>
        <w:t>is</w:t>
      </w:r>
      <w:r w:rsidRPr="001F7B11">
        <w:rPr>
          <w:rFonts w:ascii="Arial" w:hAnsi="Arial" w:cs="Arial"/>
          <w:sz w:val="28"/>
          <w:szCs w:val="28"/>
          <w:lang w:val="en-US"/>
        </w:rPr>
        <w:t xml:space="preserve"> </w:t>
      </w:r>
      <w:r>
        <w:rPr>
          <w:rFonts w:ascii="Arial" w:hAnsi="Arial" w:cs="Arial"/>
          <w:sz w:val="28"/>
          <w:szCs w:val="28"/>
          <w:lang w:val="en-US"/>
        </w:rPr>
        <w:t>study</w:t>
      </w:r>
      <w:r w:rsidRPr="001F7B11">
        <w:rPr>
          <w:rFonts w:ascii="Arial" w:hAnsi="Arial" w:cs="Arial"/>
          <w:sz w:val="28"/>
          <w:szCs w:val="28"/>
          <w:lang w:val="en-US"/>
        </w:rPr>
        <w:t xml:space="preserve"> is to compare the positioning of the acetabular component between the conventional posterior access and the </w:t>
      </w:r>
      <w:r>
        <w:rPr>
          <w:rFonts w:ascii="Arial" w:hAnsi="Arial" w:cs="Arial"/>
          <w:sz w:val="28"/>
          <w:szCs w:val="28"/>
          <w:lang w:val="en-US"/>
        </w:rPr>
        <w:t>SPAIRE approach</w:t>
      </w:r>
      <w:r w:rsidRPr="001F7B11">
        <w:rPr>
          <w:rFonts w:ascii="Arial" w:hAnsi="Arial" w:cs="Arial"/>
          <w:sz w:val="28"/>
          <w:szCs w:val="28"/>
          <w:lang w:val="en-US"/>
        </w:rPr>
        <w:t xml:space="preserve"> using computed tomography.</w:t>
      </w:r>
    </w:p>
    <w:p w14:paraId="44E5359D" w14:textId="2CA699D4" w:rsidR="001F7B11" w:rsidRDefault="001F7B11" w:rsidP="009456F0">
      <w:pPr>
        <w:spacing w:line="360" w:lineRule="auto"/>
        <w:ind w:firstLine="360"/>
        <w:jc w:val="both"/>
        <w:rPr>
          <w:rFonts w:ascii="Arial" w:hAnsi="Arial" w:cs="Arial"/>
          <w:sz w:val="28"/>
          <w:szCs w:val="28"/>
          <w:lang w:val="en-US"/>
        </w:rPr>
      </w:pPr>
      <w:r>
        <w:rPr>
          <w:rFonts w:ascii="Arial" w:hAnsi="Arial" w:cs="Arial"/>
          <w:sz w:val="28"/>
          <w:szCs w:val="28"/>
          <w:lang w:val="en-US"/>
        </w:rPr>
        <w:t>The secondary objectives are to c</w:t>
      </w:r>
      <w:r w:rsidRPr="001F7B11">
        <w:rPr>
          <w:rFonts w:ascii="Arial" w:hAnsi="Arial" w:cs="Arial"/>
          <w:sz w:val="28"/>
          <w:szCs w:val="28"/>
          <w:lang w:val="en-US"/>
        </w:rPr>
        <w:t xml:space="preserve">ompare the rates of clinical and orthopedic complications, surgical time, bleeding, </w:t>
      </w:r>
      <w:r w:rsidR="008B27A5">
        <w:rPr>
          <w:rFonts w:ascii="Arial" w:hAnsi="Arial" w:cs="Arial"/>
          <w:sz w:val="28"/>
          <w:szCs w:val="28"/>
          <w:lang w:val="en-US"/>
        </w:rPr>
        <w:t xml:space="preserve">postoperative </w:t>
      </w:r>
      <w:r w:rsidR="008B27A5" w:rsidRPr="001F7B11">
        <w:rPr>
          <w:rFonts w:ascii="Arial" w:hAnsi="Arial" w:cs="Arial"/>
          <w:sz w:val="28"/>
          <w:szCs w:val="28"/>
          <w:lang w:val="en-US"/>
        </w:rPr>
        <w:t>pain,</w:t>
      </w:r>
      <w:r w:rsidR="008B27A5">
        <w:rPr>
          <w:rFonts w:ascii="Arial" w:hAnsi="Arial" w:cs="Arial"/>
          <w:sz w:val="28"/>
          <w:szCs w:val="28"/>
          <w:lang w:val="en-US"/>
        </w:rPr>
        <w:t xml:space="preserve"> </w:t>
      </w:r>
      <w:r w:rsidRPr="001F7B11">
        <w:rPr>
          <w:rFonts w:ascii="Arial" w:hAnsi="Arial" w:cs="Arial"/>
          <w:sz w:val="28"/>
          <w:szCs w:val="28"/>
          <w:lang w:val="en-US"/>
        </w:rPr>
        <w:t xml:space="preserve">and </w:t>
      </w:r>
      <w:r w:rsidR="008B27A5">
        <w:rPr>
          <w:rFonts w:ascii="Arial" w:hAnsi="Arial" w:cs="Arial"/>
          <w:sz w:val="28"/>
          <w:szCs w:val="28"/>
          <w:lang w:val="en-US"/>
        </w:rPr>
        <w:t xml:space="preserve">patient </w:t>
      </w:r>
      <w:r w:rsidRPr="001F7B11">
        <w:rPr>
          <w:rFonts w:ascii="Arial" w:hAnsi="Arial" w:cs="Arial"/>
          <w:sz w:val="28"/>
          <w:szCs w:val="28"/>
          <w:lang w:val="en-US"/>
        </w:rPr>
        <w:t>function</w:t>
      </w:r>
      <w:r w:rsidR="008B27A5">
        <w:rPr>
          <w:rFonts w:ascii="Arial" w:hAnsi="Arial" w:cs="Arial"/>
          <w:sz w:val="28"/>
          <w:szCs w:val="28"/>
          <w:lang w:val="en-US"/>
        </w:rPr>
        <w:t xml:space="preserve"> </w:t>
      </w:r>
      <w:r w:rsidRPr="001F7B11">
        <w:rPr>
          <w:rFonts w:ascii="Arial" w:hAnsi="Arial" w:cs="Arial"/>
          <w:sz w:val="28"/>
          <w:szCs w:val="28"/>
          <w:lang w:val="en-US"/>
        </w:rPr>
        <w:t xml:space="preserve">between the two surgical </w:t>
      </w:r>
      <w:r w:rsidR="009456F0">
        <w:rPr>
          <w:rFonts w:ascii="Arial" w:hAnsi="Arial" w:cs="Arial"/>
          <w:sz w:val="28"/>
          <w:szCs w:val="28"/>
          <w:lang w:val="en-US"/>
        </w:rPr>
        <w:t>approaches.</w:t>
      </w:r>
    </w:p>
    <w:p w14:paraId="7D6B0DFA" w14:textId="77777777" w:rsidR="009456F0" w:rsidRDefault="009456F0" w:rsidP="009456F0">
      <w:pPr>
        <w:spacing w:line="360" w:lineRule="auto"/>
        <w:jc w:val="both"/>
        <w:rPr>
          <w:rFonts w:ascii="Arial" w:hAnsi="Arial" w:cs="Arial"/>
          <w:sz w:val="28"/>
          <w:szCs w:val="28"/>
          <w:lang w:val="en-US"/>
        </w:rPr>
      </w:pPr>
    </w:p>
    <w:p w14:paraId="2BA54B1B" w14:textId="7403DB3F" w:rsidR="009456F0" w:rsidRPr="009456F0" w:rsidRDefault="009456F0" w:rsidP="009456F0">
      <w:pPr>
        <w:pStyle w:val="PargrafodaLista"/>
        <w:numPr>
          <w:ilvl w:val="0"/>
          <w:numId w:val="1"/>
        </w:numPr>
        <w:spacing w:line="360" w:lineRule="auto"/>
        <w:jc w:val="both"/>
        <w:rPr>
          <w:rFonts w:ascii="Arial" w:hAnsi="Arial" w:cs="Arial"/>
          <w:b/>
          <w:bCs/>
          <w:sz w:val="28"/>
          <w:szCs w:val="28"/>
          <w:lang w:val="en-US"/>
        </w:rPr>
      </w:pPr>
      <w:r w:rsidRPr="009456F0">
        <w:rPr>
          <w:rFonts w:ascii="Arial" w:hAnsi="Arial" w:cs="Arial"/>
          <w:b/>
          <w:bCs/>
          <w:sz w:val="28"/>
          <w:szCs w:val="28"/>
          <w:lang w:val="en-US"/>
        </w:rPr>
        <w:t>Materials and Methods</w:t>
      </w:r>
    </w:p>
    <w:p w14:paraId="1C207F31" w14:textId="77777777" w:rsidR="009456F0" w:rsidRDefault="009456F0" w:rsidP="009456F0">
      <w:pPr>
        <w:spacing w:line="360" w:lineRule="auto"/>
        <w:jc w:val="both"/>
        <w:rPr>
          <w:rFonts w:ascii="Arial" w:hAnsi="Arial" w:cs="Arial"/>
          <w:sz w:val="28"/>
          <w:szCs w:val="28"/>
          <w:lang w:val="en-US"/>
        </w:rPr>
      </w:pPr>
    </w:p>
    <w:p w14:paraId="5104E3EE" w14:textId="2A5041AB" w:rsidR="009456F0" w:rsidRPr="009456F0" w:rsidRDefault="009456F0" w:rsidP="009456F0">
      <w:pPr>
        <w:spacing w:line="360" w:lineRule="auto"/>
        <w:ind w:firstLine="360"/>
        <w:jc w:val="both"/>
        <w:rPr>
          <w:rFonts w:ascii="Arial" w:hAnsi="Arial" w:cs="Arial"/>
          <w:sz w:val="28"/>
          <w:szCs w:val="28"/>
          <w:lang w:val="en-US"/>
        </w:rPr>
      </w:pPr>
      <w:r>
        <w:rPr>
          <w:rFonts w:ascii="Arial" w:hAnsi="Arial" w:cs="Arial"/>
          <w:sz w:val="28"/>
          <w:szCs w:val="28"/>
          <w:lang w:val="en-US"/>
        </w:rPr>
        <w:t xml:space="preserve">The research consists in a </w:t>
      </w:r>
      <w:r w:rsidRPr="009456F0">
        <w:rPr>
          <w:rFonts w:ascii="Arial" w:hAnsi="Arial" w:cs="Arial"/>
          <w:sz w:val="28"/>
          <w:szCs w:val="28"/>
          <w:lang w:val="en-US"/>
        </w:rPr>
        <w:t xml:space="preserve">randomized </w:t>
      </w:r>
      <w:r>
        <w:rPr>
          <w:rFonts w:ascii="Arial" w:hAnsi="Arial" w:cs="Arial"/>
          <w:sz w:val="28"/>
          <w:szCs w:val="28"/>
          <w:lang w:val="en-US"/>
        </w:rPr>
        <w:t xml:space="preserve">controlled </w:t>
      </w:r>
      <w:r w:rsidRPr="009456F0">
        <w:rPr>
          <w:rFonts w:ascii="Arial" w:hAnsi="Arial" w:cs="Arial"/>
          <w:sz w:val="28"/>
          <w:szCs w:val="28"/>
          <w:lang w:val="en-US"/>
        </w:rPr>
        <w:t xml:space="preserve">clinical study of patients undergoing total hip arthroplasty through the conventional posterior and </w:t>
      </w:r>
      <w:r>
        <w:rPr>
          <w:rFonts w:ascii="Arial" w:hAnsi="Arial" w:cs="Arial"/>
          <w:sz w:val="28"/>
          <w:szCs w:val="28"/>
          <w:lang w:val="en-US"/>
        </w:rPr>
        <w:t>SPAIRE</w:t>
      </w:r>
      <w:r w:rsidRPr="009456F0">
        <w:rPr>
          <w:rFonts w:ascii="Arial" w:hAnsi="Arial" w:cs="Arial"/>
          <w:sz w:val="28"/>
          <w:szCs w:val="28"/>
          <w:lang w:val="en-US"/>
        </w:rPr>
        <w:t xml:space="preserve"> approaches</w:t>
      </w:r>
      <w:r>
        <w:rPr>
          <w:rFonts w:ascii="Arial" w:hAnsi="Arial" w:cs="Arial"/>
          <w:sz w:val="28"/>
          <w:szCs w:val="28"/>
          <w:lang w:val="en-US"/>
        </w:rPr>
        <w:t>. The first fifth</w:t>
      </w:r>
      <w:r w:rsidRPr="009456F0">
        <w:rPr>
          <w:rFonts w:ascii="Arial" w:hAnsi="Arial" w:cs="Arial"/>
          <w:sz w:val="28"/>
          <w:szCs w:val="28"/>
          <w:lang w:val="en-US"/>
        </w:rPr>
        <w:t xml:space="preserve"> patients will be</w:t>
      </w:r>
      <w:r w:rsidR="008B27A5">
        <w:rPr>
          <w:rFonts w:ascii="Arial" w:hAnsi="Arial" w:cs="Arial"/>
          <w:sz w:val="28"/>
          <w:szCs w:val="28"/>
          <w:lang w:val="en-US"/>
        </w:rPr>
        <w:t xml:space="preserve"> </w:t>
      </w:r>
      <w:r>
        <w:rPr>
          <w:rFonts w:ascii="Arial" w:hAnsi="Arial" w:cs="Arial"/>
          <w:sz w:val="28"/>
          <w:szCs w:val="28"/>
          <w:lang w:val="en-US"/>
        </w:rPr>
        <w:t xml:space="preserve">selected from a waiting list for THA in our institution </w:t>
      </w:r>
      <w:r w:rsidRPr="009456F0">
        <w:rPr>
          <w:rFonts w:ascii="Arial" w:hAnsi="Arial" w:cs="Arial"/>
          <w:sz w:val="28"/>
          <w:szCs w:val="28"/>
          <w:lang w:val="en-US"/>
        </w:rPr>
        <w:t>(the sample</w:t>
      </w:r>
      <w:r>
        <w:rPr>
          <w:rFonts w:ascii="Arial" w:hAnsi="Arial" w:cs="Arial"/>
          <w:sz w:val="28"/>
          <w:szCs w:val="28"/>
          <w:lang w:val="en-US"/>
        </w:rPr>
        <w:t xml:space="preserve"> number</w:t>
      </w:r>
      <w:r w:rsidRPr="009456F0">
        <w:rPr>
          <w:rFonts w:ascii="Arial" w:hAnsi="Arial" w:cs="Arial"/>
          <w:sz w:val="28"/>
          <w:szCs w:val="28"/>
          <w:lang w:val="en-US"/>
        </w:rPr>
        <w:t xml:space="preserve"> calculation</w:t>
      </w:r>
      <w:r>
        <w:rPr>
          <w:rFonts w:ascii="Arial" w:hAnsi="Arial" w:cs="Arial"/>
          <w:sz w:val="28"/>
          <w:szCs w:val="28"/>
          <w:lang w:val="en-US"/>
        </w:rPr>
        <w:t xml:space="preserve"> was</w:t>
      </w:r>
      <w:r w:rsidRPr="009456F0">
        <w:rPr>
          <w:rFonts w:ascii="Arial" w:hAnsi="Arial" w:cs="Arial"/>
          <w:sz w:val="28"/>
          <w:szCs w:val="28"/>
          <w:lang w:val="en-US"/>
        </w:rPr>
        <w:t xml:space="preserve"> carried out based on the prediction of the outcome</w:t>
      </w:r>
      <w:r>
        <w:rPr>
          <w:rFonts w:ascii="Arial" w:hAnsi="Arial" w:cs="Arial"/>
          <w:sz w:val="28"/>
          <w:szCs w:val="28"/>
          <w:lang w:val="en-US"/>
        </w:rPr>
        <w:t xml:space="preserve"> “</w:t>
      </w:r>
      <w:r w:rsidRPr="009456F0">
        <w:rPr>
          <w:rFonts w:ascii="Arial" w:hAnsi="Arial" w:cs="Arial"/>
          <w:sz w:val="28"/>
          <w:szCs w:val="28"/>
          <w:lang w:val="en-US"/>
        </w:rPr>
        <w:t>acetabular component anteversion</w:t>
      </w:r>
      <w:r>
        <w:rPr>
          <w:rFonts w:ascii="Arial" w:hAnsi="Arial" w:cs="Arial"/>
          <w:sz w:val="28"/>
          <w:szCs w:val="28"/>
          <w:lang w:val="en-US"/>
        </w:rPr>
        <w:t>”</w:t>
      </w:r>
      <w:r w:rsidRPr="009456F0">
        <w:rPr>
          <w:rFonts w:ascii="Arial" w:hAnsi="Arial" w:cs="Arial"/>
          <w:sz w:val="28"/>
          <w:szCs w:val="28"/>
          <w:lang w:val="en-US"/>
        </w:rPr>
        <w:t xml:space="preserve"> of 15 degrees with a standard deviation of 5 degrees accepting an alpha error of 5% and test power of </w:t>
      </w:r>
      <w:r w:rsidR="008628B4" w:rsidRPr="009456F0">
        <w:rPr>
          <w:rFonts w:ascii="Arial" w:hAnsi="Arial" w:cs="Arial"/>
          <w:sz w:val="28"/>
          <w:szCs w:val="28"/>
          <w:lang w:val="en-US"/>
        </w:rPr>
        <w:t>80%</w:t>
      </w:r>
      <w:r w:rsidR="008628B4">
        <w:rPr>
          <w:rFonts w:ascii="Arial" w:hAnsi="Arial" w:cs="Arial"/>
          <w:sz w:val="28"/>
          <w:szCs w:val="28"/>
          <w:lang w:val="en-US"/>
        </w:rPr>
        <w:t xml:space="preserve"> and</w:t>
      </w:r>
      <w:r w:rsidRPr="009456F0">
        <w:rPr>
          <w:rFonts w:ascii="Arial" w:hAnsi="Arial" w:cs="Arial"/>
          <w:sz w:val="28"/>
          <w:szCs w:val="28"/>
          <w:lang w:val="en-US"/>
        </w:rPr>
        <w:t xml:space="preserve"> anticipating follow-up</w:t>
      </w:r>
      <w:r>
        <w:rPr>
          <w:rFonts w:ascii="Arial" w:hAnsi="Arial" w:cs="Arial"/>
          <w:sz w:val="28"/>
          <w:szCs w:val="28"/>
          <w:lang w:val="en-US"/>
        </w:rPr>
        <w:t xml:space="preserve"> losses</w:t>
      </w:r>
      <w:r w:rsidRPr="009456F0">
        <w:rPr>
          <w:rFonts w:ascii="Arial" w:hAnsi="Arial" w:cs="Arial"/>
          <w:sz w:val="28"/>
          <w:szCs w:val="28"/>
          <w:lang w:val="en-US"/>
        </w:rPr>
        <w:t xml:space="preserve"> and changes in the standard deviation prediction). Patients will be randomly allocated </w:t>
      </w:r>
      <w:r w:rsidRPr="009456F0">
        <w:rPr>
          <w:rFonts w:ascii="Arial" w:hAnsi="Arial" w:cs="Arial"/>
          <w:sz w:val="28"/>
          <w:szCs w:val="28"/>
          <w:lang w:val="en-US"/>
        </w:rPr>
        <w:lastRenderedPageBreak/>
        <w:t xml:space="preserve">into 2 groups: conventional posterior approach and modified posterior approach (SPAIRE). The </w:t>
      </w:r>
      <w:r w:rsidR="008628B4">
        <w:rPr>
          <w:rFonts w:ascii="Arial" w:hAnsi="Arial" w:cs="Arial"/>
          <w:sz w:val="28"/>
          <w:szCs w:val="28"/>
          <w:lang w:val="en-US"/>
        </w:rPr>
        <w:t>conventional</w:t>
      </w:r>
      <w:r w:rsidRPr="009456F0">
        <w:rPr>
          <w:rFonts w:ascii="Arial" w:hAnsi="Arial" w:cs="Arial"/>
          <w:sz w:val="28"/>
          <w:szCs w:val="28"/>
          <w:lang w:val="en-US"/>
        </w:rPr>
        <w:t xml:space="preserve"> posterior </w:t>
      </w:r>
      <w:r w:rsidR="008628B4">
        <w:rPr>
          <w:rFonts w:ascii="Arial" w:hAnsi="Arial" w:cs="Arial"/>
          <w:sz w:val="28"/>
          <w:szCs w:val="28"/>
          <w:lang w:val="en-US"/>
        </w:rPr>
        <w:t xml:space="preserve">approach </w:t>
      </w:r>
      <w:r w:rsidR="008B27A5">
        <w:rPr>
          <w:rFonts w:ascii="Arial" w:hAnsi="Arial" w:cs="Arial"/>
          <w:sz w:val="28"/>
          <w:szCs w:val="28"/>
          <w:lang w:val="en-US"/>
        </w:rPr>
        <w:t>was</w:t>
      </w:r>
      <w:r w:rsidRPr="009456F0">
        <w:rPr>
          <w:rFonts w:ascii="Arial" w:hAnsi="Arial" w:cs="Arial"/>
          <w:sz w:val="28"/>
          <w:szCs w:val="28"/>
          <w:lang w:val="en-US"/>
        </w:rPr>
        <w:t xml:space="preserve"> described </w:t>
      </w:r>
      <w:r w:rsidR="008628B4">
        <w:rPr>
          <w:rFonts w:ascii="Arial" w:hAnsi="Arial" w:cs="Arial"/>
          <w:sz w:val="28"/>
          <w:szCs w:val="28"/>
          <w:lang w:val="en-US"/>
        </w:rPr>
        <w:t xml:space="preserve">thoroughly </w:t>
      </w:r>
      <w:r w:rsidRPr="009456F0">
        <w:rPr>
          <w:rFonts w:ascii="Arial" w:hAnsi="Arial" w:cs="Arial"/>
          <w:sz w:val="28"/>
          <w:szCs w:val="28"/>
          <w:lang w:val="en-US"/>
        </w:rPr>
        <w:t xml:space="preserve">by </w:t>
      </w:r>
      <w:r w:rsidR="008628B4" w:rsidRPr="009456F0">
        <w:rPr>
          <w:rFonts w:ascii="Arial" w:hAnsi="Arial" w:cs="Arial"/>
          <w:sz w:val="28"/>
          <w:szCs w:val="28"/>
          <w:lang w:val="en-US"/>
        </w:rPr>
        <w:t>Moore (</w:t>
      </w:r>
      <w:r w:rsidRPr="009456F0">
        <w:rPr>
          <w:rFonts w:ascii="Arial" w:hAnsi="Arial" w:cs="Arial"/>
          <w:sz w:val="28"/>
          <w:szCs w:val="28"/>
          <w:lang w:val="en-US"/>
        </w:rPr>
        <w:t xml:space="preserve">6) and the </w:t>
      </w:r>
      <w:r w:rsidR="008628B4">
        <w:rPr>
          <w:rFonts w:ascii="Arial" w:hAnsi="Arial" w:cs="Arial"/>
          <w:sz w:val="28"/>
          <w:szCs w:val="28"/>
          <w:lang w:val="en-US"/>
        </w:rPr>
        <w:t>SPAIRE</w:t>
      </w:r>
      <w:r w:rsidRPr="009456F0">
        <w:rPr>
          <w:rFonts w:ascii="Arial" w:hAnsi="Arial" w:cs="Arial"/>
          <w:sz w:val="28"/>
          <w:szCs w:val="28"/>
          <w:lang w:val="en-US"/>
        </w:rPr>
        <w:t xml:space="preserve"> </w:t>
      </w:r>
      <w:r w:rsidR="008B27A5">
        <w:rPr>
          <w:rFonts w:ascii="Arial" w:hAnsi="Arial" w:cs="Arial"/>
          <w:sz w:val="28"/>
          <w:szCs w:val="28"/>
          <w:lang w:val="en-US"/>
        </w:rPr>
        <w:t xml:space="preserve">was </w:t>
      </w:r>
      <w:r w:rsidRPr="009456F0">
        <w:rPr>
          <w:rFonts w:ascii="Arial" w:hAnsi="Arial" w:cs="Arial"/>
          <w:sz w:val="28"/>
          <w:szCs w:val="28"/>
          <w:lang w:val="en-US"/>
        </w:rPr>
        <w:t xml:space="preserve">described by the Exeter </w:t>
      </w:r>
      <w:r w:rsidR="008628B4">
        <w:rPr>
          <w:rFonts w:ascii="Arial" w:hAnsi="Arial" w:cs="Arial"/>
          <w:sz w:val="28"/>
          <w:szCs w:val="28"/>
          <w:lang w:val="en-US"/>
        </w:rPr>
        <w:t>group</w:t>
      </w:r>
      <w:r w:rsidRPr="009456F0">
        <w:rPr>
          <w:rFonts w:ascii="Arial" w:hAnsi="Arial" w:cs="Arial"/>
          <w:sz w:val="28"/>
          <w:szCs w:val="28"/>
          <w:lang w:val="en-US"/>
        </w:rPr>
        <w:t xml:space="preserve"> in 2017</w:t>
      </w:r>
      <w:r w:rsidR="008B27A5">
        <w:rPr>
          <w:rFonts w:ascii="Arial" w:hAnsi="Arial" w:cs="Arial"/>
          <w:sz w:val="28"/>
          <w:szCs w:val="28"/>
          <w:lang w:val="en-US"/>
        </w:rPr>
        <w:t xml:space="preserve"> </w:t>
      </w:r>
      <w:r w:rsidRPr="009456F0">
        <w:rPr>
          <w:rFonts w:ascii="Arial" w:hAnsi="Arial" w:cs="Arial"/>
          <w:sz w:val="28"/>
          <w:szCs w:val="28"/>
          <w:lang w:val="en-US"/>
        </w:rPr>
        <w:t>(11). It will not be necessary to use any special material when carrying out these procedures. All procedures will be operated by the same surgeon with the same prosthesis</w:t>
      </w:r>
      <w:r w:rsidR="008628B4">
        <w:rPr>
          <w:rFonts w:ascii="Arial" w:hAnsi="Arial" w:cs="Arial"/>
          <w:sz w:val="28"/>
          <w:szCs w:val="28"/>
          <w:lang w:val="en-US"/>
        </w:rPr>
        <w:t>.</w:t>
      </w:r>
    </w:p>
    <w:p w14:paraId="43A8F42F" w14:textId="7FAB0341" w:rsidR="009456F0" w:rsidRPr="009456F0" w:rsidRDefault="009456F0" w:rsidP="008628B4">
      <w:pPr>
        <w:spacing w:line="360" w:lineRule="auto"/>
        <w:ind w:firstLine="360"/>
        <w:jc w:val="both"/>
        <w:rPr>
          <w:rFonts w:ascii="Arial" w:hAnsi="Arial" w:cs="Arial"/>
          <w:sz w:val="28"/>
          <w:szCs w:val="28"/>
          <w:lang w:val="en-US"/>
        </w:rPr>
      </w:pPr>
      <w:r w:rsidRPr="009456F0">
        <w:rPr>
          <w:rFonts w:ascii="Arial" w:hAnsi="Arial" w:cs="Arial"/>
          <w:sz w:val="28"/>
          <w:szCs w:val="28"/>
          <w:lang w:val="en-US"/>
        </w:rPr>
        <w:t>Hip tomography scans will be performed during hospitalization in the post-operative period at IOT - HCFMUSP. The images will be captured by the tomography device using the "multislice" technique, in which the tomography tube rotates and captures multiple simultaneous images while the table also moves. Axial sections with a thickness of 0.6mm will be obtained, with 50% overlap between them, allowing a detailed multiplanar reconstruction in the three orthogonal axes - coronal, axial and sagittal. The images will be reconstructed considering the coronal plane as a reference to the anterior pelvic plane (</w:t>
      </w:r>
      <w:r w:rsidR="008628B4">
        <w:rPr>
          <w:rFonts w:ascii="Arial" w:hAnsi="Arial" w:cs="Arial"/>
          <w:sz w:val="28"/>
          <w:szCs w:val="28"/>
          <w:lang w:val="en-US"/>
        </w:rPr>
        <w:t>A</w:t>
      </w:r>
      <w:r w:rsidRPr="009456F0">
        <w:rPr>
          <w:rFonts w:ascii="Arial" w:hAnsi="Arial" w:cs="Arial"/>
          <w:sz w:val="28"/>
          <w:szCs w:val="28"/>
          <w:lang w:val="en-US"/>
        </w:rPr>
        <w:t>P</w:t>
      </w:r>
      <w:r w:rsidR="008628B4">
        <w:rPr>
          <w:rFonts w:ascii="Arial" w:hAnsi="Arial" w:cs="Arial"/>
          <w:sz w:val="28"/>
          <w:szCs w:val="28"/>
          <w:lang w:val="en-US"/>
        </w:rPr>
        <w:t>P</w:t>
      </w:r>
      <w:r w:rsidRPr="009456F0">
        <w:rPr>
          <w:rFonts w:ascii="Arial" w:hAnsi="Arial" w:cs="Arial"/>
          <w:sz w:val="28"/>
          <w:szCs w:val="28"/>
          <w:lang w:val="en-US"/>
        </w:rPr>
        <w:t xml:space="preserve">), formed by the two anterior superior iliac spines and the two pubic tubercles. The sagittal and axial planes will be determined to be perpendicular to the </w:t>
      </w:r>
      <w:r w:rsidR="008628B4">
        <w:rPr>
          <w:rFonts w:ascii="Arial" w:hAnsi="Arial" w:cs="Arial"/>
          <w:sz w:val="28"/>
          <w:szCs w:val="28"/>
          <w:lang w:val="en-US"/>
        </w:rPr>
        <w:t>APP</w:t>
      </w:r>
      <w:r w:rsidRPr="009456F0">
        <w:rPr>
          <w:rFonts w:ascii="Arial" w:hAnsi="Arial" w:cs="Arial"/>
          <w:sz w:val="28"/>
          <w:szCs w:val="28"/>
          <w:lang w:val="en-US"/>
        </w:rPr>
        <w:t>. All tomographic measurements will be analyzed by three radiologists specialized in musculoskeletal, without knowledge of the group to which the patient belongs. The average value of the analysis will be considered. The surgical anteversion and inclination angles will be measured according to the study by Murray</w:t>
      </w:r>
      <w:r w:rsidR="008628B4">
        <w:rPr>
          <w:rFonts w:ascii="Arial" w:hAnsi="Arial" w:cs="Arial"/>
          <w:sz w:val="28"/>
          <w:szCs w:val="28"/>
          <w:lang w:val="en-US"/>
        </w:rPr>
        <w:t xml:space="preserve"> </w:t>
      </w:r>
      <w:r w:rsidRPr="009456F0">
        <w:rPr>
          <w:rFonts w:ascii="Arial" w:hAnsi="Arial" w:cs="Arial"/>
          <w:sz w:val="28"/>
          <w:szCs w:val="28"/>
          <w:lang w:val="en-US"/>
        </w:rPr>
        <w:t>(19) using the coronal plane as a reference.</w:t>
      </w:r>
    </w:p>
    <w:p w14:paraId="43AC76EE" w14:textId="7BC45402" w:rsidR="009456F0" w:rsidRPr="009456F0" w:rsidRDefault="009456F0" w:rsidP="008628B4">
      <w:pPr>
        <w:spacing w:line="360" w:lineRule="auto"/>
        <w:ind w:firstLine="360"/>
        <w:jc w:val="both"/>
        <w:rPr>
          <w:rFonts w:ascii="Arial" w:hAnsi="Arial" w:cs="Arial"/>
          <w:sz w:val="28"/>
          <w:szCs w:val="28"/>
          <w:lang w:val="en-US"/>
        </w:rPr>
      </w:pPr>
      <w:r w:rsidRPr="009456F0">
        <w:rPr>
          <w:rFonts w:ascii="Arial" w:hAnsi="Arial" w:cs="Arial"/>
          <w:sz w:val="28"/>
          <w:szCs w:val="28"/>
          <w:lang w:val="en-US"/>
        </w:rPr>
        <w:t xml:space="preserve">The secondary outcomes analyzed will be: surgical time; bleeding (assessed by pre and post </w:t>
      </w:r>
      <w:r w:rsidR="008628B4">
        <w:rPr>
          <w:rFonts w:ascii="Arial" w:hAnsi="Arial" w:cs="Arial"/>
          <w:sz w:val="28"/>
          <w:szCs w:val="28"/>
          <w:lang w:val="en-US"/>
        </w:rPr>
        <w:t xml:space="preserve">operative </w:t>
      </w:r>
      <w:r w:rsidRPr="009456F0">
        <w:rPr>
          <w:rFonts w:ascii="Arial" w:hAnsi="Arial" w:cs="Arial"/>
          <w:sz w:val="28"/>
          <w:szCs w:val="28"/>
          <w:lang w:val="en-US"/>
        </w:rPr>
        <w:t xml:space="preserve">hemoglobin); presence of orthopedic complications (dislocation, infection, periprosthetic fracture, neurological injury, early </w:t>
      </w:r>
      <w:r w:rsidR="008628B4">
        <w:rPr>
          <w:rFonts w:ascii="Arial" w:hAnsi="Arial" w:cs="Arial"/>
          <w:sz w:val="28"/>
          <w:szCs w:val="28"/>
          <w:lang w:val="en-US"/>
        </w:rPr>
        <w:t>loosening</w:t>
      </w:r>
      <w:r w:rsidRPr="009456F0">
        <w:rPr>
          <w:rFonts w:ascii="Arial" w:hAnsi="Arial" w:cs="Arial"/>
          <w:sz w:val="28"/>
          <w:szCs w:val="28"/>
          <w:lang w:val="en-US"/>
        </w:rPr>
        <w:t xml:space="preserve">) and clinical complications (venous thromboembolism, stroke, acute myocardial </w:t>
      </w:r>
      <w:r w:rsidRPr="009456F0">
        <w:rPr>
          <w:rFonts w:ascii="Arial" w:hAnsi="Arial" w:cs="Arial"/>
          <w:sz w:val="28"/>
          <w:szCs w:val="28"/>
          <w:lang w:val="en-US"/>
        </w:rPr>
        <w:lastRenderedPageBreak/>
        <w:t xml:space="preserve">infarction and death); pain in the postoperative period, assessed by the analogue </w:t>
      </w:r>
      <w:r w:rsidR="008628B4">
        <w:rPr>
          <w:rFonts w:ascii="Arial" w:hAnsi="Arial" w:cs="Arial"/>
          <w:sz w:val="28"/>
          <w:szCs w:val="28"/>
          <w:lang w:val="en-US"/>
        </w:rPr>
        <w:t xml:space="preserve">visual </w:t>
      </w:r>
      <w:r w:rsidRPr="009456F0">
        <w:rPr>
          <w:rFonts w:ascii="Arial" w:hAnsi="Arial" w:cs="Arial"/>
          <w:sz w:val="28"/>
          <w:szCs w:val="28"/>
          <w:lang w:val="en-US"/>
        </w:rPr>
        <w:t>pain scale (</w:t>
      </w:r>
      <w:r w:rsidR="008628B4">
        <w:rPr>
          <w:rFonts w:ascii="Arial" w:hAnsi="Arial" w:cs="Arial"/>
          <w:sz w:val="28"/>
          <w:szCs w:val="28"/>
          <w:lang w:val="en-US"/>
        </w:rPr>
        <w:t>AVS</w:t>
      </w:r>
      <w:r w:rsidRPr="009456F0">
        <w:rPr>
          <w:rFonts w:ascii="Arial" w:hAnsi="Arial" w:cs="Arial"/>
          <w:sz w:val="28"/>
          <w:szCs w:val="28"/>
          <w:lang w:val="en-US"/>
        </w:rPr>
        <w:t>); and functional recovery through the "time up and go" test</w:t>
      </w:r>
      <w:r w:rsidR="008628B4">
        <w:rPr>
          <w:rFonts w:ascii="Arial" w:hAnsi="Arial" w:cs="Arial"/>
          <w:sz w:val="28"/>
          <w:szCs w:val="28"/>
          <w:lang w:val="en-US"/>
        </w:rPr>
        <w:t xml:space="preserve"> </w:t>
      </w:r>
      <w:r w:rsidRPr="009456F0">
        <w:rPr>
          <w:rFonts w:ascii="Arial" w:hAnsi="Arial" w:cs="Arial"/>
          <w:sz w:val="28"/>
          <w:szCs w:val="28"/>
          <w:lang w:val="en-US"/>
        </w:rPr>
        <w:t xml:space="preserve">(20) carried out pre-operatively, </w:t>
      </w:r>
      <w:r w:rsidR="008B27A5">
        <w:rPr>
          <w:rFonts w:ascii="Arial" w:hAnsi="Arial" w:cs="Arial"/>
          <w:sz w:val="28"/>
          <w:szCs w:val="28"/>
          <w:lang w:val="en-US"/>
        </w:rPr>
        <w:t>2</w:t>
      </w:r>
      <w:r w:rsidRPr="009456F0">
        <w:rPr>
          <w:rFonts w:ascii="Arial" w:hAnsi="Arial" w:cs="Arial"/>
          <w:sz w:val="28"/>
          <w:szCs w:val="28"/>
          <w:lang w:val="en-US"/>
        </w:rPr>
        <w:t xml:space="preserve"> days post-operatively, 3 weeks</w:t>
      </w:r>
      <w:r w:rsidR="008B27A5">
        <w:rPr>
          <w:rFonts w:ascii="Arial" w:hAnsi="Arial" w:cs="Arial"/>
          <w:sz w:val="28"/>
          <w:szCs w:val="28"/>
          <w:lang w:val="en-US"/>
        </w:rPr>
        <w:t xml:space="preserve"> </w:t>
      </w:r>
      <w:r w:rsidRPr="009456F0">
        <w:rPr>
          <w:rFonts w:ascii="Arial" w:hAnsi="Arial" w:cs="Arial"/>
          <w:sz w:val="28"/>
          <w:szCs w:val="28"/>
          <w:lang w:val="en-US"/>
        </w:rPr>
        <w:t>and 6 months.</w:t>
      </w:r>
    </w:p>
    <w:p w14:paraId="44E4AC13" w14:textId="1363B62F" w:rsidR="009456F0" w:rsidRDefault="009456F0" w:rsidP="008628B4">
      <w:pPr>
        <w:spacing w:line="360" w:lineRule="auto"/>
        <w:ind w:firstLine="360"/>
        <w:jc w:val="both"/>
        <w:rPr>
          <w:rFonts w:ascii="Arial" w:hAnsi="Arial" w:cs="Arial"/>
          <w:sz w:val="28"/>
          <w:szCs w:val="28"/>
          <w:lang w:val="en-US"/>
        </w:rPr>
      </w:pPr>
      <w:r w:rsidRPr="009456F0">
        <w:rPr>
          <w:rFonts w:ascii="Arial" w:hAnsi="Arial" w:cs="Arial"/>
          <w:sz w:val="28"/>
          <w:szCs w:val="28"/>
          <w:lang w:val="en-US"/>
        </w:rPr>
        <w:t>Regarding statistical analysis, the comparison between groups in relation to the percentage of cases that are or are not within the safety zone will be carried out using Pearson's chi-square test or Fisher's exact test (in</w:t>
      </w:r>
      <w:r w:rsidR="008628B4">
        <w:rPr>
          <w:rFonts w:ascii="Arial" w:hAnsi="Arial" w:cs="Arial"/>
          <w:sz w:val="28"/>
          <w:szCs w:val="28"/>
          <w:lang w:val="en-US"/>
        </w:rPr>
        <w:t xml:space="preserve"> </w:t>
      </w:r>
      <w:r w:rsidRPr="009456F0">
        <w:rPr>
          <w:rFonts w:ascii="Arial" w:hAnsi="Arial" w:cs="Arial"/>
          <w:sz w:val="28"/>
          <w:szCs w:val="28"/>
          <w:lang w:val="en-US"/>
        </w:rPr>
        <w:t xml:space="preserve">case the first one is not suitable). The distributions of the variables “anteversion”, “inclination”, “anteversion deviation in relation to 15º” and “inclination deviation in relation to 40º”, according to the study groups, will be compared using the non-parametric Mann-Whitney test. The comparison of the means of these variables in relation to the groups will be carried out using the </w:t>
      </w:r>
      <w:r w:rsidR="008628B4" w:rsidRPr="009456F0">
        <w:rPr>
          <w:rFonts w:ascii="Arial" w:hAnsi="Arial" w:cs="Arial"/>
          <w:sz w:val="28"/>
          <w:szCs w:val="28"/>
          <w:lang w:val="en-US"/>
        </w:rPr>
        <w:t>student’s</w:t>
      </w:r>
      <w:r w:rsidRPr="009456F0">
        <w:rPr>
          <w:rFonts w:ascii="Arial" w:hAnsi="Arial" w:cs="Arial"/>
          <w:sz w:val="28"/>
          <w:szCs w:val="28"/>
          <w:lang w:val="en-US"/>
        </w:rPr>
        <w:t xml:space="preserve"> t test.</w:t>
      </w:r>
    </w:p>
    <w:p w14:paraId="02A24272" w14:textId="77777777" w:rsidR="008628B4" w:rsidRDefault="008628B4" w:rsidP="008628B4">
      <w:pPr>
        <w:spacing w:line="360" w:lineRule="auto"/>
        <w:ind w:firstLine="360"/>
        <w:jc w:val="both"/>
        <w:rPr>
          <w:rFonts w:ascii="Arial" w:hAnsi="Arial" w:cs="Arial"/>
          <w:sz w:val="28"/>
          <w:szCs w:val="28"/>
          <w:lang w:val="en-US"/>
        </w:rPr>
      </w:pPr>
    </w:p>
    <w:p w14:paraId="15902E74" w14:textId="77777777" w:rsidR="008628B4" w:rsidRPr="007830A2" w:rsidRDefault="008628B4" w:rsidP="008628B4">
      <w:pPr>
        <w:pStyle w:val="PargrafodaLista"/>
        <w:numPr>
          <w:ilvl w:val="0"/>
          <w:numId w:val="1"/>
        </w:numPr>
        <w:spacing w:line="360" w:lineRule="auto"/>
        <w:jc w:val="both"/>
        <w:rPr>
          <w:rFonts w:ascii="Arial" w:hAnsi="Arial" w:cs="Arial"/>
          <w:b/>
          <w:bCs/>
          <w:sz w:val="28"/>
          <w:szCs w:val="28"/>
          <w:lang w:val="en-US"/>
        </w:rPr>
      </w:pPr>
      <w:r w:rsidRPr="007830A2">
        <w:rPr>
          <w:rFonts w:ascii="Arial" w:hAnsi="Arial" w:cs="Arial"/>
          <w:b/>
          <w:bCs/>
          <w:sz w:val="28"/>
          <w:szCs w:val="28"/>
          <w:lang w:val="en-US"/>
        </w:rPr>
        <w:t>Inclusion criteria</w:t>
      </w:r>
    </w:p>
    <w:p w14:paraId="53CAB1A2" w14:textId="77777777" w:rsidR="008628B4" w:rsidRDefault="008628B4" w:rsidP="008628B4">
      <w:pPr>
        <w:spacing w:line="360" w:lineRule="auto"/>
        <w:jc w:val="both"/>
        <w:rPr>
          <w:rFonts w:ascii="Arial" w:hAnsi="Arial" w:cs="Arial"/>
          <w:sz w:val="28"/>
          <w:szCs w:val="28"/>
          <w:lang w:val="en-US"/>
        </w:rPr>
      </w:pPr>
    </w:p>
    <w:p w14:paraId="4D508565" w14:textId="3437A39E" w:rsidR="008628B4" w:rsidRDefault="008628B4" w:rsidP="008628B4">
      <w:pPr>
        <w:spacing w:line="360" w:lineRule="auto"/>
        <w:ind w:firstLine="360"/>
        <w:jc w:val="both"/>
        <w:rPr>
          <w:rFonts w:ascii="Arial" w:hAnsi="Arial" w:cs="Arial"/>
          <w:sz w:val="28"/>
          <w:szCs w:val="28"/>
          <w:lang w:val="en-US"/>
        </w:rPr>
      </w:pPr>
      <w:r w:rsidRPr="008628B4">
        <w:rPr>
          <w:rFonts w:ascii="Arial" w:hAnsi="Arial" w:cs="Arial"/>
          <w:sz w:val="28"/>
          <w:szCs w:val="28"/>
          <w:lang w:val="en-US"/>
        </w:rPr>
        <w:t xml:space="preserve">Patients on the primary </w:t>
      </w:r>
      <w:r w:rsidR="007830A2">
        <w:rPr>
          <w:rFonts w:ascii="Arial" w:hAnsi="Arial" w:cs="Arial"/>
          <w:sz w:val="28"/>
          <w:szCs w:val="28"/>
          <w:lang w:val="en-US"/>
        </w:rPr>
        <w:t xml:space="preserve">hip </w:t>
      </w:r>
      <w:r w:rsidRPr="008628B4">
        <w:rPr>
          <w:rFonts w:ascii="Arial" w:hAnsi="Arial" w:cs="Arial"/>
          <w:sz w:val="28"/>
          <w:szCs w:val="28"/>
          <w:lang w:val="en-US"/>
        </w:rPr>
        <w:t xml:space="preserve">prosthesis </w:t>
      </w:r>
      <w:r>
        <w:rPr>
          <w:rFonts w:ascii="Arial" w:hAnsi="Arial" w:cs="Arial"/>
          <w:sz w:val="28"/>
          <w:szCs w:val="28"/>
          <w:lang w:val="en-US"/>
        </w:rPr>
        <w:t>waiting list</w:t>
      </w:r>
      <w:r w:rsidRPr="008628B4">
        <w:rPr>
          <w:rFonts w:ascii="Arial" w:hAnsi="Arial" w:cs="Arial"/>
          <w:sz w:val="28"/>
          <w:szCs w:val="28"/>
          <w:lang w:val="en-US"/>
        </w:rPr>
        <w:t xml:space="preserve"> </w:t>
      </w:r>
      <w:r w:rsidR="007830A2">
        <w:rPr>
          <w:rFonts w:ascii="Arial" w:hAnsi="Arial" w:cs="Arial"/>
          <w:sz w:val="28"/>
          <w:szCs w:val="28"/>
          <w:lang w:val="en-US"/>
        </w:rPr>
        <w:t xml:space="preserve">of our institution </w:t>
      </w:r>
      <w:r w:rsidRPr="008628B4">
        <w:rPr>
          <w:rFonts w:ascii="Arial" w:hAnsi="Arial" w:cs="Arial"/>
          <w:sz w:val="28"/>
          <w:szCs w:val="28"/>
          <w:lang w:val="en-US"/>
        </w:rPr>
        <w:t>who have hip osteoarthriti</w:t>
      </w:r>
      <w:r>
        <w:rPr>
          <w:rFonts w:ascii="Arial" w:hAnsi="Arial" w:cs="Arial"/>
          <w:sz w:val="28"/>
          <w:szCs w:val="28"/>
          <w:lang w:val="en-US"/>
        </w:rPr>
        <w:t xml:space="preserve">s and </w:t>
      </w:r>
      <w:r w:rsidR="008B27A5">
        <w:rPr>
          <w:rFonts w:ascii="Arial" w:hAnsi="Arial" w:cs="Arial"/>
          <w:sz w:val="28"/>
          <w:szCs w:val="28"/>
          <w:lang w:val="en-US"/>
        </w:rPr>
        <w:t>can</w:t>
      </w:r>
      <w:r w:rsidRPr="008628B4">
        <w:rPr>
          <w:rFonts w:ascii="Arial" w:hAnsi="Arial" w:cs="Arial"/>
          <w:sz w:val="28"/>
          <w:szCs w:val="28"/>
          <w:lang w:val="en-US"/>
        </w:rPr>
        <w:t xml:space="preserve"> read and understand the informed consent form</w:t>
      </w:r>
      <w:r>
        <w:rPr>
          <w:rFonts w:ascii="Arial" w:hAnsi="Arial" w:cs="Arial"/>
          <w:sz w:val="28"/>
          <w:szCs w:val="28"/>
          <w:lang w:val="en-US"/>
        </w:rPr>
        <w:t>.</w:t>
      </w:r>
    </w:p>
    <w:p w14:paraId="1DBD2625" w14:textId="77777777" w:rsidR="008628B4" w:rsidRDefault="008628B4" w:rsidP="008628B4">
      <w:pPr>
        <w:spacing w:line="360" w:lineRule="auto"/>
        <w:jc w:val="both"/>
        <w:rPr>
          <w:rFonts w:ascii="Arial" w:hAnsi="Arial" w:cs="Arial"/>
          <w:sz w:val="28"/>
          <w:szCs w:val="28"/>
          <w:lang w:val="en-US"/>
        </w:rPr>
      </w:pPr>
    </w:p>
    <w:p w14:paraId="7F41F448" w14:textId="67AB9A57" w:rsidR="008628B4" w:rsidRPr="007830A2" w:rsidRDefault="008628B4" w:rsidP="008628B4">
      <w:pPr>
        <w:pStyle w:val="PargrafodaLista"/>
        <w:numPr>
          <w:ilvl w:val="0"/>
          <w:numId w:val="1"/>
        </w:numPr>
        <w:spacing w:line="360" w:lineRule="auto"/>
        <w:jc w:val="both"/>
        <w:rPr>
          <w:rFonts w:ascii="Arial" w:hAnsi="Arial" w:cs="Arial"/>
          <w:b/>
          <w:bCs/>
          <w:sz w:val="28"/>
          <w:szCs w:val="28"/>
          <w:lang w:val="en-US"/>
        </w:rPr>
      </w:pPr>
      <w:r w:rsidRPr="007830A2">
        <w:rPr>
          <w:rFonts w:ascii="Arial" w:hAnsi="Arial" w:cs="Arial"/>
          <w:b/>
          <w:bCs/>
          <w:sz w:val="28"/>
          <w:szCs w:val="28"/>
          <w:lang w:val="en-US"/>
        </w:rPr>
        <w:t>Exclusion criteria</w:t>
      </w:r>
    </w:p>
    <w:p w14:paraId="4D7924F7" w14:textId="77777777" w:rsidR="008628B4" w:rsidRDefault="008628B4" w:rsidP="008628B4">
      <w:pPr>
        <w:spacing w:line="360" w:lineRule="auto"/>
        <w:jc w:val="both"/>
        <w:rPr>
          <w:rFonts w:ascii="Arial" w:hAnsi="Arial" w:cs="Arial"/>
          <w:sz w:val="28"/>
          <w:szCs w:val="28"/>
          <w:lang w:val="en-US"/>
        </w:rPr>
      </w:pPr>
    </w:p>
    <w:p w14:paraId="6B97CFFA" w14:textId="1A7DB0AC" w:rsidR="008628B4" w:rsidRDefault="008628B4" w:rsidP="00616B4D">
      <w:pPr>
        <w:spacing w:line="360" w:lineRule="auto"/>
        <w:ind w:firstLine="360"/>
        <w:jc w:val="both"/>
        <w:rPr>
          <w:rFonts w:ascii="Arial" w:hAnsi="Arial" w:cs="Arial"/>
          <w:sz w:val="28"/>
          <w:szCs w:val="28"/>
          <w:lang w:val="en-US"/>
        </w:rPr>
      </w:pPr>
      <w:r>
        <w:rPr>
          <w:rFonts w:ascii="Arial" w:hAnsi="Arial" w:cs="Arial"/>
          <w:sz w:val="28"/>
          <w:szCs w:val="28"/>
          <w:lang w:val="en-US"/>
        </w:rPr>
        <w:t>Patients with n</w:t>
      </w:r>
      <w:r w:rsidRPr="008628B4">
        <w:rPr>
          <w:rFonts w:ascii="Arial" w:hAnsi="Arial" w:cs="Arial"/>
          <w:sz w:val="28"/>
          <w:szCs w:val="28"/>
          <w:lang w:val="en-US"/>
        </w:rPr>
        <w:t>eurological or orthopedic diseases that alter the gait pattern and may influence functional tests</w:t>
      </w:r>
      <w:r>
        <w:rPr>
          <w:rFonts w:ascii="Arial" w:hAnsi="Arial" w:cs="Arial"/>
          <w:sz w:val="28"/>
          <w:szCs w:val="28"/>
          <w:lang w:val="en-US"/>
        </w:rPr>
        <w:t xml:space="preserve">. </w:t>
      </w:r>
      <w:r w:rsidR="007830A2">
        <w:rPr>
          <w:rFonts w:ascii="Arial" w:hAnsi="Arial" w:cs="Arial"/>
          <w:sz w:val="28"/>
          <w:szCs w:val="28"/>
          <w:lang w:val="en-US"/>
        </w:rPr>
        <w:t>THA that implies</w:t>
      </w:r>
      <w:r w:rsidRPr="008628B4">
        <w:rPr>
          <w:rFonts w:ascii="Arial" w:hAnsi="Arial" w:cs="Arial"/>
          <w:sz w:val="28"/>
          <w:szCs w:val="28"/>
          <w:lang w:val="en-US"/>
        </w:rPr>
        <w:t xml:space="preserve"> additional procedures to hip prosthesis (</w:t>
      </w:r>
      <w:r w:rsidR="007830A2">
        <w:rPr>
          <w:rFonts w:ascii="Arial" w:hAnsi="Arial" w:cs="Arial"/>
          <w:sz w:val="28"/>
          <w:szCs w:val="28"/>
          <w:lang w:val="en-US"/>
        </w:rPr>
        <w:t xml:space="preserve">like </w:t>
      </w:r>
      <w:r w:rsidRPr="008628B4">
        <w:rPr>
          <w:rFonts w:ascii="Arial" w:hAnsi="Arial" w:cs="Arial"/>
          <w:sz w:val="28"/>
          <w:szCs w:val="28"/>
          <w:lang w:val="en-US"/>
        </w:rPr>
        <w:t>shortening osteotomies, structured or impacted bone graft</w:t>
      </w:r>
      <w:r w:rsidR="007830A2">
        <w:rPr>
          <w:rFonts w:ascii="Arial" w:hAnsi="Arial" w:cs="Arial"/>
          <w:sz w:val="28"/>
          <w:szCs w:val="28"/>
          <w:lang w:val="en-US"/>
        </w:rPr>
        <w:t xml:space="preserve">, </w:t>
      </w:r>
      <w:r w:rsidRPr="008628B4">
        <w:rPr>
          <w:rFonts w:ascii="Arial" w:hAnsi="Arial" w:cs="Arial"/>
          <w:sz w:val="28"/>
          <w:szCs w:val="28"/>
          <w:lang w:val="en-US"/>
        </w:rPr>
        <w:t>ankylosed hips or those requiring in situ osteotomy</w:t>
      </w:r>
      <w:r w:rsidR="007830A2">
        <w:rPr>
          <w:rFonts w:ascii="Arial" w:hAnsi="Arial" w:cs="Arial"/>
          <w:sz w:val="28"/>
          <w:szCs w:val="28"/>
          <w:lang w:val="en-US"/>
        </w:rPr>
        <w:t>).</w:t>
      </w:r>
    </w:p>
    <w:p w14:paraId="186CF543" w14:textId="77777777" w:rsidR="00616B4D" w:rsidRDefault="00616B4D" w:rsidP="00616B4D">
      <w:pPr>
        <w:spacing w:line="360" w:lineRule="auto"/>
        <w:ind w:firstLine="360"/>
        <w:jc w:val="both"/>
        <w:rPr>
          <w:rFonts w:ascii="Arial" w:hAnsi="Arial" w:cs="Arial"/>
          <w:sz w:val="28"/>
          <w:szCs w:val="28"/>
          <w:lang w:val="en-US"/>
        </w:rPr>
      </w:pPr>
    </w:p>
    <w:p w14:paraId="3E570DAA" w14:textId="0233694F" w:rsidR="00616B4D" w:rsidRPr="00616B4D" w:rsidRDefault="00616B4D" w:rsidP="00616B4D">
      <w:pPr>
        <w:spacing w:line="360" w:lineRule="auto"/>
        <w:ind w:firstLine="360"/>
        <w:jc w:val="both"/>
        <w:rPr>
          <w:rFonts w:ascii="Arial" w:hAnsi="Arial" w:cs="Arial"/>
          <w:b/>
          <w:bCs/>
          <w:sz w:val="28"/>
          <w:szCs w:val="28"/>
          <w:lang w:val="en-US"/>
        </w:rPr>
      </w:pPr>
      <w:r w:rsidRPr="00616B4D">
        <w:rPr>
          <w:rFonts w:ascii="Arial" w:hAnsi="Arial" w:cs="Arial"/>
          <w:b/>
          <w:bCs/>
          <w:sz w:val="28"/>
          <w:szCs w:val="28"/>
          <w:lang w:val="en-US"/>
        </w:rPr>
        <w:t>4. Risk Analysis</w:t>
      </w:r>
    </w:p>
    <w:p w14:paraId="1CD6C34A" w14:textId="77777777" w:rsidR="00616B4D" w:rsidRDefault="00616B4D" w:rsidP="00616B4D">
      <w:pPr>
        <w:spacing w:line="360" w:lineRule="auto"/>
        <w:jc w:val="both"/>
        <w:rPr>
          <w:rFonts w:ascii="Arial" w:hAnsi="Arial" w:cs="Arial"/>
          <w:sz w:val="28"/>
          <w:szCs w:val="28"/>
          <w:lang w:val="en-US"/>
        </w:rPr>
      </w:pPr>
    </w:p>
    <w:p w14:paraId="3CD04010" w14:textId="77777777" w:rsidR="00616B4D" w:rsidRDefault="00616B4D" w:rsidP="00616B4D">
      <w:pPr>
        <w:spacing w:line="360" w:lineRule="auto"/>
        <w:ind w:firstLine="360"/>
        <w:jc w:val="both"/>
        <w:rPr>
          <w:rFonts w:ascii="Arial" w:hAnsi="Arial" w:cs="Arial"/>
          <w:sz w:val="28"/>
          <w:szCs w:val="28"/>
          <w:lang w:val="en-US"/>
        </w:rPr>
      </w:pPr>
      <w:r w:rsidRPr="00616B4D">
        <w:rPr>
          <w:rFonts w:ascii="Arial" w:hAnsi="Arial" w:cs="Arial"/>
          <w:sz w:val="28"/>
          <w:szCs w:val="28"/>
          <w:lang w:val="en-US"/>
        </w:rPr>
        <w:t xml:space="preserve">The surgical </w:t>
      </w:r>
      <w:r>
        <w:rPr>
          <w:rFonts w:ascii="Arial" w:hAnsi="Arial" w:cs="Arial"/>
          <w:sz w:val="28"/>
          <w:szCs w:val="28"/>
          <w:lang w:val="en-US"/>
        </w:rPr>
        <w:t>approach</w:t>
      </w:r>
      <w:r w:rsidRPr="00616B4D">
        <w:rPr>
          <w:rFonts w:ascii="Arial" w:hAnsi="Arial" w:cs="Arial"/>
          <w:sz w:val="28"/>
          <w:szCs w:val="28"/>
          <w:lang w:val="en-US"/>
        </w:rPr>
        <w:t xml:space="preserve"> proposed by the study (SPAIRE) is safe and is being used routinely in some centers in England with promising results in rehabilitation and no related complications described. It is important to report that the proposed </w:t>
      </w:r>
      <w:r>
        <w:rPr>
          <w:rFonts w:ascii="Arial" w:hAnsi="Arial" w:cs="Arial"/>
          <w:sz w:val="28"/>
          <w:szCs w:val="28"/>
          <w:lang w:val="en-US"/>
        </w:rPr>
        <w:t>access</w:t>
      </w:r>
      <w:r w:rsidRPr="00616B4D">
        <w:rPr>
          <w:rFonts w:ascii="Arial" w:hAnsi="Arial" w:cs="Arial"/>
          <w:sz w:val="28"/>
          <w:szCs w:val="28"/>
          <w:lang w:val="en-US"/>
        </w:rPr>
        <w:t xml:space="preserve"> is very similar to the posterior </w:t>
      </w:r>
      <w:r>
        <w:rPr>
          <w:rFonts w:ascii="Arial" w:hAnsi="Arial" w:cs="Arial"/>
          <w:sz w:val="28"/>
          <w:szCs w:val="28"/>
          <w:lang w:val="en-US"/>
        </w:rPr>
        <w:t>approach</w:t>
      </w:r>
      <w:r w:rsidRPr="00616B4D">
        <w:rPr>
          <w:rFonts w:ascii="Arial" w:hAnsi="Arial" w:cs="Arial"/>
          <w:sz w:val="28"/>
          <w:szCs w:val="28"/>
          <w:lang w:val="en-US"/>
        </w:rPr>
        <w:t xml:space="preserve"> already used routinely by our group, and any difficulty that may be encountered in carrying out the </w:t>
      </w:r>
      <w:r>
        <w:rPr>
          <w:rFonts w:ascii="Arial" w:hAnsi="Arial" w:cs="Arial"/>
          <w:sz w:val="28"/>
          <w:szCs w:val="28"/>
          <w:lang w:val="en-US"/>
        </w:rPr>
        <w:t>procedure, it</w:t>
      </w:r>
      <w:r w:rsidRPr="00616B4D">
        <w:rPr>
          <w:rFonts w:ascii="Arial" w:hAnsi="Arial" w:cs="Arial"/>
          <w:sz w:val="28"/>
          <w:szCs w:val="28"/>
          <w:lang w:val="en-US"/>
        </w:rPr>
        <w:t xml:space="preserve"> can be converted to the conventional posterior </w:t>
      </w:r>
      <w:r>
        <w:rPr>
          <w:rFonts w:ascii="Arial" w:hAnsi="Arial" w:cs="Arial"/>
          <w:sz w:val="28"/>
          <w:szCs w:val="28"/>
          <w:lang w:val="en-US"/>
        </w:rPr>
        <w:t>approach</w:t>
      </w:r>
      <w:r w:rsidRPr="00616B4D">
        <w:rPr>
          <w:rFonts w:ascii="Arial" w:hAnsi="Arial" w:cs="Arial"/>
          <w:sz w:val="28"/>
          <w:szCs w:val="28"/>
          <w:lang w:val="en-US"/>
        </w:rPr>
        <w:t xml:space="preserve"> without any harm to the patient or the quality of the final surgical result. The risk of exposing the patient to radiation from computed tomography in the postoperative period is minimal with modern techniques and devices and will be discussed with the patient when filling out the informed consent form.</w:t>
      </w:r>
    </w:p>
    <w:p w14:paraId="4C43D1E8" w14:textId="77777777" w:rsidR="00616B4D" w:rsidRPr="00616B4D" w:rsidRDefault="00616B4D" w:rsidP="00616B4D">
      <w:pPr>
        <w:spacing w:line="360" w:lineRule="auto"/>
        <w:ind w:firstLine="360"/>
        <w:jc w:val="both"/>
        <w:rPr>
          <w:rFonts w:ascii="Arial" w:hAnsi="Arial" w:cs="Arial"/>
          <w:sz w:val="28"/>
          <w:szCs w:val="28"/>
          <w:lang w:val="en-US"/>
        </w:rPr>
      </w:pPr>
    </w:p>
    <w:p w14:paraId="7D35A15C" w14:textId="2ACF18CD" w:rsidR="00616B4D" w:rsidRPr="00616B4D" w:rsidRDefault="00616B4D" w:rsidP="00616B4D">
      <w:pPr>
        <w:spacing w:line="360" w:lineRule="auto"/>
        <w:ind w:firstLine="360"/>
        <w:jc w:val="both"/>
        <w:rPr>
          <w:rFonts w:ascii="Arial" w:hAnsi="Arial" w:cs="Arial"/>
          <w:b/>
          <w:sz w:val="28"/>
          <w:szCs w:val="28"/>
          <w:lang w:val="en-US"/>
        </w:rPr>
      </w:pPr>
      <w:r w:rsidRPr="00616B4D">
        <w:rPr>
          <w:rFonts w:ascii="Arial" w:hAnsi="Arial" w:cs="Arial"/>
          <w:b/>
          <w:bCs/>
          <w:sz w:val="28"/>
          <w:szCs w:val="28"/>
          <w:lang w:val="en-US"/>
        </w:rPr>
        <w:t>5.</w:t>
      </w:r>
      <w:r w:rsidRPr="00616B4D">
        <w:rPr>
          <w:rFonts w:ascii="Arial" w:hAnsi="Arial" w:cs="Arial"/>
          <w:sz w:val="28"/>
          <w:szCs w:val="28"/>
          <w:lang w:val="en-US"/>
        </w:rPr>
        <w:t xml:space="preserve"> </w:t>
      </w:r>
      <w:r w:rsidRPr="00616B4D">
        <w:rPr>
          <w:rFonts w:ascii="Arial" w:hAnsi="Arial" w:cs="Arial"/>
          <w:b/>
          <w:sz w:val="28"/>
          <w:szCs w:val="28"/>
          <w:lang w:val="en-US"/>
        </w:rPr>
        <w:t>Bibliography</w:t>
      </w:r>
    </w:p>
    <w:p w14:paraId="245A5F9E" w14:textId="77777777" w:rsidR="00616B4D" w:rsidRPr="00616B4D" w:rsidRDefault="00616B4D" w:rsidP="00616B4D">
      <w:pPr>
        <w:widowControl w:val="0"/>
        <w:pBdr>
          <w:top w:val="nil"/>
          <w:left w:val="nil"/>
          <w:bottom w:val="nil"/>
          <w:right w:val="nil"/>
          <w:between w:val="nil"/>
        </w:pBdr>
        <w:spacing w:before="240"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w:t>
      </w:r>
      <w:r w:rsidRPr="00616B4D">
        <w:rPr>
          <w:rFonts w:ascii="Arial" w:hAnsi="Arial" w:cs="Arial"/>
          <w:color w:val="000000"/>
          <w:sz w:val="28"/>
          <w:szCs w:val="28"/>
          <w:lang w:val="en-US"/>
        </w:rPr>
        <w:tab/>
      </w:r>
      <w:hyperlink r:id="rId5">
        <w:r w:rsidRPr="00616B4D">
          <w:rPr>
            <w:rFonts w:ascii="Arial" w:hAnsi="Arial" w:cs="Arial"/>
            <w:color w:val="000000"/>
            <w:sz w:val="28"/>
            <w:szCs w:val="28"/>
            <w:lang w:val="en-US"/>
          </w:rPr>
          <w:t xml:space="preserve">Learmonth ID, Young C, Rorabeck C. The operation of the century: total hip replacement. Lancet [Internet]. 2007 Oct 27 [cited 2018 Dec 12];370(9597):1508–19. Available from: </w:t>
        </w:r>
      </w:hyperlink>
      <w:hyperlink r:id="rId6">
        <w:r w:rsidRPr="00616B4D">
          <w:rPr>
            <w:rFonts w:ascii="Arial" w:hAnsi="Arial" w:cs="Arial"/>
            <w:color w:val="000000"/>
            <w:sz w:val="28"/>
            <w:szCs w:val="28"/>
            <w:lang w:val="en-US"/>
          </w:rPr>
          <w:t>http://www.thelancet.com/article/S0140673607604577/abstract</w:t>
        </w:r>
      </w:hyperlink>
    </w:p>
    <w:p w14:paraId="3A12FBED"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2.</w:t>
      </w:r>
      <w:r w:rsidRPr="00616B4D">
        <w:rPr>
          <w:rFonts w:ascii="Arial" w:hAnsi="Arial" w:cs="Arial"/>
          <w:color w:val="000000"/>
          <w:sz w:val="28"/>
          <w:szCs w:val="28"/>
          <w:lang w:val="en-US"/>
        </w:rPr>
        <w:tab/>
      </w:r>
      <w:hyperlink r:id="rId7">
        <w:r w:rsidRPr="00616B4D">
          <w:rPr>
            <w:rFonts w:ascii="Arial" w:hAnsi="Arial" w:cs="Arial"/>
            <w:color w:val="000000"/>
            <w:sz w:val="28"/>
            <w:szCs w:val="28"/>
            <w:lang w:val="en-US"/>
          </w:rPr>
          <w:t xml:space="preserve">Ferguson BMBCh RJ, Palmer AJR, Frcs AT, Porter FRCS ML, Malchau H, Glyn-Jones S. Hip replacement. Lancet [Internet]. 2018;392(10158):1662–71. Available from: </w:t>
        </w:r>
      </w:hyperlink>
      <w:hyperlink r:id="rId8">
        <w:r w:rsidRPr="00616B4D">
          <w:rPr>
            <w:rFonts w:ascii="Arial" w:hAnsi="Arial" w:cs="Arial"/>
            <w:color w:val="000000"/>
            <w:sz w:val="28"/>
            <w:szCs w:val="28"/>
            <w:lang w:val="en-US"/>
          </w:rPr>
          <w:t>http://dx.doi.org/10.1016/S0140-6736(18)31777-X</w:t>
        </w:r>
      </w:hyperlink>
    </w:p>
    <w:p w14:paraId="0557908A"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3.</w:t>
      </w:r>
      <w:r w:rsidRPr="00616B4D">
        <w:rPr>
          <w:rFonts w:ascii="Arial" w:hAnsi="Arial" w:cs="Arial"/>
          <w:color w:val="000000"/>
          <w:sz w:val="28"/>
          <w:szCs w:val="28"/>
          <w:lang w:val="en-US"/>
        </w:rPr>
        <w:tab/>
      </w:r>
      <w:hyperlink r:id="rId9">
        <w:r w:rsidRPr="00616B4D">
          <w:rPr>
            <w:rFonts w:ascii="Arial" w:hAnsi="Arial" w:cs="Arial"/>
            <w:color w:val="000000"/>
            <w:sz w:val="28"/>
            <w:szCs w:val="28"/>
            <w:lang w:val="en-US"/>
          </w:rPr>
          <w:t xml:space="preserve">Kurtz S, Ong K, Lau E, Mowat F, Halpern M. Projections of primary and revision hip and knee arthroplasty in the United States from 2005 to 2030. J Bone Joint Surg Am [Internet]. 2007 Apr;89(4):780–5. Available from: </w:t>
        </w:r>
      </w:hyperlink>
      <w:hyperlink r:id="rId10">
        <w:r w:rsidRPr="00616B4D">
          <w:rPr>
            <w:rFonts w:ascii="Arial" w:hAnsi="Arial" w:cs="Arial"/>
            <w:color w:val="000000"/>
            <w:sz w:val="28"/>
            <w:szCs w:val="28"/>
            <w:lang w:val="en-US"/>
          </w:rPr>
          <w:t>http://dx.doi.org/10.2106/JBJS.F.00222</w:t>
        </w:r>
      </w:hyperlink>
    </w:p>
    <w:p w14:paraId="0B509EA8"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4.</w:t>
      </w:r>
      <w:r w:rsidRPr="00616B4D">
        <w:rPr>
          <w:rFonts w:ascii="Arial" w:hAnsi="Arial" w:cs="Arial"/>
          <w:color w:val="000000"/>
          <w:sz w:val="28"/>
          <w:szCs w:val="28"/>
          <w:lang w:val="en-US"/>
        </w:rPr>
        <w:tab/>
      </w:r>
      <w:hyperlink r:id="rId11">
        <w:r w:rsidRPr="00616B4D">
          <w:rPr>
            <w:rFonts w:ascii="Arial" w:hAnsi="Arial" w:cs="Arial"/>
            <w:color w:val="000000"/>
            <w:sz w:val="28"/>
            <w:szCs w:val="28"/>
            <w:lang w:val="en-US"/>
          </w:rPr>
          <w:t xml:space="preserve">Scott CEH, Clement ND, Davis ET, Haddad FS. Modern total hip arthroplasty: peak of perfection or room for improvement? Bone Joint J [Internet]. 2022;104(B(2)):89–192. Available from: </w:t>
        </w:r>
      </w:hyperlink>
      <w:hyperlink r:id="rId12">
        <w:r w:rsidRPr="00616B4D">
          <w:rPr>
            <w:rFonts w:ascii="Arial" w:hAnsi="Arial" w:cs="Arial"/>
            <w:color w:val="000000"/>
            <w:sz w:val="28"/>
            <w:szCs w:val="28"/>
            <w:lang w:val="en-US"/>
          </w:rPr>
          <w:t>http://dx.doi.org/10.1302/0301-620X.104B2</w:t>
        </w:r>
      </w:hyperlink>
    </w:p>
    <w:p w14:paraId="2EE34011"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lastRenderedPageBreak/>
        <w:t>5.</w:t>
      </w:r>
      <w:r w:rsidRPr="00616B4D">
        <w:rPr>
          <w:rFonts w:ascii="Arial" w:hAnsi="Arial" w:cs="Arial"/>
          <w:color w:val="000000"/>
          <w:sz w:val="28"/>
          <w:szCs w:val="28"/>
          <w:lang w:val="en-US"/>
        </w:rPr>
        <w:tab/>
      </w:r>
      <w:hyperlink r:id="rId13">
        <w:r w:rsidRPr="00616B4D">
          <w:rPr>
            <w:rFonts w:ascii="Arial" w:hAnsi="Arial" w:cs="Arial"/>
            <w:color w:val="000000"/>
            <w:sz w:val="28"/>
            <w:szCs w:val="28"/>
            <w:lang w:val="en-US"/>
          </w:rPr>
          <w:t xml:space="preserve">Miller LE, Gondusky JS, Bhattacharyya S, Kamath AF, Boettner F, Wright J. Does Surgical Approach Affect Outcomes in Total Hip Arthroplasty Through 90 Days of Follow-Up? A Systematic Review With Meta-Analysis. J Arthroplasty [Internet]. 2018 Apr;33(4):1296–302. Available from: </w:t>
        </w:r>
      </w:hyperlink>
      <w:hyperlink r:id="rId14">
        <w:r w:rsidRPr="00616B4D">
          <w:rPr>
            <w:rFonts w:ascii="Arial" w:hAnsi="Arial" w:cs="Arial"/>
            <w:color w:val="000000"/>
            <w:sz w:val="28"/>
            <w:szCs w:val="28"/>
            <w:lang w:val="en-US"/>
          </w:rPr>
          <w:t>http://dx.doi.org/10.1016/j.arth.2017.11.011</w:t>
        </w:r>
      </w:hyperlink>
    </w:p>
    <w:p w14:paraId="5F1D8605"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6.</w:t>
      </w:r>
      <w:r w:rsidRPr="00616B4D">
        <w:rPr>
          <w:rFonts w:ascii="Arial" w:hAnsi="Arial" w:cs="Arial"/>
          <w:color w:val="000000"/>
          <w:sz w:val="28"/>
          <w:szCs w:val="28"/>
          <w:lang w:val="en-US"/>
        </w:rPr>
        <w:tab/>
      </w:r>
      <w:hyperlink r:id="rId15">
        <w:r w:rsidRPr="00616B4D">
          <w:rPr>
            <w:rFonts w:ascii="Arial" w:hAnsi="Arial" w:cs="Arial"/>
            <w:color w:val="000000"/>
            <w:sz w:val="28"/>
            <w:szCs w:val="28"/>
            <w:lang w:val="en-US"/>
          </w:rPr>
          <w:t xml:space="preserve">Moore AT. Metal hip joint; a new self-locking vitallium prosthesis. South Med J [Internet]. 1952 Nov;45](11):1015–9. Available from: </w:t>
        </w:r>
      </w:hyperlink>
      <w:hyperlink r:id="rId16">
        <w:r w:rsidRPr="00616B4D">
          <w:rPr>
            <w:rFonts w:ascii="Arial" w:hAnsi="Arial" w:cs="Arial"/>
            <w:color w:val="000000"/>
            <w:sz w:val="28"/>
            <w:szCs w:val="28"/>
            <w:lang w:val="en-US"/>
          </w:rPr>
          <w:t>http://dx.doi.org/10.1097/00007611-195211000-00001</w:t>
        </w:r>
      </w:hyperlink>
    </w:p>
    <w:p w14:paraId="0AAB505A"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7.</w:t>
      </w:r>
      <w:r w:rsidRPr="00616B4D">
        <w:rPr>
          <w:rFonts w:ascii="Arial" w:hAnsi="Arial" w:cs="Arial"/>
          <w:color w:val="000000"/>
          <w:sz w:val="28"/>
          <w:szCs w:val="28"/>
          <w:lang w:val="en-US"/>
        </w:rPr>
        <w:tab/>
      </w:r>
      <w:hyperlink r:id="rId17">
        <w:r w:rsidRPr="00616B4D">
          <w:rPr>
            <w:rFonts w:ascii="Arial" w:hAnsi="Arial" w:cs="Arial"/>
            <w:color w:val="000000"/>
            <w:sz w:val="28"/>
            <w:szCs w:val="28"/>
            <w:lang w:val="en-US"/>
          </w:rPr>
          <w:t xml:space="preserve">Somford MP, Hoornenborg D, Wiegerinck JI, Bolder SBT, Schreurs BW. Eponymous hip joint approaches. Arch Orthop Trauma Surg [Internet]. 2016 Jul;136(7):1007–14. Available from: </w:t>
        </w:r>
      </w:hyperlink>
      <w:hyperlink r:id="rId18">
        <w:r w:rsidRPr="00616B4D">
          <w:rPr>
            <w:rFonts w:ascii="Arial" w:hAnsi="Arial" w:cs="Arial"/>
            <w:color w:val="000000"/>
            <w:sz w:val="28"/>
            <w:szCs w:val="28"/>
            <w:lang w:val="en-US"/>
          </w:rPr>
          <w:t>http://dx.doi.org/10.1007/s00402-016-2456-2</w:t>
        </w:r>
      </w:hyperlink>
    </w:p>
    <w:p w14:paraId="69363AB3"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8.</w:t>
      </w:r>
      <w:r w:rsidRPr="00616B4D">
        <w:rPr>
          <w:rFonts w:ascii="Arial" w:hAnsi="Arial" w:cs="Arial"/>
          <w:color w:val="000000"/>
          <w:sz w:val="28"/>
          <w:szCs w:val="28"/>
          <w:lang w:val="en-US"/>
        </w:rPr>
        <w:tab/>
      </w:r>
      <w:hyperlink r:id="rId19">
        <w:r w:rsidRPr="00616B4D">
          <w:rPr>
            <w:rFonts w:ascii="Arial" w:hAnsi="Arial" w:cs="Arial"/>
            <w:color w:val="000000"/>
            <w:sz w:val="28"/>
            <w:szCs w:val="28"/>
            <w:lang w:val="en-US"/>
          </w:rPr>
          <w:t xml:space="preserve">Hardinge K. The direct lateral approach to the hip. J Bone Joint Surg Br [Internet]. 1982;64(1):17–9. Available from: </w:t>
        </w:r>
      </w:hyperlink>
      <w:hyperlink r:id="rId20">
        <w:r w:rsidRPr="00616B4D">
          <w:rPr>
            <w:rFonts w:ascii="Arial" w:hAnsi="Arial" w:cs="Arial"/>
            <w:color w:val="000000"/>
            <w:sz w:val="28"/>
            <w:szCs w:val="28"/>
            <w:lang w:val="en-US"/>
          </w:rPr>
          <w:t>http://dx.doi.org/10.1302/0301-620X.64B1.7068713</w:t>
        </w:r>
      </w:hyperlink>
    </w:p>
    <w:p w14:paraId="6076D318"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rPr>
        <w:t>9.</w:t>
      </w:r>
      <w:r w:rsidRPr="00616B4D">
        <w:rPr>
          <w:rFonts w:ascii="Arial" w:hAnsi="Arial" w:cs="Arial"/>
          <w:color w:val="000000"/>
          <w:sz w:val="28"/>
          <w:szCs w:val="28"/>
        </w:rPr>
        <w:tab/>
      </w:r>
      <w:hyperlink r:id="rId21">
        <w:proofErr w:type="spellStart"/>
        <w:r w:rsidRPr="00616B4D">
          <w:rPr>
            <w:rFonts w:ascii="Arial" w:hAnsi="Arial" w:cs="Arial"/>
            <w:color w:val="000000"/>
            <w:sz w:val="28"/>
            <w:szCs w:val="28"/>
          </w:rPr>
          <w:t>Hueter</w:t>
        </w:r>
        <w:proofErr w:type="spellEnd"/>
        <w:r w:rsidRPr="00616B4D">
          <w:rPr>
            <w:rFonts w:ascii="Arial" w:hAnsi="Arial" w:cs="Arial"/>
            <w:color w:val="000000"/>
            <w:sz w:val="28"/>
            <w:szCs w:val="28"/>
          </w:rPr>
          <w:t xml:space="preserve"> C. </w:t>
        </w:r>
        <w:proofErr w:type="spellStart"/>
        <w:r w:rsidRPr="00616B4D">
          <w:rPr>
            <w:rFonts w:ascii="Arial" w:hAnsi="Arial" w:cs="Arial"/>
            <w:color w:val="000000"/>
            <w:sz w:val="28"/>
            <w:szCs w:val="28"/>
          </w:rPr>
          <w:t>Grundriss</w:t>
        </w:r>
        <w:proofErr w:type="spellEnd"/>
        <w:r w:rsidRPr="00616B4D">
          <w:rPr>
            <w:rFonts w:ascii="Arial" w:hAnsi="Arial" w:cs="Arial"/>
            <w:color w:val="000000"/>
            <w:sz w:val="28"/>
            <w:szCs w:val="28"/>
          </w:rPr>
          <w:t xml:space="preserve"> der </w:t>
        </w:r>
        <w:proofErr w:type="spellStart"/>
        <w:r w:rsidRPr="00616B4D">
          <w:rPr>
            <w:rFonts w:ascii="Arial" w:hAnsi="Arial" w:cs="Arial"/>
            <w:color w:val="000000"/>
            <w:sz w:val="28"/>
            <w:szCs w:val="28"/>
          </w:rPr>
          <w:t>Chirurgie</w:t>
        </w:r>
        <w:proofErr w:type="spellEnd"/>
        <w:r w:rsidRPr="00616B4D">
          <w:rPr>
            <w:rFonts w:ascii="Arial" w:hAnsi="Arial" w:cs="Arial"/>
            <w:color w:val="000000"/>
            <w:sz w:val="28"/>
            <w:szCs w:val="28"/>
          </w:rPr>
          <w:t xml:space="preserve"> 2. </w:t>
        </w:r>
        <w:r w:rsidRPr="00616B4D">
          <w:rPr>
            <w:rFonts w:ascii="Arial" w:hAnsi="Arial" w:cs="Arial"/>
            <w:color w:val="000000"/>
            <w:sz w:val="28"/>
            <w:szCs w:val="28"/>
            <w:lang w:val="en-US"/>
          </w:rPr>
          <w:t>FCW Vogel. 1883;129–200.</w:t>
        </w:r>
      </w:hyperlink>
    </w:p>
    <w:p w14:paraId="498D3967"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10.</w:t>
      </w:r>
      <w:r w:rsidRPr="00616B4D">
        <w:rPr>
          <w:rFonts w:ascii="Arial" w:hAnsi="Arial" w:cs="Arial"/>
          <w:color w:val="000000"/>
          <w:sz w:val="28"/>
          <w:szCs w:val="28"/>
          <w:lang w:val="en-US"/>
        </w:rPr>
        <w:tab/>
      </w:r>
      <w:hyperlink r:id="rId22">
        <w:r w:rsidRPr="00616B4D">
          <w:rPr>
            <w:rFonts w:ascii="Arial" w:hAnsi="Arial" w:cs="Arial"/>
            <w:color w:val="000000"/>
            <w:sz w:val="28"/>
            <w:szCs w:val="28"/>
            <w:lang w:val="en-US"/>
          </w:rPr>
          <w:t xml:space="preserve">Smith-Petersen MN. Evolution of mould arthroplasty of the hip joint. J Bone Joint Surg Br [Internet]. 1948 Feb;30B(1):59–75. Available from: </w:t>
        </w:r>
      </w:hyperlink>
      <w:hyperlink r:id="rId23">
        <w:r w:rsidRPr="00616B4D">
          <w:rPr>
            <w:rFonts w:ascii="Arial" w:hAnsi="Arial" w:cs="Arial"/>
            <w:color w:val="000000"/>
            <w:sz w:val="28"/>
            <w:szCs w:val="28"/>
            <w:lang w:val="en-US"/>
          </w:rPr>
          <w:t>https://www.ncbi.nlm.nih.gov/pubmed/18864947</w:t>
        </w:r>
      </w:hyperlink>
    </w:p>
    <w:p w14:paraId="49DFFDA8"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11.</w:t>
      </w:r>
      <w:r w:rsidRPr="00616B4D">
        <w:rPr>
          <w:rFonts w:ascii="Arial" w:hAnsi="Arial" w:cs="Arial"/>
          <w:color w:val="000000"/>
          <w:sz w:val="28"/>
          <w:szCs w:val="28"/>
          <w:lang w:val="en-US"/>
        </w:rPr>
        <w:tab/>
      </w:r>
      <w:hyperlink r:id="rId24">
        <w:r w:rsidRPr="00616B4D">
          <w:rPr>
            <w:rFonts w:ascii="Arial" w:hAnsi="Arial" w:cs="Arial"/>
            <w:color w:val="000000"/>
            <w:sz w:val="28"/>
            <w:szCs w:val="28"/>
            <w:lang w:val="en-US"/>
          </w:rPr>
          <w:t xml:space="preserve">Hanly RJ, Sokolowski S, Timperley AJ. The SPAIRE technique allows sparing of the piriformis and obturator internus in a modified posterior approach to the hip. Hip Int [Internet]. 2017 Mar 31;27(2):205–9. Available from: </w:t>
        </w:r>
      </w:hyperlink>
      <w:hyperlink r:id="rId25">
        <w:r w:rsidRPr="00616B4D">
          <w:rPr>
            <w:rFonts w:ascii="Arial" w:hAnsi="Arial" w:cs="Arial"/>
            <w:color w:val="000000"/>
            <w:sz w:val="28"/>
            <w:szCs w:val="28"/>
            <w:lang w:val="en-US"/>
          </w:rPr>
          <w:t>http://dx.doi.org/10.5301/hipint.5000490</w:t>
        </w:r>
      </w:hyperlink>
    </w:p>
    <w:p w14:paraId="3112FCAF"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12.</w:t>
      </w:r>
      <w:r w:rsidRPr="00616B4D">
        <w:rPr>
          <w:rFonts w:ascii="Arial" w:hAnsi="Arial" w:cs="Arial"/>
          <w:color w:val="000000"/>
          <w:sz w:val="28"/>
          <w:szCs w:val="28"/>
          <w:lang w:val="en-US"/>
        </w:rPr>
        <w:tab/>
      </w:r>
      <w:hyperlink r:id="rId26">
        <w:r w:rsidRPr="00616B4D">
          <w:rPr>
            <w:rFonts w:ascii="Arial" w:hAnsi="Arial" w:cs="Arial"/>
            <w:color w:val="000000"/>
            <w:sz w:val="28"/>
            <w:szCs w:val="28"/>
            <w:lang w:val="en-US"/>
          </w:rPr>
          <w:t xml:space="preserve">Kucukdurmaz F, Sukeik M, Parvizi J. A meta-analysis comparing the direct anterior with other approaches in primary total hip arthroplasty. Surgeon [Internet]. 2018 Oct 22; Available from: </w:t>
        </w:r>
      </w:hyperlink>
      <w:hyperlink r:id="rId27">
        <w:r w:rsidRPr="00616B4D">
          <w:rPr>
            <w:rFonts w:ascii="Arial" w:hAnsi="Arial" w:cs="Arial"/>
            <w:color w:val="000000"/>
            <w:sz w:val="28"/>
            <w:szCs w:val="28"/>
            <w:lang w:val="en-US"/>
          </w:rPr>
          <w:t>http://dx.doi.org/10.1016/j.surge.2018.09.001</w:t>
        </w:r>
      </w:hyperlink>
    </w:p>
    <w:p w14:paraId="40749992"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13.</w:t>
      </w:r>
      <w:r w:rsidRPr="00616B4D">
        <w:rPr>
          <w:rFonts w:ascii="Arial" w:hAnsi="Arial" w:cs="Arial"/>
          <w:color w:val="000000"/>
          <w:sz w:val="28"/>
          <w:szCs w:val="28"/>
          <w:lang w:val="en-US"/>
        </w:rPr>
        <w:tab/>
      </w:r>
      <w:hyperlink r:id="rId28">
        <w:r w:rsidRPr="00616B4D">
          <w:rPr>
            <w:rFonts w:ascii="Arial" w:hAnsi="Arial" w:cs="Arial"/>
            <w:color w:val="000000"/>
            <w:sz w:val="28"/>
            <w:szCs w:val="28"/>
            <w:lang w:val="en-US"/>
          </w:rPr>
          <w:t xml:space="preserve">Lewinnek GE, Lewis JL, Tarr R, Compere CL, Zimmerman JR. Dislocations after total hip-replacement arthroplasties. J Bone Joint Surg Am [Internet]. 1978 Mar;60(2):217–20. Available from: </w:t>
        </w:r>
      </w:hyperlink>
      <w:hyperlink r:id="rId29">
        <w:r w:rsidRPr="00616B4D">
          <w:rPr>
            <w:rFonts w:ascii="Arial" w:hAnsi="Arial" w:cs="Arial"/>
            <w:color w:val="000000"/>
            <w:sz w:val="28"/>
            <w:szCs w:val="28"/>
            <w:lang w:val="en-US"/>
          </w:rPr>
          <w:t>https://www.ncbi.nlm.nih.gov/pubmed/641088</w:t>
        </w:r>
      </w:hyperlink>
    </w:p>
    <w:p w14:paraId="54344144"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14.</w:t>
      </w:r>
      <w:r w:rsidRPr="00616B4D">
        <w:rPr>
          <w:rFonts w:ascii="Arial" w:hAnsi="Arial" w:cs="Arial"/>
          <w:color w:val="000000"/>
          <w:sz w:val="28"/>
          <w:szCs w:val="28"/>
          <w:lang w:val="en-US"/>
        </w:rPr>
        <w:tab/>
      </w:r>
      <w:hyperlink r:id="rId30">
        <w:r w:rsidRPr="00616B4D">
          <w:rPr>
            <w:rFonts w:ascii="Arial" w:hAnsi="Arial" w:cs="Arial"/>
            <w:color w:val="000000"/>
            <w:sz w:val="28"/>
            <w:szCs w:val="28"/>
            <w:lang w:val="en-US"/>
          </w:rPr>
          <w:t xml:space="preserve">Murphy WS, Yun HH, Hayden B, Kowal JH, Murphy SB. The Safe Zone Range for Cup Anteversion Is Narrower Than for </w:t>
        </w:r>
        <w:r w:rsidRPr="00616B4D">
          <w:rPr>
            <w:rFonts w:ascii="Arial" w:hAnsi="Arial" w:cs="Arial"/>
            <w:color w:val="000000"/>
            <w:sz w:val="28"/>
            <w:szCs w:val="28"/>
            <w:lang w:val="en-US"/>
          </w:rPr>
          <w:lastRenderedPageBreak/>
          <w:t xml:space="preserve">Inclination in THA. Clin Orthop Relat Res [Internet]. 2018 Feb;476(2):325–35. Available from: </w:t>
        </w:r>
      </w:hyperlink>
      <w:hyperlink r:id="rId31">
        <w:r w:rsidRPr="00616B4D">
          <w:rPr>
            <w:rFonts w:ascii="Arial" w:hAnsi="Arial" w:cs="Arial"/>
            <w:color w:val="000000"/>
            <w:sz w:val="28"/>
            <w:szCs w:val="28"/>
            <w:lang w:val="en-US"/>
          </w:rPr>
          <w:t>http://dx.doi.org/10.1007/s11999.0000000000000051</w:t>
        </w:r>
      </w:hyperlink>
    </w:p>
    <w:p w14:paraId="73B8B5A0"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15.</w:t>
      </w:r>
      <w:r w:rsidRPr="00616B4D">
        <w:rPr>
          <w:rFonts w:ascii="Arial" w:hAnsi="Arial" w:cs="Arial"/>
          <w:color w:val="000000"/>
          <w:sz w:val="28"/>
          <w:szCs w:val="28"/>
          <w:lang w:val="en-US"/>
        </w:rPr>
        <w:tab/>
      </w:r>
      <w:hyperlink r:id="rId32">
        <w:r w:rsidRPr="00616B4D">
          <w:rPr>
            <w:rFonts w:ascii="Arial" w:hAnsi="Arial" w:cs="Arial"/>
            <w:color w:val="000000"/>
            <w:sz w:val="28"/>
            <w:szCs w:val="28"/>
            <w:lang w:val="en-US"/>
          </w:rPr>
          <w:t xml:space="preserve">Seagrave KG, Troelsen A, Malchau H, Husted H, Gromov K. Acetabular cup position and risk of dislocation in primary total hip arthroplasty. Acta Orthop [Internet]. 2017 Feb;88(1):10–7. Available from: </w:t>
        </w:r>
      </w:hyperlink>
      <w:hyperlink r:id="rId33">
        <w:r w:rsidRPr="00616B4D">
          <w:rPr>
            <w:rFonts w:ascii="Arial" w:hAnsi="Arial" w:cs="Arial"/>
            <w:color w:val="000000"/>
            <w:sz w:val="28"/>
            <w:szCs w:val="28"/>
            <w:lang w:val="en-US"/>
          </w:rPr>
          <w:t>http://dx.doi.org/10.1080/17453674.2016.1251255</w:t>
        </w:r>
      </w:hyperlink>
    </w:p>
    <w:p w14:paraId="101CB8DC"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16.</w:t>
      </w:r>
      <w:r w:rsidRPr="00616B4D">
        <w:rPr>
          <w:rFonts w:ascii="Arial" w:hAnsi="Arial" w:cs="Arial"/>
          <w:color w:val="000000"/>
          <w:sz w:val="28"/>
          <w:szCs w:val="28"/>
          <w:lang w:val="en-US"/>
        </w:rPr>
        <w:tab/>
      </w:r>
      <w:hyperlink r:id="rId34">
        <w:r w:rsidRPr="00616B4D">
          <w:rPr>
            <w:rFonts w:ascii="Arial" w:hAnsi="Arial" w:cs="Arial"/>
            <w:color w:val="000000"/>
            <w:sz w:val="28"/>
            <w:szCs w:val="28"/>
            <w:lang w:val="en-US"/>
          </w:rPr>
          <w:t xml:space="preserve">Timperley AJ, Biau D, Chew D, Whitehouse SL. Dislocation after total hip replacement - there is no such thing as a safe zone for socket placement with the posterior approach. Hip Int [Internet]. 2016 Mar;26(2):121–7. Available from: </w:t>
        </w:r>
      </w:hyperlink>
      <w:hyperlink r:id="rId35">
        <w:r w:rsidRPr="00616B4D">
          <w:rPr>
            <w:rFonts w:ascii="Arial" w:hAnsi="Arial" w:cs="Arial"/>
            <w:color w:val="000000"/>
            <w:sz w:val="28"/>
            <w:szCs w:val="28"/>
            <w:lang w:val="en-US"/>
          </w:rPr>
          <w:t>http://dx.doi.org/10.5301/hipint.5000318</w:t>
        </w:r>
      </w:hyperlink>
    </w:p>
    <w:p w14:paraId="38EC7B9B"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17.</w:t>
      </w:r>
      <w:r w:rsidRPr="00616B4D">
        <w:rPr>
          <w:rFonts w:ascii="Arial" w:hAnsi="Arial" w:cs="Arial"/>
          <w:color w:val="000000"/>
          <w:sz w:val="28"/>
          <w:szCs w:val="28"/>
          <w:lang w:val="en-US"/>
        </w:rPr>
        <w:tab/>
      </w:r>
      <w:hyperlink r:id="rId36">
        <w:r w:rsidRPr="00616B4D">
          <w:rPr>
            <w:rFonts w:ascii="Arial" w:hAnsi="Arial" w:cs="Arial"/>
            <w:color w:val="000000"/>
            <w:sz w:val="28"/>
            <w:szCs w:val="28"/>
            <w:lang w:val="en-US"/>
          </w:rPr>
          <w:t xml:space="preserve">Jolles BM, Zangger P, Leyvraz PF Prof. Factors predisposing to dislocation after primary total hip arthroplasty. J Arthroplasty [Internet]. 2002 Apr;17(3):282–8. Available from: </w:t>
        </w:r>
      </w:hyperlink>
      <w:hyperlink r:id="rId37">
        <w:r w:rsidRPr="00616B4D">
          <w:rPr>
            <w:rFonts w:ascii="Arial" w:hAnsi="Arial" w:cs="Arial"/>
            <w:color w:val="000000"/>
            <w:sz w:val="28"/>
            <w:szCs w:val="28"/>
            <w:lang w:val="en-US"/>
          </w:rPr>
          <w:t>http://linkinghub.elsevier.com/retrieve/pii/S0883540302884819</w:t>
        </w:r>
      </w:hyperlink>
    </w:p>
    <w:p w14:paraId="634EBF2D"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18.</w:t>
      </w:r>
      <w:r w:rsidRPr="00616B4D">
        <w:rPr>
          <w:rFonts w:ascii="Arial" w:hAnsi="Arial" w:cs="Arial"/>
          <w:color w:val="000000"/>
          <w:sz w:val="28"/>
          <w:szCs w:val="28"/>
          <w:lang w:val="en-US"/>
        </w:rPr>
        <w:tab/>
      </w:r>
      <w:hyperlink r:id="rId38">
        <w:r w:rsidRPr="00616B4D">
          <w:rPr>
            <w:rFonts w:ascii="Arial" w:hAnsi="Arial" w:cs="Arial"/>
            <w:color w:val="000000"/>
            <w:sz w:val="28"/>
            <w:szCs w:val="28"/>
            <w:lang w:val="en-US"/>
          </w:rPr>
          <w:t xml:space="preserve">Kalteis T, Handel M, Herold T, Perlick L, Paetzel C, Grifka J. Position of the acetabular cup -- accuracy of radiographic calculation compared to CT-based measurement. Eur J Radiol [Internet]. 2006 May;58(2):294–300. Available from: </w:t>
        </w:r>
      </w:hyperlink>
      <w:hyperlink r:id="rId39">
        <w:r w:rsidRPr="00616B4D">
          <w:rPr>
            <w:rFonts w:ascii="Arial" w:hAnsi="Arial" w:cs="Arial"/>
            <w:color w:val="000000"/>
            <w:sz w:val="28"/>
            <w:szCs w:val="28"/>
            <w:lang w:val="en-US"/>
          </w:rPr>
          <w:t>http://dx.doi.org/10.1016/j.ejrad.2005.10.003</w:t>
        </w:r>
      </w:hyperlink>
    </w:p>
    <w:p w14:paraId="5F090154"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19.</w:t>
      </w:r>
      <w:r w:rsidRPr="00616B4D">
        <w:rPr>
          <w:rFonts w:ascii="Arial" w:hAnsi="Arial" w:cs="Arial"/>
          <w:color w:val="000000"/>
          <w:sz w:val="28"/>
          <w:szCs w:val="28"/>
          <w:lang w:val="en-US"/>
        </w:rPr>
        <w:tab/>
      </w:r>
      <w:hyperlink r:id="rId40">
        <w:r w:rsidRPr="00616B4D">
          <w:rPr>
            <w:rFonts w:ascii="Arial" w:hAnsi="Arial" w:cs="Arial"/>
            <w:color w:val="000000"/>
            <w:sz w:val="28"/>
            <w:szCs w:val="28"/>
            <w:lang w:val="en-US"/>
          </w:rPr>
          <w:t xml:space="preserve">Murray DW. The definition and measurement of acetabular orientation. J Bone Joint Surg Br [Internet]. 1993 Mar;75(2):228–32. Available from: </w:t>
        </w:r>
      </w:hyperlink>
      <w:hyperlink r:id="rId41">
        <w:r w:rsidRPr="00616B4D">
          <w:rPr>
            <w:rFonts w:ascii="Arial" w:hAnsi="Arial" w:cs="Arial"/>
            <w:color w:val="000000"/>
            <w:sz w:val="28"/>
            <w:szCs w:val="28"/>
            <w:lang w:val="en-US"/>
          </w:rPr>
          <w:t>http://dx.doi.org/10.1302/0301-620X.75B2.8444942</w:t>
        </w:r>
      </w:hyperlink>
    </w:p>
    <w:p w14:paraId="7784E780" w14:textId="77777777" w:rsidR="00616B4D" w:rsidRPr="00616B4D" w:rsidRDefault="00616B4D" w:rsidP="00616B4D">
      <w:pPr>
        <w:widowControl w:val="0"/>
        <w:pBdr>
          <w:top w:val="nil"/>
          <w:left w:val="nil"/>
          <w:bottom w:val="nil"/>
          <w:right w:val="nil"/>
          <w:between w:val="nil"/>
        </w:pBdr>
        <w:spacing w:after="240"/>
        <w:ind w:left="480" w:hanging="480"/>
        <w:rPr>
          <w:rFonts w:ascii="Arial" w:hAnsi="Arial" w:cs="Arial"/>
          <w:color w:val="000000"/>
          <w:sz w:val="28"/>
          <w:szCs w:val="28"/>
          <w:lang w:val="en-US"/>
        </w:rPr>
      </w:pPr>
      <w:r w:rsidRPr="00616B4D">
        <w:rPr>
          <w:rFonts w:ascii="Arial" w:hAnsi="Arial" w:cs="Arial"/>
          <w:color w:val="000000"/>
          <w:sz w:val="28"/>
          <w:szCs w:val="28"/>
          <w:lang w:val="en-US"/>
        </w:rPr>
        <w:t>20.</w:t>
      </w:r>
      <w:r w:rsidRPr="00616B4D">
        <w:rPr>
          <w:rFonts w:ascii="Arial" w:hAnsi="Arial" w:cs="Arial"/>
          <w:color w:val="000000"/>
          <w:sz w:val="28"/>
          <w:szCs w:val="28"/>
          <w:lang w:val="en-US"/>
        </w:rPr>
        <w:tab/>
      </w:r>
      <w:hyperlink r:id="rId42">
        <w:r w:rsidRPr="00616B4D">
          <w:rPr>
            <w:rFonts w:ascii="Arial" w:hAnsi="Arial" w:cs="Arial"/>
            <w:color w:val="000000"/>
            <w:sz w:val="28"/>
            <w:szCs w:val="28"/>
            <w:lang w:val="en-US"/>
          </w:rPr>
          <w:t xml:space="preserve">Browne W, Nair BKR. The Timed Up and Go test. Med J Aust [Internet]. 2019 Jan;210(1):13–4.e1. Available from: </w:t>
        </w:r>
      </w:hyperlink>
      <w:hyperlink r:id="rId43">
        <w:r w:rsidRPr="00616B4D">
          <w:rPr>
            <w:rFonts w:ascii="Arial" w:hAnsi="Arial" w:cs="Arial"/>
            <w:color w:val="000000"/>
            <w:sz w:val="28"/>
            <w:szCs w:val="28"/>
            <w:lang w:val="en-US"/>
          </w:rPr>
          <w:t>http://dx.doi.org/10.5694/mja2.12045</w:t>
        </w:r>
      </w:hyperlink>
    </w:p>
    <w:p w14:paraId="26D3DF2E" w14:textId="77777777" w:rsidR="00616B4D" w:rsidRPr="00616B4D" w:rsidRDefault="00616B4D" w:rsidP="00616B4D">
      <w:pPr>
        <w:spacing w:line="360" w:lineRule="auto"/>
        <w:ind w:firstLine="360"/>
        <w:jc w:val="both"/>
        <w:rPr>
          <w:rFonts w:ascii="Arial" w:hAnsi="Arial" w:cs="Arial"/>
          <w:sz w:val="28"/>
          <w:szCs w:val="28"/>
          <w:lang w:val="en-US"/>
        </w:rPr>
      </w:pPr>
    </w:p>
    <w:sectPr w:rsidR="00616B4D" w:rsidRPr="00616B4D" w:rsidSect="00705558">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152D56"/>
    <w:multiLevelType w:val="hybridMultilevel"/>
    <w:tmpl w:val="868AF69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110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E3"/>
    <w:rsid w:val="001F7B11"/>
    <w:rsid w:val="00450129"/>
    <w:rsid w:val="00616B4D"/>
    <w:rsid w:val="00705558"/>
    <w:rsid w:val="007311DF"/>
    <w:rsid w:val="007830A2"/>
    <w:rsid w:val="008409E9"/>
    <w:rsid w:val="008628B4"/>
    <w:rsid w:val="008B27A5"/>
    <w:rsid w:val="009456F0"/>
    <w:rsid w:val="00B30ECD"/>
    <w:rsid w:val="00E816AD"/>
    <w:rsid w:val="00F871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8FC641E"/>
  <w15:chartTrackingRefBased/>
  <w15:docId w15:val="{186412B2-5DFA-4B40-AE5D-6302680FD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F7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perpile.com/b/oX1Wi4/qWmQ" TargetMode="External"/><Relationship Id="rId18" Type="http://schemas.openxmlformats.org/officeDocument/2006/relationships/hyperlink" Target="http://dx.doi.org/10.1007/s00402-016-2456-2" TargetMode="External"/><Relationship Id="rId26" Type="http://schemas.openxmlformats.org/officeDocument/2006/relationships/hyperlink" Target="http://paperpile.com/b/oX1Wi4/AWh3" TargetMode="External"/><Relationship Id="rId39" Type="http://schemas.openxmlformats.org/officeDocument/2006/relationships/hyperlink" Target="http://dx.doi.org/10.1016/j.ejrad.2005.10.003" TargetMode="External"/><Relationship Id="rId21" Type="http://schemas.openxmlformats.org/officeDocument/2006/relationships/hyperlink" Target="http://paperpile.com/b/oX1Wi4/pheY" TargetMode="External"/><Relationship Id="rId34" Type="http://schemas.openxmlformats.org/officeDocument/2006/relationships/hyperlink" Target="http://paperpile.com/b/oX1Wi4/PMPu" TargetMode="External"/><Relationship Id="rId42" Type="http://schemas.openxmlformats.org/officeDocument/2006/relationships/hyperlink" Target="http://paperpile.com/b/oX1Wi4/Tdim" TargetMode="External"/><Relationship Id="rId7" Type="http://schemas.openxmlformats.org/officeDocument/2006/relationships/hyperlink" Target="http://paperpile.com/b/oX1Wi4/nUa7" TargetMode="External"/><Relationship Id="rId2" Type="http://schemas.openxmlformats.org/officeDocument/2006/relationships/styles" Target="styles.xml"/><Relationship Id="rId16" Type="http://schemas.openxmlformats.org/officeDocument/2006/relationships/hyperlink" Target="http://dx.doi.org/10.1097/00007611-195211000-00001" TargetMode="External"/><Relationship Id="rId29" Type="http://schemas.openxmlformats.org/officeDocument/2006/relationships/hyperlink" Target="https://www.ncbi.nlm.nih.gov/pubmed/641088" TargetMode="External"/><Relationship Id="rId1" Type="http://schemas.openxmlformats.org/officeDocument/2006/relationships/numbering" Target="numbering.xml"/><Relationship Id="rId6" Type="http://schemas.openxmlformats.org/officeDocument/2006/relationships/hyperlink" Target="http://www.thelancet.com/article/S0140673607604577/abstract" TargetMode="External"/><Relationship Id="rId11" Type="http://schemas.openxmlformats.org/officeDocument/2006/relationships/hyperlink" Target="http://paperpile.com/b/oX1Wi4/5z5P" TargetMode="External"/><Relationship Id="rId24" Type="http://schemas.openxmlformats.org/officeDocument/2006/relationships/hyperlink" Target="http://paperpile.com/b/oX1Wi4/kgpq" TargetMode="External"/><Relationship Id="rId32" Type="http://schemas.openxmlformats.org/officeDocument/2006/relationships/hyperlink" Target="http://paperpile.com/b/oX1Wi4/OPc4" TargetMode="External"/><Relationship Id="rId37" Type="http://schemas.openxmlformats.org/officeDocument/2006/relationships/hyperlink" Target="http://linkinghub.elsevier.com/retrieve/pii/S0883540302884819" TargetMode="External"/><Relationship Id="rId40" Type="http://schemas.openxmlformats.org/officeDocument/2006/relationships/hyperlink" Target="http://paperpile.com/b/oX1Wi4/xQbj" TargetMode="External"/><Relationship Id="rId45" Type="http://schemas.openxmlformats.org/officeDocument/2006/relationships/theme" Target="theme/theme1.xml"/><Relationship Id="rId5" Type="http://schemas.openxmlformats.org/officeDocument/2006/relationships/hyperlink" Target="http://paperpile.com/b/oX1Wi4/3xbR" TargetMode="External"/><Relationship Id="rId15" Type="http://schemas.openxmlformats.org/officeDocument/2006/relationships/hyperlink" Target="http://paperpile.com/b/oX1Wi4/jEux" TargetMode="External"/><Relationship Id="rId23" Type="http://schemas.openxmlformats.org/officeDocument/2006/relationships/hyperlink" Target="https://www.ncbi.nlm.nih.gov/pubmed/18864947" TargetMode="External"/><Relationship Id="rId28" Type="http://schemas.openxmlformats.org/officeDocument/2006/relationships/hyperlink" Target="http://paperpile.com/b/oX1Wi4/XCb7" TargetMode="External"/><Relationship Id="rId36" Type="http://schemas.openxmlformats.org/officeDocument/2006/relationships/hyperlink" Target="http://paperpile.com/b/oX1Wi4/v2UW" TargetMode="External"/><Relationship Id="rId10" Type="http://schemas.openxmlformats.org/officeDocument/2006/relationships/hyperlink" Target="http://dx.doi.org/10.2106/JBJS.F.00222" TargetMode="External"/><Relationship Id="rId19" Type="http://schemas.openxmlformats.org/officeDocument/2006/relationships/hyperlink" Target="http://paperpile.com/b/oX1Wi4/HFYi" TargetMode="External"/><Relationship Id="rId31" Type="http://schemas.openxmlformats.org/officeDocument/2006/relationships/hyperlink" Target="http://dx.doi.org/10.1007/s11999.000000000000005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perpile.com/b/oX1Wi4/cs0L" TargetMode="External"/><Relationship Id="rId14" Type="http://schemas.openxmlformats.org/officeDocument/2006/relationships/hyperlink" Target="http://dx.doi.org/10.1016/j.arth.2017.11.011" TargetMode="External"/><Relationship Id="rId22" Type="http://schemas.openxmlformats.org/officeDocument/2006/relationships/hyperlink" Target="http://paperpile.com/b/oX1Wi4/OSE4" TargetMode="External"/><Relationship Id="rId27" Type="http://schemas.openxmlformats.org/officeDocument/2006/relationships/hyperlink" Target="http://dx.doi.org/10.1016/j.surge.2018.09.001" TargetMode="External"/><Relationship Id="rId30" Type="http://schemas.openxmlformats.org/officeDocument/2006/relationships/hyperlink" Target="http://paperpile.com/b/oX1Wi4/vSZT" TargetMode="External"/><Relationship Id="rId35" Type="http://schemas.openxmlformats.org/officeDocument/2006/relationships/hyperlink" Target="http://dx.doi.org/10.5301/hipint.5000318" TargetMode="External"/><Relationship Id="rId43" Type="http://schemas.openxmlformats.org/officeDocument/2006/relationships/hyperlink" Target="http://dx.doi.org/10.5694/mja2.12045" TargetMode="External"/><Relationship Id="rId8" Type="http://schemas.openxmlformats.org/officeDocument/2006/relationships/hyperlink" Target="http://dx.doi.org/10.1016/S0140-6736(18)31777-X" TargetMode="External"/><Relationship Id="rId3" Type="http://schemas.openxmlformats.org/officeDocument/2006/relationships/settings" Target="settings.xml"/><Relationship Id="rId12" Type="http://schemas.openxmlformats.org/officeDocument/2006/relationships/hyperlink" Target="http://dx.doi.org/10.1302/0301-620X.104B2" TargetMode="External"/><Relationship Id="rId17" Type="http://schemas.openxmlformats.org/officeDocument/2006/relationships/hyperlink" Target="http://paperpile.com/b/oX1Wi4/RAZK" TargetMode="External"/><Relationship Id="rId25" Type="http://schemas.openxmlformats.org/officeDocument/2006/relationships/hyperlink" Target="http://dx.doi.org/10.5301/hipint.5000490" TargetMode="External"/><Relationship Id="rId33" Type="http://schemas.openxmlformats.org/officeDocument/2006/relationships/hyperlink" Target="http://dx.doi.org/10.1080/17453674.2016.1251255" TargetMode="External"/><Relationship Id="rId38" Type="http://schemas.openxmlformats.org/officeDocument/2006/relationships/hyperlink" Target="http://paperpile.com/b/oX1Wi4/C4JK" TargetMode="External"/><Relationship Id="rId20" Type="http://schemas.openxmlformats.org/officeDocument/2006/relationships/hyperlink" Target="http://dx.doi.org/10.1302/0301-620X.64B1.7068713" TargetMode="External"/><Relationship Id="rId41" Type="http://schemas.openxmlformats.org/officeDocument/2006/relationships/hyperlink" Target="http://dx.doi.org/10.1302/0301-620X.75B2.8444942"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9</Pages>
  <Words>2528</Words>
  <Characters>13654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Rudelli</dc:creator>
  <cp:keywords/>
  <dc:description/>
  <cp:lastModifiedBy>Bruno Rudelli</cp:lastModifiedBy>
  <cp:revision>5</cp:revision>
  <dcterms:created xsi:type="dcterms:W3CDTF">2023-10-03T22:37:00Z</dcterms:created>
  <dcterms:modified xsi:type="dcterms:W3CDTF">2024-01-18T01:04:00Z</dcterms:modified>
</cp:coreProperties>
</file>