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77E1" w14:textId="77777777" w:rsidR="00256CA9" w:rsidRDefault="00256CA9" w:rsidP="00256CA9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UNIVERSIDADE FEDERAL DE MINAS GERAIS</w:t>
      </w:r>
    </w:p>
    <w:p w14:paraId="1BD8EBFA" w14:textId="77777777" w:rsidR="00256CA9" w:rsidRDefault="00256CA9" w:rsidP="00256CA9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FACULDADE DE MEDICINA</w:t>
      </w:r>
    </w:p>
    <w:p w14:paraId="6BE18566" w14:textId="77777777" w:rsidR="00256CA9" w:rsidRDefault="00256CA9" w:rsidP="00256CA9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45C78102" w14:textId="77777777" w:rsidR="00256CA9" w:rsidRDefault="00256CA9" w:rsidP="00256CA9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11ACF362" w14:textId="77777777" w:rsidR="00256CA9" w:rsidRDefault="00256CA9" w:rsidP="00256CA9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3301BF48" w14:textId="77777777" w:rsidR="00256CA9" w:rsidRDefault="00256CA9" w:rsidP="00256CA9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65140E56" w14:textId="77777777" w:rsidR="00256CA9" w:rsidRDefault="00256CA9" w:rsidP="00256CA9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4D76E9A2" w14:textId="77777777" w:rsidR="00256CA9" w:rsidRDefault="00256CA9" w:rsidP="00256CA9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65EDD75F" w14:textId="77777777" w:rsidR="00256CA9" w:rsidRDefault="00256CA9" w:rsidP="00256CA9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706C4A73" w14:textId="77777777" w:rsidR="00256CA9" w:rsidRDefault="00256CA9" w:rsidP="00256CA9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5D814FFC" w14:textId="2CD281D4" w:rsidR="00256CA9" w:rsidRPr="006670C9" w:rsidRDefault="006670C9" w:rsidP="006670C9">
      <w:pPr>
        <w:spacing w:line="360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6670C9">
        <w:rPr>
          <w:rFonts w:ascii="Arial" w:eastAsia="Arial" w:hAnsi="Arial" w:cs="Arial"/>
          <w:b/>
          <w:bCs/>
          <w:color w:val="000000" w:themeColor="text1"/>
        </w:rPr>
        <w:t xml:space="preserve">Efeitos da bandagem terapêutica no </w:t>
      </w:r>
      <w:proofErr w:type="spellStart"/>
      <w:r w:rsidRPr="006670C9">
        <w:rPr>
          <w:rFonts w:ascii="Arial" w:eastAsia="Arial" w:hAnsi="Arial" w:cs="Arial"/>
          <w:b/>
          <w:bCs/>
          <w:color w:val="000000" w:themeColor="text1"/>
        </w:rPr>
        <w:t>vedamento</w:t>
      </w:r>
      <w:proofErr w:type="spellEnd"/>
      <w:r w:rsidRPr="006670C9">
        <w:rPr>
          <w:rFonts w:ascii="Arial" w:eastAsia="Arial" w:hAnsi="Arial" w:cs="Arial"/>
          <w:b/>
          <w:bCs/>
          <w:color w:val="000000" w:themeColor="text1"/>
        </w:rPr>
        <w:t xml:space="preserve"> labial de crianças com Trissomia do</w:t>
      </w:r>
      <w:r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Pr="006670C9">
        <w:rPr>
          <w:rFonts w:ascii="Arial" w:eastAsia="Arial" w:hAnsi="Arial" w:cs="Arial"/>
          <w:b/>
          <w:bCs/>
          <w:color w:val="000000" w:themeColor="text1"/>
        </w:rPr>
        <w:t xml:space="preserve">21, comparação entre a bandagem inelástica, elástica e </w:t>
      </w:r>
      <w:proofErr w:type="spellStart"/>
      <w:r w:rsidRPr="006670C9">
        <w:rPr>
          <w:rFonts w:ascii="Arial" w:eastAsia="Arial" w:hAnsi="Arial" w:cs="Arial"/>
          <w:b/>
          <w:bCs/>
          <w:color w:val="000000" w:themeColor="text1"/>
        </w:rPr>
        <w:t>hiperelástica</w:t>
      </w:r>
      <w:proofErr w:type="spellEnd"/>
      <w:r w:rsidRPr="006670C9">
        <w:rPr>
          <w:rFonts w:ascii="Arial" w:eastAsia="Arial" w:hAnsi="Arial" w:cs="Arial"/>
          <w:b/>
          <w:bCs/>
          <w:color w:val="000000" w:themeColor="text1"/>
        </w:rPr>
        <w:t>: ensaio clínico</w:t>
      </w:r>
      <w:r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Pr="006670C9">
        <w:rPr>
          <w:rFonts w:ascii="Arial" w:eastAsia="Arial" w:hAnsi="Arial" w:cs="Arial"/>
          <w:b/>
          <w:bCs/>
          <w:color w:val="000000" w:themeColor="text1"/>
        </w:rPr>
        <w:t>randomizado</w:t>
      </w:r>
    </w:p>
    <w:p w14:paraId="44E65628" w14:textId="77777777" w:rsidR="00256CA9" w:rsidRDefault="00256CA9" w:rsidP="00256CA9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6E5F0BA6" w14:textId="77777777" w:rsidR="006670C9" w:rsidRDefault="006670C9" w:rsidP="00256CA9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53840DAD" w14:textId="77777777" w:rsidR="00256CA9" w:rsidRDefault="00256CA9" w:rsidP="00256CA9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0C0D9B30" w14:textId="77777777" w:rsidR="00256CA9" w:rsidRDefault="00256CA9" w:rsidP="00256CA9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01074527" w14:textId="77777777" w:rsidR="00256CA9" w:rsidRDefault="00256CA9" w:rsidP="00256CA9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0EF48BF0" w14:textId="77777777" w:rsidR="00256CA9" w:rsidRDefault="00256CA9" w:rsidP="00256CA9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56A93474" w14:textId="77777777" w:rsidR="00256CA9" w:rsidRDefault="00256CA9" w:rsidP="00256CA9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344E294F" w14:textId="77777777" w:rsidR="00256CA9" w:rsidRDefault="00256CA9" w:rsidP="00256CA9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359391B8" w14:textId="77777777" w:rsidR="00256CA9" w:rsidRDefault="00256CA9" w:rsidP="00256CA9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794A0766" w14:textId="77777777" w:rsidR="00256CA9" w:rsidRDefault="00256CA9" w:rsidP="00256CA9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BELO HORIZONTE</w:t>
      </w:r>
    </w:p>
    <w:p w14:paraId="280ABFCE" w14:textId="77777777" w:rsidR="00256CA9" w:rsidRDefault="00256CA9" w:rsidP="00256CA9">
      <w:pPr>
        <w:spacing w:line="360" w:lineRule="auto"/>
        <w:jc w:val="center"/>
        <w:rPr>
          <w:rFonts w:ascii="Arial" w:eastAsia="Arial" w:hAnsi="Arial" w:cs="Arial"/>
          <w:b/>
          <w:bCs/>
        </w:rPr>
      </w:pPr>
      <w:r w:rsidRPr="1545DD5D">
        <w:rPr>
          <w:rFonts w:ascii="Arial" w:eastAsia="Arial" w:hAnsi="Arial" w:cs="Arial"/>
          <w:b/>
          <w:bCs/>
        </w:rPr>
        <w:t>2025</w:t>
      </w:r>
    </w:p>
    <w:p w14:paraId="3F6CFD1B" w14:textId="77777777" w:rsidR="00256CA9" w:rsidRDefault="00256CA9" w:rsidP="00256CA9">
      <w:pPr>
        <w:spacing w:line="360" w:lineRule="auto"/>
        <w:jc w:val="center"/>
        <w:rPr>
          <w:rFonts w:ascii="Arial" w:eastAsia="Arial" w:hAnsi="Arial" w:cs="Arial"/>
        </w:rPr>
      </w:pPr>
    </w:p>
    <w:p w14:paraId="174E03AF" w14:textId="77777777" w:rsidR="00256CA9" w:rsidRPr="006A3E4A" w:rsidRDefault="00256CA9" w:rsidP="00C24A41">
      <w:pPr>
        <w:spacing w:line="360" w:lineRule="auto"/>
        <w:ind w:firstLine="709"/>
        <w:jc w:val="both"/>
        <w:rPr>
          <w:rFonts w:ascii="Arial" w:eastAsia="Arial" w:hAnsi="Arial" w:cs="Arial"/>
          <w:b/>
          <w:bCs/>
        </w:rPr>
      </w:pPr>
      <w:r w:rsidRPr="006A3E4A">
        <w:rPr>
          <w:rFonts w:ascii="Arial" w:eastAsia="Arial" w:hAnsi="Arial" w:cs="Arial"/>
          <w:b/>
          <w:bCs/>
        </w:rPr>
        <w:lastRenderedPageBreak/>
        <w:t>Introdução</w:t>
      </w:r>
    </w:p>
    <w:p w14:paraId="26F007F3" w14:textId="77777777" w:rsidR="00256CA9" w:rsidRDefault="00256CA9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  <w:r w:rsidRPr="1545DD5D">
        <w:rPr>
          <w:rFonts w:ascii="Arial" w:eastAsia="Arial" w:hAnsi="Arial" w:cs="Arial"/>
        </w:rPr>
        <w:t>A Trissomia do 21 (T21), conhecida como síndrome de Down (SD), é uma alteração decorrente da trissomia (presença de três cromossomos) total ou parcial do cromossomo 21. Estudos apontam que, a cada 700 nascidos vivos, um apresenta a alteração cromossômica (Chapman et al., 2024).</w:t>
      </w:r>
    </w:p>
    <w:p w14:paraId="616DB1AB" w14:textId="77777777" w:rsidR="00256CA9" w:rsidRDefault="00256CA9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  <w:r w:rsidRPr="1545DD5D">
        <w:rPr>
          <w:rFonts w:ascii="Arial" w:eastAsia="Arial" w:hAnsi="Arial" w:cs="Arial"/>
        </w:rPr>
        <w:t>Pessoas com T21 apresentam fenótipo característico e alguns problemas de saúde, sendo o principal o atraso no desenvolvimento, entretanto, podem-se observar outros, como: cardiopatia congênita; hipotonia muscular; hipoacusia; alterações na coluna cervical; distúrbios da tireoide; problemas neurológicos; obesidade e envelhecimento precoce (Moreira et al., 2000).</w:t>
      </w:r>
    </w:p>
    <w:p w14:paraId="4845D665" w14:textId="77777777" w:rsidR="00256CA9" w:rsidRDefault="00256CA9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  <w:r w:rsidRPr="1545DD5D">
        <w:rPr>
          <w:rFonts w:ascii="Arial" w:eastAsia="Arial" w:hAnsi="Arial" w:cs="Arial"/>
        </w:rPr>
        <w:t>Para esses indivíduos, tratamentos e terapias realizadas em tempo oportuno contribuem para o melhor desenvolvimento, principalmente por meio da intervenção da Fisioterapia e da terapia fonoaudiológica (fonoterapia) (Moreira et al., 2000). A terapia fonoaudiológica é importante e necessária durante todas as fases do desenvolvimento do indivíduo com T21, pois atua na estimulação da cognição, linguagem e do sistema estomatognático, melhorando aspectos relacionados à alimentação e à comunicação (</w:t>
      </w:r>
      <w:proofErr w:type="spellStart"/>
      <w:r w:rsidRPr="1545DD5D">
        <w:rPr>
          <w:rFonts w:ascii="Arial" w:eastAsia="Arial" w:hAnsi="Arial" w:cs="Arial"/>
        </w:rPr>
        <w:t>Lawder</w:t>
      </w:r>
      <w:proofErr w:type="spellEnd"/>
      <w:r w:rsidRPr="1545DD5D">
        <w:rPr>
          <w:rFonts w:ascii="Arial" w:eastAsia="Arial" w:hAnsi="Arial" w:cs="Arial"/>
        </w:rPr>
        <w:t xml:space="preserve"> et al., 2019).</w:t>
      </w:r>
    </w:p>
    <w:p w14:paraId="3A3EC266" w14:textId="77777777" w:rsidR="00256CA9" w:rsidRDefault="00256CA9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  <w:r w:rsidRPr="1545DD5D">
        <w:rPr>
          <w:rFonts w:ascii="Arial" w:eastAsia="Arial" w:hAnsi="Arial" w:cs="Arial"/>
        </w:rPr>
        <w:t>Devido à hipotonia muscular, os órgãos fonoarticulatórios, especialmente língua e lábios, podem assumir uma postura habitual imprópria para o bom desenvolvimento da face (</w:t>
      </w:r>
      <w:proofErr w:type="spellStart"/>
      <w:r w:rsidRPr="1545DD5D">
        <w:rPr>
          <w:rFonts w:ascii="Arial" w:eastAsia="Arial" w:hAnsi="Arial" w:cs="Arial"/>
        </w:rPr>
        <w:t>Grippaudo</w:t>
      </w:r>
      <w:proofErr w:type="spellEnd"/>
      <w:r w:rsidRPr="1545DD5D">
        <w:rPr>
          <w:rFonts w:ascii="Arial" w:eastAsia="Arial" w:hAnsi="Arial" w:cs="Arial"/>
        </w:rPr>
        <w:t xml:space="preserve"> et al., 2016). Por esse motivo, indivíduos com T21 tendem a apresentar </w:t>
      </w:r>
      <w:proofErr w:type="spellStart"/>
      <w:r w:rsidRPr="1545DD5D">
        <w:rPr>
          <w:rFonts w:ascii="Arial" w:eastAsia="Arial" w:hAnsi="Arial" w:cs="Arial"/>
        </w:rPr>
        <w:t>braquicefalia</w:t>
      </w:r>
      <w:proofErr w:type="spellEnd"/>
      <w:r w:rsidRPr="1545DD5D">
        <w:rPr>
          <w:rFonts w:ascii="Arial" w:eastAsia="Arial" w:hAnsi="Arial" w:cs="Arial"/>
        </w:rPr>
        <w:t>, com diminuição da dimensão craniofacial, e palato duro mais elevado (</w:t>
      </w:r>
      <w:proofErr w:type="spellStart"/>
      <w:r w:rsidRPr="1545DD5D">
        <w:rPr>
          <w:rFonts w:ascii="Arial" w:eastAsia="Arial" w:hAnsi="Arial" w:cs="Arial"/>
        </w:rPr>
        <w:t>Mustacchi</w:t>
      </w:r>
      <w:proofErr w:type="spellEnd"/>
      <w:r w:rsidRPr="1545DD5D">
        <w:rPr>
          <w:rFonts w:ascii="Arial" w:eastAsia="Arial" w:hAnsi="Arial" w:cs="Arial"/>
        </w:rPr>
        <w:t xml:space="preserve"> et al., 2010). Os lábios entreabertos e a língua rebaixada em assoalho oral acarretam o modo respiratório oral, o que interfere ainda mais no desenvolvimento e qualidade de vida dessas crianças e impactam não apenas o desenvolvimento </w:t>
      </w:r>
      <w:proofErr w:type="spellStart"/>
      <w:proofErr w:type="gramStart"/>
      <w:r w:rsidRPr="1545DD5D">
        <w:rPr>
          <w:rFonts w:ascii="Arial" w:eastAsia="Arial" w:hAnsi="Arial" w:cs="Arial"/>
        </w:rPr>
        <w:t>dentoesquelético</w:t>
      </w:r>
      <w:proofErr w:type="spellEnd"/>
      <w:proofErr w:type="gramEnd"/>
      <w:r w:rsidRPr="1545DD5D">
        <w:rPr>
          <w:rFonts w:ascii="Arial" w:eastAsia="Arial" w:hAnsi="Arial" w:cs="Arial"/>
        </w:rPr>
        <w:t xml:space="preserve"> mas também as funções orofaciais (</w:t>
      </w:r>
      <w:proofErr w:type="spellStart"/>
      <w:r w:rsidRPr="1545DD5D">
        <w:rPr>
          <w:rFonts w:ascii="Arial" w:eastAsia="Arial" w:hAnsi="Arial" w:cs="Arial"/>
        </w:rPr>
        <w:t>Grippaudo</w:t>
      </w:r>
      <w:proofErr w:type="spellEnd"/>
      <w:r w:rsidRPr="1545DD5D">
        <w:rPr>
          <w:rFonts w:ascii="Arial" w:eastAsia="Arial" w:hAnsi="Arial" w:cs="Arial"/>
        </w:rPr>
        <w:t xml:space="preserve"> et al., 2016), por isso, existe uma preocupação com a preservação do tônus dessas estruturas desde o nascimento.</w:t>
      </w:r>
    </w:p>
    <w:p w14:paraId="14B49780" w14:textId="77777777" w:rsidR="00256CA9" w:rsidRDefault="00256CA9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  <w:r w:rsidRPr="1545DD5D">
        <w:rPr>
          <w:rFonts w:ascii="Arial" w:eastAsia="Arial" w:hAnsi="Arial" w:cs="Arial"/>
        </w:rPr>
        <w:t xml:space="preserve">Uma das estratégias descritas para aumento do tônus muscular é a bandagem terapêutica (Silva et al., 2014). Tem sido empregada sobre a pele que recobre o músculo orbicular da boca no intuito de promover o </w:t>
      </w:r>
      <w:proofErr w:type="spellStart"/>
      <w:r w:rsidRPr="1545DD5D">
        <w:rPr>
          <w:rFonts w:ascii="Arial" w:eastAsia="Arial" w:hAnsi="Arial" w:cs="Arial"/>
        </w:rPr>
        <w:t>vedamento</w:t>
      </w:r>
      <w:proofErr w:type="spellEnd"/>
      <w:r w:rsidRPr="1545DD5D">
        <w:rPr>
          <w:rFonts w:ascii="Arial" w:eastAsia="Arial" w:hAnsi="Arial" w:cs="Arial"/>
        </w:rPr>
        <w:t xml:space="preserve"> labial </w:t>
      </w:r>
      <w:r w:rsidRPr="1545DD5D">
        <w:rPr>
          <w:rFonts w:ascii="Arial" w:eastAsia="Arial" w:hAnsi="Arial" w:cs="Arial"/>
        </w:rPr>
        <w:lastRenderedPageBreak/>
        <w:t>com bons resultados para diminuição da sialorreia (</w:t>
      </w:r>
      <w:proofErr w:type="spellStart"/>
      <w:r w:rsidRPr="1545DD5D">
        <w:rPr>
          <w:rFonts w:ascii="Arial" w:eastAsia="Arial" w:hAnsi="Arial" w:cs="Arial"/>
        </w:rPr>
        <w:t>Caneschi</w:t>
      </w:r>
      <w:proofErr w:type="spellEnd"/>
      <w:r w:rsidRPr="1545DD5D">
        <w:rPr>
          <w:rFonts w:ascii="Arial" w:eastAsia="Arial" w:hAnsi="Arial" w:cs="Arial"/>
        </w:rPr>
        <w:t xml:space="preserve"> et al., 2014; Sordi et al., 2017).  </w:t>
      </w:r>
    </w:p>
    <w:p w14:paraId="6F24D82C" w14:textId="77777777" w:rsidR="00256CA9" w:rsidRDefault="00256CA9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Estudos apontam que a aplicação da bandagem sobre o músculo orbicular da boca, associada à terapia fonoaudiológica, pode apresentar benefícios para as funções orofaciais, além de reduzir o espaço </w:t>
      </w:r>
      <w:proofErr w:type="spellStart"/>
      <w:r>
        <w:rPr>
          <w:rFonts w:ascii="Arial" w:eastAsia="Arial" w:hAnsi="Arial" w:cs="Arial"/>
        </w:rPr>
        <w:t>interlabial</w:t>
      </w:r>
      <w:proofErr w:type="spellEnd"/>
      <w:r>
        <w:rPr>
          <w:rFonts w:ascii="Arial" w:eastAsia="Arial" w:hAnsi="Arial" w:cs="Arial"/>
        </w:rPr>
        <w:t xml:space="preserve"> (Sordi et al., 2017; </w:t>
      </w:r>
      <w:proofErr w:type="spellStart"/>
      <w:r>
        <w:rPr>
          <w:rFonts w:ascii="Arial" w:eastAsia="Arial" w:hAnsi="Arial" w:cs="Arial"/>
          <w:shd w:val="clear" w:color="auto" w:fill="FFFFFF"/>
        </w:rPr>
        <w:t>Cheshmi</w:t>
      </w:r>
      <w:proofErr w:type="spellEnd"/>
      <w:r>
        <w:rPr>
          <w:rFonts w:ascii="Arial" w:eastAsia="Arial" w:hAnsi="Arial" w:cs="Arial"/>
          <w:shd w:val="clear" w:color="auto" w:fill="FFFFFF"/>
        </w:rPr>
        <w:t xml:space="preserve"> et al., 2021). Os seus efeitos são atribuídos </w:t>
      </w:r>
      <w:r>
        <w:rPr>
          <w:rFonts w:ascii="Arial" w:eastAsia="Arial" w:hAnsi="Arial" w:cs="Arial"/>
        </w:rPr>
        <w:t>à estimulação de receptores aferentes cutâneos da pele, induzindo a contração muscular como resposta motora eferente (Lemos et al., 2009).</w:t>
      </w:r>
    </w:p>
    <w:p w14:paraId="7386058B" w14:textId="77777777" w:rsidR="00256CA9" w:rsidRDefault="00256CA9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  <w:r w:rsidRPr="1545DD5D">
        <w:rPr>
          <w:rFonts w:ascii="Arial" w:eastAsia="Arial" w:hAnsi="Arial" w:cs="Arial"/>
        </w:rPr>
        <w:t xml:space="preserve">Por apresentar boa aceitação pelas crianças e poucas contraindicações (Lemos et al., 2009), acredita-se que seja um recurso benéfico para crianças com T21, mas não foram encontrados estudos que investigassem os efeitos para o </w:t>
      </w:r>
      <w:proofErr w:type="spellStart"/>
      <w:r w:rsidRPr="1545DD5D">
        <w:rPr>
          <w:rFonts w:ascii="Arial" w:eastAsia="Arial" w:hAnsi="Arial" w:cs="Arial"/>
        </w:rPr>
        <w:t>vedamento</w:t>
      </w:r>
      <w:proofErr w:type="spellEnd"/>
      <w:r w:rsidRPr="1545DD5D">
        <w:rPr>
          <w:rFonts w:ascii="Arial" w:eastAsia="Arial" w:hAnsi="Arial" w:cs="Arial"/>
        </w:rPr>
        <w:t xml:space="preserve"> labial nessa população. Além disso, vários são os tipos de bandagem comercialmente disponíveis. A bandagem elástica tem um tecido resistente, feita de algodão e elastano, que permite certo estiramento longitudinal (Emérito, 2020). Já a bandagem </w:t>
      </w:r>
      <w:proofErr w:type="spellStart"/>
      <w:r w:rsidRPr="1545DD5D">
        <w:rPr>
          <w:rFonts w:ascii="Arial" w:eastAsia="Arial" w:hAnsi="Arial" w:cs="Arial"/>
        </w:rPr>
        <w:t>hiperelástica</w:t>
      </w:r>
      <w:proofErr w:type="spellEnd"/>
      <w:r w:rsidRPr="1545DD5D">
        <w:rPr>
          <w:rFonts w:ascii="Arial" w:eastAsia="Arial" w:hAnsi="Arial" w:cs="Arial"/>
        </w:rPr>
        <w:t xml:space="preserve"> possui alto grau de estiramento (que pode ser maior que 200%), tanto no sentido longitudinal quanto transversal, e forte resistência elástica (Santos et al., 2020). A literatura não aponta qual dos tipos de bandagem é mais adequado para a aplicação sobre o músculo orbicular da boca no intuito de promover o </w:t>
      </w:r>
      <w:proofErr w:type="spellStart"/>
      <w:r w:rsidRPr="1545DD5D">
        <w:rPr>
          <w:rFonts w:ascii="Arial" w:eastAsia="Arial" w:hAnsi="Arial" w:cs="Arial"/>
        </w:rPr>
        <w:t>vedamento</w:t>
      </w:r>
      <w:proofErr w:type="spellEnd"/>
      <w:r w:rsidRPr="1545DD5D">
        <w:rPr>
          <w:rFonts w:ascii="Arial" w:eastAsia="Arial" w:hAnsi="Arial" w:cs="Arial"/>
        </w:rPr>
        <w:t xml:space="preserve"> labial. </w:t>
      </w:r>
    </w:p>
    <w:p w14:paraId="5CCED608" w14:textId="03F0EF6A" w:rsidR="00256CA9" w:rsidRDefault="00C24A41" w:rsidP="00C24A41">
      <w:pPr>
        <w:spacing w:line="360" w:lineRule="auto"/>
        <w:ind w:firstLine="709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Justificativa</w:t>
      </w:r>
    </w:p>
    <w:p w14:paraId="665700E6" w14:textId="77777777" w:rsidR="00C24A41" w:rsidRPr="00C24A41" w:rsidRDefault="00C24A41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  <w:r w:rsidRPr="00C24A41">
        <w:rPr>
          <w:rFonts w:ascii="Arial" w:eastAsia="Arial" w:hAnsi="Arial" w:cs="Arial"/>
        </w:rPr>
        <w:t>Pesquisas indicam que o uso de bandagens aplicadas sobre o músculo orbicular da boca, em conjunto com a intervenção fonoaudiológica, pode favorecer as funções orofaciais e contribuir para a diminuição do espaço entre os lábios. Esses benefícios são atribuídos à ativação de receptores sensoriais cutâneos, o que desencadeia uma resposta motora eferente por meio da contração muscular.</w:t>
      </w:r>
    </w:p>
    <w:p w14:paraId="32CA5A03" w14:textId="77777777" w:rsidR="00C24A41" w:rsidRPr="00C24A41" w:rsidRDefault="00C24A41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  <w:r w:rsidRPr="00C24A41">
        <w:rPr>
          <w:rFonts w:ascii="Arial" w:eastAsia="Arial" w:hAnsi="Arial" w:cs="Arial"/>
        </w:rPr>
        <w:t>Devido à boa aceitação por parte das crianças e ao baixo número de contraindicações, acredita-se que essa técnica possa ser vantajosa para indivíduos com síndrome de Down (T21). No entanto, ainda não há estudos que avaliem especificamente seus efeitos sobre o fechamento labial nessa população.</w:t>
      </w:r>
    </w:p>
    <w:p w14:paraId="156CD027" w14:textId="52B43A30" w:rsidR="00C24A41" w:rsidRPr="00C24A41" w:rsidRDefault="00C24A41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  <w:r w:rsidRPr="00C24A41">
        <w:rPr>
          <w:rFonts w:ascii="Arial" w:eastAsia="Arial" w:hAnsi="Arial" w:cs="Arial"/>
        </w:rPr>
        <w:lastRenderedPageBreak/>
        <w:t xml:space="preserve">Existem diversos tipos de bandagens disponíveis no mercado. A versão elástica é confeccionada com algodão e elastano, oferecendo resistência e capacidade de alongamento no sentido longitudinal. Por outro lado, a bandagem </w:t>
      </w:r>
      <w:proofErr w:type="spellStart"/>
      <w:r w:rsidRPr="00C24A41">
        <w:rPr>
          <w:rFonts w:ascii="Arial" w:eastAsia="Arial" w:hAnsi="Arial" w:cs="Arial"/>
        </w:rPr>
        <w:t>hiperelástica</w:t>
      </w:r>
      <w:proofErr w:type="spellEnd"/>
      <w:r w:rsidRPr="00C24A41">
        <w:rPr>
          <w:rFonts w:ascii="Arial" w:eastAsia="Arial" w:hAnsi="Arial" w:cs="Arial"/>
        </w:rPr>
        <w:t xml:space="preserve"> apresenta uma elasticidade superior (ultrapassando 200%) tanto no sentido longitudinal quanto transversal, além de possuir alta resistência elástica. Até o momento, a literatura científica não define qual dessas opções seria mais eficaz para aplicação sobre o músculo orbicular da boca com o objetivo de melhorar o </w:t>
      </w:r>
      <w:proofErr w:type="spellStart"/>
      <w:r w:rsidRPr="00C24A41">
        <w:rPr>
          <w:rFonts w:ascii="Arial" w:eastAsia="Arial" w:hAnsi="Arial" w:cs="Arial"/>
        </w:rPr>
        <w:t>vedamento</w:t>
      </w:r>
      <w:proofErr w:type="spellEnd"/>
      <w:r w:rsidRPr="00C24A41">
        <w:rPr>
          <w:rFonts w:ascii="Arial" w:eastAsia="Arial" w:hAnsi="Arial" w:cs="Arial"/>
        </w:rPr>
        <w:t xml:space="preserve"> labial.</w:t>
      </w:r>
    </w:p>
    <w:p w14:paraId="7EBB6169" w14:textId="70D0DFFD" w:rsidR="00C24A41" w:rsidRDefault="00C24A41" w:rsidP="00C24A41">
      <w:pPr>
        <w:spacing w:line="360" w:lineRule="auto"/>
        <w:ind w:firstLine="709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Hipótese</w:t>
      </w:r>
    </w:p>
    <w:p w14:paraId="65C19568" w14:textId="77777777" w:rsidR="00C24A41" w:rsidRDefault="00C24A41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  <w:r w:rsidRPr="1545DD5D">
        <w:rPr>
          <w:rFonts w:ascii="Arial" w:eastAsia="Arial" w:hAnsi="Arial" w:cs="Arial"/>
        </w:rPr>
        <w:t xml:space="preserve">Devido a sua alta capacidade de estiramento, de absorver carga e gerar </w:t>
      </w:r>
      <w:r>
        <w:rPr>
          <w:rFonts w:ascii="Arial" w:eastAsia="Arial" w:hAnsi="Arial" w:cs="Arial"/>
        </w:rPr>
        <w:t>resistência</w:t>
      </w:r>
      <w:r w:rsidRPr="1545DD5D">
        <w:rPr>
          <w:rFonts w:ascii="Arial" w:eastAsia="Arial" w:hAnsi="Arial" w:cs="Arial"/>
        </w:rPr>
        <w:t xml:space="preserve"> mecânica (Santos et al., 2020), a hipótese do estudo é de que a bandagem </w:t>
      </w:r>
      <w:proofErr w:type="spellStart"/>
      <w:r w:rsidRPr="1545DD5D">
        <w:rPr>
          <w:rFonts w:ascii="Arial" w:eastAsia="Arial" w:hAnsi="Arial" w:cs="Arial"/>
        </w:rPr>
        <w:t>hiperelástica</w:t>
      </w:r>
      <w:proofErr w:type="spellEnd"/>
      <w:r w:rsidRPr="1545DD5D">
        <w:rPr>
          <w:rFonts w:ascii="Arial" w:eastAsia="Arial" w:hAnsi="Arial" w:cs="Arial"/>
        </w:rPr>
        <w:t xml:space="preserve"> apresente resultados mais satisfatórios em relação ao </w:t>
      </w:r>
      <w:proofErr w:type="spellStart"/>
      <w:r w:rsidRPr="1545DD5D">
        <w:rPr>
          <w:rFonts w:ascii="Arial" w:eastAsia="Arial" w:hAnsi="Arial" w:cs="Arial"/>
        </w:rPr>
        <w:t>vedamento</w:t>
      </w:r>
      <w:proofErr w:type="spellEnd"/>
      <w:r w:rsidRPr="1545DD5D">
        <w:rPr>
          <w:rFonts w:ascii="Arial" w:eastAsia="Arial" w:hAnsi="Arial" w:cs="Arial"/>
        </w:rPr>
        <w:t xml:space="preserve"> labial de crianças com T21, quando comparada à bandagem elástica.</w:t>
      </w:r>
    </w:p>
    <w:p w14:paraId="35A91ACD" w14:textId="2917283E" w:rsidR="00C24A41" w:rsidRDefault="00C24A41" w:rsidP="00C24A41">
      <w:pPr>
        <w:spacing w:line="360" w:lineRule="auto"/>
        <w:ind w:firstLine="709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Objetivos</w:t>
      </w:r>
    </w:p>
    <w:p w14:paraId="1076047B" w14:textId="262130D3" w:rsidR="00C24A41" w:rsidRDefault="00C24A41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objetivo do presente estudo é </w:t>
      </w:r>
      <w:r w:rsidRPr="1545DD5D">
        <w:rPr>
          <w:rFonts w:ascii="Arial" w:eastAsia="Arial" w:hAnsi="Arial" w:cs="Arial"/>
        </w:rPr>
        <w:t xml:space="preserve">comparar o </w:t>
      </w:r>
      <w:proofErr w:type="spellStart"/>
      <w:r w:rsidRPr="1545DD5D">
        <w:rPr>
          <w:rFonts w:ascii="Arial" w:eastAsia="Arial" w:hAnsi="Arial" w:cs="Arial"/>
        </w:rPr>
        <w:t>vedamento</w:t>
      </w:r>
      <w:proofErr w:type="spellEnd"/>
      <w:r>
        <w:rPr>
          <w:rFonts w:ascii="Arial" w:eastAsia="Arial" w:hAnsi="Arial" w:cs="Arial"/>
        </w:rPr>
        <w:t xml:space="preserve"> labial</w:t>
      </w:r>
      <w:r w:rsidRPr="1545DD5D">
        <w:rPr>
          <w:rFonts w:ascii="Arial" w:eastAsia="Arial" w:hAnsi="Arial" w:cs="Arial"/>
        </w:rPr>
        <w:t xml:space="preserve"> e o</w:t>
      </w:r>
      <w:r>
        <w:rPr>
          <w:rFonts w:ascii="Arial" w:eastAsia="Arial" w:hAnsi="Arial" w:cs="Arial"/>
        </w:rPr>
        <w:t>s</w:t>
      </w:r>
      <w:r w:rsidRPr="1545DD5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movimentos</w:t>
      </w:r>
      <w:r w:rsidRPr="1545DD5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orofaciais e corporais</w:t>
      </w:r>
      <w:r w:rsidRPr="1545DD5D">
        <w:rPr>
          <w:rFonts w:ascii="Arial" w:eastAsia="Arial" w:hAnsi="Arial" w:cs="Arial"/>
        </w:rPr>
        <w:t xml:space="preserve"> de crianças com T21 durante o uso da bandagem elástica e </w:t>
      </w:r>
      <w:proofErr w:type="spellStart"/>
      <w:r w:rsidRPr="1545DD5D">
        <w:rPr>
          <w:rFonts w:ascii="Arial" w:eastAsia="Arial" w:hAnsi="Arial" w:cs="Arial"/>
        </w:rPr>
        <w:t>hiperelástica</w:t>
      </w:r>
      <w:proofErr w:type="spellEnd"/>
      <w:r w:rsidRPr="1545DD5D">
        <w:rPr>
          <w:rFonts w:ascii="Arial" w:eastAsia="Arial" w:hAnsi="Arial" w:cs="Arial"/>
        </w:rPr>
        <w:t xml:space="preserve">. </w:t>
      </w:r>
    </w:p>
    <w:p w14:paraId="268D294C" w14:textId="77777777" w:rsidR="00C24A41" w:rsidRDefault="00C24A41" w:rsidP="00C24A41">
      <w:pPr>
        <w:spacing w:line="360" w:lineRule="auto"/>
        <w:ind w:firstLine="709"/>
        <w:jc w:val="both"/>
        <w:rPr>
          <w:rFonts w:ascii="Arial" w:eastAsia="Arial" w:hAnsi="Arial" w:cs="Arial"/>
          <w:b/>
          <w:bCs/>
        </w:rPr>
      </w:pPr>
    </w:p>
    <w:p w14:paraId="05F5D996" w14:textId="11D25F20" w:rsidR="00256CA9" w:rsidRDefault="00256CA9" w:rsidP="00C24A41">
      <w:pPr>
        <w:spacing w:line="360" w:lineRule="auto"/>
        <w:ind w:firstLine="709"/>
        <w:jc w:val="both"/>
        <w:rPr>
          <w:rFonts w:ascii="Arial" w:eastAsia="Arial" w:hAnsi="Arial" w:cs="Arial"/>
          <w:b/>
          <w:bCs/>
        </w:rPr>
      </w:pPr>
      <w:r w:rsidRPr="1545DD5D">
        <w:rPr>
          <w:rFonts w:ascii="Arial" w:eastAsia="Arial" w:hAnsi="Arial" w:cs="Arial"/>
          <w:b/>
          <w:bCs/>
        </w:rPr>
        <w:t>Método</w:t>
      </w:r>
      <w:r w:rsidR="00C24A41">
        <w:rPr>
          <w:rFonts w:ascii="Arial" w:eastAsia="Arial" w:hAnsi="Arial" w:cs="Arial"/>
          <w:b/>
          <w:bCs/>
        </w:rPr>
        <w:t>s</w:t>
      </w:r>
    </w:p>
    <w:p w14:paraId="43A8F974" w14:textId="30D6A37B" w:rsidR="00256CA9" w:rsidRDefault="00256CA9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  <w:r w:rsidRPr="1545DD5D">
        <w:rPr>
          <w:rFonts w:ascii="Arial" w:eastAsia="Arial" w:hAnsi="Arial" w:cs="Arial"/>
        </w:rPr>
        <w:t>Trata-se de um estudo clínico randomizado, aprovado pelo Comitê de Ética em Pesquisa da Universidade Federal de Minas Gerais (UFMG), sob o parecer de número 7.197.077 (CAAE: 81975924.4.0000.5149). Todos os pais ou responsáveis legais assinar</w:t>
      </w:r>
      <w:r>
        <w:rPr>
          <w:rFonts w:ascii="Arial" w:eastAsia="Arial" w:hAnsi="Arial" w:cs="Arial"/>
        </w:rPr>
        <w:t>ão</w:t>
      </w:r>
      <w:r w:rsidRPr="1545DD5D">
        <w:rPr>
          <w:rFonts w:ascii="Arial" w:eastAsia="Arial" w:hAnsi="Arial" w:cs="Arial"/>
        </w:rPr>
        <w:t xml:space="preserve"> o Termo de Consentimento Livre e Esclarecido.</w:t>
      </w:r>
    </w:p>
    <w:p w14:paraId="7E208AB0" w14:textId="77777777" w:rsidR="00256CA9" w:rsidRDefault="00256CA9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  <w:r w:rsidRPr="1545DD5D">
        <w:rPr>
          <w:rFonts w:ascii="Arial" w:eastAsia="Arial" w:hAnsi="Arial" w:cs="Arial"/>
          <w:b/>
          <w:bCs/>
        </w:rPr>
        <w:t>Amostra de estudo</w:t>
      </w:r>
    </w:p>
    <w:p w14:paraId="3B1AA0EC" w14:textId="5EF299BB" w:rsidR="00256CA9" w:rsidRDefault="00256CA9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  <w:r w:rsidRPr="00256CA9">
        <w:rPr>
          <w:rFonts w:ascii="Arial" w:hAnsi="Arial" w:cs="Arial"/>
        </w:rPr>
        <w:t xml:space="preserve">A amostra do estudo será não probabilística, composta por crianças com diagnóstico de </w:t>
      </w:r>
      <w:r>
        <w:rPr>
          <w:rFonts w:ascii="Arial" w:hAnsi="Arial" w:cs="Arial"/>
        </w:rPr>
        <w:t>t</w:t>
      </w:r>
      <w:r w:rsidRPr="00256CA9">
        <w:rPr>
          <w:rFonts w:ascii="Arial" w:hAnsi="Arial" w:cs="Arial"/>
        </w:rPr>
        <w:t>rissomia do 21, com idade entre 6 e 24 meses de vida, de ambos os sexos.</w:t>
      </w:r>
      <w:r>
        <w:t xml:space="preserve">  </w:t>
      </w:r>
      <w:r>
        <w:rPr>
          <w:rFonts w:ascii="Arial" w:eastAsia="Arial" w:hAnsi="Arial" w:cs="Arial"/>
        </w:rPr>
        <w:t xml:space="preserve">Constituem critérios de inclusão: apresentar T21, ter idade mínima de 6 meses e máxima de 2 anos, não possuir </w:t>
      </w:r>
      <w:proofErr w:type="spellStart"/>
      <w:r>
        <w:rPr>
          <w:rFonts w:ascii="Arial" w:eastAsia="Arial" w:hAnsi="Arial" w:cs="Arial"/>
        </w:rPr>
        <w:t>vedamento</w:t>
      </w:r>
      <w:proofErr w:type="spellEnd"/>
      <w:r>
        <w:rPr>
          <w:rFonts w:ascii="Arial" w:eastAsia="Arial" w:hAnsi="Arial" w:cs="Arial"/>
        </w:rPr>
        <w:t xml:space="preserve"> labial completo em posição habitual e não estar realizando terapia fonoaudiológica para a motricidade orofacial. Serão considerados critérios de exclusão: presença de </w:t>
      </w:r>
      <w:r>
        <w:rPr>
          <w:rFonts w:ascii="Arial" w:eastAsia="Arial" w:hAnsi="Arial" w:cs="Arial"/>
        </w:rPr>
        <w:lastRenderedPageBreak/>
        <w:t>outras síndromes associadas, má-formação craniofacial, presença de quadro alérgico ao uso da bandagem ou lesão de pele na área de aplicação da bandagem.</w:t>
      </w:r>
    </w:p>
    <w:p w14:paraId="08EA6BED" w14:textId="77777777" w:rsidR="00256CA9" w:rsidRDefault="00256CA9" w:rsidP="00C24A41">
      <w:pPr>
        <w:spacing w:line="360" w:lineRule="auto"/>
        <w:ind w:firstLine="709"/>
        <w:jc w:val="both"/>
        <w:rPr>
          <w:rFonts w:ascii="Arial" w:eastAsia="Arial" w:hAnsi="Arial" w:cs="Arial"/>
          <w:b/>
          <w:bCs/>
        </w:rPr>
      </w:pPr>
      <w:r w:rsidRPr="1545DD5D">
        <w:rPr>
          <w:rFonts w:ascii="Arial" w:eastAsia="Arial" w:hAnsi="Arial" w:cs="Arial"/>
          <w:b/>
          <w:bCs/>
        </w:rPr>
        <w:t>Coleta de dados</w:t>
      </w:r>
    </w:p>
    <w:p w14:paraId="243B0DF5" w14:textId="59380F23" w:rsidR="00256CA9" w:rsidRDefault="00256CA9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  <w:r w:rsidRPr="36FA2C9A">
        <w:rPr>
          <w:rFonts w:ascii="Arial" w:eastAsia="Arial" w:hAnsi="Arial" w:cs="Arial"/>
        </w:rPr>
        <w:t xml:space="preserve">O recrutamento e a coleta dos dados </w:t>
      </w:r>
      <w:r w:rsidR="00BF361C">
        <w:rPr>
          <w:rFonts w:ascii="Arial" w:eastAsia="Arial" w:hAnsi="Arial" w:cs="Arial"/>
        </w:rPr>
        <w:t>serão</w:t>
      </w:r>
      <w:r w:rsidRPr="36FA2C9A">
        <w:rPr>
          <w:rFonts w:ascii="Arial" w:eastAsia="Arial" w:hAnsi="Arial" w:cs="Arial"/>
        </w:rPr>
        <w:t xml:space="preserve"> realizados em um consultório particular de Fonoaudiologia e em um projeto de extensão da Faculdade de Odontologia da UFMG. A avaliação dos critérios de elegibilidade </w:t>
      </w:r>
      <w:r w:rsidR="00BF361C">
        <w:rPr>
          <w:rFonts w:ascii="Arial" w:eastAsia="Arial" w:hAnsi="Arial" w:cs="Arial"/>
        </w:rPr>
        <w:t>será</w:t>
      </w:r>
      <w:r w:rsidRPr="36FA2C9A">
        <w:rPr>
          <w:rFonts w:ascii="Arial" w:eastAsia="Arial" w:hAnsi="Arial" w:cs="Arial"/>
        </w:rPr>
        <w:t xml:space="preserve"> realizada por meio de avaliação fonoaudiológica (para verificação do </w:t>
      </w:r>
      <w:proofErr w:type="spellStart"/>
      <w:r w:rsidRPr="36FA2C9A">
        <w:rPr>
          <w:rFonts w:ascii="Arial" w:eastAsia="Arial" w:hAnsi="Arial" w:cs="Arial"/>
        </w:rPr>
        <w:t>vedamento</w:t>
      </w:r>
      <w:proofErr w:type="spellEnd"/>
      <w:r w:rsidRPr="36FA2C9A">
        <w:rPr>
          <w:rFonts w:ascii="Arial" w:eastAsia="Arial" w:hAnsi="Arial" w:cs="Arial"/>
        </w:rPr>
        <w:t xml:space="preserve"> labial) e perguntas dirigidas aos pais (para os demais critérios).</w:t>
      </w:r>
    </w:p>
    <w:p w14:paraId="072EB2CC" w14:textId="77777777" w:rsidR="00BF361C" w:rsidRDefault="00BF361C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  <w:r w:rsidRPr="1545DD5D">
        <w:rPr>
          <w:rFonts w:ascii="Arial" w:eastAsia="Arial" w:hAnsi="Arial" w:cs="Arial"/>
          <w:b/>
          <w:bCs/>
        </w:rPr>
        <w:t>Avaliação dos participantes</w:t>
      </w:r>
    </w:p>
    <w:p w14:paraId="50BFE414" w14:textId="7C4B8575" w:rsidR="00BF361C" w:rsidRDefault="00BF361C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Serão</w:t>
      </w:r>
      <w:r w:rsidRPr="36FA2C9A">
        <w:rPr>
          <w:rFonts w:ascii="Arial" w:eastAsia="Arial" w:hAnsi="Arial" w:cs="Arial"/>
        </w:rPr>
        <w:t xml:space="preserve"> realizados dois vídeos da face da criança para registro da postura habitual dos lábios, desfecho</w:t>
      </w:r>
      <w:r>
        <w:rPr>
          <w:rFonts w:ascii="Arial" w:eastAsia="Arial" w:hAnsi="Arial" w:cs="Arial"/>
        </w:rPr>
        <w:t xml:space="preserve"> principal</w:t>
      </w:r>
      <w:r w:rsidRPr="36FA2C9A">
        <w:rPr>
          <w:rFonts w:ascii="Arial" w:eastAsia="Arial" w:hAnsi="Arial" w:cs="Arial"/>
        </w:rPr>
        <w:t xml:space="preserve"> desta pesquisa. Os vídeos </w:t>
      </w:r>
      <w:r>
        <w:rPr>
          <w:rFonts w:ascii="Arial" w:eastAsia="Arial" w:hAnsi="Arial" w:cs="Arial"/>
        </w:rPr>
        <w:t>serão</w:t>
      </w:r>
      <w:r w:rsidRPr="36FA2C9A">
        <w:rPr>
          <w:rFonts w:ascii="Arial" w:eastAsia="Arial" w:hAnsi="Arial" w:cs="Arial"/>
        </w:rPr>
        <w:t xml:space="preserve"> gravados antes e imediatamente após a aplicação da bandagem, com duração de cinco minutos. Durante a gravação do vídeo a criança </w:t>
      </w:r>
      <w:r>
        <w:rPr>
          <w:rFonts w:ascii="Arial" w:eastAsia="Arial" w:hAnsi="Arial" w:cs="Arial"/>
        </w:rPr>
        <w:t>estarão</w:t>
      </w:r>
      <w:r w:rsidRPr="36FA2C9A">
        <w:rPr>
          <w:rFonts w:ascii="Arial" w:eastAsia="Arial" w:hAnsi="Arial" w:cs="Arial"/>
        </w:rPr>
        <w:t xml:space="preserve"> sentada</w:t>
      </w:r>
      <w:r>
        <w:rPr>
          <w:rFonts w:ascii="Arial" w:eastAsia="Arial" w:hAnsi="Arial" w:cs="Arial"/>
        </w:rPr>
        <w:t>s</w:t>
      </w:r>
      <w:r w:rsidRPr="36FA2C9A">
        <w:rPr>
          <w:rFonts w:ascii="Arial" w:eastAsia="Arial" w:hAnsi="Arial" w:cs="Arial"/>
        </w:rPr>
        <w:t xml:space="preserve"> com pés e costas apoiados</w:t>
      </w:r>
      <w:r>
        <w:rPr>
          <w:rFonts w:ascii="Arial" w:eastAsia="Arial" w:hAnsi="Arial" w:cs="Arial"/>
        </w:rPr>
        <w:t>, formando ângulo de 90º</w:t>
      </w:r>
      <w:r w:rsidRPr="36FA2C9A">
        <w:rPr>
          <w:rFonts w:ascii="Arial" w:eastAsia="Arial" w:hAnsi="Arial" w:cs="Arial"/>
        </w:rPr>
        <w:t>.</w:t>
      </w:r>
    </w:p>
    <w:p w14:paraId="3FC517CC" w14:textId="13160EF5" w:rsidR="00BF361C" w:rsidRDefault="00BF361C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  <w:r w:rsidRPr="36FA2C9A">
        <w:rPr>
          <w:rFonts w:ascii="Arial" w:eastAsia="Arial" w:hAnsi="Arial" w:cs="Arial"/>
        </w:rPr>
        <w:t xml:space="preserve">Após a avaliação, os pacientes </w:t>
      </w:r>
      <w:r>
        <w:rPr>
          <w:rFonts w:ascii="Arial" w:eastAsia="Arial" w:hAnsi="Arial" w:cs="Arial"/>
        </w:rPr>
        <w:t>serão</w:t>
      </w:r>
      <w:r w:rsidRPr="36FA2C9A">
        <w:rPr>
          <w:rFonts w:ascii="Arial" w:eastAsia="Arial" w:hAnsi="Arial" w:cs="Arial"/>
        </w:rPr>
        <w:t xml:space="preserve"> alocados a um grupo por meio de sorteio, podendo compor o grupo que realizou a intervenção com a bandagem elástica ou </w:t>
      </w:r>
      <w:proofErr w:type="spellStart"/>
      <w:r w:rsidRPr="36FA2C9A">
        <w:rPr>
          <w:rFonts w:ascii="Arial" w:eastAsia="Arial" w:hAnsi="Arial" w:cs="Arial"/>
        </w:rPr>
        <w:t>hiperelástica</w:t>
      </w:r>
      <w:proofErr w:type="spellEnd"/>
      <w:r>
        <w:rPr>
          <w:rFonts w:ascii="Arial" w:eastAsia="Arial" w:hAnsi="Arial" w:cs="Arial"/>
        </w:rPr>
        <w:t>.</w:t>
      </w:r>
    </w:p>
    <w:p w14:paraId="0AE47BC6" w14:textId="71462882" w:rsidR="00BF361C" w:rsidRDefault="00BF361C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  <w:r w:rsidRPr="1545DD5D">
        <w:rPr>
          <w:rFonts w:ascii="Arial" w:eastAsia="Arial" w:hAnsi="Arial" w:cs="Arial"/>
          <w:b/>
          <w:bCs/>
        </w:rPr>
        <w:t>Aplicação da bandagem</w:t>
      </w:r>
    </w:p>
    <w:p w14:paraId="6386528D" w14:textId="77777777" w:rsidR="00BF361C" w:rsidRDefault="00BF361C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  <w:r w:rsidRPr="1545DD5D">
        <w:rPr>
          <w:rFonts w:ascii="Arial" w:eastAsia="Arial" w:hAnsi="Arial" w:cs="Arial"/>
        </w:rPr>
        <w:t>O G</w:t>
      </w:r>
      <w:r>
        <w:rPr>
          <w:rFonts w:ascii="Arial" w:eastAsia="Arial" w:hAnsi="Arial" w:cs="Arial"/>
        </w:rPr>
        <w:t xml:space="preserve">rupo </w:t>
      </w:r>
      <w:r w:rsidRPr="1545DD5D">
        <w:rPr>
          <w:rFonts w:ascii="Arial" w:eastAsia="Arial" w:hAnsi="Arial" w:cs="Arial"/>
        </w:rPr>
        <w:t>B</w:t>
      </w:r>
      <w:r>
        <w:rPr>
          <w:rFonts w:ascii="Arial" w:eastAsia="Arial" w:hAnsi="Arial" w:cs="Arial"/>
        </w:rPr>
        <w:t xml:space="preserve">andagem </w:t>
      </w:r>
      <w:r w:rsidRPr="1545DD5D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>lástica (GBE)</w:t>
      </w:r>
      <w:r w:rsidRPr="1545DD5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será</w:t>
      </w:r>
      <w:r w:rsidRPr="1545DD5D">
        <w:rPr>
          <w:rFonts w:ascii="Arial" w:eastAsia="Arial" w:hAnsi="Arial" w:cs="Arial"/>
        </w:rPr>
        <w:t xml:space="preserve"> submetido à aplicação da bandagem elástica da marca </w:t>
      </w:r>
      <w:proofErr w:type="spellStart"/>
      <w:r w:rsidRPr="1545DD5D">
        <w:rPr>
          <w:rFonts w:ascii="Arial" w:eastAsia="Arial" w:hAnsi="Arial" w:cs="Arial"/>
        </w:rPr>
        <w:t>Kinesio</w:t>
      </w:r>
      <w:proofErr w:type="spellEnd"/>
      <w:r w:rsidRPr="1545DD5D">
        <w:rPr>
          <w:rFonts w:ascii="Arial" w:eastAsia="Arial" w:hAnsi="Arial" w:cs="Arial"/>
        </w:rPr>
        <w:t xml:space="preserve"> </w:t>
      </w:r>
      <w:proofErr w:type="spellStart"/>
      <w:r w:rsidRPr="1545DD5D">
        <w:rPr>
          <w:rFonts w:ascii="Arial" w:eastAsia="Arial" w:hAnsi="Arial" w:cs="Arial"/>
        </w:rPr>
        <w:t>Tmáx</w:t>
      </w:r>
      <w:proofErr w:type="spellEnd"/>
      <w:r w:rsidRPr="1545DD5D">
        <w:rPr>
          <w:rFonts w:ascii="Arial" w:eastAsia="Arial" w:hAnsi="Arial" w:cs="Arial"/>
        </w:rPr>
        <w:t xml:space="preserve">® (aprovada pela Agência Nacional de Vigilância Sanitária, sob o registro 10410130023) na pele que recobre o músculo orbicular da boca e o </w:t>
      </w:r>
      <w:r>
        <w:rPr>
          <w:rFonts w:ascii="Arial" w:eastAsia="Arial" w:hAnsi="Arial" w:cs="Arial"/>
        </w:rPr>
        <w:t xml:space="preserve">Grupo Bandagem </w:t>
      </w:r>
      <w:proofErr w:type="spellStart"/>
      <w:r>
        <w:rPr>
          <w:rFonts w:ascii="Arial" w:eastAsia="Arial" w:hAnsi="Arial" w:cs="Arial"/>
        </w:rPr>
        <w:t>Hiperelástica</w:t>
      </w:r>
      <w:proofErr w:type="spellEnd"/>
      <w:r>
        <w:rPr>
          <w:rFonts w:ascii="Arial" w:eastAsia="Arial" w:hAnsi="Arial" w:cs="Arial"/>
        </w:rPr>
        <w:t xml:space="preserve"> (</w:t>
      </w:r>
      <w:r w:rsidRPr="1545DD5D">
        <w:rPr>
          <w:rFonts w:ascii="Arial" w:eastAsia="Arial" w:hAnsi="Arial" w:cs="Arial"/>
        </w:rPr>
        <w:t>GBH</w:t>
      </w:r>
      <w:r>
        <w:rPr>
          <w:rFonts w:ascii="Arial" w:eastAsia="Arial" w:hAnsi="Arial" w:cs="Arial"/>
        </w:rPr>
        <w:t>)</w:t>
      </w:r>
      <w:r w:rsidRPr="1545DD5D">
        <w:rPr>
          <w:rFonts w:ascii="Arial" w:eastAsia="Arial" w:hAnsi="Arial" w:cs="Arial"/>
        </w:rPr>
        <w:t xml:space="preserve"> recebe</w:t>
      </w:r>
      <w:r>
        <w:rPr>
          <w:rFonts w:ascii="Arial" w:eastAsia="Arial" w:hAnsi="Arial" w:cs="Arial"/>
        </w:rPr>
        <w:t>rá</w:t>
      </w:r>
      <w:r w:rsidRPr="1545DD5D">
        <w:rPr>
          <w:rFonts w:ascii="Arial" w:eastAsia="Arial" w:hAnsi="Arial" w:cs="Arial"/>
        </w:rPr>
        <w:t xml:space="preserve"> a aplicação da bandagem </w:t>
      </w:r>
      <w:proofErr w:type="spellStart"/>
      <w:r w:rsidRPr="1545DD5D">
        <w:rPr>
          <w:rFonts w:ascii="Arial" w:eastAsia="Arial" w:hAnsi="Arial" w:cs="Arial"/>
        </w:rPr>
        <w:t>hiperelástica</w:t>
      </w:r>
      <w:proofErr w:type="spellEnd"/>
      <w:r w:rsidRPr="1545DD5D">
        <w:rPr>
          <w:rFonts w:ascii="Arial" w:eastAsia="Arial" w:hAnsi="Arial" w:cs="Arial"/>
        </w:rPr>
        <w:t xml:space="preserve"> da marca Dynamic Tape® nessa mesma região.</w:t>
      </w:r>
      <w:r w:rsidRPr="00BF361C">
        <w:rPr>
          <w:rFonts w:ascii="Arial" w:eastAsia="Arial" w:hAnsi="Arial" w:cs="Arial"/>
        </w:rPr>
        <w:t xml:space="preserve"> </w:t>
      </w:r>
    </w:p>
    <w:p w14:paraId="6BBFC3EB" w14:textId="27575360" w:rsidR="00BF361C" w:rsidRDefault="00BF361C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  <w:r w:rsidRPr="36FA2C9A">
        <w:rPr>
          <w:rFonts w:ascii="Arial" w:eastAsia="Arial" w:hAnsi="Arial" w:cs="Arial"/>
        </w:rPr>
        <w:t xml:space="preserve">Antes da aplicação da bandagem, para ambos os grupos, </w:t>
      </w:r>
      <w:r>
        <w:rPr>
          <w:rFonts w:ascii="Arial" w:eastAsia="Arial" w:hAnsi="Arial" w:cs="Arial"/>
        </w:rPr>
        <w:t>será</w:t>
      </w:r>
      <w:r w:rsidRPr="36FA2C9A">
        <w:rPr>
          <w:rFonts w:ascii="Arial" w:eastAsia="Arial" w:hAnsi="Arial" w:cs="Arial"/>
        </w:rPr>
        <w:t xml:space="preserve"> realizada a limpeza da pele sobre o músculo orbicular da boca com gaze embebida em álcool 70%. Em seguida, o pesquisador </w:t>
      </w:r>
      <w:r>
        <w:rPr>
          <w:rFonts w:ascii="Arial" w:eastAsia="Arial" w:hAnsi="Arial" w:cs="Arial"/>
        </w:rPr>
        <w:t>realizará</w:t>
      </w:r>
      <w:r w:rsidRPr="36FA2C9A">
        <w:rPr>
          <w:rFonts w:ascii="Arial" w:eastAsia="Arial" w:hAnsi="Arial" w:cs="Arial"/>
        </w:rPr>
        <w:t xml:space="preserve"> a medida da comissura labial direita à comissura labial esquerda, utilizando a escala de medida disponível no verso da bandagem. Após realizar o corte da bandagem na medida correta, </w:t>
      </w:r>
      <w:r>
        <w:rPr>
          <w:rFonts w:ascii="Arial" w:eastAsia="Arial" w:hAnsi="Arial" w:cs="Arial"/>
        </w:rPr>
        <w:t>serão</w:t>
      </w:r>
      <w:r w:rsidRPr="36FA2C9A">
        <w:rPr>
          <w:rFonts w:ascii="Arial" w:eastAsia="Arial" w:hAnsi="Arial" w:cs="Arial"/>
        </w:rPr>
        <w:t xml:space="preserve"> arredondados os cantos da bandagem para garantir melhor fixação, e foi </w:t>
      </w:r>
      <w:r w:rsidRPr="36FA2C9A">
        <w:rPr>
          <w:rFonts w:ascii="Arial" w:eastAsia="Arial" w:hAnsi="Arial" w:cs="Arial"/>
        </w:rPr>
        <w:lastRenderedPageBreak/>
        <w:t>feita a marcação da zona terapêutica e das âncoras, com a devida dobradura da bandagem.</w:t>
      </w:r>
    </w:p>
    <w:p w14:paraId="2848CC17" w14:textId="023A3371" w:rsidR="00BF361C" w:rsidRDefault="00BF361C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  <w:r w:rsidRPr="00A75784">
        <w:rPr>
          <w:rFonts w:ascii="Arial" w:eastAsia="Arial" w:hAnsi="Arial" w:cs="Arial"/>
        </w:rPr>
        <w:t xml:space="preserve">A colagem da bandagem elástica </w:t>
      </w:r>
      <w:r>
        <w:rPr>
          <w:rFonts w:ascii="Arial" w:eastAsia="Arial" w:hAnsi="Arial" w:cs="Arial"/>
        </w:rPr>
        <w:t>será</w:t>
      </w:r>
      <w:r w:rsidRPr="00A75784">
        <w:rPr>
          <w:rFonts w:ascii="Arial" w:eastAsia="Arial" w:hAnsi="Arial" w:cs="Arial"/>
        </w:rPr>
        <w:t xml:space="preserve"> realizada por meio do recorte em I, com largura aproximada de 1 cm em cada tira, tendo seu comprimento definido de acordo com a medida da comissura a comissura. O </w:t>
      </w:r>
      <w:r w:rsidRPr="00C5018E">
        <w:rPr>
          <w:rFonts w:ascii="Arial" w:eastAsia="Arial" w:hAnsi="Arial" w:cs="Arial"/>
        </w:rPr>
        <w:t xml:space="preserve">ponto fixo </w:t>
      </w:r>
      <w:r w:rsidR="00195E29">
        <w:rPr>
          <w:rFonts w:ascii="Arial" w:eastAsia="Arial" w:hAnsi="Arial" w:cs="Arial"/>
        </w:rPr>
        <w:t>será</w:t>
      </w:r>
      <w:r w:rsidRPr="00C5018E">
        <w:rPr>
          <w:rFonts w:ascii="Arial" w:eastAsia="Arial" w:hAnsi="Arial" w:cs="Arial"/>
        </w:rPr>
        <w:t xml:space="preserve"> o terço do meio e os pontos móveis os terços das extremidades, com 15 a 35% de tensão (Lemos et al., 2009)</w:t>
      </w:r>
      <w:r>
        <w:rPr>
          <w:rFonts w:ascii="Arial" w:eastAsia="Arial" w:hAnsi="Arial" w:cs="Arial"/>
        </w:rPr>
        <w:t>.</w:t>
      </w:r>
      <w:r w:rsidR="00195E29" w:rsidRPr="00195E29">
        <w:rPr>
          <w:rFonts w:ascii="Arial" w:eastAsia="Arial" w:hAnsi="Arial" w:cs="Arial"/>
        </w:rPr>
        <w:t xml:space="preserve"> </w:t>
      </w:r>
      <w:r w:rsidR="00195E29">
        <w:rPr>
          <w:rFonts w:ascii="Arial" w:eastAsia="Arial" w:hAnsi="Arial" w:cs="Arial"/>
        </w:rPr>
        <w:t>Serão coladas duas tiras, uma sobre lábio superior e outra sobre o inferior.</w:t>
      </w:r>
    </w:p>
    <w:p w14:paraId="1DC3034F" w14:textId="0CB62C74" w:rsidR="00195E29" w:rsidRDefault="00195E29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 w:rsidRPr="003521BD">
        <w:rPr>
          <w:rFonts w:ascii="Arial" w:eastAsia="Arial" w:hAnsi="Arial" w:cs="Arial"/>
        </w:rPr>
        <w:t xml:space="preserve"> bandagem </w:t>
      </w:r>
      <w:proofErr w:type="spellStart"/>
      <w:r w:rsidRPr="003521BD">
        <w:rPr>
          <w:rFonts w:ascii="Arial" w:eastAsia="Arial" w:hAnsi="Arial" w:cs="Arial"/>
        </w:rPr>
        <w:t>hiperelástica</w:t>
      </w:r>
      <w:proofErr w:type="spellEnd"/>
      <w:r w:rsidRPr="003521B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será </w:t>
      </w:r>
      <w:r w:rsidRPr="003521BD">
        <w:rPr>
          <w:rFonts w:ascii="Arial" w:eastAsia="Arial" w:hAnsi="Arial" w:cs="Arial"/>
        </w:rPr>
        <w:t>colocada em formato retangular</w:t>
      </w:r>
      <w:r>
        <w:rPr>
          <w:rFonts w:ascii="Arial" w:eastAsia="Arial" w:hAnsi="Arial" w:cs="Arial"/>
        </w:rPr>
        <w:t xml:space="preserve"> </w:t>
      </w:r>
      <w:r w:rsidRPr="003521BD">
        <w:rPr>
          <w:rFonts w:ascii="Arial" w:eastAsia="Arial" w:hAnsi="Arial" w:cs="Arial"/>
        </w:rPr>
        <w:t>com orifício central</w:t>
      </w:r>
      <w:r>
        <w:rPr>
          <w:rFonts w:ascii="Arial" w:eastAsia="Arial" w:hAnsi="Arial" w:cs="Arial"/>
        </w:rPr>
        <w:t>,</w:t>
      </w:r>
      <w:r w:rsidRPr="003521BD">
        <w:rPr>
          <w:rFonts w:ascii="Arial" w:eastAsia="Arial" w:hAnsi="Arial" w:cs="Arial"/>
        </w:rPr>
        <w:t xml:space="preserve"> com </w:t>
      </w:r>
      <w:r>
        <w:rPr>
          <w:rFonts w:ascii="Arial" w:eastAsia="Arial" w:hAnsi="Arial" w:cs="Arial"/>
        </w:rPr>
        <w:t>largura excedendo 2 cm sobre a</w:t>
      </w:r>
      <w:r w:rsidRPr="003521BD">
        <w:rPr>
          <w:rFonts w:ascii="Arial" w:eastAsia="Arial" w:hAnsi="Arial" w:cs="Arial"/>
        </w:rPr>
        <w:t xml:space="preserve"> medida d</w:t>
      </w:r>
      <w:r>
        <w:rPr>
          <w:rFonts w:ascii="Arial" w:eastAsia="Arial" w:hAnsi="Arial" w:cs="Arial"/>
        </w:rPr>
        <w:t xml:space="preserve">e cada </w:t>
      </w:r>
      <w:r w:rsidRPr="003521BD">
        <w:rPr>
          <w:rFonts w:ascii="Arial" w:eastAsia="Arial" w:hAnsi="Arial" w:cs="Arial"/>
        </w:rPr>
        <w:t>comissura</w:t>
      </w:r>
      <w:r>
        <w:rPr>
          <w:rFonts w:ascii="Arial" w:eastAsia="Arial" w:hAnsi="Arial" w:cs="Arial"/>
        </w:rPr>
        <w:t xml:space="preserve"> labial</w:t>
      </w:r>
      <w:r w:rsidRPr="003521BD">
        <w:rPr>
          <w:rFonts w:ascii="Arial" w:eastAsia="Arial" w:hAnsi="Arial" w:cs="Arial"/>
        </w:rPr>
        <w:t>, colada sem ponto fixo, com o mesmo estiramento realizado na bandagem elástica</w:t>
      </w:r>
      <w:r>
        <w:rPr>
          <w:rFonts w:ascii="Arial" w:eastAsia="Arial" w:hAnsi="Arial" w:cs="Arial"/>
        </w:rPr>
        <w:t>.</w:t>
      </w:r>
    </w:p>
    <w:p w14:paraId="33ED423B" w14:textId="77777777" w:rsidR="009C19FE" w:rsidRDefault="009C19FE" w:rsidP="00C24A41">
      <w:pPr>
        <w:spacing w:line="360" w:lineRule="auto"/>
        <w:ind w:firstLine="709"/>
        <w:jc w:val="both"/>
        <w:rPr>
          <w:rFonts w:ascii="Arial" w:eastAsia="Arial" w:hAnsi="Arial" w:cs="Arial"/>
          <w:b/>
          <w:bCs/>
        </w:rPr>
      </w:pPr>
      <w:r w:rsidRPr="36FA2C9A">
        <w:rPr>
          <w:rFonts w:ascii="Arial" w:eastAsia="Arial" w:hAnsi="Arial" w:cs="Arial"/>
          <w:b/>
          <w:bCs/>
        </w:rPr>
        <w:t>Análise dos dados</w:t>
      </w:r>
    </w:p>
    <w:p w14:paraId="3012994B" w14:textId="2BC1C3DA" w:rsidR="009C19FE" w:rsidRDefault="009C19FE" w:rsidP="00C24A41">
      <w:pPr>
        <w:spacing w:line="360" w:lineRule="auto"/>
        <w:ind w:firstLine="709"/>
        <w:jc w:val="both"/>
        <w:rPr>
          <w:rFonts w:ascii="Arial" w:eastAsia="Arial" w:hAnsi="Arial" w:cs="Arial"/>
          <w:color w:val="FF0000"/>
        </w:rPr>
      </w:pPr>
      <w:r w:rsidRPr="36FA2C9A">
        <w:rPr>
          <w:rFonts w:ascii="Arial" w:eastAsia="Arial" w:hAnsi="Arial" w:cs="Arial"/>
        </w:rPr>
        <w:t xml:space="preserve">Os vídeos </w:t>
      </w:r>
      <w:r>
        <w:rPr>
          <w:rFonts w:ascii="Arial" w:eastAsia="Arial" w:hAnsi="Arial" w:cs="Arial"/>
        </w:rPr>
        <w:t>serão</w:t>
      </w:r>
      <w:r w:rsidRPr="36FA2C9A">
        <w:rPr>
          <w:rFonts w:ascii="Arial" w:eastAsia="Arial" w:hAnsi="Arial" w:cs="Arial"/>
        </w:rPr>
        <w:t xml:space="preserve"> analisados, segundo a segundo pelo pesquisador principal. A postura dos lábios </w:t>
      </w:r>
      <w:r>
        <w:rPr>
          <w:rFonts w:ascii="Arial" w:eastAsia="Arial" w:hAnsi="Arial" w:cs="Arial"/>
        </w:rPr>
        <w:t>será classificada</w:t>
      </w:r>
      <w:r w:rsidRPr="36FA2C9A">
        <w:rPr>
          <w:rFonts w:ascii="Arial" w:eastAsia="Arial" w:hAnsi="Arial" w:cs="Arial"/>
        </w:rPr>
        <w:t xml:space="preserve"> como: I) fechados (presença de contato entre os lábios inferior e superior em toda a extensão da rima labial); II) semiabertos (o contato entre os lábios superior e inferior ocorr</w:t>
      </w:r>
      <w:r>
        <w:rPr>
          <w:rFonts w:ascii="Arial" w:eastAsia="Arial" w:hAnsi="Arial" w:cs="Arial"/>
        </w:rPr>
        <w:t>e</w:t>
      </w:r>
      <w:r w:rsidRPr="36FA2C9A">
        <w:rPr>
          <w:rFonts w:ascii="Arial" w:eastAsia="Arial" w:hAnsi="Arial" w:cs="Arial"/>
        </w:rPr>
        <w:t xml:space="preserve"> apenas próximo às comissuras labiais); ou III) abertos (não h</w:t>
      </w:r>
      <w:r>
        <w:rPr>
          <w:rFonts w:ascii="Arial" w:eastAsia="Arial" w:hAnsi="Arial" w:cs="Arial"/>
        </w:rPr>
        <w:t>á</w:t>
      </w:r>
      <w:r w:rsidRPr="36FA2C9A">
        <w:rPr>
          <w:rFonts w:ascii="Arial" w:eastAsia="Arial" w:hAnsi="Arial" w:cs="Arial"/>
        </w:rPr>
        <w:t xml:space="preserve"> contato entre o lábio inferior e superior)</w:t>
      </w:r>
      <w:r w:rsidRPr="005D03C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(Ferreira et al., 2023)</w:t>
      </w:r>
      <w:r w:rsidRPr="36FA2C9A">
        <w:rPr>
          <w:rFonts w:ascii="Arial" w:eastAsia="Arial" w:hAnsi="Arial" w:cs="Arial"/>
        </w:rPr>
        <w:t xml:space="preserve">. Além disso, </w:t>
      </w:r>
      <w:r>
        <w:rPr>
          <w:rFonts w:ascii="Arial" w:eastAsia="Arial" w:hAnsi="Arial" w:cs="Arial"/>
        </w:rPr>
        <w:t>serão</w:t>
      </w:r>
      <w:r w:rsidRPr="36FA2C9A">
        <w:rPr>
          <w:rFonts w:ascii="Arial" w:eastAsia="Arial" w:hAnsi="Arial" w:cs="Arial"/>
        </w:rPr>
        <w:t xml:space="preserve"> avaliados os movimentos orofaciais e corporais </w:t>
      </w:r>
      <w:r w:rsidRPr="005D03CE">
        <w:rPr>
          <w:rFonts w:ascii="Arial" w:eastAsia="Arial" w:hAnsi="Arial" w:cs="Arial"/>
        </w:rPr>
        <w:t>realizados por cada criança, classificados como:</w:t>
      </w:r>
      <w:r w:rsidRPr="36FA2C9A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 w:themeColor="text1"/>
        </w:rPr>
        <w:t>p</w:t>
      </w:r>
      <w:r w:rsidRPr="005D03CE">
        <w:rPr>
          <w:rFonts w:ascii="Arial" w:eastAsia="Arial" w:hAnsi="Arial" w:cs="Arial"/>
          <w:color w:val="000000" w:themeColor="text1"/>
        </w:rPr>
        <w:t>rotusão de lábios</w:t>
      </w:r>
      <w:r>
        <w:rPr>
          <w:rFonts w:ascii="Arial" w:eastAsia="Arial" w:hAnsi="Arial" w:cs="Arial"/>
          <w:color w:val="000000" w:themeColor="text1"/>
        </w:rPr>
        <w:t>, r</w:t>
      </w:r>
      <w:r w:rsidRPr="005D03CE">
        <w:rPr>
          <w:rFonts w:ascii="Arial" w:eastAsia="Arial" w:hAnsi="Arial" w:cs="Arial"/>
          <w:color w:val="000000" w:themeColor="text1"/>
        </w:rPr>
        <w:t>etração de lábios</w:t>
      </w:r>
      <w:r>
        <w:rPr>
          <w:rFonts w:ascii="Arial" w:eastAsia="Arial" w:hAnsi="Arial" w:cs="Arial"/>
          <w:color w:val="000000" w:themeColor="text1"/>
        </w:rPr>
        <w:t>, l</w:t>
      </w:r>
      <w:r w:rsidRPr="005D03CE">
        <w:rPr>
          <w:rFonts w:ascii="Arial" w:eastAsia="Arial" w:hAnsi="Arial" w:cs="Arial"/>
          <w:color w:val="000000" w:themeColor="text1"/>
        </w:rPr>
        <w:t>ateralização de lábios</w:t>
      </w:r>
      <w:r>
        <w:rPr>
          <w:rFonts w:ascii="Arial" w:eastAsia="Arial" w:hAnsi="Arial" w:cs="Arial"/>
          <w:color w:val="000000" w:themeColor="text1"/>
        </w:rPr>
        <w:t>, m</w:t>
      </w:r>
      <w:r w:rsidRPr="005D03CE">
        <w:rPr>
          <w:rFonts w:ascii="Arial" w:eastAsia="Arial" w:hAnsi="Arial" w:cs="Arial"/>
          <w:color w:val="000000" w:themeColor="text1"/>
        </w:rPr>
        <w:t xml:space="preserve">order lábio inferior com </w:t>
      </w:r>
      <w:r>
        <w:rPr>
          <w:rFonts w:ascii="Arial" w:eastAsia="Arial" w:hAnsi="Arial" w:cs="Arial"/>
          <w:color w:val="000000" w:themeColor="text1"/>
        </w:rPr>
        <w:t xml:space="preserve">os </w:t>
      </w:r>
      <w:r w:rsidRPr="005D03CE">
        <w:rPr>
          <w:rFonts w:ascii="Arial" w:eastAsia="Arial" w:hAnsi="Arial" w:cs="Arial"/>
          <w:color w:val="000000" w:themeColor="text1"/>
        </w:rPr>
        <w:t>incisivos superiores</w:t>
      </w:r>
      <w:r>
        <w:rPr>
          <w:rFonts w:ascii="Arial" w:eastAsia="Arial" w:hAnsi="Arial" w:cs="Arial"/>
          <w:color w:val="000000" w:themeColor="text1"/>
        </w:rPr>
        <w:t>, m</w:t>
      </w:r>
      <w:r w:rsidRPr="005D03CE">
        <w:rPr>
          <w:rFonts w:ascii="Arial" w:eastAsia="Arial" w:hAnsi="Arial" w:cs="Arial"/>
          <w:color w:val="000000" w:themeColor="text1"/>
        </w:rPr>
        <w:t>order lábio superior com incisivos inferiores</w:t>
      </w:r>
      <w:r>
        <w:rPr>
          <w:rFonts w:ascii="Arial" w:eastAsia="Arial" w:hAnsi="Arial" w:cs="Arial"/>
          <w:color w:val="000000" w:themeColor="text1"/>
        </w:rPr>
        <w:t>, outro m</w:t>
      </w:r>
      <w:r w:rsidRPr="005D03CE">
        <w:rPr>
          <w:rFonts w:ascii="Arial" w:eastAsia="Arial" w:hAnsi="Arial" w:cs="Arial"/>
          <w:color w:val="000000" w:themeColor="text1"/>
        </w:rPr>
        <w:t>ovimento de lábios</w:t>
      </w:r>
      <w:r>
        <w:rPr>
          <w:rFonts w:ascii="Arial" w:eastAsia="Arial" w:hAnsi="Arial" w:cs="Arial"/>
          <w:color w:val="000000" w:themeColor="text1"/>
        </w:rPr>
        <w:t>, p</w:t>
      </w:r>
      <w:r w:rsidRPr="005D03CE">
        <w:rPr>
          <w:rFonts w:ascii="Arial" w:eastAsia="Arial" w:hAnsi="Arial" w:cs="Arial"/>
          <w:color w:val="000000" w:themeColor="text1"/>
        </w:rPr>
        <w:t>rotusão de língua</w:t>
      </w:r>
      <w:r>
        <w:rPr>
          <w:rFonts w:ascii="Arial" w:eastAsia="Arial" w:hAnsi="Arial" w:cs="Arial"/>
          <w:color w:val="000000" w:themeColor="text1"/>
        </w:rPr>
        <w:t>, l</w:t>
      </w:r>
      <w:r w:rsidRPr="005D03CE">
        <w:rPr>
          <w:rFonts w:ascii="Arial" w:eastAsia="Arial" w:hAnsi="Arial" w:cs="Arial"/>
          <w:color w:val="000000" w:themeColor="text1"/>
        </w:rPr>
        <w:t>ateralização de língua</w:t>
      </w:r>
      <w:r>
        <w:rPr>
          <w:rFonts w:ascii="Arial" w:eastAsia="Arial" w:hAnsi="Arial" w:cs="Arial"/>
          <w:color w:val="000000" w:themeColor="text1"/>
        </w:rPr>
        <w:t>, m</w:t>
      </w:r>
      <w:r w:rsidRPr="005D03CE">
        <w:rPr>
          <w:rFonts w:ascii="Arial" w:eastAsia="Arial" w:hAnsi="Arial" w:cs="Arial"/>
          <w:color w:val="000000" w:themeColor="text1"/>
        </w:rPr>
        <w:t>ovimento de língua na área externa dos lábios</w:t>
      </w:r>
      <w:r>
        <w:rPr>
          <w:rFonts w:ascii="Arial" w:eastAsia="Arial" w:hAnsi="Arial" w:cs="Arial"/>
          <w:color w:val="000000" w:themeColor="text1"/>
        </w:rPr>
        <w:t>, outro m</w:t>
      </w:r>
      <w:r w:rsidRPr="005D03CE">
        <w:rPr>
          <w:rFonts w:ascii="Arial" w:eastAsia="Arial" w:hAnsi="Arial" w:cs="Arial"/>
          <w:color w:val="000000" w:themeColor="text1"/>
        </w:rPr>
        <w:t>ovimento de língua</w:t>
      </w:r>
      <w:r>
        <w:rPr>
          <w:rFonts w:ascii="Arial" w:eastAsia="Arial" w:hAnsi="Arial" w:cs="Arial"/>
          <w:color w:val="000000" w:themeColor="text1"/>
        </w:rPr>
        <w:t>, m</w:t>
      </w:r>
      <w:r w:rsidRPr="005D03CE">
        <w:rPr>
          <w:rFonts w:ascii="Arial" w:eastAsia="Arial" w:hAnsi="Arial" w:cs="Arial"/>
          <w:color w:val="000000" w:themeColor="text1"/>
        </w:rPr>
        <w:t>ovimento de mãos para retirar a bandagem</w:t>
      </w:r>
      <w:r>
        <w:rPr>
          <w:rFonts w:ascii="Arial" w:eastAsia="Arial" w:hAnsi="Arial" w:cs="Arial"/>
          <w:color w:val="000000" w:themeColor="text1"/>
        </w:rPr>
        <w:t>, movimento não caracterizado (</w:t>
      </w:r>
      <w:r w:rsidRPr="2F44A1F0">
        <w:rPr>
          <w:rFonts w:ascii="Arial Nova" w:eastAsia="Arial Nova" w:hAnsi="Arial Nova" w:cs="Arial Nova"/>
        </w:rPr>
        <w:t>movimento que não fo</w:t>
      </w:r>
      <w:r>
        <w:rPr>
          <w:rFonts w:ascii="Arial Nova" w:eastAsia="Arial Nova" w:hAnsi="Arial Nova" w:cs="Arial Nova"/>
        </w:rPr>
        <w:t>i</w:t>
      </w:r>
      <w:r w:rsidRPr="2F44A1F0">
        <w:rPr>
          <w:rFonts w:ascii="Arial Nova" w:eastAsia="Arial Nova" w:hAnsi="Arial Nova" w:cs="Arial Nova"/>
        </w:rPr>
        <w:t xml:space="preserve"> descrito antes, como choro, esconder o rosto, entre outros</w:t>
      </w:r>
      <w:r>
        <w:rPr>
          <w:rFonts w:ascii="Arial Nova" w:eastAsia="Arial Nova" w:hAnsi="Arial Nova" w:cs="Arial Nova"/>
        </w:rPr>
        <w:t xml:space="preserve">), </w:t>
      </w:r>
      <w:r>
        <w:rPr>
          <w:rFonts w:ascii="Arial" w:eastAsia="Arial" w:hAnsi="Arial" w:cs="Arial"/>
          <w:color w:val="000000" w:themeColor="text1"/>
        </w:rPr>
        <w:t>vocalização.</w:t>
      </w:r>
    </w:p>
    <w:p w14:paraId="548F8D24" w14:textId="1696C52C" w:rsidR="009C19FE" w:rsidRDefault="009C19FE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Com relação à postura habitual de lábios, </w:t>
      </w:r>
      <w:r w:rsidR="00C24A41">
        <w:rPr>
          <w:rFonts w:ascii="Arial" w:eastAsia="Arial" w:hAnsi="Arial" w:cs="Arial"/>
        </w:rPr>
        <w:t>serão</w:t>
      </w:r>
      <w:r w:rsidRPr="36FA2C9A">
        <w:rPr>
          <w:rFonts w:ascii="Arial" w:eastAsia="Arial" w:hAnsi="Arial" w:cs="Arial"/>
        </w:rPr>
        <w:t xml:space="preserve"> contabilizados os segundos em que a criança permaneceu em cada classificação da postura habitual</w:t>
      </w:r>
      <w:r>
        <w:rPr>
          <w:rFonts w:ascii="Arial" w:eastAsia="Arial" w:hAnsi="Arial" w:cs="Arial"/>
        </w:rPr>
        <w:t xml:space="preserve"> e calculada a duração relativa, apresentada em porcentagem da duração total do vídeo analisado</w:t>
      </w:r>
      <w:r w:rsidRPr="36FA2C9A">
        <w:rPr>
          <w:rFonts w:ascii="Arial" w:eastAsia="Arial" w:hAnsi="Arial" w:cs="Arial"/>
        </w:rPr>
        <w:t xml:space="preserve"> (Ferreira et al., 2023).</w:t>
      </w:r>
      <w:r>
        <w:rPr>
          <w:rFonts w:ascii="Arial" w:eastAsia="Arial" w:hAnsi="Arial" w:cs="Arial"/>
        </w:rPr>
        <w:t xml:space="preserve"> No que se refere aos movimentos orofaciais e corporais, </w:t>
      </w:r>
      <w:r w:rsidR="00C24A41">
        <w:rPr>
          <w:rFonts w:ascii="Arial" w:eastAsia="Arial" w:hAnsi="Arial" w:cs="Arial"/>
        </w:rPr>
        <w:t>serão</w:t>
      </w:r>
      <w:r>
        <w:rPr>
          <w:rFonts w:ascii="Arial" w:eastAsia="Arial" w:hAnsi="Arial" w:cs="Arial"/>
        </w:rPr>
        <w:t xml:space="preserve"> contabilizados as ocorrências e os segundos em que a criança permaneceu em cada movimento.</w:t>
      </w:r>
      <w:r w:rsidRPr="36FA2C9A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Da mesma forma </w:t>
      </w:r>
      <w:r>
        <w:rPr>
          <w:rFonts w:ascii="Arial" w:eastAsia="Arial" w:hAnsi="Arial" w:cs="Arial"/>
        </w:rPr>
        <w:lastRenderedPageBreak/>
        <w:t xml:space="preserve">a duração do movimento </w:t>
      </w:r>
      <w:r w:rsidR="00C24A41">
        <w:rPr>
          <w:rFonts w:ascii="Arial" w:eastAsia="Arial" w:hAnsi="Arial" w:cs="Arial"/>
        </w:rPr>
        <w:t>será</w:t>
      </w:r>
      <w:r>
        <w:rPr>
          <w:rFonts w:ascii="Arial" w:eastAsia="Arial" w:hAnsi="Arial" w:cs="Arial"/>
        </w:rPr>
        <w:t xml:space="preserve"> apresentada de forma relativa, ou seja, em porcentagem da duração total do vídeo. </w:t>
      </w:r>
      <w:r w:rsidRPr="36FA2C9A">
        <w:rPr>
          <w:rFonts w:ascii="Arial" w:eastAsia="Arial" w:hAnsi="Arial" w:cs="Arial"/>
        </w:rPr>
        <w:t>Para aumentar a confiabilidade dos dados, um segundo pesquisador treinado e calibrado com o primeiro pesquisador, analis</w:t>
      </w:r>
      <w:r w:rsidR="00C24A41">
        <w:rPr>
          <w:rFonts w:ascii="Arial" w:eastAsia="Arial" w:hAnsi="Arial" w:cs="Arial"/>
        </w:rPr>
        <w:t>ará</w:t>
      </w:r>
      <w:r w:rsidRPr="36FA2C9A">
        <w:rPr>
          <w:rFonts w:ascii="Arial" w:eastAsia="Arial" w:hAnsi="Arial" w:cs="Arial"/>
        </w:rPr>
        <w:t xml:space="preserve"> 20% dos vídeos. Para verificação da concordância entre eles, foi calculada a estatística Kappa, sendo a concordância classificada como fraca (0 a 0,20); razoável (0,21 a 0,40); moderada (0,41 a 0,60); substancial (0,61 a 0,80); e excelente (0,81 a 1,0) (Landis &amp; Koch, 1977).</w:t>
      </w:r>
    </w:p>
    <w:p w14:paraId="22266F14" w14:textId="2CE3BDEE" w:rsidR="009C19FE" w:rsidRDefault="009C19FE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  <w:r w:rsidRPr="1545DD5D">
        <w:rPr>
          <w:rFonts w:ascii="Arial" w:eastAsia="Arial" w:hAnsi="Arial" w:cs="Arial"/>
        </w:rPr>
        <w:t>A variável resposta do estudo (desfecho</w:t>
      </w:r>
      <w:r>
        <w:rPr>
          <w:rFonts w:ascii="Arial" w:eastAsia="Arial" w:hAnsi="Arial" w:cs="Arial"/>
        </w:rPr>
        <w:t xml:space="preserve"> principal</w:t>
      </w:r>
      <w:r w:rsidRPr="1545DD5D">
        <w:rPr>
          <w:rFonts w:ascii="Arial" w:eastAsia="Arial" w:hAnsi="Arial" w:cs="Arial"/>
        </w:rPr>
        <w:t xml:space="preserve">) </w:t>
      </w:r>
      <w:r w:rsidR="00C24A41">
        <w:rPr>
          <w:rFonts w:ascii="Arial" w:eastAsia="Arial" w:hAnsi="Arial" w:cs="Arial"/>
        </w:rPr>
        <w:t>será</w:t>
      </w:r>
      <w:r w:rsidRPr="1545DD5D">
        <w:rPr>
          <w:rFonts w:ascii="Arial" w:eastAsia="Arial" w:hAnsi="Arial" w:cs="Arial"/>
        </w:rPr>
        <w:t xml:space="preserve"> a postura habitual dos lábios. Como desfechos secundários </w:t>
      </w:r>
      <w:r w:rsidR="00C24A41">
        <w:rPr>
          <w:rFonts w:ascii="Arial" w:eastAsia="Arial" w:hAnsi="Arial" w:cs="Arial"/>
        </w:rPr>
        <w:t>serão analisados</w:t>
      </w:r>
      <w:r w:rsidRPr="1545DD5D">
        <w:rPr>
          <w:rFonts w:ascii="Arial" w:eastAsia="Arial" w:hAnsi="Arial" w:cs="Arial"/>
        </w:rPr>
        <w:t xml:space="preserve"> os movimentos orofaciais e corporais. As variáveis explicativas </w:t>
      </w:r>
      <w:r w:rsidR="00C24A41">
        <w:rPr>
          <w:rFonts w:ascii="Arial" w:eastAsia="Arial" w:hAnsi="Arial" w:cs="Arial"/>
        </w:rPr>
        <w:t>serão</w:t>
      </w:r>
      <w:r w:rsidRPr="1545DD5D">
        <w:rPr>
          <w:rFonts w:ascii="Arial" w:eastAsia="Arial" w:hAnsi="Arial" w:cs="Arial"/>
        </w:rPr>
        <w:t xml:space="preserve">: o momento (antes vs. durante o uso da bandagem) e o tipo de intervenção à qual grupo o participante </w:t>
      </w:r>
      <w:r w:rsidR="00C24A41">
        <w:rPr>
          <w:rFonts w:ascii="Arial" w:eastAsia="Arial" w:hAnsi="Arial" w:cs="Arial"/>
        </w:rPr>
        <w:t>será</w:t>
      </w:r>
      <w:r w:rsidRPr="1545DD5D">
        <w:rPr>
          <w:rFonts w:ascii="Arial" w:eastAsia="Arial" w:hAnsi="Arial" w:cs="Arial"/>
        </w:rPr>
        <w:t xml:space="preserve"> exposto (bandagem elástica ou bandagem </w:t>
      </w:r>
      <w:proofErr w:type="spellStart"/>
      <w:r w:rsidRPr="1545DD5D">
        <w:rPr>
          <w:rFonts w:ascii="Arial" w:eastAsia="Arial" w:hAnsi="Arial" w:cs="Arial"/>
        </w:rPr>
        <w:t>hiperelástica</w:t>
      </w:r>
      <w:proofErr w:type="spellEnd"/>
      <w:r w:rsidRPr="1545DD5D">
        <w:rPr>
          <w:rFonts w:ascii="Arial" w:eastAsia="Arial" w:hAnsi="Arial" w:cs="Arial"/>
        </w:rPr>
        <w:t xml:space="preserve">). Os desfechos </w:t>
      </w:r>
      <w:r w:rsidR="00C24A41">
        <w:rPr>
          <w:rFonts w:ascii="Arial" w:eastAsia="Arial" w:hAnsi="Arial" w:cs="Arial"/>
        </w:rPr>
        <w:t>serão</w:t>
      </w:r>
      <w:r w:rsidRPr="1545DD5D">
        <w:rPr>
          <w:rFonts w:ascii="Arial" w:eastAsia="Arial" w:hAnsi="Arial" w:cs="Arial"/>
        </w:rPr>
        <w:t xml:space="preserve"> comparados entre os momentos (antes e durante a aplicação da bandagem)</w:t>
      </w:r>
      <w:r>
        <w:rPr>
          <w:rFonts w:ascii="Arial" w:eastAsia="Arial" w:hAnsi="Arial" w:cs="Arial"/>
        </w:rPr>
        <w:t xml:space="preserve"> por meio do</w:t>
      </w:r>
      <w:r w:rsidRPr="002815BB">
        <w:rPr>
          <w:rFonts w:ascii="Arial" w:eastAsia="Arial" w:hAnsi="Arial" w:cs="Arial"/>
        </w:rPr>
        <w:t xml:space="preserve"> </w:t>
      </w:r>
      <w:proofErr w:type="spellStart"/>
      <w:r w:rsidRPr="00083A66">
        <w:rPr>
          <w:rFonts w:ascii="Arial" w:hAnsi="Arial" w:cs="Arial"/>
        </w:rPr>
        <w:t>Wilcoxon</w:t>
      </w:r>
      <w:proofErr w:type="spellEnd"/>
      <w:r w:rsidRPr="00083A66">
        <w:rPr>
          <w:rFonts w:ascii="Arial" w:hAnsi="Arial" w:cs="Arial"/>
        </w:rPr>
        <w:t xml:space="preserve"> </w:t>
      </w:r>
      <w:proofErr w:type="spellStart"/>
      <w:r w:rsidRPr="00083A66">
        <w:rPr>
          <w:rFonts w:ascii="Arial" w:hAnsi="Arial" w:cs="Arial"/>
        </w:rPr>
        <w:t>signed</w:t>
      </w:r>
      <w:proofErr w:type="spellEnd"/>
      <w:r w:rsidRPr="00083A66">
        <w:rPr>
          <w:rFonts w:ascii="Arial" w:hAnsi="Arial" w:cs="Arial"/>
        </w:rPr>
        <w:t xml:space="preserve">-rank </w:t>
      </w:r>
      <w:proofErr w:type="spellStart"/>
      <w:r w:rsidRPr="00083A66">
        <w:rPr>
          <w:rFonts w:ascii="Arial" w:hAnsi="Arial" w:cs="Arial"/>
        </w:rPr>
        <w:t>test</w:t>
      </w:r>
      <w:proofErr w:type="spellEnd"/>
      <w:r w:rsidRPr="1545DD5D">
        <w:rPr>
          <w:rFonts w:ascii="Arial" w:eastAsia="Arial" w:hAnsi="Arial" w:cs="Arial"/>
        </w:rPr>
        <w:t xml:space="preserve"> e entre os grupos, utilizando-se </w:t>
      </w:r>
      <w:r>
        <w:rPr>
          <w:rFonts w:ascii="Arial" w:eastAsia="Arial" w:hAnsi="Arial" w:cs="Arial"/>
        </w:rPr>
        <w:t xml:space="preserve">o </w:t>
      </w:r>
      <w:r w:rsidRPr="002815BB">
        <w:rPr>
          <w:rFonts w:ascii="Arial" w:eastAsia="Arial" w:hAnsi="Arial" w:cs="Arial"/>
        </w:rPr>
        <w:t>Teste de Mann-Whitney</w:t>
      </w:r>
      <w:r>
        <w:rPr>
          <w:rFonts w:ascii="Arial" w:eastAsia="Arial" w:hAnsi="Arial" w:cs="Arial"/>
        </w:rPr>
        <w:t>.</w:t>
      </w:r>
      <w:r w:rsidRPr="1545DD5D">
        <w:rPr>
          <w:rFonts w:ascii="Arial" w:eastAsia="Arial" w:hAnsi="Arial" w:cs="Arial"/>
        </w:rPr>
        <w:t xml:space="preserve"> </w:t>
      </w:r>
      <w:r w:rsidR="00C24A41">
        <w:rPr>
          <w:rFonts w:ascii="Arial" w:eastAsia="Arial" w:hAnsi="Arial" w:cs="Arial"/>
        </w:rPr>
        <w:t>Será adotado o</w:t>
      </w:r>
      <w:r w:rsidRPr="1545DD5D">
        <w:rPr>
          <w:rFonts w:ascii="Arial" w:eastAsia="Arial" w:hAnsi="Arial" w:cs="Arial"/>
        </w:rPr>
        <w:t xml:space="preserve"> nível de significância de 5% e</w:t>
      </w:r>
      <w:r>
        <w:rPr>
          <w:rFonts w:ascii="Arial" w:eastAsia="Arial" w:hAnsi="Arial" w:cs="Arial"/>
        </w:rPr>
        <w:t>m todas as análises</w:t>
      </w:r>
      <w:r w:rsidRPr="1545DD5D">
        <w:rPr>
          <w:rFonts w:ascii="Arial" w:eastAsia="Arial" w:hAnsi="Arial" w:cs="Arial"/>
        </w:rPr>
        <w:t>.</w:t>
      </w:r>
    </w:p>
    <w:p w14:paraId="364FF16A" w14:textId="77777777" w:rsidR="009C19FE" w:rsidRDefault="009C19FE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</w:p>
    <w:p w14:paraId="313A6531" w14:textId="77777777" w:rsidR="00BF361C" w:rsidRDefault="00BF361C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</w:p>
    <w:p w14:paraId="2037DA3A" w14:textId="77777777" w:rsidR="00256CA9" w:rsidRDefault="00256CA9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</w:p>
    <w:p w14:paraId="093E3E5E" w14:textId="77777777" w:rsidR="00C24A41" w:rsidRDefault="00C24A41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</w:p>
    <w:p w14:paraId="64748924" w14:textId="77777777" w:rsidR="00C24A41" w:rsidRDefault="00C24A41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</w:p>
    <w:p w14:paraId="4901B981" w14:textId="77777777" w:rsidR="00C24A41" w:rsidRDefault="00C24A41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</w:p>
    <w:p w14:paraId="5B79439D" w14:textId="77777777" w:rsidR="00C24A41" w:rsidRDefault="00C24A41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</w:p>
    <w:p w14:paraId="34EA0BAF" w14:textId="77777777" w:rsidR="00C24A41" w:rsidRDefault="00C24A41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</w:p>
    <w:p w14:paraId="4E7B4FC4" w14:textId="77777777" w:rsidR="00C24A41" w:rsidRDefault="00C24A41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</w:p>
    <w:p w14:paraId="5A6ECC18" w14:textId="77777777" w:rsidR="00C24A41" w:rsidRDefault="00C24A41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</w:p>
    <w:p w14:paraId="634E4DDC" w14:textId="77777777" w:rsidR="00C24A41" w:rsidRDefault="00C24A41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</w:p>
    <w:p w14:paraId="05478890" w14:textId="77777777" w:rsidR="00C24A41" w:rsidRDefault="00C24A41" w:rsidP="00C24A41">
      <w:pPr>
        <w:spacing w:line="360" w:lineRule="auto"/>
        <w:ind w:firstLine="709"/>
        <w:jc w:val="both"/>
        <w:rPr>
          <w:rFonts w:ascii="Arial" w:eastAsia="Arial" w:hAnsi="Arial" w:cs="Arial"/>
        </w:rPr>
      </w:pPr>
    </w:p>
    <w:p w14:paraId="61F7E735" w14:textId="77777777" w:rsidR="00C24A41" w:rsidRPr="000C3975" w:rsidRDefault="00C24A41" w:rsidP="00C24A41">
      <w:pPr>
        <w:spacing w:line="360" w:lineRule="auto"/>
        <w:ind w:firstLine="709"/>
        <w:jc w:val="both"/>
        <w:rPr>
          <w:rFonts w:ascii="Arial" w:eastAsia="Arial" w:hAnsi="Arial" w:cs="Arial"/>
          <w:b/>
          <w:bCs/>
        </w:rPr>
      </w:pPr>
      <w:r w:rsidRPr="1545DD5D">
        <w:rPr>
          <w:rFonts w:ascii="Arial" w:eastAsia="Arial" w:hAnsi="Arial" w:cs="Arial"/>
          <w:b/>
          <w:bCs/>
        </w:rPr>
        <w:lastRenderedPageBreak/>
        <w:t xml:space="preserve">Referências bibliográficas </w:t>
      </w:r>
    </w:p>
    <w:p w14:paraId="7E6DBAE3" w14:textId="77777777" w:rsidR="00C24A41" w:rsidRPr="00C24A41" w:rsidRDefault="00C24A41" w:rsidP="00C24A41">
      <w:pPr>
        <w:pStyle w:val="PargrafodaLista"/>
        <w:numPr>
          <w:ilvl w:val="0"/>
          <w:numId w:val="1"/>
        </w:numPr>
        <w:spacing w:after="240" w:line="240" w:lineRule="auto"/>
        <w:jc w:val="both"/>
        <w:rPr>
          <w:rFonts w:ascii="Arial" w:eastAsia="Arial" w:hAnsi="Arial" w:cs="Arial"/>
          <w:lang w:val="en-US"/>
        </w:rPr>
      </w:pPr>
      <w:proofErr w:type="spellStart"/>
      <w:r w:rsidRPr="006670C9">
        <w:rPr>
          <w:rFonts w:ascii="Arial" w:eastAsia="Arial" w:hAnsi="Arial" w:cs="Arial"/>
          <w:lang w:val="en-US"/>
        </w:rPr>
        <w:t>Caneschi</w:t>
      </w:r>
      <w:proofErr w:type="spellEnd"/>
      <w:r w:rsidRPr="006670C9">
        <w:rPr>
          <w:rFonts w:ascii="Arial" w:eastAsia="Arial" w:hAnsi="Arial" w:cs="Arial"/>
          <w:lang w:val="en-US"/>
        </w:rPr>
        <w:t xml:space="preserve"> WF, Paiva CCAN, Frade RL, Motta AR. </w:t>
      </w:r>
      <w:r w:rsidRPr="00C24A41">
        <w:rPr>
          <w:rFonts w:ascii="Arial" w:eastAsia="Arial" w:hAnsi="Arial" w:cs="Arial"/>
          <w:lang w:val="en-US"/>
        </w:rPr>
        <w:t>Use of elastic bandage associated with speech therapy in the control of sialorrhea (hypersalivation</w:t>
      </w:r>
      <w:proofErr w:type="gramStart"/>
      <w:r w:rsidRPr="00C24A41">
        <w:rPr>
          <w:rFonts w:ascii="Arial" w:eastAsia="Arial" w:hAnsi="Arial" w:cs="Arial"/>
          <w:lang w:val="en-US"/>
        </w:rPr>
        <w:t>) .</w:t>
      </w:r>
      <w:proofErr w:type="gramEnd"/>
      <w:r w:rsidRPr="00C24A41">
        <w:rPr>
          <w:rFonts w:ascii="Arial" w:eastAsia="Arial" w:hAnsi="Arial" w:cs="Arial"/>
          <w:lang w:val="en-US"/>
        </w:rPr>
        <w:t xml:space="preserve"> Rev CEFAC. 2014;</w:t>
      </w:r>
      <w:r w:rsidRPr="00C24A41">
        <w:rPr>
          <w:rFonts w:ascii="Calibri" w:eastAsia="Calibri" w:hAnsi="Calibri" w:cs="Calibri"/>
          <w:sz w:val="22"/>
          <w:szCs w:val="22"/>
          <w:lang w:val="en-US"/>
        </w:rPr>
        <w:t xml:space="preserve"> </w:t>
      </w:r>
      <w:r w:rsidRPr="00C24A41">
        <w:rPr>
          <w:rFonts w:ascii="Arial" w:eastAsia="Arial" w:hAnsi="Arial" w:cs="Arial"/>
          <w:lang w:val="en-US"/>
        </w:rPr>
        <w:t xml:space="preserve">16(5):1558-66. </w:t>
      </w:r>
    </w:p>
    <w:p w14:paraId="52A7801D" w14:textId="77777777" w:rsidR="00C24A41" w:rsidRPr="00C24A41" w:rsidRDefault="00C24A41" w:rsidP="00C24A41">
      <w:pPr>
        <w:pStyle w:val="PargrafodaLista"/>
        <w:numPr>
          <w:ilvl w:val="0"/>
          <w:numId w:val="1"/>
        </w:numPr>
        <w:spacing w:after="240" w:line="240" w:lineRule="auto"/>
        <w:jc w:val="both"/>
        <w:rPr>
          <w:rFonts w:ascii="Arial" w:eastAsia="Arial" w:hAnsi="Arial" w:cs="Arial"/>
          <w:color w:val="222222"/>
          <w:shd w:val="clear" w:color="auto" w:fill="FFFFFF"/>
          <w:lang w:val="en-US"/>
        </w:rPr>
      </w:pPr>
      <w:r w:rsidRPr="00C24A41">
        <w:rPr>
          <w:rFonts w:ascii="Arial" w:eastAsia="Arial" w:hAnsi="Arial" w:cs="Arial"/>
          <w:color w:val="222222"/>
          <w:shd w:val="clear" w:color="auto" w:fill="FFFFFF"/>
          <w:lang w:val="en-US"/>
        </w:rPr>
        <w:t xml:space="preserve">Chapman LR, Ramnarine IVP, Zemke D, Majid A, Bell SM. Gene Expression studies in Down Syndrome: What do they tell us about disease phenotypes? Int J Mol Sci. 2024;25(5):2968. </w:t>
      </w:r>
      <w:hyperlink r:id="rId5">
        <w:r w:rsidRPr="00C24A41">
          <w:rPr>
            <w:rFonts w:ascii="Arial" w:eastAsia="Arial" w:hAnsi="Arial" w:cs="Arial"/>
            <w:color w:val="0000FF"/>
            <w:u w:val="single"/>
            <w:shd w:val="clear" w:color="auto" w:fill="FFFFFF"/>
            <w:lang w:val="en-US"/>
          </w:rPr>
          <w:t>https://doi.org/10.3390/ijms25052968</w:t>
        </w:r>
      </w:hyperlink>
    </w:p>
    <w:p w14:paraId="7EEAB6DE" w14:textId="77777777" w:rsidR="00C24A41" w:rsidRPr="00C24A41" w:rsidRDefault="00C24A41" w:rsidP="00C24A41">
      <w:pPr>
        <w:pStyle w:val="PargrafodaLista"/>
        <w:numPr>
          <w:ilvl w:val="0"/>
          <w:numId w:val="1"/>
        </w:numPr>
        <w:spacing w:after="240" w:line="240" w:lineRule="auto"/>
        <w:jc w:val="both"/>
        <w:rPr>
          <w:rFonts w:ascii="Arial" w:eastAsia="Arial" w:hAnsi="Arial" w:cs="Arial"/>
          <w:color w:val="212121"/>
          <w:shd w:val="clear" w:color="auto" w:fill="FFFFFF"/>
        </w:rPr>
      </w:pPr>
      <w:r w:rsidRPr="00C24A41">
        <w:rPr>
          <w:rFonts w:ascii="Arial" w:eastAsia="Arial" w:hAnsi="Arial" w:cs="Arial"/>
          <w:color w:val="212121"/>
          <w:shd w:val="clear" w:color="auto" w:fill="FFFFFF"/>
          <w:lang w:val="en-US"/>
        </w:rPr>
        <w:t xml:space="preserve">Cheshmi B, Keyhan SO, </w:t>
      </w:r>
      <w:proofErr w:type="spellStart"/>
      <w:r w:rsidRPr="00C24A41">
        <w:rPr>
          <w:rFonts w:ascii="Arial" w:eastAsia="Arial" w:hAnsi="Arial" w:cs="Arial"/>
          <w:color w:val="212121"/>
          <w:shd w:val="clear" w:color="auto" w:fill="FFFFFF"/>
          <w:lang w:val="en-US"/>
        </w:rPr>
        <w:t>Rayegani</w:t>
      </w:r>
      <w:proofErr w:type="spellEnd"/>
      <w:r w:rsidRPr="00C24A41">
        <w:rPr>
          <w:rFonts w:ascii="Arial" w:eastAsia="Arial" w:hAnsi="Arial" w:cs="Arial"/>
          <w:color w:val="212121"/>
          <w:shd w:val="clear" w:color="auto" w:fill="FFFFFF"/>
          <w:lang w:val="en-US"/>
        </w:rPr>
        <w:t xml:space="preserve"> SM, Kim SG, </w:t>
      </w:r>
      <w:proofErr w:type="spellStart"/>
      <w:r w:rsidRPr="00C24A41">
        <w:rPr>
          <w:rFonts w:ascii="Arial" w:eastAsia="Arial" w:hAnsi="Arial" w:cs="Arial"/>
          <w:color w:val="212121"/>
          <w:shd w:val="clear" w:color="auto" w:fill="FFFFFF"/>
          <w:lang w:val="en-US"/>
        </w:rPr>
        <w:t>Ozunlu</w:t>
      </w:r>
      <w:proofErr w:type="spellEnd"/>
      <w:r w:rsidRPr="00C24A41">
        <w:rPr>
          <w:rFonts w:ascii="Arial" w:eastAsia="Arial" w:hAnsi="Arial" w:cs="Arial"/>
          <w:color w:val="212121"/>
          <w:shd w:val="clear" w:color="auto" w:fill="FFFFFF"/>
          <w:lang w:val="en-US"/>
        </w:rPr>
        <w:t xml:space="preserve"> </w:t>
      </w:r>
      <w:proofErr w:type="spellStart"/>
      <w:r w:rsidRPr="00C24A41">
        <w:rPr>
          <w:rFonts w:ascii="Arial" w:eastAsia="Arial" w:hAnsi="Arial" w:cs="Arial"/>
          <w:color w:val="212121"/>
          <w:shd w:val="clear" w:color="auto" w:fill="FFFFFF"/>
          <w:lang w:val="en-US"/>
        </w:rPr>
        <w:t>Pekyavas</w:t>
      </w:r>
      <w:proofErr w:type="spellEnd"/>
      <w:r w:rsidRPr="00C24A41">
        <w:rPr>
          <w:rFonts w:ascii="Arial" w:eastAsia="Arial" w:hAnsi="Arial" w:cs="Arial"/>
          <w:color w:val="212121"/>
          <w:shd w:val="clear" w:color="auto" w:fill="FFFFFF"/>
          <w:lang w:val="en-US"/>
        </w:rPr>
        <w:t xml:space="preserve"> N, </w:t>
      </w:r>
      <w:proofErr w:type="spellStart"/>
      <w:r w:rsidRPr="00C24A41">
        <w:rPr>
          <w:rFonts w:ascii="Arial" w:eastAsia="Arial" w:hAnsi="Arial" w:cs="Arial"/>
          <w:color w:val="212121"/>
          <w:shd w:val="clear" w:color="auto" w:fill="FFFFFF"/>
          <w:lang w:val="en-US"/>
        </w:rPr>
        <w:t>Ramezanzade</w:t>
      </w:r>
      <w:proofErr w:type="spellEnd"/>
      <w:r w:rsidRPr="00C24A41">
        <w:rPr>
          <w:rFonts w:ascii="Arial" w:eastAsia="Arial" w:hAnsi="Arial" w:cs="Arial"/>
          <w:color w:val="212121"/>
          <w:shd w:val="clear" w:color="auto" w:fill="FFFFFF"/>
          <w:lang w:val="en-US"/>
        </w:rPr>
        <w:t xml:space="preserve"> S. A literature review of applications of Kinesio Taping® in the craniomaxillofacial region. </w:t>
      </w:r>
      <w:proofErr w:type="spellStart"/>
      <w:r w:rsidRPr="00C24A41">
        <w:rPr>
          <w:rFonts w:ascii="Arial" w:eastAsia="Arial" w:hAnsi="Arial" w:cs="Arial"/>
          <w:color w:val="212121"/>
          <w:shd w:val="clear" w:color="auto" w:fill="FFFFFF"/>
        </w:rPr>
        <w:t>Cranio</w:t>
      </w:r>
      <w:proofErr w:type="spellEnd"/>
      <w:r w:rsidRPr="00C24A41">
        <w:rPr>
          <w:rFonts w:ascii="Arial" w:eastAsia="Arial" w:hAnsi="Arial" w:cs="Arial"/>
          <w:color w:val="212121"/>
          <w:shd w:val="clear" w:color="auto" w:fill="FFFFFF"/>
        </w:rPr>
        <w:t xml:space="preserve">. </w:t>
      </w:r>
      <w:proofErr w:type="gramStart"/>
      <w:r w:rsidRPr="00C24A41">
        <w:rPr>
          <w:rFonts w:ascii="Arial" w:eastAsia="Arial" w:hAnsi="Arial" w:cs="Arial"/>
          <w:color w:val="212121"/>
          <w:shd w:val="clear" w:color="auto" w:fill="FFFFFF"/>
        </w:rPr>
        <w:t>2021;9:1</w:t>
      </w:r>
      <w:proofErr w:type="gramEnd"/>
      <w:r w:rsidRPr="00C24A41">
        <w:rPr>
          <w:rFonts w:ascii="Arial" w:eastAsia="Arial" w:hAnsi="Arial" w:cs="Arial"/>
          <w:color w:val="212121"/>
          <w:shd w:val="clear" w:color="auto" w:fill="FFFFFF"/>
        </w:rPr>
        <w:t xml:space="preserve">-8. </w:t>
      </w:r>
      <w:proofErr w:type="spellStart"/>
      <w:r w:rsidRPr="00C24A41">
        <w:rPr>
          <w:rFonts w:ascii="Arial" w:eastAsia="Arial" w:hAnsi="Arial" w:cs="Arial"/>
          <w:color w:val="212121"/>
          <w:shd w:val="clear" w:color="auto" w:fill="FFFFFF"/>
        </w:rPr>
        <w:t>doi</w:t>
      </w:r>
      <w:proofErr w:type="spellEnd"/>
      <w:r w:rsidRPr="00C24A41">
        <w:rPr>
          <w:rFonts w:ascii="Arial" w:eastAsia="Arial" w:hAnsi="Arial" w:cs="Arial"/>
          <w:color w:val="212121"/>
          <w:shd w:val="clear" w:color="auto" w:fill="FFFFFF"/>
        </w:rPr>
        <w:t>: 10.1080/08869634.2021.2009994. PMID: 34882511.</w:t>
      </w:r>
    </w:p>
    <w:p w14:paraId="0D7656CA" w14:textId="77777777" w:rsidR="00C24A41" w:rsidRPr="00C24A41" w:rsidRDefault="00C24A41" w:rsidP="00C24A41">
      <w:pPr>
        <w:pStyle w:val="PargrafodaLista"/>
        <w:numPr>
          <w:ilvl w:val="0"/>
          <w:numId w:val="1"/>
        </w:numPr>
        <w:spacing w:after="240" w:line="240" w:lineRule="auto"/>
        <w:jc w:val="both"/>
        <w:rPr>
          <w:rFonts w:ascii="Arial" w:eastAsia="Arial" w:hAnsi="Arial" w:cs="Arial"/>
          <w:color w:val="000000"/>
          <w:shd w:val="clear" w:color="auto" w:fill="FFFFFF"/>
        </w:rPr>
      </w:pPr>
      <w:r w:rsidRPr="00C24A41">
        <w:rPr>
          <w:rFonts w:ascii="Arial" w:eastAsia="Arial" w:hAnsi="Arial" w:cs="Arial"/>
          <w:color w:val="000000"/>
          <w:shd w:val="clear" w:color="auto" w:fill="FFFFFF"/>
        </w:rPr>
        <w:t xml:space="preserve">Emérito, T.M. 2020. A bandagem elástica como recurso terapêutico na motricidade orofacial: Um estudo bibliográfico. </w:t>
      </w:r>
      <w:proofErr w:type="spellStart"/>
      <w:r w:rsidRPr="00C24A41">
        <w:rPr>
          <w:rFonts w:ascii="Arial" w:eastAsia="Arial" w:hAnsi="Arial" w:cs="Arial"/>
          <w:color w:val="000000"/>
          <w:shd w:val="clear" w:color="auto" w:fill="FFFFFF"/>
        </w:rPr>
        <w:t>Pubsaúde</w:t>
      </w:r>
      <w:proofErr w:type="spellEnd"/>
      <w:r w:rsidRPr="00C24A41">
        <w:rPr>
          <w:rFonts w:ascii="Arial" w:eastAsia="Arial" w:hAnsi="Arial" w:cs="Arial"/>
          <w:color w:val="000000"/>
          <w:shd w:val="clear" w:color="auto" w:fill="FFFFFF"/>
        </w:rPr>
        <w:t xml:space="preserve">. 4, a060. DOI: </w:t>
      </w:r>
      <w:hyperlink r:id="rId6">
        <w:r w:rsidRPr="00C24A41">
          <w:rPr>
            <w:rFonts w:ascii="Arial" w:eastAsia="Arial" w:hAnsi="Arial" w:cs="Arial"/>
            <w:color w:val="0000FF"/>
            <w:u w:val="single"/>
            <w:shd w:val="clear" w:color="auto" w:fill="FFFFFF"/>
          </w:rPr>
          <w:t>https://dx.doi.org/10.31533/pubsaude4.a060</w:t>
        </w:r>
      </w:hyperlink>
    </w:p>
    <w:p w14:paraId="0FEC4BD7" w14:textId="77777777" w:rsidR="00C24A41" w:rsidRPr="00C24A41" w:rsidRDefault="00C24A41" w:rsidP="00C24A41">
      <w:pPr>
        <w:pStyle w:val="PargrafodaLista"/>
        <w:numPr>
          <w:ilvl w:val="0"/>
          <w:numId w:val="1"/>
        </w:numPr>
        <w:spacing w:after="240" w:line="240" w:lineRule="auto"/>
        <w:jc w:val="both"/>
        <w:rPr>
          <w:rFonts w:ascii="Arial" w:eastAsia="Arial" w:hAnsi="Arial" w:cs="Arial"/>
          <w:lang w:val="en-US"/>
        </w:rPr>
      </w:pPr>
      <w:r w:rsidRPr="00C24A41">
        <w:rPr>
          <w:rFonts w:ascii="Arial" w:eastAsia="Arial" w:hAnsi="Arial" w:cs="Arial"/>
        </w:rPr>
        <w:t xml:space="preserve">Ferreira JEA, Almeida BRS, </w:t>
      </w:r>
      <w:proofErr w:type="spellStart"/>
      <w:r w:rsidRPr="00C24A41">
        <w:rPr>
          <w:rFonts w:ascii="Arial" w:eastAsia="Arial" w:hAnsi="Arial" w:cs="Arial"/>
        </w:rPr>
        <w:t>Deps</w:t>
      </w:r>
      <w:proofErr w:type="spellEnd"/>
      <w:r w:rsidRPr="00C24A41">
        <w:rPr>
          <w:rFonts w:ascii="Arial" w:eastAsia="Arial" w:hAnsi="Arial" w:cs="Arial"/>
        </w:rPr>
        <w:t xml:space="preserve"> TD, Pretti H, Furlan RMMM. </w:t>
      </w:r>
      <w:r w:rsidRPr="00C24A41">
        <w:rPr>
          <w:rFonts w:ascii="Arial" w:eastAsia="Arial" w:hAnsi="Arial" w:cs="Arial"/>
          <w:lang w:val="en-US"/>
        </w:rPr>
        <w:t xml:space="preserve">Orofacial myofunctional therapy associated with the use of the stimulating palatal plate in children with trisomy 21: case studies. </w:t>
      </w:r>
      <w:proofErr w:type="spellStart"/>
      <w:r w:rsidRPr="00C24A41">
        <w:rPr>
          <w:rFonts w:ascii="Arial" w:eastAsia="Arial" w:hAnsi="Arial" w:cs="Arial"/>
          <w:lang w:val="en-US"/>
        </w:rPr>
        <w:t>CoDAS</w:t>
      </w:r>
      <w:proofErr w:type="spellEnd"/>
      <w:r w:rsidRPr="00C24A41">
        <w:rPr>
          <w:rFonts w:ascii="Arial" w:eastAsia="Arial" w:hAnsi="Arial" w:cs="Arial"/>
          <w:lang w:val="en-US"/>
        </w:rPr>
        <w:t>. 2023;35(5</w:t>
      </w:r>
      <w:proofErr w:type="gramStart"/>
      <w:r w:rsidRPr="00C24A41">
        <w:rPr>
          <w:rFonts w:ascii="Arial" w:eastAsia="Arial" w:hAnsi="Arial" w:cs="Arial"/>
          <w:lang w:val="en-US"/>
        </w:rPr>
        <w:t>):e</w:t>
      </w:r>
      <w:proofErr w:type="gramEnd"/>
      <w:r w:rsidRPr="00C24A41">
        <w:rPr>
          <w:rFonts w:ascii="Arial" w:eastAsia="Arial" w:hAnsi="Arial" w:cs="Arial"/>
          <w:lang w:val="en-US"/>
        </w:rPr>
        <w:t xml:space="preserve">20210231. </w:t>
      </w:r>
      <w:proofErr w:type="spellStart"/>
      <w:r w:rsidRPr="00C24A41">
        <w:rPr>
          <w:rFonts w:ascii="Arial" w:eastAsia="Arial" w:hAnsi="Arial" w:cs="Arial"/>
          <w:lang w:val="en-US"/>
        </w:rPr>
        <w:t>doi</w:t>
      </w:r>
      <w:proofErr w:type="spellEnd"/>
      <w:r w:rsidRPr="00C24A41">
        <w:rPr>
          <w:rFonts w:ascii="Arial" w:eastAsia="Arial" w:hAnsi="Arial" w:cs="Arial"/>
          <w:lang w:val="en-US"/>
        </w:rPr>
        <w:t>: 10.1590/2317-1782/20232021231pt. PMID: 37672408.</w:t>
      </w:r>
    </w:p>
    <w:p w14:paraId="77264361" w14:textId="77777777" w:rsidR="00C24A41" w:rsidRPr="00C24A41" w:rsidRDefault="00C24A41" w:rsidP="00C24A41">
      <w:pPr>
        <w:pStyle w:val="PargrafodaLista"/>
        <w:numPr>
          <w:ilvl w:val="0"/>
          <w:numId w:val="1"/>
        </w:numPr>
        <w:spacing w:after="240" w:line="240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spellStart"/>
      <w:r w:rsidRPr="00C24A41">
        <w:rPr>
          <w:rFonts w:ascii="Arial" w:eastAsia="Arial" w:hAnsi="Arial" w:cs="Arial"/>
          <w:color w:val="000000"/>
          <w:lang w:val="en-US"/>
        </w:rPr>
        <w:t>Grippaudo</w:t>
      </w:r>
      <w:proofErr w:type="spellEnd"/>
      <w:r w:rsidRPr="00C24A41">
        <w:rPr>
          <w:rFonts w:ascii="Arial" w:eastAsia="Arial" w:hAnsi="Arial" w:cs="Arial"/>
          <w:color w:val="000000"/>
          <w:lang w:val="en-US"/>
        </w:rPr>
        <w:t xml:space="preserve"> C, Paolantonio EG, Antonini G, Saulle R, La Torre G, Deli R. Association between oral habits, mouth breathing and malocclusion. Acta </w:t>
      </w:r>
      <w:proofErr w:type="spellStart"/>
      <w:r w:rsidRPr="00C24A41">
        <w:rPr>
          <w:rFonts w:ascii="Arial" w:eastAsia="Arial" w:hAnsi="Arial" w:cs="Arial"/>
          <w:color w:val="000000"/>
          <w:lang w:val="en-US"/>
        </w:rPr>
        <w:t>Otorhinolaryngol</w:t>
      </w:r>
      <w:proofErr w:type="spellEnd"/>
      <w:r w:rsidRPr="00C24A41">
        <w:rPr>
          <w:rFonts w:ascii="Arial" w:eastAsia="Arial" w:hAnsi="Arial" w:cs="Arial"/>
          <w:color w:val="000000"/>
          <w:lang w:val="en-US"/>
        </w:rPr>
        <w:t xml:space="preserve"> Ital. 2016;36(5):386-94. </w:t>
      </w:r>
      <w:proofErr w:type="spellStart"/>
      <w:r w:rsidRPr="00C24A41">
        <w:rPr>
          <w:rFonts w:ascii="Arial" w:eastAsia="Arial" w:hAnsi="Arial" w:cs="Arial"/>
          <w:color w:val="000000"/>
          <w:lang w:val="en-US"/>
        </w:rPr>
        <w:t>doi</w:t>
      </w:r>
      <w:proofErr w:type="spellEnd"/>
      <w:r w:rsidRPr="00C24A41">
        <w:rPr>
          <w:rFonts w:ascii="Arial" w:eastAsia="Arial" w:hAnsi="Arial" w:cs="Arial"/>
          <w:color w:val="000000"/>
          <w:lang w:val="en-US"/>
        </w:rPr>
        <w:t xml:space="preserve">: 10.14639/0392-100X-770. </w:t>
      </w:r>
    </w:p>
    <w:p w14:paraId="11F3DCFF" w14:textId="77777777" w:rsidR="00C24A41" w:rsidRPr="00C24A41" w:rsidRDefault="00C24A41" w:rsidP="00C24A41">
      <w:pPr>
        <w:pStyle w:val="PargrafodaLista"/>
        <w:numPr>
          <w:ilvl w:val="0"/>
          <w:numId w:val="1"/>
        </w:numPr>
        <w:spacing w:after="240" w:line="240" w:lineRule="auto"/>
        <w:jc w:val="both"/>
        <w:rPr>
          <w:rFonts w:ascii="Arial" w:eastAsia="Arial" w:hAnsi="Arial" w:cs="Arial"/>
          <w:lang w:val="en-US"/>
        </w:rPr>
      </w:pPr>
      <w:r w:rsidRPr="00C24A41">
        <w:rPr>
          <w:rFonts w:ascii="Arial" w:eastAsia="Arial" w:hAnsi="Arial" w:cs="Arial"/>
          <w:lang w:val="en-US"/>
        </w:rPr>
        <w:t xml:space="preserve">Lawder R, </w:t>
      </w:r>
      <w:proofErr w:type="spellStart"/>
      <w:r w:rsidRPr="00C24A41">
        <w:rPr>
          <w:rFonts w:ascii="Arial" w:eastAsia="Arial" w:hAnsi="Arial" w:cs="Arial"/>
          <w:lang w:val="en-US"/>
        </w:rPr>
        <w:t>Tomiase</w:t>
      </w:r>
      <w:proofErr w:type="spellEnd"/>
      <w:r w:rsidRPr="00C24A41">
        <w:rPr>
          <w:rFonts w:ascii="Arial" w:eastAsia="Arial" w:hAnsi="Arial" w:cs="Arial"/>
          <w:lang w:val="en-US"/>
        </w:rPr>
        <w:t xml:space="preserve"> AA, </w:t>
      </w:r>
      <w:proofErr w:type="spellStart"/>
      <w:r w:rsidRPr="00C24A41">
        <w:rPr>
          <w:rFonts w:ascii="Arial" w:eastAsia="Arial" w:hAnsi="Arial" w:cs="Arial"/>
          <w:lang w:val="en-US"/>
        </w:rPr>
        <w:t>Cassol</w:t>
      </w:r>
      <w:proofErr w:type="spellEnd"/>
      <w:r w:rsidRPr="00C24A41">
        <w:rPr>
          <w:rFonts w:ascii="Arial" w:eastAsia="Arial" w:hAnsi="Arial" w:cs="Arial"/>
          <w:lang w:val="en-US"/>
        </w:rPr>
        <w:t xml:space="preserve"> K, Romero G, Herber V, </w:t>
      </w:r>
      <w:proofErr w:type="spellStart"/>
      <w:r w:rsidRPr="00C24A41">
        <w:rPr>
          <w:rFonts w:ascii="Arial" w:eastAsia="Arial" w:hAnsi="Arial" w:cs="Arial"/>
          <w:lang w:val="en-US"/>
        </w:rPr>
        <w:t>Topanotti</w:t>
      </w:r>
      <w:proofErr w:type="spellEnd"/>
      <w:r w:rsidRPr="00C24A41">
        <w:rPr>
          <w:rFonts w:ascii="Arial" w:eastAsia="Arial" w:hAnsi="Arial" w:cs="Arial"/>
          <w:lang w:val="en-US"/>
        </w:rPr>
        <w:t xml:space="preserve"> J. A family-oriented view on speech therapy for down syndrome people. FAG Journal of Health, 2019;1(2):63-77.</w:t>
      </w:r>
    </w:p>
    <w:p w14:paraId="5371E6BF" w14:textId="77777777" w:rsidR="00C24A41" w:rsidRPr="00C24A41" w:rsidRDefault="00C24A41" w:rsidP="00C24A41">
      <w:pPr>
        <w:pStyle w:val="PargrafodaLista"/>
        <w:numPr>
          <w:ilvl w:val="0"/>
          <w:numId w:val="1"/>
        </w:numPr>
        <w:spacing w:after="240" w:line="240" w:lineRule="auto"/>
        <w:jc w:val="both"/>
        <w:rPr>
          <w:rFonts w:ascii="Arial" w:eastAsia="Arial" w:hAnsi="Arial" w:cs="Arial"/>
          <w:color w:val="000000"/>
        </w:rPr>
      </w:pPr>
      <w:r w:rsidRPr="00C24A41">
        <w:rPr>
          <w:rFonts w:ascii="Arial" w:eastAsia="Arial" w:hAnsi="Arial" w:cs="Arial"/>
          <w:color w:val="000000"/>
          <w:lang w:val="en-US"/>
        </w:rPr>
        <w:t xml:space="preserve">Landis JR, Koch GG. The measurement of observer agreement for categorical data. </w:t>
      </w:r>
      <w:proofErr w:type="spellStart"/>
      <w:r w:rsidRPr="00C24A41">
        <w:rPr>
          <w:rFonts w:ascii="Arial" w:eastAsia="Arial" w:hAnsi="Arial" w:cs="Arial"/>
          <w:color w:val="000000"/>
        </w:rPr>
        <w:t>Biometrics</w:t>
      </w:r>
      <w:proofErr w:type="spellEnd"/>
      <w:r w:rsidRPr="00C24A41">
        <w:rPr>
          <w:rFonts w:ascii="Arial" w:eastAsia="Arial" w:hAnsi="Arial" w:cs="Arial"/>
          <w:color w:val="000000"/>
        </w:rPr>
        <w:t>. 1977;33(1):159. doi:10.2307/2529310.</w:t>
      </w:r>
    </w:p>
    <w:p w14:paraId="53AE0B7F" w14:textId="77777777" w:rsidR="00C24A41" w:rsidRPr="00C24A41" w:rsidRDefault="00C24A41" w:rsidP="00C24A41">
      <w:pPr>
        <w:pStyle w:val="PargrafodaLista"/>
        <w:numPr>
          <w:ilvl w:val="0"/>
          <w:numId w:val="1"/>
        </w:numPr>
        <w:spacing w:after="240" w:line="240" w:lineRule="auto"/>
        <w:jc w:val="both"/>
        <w:rPr>
          <w:rFonts w:ascii="Arial" w:eastAsia="Arial" w:hAnsi="Arial" w:cs="Arial"/>
        </w:rPr>
      </w:pPr>
      <w:r w:rsidRPr="00C24A41">
        <w:rPr>
          <w:rFonts w:ascii="Arial" w:eastAsia="Arial" w:hAnsi="Arial" w:cs="Arial"/>
        </w:rPr>
        <w:t xml:space="preserve">Lemos T, </w:t>
      </w:r>
      <w:proofErr w:type="spellStart"/>
      <w:r w:rsidRPr="00C24A41">
        <w:rPr>
          <w:rFonts w:ascii="Arial" w:eastAsia="Arial" w:hAnsi="Arial" w:cs="Arial"/>
        </w:rPr>
        <w:t>Kase</w:t>
      </w:r>
      <w:proofErr w:type="spellEnd"/>
      <w:r w:rsidRPr="00C24A41">
        <w:rPr>
          <w:rFonts w:ascii="Arial" w:eastAsia="Arial" w:hAnsi="Arial" w:cs="Arial"/>
        </w:rPr>
        <w:t xml:space="preserve"> K, Dias E. </w:t>
      </w:r>
      <w:proofErr w:type="spellStart"/>
      <w:r w:rsidRPr="00C24A41">
        <w:rPr>
          <w:rFonts w:ascii="Arial" w:eastAsia="Arial" w:hAnsi="Arial" w:cs="Arial"/>
        </w:rPr>
        <w:t>Kinesio</w:t>
      </w:r>
      <w:proofErr w:type="spellEnd"/>
      <w:r w:rsidRPr="00C24A41">
        <w:rPr>
          <w:rFonts w:ascii="Arial" w:eastAsia="Arial" w:hAnsi="Arial" w:cs="Arial"/>
        </w:rPr>
        <w:t xml:space="preserve"> </w:t>
      </w:r>
      <w:proofErr w:type="spellStart"/>
      <w:r w:rsidRPr="00C24A41">
        <w:rPr>
          <w:rFonts w:ascii="Arial" w:eastAsia="Arial" w:hAnsi="Arial" w:cs="Arial"/>
        </w:rPr>
        <w:t>Taping</w:t>
      </w:r>
      <w:proofErr w:type="spellEnd"/>
      <w:r w:rsidRPr="00C24A41">
        <w:rPr>
          <w:rFonts w:ascii="Arial" w:eastAsia="Arial" w:hAnsi="Arial" w:cs="Arial"/>
        </w:rPr>
        <w:t>® Introdução ao Método e Aplicações Musculares. 2° Edição. São Paulo: Livraria e Editora Andreoli, 2009.</w:t>
      </w:r>
    </w:p>
    <w:p w14:paraId="56FBE65F" w14:textId="77777777" w:rsidR="00C24A41" w:rsidRPr="00C24A41" w:rsidRDefault="00C24A41" w:rsidP="00C24A41">
      <w:pPr>
        <w:pStyle w:val="PargrafodaLista"/>
        <w:numPr>
          <w:ilvl w:val="0"/>
          <w:numId w:val="1"/>
        </w:numPr>
        <w:spacing w:after="240" w:line="240" w:lineRule="auto"/>
        <w:jc w:val="both"/>
        <w:rPr>
          <w:rFonts w:ascii="Arial" w:eastAsia="Arial" w:hAnsi="Arial" w:cs="Arial"/>
        </w:rPr>
      </w:pPr>
      <w:r w:rsidRPr="00C24A41">
        <w:rPr>
          <w:rFonts w:ascii="Arial" w:eastAsia="Arial" w:hAnsi="Arial" w:cs="Arial"/>
        </w:rPr>
        <w:t xml:space="preserve">Moreira LMA, El-Hani CN, Gusmão FAF. </w:t>
      </w:r>
      <w:r w:rsidRPr="00C24A41">
        <w:rPr>
          <w:rFonts w:ascii="Arial" w:eastAsia="Arial" w:hAnsi="Arial" w:cs="Arial"/>
          <w:lang w:val="en-US"/>
        </w:rPr>
        <w:t xml:space="preserve">Down syndrome and its pathogenesis: considerations about genetic determinism. </w:t>
      </w:r>
      <w:proofErr w:type="spellStart"/>
      <w:r w:rsidRPr="00C24A41">
        <w:rPr>
          <w:rFonts w:ascii="Arial" w:eastAsia="Arial" w:hAnsi="Arial" w:cs="Arial"/>
        </w:rPr>
        <w:t>Rev</w:t>
      </w:r>
      <w:proofErr w:type="spellEnd"/>
      <w:r w:rsidRPr="00C24A41">
        <w:rPr>
          <w:rFonts w:ascii="Arial" w:eastAsia="Arial" w:hAnsi="Arial" w:cs="Arial"/>
        </w:rPr>
        <w:t xml:space="preserve"> </w:t>
      </w:r>
      <w:proofErr w:type="spellStart"/>
      <w:r w:rsidRPr="00C24A41">
        <w:rPr>
          <w:rFonts w:ascii="Arial" w:eastAsia="Arial" w:hAnsi="Arial" w:cs="Arial"/>
        </w:rPr>
        <w:t>Bras</w:t>
      </w:r>
      <w:proofErr w:type="spellEnd"/>
      <w:r w:rsidRPr="00C24A41">
        <w:rPr>
          <w:rFonts w:ascii="Arial" w:eastAsia="Arial" w:hAnsi="Arial" w:cs="Arial"/>
        </w:rPr>
        <w:t xml:space="preserve"> Psiquiatr. 2000;22(2):96-9. </w:t>
      </w:r>
    </w:p>
    <w:p w14:paraId="18C19F2F" w14:textId="77777777" w:rsidR="00C24A41" w:rsidRPr="00C24A41" w:rsidRDefault="00C24A41" w:rsidP="00C24A41">
      <w:pPr>
        <w:pStyle w:val="PargrafodaLista"/>
        <w:numPr>
          <w:ilvl w:val="0"/>
          <w:numId w:val="1"/>
        </w:numPr>
        <w:spacing w:after="240" w:line="240" w:lineRule="auto"/>
        <w:jc w:val="both"/>
        <w:rPr>
          <w:rFonts w:ascii="Arial" w:eastAsia="Arial" w:hAnsi="Arial" w:cs="Arial"/>
          <w:color w:val="000000"/>
        </w:rPr>
      </w:pPr>
      <w:proofErr w:type="spellStart"/>
      <w:r w:rsidRPr="00C24A41">
        <w:rPr>
          <w:rFonts w:ascii="Arial" w:eastAsia="Arial" w:hAnsi="Arial" w:cs="Arial"/>
          <w:color w:val="000000"/>
        </w:rPr>
        <w:t>Mustacchi</w:t>
      </w:r>
      <w:proofErr w:type="spellEnd"/>
      <w:r w:rsidRPr="00C24A41">
        <w:rPr>
          <w:rFonts w:ascii="Arial" w:eastAsia="Arial" w:hAnsi="Arial" w:cs="Arial"/>
          <w:color w:val="000000"/>
        </w:rPr>
        <w:t xml:space="preserve"> Z, </w:t>
      </w:r>
      <w:proofErr w:type="spellStart"/>
      <w:r w:rsidRPr="00C24A41">
        <w:rPr>
          <w:rFonts w:ascii="Arial" w:eastAsia="Arial" w:hAnsi="Arial" w:cs="Arial"/>
          <w:color w:val="000000"/>
        </w:rPr>
        <w:t>Salmona</w:t>
      </w:r>
      <w:proofErr w:type="spellEnd"/>
      <w:r w:rsidRPr="00C24A41">
        <w:rPr>
          <w:rFonts w:ascii="Arial" w:eastAsia="Arial" w:hAnsi="Arial" w:cs="Arial"/>
          <w:color w:val="000000"/>
        </w:rPr>
        <w:t xml:space="preserve"> P, </w:t>
      </w:r>
      <w:proofErr w:type="spellStart"/>
      <w:r w:rsidRPr="00C24A41">
        <w:rPr>
          <w:rFonts w:ascii="Arial" w:eastAsia="Arial" w:hAnsi="Arial" w:cs="Arial"/>
          <w:color w:val="000000"/>
        </w:rPr>
        <w:t>Mustacchi</w:t>
      </w:r>
      <w:proofErr w:type="spellEnd"/>
      <w:r w:rsidRPr="00C24A41">
        <w:rPr>
          <w:rFonts w:ascii="Arial" w:eastAsia="Arial" w:hAnsi="Arial" w:cs="Arial"/>
          <w:color w:val="000000"/>
        </w:rPr>
        <w:t xml:space="preserve"> R. Trissomia 21: Síndrome de Down. Nutrição, educação e saúde. 1</w:t>
      </w:r>
      <w:r w:rsidRPr="00C24A41">
        <w:rPr>
          <w:rFonts w:ascii="Arial" w:eastAsia="Arial" w:hAnsi="Arial" w:cs="Arial"/>
        </w:rPr>
        <w:t xml:space="preserve">° Edição. Editora </w:t>
      </w:r>
      <w:proofErr w:type="spellStart"/>
      <w:r w:rsidRPr="00C24A41">
        <w:rPr>
          <w:rFonts w:ascii="Arial" w:eastAsia="Arial" w:hAnsi="Arial" w:cs="Arial"/>
        </w:rPr>
        <w:t>Memnon</w:t>
      </w:r>
      <w:proofErr w:type="spellEnd"/>
      <w:r w:rsidRPr="00C24A41">
        <w:rPr>
          <w:rFonts w:ascii="Arial" w:eastAsia="Arial" w:hAnsi="Arial" w:cs="Arial"/>
        </w:rPr>
        <w:t>, 2010.</w:t>
      </w:r>
    </w:p>
    <w:p w14:paraId="57048B4A" w14:textId="77777777" w:rsidR="00C24A41" w:rsidRPr="00C24A41" w:rsidRDefault="00C24A41" w:rsidP="00C24A41">
      <w:pPr>
        <w:pStyle w:val="PargrafodaLista"/>
        <w:numPr>
          <w:ilvl w:val="0"/>
          <w:numId w:val="1"/>
        </w:numPr>
        <w:spacing w:after="240" w:line="240" w:lineRule="auto"/>
        <w:jc w:val="both"/>
        <w:rPr>
          <w:rFonts w:ascii="Arial" w:eastAsia="Arial" w:hAnsi="Arial" w:cs="Arial"/>
        </w:rPr>
      </w:pPr>
      <w:r w:rsidRPr="00C24A41">
        <w:rPr>
          <w:rFonts w:ascii="Arial" w:eastAsia="Arial" w:hAnsi="Arial" w:cs="Arial"/>
        </w:rPr>
        <w:t xml:space="preserve">Silva AP, </w:t>
      </w:r>
      <w:proofErr w:type="spellStart"/>
      <w:r w:rsidRPr="00C24A41">
        <w:rPr>
          <w:rFonts w:ascii="Arial" w:eastAsia="Arial" w:hAnsi="Arial" w:cs="Arial"/>
        </w:rPr>
        <w:t>Escamez</w:t>
      </w:r>
      <w:proofErr w:type="spellEnd"/>
      <w:r w:rsidRPr="00C24A41">
        <w:rPr>
          <w:rFonts w:ascii="Arial" w:eastAsia="Arial" w:hAnsi="Arial" w:cs="Arial"/>
        </w:rPr>
        <w:t xml:space="preserve"> NES, Júnior NM, Silva MAA. </w:t>
      </w:r>
      <w:r w:rsidRPr="00C24A41">
        <w:rPr>
          <w:rFonts w:ascii="Arial" w:eastAsia="Arial" w:hAnsi="Arial" w:cs="Arial"/>
          <w:lang w:val="en-US"/>
        </w:rPr>
        <w:t xml:space="preserve">Therapy Taping® Method: therapeutic taping as a therapeutic resource in the speech language clinic. </w:t>
      </w:r>
      <w:r w:rsidRPr="00C24A41">
        <w:rPr>
          <w:rFonts w:ascii="Arial" w:eastAsia="Arial" w:hAnsi="Arial" w:cs="Arial"/>
        </w:rPr>
        <w:t>Distúrbios Comum. 2014;24(6):805-8.</w:t>
      </w:r>
    </w:p>
    <w:p w14:paraId="64607F15" w14:textId="77777777" w:rsidR="00C24A41" w:rsidRPr="00C24A41" w:rsidRDefault="00C24A41" w:rsidP="00C24A41">
      <w:pPr>
        <w:pStyle w:val="PargrafodaLista"/>
        <w:numPr>
          <w:ilvl w:val="0"/>
          <w:numId w:val="1"/>
        </w:numPr>
        <w:spacing w:after="240" w:line="240" w:lineRule="auto"/>
        <w:jc w:val="both"/>
        <w:rPr>
          <w:rFonts w:ascii="Arial" w:eastAsia="Arial" w:hAnsi="Arial" w:cs="Arial"/>
          <w:color w:val="000000"/>
        </w:rPr>
      </w:pPr>
      <w:r w:rsidRPr="00C24A41">
        <w:rPr>
          <w:rFonts w:ascii="Arial" w:eastAsia="Arial" w:hAnsi="Arial" w:cs="Arial"/>
          <w:color w:val="000000"/>
        </w:rPr>
        <w:t xml:space="preserve">Santos MGR dos, Ribeiro DM, Souza Junior JR de, Santana ML de, Lemos TV, Matheus JPC. </w:t>
      </w:r>
      <w:proofErr w:type="spellStart"/>
      <w:r w:rsidRPr="00C24A41">
        <w:rPr>
          <w:rFonts w:ascii="Arial" w:eastAsia="Arial" w:hAnsi="Arial" w:cs="Arial"/>
          <w:color w:val="000000"/>
          <w:lang w:val="en-US"/>
        </w:rPr>
        <w:t>Hyperelastic</w:t>
      </w:r>
      <w:proofErr w:type="spellEnd"/>
      <w:r w:rsidRPr="00C24A41">
        <w:rPr>
          <w:rFonts w:ascii="Arial" w:eastAsia="Arial" w:hAnsi="Arial" w:cs="Arial"/>
          <w:color w:val="000000"/>
          <w:lang w:val="en-US"/>
        </w:rPr>
        <w:t xml:space="preserve"> tape modifies the kinematics of the pronated foot in young women: self-controlled clinical trial. </w:t>
      </w:r>
      <w:proofErr w:type="spellStart"/>
      <w:r w:rsidRPr="00C24A41">
        <w:rPr>
          <w:rFonts w:ascii="Arial" w:eastAsia="Arial" w:hAnsi="Arial" w:cs="Arial"/>
          <w:color w:val="000000"/>
        </w:rPr>
        <w:t>Fisioter</w:t>
      </w:r>
      <w:proofErr w:type="spellEnd"/>
      <w:r w:rsidRPr="00C24A41">
        <w:rPr>
          <w:rFonts w:ascii="Arial" w:eastAsia="Arial" w:hAnsi="Arial" w:cs="Arial"/>
          <w:color w:val="000000"/>
        </w:rPr>
        <w:t xml:space="preserve"> Mov. 2020;33:e003347. </w:t>
      </w:r>
      <w:proofErr w:type="spellStart"/>
      <w:r w:rsidRPr="00C24A41">
        <w:rPr>
          <w:rFonts w:ascii="Arial" w:eastAsia="Arial" w:hAnsi="Arial" w:cs="Arial"/>
          <w:color w:val="000000"/>
        </w:rPr>
        <w:t>Available</w:t>
      </w:r>
      <w:proofErr w:type="spellEnd"/>
      <w:r w:rsidRPr="00C24A41">
        <w:rPr>
          <w:rFonts w:ascii="Arial" w:eastAsia="Arial" w:hAnsi="Arial" w:cs="Arial"/>
          <w:color w:val="000000"/>
        </w:rPr>
        <w:t xml:space="preserve"> </w:t>
      </w:r>
      <w:proofErr w:type="spellStart"/>
      <w:r w:rsidRPr="00C24A41">
        <w:rPr>
          <w:rFonts w:ascii="Arial" w:eastAsia="Arial" w:hAnsi="Arial" w:cs="Arial"/>
          <w:color w:val="000000"/>
        </w:rPr>
        <w:t>from</w:t>
      </w:r>
      <w:proofErr w:type="spellEnd"/>
      <w:r w:rsidRPr="00C24A41">
        <w:rPr>
          <w:rFonts w:ascii="Arial" w:eastAsia="Arial" w:hAnsi="Arial" w:cs="Arial"/>
          <w:color w:val="000000"/>
        </w:rPr>
        <w:t xml:space="preserve">: </w:t>
      </w:r>
      <w:hyperlink r:id="rId7">
        <w:r w:rsidRPr="00C24A41">
          <w:rPr>
            <w:rFonts w:ascii="Arial" w:eastAsia="Arial" w:hAnsi="Arial" w:cs="Arial"/>
            <w:color w:val="0000FF"/>
            <w:u w:val="single"/>
          </w:rPr>
          <w:t>https://doi.org/10.1590/1980-5918.033.AO47</w:t>
        </w:r>
      </w:hyperlink>
    </w:p>
    <w:p w14:paraId="64F8235D" w14:textId="77777777" w:rsidR="00C24A41" w:rsidRPr="00C24A41" w:rsidRDefault="00C24A41" w:rsidP="00C24A41">
      <w:pPr>
        <w:pStyle w:val="PargrafodaLista"/>
        <w:numPr>
          <w:ilvl w:val="0"/>
          <w:numId w:val="1"/>
        </w:numPr>
        <w:spacing w:after="240" w:line="240" w:lineRule="auto"/>
        <w:jc w:val="both"/>
        <w:rPr>
          <w:lang w:val="en-US"/>
        </w:rPr>
      </w:pPr>
      <w:r w:rsidRPr="00C24A41">
        <w:rPr>
          <w:rFonts w:ascii="Arial" w:eastAsia="Arial" w:hAnsi="Arial" w:cs="Arial"/>
          <w:shd w:val="clear" w:color="auto" w:fill="FFFFFF"/>
        </w:rPr>
        <w:t xml:space="preserve">Sordi C, Araújo BL, Cardoso LVD, Correia LAV, Oliveira GM, de Silva SSS et al. </w:t>
      </w:r>
      <w:r w:rsidRPr="00C24A41">
        <w:rPr>
          <w:rFonts w:ascii="Arial" w:eastAsia="Arial" w:hAnsi="Arial" w:cs="Arial"/>
          <w:shd w:val="clear" w:color="auto" w:fill="FFFFFF"/>
          <w:lang w:val="en-US"/>
        </w:rPr>
        <w:t>Elastic bandage as a therapeutic resource for the control of sialorrhea: an analysis of its efficacy. </w:t>
      </w:r>
      <w:proofErr w:type="spellStart"/>
      <w:r w:rsidRPr="00C24A41">
        <w:rPr>
          <w:rFonts w:ascii="Arial" w:eastAsia="Arial" w:hAnsi="Arial" w:cs="Arial"/>
          <w:shd w:val="clear" w:color="auto" w:fill="FFFFFF"/>
          <w:lang w:val="en-US"/>
        </w:rPr>
        <w:t>Dist</w:t>
      </w:r>
      <w:proofErr w:type="spellEnd"/>
      <w:r w:rsidRPr="00C24A41">
        <w:rPr>
          <w:rFonts w:ascii="Arial" w:eastAsia="Arial" w:hAnsi="Arial" w:cs="Arial"/>
          <w:shd w:val="clear" w:color="auto" w:fill="FFFFFF"/>
          <w:lang w:val="en-US"/>
        </w:rPr>
        <w:t xml:space="preserve"> Comum. 2017;29(4):663–72. </w:t>
      </w:r>
      <w:hyperlink r:id="rId8">
        <w:r w:rsidRPr="00C24A41">
          <w:rPr>
            <w:rFonts w:ascii="Arial" w:eastAsia="Arial" w:hAnsi="Arial" w:cs="Arial"/>
            <w:color w:val="0000FF"/>
            <w:u w:val="single"/>
            <w:shd w:val="clear" w:color="auto" w:fill="FFFFFF"/>
            <w:lang w:val="en-US"/>
          </w:rPr>
          <w:t>https://doi.org/10.23925/2176-2724.2017v29i4p663-672</w:t>
        </w:r>
      </w:hyperlink>
    </w:p>
    <w:p w14:paraId="22B4E041" w14:textId="079C546E" w:rsidR="003E357C" w:rsidRDefault="003E357C"/>
    <w:sectPr w:rsidR="003E35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4339E"/>
    <w:multiLevelType w:val="hybridMultilevel"/>
    <w:tmpl w:val="C78820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122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CA9"/>
    <w:rsid w:val="00195E29"/>
    <w:rsid w:val="00256CA9"/>
    <w:rsid w:val="003E357C"/>
    <w:rsid w:val="005A21DC"/>
    <w:rsid w:val="006670C9"/>
    <w:rsid w:val="008C1E64"/>
    <w:rsid w:val="00920F49"/>
    <w:rsid w:val="009C19FE"/>
    <w:rsid w:val="00BF361C"/>
    <w:rsid w:val="00C24A41"/>
    <w:rsid w:val="00E5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4ACCB"/>
  <w15:chartTrackingRefBased/>
  <w15:docId w15:val="{F9AC44D5-890B-4FAA-9CD6-7291CF59B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CA9"/>
    <w:pPr>
      <w:spacing w:line="278" w:lineRule="auto"/>
    </w:pPr>
    <w:rPr>
      <w:rFonts w:eastAsiaTheme="minorEastAsi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56C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6C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56C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6C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56C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6C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6C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6C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6C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56C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56C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56C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56CA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56CA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56C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6CA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56C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56C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56C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56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56C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56C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56C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56CA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56CA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56CA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56C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56CA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56CA9"/>
    <w:rPr>
      <w:b/>
      <w:bCs/>
      <w:smallCaps/>
      <w:color w:val="0F4761" w:themeColor="accent1" w:themeShade="BF"/>
      <w:spacing w:val="5"/>
    </w:rPr>
  </w:style>
  <w:style w:type="character" w:styleId="Refdecomentrio">
    <w:name w:val="annotation reference"/>
    <w:basedOn w:val="Fontepargpadro"/>
    <w:uiPriority w:val="99"/>
    <w:semiHidden/>
    <w:unhideWhenUsed/>
    <w:rsid w:val="00BF361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361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F361C"/>
    <w:rPr>
      <w:rFonts w:eastAsiaTheme="minorEastAsia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3925/2176-2724.2017v29i4p663-67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590/1980-5918.033.AO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x.doi.org/10.31533/pubsaude4.a060" TargetMode="External"/><Relationship Id="rId5" Type="http://schemas.openxmlformats.org/officeDocument/2006/relationships/hyperlink" Target="https://doi.org/10.3390/ijms2505296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9</Pages>
  <Words>2273</Words>
  <Characters>12280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Batista</dc:creator>
  <cp:keywords/>
  <dc:description/>
  <cp:lastModifiedBy>Mariana Batista</cp:lastModifiedBy>
  <cp:revision>3</cp:revision>
  <dcterms:created xsi:type="dcterms:W3CDTF">2025-10-19T00:28:00Z</dcterms:created>
  <dcterms:modified xsi:type="dcterms:W3CDTF">2025-12-01T13:12:00Z</dcterms:modified>
</cp:coreProperties>
</file>