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fontTable.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0.odttf" ContentType="application/vnd.openxmlformats-officedocument.obfuscatedFont"/>
  <Override PartName="/word/fonts/font10.odttf" ContentType="application/vnd.openxmlformats-officedocument.obfuscatedFont"/>
  <Override PartName="/word/fonts/font3.odttf" ContentType="application/vnd.openxmlformats-officedocument.obfuscatedFont"/>
  <Override PartName="/word/fonts/font19.odttf" ContentType="application/vnd.openxmlformats-officedocument.obfuscatedFont"/>
  <Override PartName="/word/fonts/font21.odttf" ContentType="application/vnd.openxmlformats-officedocument.obfuscatedFont"/>
  <Override PartName="/word/fonts/font11.odttf" ContentType="application/vnd.openxmlformats-officedocument.obfuscatedFont"/>
  <Override PartName="/word/fonts/font4.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22.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23.odttf" ContentType="application/vnd.openxmlformats-officedocument.obfuscatedFont"/>
  <Override PartName="/word/fonts/font9.odttf" ContentType="application/vnd.openxmlformats-officedocument.obfuscatedFont"/>
  <Override PartName="/word/fonts/font16.odttf" ContentType="application/vnd.openxmlformats-officedocument.obfuscatedFont"/>
  <Override PartName="/word/fonts/font12.odttf" ContentType="application/vnd.openxmlformats-officedocument.obfuscatedFont"/>
  <Override PartName="/word/fonts/font5.odttf" ContentType="application/vnd.openxmlformats-officedocument.obfuscatedFont"/>
  <Override PartName="/word/fonts/font13.odttf" ContentType="application/vnd.openxmlformats-officedocument.obfuscatedFont"/>
  <Override PartName="/word/fonts/font6.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s/font27.odttf" ContentType="application/vnd.openxmlformats-officedocument.obfuscatedFont"/>
  <Override PartName="/word/fonts/font30.odttf" ContentType="application/vnd.openxmlformats-officedocument.obfuscatedFont"/>
  <Override PartName="/word/fonts/font28.odttf" ContentType="application/vnd.openxmlformats-officedocument.obfuscatedFont"/>
  <Override PartName="/word/fonts/font29.odttf" ContentType="application/vnd.openxmlformats-officedocument.obfuscatedFont"/>
  <Override PartName="/word/fonts/font31.odttf" ContentType="application/vnd.openxmlformats-officedocument.obfuscatedFont"/>
  <Override PartName="/word/fonts/font32.odttf" ContentType="application/vnd.openxmlformats-officedocument.obfuscatedFont"/>
  <Override PartName="/word/fonts/font33.odttf" ContentType="application/vnd.openxmlformats-officedocument.obfuscatedFont"/>
  <Override PartName="/word/fonts/font34.odttf" ContentType="application/vnd.openxmlformats-officedocument.obfuscatedFont"/>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80"/>
        <w:jc w:val="center"/>
        <w:rPr>
          <w:color w:val="000000"/>
          <w:sz w:val="28"/>
          <w:szCs w:val="28"/>
        </w:rPr>
      </w:pPr>
      <w:r>
        <w:rPr>
          <w:color w:themeColor="text1" w:val="000000"/>
          <w:sz w:val="28"/>
          <w:szCs w:val="28"/>
        </w:rPr>
        <w:t>UNIVERSIDADE DE SÃO PAULO</w:t>
      </w:r>
    </w:p>
    <w:p>
      <w:pPr>
        <w:pStyle w:val="Normal"/>
        <w:spacing w:lineRule="auto" w:line="480"/>
        <w:jc w:val="center"/>
        <w:rPr>
          <w:color w:val="000000"/>
          <w:sz w:val="28"/>
          <w:szCs w:val="28"/>
        </w:rPr>
      </w:pPr>
      <w:r>
        <w:rPr>
          <w:color w:themeColor="text1" w:val="000000"/>
          <w:sz w:val="28"/>
          <w:szCs w:val="28"/>
        </w:rPr>
        <w:t>FACULDADE DE ODONTOLOGIA DE BAURU</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color w:val="000000"/>
          <w:sz w:val="28"/>
          <w:szCs w:val="28"/>
        </w:rPr>
      </w:pPr>
      <w:r>
        <w:rPr>
          <w:color w:themeColor="text1" w:val="000000"/>
          <w:sz w:val="28"/>
          <w:szCs w:val="28"/>
        </w:rPr>
        <w:t>MAÍRA SIMIONI FERREIRA</w:t>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ELABORAÇÃO E EFEITO DE UM PROGRAMA DE EXERCÍCIOS CERVICAIS EM PESSOAS COM ZUMBIDO SOMATOSSENSORIAL</w:t>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rPr>
          <w:sz w:val="28"/>
          <w:szCs w:val="28"/>
        </w:rPr>
      </w:pPr>
      <w:r>
        <w:rPr>
          <w:sz w:val="28"/>
          <w:szCs w:val="28"/>
        </w:rPr>
      </w:r>
    </w:p>
    <w:p>
      <w:pPr>
        <w:pStyle w:val="Normal"/>
        <w:jc w:val="center"/>
        <w:rPr>
          <w:b/>
          <w:sz w:val="28"/>
          <w:szCs w:val="28"/>
        </w:rPr>
      </w:pPr>
      <w:r>
        <w:rPr>
          <w:b/>
          <w:sz w:val="28"/>
          <w:szCs w:val="28"/>
        </w:rPr>
      </w:r>
    </w:p>
    <w:p>
      <w:pPr>
        <w:pStyle w:val="Normal"/>
        <w:spacing w:lineRule="auto" w:line="480"/>
        <w:rPr>
          <w:color w:val="000000"/>
          <w:sz w:val="28"/>
          <w:szCs w:val="28"/>
        </w:rPr>
      </w:pPr>
      <w:r>
        <w:rPr>
          <w:color w:themeColor="text1" w:val="000000"/>
          <w:sz w:val="28"/>
          <w:szCs w:val="28"/>
        </w:rPr>
      </w:r>
    </w:p>
    <w:p>
      <w:pPr>
        <w:pStyle w:val="Normal"/>
        <w:jc w:val="center"/>
        <w:rPr>
          <w:color w:val="000000"/>
          <w:sz w:val="28"/>
          <w:szCs w:val="28"/>
        </w:rPr>
      </w:pPr>
      <w:r>
        <w:rPr>
          <w:color w:themeColor="text1" w:val="000000"/>
          <w:sz w:val="28"/>
          <w:szCs w:val="28"/>
        </w:rPr>
        <w:t xml:space="preserve">BAURU </w:t>
      </w:r>
    </w:p>
    <w:p>
      <w:pPr>
        <w:pStyle w:val="Normal"/>
        <w:jc w:val="center"/>
        <w:rPr>
          <w:color w:val="000000"/>
          <w:sz w:val="28"/>
          <w:szCs w:val="28"/>
        </w:rPr>
      </w:pPr>
      <w:r>
        <w:rPr>
          <w:color w:themeColor="text1" w:val="000000"/>
          <w:sz w:val="28"/>
          <w:szCs w:val="28"/>
        </w:rPr>
        <w:t>2024</w:t>
      </w:r>
    </w:p>
    <w:p>
      <w:pPr>
        <w:pStyle w:val="Normal"/>
        <w:jc w:val="center"/>
        <w:rPr>
          <w:color w:val="000000"/>
          <w:sz w:val="28"/>
          <w:szCs w:val="28"/>
        </w:rPr>
      </w:pPr>
      <w:r>
        <w:rPr>
          <w:color w:themeColor="text1" w:val="000000"/>
          <w:sz w:val="28"/>
          <w:szCs w:val="28"/>
        </w:rPr>
      </w:r>
    </w:p>
    <w:p>
      <w:pPr>
        <w:pStyle w:val="Normal"/>
        <w:jc w:val="center"/>
        <w:rPr>
          <w:color w:val="000000"/>
          <w:sz w:val="28"/>
          <w:szCs w:val="28"/>
        </w:rPr>
      </w:pPr>
      <w:r>
        <w:rPr>
          <w:color w:themeColor="text1" w:val="000000"/>
          <w:sz w:val="28"/>
          <w:szCs w:val="28"/>
        </w:rPr>
        <w:t>MAÍRA SIMIONI FERREIRA</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b/>
          <w:sz w:val="32"/>
          <w:szCs w:val="32"/>
        </w:rPr>
      </w:pPr>
      <w:r>
        <w:rPr>
          <w:b/>
          <w:sz w:val="28"/>
          <w:szCs w:val="28"/>
        </w:rPr>
        <w:t>Elaboração e efeito de um programa de exercícios cervicais em pessoas com zumbido somatossensorial</w:t>
      </w:r>
    </w:p>
    <w:p>
      <w:pPr>
        <w:pStyle w:val="Normal"/>
        <w:jc w:val="center"/>
        <w:rPr>
          <w:sz w:val="28"/>
          <w:szCs w:val="28"/>
        </w:rPr>
      </w:pPr>
      <w:r>
        <w:rPr>
          <w:sz w:val="28"/>
          <w:szCs w:val="28"/>
        </w:rPr>
      </w:r>
    </w:p>
    <w:p>
      <w:pPr>
        <w:pStyle w:val="Normal"/>
        <w:rPr>
          <w:sz w:val="28"/>
          <w:szCs w:val="28"/>
        </w:rPr>
      </w:pPr>
      <w:r>
        <w:rPr>
          <w:sz w:val="28"/>
          <w:szCs w:val="28"/>
        </w:rPr>
      </w:r>
    </w:p>
    <w:p>
      <w:pPr>
        <w:pStyle w:val="Normal"/>
        <w:jc w:val="center"/>
        <w:rPr>
          <w:sz w:val="28"/>
          <w:szCs w:val="28"/>
        </w:rPr>
      </w:pPr>
      <w:r>
        <w:rPr>
          <w:sz w:val="28"/>
          <w:szCs w:val="28"/>
        </w:rPr>
      </w:r>
    </w:p>
    <w:p>
      <w:pPr>
        <w:pStyle w:val="Normal"/>
        <w:jc w:val="center"/>
        <w:rPr>
          <w:color w:val="000000"/>
          <w:sz w:val="28"/>
          <w:szCs w:val="28"/>
        </w:rPr>
      </w:pPr>
      <w:r>
        <w:rPr>
          <w:color w:themeColor="text1" w:val="000000"/>
          <w:sz w:val="28"/>
          <w:szCs w:val="28"/>
        </w:rPr>
      </w:r>
    </w:p>
    <w:p>
      <w:pPr>
        <w:pStyle w:val="Normal"/>
        <w:ind w:left="4560"/>
        <w:rPr>
          <w:color w:val="000000"/>
        </w:rPr>
      </w:pPr>
      <w:r>
        <w:rPr>
          <w:color w:themeColor="text1" w:val="000000"/>
        </w:rPr>
        <w:t>Projeto de dissertação apresentado à Faculdade de Odontologia de Bauru da Universidade de São Paulo para exame de qualificação no Programa de Fonoaudiologia, na área de concentração Processos e Distúrbios da Comunicação.</w:t>
      </w:r>
    </w:p>
    <w:p>
      <w:pPr>
        <w:pStyle w:val="Normal"/>
        <w:ind w:left="4560"/>
        <w:rPr>
          <w:color w:val="000000"/>
        </w:rPr>
      </w:pPr>
      <w:r>
        <w:rPr>
          <w:color w:themeColor="text1" w:val="000000"/>
        </w:rPr>
      </w:r>
    </w:p>
    <w:p>
      <w:pPr>
        <w:pStyle w:val="Normal"/>
        <w:ind w:left="4560"/>
        <w:rPr>
          <w:color w:val="000000"/>
          <w:sz w:val="28"/>
          <w:szCs w:val="28"/>
        </w:rPr>
      </w:pPr>
      <w:r>
        <w:rPr>
          <w:color w:themeColor="text1" w:val="000000"/>
        </w:rPr>
        <w:t>Orientadora: Prof.ª Dra. Maria Fernanda Capoani Garcia Mondelli</w:t>
      </w:r>
    </w:p>
    <w:p>
      <w:pPr>
        <w:pStyle w:val="Normal"/>
        <w:jc w:val="center"/>
        <w:rPr>
          <w:color w:val="000000"/>
          <w:sz w:val="28"/>
          <w:szCs w:val="28"/>
        </w:rPr>
      </w:pPr>
      <w:r>
        <w:rPr>
          <w:color w:themeColor="text1" w:val="000000"/>
          <w:sz w:val="28"/>
          <w:szCs w:val="28"/>
        </w:rPr>
      </w:r>
    </w:p>
    <w:p>
      <w:pPr>
        <w:pStyle w:val="Normal"/>
        <w:jc w:val="left"/>
        <w:rPr>
          <w:color w:val="000000"/>
          <w:sz w:val="28"/>
          <w:szCs w:val="28"/>
        </w:rPr>
      </w:pPr>
      <w:r>
        <w:rPr>
          <w:color w:themeColor="text1" w:val="000000"/>
          <w:sz w:val="28"/>
          <w:szCs w:val="28"/>
        </w:rPr>
      </w:r>
    </w:p>
    <w:p>
      <w:pPr>
        <w:pStyle w:val="Normal"/>
        <w:jc w:val="center"/>
        <w:rPr>
          <w:color w:val="000000"/>
          <w:sz w:val="28"/>
          <w:szCs w:val="28"/>
        </w:rPr>
      </w:pPr>
      <w:r>
        <w:rPr>
          <w:color w:themeColor="text1" w:val="000000"/>
          <w:sz w:val="28"/>
          <w:szCs w:val="28"/>
        </w:rPr>
      </w:r>
    </w:p>
    <w:p>
      <w:pPr>
        <w:pStyle w:val="Normal"/>
        <w:jc w:val="center"/>
        <w:rPr>
          <w:color w:val="000000"/>
          <w:sz w:val="28"/>
          <w:szCs w:val="28"/>
        </w:rPr>
      </w:pPr>
      <w:r>
        <w:rPr>
          <w:color w:themeColor="text1" w:val="000000"/>
          <w:sz w:val="28"/>
          <w:szCs w:val="28"/>
        </w:rPr>
        <w:t>BAURU</w:t>
      </w:r>
    </w:p>
    <w:p>
      <w:pPr>
        <w:pStyle w:val="Normal"/>
        <w:jc w:val="center"/>
        <w:rPr>
          <w:color w:val="000000"/>
          <w:sz w:val="28"/>
          <w:szCs w:val="28"/>
        </w:rPr>
      </w:pPr>
      <w:r>
        <w:rPr>
          <w:color w:themeColor="text1" w:val="000000"/>
          <w:sz w:val="28"/>
          <w:szCs w:val="28"/>
        </w:rPr>
        <w:t>2024</w:t>
      </w:r>
    </w:p>
    <w:p>
      <w:pPr>
        <w:pStyle w:val="Normal"/>
        <w:jc w:val="center"/>
        <w:rPr>
          <w:b/>
          <w:color w:val="000000"/>
        </w:rPr>
      </w:pPr>
      <w:r>
        <w:rPr>
          <w:b/>
          <w:color w:themeColor="text1" w:val="000000"/>
        </w:rPr>
        <w:t>RESUMO</w:t>
      </w:r>
    </w:p>
    <w:p>
      <w:pPr>
        <w:pStyle w:val="Normal"/>
        <w:widowControl w:val="false"/>
        <w:spacing w:before="0" w:after="240"/>
        <w:ind w:firstLine="708"/>
        <w:rPr>
          <w:b/>
          <w:color w:val="000000"/>
        </w:rPr>
      </w:pPr>
      <w:r>
        <w:rPr>
          <w:b/>
          <w:color w:themeColor="text1" w:val="000000"/>
        </w:rPr>
      </w:r>
    </w:p>
    <w:p>
      <w:pPr>
        <w:pStyle w:val="Normal"/>
        <w:widowControl w:val="false"/>
        <w:spacing w:before="0" w:after="240"/>
        <w:ind w:firstLine="708"/>
        <w:rPr/>
      </w:pPr>
      <w:r>
        <w:rPr>
          <w:b/>
          <w:color w:themeColor="text1" w:val="000000"/>
        </w:rPr>
        <w:t xml:space="preserve">Introdução: </w:t>
      </w:r>
      <w:r>
        <w:rPr>
          <w:color w:themeColor="text1" w:val="000000"/>
        </w:rPr>
        <w:t xml:space="preserve">O zumbido somatossensorial é uma condição complexa que envolve a interação entre o sistema auditivo e o sistema somático. Embora possa ser um desafio diagnóstico e terapêutico, abordagens multidisciplinares que tratem tanto os sintomas auditivos quanto as causas somáticas subjacentes podem proporcionar alívio significativo aos pacientes. </w:t>
      </w:r>
      <w:r>
        <w:rPr/>
        <w:t xml:space="preserve">Como na literatura há evidências que desordens musculares da região cervical podem influenciar na percepção do zumbido somatossensorial, faz-se importante estudar o efeito de um protocolo de exercícios para essa região como forma de tratamento para estes pacientes. </w:t>
      </w:r>
      <w:r>
        <w:rPr>
          <w:b/>
          <w:color w:themeColor="text1" w:val="000000"/>
        </w:rPr>
        <w:t>Objetivo:</w:t>
      </w:r>
      <w:r>
        <w:rPr/>
        <w:t xml:space="preserve"> Elaborar e analisar o efeito de um programa de exercícios cervicais na percepção do zumbido em pacientes com zumbido somatossensorial.</w:t>
      </w:r>
      <w:r>
        <w:rPr>
          <w:color w:themeColor="text1" w:val="000000"/>
        </w:rPr>
        <w:t xml:space="preserve"> </w:t>
      </w:r>
      <w:r>
        <w:rPr>
          <w:b/>
          <w:color w:themeColor="text1" w:val="000000"/>
        </w:rPr>
        <w:t xml:space="preserve">Métodos: </w:t>
      </w:r>
      <w:r>
        <w:rPr>
          <w:color w:themeColor="text1" w:val="000000"/>
        </w:rPr>
        <w:t xml:space="preserve">O estudo será conduzido como um ensaio clínico controlado paralelo, envolvendo pacientes diagnosticados com zumbido somatossensorial. Serão utilizados métodos quantitativos para avaliar a eficácia do programa de exercícios, como o </w:t>
      </w:r>
      <w:r>
        <w:rPr>
          <w:i/>
          <w:color w:themeColor="text1" w:val="000000"/>
        </w:rPr>
        <w:t>Tinnitus Handicap Inventory</w:t>
      </w:r>
      <w:r>
        <w:rPr>
          <w:color w:themeColor="text1" w:val="000000"/>
        </w:rPr>
        <w:t xml:space="preserve"> (THI), a Escala Visual Analógica (EVA) e o </w:t>
      </w:r>
      <w:r>
        <w:rPr>
          <w:i/>
          <w:color w:themeColor="text1" w:val="000000"/>
        </w:rPr>
        <w:t xml:space="preserve">Neck Bournemouth Questionnaire </w:t>
      </w:r>
      <w:r>
        <w:rPr>
          <w:color w:themeColor="text1" w:val="000000"/>
        </w:rPr>
        <w:t>(NBQ). O grupo teste será orientado a realizar uma sequência de exercícios diários para a região da cervical, durante 4 semanas.</w:t>
      </w:r>
    </w:p>
    <w:p>
      <w:pPr>
        <w:pStyle w:val="Normal"/>
        <w:widowControl w:val="false"/>
        <w:spacing w:before="0" w:after="240"/>
        <w:ind w:firstLine="708"/>
        <w:rPr/>
      </w:pPr>
      <w:r>
        <w:rPr/>
      </w:r>
    </w:p>
    <w:p>
      <w:pPr>
        <w:pStyle w:val="Normal"/>
        <w:rPr>
          <w:color w:val="000000"/>
        </w:rPr>
      </w:pPr>
      <w:r>
        <w:rPr>
          <w:b/>
          <w:color w:themeColor="text1" w:val="000000"/>
        </w:rPr>
        <w:t xml:space="preserve">Palavras-chave: </w:t>
      </w:r>
      <w:r>
        <w:rPr>
          <w:color w:themeColor="text1" w:val="000000"/>
        </w:rPr>
        <w:t>Zumbido; Vértebra Cervical; Modalidades de Fisioterapia; Córtex Somatossensorial; Terapia por Exercício</w:t>
      </w:r>
    </w:p>
    <w:p>
      <w:pPr>
        <w:pStyle w:val="Normal"/>
        <w:jc w:val="center"/>
        <w:rPr>
          <w:b/>
          <w:color w:val="000000"/>
        </w:rPr>
      </w:pPr>
      <w:r>
        <w:rPr>
          <w:b/>
          <w:color w:themeColor="text1" w:val="000000"/>
        </w:rPr>
      </w:r>
    </w:p>
    <w:p>
      <w:pPr>
        <w:pStyle w:val="Normal"/>
        <w:jc w:val="center"/>
        <w:rPr>
          <w:b/>
          <w:color w:val="000000"/>
        </w:rPr>
      </w:pPr>
      <w:r>
        <w:rPr>
          <w:b/>
          <w:color w:themeColor="text1" w:val="000000"/>
        </w:rPr>
      </w:r>
    </w:p>
    <w:p>
      <w:pPr>
        <w:pStyle w:val="Normal"/>
        <w:jc w:val="center"/>
        <w:rPr>
          <w:b/>
          <w:color w:val="000000"/>
        </w:rPr>
      </w:pPr>
      <w:r>
        <w:rPr>
          <w:b/>
          <w:color w:themeColor="text1" w:val="000000"/>
        </w:rPr>
      </w:r>
    </w:p>
    <w:p>
      <w:pPr>
        <w:pStyle w:val="Normal"/>
        <w:jc w:val="center"/>
        <w:rPr>
          <w:b/>
          <w:color w:val="000000"/>
        </w:rPr>
      </w:pPr>
      <w:r>
        <w:rPr>
          <w:b/>
          <w:color w:themeColor="text1" w:val="000000"/>
        </w:rPr>
      </w:r>
    </w:p>
    <w:p>
      <w:pPr>
        <w:pStyle w:val="Normal"/>
        <w:jc w:val="center"/>
        <w:rPr>
          <w:b/>
          <w:color w:val="000000"/>
        </w:rPr>
      </w:pPr>
      <w:r>
        <w:rPr>
          <w:b/>
          <w:color w:themeColor="text1" w:val="000000"/>
        </w:rPr>
      </w:r>
    </w:p>
    <w:p>
      <w:pPr>
        <w:pStyle w:val="Normal"/>
        <w:jc w:val="center"/>
        <w:rPr>
          <w:b/>
          <w:color w:val="000000"/>
        </w:rPr>
      </w:pPr>
      <w:r>
        <w:rPr>
          <w:b/>
          <w:color w:themeColor="text1" w:val="000000"/>
        </w:rPr>
      </w:r>
    </w:p>
    <w:p>
      <w:pPr>
        <w:pStyle w:val="Normal"/>
        <w:jc w:val="center"/>
        <w:rPr>
          <w:b/>
          <w:color w:val="000000"/>
        </w:rPr>
      </w:pPr>
      <w:r>
        <w:rPr>
          <w:b/>
          <w:color w:themeColor="text1" w:val="000000"/>
        </w:rPr>
      </w:r>
    </w:p>
    <w:p>
      <w:pPr>
        <w:pStyle w:val="Normal"/>
        <w:rPr>
          <w:b/>
          <w:color w:val="000000"/>
        </w:rPr>
      </w:pPr>
      <w:r>
        <w:rPr>
          <w:b/>
          <w:color w:themeColor="text1" w:val="000000"/>
        </w:rPr>
      </w:r>
    </w:p>
    <w:p>
      <w:pPr>
        <w:pStyle w:val="Normal"/>
        <w:jc w:val="center"/>
        <w:rPr>
          <w:b/>
          <w:color w:val="000000"/>
        </w:rPr>
      </w:pPr>
      <w:r>
        <w:rPr>
          <w:b/>
          <w:color w:themeColor="text1" w:val="000000"/>
        </w:rPr>
      </w:r>
    </w:p>
    <w:p>
      <w:pPr>
        <w:pStyle w:val="Normal"/>
        <w:jc w:val="center"/>
        <w:rPr>
          <w:b/>
          <w:color w:val="000000"/>
          <w:lang w:val="en-US"/>
        </w:rPr>
      </w:pPr>
      <w:bookmarkStart w:id="0" w:name="_gjdgxs"/>
      <w:bookmarkEnd w:id="0"/>
      <w:r>
        <w:rPr>
          <w:b/>
          <w:color w:themeColor="text1" w:val="000000"/>
          <w:lang w:val="en-US"/>
        </w:rPr>
        <w:t>ABSTRACT</w:t>
      </w:r>
    </w:p>
    <w:p>
      <w:pPr>
        <w:pStyle w:val="Normal"/>
        <w:rPr>
          <w:b/>
          <w:color w:val="000000"/>
          <w:lang w:val="en-US"/>
        </w:rPr>
      </w:pPr>
      <w:r>
        <w:rPr>
          <w:b/>
          <w:color w:themeColor="text1" w:val="000000"/>
          <w:lang w:val="en-US"/>
        </w:rPr>
      </w:r>
    </w:p>
    <w:p>
      <w:pPr>
        <w:pStyle w:val="Normal"/>
        <w:rPr>
          <w:color w:val="000000"/>
        </w:rPr>
      </w:pPr>
      <w:r>
        <w:rPr>
          <w:b/>
          <w:color w:themeColor="text1" w:val="000000"/>
          <w:lang w:val="en-US"/>
        </w:rPr>
        <w:t>Introduction:</w:t>
      </w:r>
      <w:r>
        <w:rPr>
          <w:color w:themeColor="text1" w:val="000000"/>
          <w:lang w:val="en-US"/>
        </w:rPr>
        <w:t xml:space="preserve"> Somatosensory tinnitus is a complex condition that involves an interaction between the auditory system and somatic systems. Although they can be a diagnostic and therapeutic challenge, multidisciplinary approaches that treat both auditory symptoms and underlying somatic causes can provide significant distress to patients. As there is evidence in the literature that muscular disorders in the neck can influence the perception of somatosensory tinnitus, it is important to study the effect of an exercise protocol for this region as a form of treatment for these patients. </w:t>
      </w:r>
      <w:r>
        <w:rPr>
          <w:b/>
          <w:color w:themeColor="text1" w:val="000000"/>
          <w:lang w:val="en-US"/>
        </w:rPr>
        <w:t>Objective:</w:t>
      </w:r>
      <w:r>
        <w:rPr>
          <w:color w:themeColor="text1" w:val="000000"/>
          <w:lang w:val="en-US"/>
        </w:rPr>
        <w:t xml:space="preserve"> To develop and analyze the effect of a neck exercise program on the perception of tinnitus in patients with somatosensory tinnitus. </w:t>
      </w:r>
      <w:r>
        <w:rPr>
          <w:b/>
          <w:color w:themeColor="text1" w:val="000000"/>
          <w:lang w:val="en-US"/>
        </w:rPr>
        <w:t>Methods:</w:t>
      </w:r>
      <w:r>
        <w:rPr>
          <w:color w:themeColor="text1" w:val="000000"/>
          <w:lang w:val="en-US"/>
        </w:rPr>
        <w:t xml:space="preserve"> The study will be extended as a parallel controlled clinical trial involving patients presenting with somatosensory tinnitus. Quantitative methods will be used to evaluate the effectiveness of the exercise program, such as the </w:t>
      </w:r>
      <w:r>
        <w:rPr>
          <w:i/>
          <w:color w:themeColor="text1" w:val="000000"/>
          <w:lang w:val="en-US"/>
        </w:rPr>
        <w:t>Tinnitus Handicap Inventory</w:t>
      </w:r>
      <w:r>
        <w:rPr>
          <w:color w:themeColor="text1" w:val="000000"/>
          <w:lang w:val="en-US"/>
        </w:rPr>
        <w:t xml:space="preserve"> (THI), the </w:t>
      </w:r>
      <w:r>
        <w:rPr>
          <w:i/>
          <w:color w:themeColor="text1" w:val="000000"/>
          <w:lang w:val="en-US"/>
        </w:rPr>
        <w:t>Visual Analogue Scale</w:t>
      </w:r>
      <w:r>
        <w:rPr>
          <w:color w:themeColor="text1" w:val="000000"/>
          <w:lang w:val="en-US"/>
        </w:rPr>
        <w:t xml:space="preserve"> (VAS) and the </w:t>
      </w:r>
      <w:r>
        <w:rPr>
          <w:i/>
          <w:color w:themeColor="text1" w:val="000000"/>
          <w:lang w:val="en-US"/>
        </w:rPr>
        <w:t>Neck Bournemouth Questionnaire</w:t>
      </w:r>
      <w:r>
        <w:rPr>
          <w:color w:themeColor="text1" w:val="000000"/>
          <w:lang w:val="en-US"/>
        </w:rPr>
        <w:t xml:space="preserve"> (NBQ). The test group will be instructed to perform a sequence of daily exercises for the neck, for 4 weeks.</w:t>
      </w:r>
    </w:p>
    <w:p>
      <w:pPr>
        <w:pStyle w:val="Normal"/>
        <w:rPr>
          <w:color w:val="000000"/>
          <w:shd w:fill="F8F9FA" w:val="clear"/>
          <w:lang w:val="en-US"/>
        </w:rPr>
      </w:pPr>
      <w:r>
        <w:rPr>
          <w:color w:themeColor="text1" w:val="000000"/>
          <w:shd w:fill="F8F9FA" w:val="clear"/>
          <w:lang w:val="en-US"/>
        </w:rPr>
      </w:r>
    </w:p>
    <w:p>
      <w:pPr>
        <w:pStyle w:val="Normal"/>
        <w:rPr>
          <w:color w:val="000000"/>
          <w:shd w:fill="F8F9FA" w:val="clear"/>
          <w:lang w:val="en-US"/>
        </w:rPr>
      </w:pPr>
      <w:r>
        <w:rPr>
          <w:color w:themeColor="text1" w:val="000000"/>
          <w:shd w:fill="F8F9FA" w:val="clear"/>
          <w:lang w:val="en-US"/>
        </w:rPr>
      </w:r>
    </w:p>
    <w:p>
      <w:pPr>
        <w:pStyle w:val="Normal"/>
        <w:rPr>
          <w:color w:val="000000"/>
          <w:lang w:val="en-US"/>
        </w:rPr>
      </w:pPr>
      <w:r>
        <w:rPr>
          <w:b/>
          <w:color w:themeColor="text1" w:val="000000"/>
          <w:lang w:val="en-US"/>
        </w:rPr>
        <w:t xml:space="preserve">Key-words: </w:t>
      </w:r>
      <w:r>
        <w:rPr>
          <w:color w:themeColor="text1" w:val="000000"/>
          <w:lang w:val="en-US"/>
        </w:rPr>
        <w:t>Tinnitus; Cervical Vertebrae; Physical Therapy Modalities; Somatosensory Cortex; Exercise Therapy</w:t>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jc w:val="center"/>
        <w:rPr>
          <w:b/>
          <w:color w:val="000000"/>
          <w:lang w:val="en-US"/>
        </w:rPr>
      </w:pPr>
      <w:r>
        <w:rPr>
          <w:b/>
          <w:color w:themeColor="text1" w:val="000000"/>
          <w:lang w:val="en-US"/>
        </w:rPr>
      </w:r>
    </w:p>
    <w:p>
      <w:pPr>
        <w:pStyle w:val="Normal"/>
        <w:tabs>
          <w:tab w:val="clear" w:pos="720"/>
          <w:tab w:val="left" w:pos="541" w:leader="none"/>
        </w:tabs>
        <w:jc w:val="center"/>
        <w:rPr>
          <w:b/>
          <w:color w:val="000000"/>
          <w:lang w:val="en-US"/>
        </w:rPr>
      </w:pPr>
      <w:r>
        <w:rPr>
          <w:b/>
          <w:color w:themeColor="text1" w:val="000000"/>
          <w:lang w:val="en-US"/>
        </w:rPr>
      </w:r>
    </w:p>
    <w:p>
      <w:pPr>
        <w:pStyle w:val="Normal"/>
        <w:tabs>
          <w:tab w:val="clear" w:pos="720"/>
          <w:tab w:val="left" w:pos="541" w:leader="none"/>
        </w:tabs>
        <w:jc w:val="center"/>
        <w:rPr>
          <w:b/>
          <w:color w:val="000000"/>
          <w:lang w:val="en-US"/>
        </w:rPr>
      </w:pPr>
      <w:r>
        <w:rPr>
          <w:b/>
          <w:color w:themeColor="text1" w:val="000000"/>
          <w:lang w:val="en-US"/>
        </w:rPr>
      </w:r>
    </w:p>
    <w:p>
      <w:pPr>
        <w:pStyle w:val="Normal"/>
        <w:tabs>
          <w:tab w:val="clear" w:pos="720"/>
          <w:tab w:val="left" w:pos="541" w:leader="none"/>
        </w:tabs>
        <w:jc w:val="center"/>
        <w:rPr>
          <w:b/>
          <w:color w:val="000000"/>
          <w:lang w:val="en-US"/>
        </w:rPr>
      </w:pPr>
      <w:r>
        <w:rPr>
          <w:b/>
          <w:color w:themeColor="text1" w:val="000000"/>
          <w:lang w:val="en-US"/>
        </w:rPr>
        <w:t>SUMÁRIO</w:t>
      </w:r>
    </w:p>
    <w:p>
      <w:pPr>
        <w:pStyle w:val="Normal"/>
        <w:widowControl w:val="false"/>
        <w:rPr>
          <w:b/>
          <w:color w:val="000000"/>
          <w:lang w:val="en-US"/>
        </w:rPr>
      </w:pPr>
      <w:r>
        <w:rPr>
          <w:b/>
          <w:color w:themeColor="text1" w:val="000000"/>
          <w:lang w:val="en-US"/>
        </w:rPr>
      </w:r>
    </w:p>
    <w:tbl>
      <w:tblPr>
        <w:tblStyle w:val="TableNormal"/>
        <w:tblW w:w="9465" w:type="dxa"/>
        <w:jc w:val="left"/>
        <w:tblInd w:w="5" w:type="dxa"/>
        <w:tblLayout w:type="fixed"/>
        <w:tblCellMar>
          <w:top w:w="0" w:type="dxa"/>
          <w:left w:w="0" w:type="dxa"/>
          <w:bottom w:w="0" w:type="dxa"/>
          <w:right w:w="0" w:type="dxa"/>
        </w:tblCellMar>
        <w:tblLook w:val="0600" w:noVBand="1" w:noHBand="1" w:lastColumn="0" w:firstColumn="0" w:lastRow="0" w:firstRow="0"/>
      </w:tblPr>
      <w:tblGrid>
        <w:gridCol w:w="825"/>
        <w:gridCol w:w="7800"/>
        <w:gridCol w:w="840"/>
      </w:tblGrid>
      <w:tr>
        <w:trPr>
          <w:trHeight w:val="566" w:hRule="atLeast"/>
        </w:trPr>
        <w:tc>
          <w:tcPr>
            <w:tcW w:w="825" w:type="dxa"/>
            <w:tcBorders/>
          </w:tcPr>
          <w:p>
            <w:pPr>
              <w:pStyle w:val="Normal"/>
              <w:widowControl w:val="false"/>
              <w:suppressAutoHyphens w:val="true"/>
              <w:spacing w:lineRule="auto" w:line="240" w:before="0" w:after="0"/>
              <w:ind w:left="-566"/>
              <w:jc w:val="both"/>
              <w:rPr>
                <w:color w:val="000000"/>
                <w:sz w:val="22"/>
                <w:szCs w:val="22"/>
              </w:rPr>
            </w:pPr>
            <w:r>
              <w:rPr>
                <w:rFonts w:eastAsia="Arial" w:cs="Arial"/>
                <w:color w:themeColor="text1" w:val="000000"/>
                <w:kern w:val="0"/>
                <w:sz w:val="22"/>
                <w:szCs w:val="22"/>
                <w:lang w:val="en-US" w:eastAsia="pt-BR" w:bidi="ar-SA"/>
              </w:rPr>
              <w:t xml:space="preserve">            </w:t>
            </w:r>
            <w:r>
              <w:rPr>
                <w:rFonts w:eastAsia="Arial" w:cs="Arial"/>
                <w:color w:themeColor="text1" w:val="000000"/>
                <w:kern w:val="0"/>
                <w:sz w:val="22"/>
                <w:szCs w:val="22"/>
                <w:lang w:val="pt-BR" w:eastAsia="pt-BR" w:bidi="ar-SA"/>
              </w:rPr>
              <w:t>1</w:t>
            </w:r>
          </w:p>
        </w:tc>
        <w:tc>
          <w:tcPr>
            <w:tcW w:w="7800" w:type="dxa"/>
            <w:tcBorders/>
          </w:tcPr>
          <w:p>
            <w:pPr>
              <w:pStyle w:val="Normal"/>
              <w:widowControl w:val="false"/>
              <w:suppressAutoHyphens w:val="true"/>
              <w:spacing w:lineRule="auto" w:line="240" w:before="0" w:after="0"/>
              <w:ind w:left="134"/>
              <w:jc w:val="both"/>
              <w:rPr>
                <w:b/>
                <w:color w:val="000000"/>
                <w:sz w:val="22"/>
                <w:szCs w:val="22"/>
              </w:rPr>
            </w:pPr>
            <w:r>
              <w:rPr>
                <w:rFonts w:eastAsia="Arial" w:cs="Arial"/>
                <w:b/>
                <w:color w:themeColor="text1" w:val="000000"/>
                <w:kern w:val="0"/>
                <w:sz w:val="22"/>
                <w:szCs w:val="22"/>
                <w:lang w:val="pt-BR" w:eastAsia="pt-BR" w:bidi="ar-SA"/>
              </w:rPr>
              <w:t>INTRODUÇÃO</w:t>
            </w:r>
          </w:p>
        </w:tc>
        <w:tc>
          <w:tcPr>
            <w:tcW w:w="840" w:type="dxa"/>
            <w:tcBorders/>
          </w:tcPr>
          <w:p>
            <w:pPr>
              <w:pStyle w:val="Normal"/>
              <w:widowControl w:val="false"/>
              <w:suppressAutoHyphens w:val="true"/>
              <w:spacing w:lineRule="auto" w:line="240" w:before="0" w:after="0"/>
              <w:ind w:left="133"/>
              <w:jc w:val="both"/>
              <w:rPr>
                <w:color w:val="000000"/>
                <w:sz w:val="22"/>
                <w:szCs w:val="22"/>
              </w:rPr>
            </w:pPr>
            <w:r>
              <w:rPr>
                <w:rFonts w:eastAsia="Arial" w:cs="Arial"/>
                <w:color w:themeColor="text1" w:val="000000"/>
                <w:kern w:val="0"/>
                <w:sz w:val="22"/>
                <w:szCs w:val="22"/>
                <w:lang w:val="pt-BR" w:eastAsia="pt-BR" w:bidi="ar-SA"/>
              </w:rPr>
              <w:t>7</w:t>
            </w:r>
          </w:p>
        </w:tc>
      </w:tr>
      <w:tr>
        <w:trPr>
          <w:trHeight w:val="566" w:hRule="atLeast"/>
        </w:trPr>
        <w:tc>
          <w:tcPr>
            <w:tcW w:w="825" w:type="dxa"/>
            <w:tcBorders/>
          </w:tcPr>
          <w:p>
            <w:pPr>
              <w:pStyle w:val="Normal"/>
              <w:widowControl w:val="false"/>
              <w:suppressAutoHyphens w:val="true"/>
              <w:spacing w:lineRule="auto" w:line="240" w:before="0" w:after="0"/>
              <w:ind w:left="138"/>
              <w:jc w:val="both"/>
              <w:rPr>
                <w:color w:val="000000"/>
                <w:sz w:val="22"/>
                <w:szCs w:val="22"/>
              </w:rPr>
            </w:pPr>
            <w:r>
              <w:rPr>
                <w:rFonts w:eastAsia="Arial" w:cs="Arial"/>
                <w:color w:themeColor="text1" w:val="000000"/>
                <w:kern w:val="0"/>
                <w:sz w:val="22"/>
                <w:szCs w:val="22"/>
                <w:lang w:val="pt-BR" w:eastAsia="pt-BR" w:bidi="ar-SA"/>
              </w:rPr>
              <w:t>1.1</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REVISÃO DE LITERATURA</w:t>
            </w:r>
          </w:p>
        </w:tc>
        <w:tc>
          <w:tcPr>
            <w:tcW w:w="840" w:type="dxa"/>
            <w:tcBorders/>
          </w:tcPr>
          <w:p>
            <w:pPr>
              <w:pStyle w:val="Normal"/>
              <w:widowControl w:val="false"/>
              <w:suppressAutoHyphens w:val="true"/>
              <w:spacing w:lineRule="auto" w:line="240" w:before="0" w:after="0"/>
              <w:ind w:left="134"/>
              <w:jc w:val="both"/>
              <w:rPr>
                <w:color w:val="000000"/>
                <w:sz w:val="22"/>
                <w:szCs w:val="22"/>
              </w:rPr>
            </w:pPr>
            <w:r>
              <w:rPr>
                <w:rFonts w:eastAsia="Arial" w:cs="Arial"/>
                <w:color w:themeColor="text1" w:val="000000"/>
                <w:kern w:val="0"/>
                <w:sz w:val="22"/>
                <w:szCs w:val="22"/>
                <w:lang w:val="pt-BR" w:eastAsia="pt-BR" w:bidi="ar-SA"/>
              </w:rPr>
              <w:t>9</w:t>
            </w:r>
          </w:p>
        </w:tc>
      </w:tr>
      <w:tr>
        <w:trPr>
          <w:trHeight w:val="566" w:hRule="atLeast"/>
        </w:trPr>
        <w:tc>
          <w:tcPr>
            <w:tcW w:w="825" w:type="dxa"/>
            <w:tcBorders/>
          </w:tcPr>
          <w:p>
            <w:pPr>
              <w:pStyle w:val="Normal"/>
              <w:widowControl w:val="false"/>
              <w:suppressAutoHyphens w:val="true"/>
              <w:spacing w:lineRule="auto" w:line="240" w:before="0" w:after="0"/>
              <w:ind w:left="121"/>
              <w:jc w:val="both"/>
              <w:rPr>
                <w:color w:val="000000"/>
                <w:sz w:val="22"/>
                <w:szCs w:val="22"/>
              </w:rPr>
            </w:pPr>
            <w:r>
              <w:rPr>
                <w:rFonts w:eastAsia="Arial" w:cs="Arial"/>
                <w:color w:themeColor="text1" w:val="000000"/>
                <w:kern w:val="0"/>
                <w:sz w:val="22"/>
                <w:szCs w:val="22"/>
                <w:lang w:val="pt-BR" w:eastAsia="pt-BR" w:bidi="ar-SA"/>
              </w:rPr>
              <w:t>2</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PROPOSIÇÃO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14</w:t>
            </w:r>
          </w:p>
        </w:tc>
      </w:tr>
      <w:tr>
        <w:trPr>
          <w:trHeight w:val="566" w:hRule="atLeast"/>
        </w:trPr>
        <w:tc>
          <w:tcPr>
            <w:tcW w:w="825" w:type="dxa"/>
            <w:tcBorders/>
          </w:tcPr>
          <w:p>
            <w:pPr>
              <w:pStyle w:val="Normal"/>
              <w:widowControl w:val="false"/>
              <w:suppressAutoHyphens w:val="true"/>
              <w:spacing w:lineRule="auto" w:line="240" w:before="0" w:after="0"/>
              <w:ind w:left="121"/>
              <w:jc w:val="both"/>
              <w:rPr>
                <w:color w:val="000000"/>
                <w:sz w:val="22"/>
                <w:szCs w:val="22"/>
              </w:rPr>
            </w:pPr>
            <w:r>
              <w:rPr>
                <w:rFonts w:eastAsia="Arial" w:cs="Arial"/>
                <w:color w:themeColor="text1" w:val="000000"/>
                <w:kern w:val="0"/>
                <w:sz w:val="22"/>
                <w:szCs w:val="22"/>
                <w:lang w:val="pt-BR" w:eastAsia="pt-BR" w:bidi="ar-SA"/>
              </w:rPr>
              <w:t>2.1</w:t>
            </w:r>
          </w:p>
        </w:tc>
        <w:tc>
          <w:tcPr>
            <w:tcW w:w="7800" w:type="dxa"/>
            <w:tcBorders/>
          </w:tcPr>
          <w:p>
            <w:pPr>
              <w:pStyle w:val="Normal"/>
              <w:widowControl w:val="false"/>
              <w:suppressAutoHyphens w:val="true"/>
              <w:spacing w:lineRule="auto" w:line="240" w:before="0" w:after="0"/>
              <w:ind w:left="129"/>
              <w:jc w:val="both"/>
              <w:rPr>
                <w:b/>
                <w:color w:val="000000"/>
                <w:sz w:val="22"/>
                <w:szCs w:val="22"/>
              </w:rPr>
            </w:pPr>
            <w:r>
              <w:rPr>
                <w:rFonts w:eastAsia="Arial" w:cs="Arial"/>
                <w:b/>
                <w:color w:themeColor="text1" w:val="000000"/>
                <w:kern w:val="0"/>
                <w:sz w:val="22"/>
                <w:szCs w:val="22"/>
                <w:lang w:val="pt-BR" w:eastAsia="pt-BR" w:bidi="ar-SA"/>
              </w:rPr>
              <w:t>OBJETIVO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14</w:t>
            </w:r>
          </w:p>
        </w:tc>
      </w:tr>
      <w:tr>
        <w:trPr>
          <w:trHeight w:val="566" w:hRule="atLeast"/>
        </w:trPr>
        <w:tc>
          <w:tcPr>
            <w:tcW w:w="825" w:type="dxa"/>
            <w:tcBorders/>
          </w:tcPr>
          <w:p>
            <w:pPr>
              <w:pStyle w:val="Normal"/>
              <w:widowControl w:val="false"/>
              <w:suppressAutoHyphens w:val="true"/>
              <w:spacing w:lineRule="auto" w:line="240" w:before="0" w:after="0"/>
              <w:ind w:left="121"/>
              <w:jc w:val="both"/>
              <w:rPr>
                <w:color w:val="000000"/>
                <w:sz w:val="22"/>
                <w:szCs w:val="22"/>
              </w:rPr>
            </w:pPr>
            <w:r>
              <w:rPr>
                <w:rFonts w:eastAsia="Arial" w:cs="Arial"/>
                <w:color w:themeColor="text1" w:val="000000"/>
                <w:kern w:val="0"/>
                <w:sz w:val="22"/>
                <w:szCs w:val="22"/>
                <w:lang w:val="pt-BR" w:eastAsia="pt-BR" w:bidi="ar-SA"/>
              </w:rPr>
              <w:t>2.2</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HIPÓTESES</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14</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w:t>
            </w:r>
          </w:p>
        </w:tc>
        <w:tc>
          <w:tcPr>
            <w:tcW w:w="7800" w:type="dxa"/>
            <w:tcBorders/>
          </w:tcPr>
          <w:p>
            <w:pPr>
              <w:pStyle w:val="Normal"/>
              <w:widowControl w:val="false"/>
              <w:suppressAutoHyphens w:val="true"/>
              <w:spacing w:lineRule="auto" w:line="240" w:before="0" w:after="0"/>
              <w:ind w:left="135"/>
              <w:jc w:val="both"/>
              <w:rPr>
                <w:b/>
                <w:color w:val="000000"/>
                <w:sz w:val="22"/>
                <w:szCs w:val="22"/>
              </w:rPr>
            </w:pPr>
            <w:r>
              <w:rPr>
                <w:rFonts w:eastAsia="Arial" w:cs="Arial"/>
                <w:b/>
                <w:color w:themeColor="text1" w:val="000000"/>
                <w:kern w:val="0"/>
                <w:sz w:val="22"/>
                <w:szCs w:val="22"/>
                <w:lang w:val="pt-BR" w:eastAsia="pt-BR" w:bidi="ar-SA"/>
              </w:rPr>
              <w:t>MÉTODO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3.1</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PERGUNTA DE PESQUISA</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3.2</w:t>
            </w:r>
          </w:p>
        </w:tc>
        <w:tc>
          <w:tcPr>
            <w:tcW w:w="7800" w:type="dxa"/>
            <w:tcBorders/>
          </w:tcPr>
          <w:p>
            <w:pPr>
              <w:pStyle w:val="Normal"/>
              <w:widowControl w:val="false"/>
              <w:suppressAutoHyphens w:val="true"/>
              <w:spacing w:lineRule="auto" w:line="240" w:before="0" w:after="0"/>
              <w:ind w:left="135"/>
              <w:jc w:val="both"/>
              <w:rPr>
                <w:b/>
                <w:color w:val="000000"/>
                <w:sz w:val="22"/>
                <w:szCs w:val="22"/>
              </w:rPr>
            </w:pPr>
            <w:r>
              <w:rPr>
                <w:rFonts w:eastAsia="Arial" w:cs="Arial"/>
                <w:b/>
                <w:color w:themeColor="text1" w:val="000000"/>
                <w:kern w:val="0"/>
                <w:sz w:val="22"/>
                <w:szCs w:val="22"/>
                <w:lang w:val="pt-BR" w:eastAsia="pt-BR" w:bidi="ar-SA"/>
              </w:rPr>
              <w:t>DELINEAMENTO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3.3</w:t>
            </w:r>
          </w:p>
        </w:tc>
        <w:tc>
          <w:tcPr>
            <w:tcW w:w="7800" w:type="dxa"/>
            <w:tcBorders/>
          </w:tcPr>
          <w:p>
            <w:pPr>
              <w:pStyle w:val="Normal"/>
              <w:widowControl w:val="false"/>
              <w:suppressAutoHyphens w:val="true"/>
              <w:spacing w:lineRule="auto" w:line="240" w:before="0" w:after="0"/>
              <w:ind w:left="120"/>
              <w:jc w:val="both"/>
              <w:rPr>
                <w:b/>
                <w:color w:val="000000"/>
                <w:sz w:val="22"/>
                <w:szCs w:val="22"/>
              </w:rPr>
            </w:pPr>
            <w:r>
              <w:rPr>
                <w:rFonts w:eastAsia="Arial" w:cs="Arial"/>
                <w:b/>
                <w:color w:themeColor="text1" w:val="000000"/>
                <w:kern w:val="0"/>
                <w:sz w:val="22"/>
                <w:szCs w:val="22"/>
                <w:lang w:val="pt-BR" w:eastAsia="pt-BR" w:bidi="ar-SA"/>
              </w:rPr>
              <w:t>ASPECTOS ÉTICOS</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3.4</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LOCAL E RECRUTAMENTO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3.5</w:t>
            </w:r>
          </w:p>
        </w:tc>
        <w:tc>
          <w:tcPr>
            <w:tcW w:w="7800" w:type="dxa"/>
            <w:tcBorders/>
          </w:tcPr>
          <w:p>
            <w:pPr>
              <w:pStyle w:val="Normal"/>
              <w:widowControl w:val="false"/>
              <w:suppressAutoHyphens w:val="true"/>
              <w:spacing w:lineRule="auto" w:line="240" w:before="0" w:after="0"/>
              <w:ind w:left="130"/>
              <w:jc w:val="both"/>
              <w:rPr>
                <w:b/>
                <w:color w:val="000000"/>
                <w:sz w:val="22"/>
                <w:szCs w:val="22"/>
              </w:rPr>
            </w:pPr>
            <w:r>
              <w:rPr>
                <w:rFonts w:eastAsia="Arial" w:cs="Arial"/>
                <w:b/>
                <w:color w:themeColor="text1" w:val="000000"/>
                <w:kern w:val="0"/>
                <w:sz w:val="22"/>
                <w:szCs w:val="22"/>
                <w:lang w:val="pt-BR" w:eastAsia="pt-BR" w:bidi="ar-SA"/>
              </w:rPr>
              <w:t>CARACTERIZAÇÃO DA AMOSTRA</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16</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3.6</w:t>
            </w:r>
          </w:p>
        </w:tc>
        <w:tc>
          <w:tcPr>
            <w:tcW w:w="7800" w:type="dxa"/>
            <w:tcBorders/>
          </w:tcPr>
          <w:p>
            <w:pPr>
              <w:pStyle w:val="Normal"/>
              <w:widowControl w:val="false"/>
              <w:suppressAutoHyphens w:val="true"/>
              <w:spacing w:lineRule="auto" w:line="240" w:before="0" w:after="0"/>
              <w:ind w:left="130"/>
              <w:jc w:val="both"/>
              <w:rPr>
                <w:b/>
                <w:color w:val="000000"/>
                <w:sz w:val="22"/>
                <w:szCs w:val="22"/>
              </w:rPr>
            </w:pPr>
            <w:r>
              <w:rPr>
                <w:rFonts w:eastAsia="Arial" w:cs="Arial"/>
                <w:b/>
                <w:color w:themeColor="text1" w:val="000000"/>
                <w:kern w:val="0"/>
                <w:sz w:val="22"/>
                <w:szCs w:val="22"/>
                <w:lang w:val="pt-BR" w:eastAsia="pt-BR" w:bidi="ar-SA"/>
              </w:rPr>
              <w:t>CRITÉRIOS DE INCLUSÃO E EXCLUSÃO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16</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3.7</w:t>
            </w:r>
          </w:p>
        </w:tc>
        <w:tc>
          <w:tcPr>
            <w:tcW w:w="7800" w:type="dxa"/>
            <w:tcBorders/>
          </w:tcPr>
          <w:p>
            <w:pPr>
              <w:pStyle w:val="Normal"/>
              <w:widowControl w:val="false"/>
              <w:suppressAutoHyphens w:val="true"/>
              <w:spacing w:lineRule="auto" w:line="240" w:before="0" w:after="0"/>
              <w:ind w:left="130"/>
              <w:jc w:val="both"/>
              <w:rPr>
                <w:b/>
                <w:color w:val="000000"/>
                <w:sz w:val="22"/>
                <w:szCs w:val="22"/>
              </w:rPr>
            </w:pPr>
            <w:r>
              <w:rPr>
                <w:rFonts w:eastAsia="Arial" w:cs="Arial"/>
                <w:b/>
                <w:color w:themeColor="text1" w:val="000000"/>
                <w:kern w:val="0"/>
                <w:sz w:val="22"/>
                <w:szCs w:val="22"/>
                <w:lang w:val="pt-BR" w:eastAsia="pt-BR" w:bidi="ar-SA"/>
              </w:rPr>
              <w:t>VARIÁVEIS DE DESFECHO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19</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3.8</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CÁLCULO AMOSTRAL</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19</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3.9</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ANÁLISE DE DADOS</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21</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3.10</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RANDOMIZAÇÃO E CEGAMENTO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25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3.11</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PROCEDIMENTOS DE AVALIAÇÃO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25</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3.12</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PROCEDIMENTOS DE INTERVENÇÃO</w:t>
            </w:r>
          </w:p>
        </w:tc>
        <w:tc>
          <w:tcPr>
            <w:tcW w:w="840" w:type="dxa"/>
            <w:tcBorders/>
          </w:tcPr>
          <w:p>
            <w:pPr>
              <w:pStyle w:val="Normal"/>
              <w:widowControl w:val="false"/>
              <w:suppressAutoHyphens w:val="true"/>
              <w:spacing w:lineRule="auto" w:line="240" w:before="0" w:after="0"/>
              <w:ind w:left="148"/>
              <w:jc w:val="both"/>
              <w:rPr>
                <w:color w:val="000000"/>
                <w:sz w:val="22"/>
                <w:szCs w:val="22"/>
              </w:rPr>
            </w:pPr>
            <w:r>
              <w:rPr>
                <w:rFonts w:eastAsia="Arial" w:cs="Arial"/>
                <w:color w:themeColor="text1" w:val="000000"/>
                <w:kern w:val="0"/>
                <w:sz w:val="22"/>
                <w:szCs w:val="22"/>
                <w:lang w:val="pt-BR" w:eastAsia="pt-BR" w:bidi="ar-SA"/>
              </w:rPr>
              <w:t>25</w:t>
            </w:r>
          </w:p>
        </w:tc>
      </w:tr>
      <w:tr>
        <w:trPr>
          <w:trHeight w:val="566" w:hRule="atLeast"/>
        </w:trPr>
        <w:tc>
          <w:tcPr>
            <w:tcW w:w="825" w:type="dxa"/>
            <w:tcBorders/>
          </w:tcPr>
          <w:p>
            <w:pPr>
              <w:pStyle w:val="Normal"/>
              <w:widowControl w:val="false"/>
              <w:suppressAutoHyphens w:val="true"/>
              <w:spacing w:lineRule="auto" w:line="240" w:before="0" w:after="0"/>
              <w:ind w:left="117"/>
              <w:jc w:val="both"/>
              <w:rPr>
                <w:color w:val="000000"/>
                <w:sz w:val="22"/>
                <w:szCs w:val="22"/>
              </w:rPr>
            </w:pPr>
            <w:r>
              <w:rPr>
                <w:rFonts w:eastAsia="Arial" w:cs="Arial"/>
                <w:color w:themeColor="text1" w:val="000000"/>
                <w:kern w:val="0"/>
                <w:sz w:val="22"/>
                <w:szCs w:val="22"/>
                <w:lang w:val="pt-BR" w:eastAsia="pt-BR" w:bidi="ar-SA"/>
              </w:rPr>
              <w:t>4</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RISCOS E BENEFÍCIOS</w:t>
            </w:r>
          </w:p>
        </w:tc>
        <w:tc>
          <w:tcPr>
            <w:tcW w:w="840" w:type="dxa"/>
            <w:tcBorders/>
          </w:tcPr>
          <w:p>
            <w:pPr>
              <w:pStyle w:val="Normal"/>
              <w:widowControl w:val="false"/>
              <w:suppressAutoHyphens w:val="true"/>
              <w:spacing w:lineRule="auto" w:line="240" w:before="0" w:after="0"/>
              <w:ind w:left="131"/>
              <w:jc w:val="both"/>
              <w:rPr>
                <w:color w:val="000000"/>
                <w:sz w:val="22"/>
                <w:szCs w:val="22"/>
              </w:rPr>
            </w:pPr>
            <w:r>
              <w:rPr>
                <w:rFonts w:eastAsia="Arial" w:cs="Arial"/>
                <w:color w:themeColor="text1" w:val="000000"/>
                <w:kern w:val="0"/>
                <w:sz w:val="22"/>
                <w:szCs w:val="22"/>
                <w:lang w:val="pt-BR" w:eastAsia="pt-BR" w:bidi="ar-SA"/>
              </w:rPr>
              <w:t>27</w:t>
            </w:r>
          </w:p>
        </w:tc>
      </w:tr>
      <w:tr>
        <w:trPr>
          <w:trHeight w:val="566" w:hRule="atLeast"/>
        </w:trPr>
        <w:tc>
          <w:tcPr>
            <w:tcW w:w="825" w:type="dxa"/>
            <w:tcBorders/>
          </w:tcPr>
          <w:p>
            <w:pPr>
              <w:pStyle w:val="Normal"/>
              <w:widowControl w:val="false"/>
              <w:suppressAutoHyphens w:val="true"/>
              <w:spacing w:lineRule="auto" w:line="240" w:before="0" w:after="0"/>
              <w:ind w:left="124"/>
              <w:jc w:val="both"/>
              <w:rPr>
                <w:color w:val="000000"/>
                <w:sz w:val="22"/>
                <w:szCs w:val="22"/>
              </w:rPr>
            </w:pPr>
            <w:r>
              <w:rPr>
                <w:rFonts w:eastAsia="Arial" w:cs="Arial"/>
                <w:color w:themeColor="text1" w:val="000000"/>
                <w:kern w:val="0"/>
                <w:sz w:val="22"/>
                <w:szCs w:val="22"/>
                <w:lang w:val="pt-BR" w:eastAsia="pt-BR" w:bidi="ar-SA"/>
              </w:rPr>
              <w:t>5</w:t>
            </w:r>
          </w:p>
        </w:tc>
        <w:tc>
          <w:tcPr>
            <w:tcW w:w="7800" w:type="dxa"/>
            <w:tcBorders/>
          </w:tcPr>
          <w:p>
            <w:pPr>
              <w:pStyle w:val="Normal"/>
              <w:widowControl w:val="false"/>
              <w:suppressAutoHyphens w:val="true"/>
              <w:spacing w:lineRule="auto" w:line="240" w:before="0" w:after="0"/>
              <w:ind w:left="130"/>
              <w:jc w:val="both"/>
              <w:rPr>
                <w:b/>
                <w:color w:val="000000"/>
                <w:sz w:val="22"/>
                <w:szCs w:val="22"/>
              </w:rPr>
            </w:pPr>
            <w:r>
              <w:rPr>
                <w:rFonts w:eastAsia="Arial" w:cs="Arial"/>
                <w:b/>
                <w:color w:themeColor="text1" w:val="000000"/>
                <w:kern w:val="0"/>
                <w:sz w:val="22"/>
                <w:szCs w:val="22"/>
                <w:lang w:val="pt-BR" w:eastAsia="pt-BR" w:bidi="ar-SA"/>
              </w:rPr>
              <w:t>CRONOGRAMA</w:t>
            </w:r>
          </w:p>
        </w:tc>
        <w:tc>
          <w:tcPr>
            <w:tcW w:w="840" w:type="dxa"/>
            <w:tcBorders/>
          </w:tcPr>
          <w:p>
            <w:pPr>
              <w:pStyle w:val="Normal"/>
              <w:widowControl w:val="false"/>
              <w:suppressAutoHyphens w:val="true"/>
              <w:spacing w:lineRule="auto" w:line="240" w:before="0" w:after="0"/>
              <w:ind w:left="131"/>
              <w:jc w:val="both"/>
              <w:rPr>
                <w:color w:val="000000"/>
                <w:sz w:val="22"/>
                <w:szCs w:val="22"/>
              </w:rPr>
            </w:pPr>
            <w:r>
              <w:rPr>
                <w:rFonts w:eastAsia="Arial" w:cs="Arial"/>
                <w:color w:themeColor="text1" w:val="000000"/>
                <w:kern w:val="0"/>
                <w:sz w:val="22"/>
                <w:szCs w:val="22"/>
                <w:lang w:val="pt-BR" w:eastAsia="pt-BR" w:bidi="ar-SA"/>
              </w:rPr>
              <w:t>28</w:t>
            </w:r>
          </w:p>
        </w:tc>
      </w:tr>
      <w:tr>
        <w:trPr>
          <w:trHeight w:val="566" w:hRule="atLeast"/>
        </w:trPr>
        <w:tc>
          <w:tcPr>
            <w:tcW w:w="825" w:type="dxa"/>
            <w:tcBorders/>
          </w:tcPr>
          <w:p>
            <w:pPr>
              <w:pStyle w:val="Normal"/>
              <w:widowControl w:val="false"/>
              <w:suppressAutoHyphens w:val="true"/>
              <w:spacing w:lineRule="auto" w:line="240" w:before="0" w:after="0"/>
              <w:ind w:left="123"/>
              <w:jc w:val="both"/>
              <w:rPr>
                <w:color w:val="000000"/>
                <w:sz w:val="22"/>
                <w:szCs w:val="22"/>
              </w:rPr>
            </w:pPr>
            <w:r>
              <w:rPr>
                <w:rFonts w:eastAsia="Arial" w:cs="Arial"/>
                <w:color w:themeColor="text1" w:val="000000"/>
                <w:kern w:val="0"/>
                <w:sz w:val="22"/>
                <w:szCs w:val="22"/>
                <w:lang w:val="pt-BR" w:eastAsia="pt-BR" w:bidi="ar-SA"/>
              </w:rPr>
              <w:t>6</w:t>
            </w:r>
          </w:p>
        </w:tc>
        <w:tc>
          <w:tcPr>
            <w:tcW w:w="7800" w:type="dxa"/>
            <w:tcBorders/>
          </w:tcPr>
          <w:p>
            <w:pPr>
              <w:pStyle w:val="Normal"/>
              <w:widowControl w:val="false"/>
              <w:suppressAutoHyphens w:val="true"/>
              <w:spacing w:lineRule="auto" w:line="240" w:before="0" w:after="0"/>
              <w:ind w:left="120"/>
              <w:jc w:val="both"/>
              <w:rPr>
                <w:b/>
                <w:color w:val="000000"/>
                <w:sz w:val="22"/>
                <w:szCs w:val="22"/>
              </w:rPr>
            </w:pPr>
            <w:r>
              <w:rPr>
                <w:rFonts w:eastAsia="Arial" w:cs="Arial"/>
                <w:b/>
                <w:color w:themeColor="text1" w:val="000000"/>
                <w:kern w:val="0"/>
                <w:sz w:val="22"/>
                <w:szCs w:val="22"/>
                <w:lang w:val="pt-BR" w:eastAsia="pt-BR" w:bidi="ar-SA"/>
              </w:rPr>
              <w:t>ORÇAMENTO</w:t>
            </w:r>
          </w:p>
        </w:tc>
        <w:tc>
          <w:tcPr>
            <w:tcW w:w="840" w:type="dxa"/>
            <w:tcBorders/>
          </w:tcPr>
          <w:p>
            <w:pPr>
              <w:pStyle w:val="Normal"/>
              <w:widowControl w:val="false"/>
              <w:suppressAutoHyphens w:val="true"/>
              <w:spacing w:lineRule="auto" w:line="240" w:before="0" w:after="0"/>
              <w:ind w:left="131"/>
              <w:jc w:val="both"/>
              <w:rPr>
                <w:color w:val="000000"/>
                <w:sz w:val="22"/>
                <w:szCs w:val="22"/>
              </w:rPr>
            </w:pPr>
            <w:r>
              <w:rPr>
                <w:rFonts w:eastAsia="Arial" w:cs="Arial"/>
                <w:color w:themeColor="text1" w:val="000000"/>
                <w:kern w:val="0"/>
                <w:sz w:val="22"/>
                <w:szCs w:val="22"/>
                <w:lang w:val="pt-BR" w:eastAsia="pt-BR" w:bidi="ar-SA"/>
              </w:rPr>
              <w:t>29</w:t>
            </w:r>
          </w:p>
        </w:tc>
      </w:tr>
      <w:tr>
        <w:trPr>
          <w:trHeight w:val="546" w:hRule="atLeast"/>
        </w:trPr>
        <w:tc>
          <w:tcPr>
            <w:tcW w:w="825" w:type="dxa"/>
            <w:tcBorders/>
          </w:tcPr>
          <w:p>
            <w:pPr>
              <w:pStyle w:val="Normal"/>
              <w:widowControl w:val="false"/>
              <w:suppressAutoHyphens w:val="true"/>
              <w:spacing w:lineRule="auto" w:line="240" w:before="0" w:after="0"/>
              <w:ind w:left="125"/>
              <w:jc w:val="both"/>
              <w:rPr>
                <w:color w:val="000000"/>
                <w:sz w:val="22"/>
                <w:szCs w:val="22"/>
              </w:rPr>
            </w:pPr>
            <w:r>
              <w:rPr>
                <w:rFonts w:eastAsia="Arial" w:cs="Arial"/>
                <w:color w:themeColor="text1" w:val="000000"/>
                <w:kern w:val="0"/>
                <w:sz w:val="22"/>
                <w:szCs w:val="22"/>
                <w:lang w:val="pt-BR" w:eastAsia="pt-BR" w:bidi="ar-SA"/>
              </w:rPr>
              <w:t>7</w:t>
            </w:r>
          </w:p>
        </w:tc>
        <w:tc>
          <w:tcPr>
            <w:tcW w:w="7800" w:type="dxa"/>
            <w:tcBorders/>
          </w:tcPr>
          <w:p>
            <w:pPr>
              <w:pStyle w:val="Normal"/>
              <w:widowControl w:val="false"/>
              <w:suppressAutoHyphens w:val="true"/>
              <w:spacing w:lineRule="auto" w:line="240" w:before="0" w:after="0"/>
              <w:ind w:left="136"/>
              <w:jc w:val="both"/>
              <w:rPr>
                <w:b/>
                <w:color w:val="000000"/>
                <w:sz w:val="22"/>
                <w:szCs w:val="22"/>
              </w:rPr>
            </w:pPr>
            <w:r>
              <w:rPr>
                <w:rFonts w:eastAsia="Arial" w:cs="Arial"/>
                <w:b/>
                <w:color w:themeColor="text1" w:val="000000"/>
                <w:kern w:val="0"/>
                <w:sz w:val="22"/>
                <w:szCs w:val="22"/>
                <w:lang w:val="pt-BR" w:eastAsia="pt-BR" w:bidi="ar-SA"/>
              </w:rPr>
              <w:t>BIBLIOGRAFIA</w:t>
            </w:r>
          </w:p>
        </w:tc>
        <w:tc>
          <w:tcPr>
            <w:tcW w:w="840" w:type="dxa"/>
            <w:tcBorders/>
          </w:tcPr>
          <w:p>
            <w:pPr>
              <w:pStyle w:val="Normal"/>
              <w:widowControl w:val="false"/>
              <w:suppressAutoHyphens w:val="true"/>
              <w:spacing w:lineRule="auto" w:line="240" w:before="0" w:after="0"/>
              <w:ind w:left="134"/>
              <w:jc w:val="both"/>
              <w:rPr>
                <w:color w:val="000000"/>
                <w:sz w:val="22"/>
                <w:szCs w:val="22"/>
              </w:rPr>
            </w:pPr>
            <w:r>
              <w:rPr>
                <w:rFonts w:eastAsia="Arial" w:cs="Arial"/>
                <w:color w:themeColor="text1" w:val="000000"/>
                <w:kern w:val="0"/>
                <w:sz w:val="22"/>
                <w:szCs w:val="22"/>
                <w:lang w:val="pt-BR" w:eastAsia="pt-BR" w:bidi="ar-SA"/>
              </w:rPr>
              <w:t>30</w:t>
            </w:r>
          </w:p>
        </w:tc>
      </w:tr>
    </w:tbl>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rPr>
          <w:b/>
          <w:color w:val="000000"/>
        </w:rPr>
      </w:pPr>
      <w:r>
        <w:rPr>
          <w:b/>
          <w:color w:themeColor="text1" w:val="000000"/>
        </w:rPr>
      </w:r>
    </w:p>
    <w:p>
      <w:pPr>
        <w:pStyle w:val="Normal"/>
        <w:numPr>
          <w:ilvl w:val="0"/>
          <w:numId w:val="4"/>
        </w:numPr>
        <w:ind w:hanging="360" w:left="708"/>
        <w:rPr>
          <w:b/>
          <w:color w:val="000000"/>
        </w:rPr>
      </w:pPr>
      <w:r>
        <w:rPr>
          <w:b/>
          <w:color w:themeColor="text1" w:val="000000"/>
        </w:rPr>
        <w:t>INTRODUÇÃO</w:t>
      </w:r>
    </w:p>
    <w:p>
      <w:pPr>
        <w:pStyle w:val="Normal"/>
        <w:jc w:val="center"/>
        <w:rPr>
          <w:b/>
        </w:rPr>
      </w:pPr>
      <w:r>
        <w:rPr>
          <w:b/>
        </w:rPr>
      </w:r>
    </w:p>
    <w:p>
      <w:pPr>
        <w:pStyle w:val="Normal"/>
        <w:widowControl w:val="false"/>
        <w:spacing w:before="0" w:after="240"/>
        <w:ind w:firstLine="708"/>
        <w:rPr>
          <w:color w:val="000000"/>
        </w:rPr>
      </w:pPr>
      <w:r>
        <w:rPr>
          <w:color w:themeColor="text1" w:val="000000"/>
        </w:rPr>
        <w:t xml:space="preserve">O zumbido é uma sensação auditiva sem estimulação sonora externa, que pode ser descrita por suas características perceptivas como localização, intensidade, frequência e timbre. O zumbido indica mau funcionamento do sistema auditivo e/ou outras estruturas que possam interferir nele. </w:t>
      </w:r>
      <w:r>
        <w:rPr/>
        <w:t>P</w:t>
      </w:r>
      <w:r>
        <w:rPr>
          <w:color w:themeColor="text1" w:val="000000"/>
        </w:rPr>
        <w:t>ode ser percebido como uma experiência desagradável, resultante de processos cognitivos ou emocionais, podendo impactar na qualidade de vida. O manejo do zumbido pode exigir ações multidisciplinares (Noreña et al., 2021).</w:t>
      </w:r>
    </w:p>
    <w:p>
      <w:pPr>
        <w:pStyle w:val="Normal"/>
        <w:widowControl w:val="false"/>
        <w:spacing w:before="0" w:after="240"/>
        <w:ind w:firstLine="708"/>
        <w:rPr>
          <w:color w:val="000000"/>
        </w:rPr>
      </w:pPr>
      <w:r>
        <w:rPr>
          <w:color w:themeColor="text1" w:val="000000"/>
        </w:rPr>
        <w:t>A percepção do zumbido pode se estender além da sensação do som, afetando o funcionamento diário, podendo levar a complicações como depressão, irritabilidade, distúrbios do sono, falta de concentração, e consequente diminuição da qualidade de vida e bem-estar geral. (Pierce et al., 2012; Watts et al., 2018).</w:t>
      </w:r>
    </w:p>
    <w:p>
      <w:pPr>
        <w:pStyle w:val="Normal"/>
        <w:widowControl w:val="false"/>
        <w:spacing w:before="0" w:after="240"/>
        <w:ind w:firstLine="708"/>
        <w:rPr>
          <w:color w:val="000000"/>
        </w:rPr>
      </w:pPr>
      <w:r>
        <w:rPr>
          <w:color w:themeColor="text1" w:val="000000"/>
        </w:rPr>
        <w:t>A etiologia do zumbido pode ser multifatorial, seus fatores de influência comuns são perda auditiva, trauma sonoro ou fatores psicológicos, como estresse, depressão e transtornos de ansiedade. Além disso, a entrada somatossensorial alterada da coluna cervical ou da área temporomandibular também pode influenciar a percepção do zumbido. (Langguth; Kleinjung; Landgrebe, 2011; Saldanha et al., 2012; Michiels, 2023). Quando essa influência somatossensorial é um dos fatores de origem, o zumbido do paciente é denominado zumbido somático ou somatossensorial. (Ralli et al., 2017; Michiels et al., 2019; Michiels, 2023).</w:t>
      </w:r>
    </w:p>
    <w:p>
      <w:pPr>
        <w:pStyle w:val="Normal"/>
        <w:widowControl w:val="false"/>
        <w:spacing w:before="0" w:after="240"/>
        <w:ind w:firstLine="708"/>
        <w:rPr>
          <w:color w:val="000000"/>
        </w:rPr>
      </w:pPr>
      <w:r>
        <w:rPr>
          <w:color w:themeColor="text1" w:val="000000"/>
        </w:rPr>
        <w:t xml:space="preserve">O zumbido somatossensorial (ZS) foi originalmente descrito como um subtipo de zumbido, especialistas em zumbido concordam que ele não deveria ser visto como uma categoria específica, mas como um fator que pode influenciar o zumbido de um paciente em maior ou menor grau (Michiels et al., 2018). </w:t>
      </w:r>
    </w:p>
    <w:p>
      <w:pPr>
        <w:pStyle w:val="Normal"/>
        <w:widowControl w:val="false"/>
        <w:spacing w:before="0" w:after="240"/>
        <w:ind w:firstLine="708"/>
        <w:rPr>
          <w:color w:val="000000"/>
        </w:rPr>
      </w:pPr>
      <w:r>
        <w:rPr>
          <w:color w:themeColor="text1" w:val="000000"/>
        </w:rPr>
        <w:t>Fisiologicamente, o zumbido somatossensorial é explicado pela presença de fibras de conexão entre o sistema somatossensorial da coluna cervical e área temporomandibular e o núcleo coclear dorsal (NCD) (Zhan X, 2006; Lanting et al., 2010; Shore, 2011). Por meio dessas fibras, informações somatossensoriais aferentes da coluna cervical ou da região temporomandibular podem alterar as taxas de disparo espontâneo e a sincronia de disparo entre os neurônios do núcleo coclear dorsal, colículo inferior e córtex auditivo. Desta forma, o sistema somatossensorial é capaz de alterar o tom ou a intensidade de um zumbido existente (Shore et al., 2007; Shore, 2011; Noreña et al., 2018).</w:t>
      </w:r>
    </w:p>
    <w:p>
      <w:pPr>
        <w:pStyle w:val="Normal"/>
        <w:widowControl w:val="false"/>
        <w:spacing w:before="0" w:after="240"/>
        <w:ind w:firstLine="708"/>
        <w:rPr>
          <w:color w:val="000000"/>
        </w:rPr>
      </w:pPr>
      <w:r>
        <w:rPr>
          <w:color w:themeColor="text1" w:val="000000"/>
        </w:rPr>
        <w:t>Desordens musculares de cabeça e cervical, como dor, tensão e espasmos musculares e restrição de amplitude de movimento da cervical são frequentemente reportados em associação com o zumbido (Cherian et al., 2013; Eladl et al., 2022). Isso sugere que interações anormais entre diferentes modalidades sensoriais, sistemas sensório-motores, redes neurocognitivas e neuroemocionais podem influenciar certos aspectos do zumbido (Sanchez; Rocha, 2011).</w:t>
      </w:r>
    </w:p>
    <w:p>
      <w:pPr>
        <w:pStyle w:val="Normal"/>
        <w:widowControl w:val="false"/>
        <w:spacing w:before="0" w:after="240"/>
        <w:ind w:firstLine="708"/>
        <w:rPr>
          <w:color w:val="000000"/>
        </w:rPr>
      </w:pPr>
      <w:r>
        <w:rPr>
          <w:color w:themeColor="text1" w:val="000000"/>
        </w:rPr>
        <w:t xml:space="preserve">Sanchez et al. (2007), estudaram pela primeira vez os efeitos na modulação do zumbido com exercícios repetidos de treinamento dos músculos da cabeça e cervical. Foi abordado o quanto as técnicas de fisioterapia, mobilização da coluna cervical, alongamento da musculatura suboccipital podem diminuir a intensidade do zumbido. </w:t>
      </w:r>
    </w:p>
    <w:p>
      <w:pPr>
        <w:pStyle w:val="Normal"/>
        <w:widowControl w:val="false"/>
        <w:spacing w:before="0" w:after="240"/>
        <w:ind w:firstLine="708"/>
        <w:rPr/>
      </w:pPr>
      <w:r>
        <w:rPr/>
        <w:t>Como na literatura há evidências que desordens musculares da região cervical podem influenciar na percepção do zumbido somatossensorial, faz-se importante estudar o efeito de um protocolo de exercícios para essa região como forma de tratamento para estes pacientes, com isso, o objetivo do estudo será elaborar e analisar o efeito de um programa de exercícios cervicais na percepção do zumbido em pacientes com zumbido somatossensorial.</w:t>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t xml:space="preserve">1.1 </w:t>
      </w:r>
      <w:r>
        <w:rPr>
          <w:color w:themeColor="text1" w:val="000000"/>
        </w:rPr>
        <w:t>REVISÃO DE LITERATURA</w:t>
      </w:r>
    </w:p>
    <w:p>
      <w:pPr>
        <w:pStyle w:val="Normal"/>
        <w:widowControl w:val="false"/>
        <w:spacing w:before="0" w:after="240"/>
        <w:ind w:left="720"/>
        <w:rPr>
          <w:color w:val="000000"/>
        </w:rPr>
      </w:pPr>
      <w:r>
        <w:rPr/>
        <w:t xml:space="preserve">1.1.1 </w:t>
      </w:r>
      <w:r>
        <w:rPr>
          <w:color w:themeColor="text1" w:val="000000"/>
        </w:rPr>
        <w:t>Zumbido</w:t>
      </w:r>
    </w:p>
    <w:p>
      <w:pPr>
        <w:pStyle w:val="Normal"/>
        <w:widowControl w:val="false"/>
        <w:spacing w:before="0" w:after="240"/>
        <w:ind w:firstLine="708"/>
        <w:rPr>
          <w:color w:val="000000"/>
        </w:rPr>
      </w:pPr>
      <w:r>
        <w:rPr>
          <w:color w:themeColor="text1" w:val="000000"/>
        </w:rPr>
        <w:t>Mesmo com consideráveis avanços nos estudos sobre zumbido, esse sintoma ainda representa um enigma científico e clínico (Baguley; McFerran; Hall, 2013). Aproximadamente 14% da população mundial já apresentou zumbido e mais de 2% apresentam zumbido grave. A prevalência do zumbido é semelhante em ambos os sexos, e o aumento da prevalência está associado ao aumento da idade (Jarach et al., 2022).</w:t>
      </w:r>
    </w:p>
    <w:p>
      <w:pPr>
        <w:pStyle w:val="Normal"/>
        <w:widowControl w:val="false"/>
        <w:spacing w:before="0" w:after="240"/>
        <w:ind w:firstLine="708"/>
        <w:rPr>
          <w:color w:val="000000"/>
        </w:rPr>
      </w:pPr>
      <w:r>
        <w:rPr>
          <w:color w:themeColor="text1" w:val="000000"/>
        </w:rPr>
        <w:t>O zumbido é considerado um sintoma que pode resultar de múltiplas e concomitantes causas. Assim, o termo zumbido abrange uma fisiopatologia e experiência heterogênea, que tem dificultado tanto a ciência básica quanto a pesquisa sobre tratamento (Baguley; McFerran; Hall, 2013; Noreña et al., 2021).</w:t>
      </w:r>
    </w:p>
    <w:p>
      <w:pPr>
        <w:pStyle w:val="Normal"/>
        <w:widowControl w:val="false"/>
        <w:spacing w:before="0" w:after="240"/>
        <w:ind w:firstLine="708"/>
        <w:rPr>
          <w:color w:val="000000"/>
        </w:rPr>
      </w:pPr>
      <w:r>
        <w:rPr>
          <w:color w:themeColor="text1" w:val="000000"/>
        </w:rPr>
        <w:t xml:space="preserve">Existem dois tipos principais de zumbido, o “zumbido objetivo”, cuja causa é uma fonte sonora proveniente do corpo (da orelha ou de estruturas adjacentes) e o “zumbido subjetivo”, que não tem uma fonte acústica identificável, sendo este último o mais prevalente. (Henry et al., 2017). </w:t>
      </w:r>
    </w:p>
    <w:p>
      <w:pPr>
        <w:pStyle w:val="Normal"/>
        <w:widowControl w:val="false"/>
        <w:spacing w:before="0" w:after="240"/>
        <w:ind w:firstLine="708"/>
        <w:rPr>
          <w:color w:val="000000"/>
        </w:rPr>
      </w:pPr>
      <w:r>
        <w:rPr>
          <w:color w:themeColor="text1" w:val="000000"/>
        </w:rPr>
        <w:t>O zumbido pode ser constante ou intermitente, rítmico ou pulsátil e muitos pacientes apresentam mais de um som. Pode estar localizado em uma ou ambas as orelhas, ou centralmente na cabeça. O início do zumbido pode ser abrupto, mas na maioria dos casos é insidioso. A intensidade percebida pode variar; para algumas pessoas, ocorre exacerbação juntamente com o aumento do estresse (Baguley; McFerran; Hall, 2013).</w:t>
      </w:r>
    </w:p>
    <w:p>
      <w:pPr>
        <w:pStyle w:val="Normal"/>
        <w:widowControl w:val="false"/>
        <w:spacing w:before="0" w:after="240"/>
        <w:ind w:firstLine="708"/>
        <w:rPr>
          <w:color w:val="000000"/>
        </w:rPr>
      </w:pPr>
      <w:r>
        <w:rPr>
          <w:color w:themeColor="text1" w:val="000000"/>
        </w:rPr>
        <w:t xml:space="preserve">Vários fatores de risco para o zumbido subjetivo foram descritos, como perda auditiva, medicação ototóxica, trauma craniano, ansiedade, depressão, exposição ao ruído, presbiacusia e pode também estar associado com disfunções da coluna cervical ou articulação temporomandibular (ATM) (Michiels et al., 2016). Distúrbios musculoesqueléticos da região cabeça-pescoço (por exemplo, articulação temporomandibular ou cervical), na presença ou ausência de perda auditiva, podem causar modulação da atividade neuronal nas vias auditivas e, assim, levar ao zumbido. Este tipo de zumbido, descrito como “somatossensorial”, pode ser modificado ou mesmo controlado por mecanismos somatossensoriais e movimentos ou manipulações principalmente do complexo cabeça-pescoço (Noreña et al., 2018). </w:t>
      </w:r>
    </w:p>
    <w:p>
      <w:pPr>
        <w:pStyle w:val="Normal"/>
        <w:widowControl w:val="false"/>
        <w:spacing w:before="0" w:after="240"/>
        <w:ind w:firstLine="708"/>
        <w:rPr/>
      </w:pPr>
      <w:r>
        <w:rPr/>
        <w:t>1.1.2 Zumbido somatossensorial</w:t>
      </w:r>
    </w:p>
    <w:p>
      <w:pPr>
        <w:pStyle w:val="Normal"/>
        <w:widowControl w:val="false"/>
        <w:spacing w:before="0" w:after="240"/>
        <w:ind w:firstLine="708"/>
        <w:rPr>
          <w:color w:val="000000"/>
        </w:rPr>
      </w:pPr>
      <w:r>
        <w:rPr>
          <w:color w:themeColor="text1" w:val="000000"/>
        </w:rPr>
        <w:t xml:space="preserve">A explicação fisiológica é oferecida por estudos que encontraram conexões entre o sistema somatossensorial cervical e temporomandibular e os núcleos cocleares (NC) (Zhan X, 2006; Lanting et al., 2010; Shore, 2011). A informação somatossensorial cervical e temporomandibular é transmitida ao cérebro por fibras aferentes, cujos corpos celulares estão localizados nos gânglios da raiz dorsal ou no gânglio trigêmeo. Algumas dessas fibras também se projetam para o sistema auditivo central. Isso permite que o sistema somatossensorial influencie o sistema auditivo, alterando as taxas espontâneas ou a sincronia de disparos entre os neurônios do NC, colículo inferior ou córtex auditivo. Dessa forma, o sistema somatossensorial é capaz de alterar a intensidade e o aspecto do zumbido (Shore et al., 2007; Shore, 2011; Noreña et al., 2018). </w:t>
      </w:r>
    </w:p>
    <w:p>
      <w:pPr>
        <w:pStyle w:val="Normal"/>
        <w:spacing w:before="280" w:after="280"/>
        <w:ind w:firstLine="708"/>
        <w:rPr>
          <w:color w:val="000000"/>
        </w:rPr>
      </w:pPr>
      <w:r>
        <w:rPr>
          <w:color w:themeColor="text1" w:val="000000"/>
        </w:rPr>
        <w:t xml:space="preserve">Alguns estudos sugeriam que pacientes com zumbido somatossensorial sofriam principalmente com restrição na rotação da coluna cervical, dor provocada durante extensão, flexão lateral e rotação da coluna cervical combinadas ou pontos-gatilho sensíveis na presença de pontuação positiva (&gt; 14/70) no </w:t>
      </w:r>
      <w:r>
        <w:rPr>
          <w:i/>
          <w:color w:themeColor="text1" w:val="000000"/>
        </w:rPr>
        <w:t>Neck Bournemouth Questionnaire</w:t>
      </w:r>
      <w:r>
        <w:rPr>
          <w:color w:themeColor="text1" w:val="000000"/>
        </w:rPr>
        <w:t xml:space="preserve"> (NBQ) (Michiels, 2015; Reisshauer et al., 2006). No entanto, no estudo de Michels et al., 2017, era esperado que as medidas de mobilidade da coluna cervical e de função muscular tivessem influência no resultado do tratamento, mas os pacientes que se beneficiaram do tratamento não apresentaram diferenças na disfunção da coluna cervical no início ou após o tratamento em comparação com os pacientes que não se beneficiaram com o tratamento. Possivelmente, uma grande heterogeneidade do tipo e grau de disfunção da coluna cervical esteja presente em pacientes com zumbido. Em alguns pacientes a aferência somatossensorial está alterada devido à disfunção muscular e em outros pacientes devido à disfunção articular. Isto explicaria por que, por exemplo, o grau de mobilidade da coluna cervical não tem valor preditivo (Michels et al., 2017). </w:t>
      </w:r>
    </w:p>
    <w:p>
      <w:pPr>
        <w:pStyle w:val="Normal"/>
        <w:spacing w:before="280" w:after="280"/>
        <w:ind w:firstLine="708"/>
        <w:rPr>
          <w:color w:val="000000"/>
        </w:rPr>
      </w:pPr>
      <w:r>
        <w:rPr>
          <w:color w:themeColor="text1" w:val="000000"/>
        </w:rPr>
        <w:t xml:space="preserve">Pacientes com covariação de zumbido e queixas cervicais se beneficiaram significativamente mais do tratamento da coluna cervical do que pacientes sem essa covariação. Esses achados indicam a influência somatossensorial na intensidade e no aspecto do zumbido (Michels et al., 2017). Em um outro ensaio clínico foi demonstrado o efeito de um tratamento fisioterapêutico cervical multimodal na gravidade do zumbido. Este ensaio clínico randomizado mostrou uma diminuição na gravidade do zumbido em 53% dos pacientes tratados (Michiels et al., 2016). </w:t>
      </w:r>
    </w:p>
    <w:p>
      <w:pPr>
        <w:pStyle w:val="Normal"/>
        <w:spacing w:before="280" w:after="280"/>
        <w:ind w:firstLine="708"/>
        <w:rPr>
          <w:color w:val="000000"/>
        </w:rPr>
      </w:pPr>
      <w:r>
        <w:rPr>
          <w:color w:themeColor="text1" w:val="000000"/>
        </w:rPr>
        <w:t>Vários estudos descreveram maneiras de identificar pacientes com zumbido somatossensorial (Sanchez; Rocha, 2011; Michiels et al., 2015; Michiels et al., 2017; Michiels et al., 2018), até chegarem hoje em uma árvore de decisão, com o objetivo de encontrar a combinação ideal de critérios diagnósticos para ter a mais alta precisão, sensibilidade e especificidade (Michiels et al., 2022).</w:t>
      </w:r>
    </w:p>
    <w:p>
      <w:pPr>
        <w:pStyle w:val="Normal"/>
        <w:spacing w:before="280" w:after="280"/>
        <w:ind w:firstLine="708"/>
        <w:rPr/>
      </w:pPr>
      <w:r>
        <w:rPr/>
        <w:t xml:space="preserve">A árvore de decisão inclui quatro critérios dos quais os autores aconselham serem utilizados para diagnosticar um paciente com zumbido somatossensorial: (1) zumbido e dor no pescoço/mandíbula aumentam/diminuem simultaneamente, (2) tensão nos músculos suboccipitais, (3) modulação somática e (4) bruxismo. A árvore de decisão apresentada tem precisão de 82,24%, especificidade de 79,02% e sensibilidade de 82,54%, o que minimiza o risco de falsos positivos e falsos negativos respectivamente no diagnóstico de zumbido somatossensorial. O critério mais importante na árvore de decisão é o critério de aumento/diminuição simultâneo do zumbido e da dor no pescoço/mandíbula (Michiels et al., 2022). Este critério também foi identificado como um indicador prognóstico positivo para diminuição da gravidade do zumbido após tratamento da coluna cervical (Michiels et al. 2017). </w:t>
      </w:r>
    </w:p>
    <w:p>
      <w:pPr>
        <w:pStyle w:val="Normal"/>
        <w:spacing w:before="280" w:after="280"/>
        <w:ind w:firstLine="708"/>
        <w:rPr/>
      </w:pPr>
      <w:r>
        <w:rPr/>
        <w:t>Esta análise também mostrou que o aumento/diminuição simultâneos das queixas de zumbido e dor apresentam alto valor diagnóstico, portanto pode ser utilizado como critério único. Por outro lado, o segundo critério "tensão nos músculos suboccipitais", o terceiro critério "modulação somática" que corresponde a capacidade de um paciente modular o seu zumbido por meio de movimentos voluntários ou pressão na cabeça ou pescoço, e o terceiro critério, a presença de bruxismo, parece ter baixo valor diagnóstico quando usados como critérios únicos, mas não deixam de ser importantes como parte da árvore da decisão. (Michiels et al., 2022).</w:t>
      </w:r>
    </w:p>
    <w:p>
      <w:pPr>
        <w:pStyle w:val="Normal"/>
        <w:spacing w:before="280" w:after="280"/>
        <w:ind w:firstLine="708"/>
        <w:rPr>
          <w:color w:val="000000"/>
        </w:rPr>
      </w:pPr>
      <w:r>
        <w:rPr>
          <w:color w:themeColor="text1" w:val="000000"/>
        </w:rPr>
        <w:t xml:space="preserve">Uma vez diagnosticado, o zumbido somatossensorial pode ser tratado com eficácia utilizando diversas técnicas. O tratamento musculoesquelético da coluna cervical e da região temporomandibular é o que possui o mais alto nível de evidência. Outras abordagens foram sugeridas como Mindfulness (Rademaker et al., 2019), neuromodulação (Heiland et al., 2024), estimulação elétrica nervosa transcutânea (TENS) (Byun et al., 2020), acupuntura (Huang et al., 2020), fotobiomodulação (Nikookam et al., 2023), </w:t>
      </w:r>
      <w:r>
        <w:rPr>
          <w:i/>
          <w:color w:themeColor="text1" w:val="000000"/>
        </w:rPr>
        <w:t>Tinnitus Retraining Therapy</w:t>
      </w:r>
      <w:r>
        <w:rPr>
          <w:color w:themeColor="text1" w:val="000000"/>
        </w:rPr>
        <w:t xml:space="preserve"> (TRT) (Han; Yang; Lv, 2021), no entanto, precisam ser mais investigadas em grandes ensaios clínicos randomizados (Michiels, 2023).</w:t>
      </w:r>
    </w:p>
    <w:p>
      <w:pPr>
        <w:pStyle w:val="Normal"/>
        <w:spacing w:before="280" w:after="280"/>
        <w:ind w:firstLine="708"/>
        <w:rPr>
          <w:color w:val="000000"/>
        </w:rPr>
      </w:pPr>
      <w:r>
        <w:rPr/>
        <w:t xml:space="preserve">1.1.3 </w:t>
      </w:r>
      <w:r>
        <w:rPr>
          <w:color w:themeColor="text1" w:val="000000"/>
        </w:rPr>
        <w:t>Intervenção ao Zumbido Somatossensorial</w:t>
      </w:r>
    </w:p>
    <w:p>
      <w:pPr>
        <w:pStyle w:val="Normal"/>
        <w:spacing w:before="280" w:after="280"/>
        <w:ind w:firstLine="708"/>
        <w:rPr>
          <w:color w:val="000000"/>
        </w:rPr>
      </w:pPr>
      <w:r>
        <w:rPr>
          <w:color w:themeColor="text1" w:val="000000"/>
        </w:rPr>
        <w:t>Atualmente, a maioria das abordagens de tratamento do ZS baseia-se em técnicas aplicadas principalmente por fisioterapeutas, pois a aferência somatossensorial desses pacientes é frequentemente alterada pelo aumento da tensão muscular ou restrição de movimento na coluna cervical ou na articulação temporomandibular. Técnicas específicas são então utilizadas para diminuir a dor e tensão muscular e melhorar a função para que a aferência somatossensorial seja restaurada e a percepção do zumbido diminua (Michiels, 2023).</w:t>
      </w:r>
    </w:p>
    <w:p>
      <w:pPr>
        <w:pStyle w:val="Normal"/>
        <w:spacing w:before="280" w:after="280"/>
        <w:ind w:firstLine="708"/>
        <w:rPr>
          <w:color w:val="000000"/>
        </w:rPr>
      </w:pPr>
      <w:r>
        <w:rPr>
          <w:color w:themeColor="text1" w:val="000000"/>
        </w:rPr>
        <w:t>Para o tratamento da coluna cervical, guias de prática clínica sugerem técnicas de aconselhamento para aumentar o conhecimento do paciente sobre dores no pescoço e são recomendados exercícios para melhorar a força, a coordenação e a resistência dos músculos estabilizadores do pescoço. Treinar estes músculos, não só aumentará a estabilidade da coluna cervical, mas também resultará na redução a longo prazo da tensão excessiva nos músculos localizados mais superficialmente, que estão frequentemente envolvidos no ZS. Dependendo da disfunção cervical outras técnicas podem ser adicionadas, como mobilizações ou manipulações manuais, pressão isquêmica ou agulhamento à seco para desativar pontos-gatilho miofasciais (Cote et al., 2016; Cohen; Hooten, 2017).</w:t>
      </w:r>
    </w:p>
    <w:p>
      <w:pPr>
        <w:pStyle w:val="Normal"/>
        <w:widowControl w:val="false"/>
        <w:spacing w:before="0" w:after="240"/>
        <w:ind w:firstLine="708"/>
        <w:rPr>
          <w:color w:val="000000"/>
        </w:rPr>
      </w:pPr>
      <w:r>
        <w:rPr>
          <w:color w:themeColor="text1" w:val="000000"/>
        </w:rPr>
        <w:t>O zumbido somatossensorial é uma condição complexa que envolve a interação entre o sistema auditivo e os sistema somático. Embora possa ser um desafio diagnóstico e terapêutico, abordagens multidisciplinares que tratem tanto os sintomas auditivos quanto as causas somáticas subjacentes podem proporcionar alívio significativo aos pacientes. Desta forma, o trabalho objetiva elaborar e investigar um protocolo de tratamento fisioterapêutico com exercícios cervicais no zumbido somatossensorial.</w:t>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color w:val="000000"/>
        </w:rPr>
      </w:pPr>
      <w:r>
        <w:rPr>
          <w:color w:themeColor="text1" w:val="000000"/>
        </w:rPr>
      </w:r>
    </w:p>
    <w:p>
      <w:pPr>
        <w:pStyle w:val="Normal"/>
        <w:widowControl w:val="false"/>
        <w:spacing w:before="0" w:after="240"/>
        <w:ind w:firstLine="708"/>
        <w:rPr>
          <w:b/>
        </w:rPr>
      </w:pPr>
      <w:r>
        <w:rPr>
          <w:b/>
        </w:rPr>
      </w:r>
    </w:p>
    <w:p>
      <w:pPr>
        <w:pStyle w:val="Normal"/>
        <w:widowControl w:val="false"/>
        <w:numPr>
          <w:ilvl w:val="0"/>
          <w:numId w:val="4"/>
        </w:numPr>
        <w:spacing w:before="0" w:after="240"/>
        <w:ind w:hanging="360" w:left="850"/>
        <w:rPr>
          <w:b/>
        </w:rPr>
      </w:pPr>
      <w:r>
        <w:rPr>
          <w:b/>
        </w:rPr>
        <w:t>PROPOSIÇÃO</w:t>
      </w:r>
    </w:p>
    <w:p>
      <w:pPr>
        <w:pStyle w:val="Normal"/>
        <w:widowControl w:val="false"/>
        <w:spacing w:before="0" w:after="240"/>
        <w:rPr/>
      </w:pPr>
      <w:r>
        <w:rPr>
          <w:b/>
        </w:rPr>
        <w:t xml:space="preserve">             </w:t>
      </w:r>
      <w:r>
        <w:rPr/>
        <w:t>2.1 OBJETIVO</w:t>
      </w:r>
    </w:p>
    <w:p>
      <w:pPr>
        <w:pStyle w:val="Normal"/>
        <w:widowControl w:val="false"/>
        <w:spacing w:before="0" w:after="240"/>
        <w:ind w:firstLine="708"/>
        <w:rPr/>
      </w:pPr>
      <w:r>
        <w:rPr/>
        <w:t>Elaborar e analisar o efeito de um programa de exercícios cervicais na percepção do zumbido em pessoas com zumbido somatossensorial.</w:t>
      </w:r>
    </w:p>
    <w:p>
      <w:pPr>
        <w:pStyle w:val="Normal"/>
        <w:widowControl w:val="false"/>
        <w:spacing w:before="0" w:after="240"/>
        <w:rPr/>
      </w:pPr>
      <w:r>
        <w:rPr/>
        <w:t xml:space="preserve">             </w:t>
      </w:r>
      <w:r>
        <w:rPr/>
        <w:t>2.2 HIPÓTESES</w:t>
      </w:r>
    </w:p>
    <w:p>
      <w:pPr>
        <w:pStyle w:val="Normal"/>
        <w:widowControl w:val="false"/>
        <w:spacing w:before="0" w:after="240"/>
        <w:rPr/>
      </w:pPr>
      <w:r>
        <w:rPr/>
        <w:t>H1: Há diminuição significativa na percepção do zumbido conforme medido pelos escores THI e EVA</w:t>
      </w:r>
      <w:bookmarkStart w:id="1" w:name="_GoBack"/>
      <w:bookmarkEnd w:id="1"/>
      <w:r>
        <w:rPr/>
        <w:t xml:space="preserve"> em pacientes que sofrem de zumbido somatossensorial ao realizarem um programa de exercícios cervicais.</w:t>
      </w:r>
    </w:p>
    <w:p>
      <w:pPr>
        <w:pStyle w:val="Normal"/>
        <w:widowControl w:val="false"/>
        <w:spacing w:before="0" w:after="240"/>
        <w:rPr/>
      </w:pPr>
      <w:r>
        <w:rPr/>
        <w:t>H0: Não há diferença significativa na percepção do zumbido em pacientes que sofrem de zumbido somatossensorial ao realizarem um programa de exercícios cervicais.</w:t>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spacing w:before="0" w:after="240"/>
        <w:rPr/>
      </w:pPr>
      <w:r>
        <w:rPr/>
      </w:r>
    </w:p>
    <w:p>
      <w:pPr>
        <w:pStyle w:val="Normal"/>
        <w:widowControl w:val="false"/>
        <w:numPr>
          <w:ilvl w:val="0"/>
          <w:numId w:val="4"/>
        </w:numPr>
        <w:spacing w:before="0" w:after="240"/>
        <w:ind w:hanging="360" w:left="850"/>
        <w:rPr>
          <w:b/>
          <w:color w:val="000000"/>
        </w:rPr>
      </w:pPr>
      <w:r>
        <w:rPr>
          <w:b/>
          <w:color w:themeColor="text1" w:val="000000"/>
        </w:rPr>
        <w:t>METODOLOGIA</w:t>
      </w:r>
    </w:p>
    <w:p>
      <w:pPr>
        <w:pStyle w:val="Normal"/>
        <w:widowControl w:val="false"/>
        <w:spacing w:before="0" w:after="240"/>
        <w:ind w:left="720"/>
        <w:rPr/>
      </w:pPr>
      <w:r>
        <w:rPr/>
        <w:t>3.1 PERGUNTA DE PESQUISA</w:t>
      </w:r>
    </w:p>
    <w:p>
      <w:pPr>
        <w:pStyle w:val="Normal"/>
        <w:widowControl w:val="false"/>
        <w:spacing w:before="0" w:after="240"/>
        <w:rPr/>
      </w:pPr>
      <w:r>
        <w:rPr/>
        <w:t>Qual o efeito de um programa de exercícios cervicais na percepção do zumbido em pessoas com zumbido somatossensorial?</w:t>
      </w:r>
    </w:p>
    <w:p>
      <w:pPr>
        <w:pStyle w:val="Normal"/>
        <w:ind w:firstLine="360"/>
        <w:rPr/>
      </w:pPr>
      <w:r>
        <w:rPr/>
        <w:t xml:space="preserve">      </w:t>
      </w:r>
      <w:r>
        <w:rPr/>
        <w:t>3.2 DELINEAMENTO</w:t>
      </w:r>
    </w:p>
    <w:p>
      <w:pPr>
        <w:pStyle w:val="Normal"/>
        <w:spacing w:before="280" w:after="280"/>
        <w:rPr>
          <w:color w:val="000000"/>
        </w:rPr>
      </w:pPr>
      <w:r>
        <w:rPr>
          <w:color w:themeColor="text1" w:val="000000"/>
        </w:rPr>
        <w:t>Desenho do Estudo: O estudo será conduzido como um ensaio clínico controlado, envolvendo pacientes diagnosticados com zumbido somatossensorial. Serão utilizados métodos quantitativos e qualitativos para avaliar a eficácia do programa de exercícios.</w:t>
      </w:r>
      <w:r>
        <w:rPr/>
        <w:t xml:space="preserve"> </w:t>
      </w:r>
      <w:r>
        <w:rPr>
          <w:color w:themeColor="text1" w:val="000000"/>
        </w:rPr>
        <w:t>Este estudo clínico será paralelo e pareado e contará com dois grupos:</w:t>
      </w:r>
    </w:p>
    <w:p>
      <w:pPr>
        <w:pStyle w:val="Normal"/>
        <w:ind w:left="720"/>
        <w:rPr/>
      </w:pPr>
      <w:r>
        <w:rPr>
          <w:color w:themeColor="text1" w:val="000000"/>
        </w:rPr>
        <w:t xml:space="preserve">• </w:t>
      </w:r>
      <w:r>
        <w:rPr>
          <w:color w:themeColor="text1" w:val="000000"/>
        </w:rPr>
        <w:t xml:space="preserve">Grupo 1 (controle): </w:t>
      </w:r>
      <w:r>
        <w:rPr/>
        <w:t>não receberá nenhuma intervenção durante a coleta de dados</w:t>
      </w:r>
    </w:p>
    <w:p>
      <w:pPr>
        <w:pStyle w:val="Normal"/>
        <w:ind w:left="720"/>
        <w:rPr/>
      </w:pPr>
      <w:r>
        <w:rPr>
          <w:color w:themeColor="text1" w:val="000000"/>
        </w:rPr>
        <w:t xml:space="preserve">• </w:t>
      </w:r>
      <w:r>
        <w:rPr>
          <w:color w:themeColor="text1" w:val="000000"/>
        </w:rPr>
        <w:t>Grupo 2 (teste): intervenção com exercícios para a cervical</w:t>
      </w:r>
    </w:p>
    <w:p>
      <w:pPr>
        <w:pStyle w:val="Normal"/>
        <w:rPr/>
      </w:pPr>
      <w:r>
        <w:rPr/>
      </w:r>
    </w:p>
    <w:p>
      <w:pPr>
        <w:pStyle w:val="Normal"/>
        <w:ind w:firstLine="720"/>
        <w:rPr>
          <w:color w:val="000000"/>
        </w:rPr>
      </w:pPr>
      <w:r>
        <w:rPr>
          <w:color w:themeColor="text1" w:val="000000"/>
        </w:rPr>
        <w:t>3.3 ASPECTOS ÉTICOS</w:t>
      </w:r>
    </w:p>
    <w:p>
      <w:pPr>
        <w:pStyle w:val="Normal"/>
        <w:rPr>
          <w:color w:val="000000"/>
        </w:rPr>
      </w:pPr>
      <w:r>
        <w:rPr>
          <w:color w:themeColor="text1" w:val="000000"/>
        </w:rPr>
      </w:r>
    </w:p>
    <w:p>
      <w:pPr>
        <w:pStyle w:val="Normal"/>
        <w:rPr>
          <w:color w:val="000000"/>
        </w:rPr>
      </w:pPr>
      <w:r>
        <w:rPr>
          <w:color w:themeColor="text1" w:val="000000"/>
        </w:rPr>
        <w:t xml:space="preserve">     </w:t>
      </w:r>
      <w:r>
        <w:rPr>
          <w:color w:themeColor="text1" w:val="000000"/>
        </w:rPr>
        <w:t>O projeto será submetido ao Comitê de Ética em Pesquisa com Seres Humanos da FOB/USP. O projeto será apresentado aos participantes convidados e ocorrerá uma conscientização a respeito dos procedimentos que serão realizados (seus riscos e benefícios) e da utilização dos dados para a pesquisa vigente. Dessa maneira, todos os sujeitos serão convidados a ler e assinar, após todas suas dúvidas sanadas, o Termo de Consentimento Livre e Esclarecido (TCLE), garantindo o sigilo dos dados dos voluntários.</w:t>
      </w:r>
    </w:p>
    <w:p>
      <w:pPr>
        <w:pStyle w:val="Normal"/>
        <w:rPr/>
      </w:pPr>
      <w:r>
        <w:rPr/>
      </w:r>
    </w:p>
    <w:p>
      <w:pPr>
        <w:pStyle w:val="Normal"/>
        <w:ind w:firstLine="720"/>
        <w:rPr/>
      </w:pPr>
      <w:r>
        <w:rPr/>
        <w:t>3.4 LOCAL DE COLETA E RECRUTAMENTO</w:t>
      </w:r>
    </w:p>
    <w:p>
      <w:pPr>
        <w:pStyle w:val="Normal"/>
        <w:rPr/>
      </w:pPr>
      <w:r>
        <w:rPr/>
      </w:r>
    </w:p>
    <w:p>
      <w:pPr>
        <w:pStyle w:val="Normal"/>
        <w:rPr/>
      </w:pPr>
      <w:r>
        <w:rPr/>
        <w:t xml:space="preserve">      </w:t>
      </w:r>
      <w:r>
        <w:rPr/>
        <w:t>O estudo será realizado na clínica de Fonoaudiologia da Faculdade de Odontologia de Bauru e na clínica particular Centro Auditivo Ouvir. Para recrutamento será realizado um levantamento de prontuários de pacientes com queixa de zumbido, de ambas as clínicas.</w:t>
      </w:r>
    </w:p>
    <w:p>
      <w:pPr>
        <w:pStyle w:val="Normal"/>
        <w:rPr/>
      </w:pPr>
      <w:r>
        <w:rPr/>
      </w:r>
    </w:p>
    <w:p>
      <w:pPr>
        <w:pStyle w:val="Normal"/>
        <w:ind w:firstLine="720"/>
        <w:rPr/>
      </w:pPr>
      <w:r>
        <w:rPr/>
        <w:t>3.5 CARACTERIZAÇÃO DA AMOSTRA</w:t>
      </w:r>
    </w:p>
    <w:p>
      <w:pPr>
        <w:pStyle w:val="Normal"/>
        <w:rPr/>
      </w:pPr>
      <w:r>
        <w:rPr/>
      </w:r>
    </w:p>
    <w:p>
      <w:pPr>
        <w:pStyle w:val="Normal"/>
        <w:rPr/>
      </w:pPr>
      <w:r>
        <w:rPr/>
        <w:t xml:space="preserve">        </w:t>
      </w:r>
      <w:r>
        <w:rPr>
          <w:highlight w:val="white"/>
        </w:rPr>
        <w:t>Participarão da pesquisa indivíduos com idade entre 30 e 60 anos com ou sem perda auditiva</w:t>
      </w:r>
      <w:r>
        <w:rPr/>
        <w:t xml:space="preserve"> </w:t>
      </w:r>
      <w:r>
        <w:rPr>
          <w:highlight w:val="white"/>
        </w:rPr>
        <w:t xml:space="preserve">bilateral ou unilateral de grau leve que apresentem </w:t>
      </w:r>
      <w:r>
        <w:rPr/>
        <w:t>critérios diagnósticos da árvore da decisão para zumbido somatossensorial (</w:t>
      </w:r>
      <w:r>
        <w:rPr>
          <w:color w:themeColor="text1" w:val="000000"/>
        </w:rPr>
        <w:t>Michiels et al., 2022).</w:t>
      </w:r>
    </w:p>
    <w:p>
      <w:pPr>
        <w:pStyle w:val="Normal"/>
        <w:rPr/>
      </w:pPr>
      <w:r>
        <w:rPr/>
      </w:r>
    </w:p>
    <w:p>
      <w:pPr>
        <w:pStyle w:val="Normal"/>
        <w:ind w:firstLine="283"/>
        <w:rPr/>
      </w:pPr>
      <w:r>
        <w:rPr/>
        <w:t>3.6 CRITÉRIOS DE INCLUSÃO E EXCLUSÃO</w:t>
      </w:r>
    </w:p>
    <w:p>
      <w:pPr>
        <w:pStyle w:val="Normal"/>
        <w:rPr>
          <w:u w:val="single"/>
        </w:rPr>
      </w:pPr>
      <w:r>
        <w:rPr>
          <w:u w:val="single"/>
        </w:rPr>
      </w:r>
    </w:p>
    <w:p>
      <w:pPr>
        <w:pStyle w:val="Normal"/>
        <w:ind w:left="283"/>
        <w:rPr>
          <w:u w:val="single"/>
        </w:rPr>
      </w:pPr>
      <w:r>
        <w:rPr>
          <w:u w:val="single"/>
        </w:rPr>
        <w:t>3.6.1 Critérios de Inclusão</w:t>
      </w:r>
    </w:p>
    <w:p>
      <w:pPr>
        <w:pStyle w:val="Normal"/>
        <w:numPr>
          <w:ilvl w:val="0"/>
          <w:numId w:val="2"/>
        </w:numPr>
        <w:rPr/>
      </w:pPr>
      <w:r>
        <w:rPr/>
        <w:t>Idade entre 30 e 60 anos</w:t>
      </w:r>
    </w:p>
    <w:p>
      <w:pPr>
        <w:pStyle w:val="Normal"/>
        <w:numPr>
          <w:ilvl w:val="0"/>
          <w:numId w:val="2"/>
        </w:numPr>
        <w:rPr/>
      </w:pPr>
      <w:r>
        <w:rPr/>
        <w:t>Dores miofasciais na região da cervical (Pergunta 1)</w:t>
      </w:r>
    </w:p>
    <w:p>
      <w:pPr>
        <w:pStyle w:val="Normal"/>
        <w:numPr>
          <w:ilvl w:val="0"/>
          <w:numId w:val="2"/>
        </w:numPr>
        <w:rPr/>
      </w:pPr>
      <w:r>
        <w:rPr/>
        <w:t>Apresentar diagnóstico de zumbido somatossensorial segundo critérios diagnósticos da árvore da decisão (Michiels et al., 2022).</w:t>
      </w:r>
    </w:p>
    <w:p>
      <w:pPr>
        <w:pStyle w:val="Normal"/>
        <w:ind w:firstLine="720"/>
        <w:rPr/>
      </w:pPr>
      <w:r>
        <w:rPr/>
        <w:t>Participará da pesquisa o paciente que responder ‘sim, todos os dias’, ‘sim, na maioria dos dias’ ou ‘sim, alguns dias’ na seguinte pergunta ​​” Nas últimas 4 semanas, se o seu zumbido piorou, a sua dor no pescoço (cervical), dor de cabeça ou dor na mandíbula piorou também? (Pergunta 2).</w:t>
      </w:r>
    </w:p>
    <w:p>
      <w:pPr>
        <w:pStyle w:val="Normal"/>
        <w:ind w:firstLine="720"/>
        <w:rPr/>
      </w:pPr>
      <w:r>
        <w:rPr/>
        <w:t>Segundo este estudo, o critério mais importante para o diagnóstico é: ‘O zumbido e a dor na cervical/mandíbula aumentam e diminuem simultaneamente’ (Pergunta 2).  Caso este critério esteja claramente presente, pelo menos em ‘alguns dias’, poderá ser considerado com 84% de certeza de que o paciente tem uma forte influência somática no seu zumbido.</w:t>
      </w:r>
    </w:p>
    <w:p>
      <w:pPr>
        <w:pStyle w:val="Normal"/>
        <w:ind w:firstLine="720"/>
        <w:rPr/>
      </w:pPr>
      <w:r>
        <w:rPr/>
        <w:t>O diagnóstico fica ainda mais forte se o paciente apresentar “aumento da tensão muscular nos músculos suboccipitais” na ‘maioria dos dias’ (90% de certeza), respondendo a pergunta “Você notou, nas últimas 4 semanas, que os músculos do pescoço (na parte de trás do pescoço, logo abaixo do crânio) sente tenso ou dolorido?" (Pergunta 3).</w:t>
      </w:r>
    </w:p>
    <w:p>
      <w:pPr>
        <w:pStyle w:val="Normal"/>
        <w:ind w:firstLine="720"/>
        <w:rPr/>
      </w:pPr>
      <w:r>
        <w:rPr/>
        <w:t>Caso o “aumento e diminuição simultâneos do zumbido e da dor na cervical/mandíbula” (Pergunta 2) seja menos claro, os critérios “Tensão nos músculos suboccipitais” (Pergunta 3) e “Modulação somática” (Pergunta 4) serão utilizados para confirmar ou descartar o diagnóstico de zumbido somatossensorial. Se o paciente responder 'Não tenho certeza’ para a pergunta 2, somente será incluído na pesquisa se responder 'na maioria dos dias’ ou 'todos os dias’ para a pergunta 3 e apresentar modulação somática (Pergunta 4).</w:t>
      </w:r>
    </w:p>
    <w:p>
      <w:pPr>
        <w:pStyle w:val="Normal"/>
        <w:ind w:firstLine="720"/>
        <w:rPr/>
      </w:pPr>
      <w:r>
        <w:rPr/>
        <w:t>Além disso, questionar a presença de ‘Bruxismo’ (Pergunta 5) é importante caso não haja tensão nos músculos suboccipitais, mas o paciente ainda indica um claro “aumento/diminuição simultâneo do zumbido e dor na cervical/mandíbula” (Pergunta 2) em ‘alguns dias’.</w:t>
      </w:r>
    </w:p>
    <w:p>
      <w:pPr>
        <w:pStyle w:val="Normal"/>
        <w:ind w:firstLine="720"/>
        <w:rPr/>
      </w:pPr>
      <w:r>
        <w:rPr/>
      </w:r>
    </w:p>
    <w:p>
      <w:pPr>
        <w:pStyle w:val="Normal"/>
        <w:ind w:firstLine="720"/>
        <w:rPr/>
      </w:pPr>
      <w:r>
        <w:rPr/>
        <w:t>Pergunta 1: Você possui queixa de dor/tensão na região do pescoço (cervical)?</w:t>
      </w:r>
    </w:p>
    <w:p>
      <w:pPr>
        <w:pStyle w:val="Normal"/>
        <w:rPr/>
      </w:pPr>
      <w:r>
        <w:rPr/>
        <w:t>A- Sim, todos os dias</w:t>
      </w:r>
    </w:p>
    <w:p>
      <w:pPr>
        <w:pStyle w:val="Normal"/>
        <w:rPr/>
      </w:pPr>
      <w:r>
        <w:rPr/>
        <w:t>B- Sim, na maioria dos dias</w:t>
      </w:r>
    </w:p>
    <w:p>
      <w:pPr>
        <w:pStyle w:val="Normal"/>
        <w:rPr/>
      </w:pPr>
      <w:r>
        <w:rPr/>
        <w:t>C- Sim, alguns dias</w:t>
      </w:r>
    </w:p>
    <w:p>
      <w:pPr>
        <w:pStyle w:val="Normal"/>
        <w:rPr/>
      </w:pPr>
      <w:r>
        <w:rPr/>
        <w:t>D- Nunca nas últimas 4 semanas</w:t>
      </w:r>
    </w:p>
    <w:p>
      <w:pPr>
        <w:pStyle w:val="Normal"/>
        <w:rPr/>
      </w:pPr>
      <w:r>
        <w:rPr/>
      </w:r>
    </w:p>
    <w:p>
      <w:pPr>
        <w:pStyle w:val="Normal"/>
        <w:rPr/>
      </w:pPr>
      <w:r>
        <w:rPr/>
        <w:t>Pergunta 2: Nas últimas 4 semanas, se o seu zumbido piorou, a sua dor no pescoço (cervical), dor de cabeça ou dor na mandíbula piorou também?</w:t>
      </w:r>
    </w:p>
    <w:p>
      <w:pPr>
        <w:pStyle w:val="Normal"/>
        <w:rPr/>
      </w:pPr>
      <w:r>
        <w:rPr/>
        <w:t>A- Sim, todos os dias</w:t>
      </w:r>
    </w:p>
    <w:p>
      <w:pPr>
        <w:pStyle w:val="Normal"/>
        <w:rPr/>
      </w:pPr>
      <w:r>
        <w:rPr/>
        <w:t>B- Sim, na maioria dos dias</w:t>
      </w:r>
    </w:p>
    <w:p>
      <w:pPr>
        <w:pStyle w:val="Normal"/>
        <w:rPr/>
      </w:pPr>
      <w:r>
        <w:rPr/>
        <w:t>C- Sim, alguns dias</w:t>
      </w:r>
    </w:p>
    <w:p>
      <w:pPr>
        <w:pStyle w:val="Normal"/>
        <w:rPr/>
      </w:pPr>
      <w:r>
        <w:rPr/>
        <w:t>D- Nunca nas últimas 4 semanas</w:t>
      </w:r>
    </w:p>
    <w:p>
      <w:pPr>
        <w:pStyle w:val="Normal"/>
        <w:rPr>
          <w:sz w:val="42"/>
          <w:szCs w:val="42"/>
          <w:shd w:fill="F8F9FA" w:val="clear"/>
        </w:rPr>
      </w:pPr>
      <w:r>
        <w:rPr/>
        <w:t>E- Não tenho certeza</w:t>
      </w:r>
    </w:p>
    <w:p>
      <w:pPr>
        <w:pStyle w:val="Normal"/>
        <w:rPr/>
      </w:pPr>
      <w:r>
        <w:rPr/>
      </w:r>
    </w:p>
    <w:p>
      <w:pPr>
        <w:pStyle w:val="Normal"/>
        <w:rPr/>
      </w:pPr>
      <w:r>
        <w:rPr/>
        <w:t>Pergunta 3: “Você notou se, nas últimas 4 semanas, que os músculos do pescoço (na parte de trás do pescoço, logo abaixo do crânio) sente tenso ou dolorido?</w:t>
      </w:r>
    </w:p>
    <w:p>
      <w:pPr>
        <w:pStyle w:val="Normal"/>
        <w:rPr/>
      </w:pPr>
      <w:r>
        <w:rPr/>
        <w:t>A- Sim, todos os dias</w:t>
      </w:r>
    </w:p>
    <w:p>
      <w:pPr>
        <w:pStyle w:val="Normal"/>
        <w:rPr/>
      </w:pPr>
      <w:r>
        <w:rPr/>
        <w:t>B- Sim, na maioria dos dias</w:t>
      </w:r>
    </w:p>
    <w:p>
      <w:pPr>
        <w:pStyle w:val="Normal"/>
        <w:rPr/>
      </w:pPr>
      <w:r>
        <w:rPr/>
        <w:t>C- Sim, alguns dias</w:t>
      </w:r>
    </w:p>
    <w:p>
      <w:pPr>
        <w:pStyle w:val="Normal"/>
        <w:rPr/>
      </w:pPr>
      <w:r>
        <w:rPr/>
        <w:t>D- Nunca nas últimas 4 semanas</w:t>
      </w:r>
    </w:p>
    <w:p>
      <w:pPr>
        <w:pStyle w:val="Normal"/>
        <w:rPr/>
      </w:pPr>
      <w:r>
        <w:rPr/>
        <w:t>E- Não tenho certeza</w:t>
      </w:r>
    </w:p>
    <w:p>
      <w:pPr>
        <w:pStyle w:val="Normal"/>
        <w:rPr/>
      </w:pPr>
      <w:r>
        <w:rPr/>
      </w:r>
    </w:p>
    <w:p>
      <w:pPr>
        <w:pStyle w:val="Normal"/>
        <w:rPr/>
      </w:pPr>
      <w:r>
        <w:rPr/>
        <w:t>Pergunta 4: Você sente alguma alteração no seu zumbido durante os movimentos a seguir? Você pode selecionar múltiplas opções</w:t>
      </w:r>
    </w:p>
    <w:p>
      <w:pPr>
        <w:pStyle w:val="Normal"/>
        <w:rPr/>
      </w:pPr>
      <w:r>
        <w:rPr/>
        <w:t>A- Mover a cabeça ou o pescoço, por ex. olhando para cima ou para baixo ou virando a cabeça ao máximo</w:t>
      </w:r>
    </w:p>
    <w:p>
      <w:pPr>
        <w:pStyle w:val="Normal"/>
        <w:rPr/>
      </w:pPr>
      <w:r>
        <w:rPr/>
        <w:t>B- Movendo sua mandíbula, por ex. abrindo bem a boca ou movendo a mandíbula para o lado</w:t>
      </w:r>
    </w:p>
    <w:p>
      <w:pPr>
        <w:pStyle w:val="Normal"/>
        <w:rPr/>
      </w:pPr>
      <w:r>
        <w:rPr/>
        <w:t>C- Movendo os olhos, por ex. olhando para cima sem mover a cabeça</w:t>
      </w:r>
    </w:p>
    <w:p>
      <w:pPr>
        <w:pStyle w:val="Normal"/>
        <w:rPr/>
      </w:pPr>
      <w:r>
        <w:rPr/>
        <w:t>D- Cerrar os dentes</w:t>
      </w:r>
    </w:p>
    <w:p>
      <w:pPr>
        <w:pStyle w:val="Normal"/>
        <w:rPr/>
      </w:pPr>
      <w:r>
        <w:rPr/>
        <w:t>E- Pressionar certas áreas da cabeça, pescoço ou rosto</w:t>
      </w:r>
    </w:p>
    <w:p>
      <w:pPr>
        <w:pStyle w:val="Normal"/>
        <w:rPr/>
      </w:pPr>
      <w:r>
        <w:rPr/>
        <w:t>F- Não, não consigo modular meu zumbido</w:t>
      </w:r>
    </w:p>
    <w:p>
      <w:pPr>
        <w:pStyle w:val="Normal"/>
        <w:rPr/>
      </w:pPr>
      <w:r>
        <w:rPr/>
        <w:t>G- Outro (especifique)</w:t>
      </w:r>
    </w:p>
    <w:p>
      <w:pPr>
        <w:pStyle w:val="Normal"/>
        <w:rPr/>
      </w:pPr>
      <w:r>
        <w:rPr/>
      </w:r>
    </w:p>
    <w:p>
      <w:pPr>
        <w:pStyle w:val="Normal"/>
        <w:rPr/>
      </w:pPr>
      <w:r>
        <w:rPr/>
        <w:t>Pergunta 5: Você, nas últimas 4 semanas, notou que tem tendência a cerrar (apertar) ou ranger os dentes?</w:t>
      </w:r>
    </w:p>
    <w:p>
      <w:pPr>
        <w:pStyle w:val="Normal"/>
        <w:rPr/>
      </w:pPr>
      <w:r>
        <w:rPr/>
        <w:t>A- Sim, todos os dias</w:t>
      </w:r>
    </w:p>
    <w:p>
      <w:pPr>
        <w:pStyle w:val="Normal"/>
        <w:rPr/>
      </w:pPr>
      <w:r>
        <w:rPr/>
        <w:t>B- Sim, na maioria dos dias</w:t>
      </w:r>
    </w:p>
    <w:p>
      <w:pPr>
        <w:pStyle w:val="Normal"/>
        <w:rPr/>
      </w:pPr>
      <w:r>
        <w:rPr/>
        <w:t>C- Sim, alguns dias</w:t>
      </w:r>
    </w:p>
    <w:p>
      <w:pPr>
        <w:pStyle w:val="Normal"/>
        <w:rPr/>
      </w:pPr>
      <w:r>
        <w:rPr/>
        <w:t>D- Nunca nas últimas 4 semanas</w:t>
      </w:r>
    </w:p>
    <w:p>
      <w:pPr>
        <w:pStyle w:val="Normal"/>
        <w:rPr>
          <w:sz w:val="42"/>
          <w:szCs w:val="42"/>
          <w:shd w:fill="F8F9FA" w:val="clear"/>
        </w:rPr>
      </w:pPr>
      <w:r>
        <w:rPr/>
        <w:t>E- Não tenho certeza</w:t>
      </w:r>
    </w:p>
    <w:p>
      <w:pPr>
        <w:pStyle w:val="Normal"/>
        <w:rPr/>
      </w:pPr>
      <w:r>
        <w:rPr/>
      </w:r>
    </w:p>
    <w:p>
      <w:pPr>
        <w:pStyle w:val="Normal"/>
        <w:rPr>
          <w:u w:val="single"/>
        </w:rPr>
      </w:pPr>
      <w:r>
        <w:rPr/>
        <w:t xml:space="preserve">    </w:t>
      </w:r>
      <w:r>
        <w:rPr>
          <w:u w:val="single"/>
        </w:rPr>
        <w:t>3.6.2 Critérios de Exclusão</w:t>
      </w:r>
    </w:p>
    <w:p>
      <w:pPr>
        <w:pStyle w:val="Normal"/>
        <w:numPr>
          <w:ilvl w:val="0"/>
          <w:numId w:val="1"/>
        </w:numPr>
        <w:rPr/>
      </w:pPr>
      <w:r>
        <w:rPr/>
        <w:t>Doença de Meniere</w:t>
      </w:r>
    </w:p>
    <w:p>
      <w:pPr>
        <w:pStyle w:val="Normal"/>
        <w:numPr>
          <w:ilvl w:val="0"/>
          <w:numId w:val="1"/>
        </w:numPr>
        <w:rPr>
          <w:color w:val="000000"/>
        </w:rPr>
      </w:pPr>
      <w:r>
        <w:rPr>
          <w:color w:themeColor="text1" w:val="000000"/>
        </w:rPr>
        <w:t>Distúrbios psiquiátricos importantes (exemplo: depressão severa)</w:t>
      </w:r>
    </w:p>
    <w:p>
      <w:pPr>
        <w:pStyle w:val="Normal"/>
        <w:numPr>
          <w:ilvl w:val="0"/>
          <w:numId w:val="1"/>
        </w:numPr>
        <w:rPr>
          <w:color w:val="000000"/>
        </w:rPr>
      </w:pPr>
      <w:r>
        <w:rPr>
          <w:color w:themeColor="text1" w:val="000000"/>
        </w:rPr>
        <w:t xml:space="preserve">Distúrbios metabólicos descompensados (exemplos: diabetes, colesterol) </w:t>
      </w:r>
    </w:p>
    <w:p>
      <w:pPr>
        <w:pStyle w:val="Normal"/>
        <w:numPr>
          <w:ilvl w:val="0"/>
          <w:numId w:val="1"/>
        </w:numPr>
        <w:rPr>
          <w:color w:val="000000"/>
        </w:rPr>
      </w:pPr>
      <w:r>
        <w:rPr>
          <w:color w:themeColor="text1" w:val="000000"/>
        </w:rPr>
        <w:t>Patologia progressiva da orelha interna</w:t>
      </w:r>
    </w:p>
    <w:p>
      <w:pPr>
        <w:pStyle w:val="Normal"/>
        <w:numPr>
          <w:ilvl w:val="0"/>
          <w:numId w:val="1"/>
        </w:numPr>
        <w:rPr>
          <w:color w:val="000000"/>
        </w:rPr>
      </w:pPr>
      <w:r>
        <w:rPr>
          <w:color w:themeColor="text1" w:val="000000"/>
        </w:rPr>
        <w:t>Patologia intracraniana</w:t>
      </w:r>
    </w:p>
    <w:p>
      <w:pPr>
        <w:pStyle w:val="Normal"/>
        <w:numPr>
          <w:ilvl w:val="0"/>
          <w:numId w:val="1"/>
        </w:numPr>
        <w:rPr>
          <w:color w:val="000000"/>
        </w:rPr>
      </w:pPr>
      <w:r>
        <w:rPr>
          <w:color w:themeColor="text1" w:val="000000"/>
        </w:rPr>
        <w:t>Lesão traumática da coluna cervical</w:t>
      </w:r>
    </w:p>
    <w:p>
      <w:pPr>
        <w:pStyle w:val="Normal"/>
        <w:numPr>
          <w:ilvl w:val="0"/>
          <w:numId w:val="1"/>
        </w:numPr>
        <w:rPr>
          <w:color w:val="000000"/>
        </w:rPr>
      </w:pPr>
      <w:r>
        <w:rPr>
          <w:color w:themeColor="text1" w:val="000000"/>
        </w:rPr>
        <w:t xml:space="preserve">Cirurgia da coluna cervical </w:t>
      </w:r>
    </w:p>
    <w:p>
      <w:pPr>
        <w:pStyle w:val="Normal"/>
        <w:numPr>
          <w:ilvl w:val="0"/>
          <w:numId w:val="1"/>
        </w:numPr>
        <w:rPr/>
      </w:pPr>
      <w:r>
        <w:rPr/>
        <w:t>Qualquer condição da coluna cervical na qual o tratamento fisioterapêutico seja contraindicado (mielopatia cervical, instabilidade ligamentar cervical, fratura, neoplasia, insuficiência vascular, disfunção inexplicável dos nervos cranianos e doença sistêmica).</w:t>
      </w:r>
    </w:p>
    <w:p>
      <w:pPr>
        <w:pStyle w:val="Normal"/>
        <w:numPr>
          <w:ilvl w:val="0"/>
          <w:numId w:val="1"/>
        </w:numPr>
        <w:rPr/>
      </w:pPr>
      <w:r>
        <w:rPr/>
        <w:t>Lesão articular (hérnias discais e lesões apofisárias na região cervical)</w:t>
      </w:r>
    </w:p>
    <w:p>
      <w:pPr>
        <w:pStyle w:val="Normal"/>
        <w:numPr>
          <w:ilvl w:val="0"/>
          <w:numId w:val="1"/>
        </w:numPr>
        <w:rPr/>
      </w:pPr>
      <w:r>
        <w:rPr/>
        <w:t>Doenças reumáticas (exemplos: Fibromialgia, lupus eritematoso sistêmico, espondiloartropatias, gota, osteoporose)</w:t>
      </w:r>
    </w:p>
    <w:p>
      <w:pPr>
        <w:pStyle w:val="Normal"/>
        <w:numPr>
          <w:ilvl w:val="0"/>
          <w:numId w:val="1"/>
        </w:numPr>
        <w:rPr/>
      </w:pPr>
      <w:r>
        <w:rPr/>
        <w:t>Estar realizando ou ter realizado tratamento fisioterapêutico para a cervical ou algum tratamento específico para o zumbido nos últimos dois meses</w:t>
      </w:r>
    </w:p>
    <w:p>
      <w:pPr>
        <w:pStyle w:val="Normal"/>
        <w:ind w:left="1440"/>
        <w:rPr/>
      </w:pPr>
      <w:r>
        <w:rPr/>
      </w:r>
    </w:p>
    <w:p>
      <w:pPr>
        <w:pStyle w:val="Normal"/>
        <w:rPr>
          <w:color w:val="000000"/>
        </w:rPr>
      </w:pPr>
      <w:r>
        <w:rPr>
          <w:color w:themeColor="text1" w:val="000000"/>
        </w:rPr>
        <w:t>3.7 VARIÁVEIS DE DESFECHO</w:t>
      </w:r>
    </w:p>
    <w:p>
      <w:pPr>
        <w:pStyle w:val="Normal"/>
        <w:rPr>
          <w:color w:val="000000"/>
        </w:rPr>
      </w:pPr>
      <w:r>
        <w:rPr>
          <w:color w:themeColor="text1" w:val="000000"/>
        </w:rPr>
      </w:r>
    </w:p>
    <w:p>
      <w:pPr>
        <w:pStyle w:val="Normal"/>
        <w:rPr>
          <w:color w:val="000000"/>
        </w:rPr>
      </w:pPr>
      <w:r>
        <w:rPr>
          <w:color w:themeColor="text1" w:val="000000"/>
        </w:rPr>
        <w:t xml:space="preserve">   </w:t>
      </w:r>
      <w:r>
        <w:rPr>
          <w:color w:themeColor="text1" w:val="000000"/>
        </w:rPr>
        <w:t>O desfecho principal é a pontuação total do Tinnitus Handicap Inventory (THI) após a intervenção.</w:t>
      </w:r>
    </w:p>
    <w:p>
      <w:pPr>
        <w:pStyle w:val="Normal"/>
        <w:rPr/>
      </w:pPr>
      <w:r>
        <w:rPr/>
      </w:r>
    </w:p>
    <w:p>
      <w:pPr>
        <w:pStyle w:val="Normal"/>
        <w:rPr/>
      </w:pPr>
      <w:r>
        <w:rPr/>
        <w:t xml:space="preserve">3.8 CÁLCULO AMOSTRAL </w:t>
      </w:r>
    </w:p>
    <w:p>
      <w:pPr>
        <w:pStyle w:val="Normal"/>
        <w:rPr/>
      </w:pPr>
      <w:r>
        <w:rPr/>
      </w:r>
    </w:p>
    <w:p>
      <w:pPr>
        <w:pStyle w:val="Normal"/>
        <w:ind w:firstLine="720"/>
        <w:rPr/>
      </w:pPr>
      <w:r>
        <w:rPr/>
        <w:t>O cálculo amostral para este estudo foi realizado com base em aspectos importantes que envolvem o desfecho primário, a variabilidade dos dados e a definição de erros e níveis de significância. O desfecho primário escolhido foi o resultado do Tinnitus Handicap Inventory (THI), que mede grau de incomodo com o zumbido. O THI foi considerado apropriado porque pode indicar se houve melhora ou não do zumbido após a intervenção com os exercícios cervicais. A variável em questão é qualitativa ordinal, uma vez que o THI classifica o grau de incômodo com base em categorias.</w:t>
      </w:r>
    </w:p>
    <w:p>
      <w:pPr>
        <w:pStyle w:val="Normal"/>
        <w:ind w:firstLine="720"/>
        <w:rPr/>
      </w:pPr>
      <w:r>
        <w:rPr/>
        <w:t>A estimativa de variabilidade dos dados foi baseada no artigo de Figueiredo RR, Azevedo AA e Oliveira P de M. (2009), intitulado "Análise da correlação entre a escala visual-analógica e o Tinnitus Handicap Inventory na avaliação de pacientes com zumbido". Este estudo forneceu o desvio-padrão de 24,5 como variabilidade dos resultados do THI, que foi usado para calcular o tamanho da amostra necessário para obter uma análise robusta.</w:t>
      </w:r>
    </w:p>
    <w:p>
      <w:pPr>
        <w:pStyle w:val="Normal"/>
        <w:ind w:firstLine="720"/>
        <w:rPr/>
      </w:pPr>
      <w:r>
        <w:rPr/>
        <w:t>A menor diferença detectável foi estabelecida em 19 pontos no THI, o que significa que uma diferença de 19 pontos seria suficiente para promover uma mudança significativa no grau de incômodo do zumbido ou até mesmo para provocar uma mudança de categoria no THI (por exemplo, de moderado para leve ou de grave para moderado). Essa diferença foi considerada clinicamente relevante, pois poderia indicar uma melhora perceptível no estado do paciente.</w:t>
      </w:r>
    </w:p>
    <w:p>
      <w:pPr>
        <w:pStyle w:val="Normal"/>
        <w:ind w:firstLine="720"/>
        <w:rPr/>
      </w:pPr>
      <w:r>
        <w:rPr/>
        <w:t>Quanto aos erros, foram adotados 5% para o erro alfa (α = 0,05) e 20% para o erro beta (β = 0,20). O erro alfa representa o risco de rejeitar uma hipótese nula verdadeira, ou seja, a chance de concluir que houve um efeito significativo</w:t>
      </w:r>
    </w:p>
    <w:p>
      <w:pPr>
        <w:pStyle w:val="Normal"/>
        <w:rPr/>
      </w:pPr>
      <w:r>
        <w:rPr/>
        <w:t>quando, na realidade, não houve (falso positivo). Com um erro alfa de 5%, isso significa que temos 5% de chance de cometer esse erro. O erro beta está relacionado ao risco de não rejeitar uma hipótese nula falsa, ou seja, não detectar um efeito verdadeiro quando ele realmente existe (falso negativo). Com esse erro beta, a probabilidade de cometer esse erro é de 20%.</w:t>
      </w:r>
    </w:p>
    <w:p>
      <w:pPr>
        <w:pStyle w:val="Normal"/>
        <w:ind w:firstLine="720"/>
        <w:rPr/>
      </w:pPr>
      <w:r>
        <w:rPr/>
        <w:t>O estudo será realizado com dois grupos pareados, o que significa que cada paciente no grupo teste serão comparados após a realização dos exercícios cervicais, com base em características similares, permitindo uma análise mais precisa das diferenças entre os pacientes após a intervenção.</w:t>
      </w:r>
    </w:p>
    <w:p>
      <w:pPr>
        <w:pStyle w:val="Normal"/>
        <w:ind w:firstLine="720"/>
        <w:rPr/>
      </w:pPr>
      <w:r>
        <w:rPr/>
        <w:t>A análise será bicaudal, o que significa que será testada tanto a possibilidade de uma melhora quanto de uma piora no grau de incômodo do zumbido. O nível de significância de 5% (α = 0,05) foi escolhido para o teste estatístico, indicando que há 5% de chance de rejeitar a hipótese nula quando ela é verdadeira. Esse nível de significância é considerado adequado para equilibrar a chance de cometer erros tipo I e tipo II, garantindo a confiabilidade dos resultados do estudo.</w:t>
      </w:r>
    </w:p>
    <w:p>
      <w:pPr>
        <w:pStyle w:val="Normal"/>
        <w:ind w:firstLine="720"/>
        <w:rPr/>
      </w:pPr>
      <w:r>
        <w:rPr/>
        <w:t>Com base nas justificativas fornecidas, o cálculo amostral indica que a amostra ideal para este estudo é de 28 indivíduos. A escolha do desfecho primário, o Tinnitus Handicap Inventory (THI), como medida do impacto do zumbido, e a definição de uma menor diferença detectável de 19 pontos são fatores cruciais para determinar a amostra necessária. A estimativa de variabilidade, obtida a partir da literatura, contribuiu para o cálculo preciso do tamanho amostral, considerando um erro alfa de 5% (riscos de falso positivo) e erro beta de 20% (riscos de falso negativo), equilibrando a chance de cometer erros e garantindo a robustez dos resultados. Além disso, com a estrutura de dois grupos pareados e análise bicaudal, a amostra de 28 indivíduos assegura que o estudo tenha poder estatístico adequado para detectar diferenças significativas entre os grupos, se presentes, e proporcionar conclusões confiáveis sobre o impacto da intervenção com os exercícios cervicais no incômodo do zumbido.</w:t>
      </w:r>
    </w:p>
    <w:p>
      <w:pPr>
        <w:pStyle w:val="Normal"/>
        <w:rPr/>
      </w:pPr>
      <w:r>
        <w:rPr/>
      </w:r>
    </w:p>
    <w:p>
      <w:pPr>
        <w:pStyle w:val="Normal"/>
        <w:rPr>
          <w:color w:val="000000"/>
        </w:rPr>
      </w:pPr>
      <w:r>
        <w:rPr>
          <w:color w:themeColor="text1" w:val="000000"/>
        </w:rPr>
        <w:t>3.9 ANÁLISE DE DADOS</w:t>
      </w:r>
    </w:p>
    <w:p>
      <w:pPr>
        <w:pStyle w:val="Normal"/>
        <w:rPr>
          <w:color w:val="000000"/>
        </w:rPr>
      </w:pPr>
      <w:r>
        <w:rPr>
          <w:color w:themeColor="text1" w:val="000000"/>
        </w:rPr>
      </w:r>
    </w:p>
    <w:p>
      <w:pPr>
        <w:pStyle w:val="Normal"/>
        <w:ind w:firstLine="360"/>
        <w:rPr>
          <w:color w:val="000000"/>
        </w:rPr>
      </w:pPr>
      <w:r>
        <w:rPr>
          <w:color w:themeColor="text1" w:val="000000"/>
        </w:rPr>
        <w:t xml:space="preserve">O raciocínio de escolha dos testes citados neste relatório segue a base teórica descrita de forma pormenorizada por Field (2017). </w:t>
      </w:r>
    </w:p>
    <w:p>
      <w:pPr>
        <w:pStyle w:val="Normal"/>
        <w:numPr>
          <w:ilvl w:val="0"/>
          <w:numId w:val="9"/>
        </w:numPr>
        <w:spacing w:before="280" w:after="0"/>
        <w:rPr>
          <w:color w:val="000000"/>
        </w:rPr>
      </w:pPr>
      <w:r>
        <w:rPr>
          <w:b/>
          <w:color w:themeColor="text1" w:val="000000"/>
        </w:rPr>
        <w:t>Quantitativa</w:t>
      </w:r>
      <w:r>
        <w:rPr>
          <w:color w:themeColor="text1" w:val="000000"/>
        </w:rPr>
        <w:t>: Análise estatística dos dados coletados dos questionários para verificar a eficácia do programa de exercícios. Comparação das médias dos escores THI, EVA e NBQ antes e depois da intervenção.</w:t>
      </w:r>
    </w:p>
    <w:p>
      <w:pPr>
        <w:pStyle w:val="ListParagraph"/>
        <w:spacing w:lineRule="auto" w:line="360" w:before="0" w:after="0"/>
        <w:contextualSpacing/>
        <w:jc w:val="both"/>
        <w:rPr>
          <w:rFonts w:ascii="Arial" w:hAnsi="Arial" w:cs="Arial"/>
          <w:b/>
          <w:bCs/>
          <w:color w:val="000000"/>
          <w:sz w:val="24"/>
          <w:szCs w:val="24"/>
        </w:rPr>
      </w:pPr>
      <w:r>
        <w:rPr>
          <w:rFonts w:cs="Arial" w:ascii="Arial" w:hAnsi="Arial"/>
          <w:b/>
          <w:bCs/>
          <w:color w:themeColor="text1" w:val="000000"/>
          <w:sz w:val="24"/>
          <w:szCs w:val="24"/>
        </w:rPr>
      </w:r>
    </w:p>
    <w:p>
      <w:pPr>
        <w:pStyle w:val="ListParagraph"/>
        <w:spacing w:lineRule="auto" w:line="360" w:before="0" w:after="0"/>
        <w:contextualSpacing/>
        <w:jc w:val="both"/>
        <w:rPr>
          <w:rFonts w:ascii="Arial" w:hAnsi="Arial" w:cs="Arial"/>
          <w:b/>
          <w:bCs/>
          <w:color w:val="000000"/>
          <w:sz w:val="24"/>
          <w:szCs w:val="24"/>
        </w:rPr>
      </w:pPr>
      <w:r>
        <w:rPr>
          <w:rFonts w:cs="Arial" w:ascii="Arial" w:hAnsi="Arial"/>
          <w:b/>
          <w:bCs/>
          <w:color w:themeColor="text1" w:val="000000"/>
          <w:sz w:val="24"/>
          <w:szCs w:val="24"/>
        </w:rPr>
        <w:t>Tinnitus Handicap Inventory (THI)</w:t>
      </w:r>
    </w:p>
    <w:p>
      <w:pPr>
        <w:pStyle w:val="Normal"/>
        <w:ind w:firstLine="709"/>
        <w:rPr>
          <w:b/>
          <w:bCs/>
          <w:color w:val="000000"/>
        </w:rPr>
      </w:pPr>
      <w:r>
        <w:rPr>
          <w:color w:themeColor="text1" w:val="000000"/>
        </w:rPr>
        <w:t>O THI é um índice desenvolvido para auxiliar na identificação de dificuldades em pacientes com zumbido. O paciente deve responder a 25 questões sobre como a experiência do zumbido afeta a vida dele.</w:t>
      </w:r>
    </w:p>
    <w:p>
      <w:pPr>
        <w:pStyle w:val="Normal"/>
        <w:ind w:firstLine="709"/>
        <w:rPr>
          <w:color w:val="000000"/>
        </w:rPr>
      </w:pPr>
      <w:r>
        <w:rPr>
          <w:color w:themeColor="text1" w:val="000000"/>
        </w:rPr>
        <w:t>As perguntas são divididas em funcional (F), emocional (E) ou catastrófico (C). As respostas possíveis são “sim”, “às vezes” ou “não”.</w:t>
      </w:r>
    </w:p>
    <w:p>
      <w:pPr>
        <w:pStyle w:val="Normal"/>
        <w:ind w:firstLine="709"/>
        <w:rPr>
          <w:color w:val="000000"/>
        </w:rPr>
      </w:pPr>
      <w:r>
        <w:rPr>
          <w:color w:themeColor="text1" w:val="000000"/>
        </w:rPr>
        <w:t>Cada resposta “sim” vale 4 pontos. Cada resposta “às vezes” vale 2 pontos. Cada resposta “não” vale 0 pontos. Assim, o resultado pode oscilar entre 0 e 100.</w:t>
      </w:r>
    </w:p>
    <w:p>
      <w:pPr>
        <w:pStyle w:val="Normal"/>
        <w:ind w:firstLine="709"/>
        <w:rPr>
          <w:color w:val="000000"/>
        </w:rPr>
      </w:pPr>
      <w:r>
        <w:rPr>
          <w:color w:themeColor="text1" w:val="000000"/>
        </w:rPr>
        <w:t>Após o cálculo, o paciente pode ser separado em 5 diferentes categorias:</w:t>
      </w:r>
    </w:p>
    <w:p>
      <w:pPr>
        <w:pStyle w:val="Normal"/>
        <w:ind w:firstLine="709"/>
        <w:rPr>
          <w:color w:val="000000"/>
        </w:rPr>
      </w:pPr>
      <w:r>
        <w:rPr>
          <w:b/>
          <w:bCs/>
          <w:color w:themeColor="text1" w:val="000000"/>
        </w:rPr>
        <w:t>Valores entre 0 e 16:</w:t>
      </w:r>
      <w:r>
        <w:rPr>
          <w:color w:themeColor="text1" w:val="000000"/>
        </w:rPr>
        <w:t> gravidade baixa. Zumbido perceptível apenas em ambientes sem ruídos. Não há perturbações evidentes.</w:t>
      </w:r>
    </w:p>
    <w:p>
      <w:pPr>
        <w:pStyle w:val="Normal"/>
        <w:ind w:firstLine="709"/>
        <w:rPr>
          <w:color w:val="000000"/>
        </w:rPr>
      </w:pPr>
      <w:r>
        <w:rPr>
          <w:b/>
          <w:bCs/>
          <w:color w:themeColor="text1" w:val="000000"/>
        </w:rPr>
        <w:t>Valores entre 18-36: </w:t>
      </w:r>
      <w:r>
        <w:rPr>
          <w:color w:themeColor="text1" w:val="000000"/>
        </w:rPr>
        <w:t>leve. O zumbido é facilmente mascarado por outros ruídos, sendo esquecido durante as atividades do dia a dia.</w:t>
      </w:r>
    </w:p>
    <w:p>
      <w:pPr>
        <w:pStyle w:val="Normal"/>
        <w:ind w:firstLine="709"/>
        <w:rPr>
          <w:color w:val="000000"/>
        </w:rPr>
      </w:pPr>
      <w:r>
        <w:rPr>
          <w:b/>
          <w:bCs/>
          <w:color w:themeColor="text1" w:val="000000"/>
        </w:rPr>
        <w:t>Valores entre 38-56</w:t>
      </w:r>
      <w:r>
        <w:rPr>
          <w:color w:themeColor="text1" w:val="000000"/>
        </w:rPr>
        <w:t>: moderado. O zumbido é percebido até em ambientes com ruído. As atividades diárias não são tão afetadas, mas há impacto no sono e em atividades silenciosas.</w:t>
      </w:r>
    </w:p>
    <w:p>
      <w:pPr>
        <w:pStyle w:val="Normal"/>
        <w:ind w:firstLine="709"/>
        <w:rPr>
          <w:color w:val="000000"/>
        </w:rPr>
      </w:pPr>
      <w:r>
        <w:rPr>
          <w:b/>
          <w:bCs/>
          <w:color w:themeColor="text1" w:val="000000"/>
        </w:rPr>
        <w:t>Valores entre 58-76:</w:t>
      </w:r>
      <w:r>
        <w:rPr>
          <w:color w:themeColor="text1" w:val="000000"/>
        </w:rPr>
        <w:t> grave. O zumbido interfere em quase todas as atividades diárias.</w:t>
      </w:r>
    </w:p>
    <w:p>
      <w:pPr>
        <w:pStyle w:val="Normal"/>
        <w:ind w:firstLine="709"/>
        <w:rPr>
          <w:color w:val="000000"/>
        </w:rPr>
      </w:pPr>
      <w:r>
        <w:rPr>
          <w:b/>
          <w:bCs/>
          <w:color w:themeColor="text1" w:val="000000"/>
        </w:rPr>
        <w:t>Valores &gt; 78</w:t>
      </w:r>
      <w:r>
        <w:rPr>
          <w:color w:themeColor="text1" w:val="000000"/>
        </w:rPr>
        <w:t>: Catastrófico. Pode ser possível uma psicopatologia associada, visto o grau de incômodo do zumbido.</w:t>
      </w:r>
    </w:p>
    <w:p>
      <w:pPr>
        <w:pStyle w:val="Normal"/>
        <w:ind w:firstLine="709"/>
        <w:rPr>
          <w:color w:val="000000"/>
        </w:rPr>
      </w:pPr>
      <w:r>
        <w:rPr>
          <w:color w:themeColor="text1" w:val="000000"/>
        </w:rPr>
        <w:t>Ainda, o questionário é dividido em 3 principais categorias, que podem ser subdivididas para auxiliar na identificação do aspecto mais atingido no paciente, e como propor uma intervenção.</w:t>
      </w:r>
    </w:p>
    <w:p>
      <w:pPr>
        <w:pStyle w:val="Normal"/>
        <w:ind w:firstLine="709"/>
        <w:rPr>
          <w:color w:val="000000"/>
        </w:rPr>
      </w:pPr>
      <w:r>
        <w:rPr>
          <w:color w:themeColor="text1" w:val="000000"/>
        </w:rPr>
        <w:t>Resposta funcional (F) – 11 itens, pontuação varia entre 0 e 44.</w:t>
      </w:r>
    </w:p>
    <w:p>
      <w:pPr>
        <w:pStyle w:val="Normal"/>
        <w:ind w:firstLine="709"/>
        <w:rPr>
          <w:color w:val="000000"/>
        </w:rPr>
      </w:pPr>
      <w:r>
        <w:rPr>
          <w:color w:themeColor="text1" w:val="000000"/>
        </w:rPr>
        <w:t>Respostas emocional (E) – 9 itens, pontuação varia entre 0 e 36.</w:t>
      </w:r>
    </w:p>
    <w:p>
      <w:pPr>
        <w:pStyle w:val="Normal"/>
        <w:ind w:firstLine="709"/>
        <w:rPr>
          <w:color w:val="000000"/>
        </w:rPr>
      </w:pPr>
      <w:r>
        <w:rPr>
          <w:color w:themeColor="text1" w:val="000000"/>
        </w:rPr>
        <w:t>Resposta catastrófica (C) – 5 itens, pontuação varia entre 0 e 20.</w:t>
      </w:r>
    </w:p>
    <w:p>
      <w:pPr>
        <w:pStyle w:val="Normal"/>
        <w:ind w:firstLine="709"/>
        <w:rPr>
          <w:color w:val="000000"/>
        </w:rPr>
      </w:pPr>
      <w:r>
        <w:rPr>
          <w:color w:themeColor="text1" w:val="000000"/>
        </w:rPr>
        <w:t xml:space="preserve">Os resultados coletados através desse teste antes e depois da intervenção dos exercícios cervicais são dados </w:t>
      </w:r>
      <w:r>
        <w:rPr>
          <w:b/>
          <w:bCs/>
          <w:color w:themeColor="text1" w:val="000000"/>
        </w:rPr>
        <w:t>qualitativos ordinais</w:t>
      </w:r>
      <w:r>
        <w:rPr>
          <w:color w:themeColor="text1" w:val="000000"/>
        </w:rPr>
        <w:t xml:space="preserve">, já que a classificação do teste se dá em graus de incomodo com o zumbido. </w:t>
      </w:r>
    </w:p>
    <w:p>
      <w:pPr>
        <w:pStyle w:val="Normal"/>
        <w:ind w:firstLine="709"/>
        <w:rPr>
          <w:color w:val="000000"/>
        </w:rPr>
      </w:pPr>
      <w:r>
        <w:rPr>
          <w:color w:themeColor="text1" w:val="000000"/>
        </w:rPr>
        <w:t xml:space="preserve">Para análise descritiva dos dados de “grau de incomodo com o Zumbido”, poderá ser utilizada a </w:t>
      </w:r>
      <w:r>
        <w:rPr>
          <w:b/>
          <w:bCs/>
          <w:color w:themeColor="text1" w:val="000000"/>
        </w:rPr>
        <w:t xml:space="preserve">mediana </w:t>
      </w:r>
      <w:r>
        <w:rPr>
          <w:color w:themeColor="text1" w:val="000000"/>
        </w:rPr>
        <w:t xml:space="preserve">como medida de tendencia central, o </w:t>
      </w:r>
      <w:r>
        <w:rPr>
          <w:b/>
          <w:bCs/>
          <w:color w:themeColor="text1" w:val="000000"/>
        </w:rPr>
        <w:t>primeiro e terceiro quartil</w:t>
      </w:r>
      <w:r>
        <w:rPr>
          <w:color w:themeColor="text1" w:val="000000"/>
        </w:rPr>
        <w:t xml:space="preserve"> como medidas de variabilidade da amostra. Além disso, pode ser utilizada a </w:t>
      </w:r>
      <w:r>
        <w:rPr>
          <w:b/>
          <w:bCs/>
          <w:color w:themeColor="text1" w:val="000000"/>
        </w:rPr>
        <w:t>porcentagem</w:t>
      </w:r>
      <w:r>
        <w:rPr>
          <w:color w:themeColor="text1" w:val="000000"/>
        </w:rPr>
        <w:t xml:space="preserve"> de indivíduos por categoria de incomodo com o zumbido. </w:t>
      </w:r>
    </w:p>
    <w:p>
      <w:pPr>
        <w:pStyle w:val="Normal"/>
        <w:ind w:firstLine="709"/>
        <w:rPr>
          <w:color w:val="000000"/>
        </w:rPr>
      </w:pPr>
      <w:r>
        <w:rPr>
          <w:color w:themeColor="text1" w:val="000000"/>
        </w:rPr>
        <w:t xml:space="preserve">Por tratar-se de uma variável qualitativa ordinal, distribuída em dois grupos pareados, antes e depois da intervenção com os exercícios cervicais, o teste estatístico ideal para essa comparação é o </w:t>
      </w:r>
      <w:r>
        <w:rPr>
          <w:b/>
          <w:bCs/>
          <w:color w:themeColor="text1" w:val="000000"/>
        </w:rPr>
        <w:t>Wilcoxon</w:t>
      </w:r>
      <w:r>
        <w:rPr>
          <w:color w:themeColor="text1" w:val="000000"/>
        </w:rPr>
        <w:t xml:space="preserve">. </w:t>
      </w:r>
    </w:p>
    <w:p>
      <w:pPr>
        <w:pStyle w:val="Normal"/>
        <w:ind w:firstLine="709"/>
        <w:rPr>
          <w:color w:val="000000"/>
        </w:rPr>
      </w:pPr>
      <w:r>
        <w:rPr>
          <w:color w:themeColor="text1" w:val="000000"/>
        </w:rPr>
        <w:t xml:space="preserve">A análise do grupo controle e do grupo teste deverão ser feitas separadamente, já que o objetivo é verificar a eficácia dos exercícios cervicais na melhora intrasujeito do zumbido. </w:t>
      </w:r>
    </w:p>
    <w:p>
      <w:pPr>
        <w:pStyle w:val="Normal"/>
        <w:rPr>
          <w:color w:val="000000"/>
        </w:rPr>
      </w:pPr>
      <w:r>
        <w:rPr>
          <w:color w:themeColor="text1" w:val="000000"/>
        </w:rPr>
      </w:r>
    </w:p>
    <w:p>
      <w:pPr>
        <w:pStyle w:val="ListParagraph"/>
        <w:spacing w:lineRule="auto" w:line="360" w:before="0" w:after="0"/>
        <w:contextualSpacing/>
        <w:jc w:val="both"/>
        <w:rPr>
          <w:rFonts w:ascii="Arial" w:hAnsi="Arial" w:cs="Arial"/>
          <w:b/>
          <w:bCs/>
          <w:color w:val="000000"/>
          <w:sz w:val="24"/>
          <w:szCs w:val="24"/>
        </w:rPr>
      </w:pPr>
      <w:r>
        <w:rPr>
          <w:rFonts w:cs="Arial" w:ascii="Arial" w:hAnsi="Arial"/>
          <w:b/>
          <w:bCs/>
          <w:color w:themeColor="text1" w:val="000000"/>
          <w:sz w:val="24"/>
          <w:szCs w:val="24"/>
        </w:rPr>
        <w:t>Escala Visual Analógica (EVA)</w:t>
      </w:r>
    </w:p>
    <w:p>
      <w:pPr>
        <w:pStyle w:val="Normal"/>
        <w:ind w:firstLine="709"/>
        <w:rPr>
          <w:color w:val="000000"/>
        </w:rPr>
      </w:pPr>
      <w:r>
        <w:rPr>
          <w:color w:themeColor="text1" w:val="000000"/>
        </w:rPr>
        <w:t>A Escala Visual Analógica (EVA) é um instrumento de avaliação da intensidade que pode ser adaptada para diversas situações de saúde, no presente estudo será utilizada para avaliar o incomodo com o zumbido, através de uma linha graduada de 0 a 10, com a extremidade esquerda marcada como "nenhum incomodo" e a direita como "pior incomodo imaginável".</w:t>
      </w:r>
    </w:p>
    <w:p>
      <w:pPr>
        <w:pStyle w:val="Normal"/>
        <w:ind w:firstLine="709"/>
        <w:rPr>
          <w:color w:val="000000"/>
        </w:rPr>
      </w:pPr>
      <w:r>
        <w:rPr>
          <w:color w:themeColor="text1" w:val="000000"/>
        </w:rPr>
        <w:t xml:space="preserve">Embora a escala vá de 0 a 10, com números que indicam uma intensidade do incômodo, a principal característica aqui é que a variável pode assumir qualquer valor dentro desse intervalo, representando uma medida de intensidade. Isso a torna </w:t>
      </w:r>
      <w:r>
        <w:rPr>
          <w:b/>
          <w:bCs/>
          <w:color w:themeColor="text1" w:val="000000"/>
        </w:rPr>
        <w:t>contínua</w:t>
      </w:r>
      <w:r>
        <w:rPr>
          <w:color w:themeColor="text1" w:val="000000"/>
        </w:rPr>
        <w:t xml:space="preserve">, já que há a possibilidade de representar valores fracionados, por exemplo, 4,5 ou 7,2. </w:t>
      </w:r>
    </w:p>
    <w:p>
      <w:pPr>
        <w:pStyle w:val="Normal"/>
        <w:ind w:firstLine="709"/>
        <w:rPr>
          <w:color w:val="000000"/>
        </w:rPr>
      </w:pPr>
      <w:r>
        <w:rPr>
          <w:color w:themeColor="text1" w:val="000000"/>
        </w:rPr>
        <w:t xml:space="preserve">Portanto, a variável é </w:t>
      </w:r>
      <w:r>
        <w:rPr>
          <w:b/>
          <w:bCs/>
          <w:color w:themeColor="text1" w:val="000000"/>
        </w:rPr>
        <w:t>quantitativa contínua</w:t>
      </w:r>
      <w:r>
        <w:rPr>
          <w:color w:themeColor="text1" w:val="000000"/>
        </w:rPr>
        <w:t>, pois ela é mensurável e pode assumir um número infinito de valores dentro do intervalo determinado.</w:t>
      </w:r>
    </w:p>
    <w:p>
      <w:pPr>
        <w:pStyle w:val="Normal"/>
        <w:ind w:firstLine="709"/>
        <w:rPr>
          <w:color w:val="000000"/>
        </w:rPr>
      </w:pPr>
      <w:r>
        <w:rPr>
          <w:color w:themeColor="text1" w:val="000000"/>
        </w:rPr>
        <w:t xml:space="preserve">Para análise descritiva dos dados obtidos através da EVA, poderá ser utilizada a </w:t>
      </w:r>
      <w:r>
        <w:rPr>
          <w:b/>
          <w:bCs/>
          <w:color w:themeColor="text1" w:val="000000"/>
        </w:rPr>
        <w:t>média</w:t>
      </w:r>
      <w:r>
        <w:rPr>
          <w:color w:themeColor="text1" w:val="000000"/>
        </w:rPr>
        <w:t xml:space="preserve"> como medida de tendência central e o </w:t>
      </w:r>
      <w:r>
        <w:rPr>
          <w:b/>
          <w:bCs/>
          <w:color w:themeColor="text1" w:val="000000"/>
        </w:rPr>
        <w:t>desvio padrão</w:t>
      </w:r>
      <w:r>
        <w:rPr>
          <w:color w:themeColor="text1" w:val="000000"/>
        </w:rPr>
        <w:t xml:space="preserve"> como medida de de variabilidade da amostra. </w:t>
      </w:r>
    </w:p>
    <w:p>
      <w:pPr>
        <w:pStyle w:val="Normal"/>
        <w:ind w:firstLine="709"/>
        <w:rPr>
          <w:color w:val="000000"/>
        </w:rPr>
      </w:pPr>
      <w:r>
        <w:rPr>
          <w:color w:themeColor="text1" w:val="000000"/>
        </w:rPr>
        <w:t xml:space="preserve">Para análise indutiva/ inferencial, existem dois cenários, que dependem dos resultados do teste de distribuição da amostra. Para verificar o pressuposto de normalidade será utilizado o teste </w:t>
      </w:r>
      <w:r>
        <w:rPr>
          <w:b/>
          <w:bCs/>
          <w:color w:themeColor="text1" w:val="000000"/>
        </w:rPr>
        <w:t>Shapiro-Wilk</w:t>
      </w:r>
      <w:r>
        <w:rPr>
          <w:color w:themeColor="text1" w:val="000000"/>
        </w:rPr>
        <w:t>. Ele testa a hipótese nula de que os dados seguem uma distribuição normal.</w:t>
      </w:r>
    </w:p>
    <w:p>
      <w:pPr>
        <w:pStyle w:val="Normal"/>
        <w:ind w:firstLine="709"/>
        <w:rPr>
          <w:color w:val="000000"/>
        </w:rPr>
      </w:pPr>
      <w:r>
        <w:rPr>
          <w:color w:themeColor="text1" w:val="000000"/>
        </w:rPr>
        <w:t>Em outras palavras, se o p-valor do teste for maior que 0,05, não há evidências suficientes para rejeitar a hipótese nula, o que sugere que os dados seguem uma distribuição normal. Caso o p-valor seja menor que 0,05, isso indica que os dados não seguem uma distribuição normal.</w:t>
      </w:r>
    </w:p>
    <w:p>
      <w:pPr>
        <w:pStyle w:val="Normal"/>
        <w:ind w:firstLine="709"/>
        <w:rPr>
          <w:color w:val="000000"/>
        </w:rPr>
      </w:pPr>
      <w:r>
        <w:rPr>
          <w:color w:themeColor="text1" w:val="000000"/>
        </w:rPr>
        <w:t xml:space="preserve">No caso de violação do pressuposto de normalidade, será utilizado o teste </w:t>
      </w:r>
      <w:r>
        <w:rPr>
          <w:b/>
          <w:bCs/>
          <w:color w:themeColor="text1" w:val="000000"/>
        </w:rPr>
        <w:t>Wilcoxon</w:t>
      </w:r>
      <w:r>
        <w:rPr>
          <w:color w:themeColor="text1" w:val="000000"/>
        </w:rPr>
        <w:t>, por tratar-se de uma variável quantitativa sem distribuição normal, organizada em 2 grupos pareados.</w:t>
      </w:r>
    </w:p>
    <w:p>
      <w:pPr>
        <w:pStyle w:val="Normal"/>
        <w:ind w:firstLine="709"/>
        <w:rPr>
          <w:color w:val="000000"/>
        </w:rPr>
      </w:pPr>
      <w:r>
        <w:rPr>
          <w:color w:themeColor="text1" w:val="000000"/>
        </w:rPr>
        <w:t xml:space="preserve">No caso de não violação do pressuposto de normalidade, será utilizado o </w:t>
      </w:r>
      <w:r>
        <w:rPr>
          <w:b/>
          <w:bCs/>
          <w:color w:themeColor="text1" w:val="000000"/>
        </w:rPr>
        <w:t>Teste t pareado</w:t>
      </w:r>
      <w:r>
        <w:rPr>
          <w:color w:themeColor="text1" w:val="000000"/>
        </w:rPr>
        <w:t xml:space="preserve">, por tratar-se de uma variável quantitativa contínua com distribuição normal, organizada em 2 grupos pareados.  </w:t>
      </w:r>
    </w:p>
    <w:p>
      <w:pPr>
        <w:pStyle w:val="Normal"/>
        <w:ind w:firstLine="709"/>
        <w:rPr>
          <w:color w:val="000000"/>
        </w:rPr>
      </w:pPr>
      <w:r>
        <w:rPr>
          <w:color w:themeColor="text1" w:val="000000"/>
        </w:rPr>
        <w:t xml:space="preserve">A análise do grupo controle e do grupo teste deverão ser feitas separadamente, já que o objetivo é verificar a eficácia dos exercícios cervicais na melhora intrasujeito do zumbido. </w:t>
      </w:r>
    </w:p>
    <w:p>
      <w:pPr>
        <w:pStyle w:val="Normal"/>
        <w:rPr>
          <w:color w:val="000000"/>
        </w:rPr>
      </w:pPr>
      <w:r>
        <w:rPr>
          <w:color w:themeColor="text1" w:val="000000"/>
        </w:rPr>
      </w:r>
    </w:p>
    <w:p>
      <w:pPr>
        <w:pStyle w:val="ListParagraph"/>
        <w:spacing w:lineRule="auto" w:line="360" w:before="0" w:after="0"/>
        <w:contextualSpacing/>
        <w:jc w:val="both"/>
        <w:rPr>
          <w:rFonts w:ascii="Arial" w:hAnsi="Arial" w:cs="Arial"/>
          <w:b/>
          <w:bCs/>
          <w:color w:val="000000"/>
          <w:sz w:val="24"/>
          <w:szCs w:val="24"/>
        </w:rPr>
      </w:pPr>
      <w:r>
        <w:rPr>
          <w:rFonts w:cs="Arial" w:ascii="Arial" w:hAnsi="Arial"/>
          <w:b/>
          <w:bCs/>
          <w:color w:themeColor="text1" w:val="000000"/>
          <w:sz w:val="24"/>
          <w:szCs w:val="24"/>
        </w:rPr>
        <w:t xml:space="preserve">Neck Bournemouth Questionnaire (NBQ) </w:t>
      </w:r>
    </w:p>
    <w:p>
      <w:pPr>
        <w:pStyle w:val="Normal"/>
        <w:ind w:firstLine="709"/>
        <w:rPr>
          <w:color w:val="000000"/>
        </w:rPr>
      </w:pPr>
      <w:r>
        <w:rPr>
          <w:color w:themeColor="text1" w:val="000000"/>
        </w:rPr>
        <w:t>O NBQ é um questionário utilizado para avaliar a qualidade de vida de pessoas com dor cervical crônica. Ele foi desenvolvido para medir os impactos dessa dor nas atividades diárias e no bem-estar geral. O questionário avalia através de 7 perguntas como a dor cervical afeta diversas áreas da vida do paciente, como a funcionalidade, o sofrimento emocional e o impacto físico.</w:t>
      </w:r>
    </w:p>
    <w:p>
      <w:pPr>
        <w:pStyle w:val="Normal"/>
        <w:tabs>
          <w:tab w:val="left" w:pos="720" w:leader="none"/>
        </w:tabs>
        <w:ind w:firstLine="709"/>
        <w:rPr>
          <w:color w:val="000000"/>
        </w:rPr>
      </w:pPr>
      <w:r>
        <w:rPr>
          <w:color w:themeColor="text1" w:val="000000"/>
        </w:rPr>
        <w:t>As respostas para cada uma das perguntas seguem uma escala, com opções que vão de 0 a 10, onde 0 significa nenhum dor e 10 significa um impacto muito grande.</w:t>
      </w:r>
    </w:p>
    <w:p>
      <w:pPr>
        <w:pStyle w:val="Normal"/>
        <w:ind w:firstLine="709"/>
        <w:rPr>
          <w:color w:val="000000"/>
        </w:rPr>
      </w:pPr>
      <w:r>
        <w:rPr>
          <w:color w:themeColor="text1" w:val="000000"/>
        </w:rPr>
        <w:t xml:space="preserve">Embora a escala vá de 0 a 10, com números que indicam uma intensidade do incômodo, a principal característica aqui é que a variável pode assumir qualquer valor dentro desse intervalo, representando uma medida de intensidade. Isso a torna </w:t>
      </w:r>
      <w:r>
        <w:rPr>
          <w:b/>
          <w:bCs/>
          <w:color w:themeColor="text1" w:val="000000"/>
        </w:rPr>
        <w:t>contínua</w:t>
      </w:r>
      <w:r>
        <w:rPr>
          <w:color w:themeColor="text1" w:val="000000"/>
        </w:rPr>
        <w:t xml:space="preserve">, já que há a possibilidade de representar valores fracionados, por exemplo, 4,5 ou 7,2. </w:t>
      </w:r>
    </w:p>
    <w:p>
      <w:pPr>
        <w:pStyle w:val="Normal"/>
        <w:ind w:firstLine="709"/>
        <w:rPr>
          <w:color w:val="000000"/>
        </w:rPr>
      </w:pPr>
      <w:r>
        <w:rPr>
          <w:color w:themeColor="text1" w:val="000000"/>
        </w:rPr>
        <w:t xml:space="preserve">Portanto, a variável é </w:t>
      </w:r>
      <w:r>
        <w:rPr>
          <w:b/>
          <w:bCs/>
          <w:color w:themeColor="text1" w:val="000000"/>
        </w:rPr>
        <w:t>quantitativa contínua</w:t>
      </w:r>
      <w:r>
        <w:rPr>
          <w:color w:themeColor="text1" w:val="000000"/>
        </w:rPr>
        <w:t>, pois ela é mensurável e pode assumir um número infinito de valores dentro do intervalo determinado.</w:t>
      </w:r>
    </w:p>
    <w:p>
      <w:pPr>
        <w:pStyle w:val="Normal"/>
        <w:tabs>
          <w:tab w:val="left" w:pos="720" w:leader="none"/>
        </w:tabs>
        <w:ind w:firstLine="709"/>
        <w:rPr>
          <w:color w:val="000000"/>
        </w:rPr>
      </w:pPr>
      <w:r>
        <w:rPr>
          <w:color w:themeColor="text1" w:val="000000"/>
        </w:rPr>
        <w:t xml:space="preserve">Para análise descritiva da pontuação obtida no NBQ, poderá ser utilizada a média como medida de tendência central e o desvio padrão com medida de variabilidade. </w:t>
      </w:r>
    </w:p>
    <w:p>
      <w:pPr>
        <w:pStyle w:val="Normal"/>
        <w:ind w:firstLine="709"/>
        <w:rPr>
          <w:color w:val="000000"/>
        </w:rPr>
      </w:pPr>
      <w:r>
        <w:rPr>
          <w:color w:themeColor="text1" w:val="000000"/>
        </w:rPr>
        <w:t xml:space="preserve">Para análise indutiva/ inferencial, existem dois cenários, que dependem dos resultados do teste de distribuição da amostra. Para verificar o pressuposto de normalidade será utilizado o teste </w:t>
      </w:r>
      <w:r>
        <w:rPr>
          <w:b/>
          <w:bCs/>
          <w:color w:themeColor="text1" w:val="000000"/>
        </w:rPr>
        <w:t>Shapiro-Wilk</w:t>
      </w:r>
      <w:r>
        <w:rPr>
          <w:color w:themeColor="text1" w:val="000000"/>
        </w:rPr>
        <w:t>. Ele testa a hipótese nula de que os dados seguem uma distribuição normal.</w:t>
      </w:r>
    </w:p>
    <w:p>
      <w:pPr>
        <w:pStyle w:val="Normal"/>
        <w:ind w:firstLine="709"/>
        <w:rPr>
          <w:color w:val="000000"/>
        </w:rPr>
      </w:pPr>
      <w:r>
        <w:rPr>
          <w:color w:themeColor="text1" w:val="000000"/>
        </w:rPr>
        <w:t>Em outras palavras, se o p-valor do teste for maior que 0,05, não há evidências suficientes para rejeitar a hipótese nula, o que sugere que os dados seguem uma distribuição normal. Caso o p-valor seja menor que 0,05, isso indica que os dados não seguem uma distribuição normal.</w:t>
      </w:r>
    </w:p>
    <w:p>
      <w:pPr>
        <w:pStyle w:val="Normal"/>
        <w:ind w:firstLine="709"/>
        <w:rPr>
          <w:color w:val="000000"/>
        </w:rPr>
      </w:pPr>
      <w:r>
        <w:rPr>
          <w:color w:themeColor="text1" w:val="000000"/>
        </w:rPr>
        <w:t xml:space="preserve">No caso de violação do pressuposto de normalidade, será utilizado o teste </w:t>
      </w:r>
      <w:r>
        <w:rPr>
          <w:b/>
          <w:bCs/>
          <w:color w:themeColor="text1" w:val="000000"/>
        </w:rPr>
        <w:t>Wilcoxon</w:t>
      </w:r>
      <w:r>
        <w:rPr>
          <w:color w:themeColor="text1" w:val="000000"/>
        </w:rPr>
        <w:t>, por tratar-se de uma variável quantitativa sem distribuição normal, organizada em 2 grupos pareados.</w:t>
      </w:r>
    </w:p>
    <w:p>
      <w:pPr>
        <w:pStyle w:val="Normal"/>
        <w:ind w:firstLine="709"/>
        <w:rPr>
          <w:color w:val="000000"/>
        </w:rPr>
      </w:pPr>
      <w:r>
        <w:rPr>
          <w:color w:themeColor="text1" w:val="000000"/>
        </w:rPr>
        <w:t xml:space="preserve">No caso de não violação do pressuposto de normalidade, será utilizado o </w:t>
      </w:r>
      <w:r>
        <w:rPr>
          <w:b/>
          <w:bCs/>
          <w:color w:themeColor="text1" w:val="000000"/>
        </w:rPr>
        <w:t>Teste t pareado</w:t>
      </w:r>
      <w:r>
        <w:rPr>
          <w:color w:themeColor="text1" w:val="000000"/>
        </w:rPr>
        <w:t xml:space="preserve">, por tratar-se de uma variável quantitativa com distribuição normal, organizada em 2 grupos pareados.  </w:t>
      </w:r>
    </w:p>
    <w:p>
      <w:pPr>
        <w:pStyle w:val="Normal"/>
        <w:ind w:firstLine="709"/>
        <w:rPr>
          <w:color w:val="000000"/>
        </w:rPr>
      </w:pPr>
      <w:r>
        <w:rPr>
          <w:color w:themeColor="text1" w:val="000000"/>
        </w:rPr>
        <w:t xml:space="preserve">A análise do grupo controle e do grupo teste deverão ser feitas separadamente, já que o objetivo é verificar a eficácia dos exercícios cervicais na melhora intrasujeito da dor cervical. </w:t>
      </w:r>
      <w:r>
        <w:rPr/>
        <w:br/>
      </w:r>
    </w:p>
    <w:p>
      <w:pPr>
        <w:pStyle w:val="Normal"/>
        <w:rPr/>
      </w:pPr>
      <w:r>
        <w:rPr/>
        <w:t>3.10 RANDOMIZAÇÃO E CEGAMENTO</w:t>
      </w:r>
    </w:p>
    <w:p>
      <w:pPr>
        <w:pStyle w:val="Normal"/>
        <w:rPr/>
      </w:pPr>
      <w:r>
        <w:rPr/>
      </w:r>
    </w:p>
    <w:p>
      <w:pPr>
        <w:pStyle w:val="Normal"/>
        <w:rPr/>
      </w:pPr>
      <w:r>
        <w:rPr/>
        <w:t xml:space="preserve">    </w:t>
      </w:r>
      <w:r>
        <w:rPr>
          <w:color w:themeColor="text1" w:val="000000"/>
        </w:rPr>
        <w:t>A randomização dos pacientes em cada grupo será feita por sorteio realizado por uma pessoa não envolvida na pesquisa. A falta de cegamento é justificada pela impossibilidade do pesquisador e do participante não ter conhecimento para aplicar os exercícios.</w:t>
      </w:r>
      <w:r>
        <w:rPr/>
        <w:t xml:space="preserve"> </w:t>
      </w:r>
    </w:p>
    <w:p>
      <w:pPr>
        <w:pStyle w:val="Normal"/>
        <w:spacing w:before="280" w:after="280"/>
        <w:rPr>
          <w:b/>
          <w:color w:val="000000"/>
        </w:rPr>
      </w:pPr>
      <w:r>
        <w:rPr>
          <w:b/>
          <w:color w:themeColor="text1" w:val="000000"/>
        </w:rPr>
        <w:t>3.11 PROCEDIMENTOS DE AVALIAÇÃO</w:t>
      </w:r>
    </w:p>
    <w:p>
      <w:pPr>
        <w:pStyle w:val="Normal"/>
        <w:numPr>
          <w:ilvl w:val="0"/>
          <w:numId w:val="5"/>
        </w:numPr>
        <w:spacing w:before="280" w:after="0"/>
        <w:rPr>
          <w:color w:val="000000"/>
        </w:rPr>
      </w:pPr>
      <w:r>
        <w:rPr>
          <w:b/>
          <w:color w:themeColor="text1" w:val="000000"/>
        </w:rPr>
        <w:t>História Clínica</w:t>
      </w:r>
      <w:r>
        <w:rPr>
          <w:color w:themeColor="text1" w:val="000000"/>
        </w:rPr>
        <w:t>: Coleta de dados detalhados sobre a história do zumbido, incluindo duração, intensidade, fatores de modulação e impacto na qualidade de vida, além da história da queixa na cervical.</w:t>
      </w:r>
    </w:p>
    <w:p>
      <w:pPr>
        <w:pStyle w:val="Normal"/>
        <w:numPr>
          <w:ilvl w:val="0"/>
          <w:numId w:val="5"/>
        </w:numPr>
        <w:spacing w:before="0" w:after="280"/>
        <w:rPr>
          <w:color w:val="000000"/>
        </w:rPr>
      </w:pPr>
      <w:r>
        <w:rPr>
          <w:b/>
          <w:color w:themeColor="text1" w:val="000000"/>
        </w:rPr>
        <w:t>Questionários</w:t>
      </w:r>
      <w:r>
        <w:rPr>
          <w:color w:themeColor="text1" w:val="000000"/>
        </w:rPr>
        <w:t>: Aplicação de questionários validados, como o Tinnitus Handicap Inventory (THI) e o Escala Visual Analógica (EVA) para medir a severidade do zumbido e seu impacto e Neck Bournemouth Questionnaire (NBQ) para medir a severidade das dores cervicais e seu impacto.</w:t>
      </w:r>
    </w:p>
    <w:p>
      <w:pPr>
        <w:pStyle w:val="Normal"/>
        <w:spacing w:before="0" w:after="280"/>
        <w:rPr/>
      </w:pPr>
      <w:r>
        <w:rPr/>
        <w:t>3.12 PROCEDIMENTOS DE INTERVENÇÃO</w:t>
      </w:r>
    </w:p>
    <w:p>
      <w:pPr>
        <w:pStyle w:val="Normal"/>
        <w:spacing w:before="280" w:after="280"/>
        <w:rPr>
          <w:color w:val="000000"/>
        </w:rPr>
      </w:pPr>
      <w:r>
        <w:rPr>
          <w:b/>
          <w:color w:themeColor="text1" w:val="000000"/>
        </w:rPr>
        <w:t>Desenvolvimento do Programa de Exercícios</w:t>
      </w:r>
    </w:p>
    <w:p>
      <w:pPr>
        <w:pStyle w:val="Normal"/>
        <w:numPr>
          <w:ilvl w:val="0"/>
          <w:numId w:val="6"/>
        </w:numPr>
        <w:rPr/>
      </w:pPr>
      <w:r>
        <w:rPr>
          <w:b/>
        </w:rPr>
        <w:t>Componentes do Programa</w:t>
      </w:r>
      <w:r>
        <w:rPr/>
        <w:t>:</w:t>
      </w:r>
    </w:p>
    <w:p>
      <w:pPr>
        <w:pStyle w:val="Normal"/>
        <w:numPr>
          <w:ilvl w:val="1"/>
          <w:numId w:val="6"/>
        </w:numPr>
        <w:spacing w:before="0" w:after="280"/>
        <w:rPr/>
      </w:pPr>
      <w:r>
        <w:rPr/>
        <w:t>Os exercícios serão baseados segundo as diretrizes de práticas clínicas para dor cervical (Blanpied, 2017).</w:t>
      </w:r>
    </w:p>
    <w:p>
      <w:pPr>
        <w:pStyle w:val="Normal"/>
        <w:numPr>
          <w:ilvl w:val="0"/>
          <w:numId w:val="3"/>
        </w:numPr>
        <w:rPr>
          <w:b/>
        </w:rPr>
      </w:pPr>
      <w:r>
        <w:rPr>
          <w:b/>
        </w:rPr>
        <w:t xml:space="preserve">Protocolo de exercícios: </w:t>
      </w:r>
      <w:r>
        <w:rPr/>
        <w:t>O grupo teste será orientado a realizar uma sequência de exercícios diários para melhorar as queixas da região cervical.</w:t>
        <w:br/>
      </w:r>
    </w:p>
    <w:p>
      <w:pPr>
        <w:pStyle w:val="Normal"/>
        <w:spacing w:before="280" w:after="280"/>
        <w:rPr/>
      </w:pPr>
      <w:r>
        <w:rPr/>
        <w:t xml:space="preserve">     </w:t>
      </w:r>
      <w:r>
        <w:rPr/>
        <w:t>3.12.1 Especificações dos procedimentos de intervenção</w:t>
      </w:r>
    </w:p>
    <w:p>
      <w:pPr>
        <w:pStyle w:val="Normal"/>
        <w:numPr>
          <w:ilvl w:val="0"/>
          <w:numId w:val="7"/>
        </w:numPr>
        <w:spacing w:before="280" w:after="0"/>
        <w:rPr>
          <w:color w:val="000000"/>
        </w:rPr>
      </w:pPr>
      <w:r>
        <w:rPr>
          <w:b/>
        </w:rPr>
        <w:t>Sessões de Exercícios</w:t>
      </w:r>
      <w:r>
        <w:rPr/>
        <w:t xml:space="preserve">: O programa terá a duração de 4 semanas, com sessão de exercícios realizada uma vez por semana sob a supervisão de um </w:t>
      </w:r>
      <w:r>
        <w:rPr>
          <w:color w:themeColor="text1" w:val="000000"/>
        </w:rPr>
        <w:t xml:space="preserve">fisioterapeuta. </w:t>
      </w:r>
    </w:p>
    <w:p>
      <w:pPr>
        <w:pStyle w:val="Normal"/>
        <w:numPr>
          <w:ilvl w:val="0"/>
          <w:numId w:val="7"/>
        </w:numPr>
        <w:spacing w:before="0" w:after="280"/>
        <w:rPr>
          <w:color w:val="000000"/>
        </w:rPr>
      </w:pPr>
      <w:r>
        <w:rPr>
          <w:b/>
          <w:color w:themeColor="text1" w:val="000000"/>
        </w:rPr>
        <w:t>Treinamento Domiciliar</w:t>
      </w:r>
      <w:r>
        <w:rPr>
          <w:color w:themeColor="text1" w:val="000000"/>
        </w:rPr>
        <w:t>: Os participantes receberão orientações para realizar exercícios em casa, com um diário de atividades para monitorar a aderência.</w:t>
      </w:r>
    </w:p>
    <w:p>
      <w:pPr>
        <w:pStyle w:val="Normal"/>
        <w:spacing w:before="280" w:after="280"/>
        <w:rPr>
          <w:color w:val="000000"/>
        </w:rPr>
      </w:pPr>
      <w:r>
        <w:rPr/>
        <w:t xml:space="preserve">    </w:t>
      </w:r>
      <w:r>
        <w:rPr/>
        <w:t xml:space="preserve">3.12. 2 Avaliação </w:t>
      </w:r>
      <w:r>
        <w:rPr>
          <w:color w:themeColor="text1" w:val="000000"/>
        </w:rPr>
        <w:t>e Monitoramento</w:t>
      </w:r>
    </w:p>
    <w:p>
      <w:pPr>
        <w:pStyle w:val="Normal"/>
        <w:numPr>
          <w:ilvl w:val="0"/>
          <w:numId w:val="8"/>
        </w:numPr>
        <w:rPr>
          <w:color w:val="000000"/>
        </w:rPr>
      </w:pPr>
      <w:r>
        <w:rPr>
          <w:b/>
          <w:color w:themeColor="text1" w:val="000000"/>
        </w:rPr>
        <w:t>Questionários de Seguimento</w:t>
      </w:r>
      <w:r>
        <w:rPr>
          <w:color w:themeColor="text1" w:val="000000"/>
        </w:rPr>
        <w:t>: Reaplicação dos questionários THI, EVA e NBQ ao final do programa para medir mudanças na severidade e impacto do zumbido e queixas na cervical.</w:t>
      </w:r>
    </w:p>
    <w:p>
      <w:pPr>
        <w:pStyle w:val="Normal"/>
        <w:numPr>
          <w:ilvl w:val="0"/>
          <w:numId w:val="8"/>
        </w:numPr>
        <w:spacing w:before="0" w:after="280"/>
        <w:rPr>
          <w:color w:val="000000"/>
        </w:rPr>
      </w:pPr>
      <w:r>
        <w:rPr>
          <w:b/>
          <w:color w:themeColor="text1" w:val="000000"/>
        </w:rPr>
        <w:t>Feedback dos Participantes</w:t>
      </w:r>
      <w:r>
        <w:rPr>
          <w:color w:themeColor="text1" w:val="000000"/>
        </w:rPr>
        <w:t>: Coleta de feedback qualitativo sobre a percepção dos participantes em relação à eficácia dos exercícios e qualquer dificuldade encontrada.</w:t>
      </w:r>
    </w:p>
    <w:p>
      <w:pPr>
        <w:pStyle w:val="Normal"/>
        <w:rPr>
          <w:color w:val="000000"/>
        </w:rPr>
      </w:pPr>
      <w:r>
        <w:rPr>
          <w:color w:themeColor="text1" w:val="000000"/>
        </w:rPr>
      </w:r>
    </w:p>
    <w:p>
      <w:pPr>
        <w:pStyle w:val="Normal"/>
        <w:spacing w:before="0" w:after="280"/>
        <w:rPr>
          <w:color w:val="000000"/>
        </w:rPr>
      </w:pPr>
      <w:r>
        <w:rPr>
          <w:color w:themeColor="text1" w:val="000000"/>
        </w:rPr>
      </w:r>
    </w:p>
    <w:p>
      <w:pPr>
        <w:pStyle w:val="Normal"/>
        <w:spacing w:before="0" w:after="280"/>
        <w:rPr/>
      </w:pPr>
      <w:r>
        <w:rPr/>
      </w:r>
    </w:p>
    <w:p>
      <w:pPr>
        <w:pStyle w:val="Normal"/>
        <w:spacing w:before="0" w:after="280"/>
        <w:rPr/>
      </w:pPr>
      <w:r>
        <w:rPr/>
      </w:r>
    </w:p>
    <w:p>
      <w:pPr>
        <w:pStyle w:val="Normal"/>
        <w:spacing w:before="0" w:after="280"/>
        <w:rPr/>
      </w:pPr>
      <w:r>
        <w:rPr/>
      </w:r>
    </w:p>
    <w:p>
      <w:pPr>
        <w:pStyle w:val="Normal"/>
        <w:spacing w:before="0" w:after="280"/>
        <w:rPr/>
      </w:pPr>
      <w:r>
        <w:rPr/>
      </w:r>
    </w:p>
    <w:p>
      <w:pPr>
        <w:pStyle w:val="Normal"/>
        <w:spacing w:before="0" w:after="280"/>
        <w:rPr/>
      </w:pPr>
      <w:r>
        <w:rPr/>
      </w:r>
    </w:p>
    <w:p>
      <w:pPr>
        <w:pStyle w:val="Normal"/>
        <w:spacing w:before="280" w:after="280"/>
        <w:rPr>
          <w:b/>
          <w:color w:val="000000"/>
        </w:rPr>
      </w:pPr>
      <w:r>
        <w:rPr>
          <w:b/>
          <w:color w:themeColor="text1" w:val="000000"/>
        </w:rPr>
        <w:t>4. RISCOS E BENEFÍCIOS</w:t>
      </w:r>
    </w:p>
    <w:p>
      <w:pPr>
        <w:pStyle w:val="Normal"/>
        <w:tabs>
          <w:tab w:val="clear" w:pos="720"/>
          <w:tab w:val="left" w:pos="1323" w:leader="none"/>
        </w:tabs>
        <w:spacing w:lineRule="auto" w:line="480"/>
        <w:rPr>
          <w:color w:val="000000"/>
        </w:rPr>
      </w:pPr>
      <w:r>
        <w:rPr>
          <w:color w:themeColor="text1" w:val="000000"/>
        </w:rPr>
        <w:t xml:space="preserve">      </w:t>
      </w:r>
      <w:r>
        <w:rPr>
          <w:color w:themeColor="text1" w:val="000000"/>
        </w:rPr>
        <w:t xml:space="preserve">Os riscos para os participantes são mínimos, podendo ocorrer leve cansaço ao executar os exercícios e/ou desconforto ao responder os questionários por reforçar a consciência do participante sobre sua condição. O profissional que conduz a pesquisa está comprometido em manter os dados dos participantes em sigilo, porém há o risco de vazamento de dados. </w:t>
      </w:r>
    </w:p>
    <w:p>
      <w:pPr>
        <w:pStyle w:val="Normal"/>
        <w:tabs>
          <w:tab w:val="clear" w:pos="720"/>
          <w:tab w:val="left" w:pos="1323" w:leader="none"/>
        </w:tabs>
        <w:spacing w:lineRule="auto" w:line="480"/>
        <w:rPr>
          <w:color w:val="000000"/>
        </w:rPr>
      </w:pPr>
      <w:r>
        <w:rPr>
          <w:color w:themeColor="text1" w:val="000000"/>
        </w:rPr>
        <w:t xml:space="preserve">       </w:t>
      </w:r>
      <w:r>
        <w:rPr>
          <w:color w:themeColor="text1" w:val="000000"/>
        </w:rPr>
        <w:t>Quanto aos benefícios, o participante realizará uma avaliação sem custo financeiro e uma devolutiva explicando os resultados, assim como a possibilidade de tirar possíveis dúvidas sobre o sintoma do zumbido com o profissional. Como benefício indireto está a contribuição para o avanço da ciência na área da audiologia, especialmente para pessoas que possuem zumbido, o que pode levar a propagação de novas abordagens terapêuticas para essa condição.</w:t>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r>
    </w:p>
    <w:p>
      <w:pPr>
        <w:pStyle w:val="Normal"/>
        <w:spacing w:before="280" w:after="280"/>
        <w:rPr>
          <w:b/>
          <w:color w:val="000000"/>
        </w:rPr>
      </w:pPr>
      <w:r>
        <w:rPr>
          <w:b/>
          <w:color w:themeColor="text1" w:val="000000"/>
        </w:rPr>
        <w:t>5. CRONOGRAMA</w:t>
      </w:r>
    </w:p>
    <w:p>
      <w:pPr>
        <w:pStyle w:val="Normal"/>
        <w:rPr>
          <w:color w:val="000000"/>
          <w:highlight w:val="white"/>
        </w:rPr>
      </w:pPr>
      <w:r>
        <w:rPr>
          <w:color w:themeColor="text1" w:val="000000"/>
        </w:rPr>
        <w:t xml:space="preserve">O presente cronograma será executado em período de 22 meses. O cronograma poderá ser reajustado caso se mostre necessário. A pesquisadora se compromete </w:t>
      </w:r>
      <w:r>
        <w:rPr/>
        <w:t>de que a pesquisa somente iniciará após a aprovação do sistema CEP/CONEP.</w:t>
      </w:r>
    </w:p>
    <w:p>
      <w:pPr>
        <w:pStyle w:val="Normal"/>
        <w:ind w:firstLine="720"/>
        <w:rPr>
          <w:color w:val="000000"/>
          <w:highlight w:val="white"/>
        </w:rPr>
      </w:pPr>
      <w:r>
        <w:rPr>
          <w:color w:themeColor="text1" w:val="000000"/>
          <w:highlight w:val="white"/>
        </w:rPr>
      </w:r>
    </w:p>
    <w:tbl>
      <w:tblPr>
        <w:tblStyle w:val="a0"/>
        <w:tblW w:w="10680" w:type="dxa"/>
        <w:jc w:val="left"/>
        <w:tblInd w:w="-811" w:type="dxa"/>
        <w:tblLayout w:type="fixed"/>
        <w:tblCellMar>
          <w:top w:w="100" w:type="dxa"/>
          <w:left w:w="100" w:type="dxa"/>
          <w:bottom w:w="100" w:type="dxa"/>
          <w:right w:w="100" w:type="dxa"/>
        </w:tblCellMar>
        <w:tblLook w:val="0600" w:noVBand="1" w:noHBand="1" w:lastColumn="0" w:firstColumn="0" w:lastRow="0" w:firstRow="0"/>
      </w:tblPr>
      <w:tblGrid>
        <w:gridCol w:w="2235"/>
        <w:gridCol w:w="705"/>
        <w:gridCol w:w="705"/>
        <w:gridCol w:w="794"/>
        <w:gridCol w:w="871"/>
        <w:gridCol w:w="824"/>
        <w:gridCol w:w="857"/>
        <w:gridCol w:w="703"/>
        <w:gridCol w:w="705"/>
        <w:gridCol w:w="750"/>
        <w:gridCol w:w="752"/>
        <w:gridCol w:w="778"/>
      </w:tblGrid>
      <w:tr>
        <w:trPr>
          <w:trHeight w:val="2749" w:hRule="atLeast"/>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mar/</w:t>
            </w:r>
          </w:p>
          <w:p>
            <w:pPr>
              <w:pStyle w:val="Normal"/>
              <w:widowControl w:val="false"/>
              <w:jc w:val="center"/>
              <w:rPr>
                <w:color w:val="000000"/>
                <w:sz w:val="22"/>
                <w:szCs w:val="22"/>
                <w:highlight w:val="white"/>
              </w:rPr>
            </w:pPr>
            <w:r>
              <w:rPr>
                <w:color w:themeColor="text1" w:val="000000"/>
                <w:sz w:val="22"/>
                <w:szCs w:val="22"/>
                <w:highlight w:val="white"/>
              </w:rPr>
              <w:t>abr</w:t>
            </w:r>
          </w:p>
          <w:p>
            <w:pPr>
              <w:pStyle w:val="Normal"/>
              <w:widowControl w:val="false"/>
              <w:jc w:val="center"/>
              <w:rPr>
                <w:color w:val="000000"/>
                <w:sz w:val="22"/>
                <w:szCs w:val="22"/>
                <w:highlight w:val="white"/>
              </w:rPr>
            </w:pPr>
            <w:r>
              <w:rPr>
                <w:color w:themeColor="text1" w:val="000000"/>
                <w:sz w:val="22"/>
                <w:szCs w:val="22"/>
                <w:highlight w:val="white"/>
              </w:rPr>
              <w:t>2024</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mai/</w:t>
            </w:r>
          </w:p>
          <w:p>
            <w:pPr>
              <w:pStyle w:val="Normal"/>
              <w:widowControl w:val="false"/>
              <w:jc w:val="center"/>
              <w:rPr>
                <w:color w:val="000000"/>
                <w:sz w:val="22"/>
                <w:szCs w:val="22"/>
                <w:highlight w:val="white"/>
              </w:rPr>
            </w:pPr>
            <w:r>
              <w:rPr>
                <w:color w:themeColor="text1" w:val="000000"/>
                <w:sz w:val="22"/>
                <w:szCs w:val="22"/>
                <w:highlight w:val="white"/>
              </w:rPr>
              <w:t>jun 2024</w:t>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jul/</w:t>
            </w:r>
          </w:p>
          <w:p>
            <w:pPr>
              <w:pStyle w:val="Normal"/>
              <w:widowControl w:val="false"/>
              <w:jc w:val="center"/>
              <w:rPr>
                <w:color w:val="000000"/>
                <w:sz w:val="22"/>
                <w:szCs w:val="22"/>
                <w:shd w:fill="F3F3F3" w:val="clear"/>
              </w:rPr>
            </w:pPr>
            <w:r>
              <w:rPr>
                <w:color w:themeColor="text1" w:val="000000"/>
                <w:sz w:val="22"/>
                <w:szCs w:val="22"/>
                <w:shd w:fill="F3F3F3" w:val="clear"/>
              </w:rPr>
              <w:t>ago 2024</w:t>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set/</w:t>
            </w:r>
          </w:p>
          <w:p>
            <w:pPr>
              <w:pStyle w:val="Normal"/>
              <w:widowControl w:val="false"/>
              <w:jc w:val="center"/>
              <w:rPr>
                <w:color w:val="000000"/>
                <w:sz w:val="22"/>
                <w:szCs w:val="22"/>
                <w:shd w:fill="F3F3F3" w:val="clear"/>
              </w:rPr>
            </w:pPr>
            <w:r>
              <w:rPr>
                <w:color w:themeColor="text1" w:val="000000"/>
                <w:sz w:val="22"/>
                <w:szCs w:val="22"/>
                <w:shd w:fill="F3F3F3" w:val="clear"/>
              </w:rPr>
              <w:t>out 2024</w:t>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nov/</w:t>
            </w:r>
          </w:p>
          <w:p>
            <w:pPr>
              <w:pStyle w:val="Normal"/>
              <w:widowControl w:val="false"/>
              <w:jc w:val="center"/>
              <w:rPr>
                <w:color w:val="000000"/>
                <w:sz w:val="22"/>
                <w:szCs w:val="22"/>
                <w:shd w:fill="F3F3F3" w:val="clear"/>
              </w:rPr>
            </w:pPr>
            <w:r>
              <w:rPr>
                <w:color w:themeColor="text1" w:val="000000"/>
                <w:sz w:val="22"/>
                <w:szCs w:val="22"/>
                <w:shd w:fill="F3F3F3" w:val="clear"/>
              </w:rPr>
              <w:t>dez</w:t>
            </w:r>
          </w:p>
          <w:p>
            <w:pPr>
              <w:pStyle w:val="Normal"/>
              <w:widowControl w:val="false"/>
              <w:jc w:val="center"/>
              <w:rPr>
                <w:color w:val="000000"/>
                <w:sz w:val="22"/>
                <w:szCs w:val="22"/>
                <w:shd w:fill="F3F3F3" w:val="clear"/>
              </w:rPr>
            </w:pPr>
            <w:r>
              <w:rPr>
                <w:color w:themeColor="text1" w:val="000000"/>
                <w:sz w:val="22"/>
                <w:szCs w:val="22"/>
                <w:shd w:fill="F3F3F3" w:val="clear"/>
              </w:rPr>
              <w:t xml:space="preserve"> </w:t>
            </w:r>
            <w:r>
              <w:rPr>
                <w:color w:themeColor="text1" w:val="000000"/>
                <w:sz w:val="22"/>
                <w:szCs w:val="22"/>
                <w:shd w:fill="F3F3F3" w:val="clear"/>
              </w:rPr>
              <w:t>2024</w:t>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jan/</w:t>
            </w:r>
          </w:p>
          <w:p>
            <w:pPr>
              <w:pStyle w:val="Normal"/>
              <w:widowControl w:val="false"/>
              <w:jc w:val="center"/>
              <w:rPr>
                <w:color w:val="000000"/>
                <w:sz w:val="22"/>
                <w:szCs w:val="22"/>
                <w:shd w:fill="F3F3F3" w:val="clear"/>
              </w:rPr>
            </w:pPr>
            <w:r>
              <w:rPr>
                <w:color w:themeColor="text1" w:val="000000"/>
                <w:sz w:val="22"/>
                <w:szCs w:val="22"/>
                <w:shd w:fill="F3F3F3" w:val="clear"/>
              </w:rPr>
              <w:t>fev</w:t>
            </w:r>
          </w:p>
          <w:p>
            <w:pPr>
              <w:pStyle w:val="Normal"/>
              <w:widowControl w:val="false"/>
              <w:jc w:val="center"/>
              <w:rPr>
                <w:color w:val="000000"/>
                <w:sz w:val="22"/>
                <w:szCs w:val="22"/>
                <w:shd w:fill="F3F3F3" w:val="clear"/>
              </w:rPr>
            </w:pPr>
            <w:r>
              <w:rPr>
                <w:color w:themeColor="text1" w:val="000000"/>
                <w:sz w:val="22"/>
                <w:szCs w:val="22"/>
                <w:shd w:fill="F3F3F3" w:val="clear"/>
              </w:rPr>
              <w:t>2025</w:t>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mar/</w:t>
            </w:r>
          </w:p>
          <w:p>
            <w:pPr>
              <w:pStyle w:val="Normal"/>
              <w:widowControl w:val="false"/>
              <w:jc w:val="center"/>
              <w:rPr>
                <w:color w:val="000000"/>
                <w:sz w:val="22"/>
                <w:szCs w:val="22"/>
                <w:shd w:fill="F3F3F3" w:val="clear"/>
              </w:rPr>
            </w:pPr>
            <w:r>
              <w:rPr>
                <w:color w:themeColor="text1" w:val="000000"/>
                <w:sz w:val="22"/>
                <w:szCs w:val="22"/>
                <w:shd w:fill="F3F3F3" w:val="clear"/>
              </w:rPr>
              <w:t>abr 2025</w:t>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mai/</w:t>
            </w:r>
          </w:p>
          <w:p>
            <w:pPr>
              <w:pStyle w:val="Normal"/>
              <w:widowControl w:val="false"/>
              <w:jc w:val="center"/>
              <w:rPr>
                <w:color w:val="000000"/>
                <w:sz w:val="22"/>
                <w:szCs w:val="22"/>
                <w:shd w:fill="F3F3F3" w:val="clear"/>
              </w:rPr>
            </w:pPr>
            <w:r>
              <w:rPr>
                <w:color w:themeColor="text1" w:val="000000"/>
                <w:sz w:val="22"/>
                <w:szCs w:val="22"/>
                <w:shd w:fill="F3F3F3" w:val="clear"/>
              </w:rPr>
              <w:t>jun 2025</w:t>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shd w:fill="F3F3F3" w:val="clear"/>
              </w:rPr>
            </w:pPr>
            <w:r>
              <w:rPr>
                <w:color w:themeColor="text1" w:val="000000"/>
                <w:sz w:val="22"/>
                <w:szCs w:val="22"/>
                <w:shd w:fill="F3F3F3" w:val="clear"/>
              </w:rPr>
              <w:t>jul/</w:t>
            </w:r>
          </w:p>
          <w:p>
            <w:pPr>
              <w:pStyle w:val="Normal"/>
              <w:widowControl w:val="false"/>
              <w:jc w:val="center"/>
              <w:rPr>
                <w:color w:val="000000"/>
                <w:sz w:val="22"/>
                <w:szCs w:val="22"/>
                <w:shd w:fill="F3F3F3" w:val="clear"/>
              </w:rPr>
            </w:pPr>
            <w:r>
              <w:rPr>
                <w:color w:themeColor="text1" w:val="000000"/>
                <w:sz w:val="22"/>
                <w:szCs w:val="22"/>
                <w:shd w:fill="F3F3F3" w:val="clear"/>
              </w:rPr>
              <w:t>ago 2025</w:t>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set/</w:t>
            </w:r>
          </w:p>
          <w:p>
            <w:pPr>
              <w:pStyle w:val="Normal"/>
              <w:widowControl w:val="false"/>
              <w:jc w:val="center"/>
              <w:rPr>
                <w:color w:val="000000"/>
                <w:sz w:val="22"/>
                <w:szCs w:val="22"/>
                <w:highlight w:val="white"/>
              </w:rPr>
            </w:pPr>
            <w:r>
              <w:rPr>
                <w:color w:themeColor="text1" w:val="000000"/>
                <w:sz w:val="22"/>
                <w:szCs w:val="22"/>
                <w:highlight w:val="white"/>
              </w:rPr>
              <w:t>out</w:t>
            </w:r>
          </w:p>
          <w:p>
            <w:pPr>
              <w:pStyle w:val="Normal"/>
              <w:widowControl w:val="false"/>
              <w:jc w:val="center"/>
              <w:rPr>
                <w:color w:val="000000"/>
                <w:sz w:val="22"/>
                <w:szCs w:val="22"/>
                <w:highlight w:val="white"/>
              </w:rPr>
            </w:pPr>
            <w:r>
              <w:rPr>
                <w:color w:themeColor="text1" w:val="000000"/>
                <w:sz w:val="22"/>
                <w:szCs w:val="22"/>
                <w:highlight w:val="white"/>
              </w:rPr>
              <w:t>2025</w:t>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nov/</w:t>
            </w:r>
          </w:p>
          <w:p>
            <w:pPr>
              <w:pStyle w:val="Normal"/>
              <w:widowControl w:val="false"/>
              <w:jc w:val="center"/>
              <w:rPr>
                <w:color w:val="000000"/>
                <w:sz w:val="22"/>
                <w:szCs w:val="22"/>
                <w:highlight w:val="white"/>
              </w:rPr>
            </w:pPr>
            <w:r>
              <w:rPr>
                <w:color w:themeColor="text1" w:val="000000"/>
                <w:sz w:val="22"/>
                <w:szCs w:val="22"/>
                <w:highlight w:val="white"/>
              </w:rPr>
              <w:t>dez 2025</w:t>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Revisão de literatura</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Coleta de dados</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Tabulação dos dados</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Análise estatística</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Redação do relatório de pesquisa</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Submissão do projeto para o CEP</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Submissão de artigo</w:t>
            </w:r>
          </w:p>
          <w:p>
            <w:pPr>
              <w:pStyle w:val="Normal"/>
              <w:widowControl w:val="false"/>
              <w:rPr>
                <w:color w:val="000000"/>
                <w:sz w:val="22"/>
                <w:szCs w:val="22"/>
                <w:highlight w:val="white"/>
              </w:rPr>
            </w:pPr>
            <w:r>
              <w:rPr>
                <w:color w:themeColor="text1" w:val="000000"/>
                <w:sz w:val="22"/>
                <w:szCs w:val="22"/>
                <w:highlight w:val="white"/>
              </w:rPr>
              <w:t>e apresentação de trabalhos em eventos</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t>x</w:t>
            </w:r>
          </w:p>
        </w:tc>
      </w:tr>
      <w:tr>
        <w:trPr/>
        <w:tc>
          <w:tcPr>
            <w:tcW w:w="223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rPr>
                <w:color w:val="000000"/>
                <w:sz w:val="22"/>
                <w:szCs w:val="22"/>
                <w:highlight w:val="white"/>
              </w:rPr>
            </w:pPr>
            <w:r>
              <w:rPr>
                <w:color w:themeColor="text1" w:val="000000"/>
                <w:sz w:val="22"/>
                <w:szCs w:val="22"/>
                <w:highlight w:val="white"/>
              </w:rPr>
              <w:t>Qualificação de mestrado</w:t>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9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71"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t>x</w:t>
            </w:r>
          </w:p>
        </w:tc>
        <w:tc>
          <w:tcPr>
            <w:tcW w:w="824"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857"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3"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05"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0" w:type="dxa"/>
            <w:tcBorders>
              <w:top w:val="single" w:sz="8" w:space="0" w:color="000000"/>
              <w:left w:val="single" w:sz="8" w:space="0" w:color="000000"/>
              <w:bottom w:val="single" w:sz="8" w:space="0" w:color="000000"/>
              <w:right w:val="single" w:sz="8" w:space="0" w:color="000000"/>
            </w:tcBorders>
            <w:shd w:color="auto" w:fill="F3F3F3"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52"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c>
          <w:tcPr>
            <w:tcW w:w="778"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jc w:val="center"/>
              <w:rPr>
                <w:color w:val="000000"/>
                <w:sz w:val="22"/>
                <w:szCs w:val="22"/>
                <w:highlight w:val="white"/>
              </w:rPr>
            </w:pPr>
            <w:r>
              <w:rPr>
                <w:color w:themeColor="text1" w:val="000000"/>
                <w:sz w:val="22"/>
                <w:szCs w:val="22"/>
                <w:highlight w:val="white"/>
              </w:rPr>
            </w:r>
          </w:p>
        </w:tc>
      </w:tr>
    </w:tbl>
    <w:p>
      <w:pPr>
        <w:pStyle w:val="Normal"/>
        <w:spacing w:before="280" w:after="280"/>
        <w:rPr>
          <w:b/>
          <w:color w:val="000000"/>
        </w:rPr>
      </w:pPr>
      <w:r>
        <w:rPr>
          <w:b/>
          <w:color w:themeColor="text1" w:val="000000"/>
        </w:rPr>
        <w:t>6. ORÇAMENTO</w:t>
      </w:r>
    </w:p>
    <w:p>
      <w:pPr>
        <w:pStyle w:val="Normal"/>
        <w:spacing w:before="280" w:after="280"/>
        <w:ind w:firstLine="720"/>
        <w:rPr>
          <w:color w:val="000000"/>
        </w:rPr>
      </w:pPr>
      <w:r>
        <w:rPr>
          <w:color w:themeColor="text1" w:val="000000"/>
        </w:rPr>
        <w:t>Caso necessário será oferecido ressarcimento aos participantes e a pesquisadora se compromete a indenização em caso de qualquer prejuízo em decorrência da participação na pesquisa.</w:t>
      </w:r>
    </w:p>
    <w:p>
      <w:pPr>
        <w:pStyle w:val="Normal"/>
        <w:spacing w:before="280" w:after="280"/>
        <w:rPr>
          <w:b/>
          <w:color w:val="000000"/>
        </w:rPr>
      </w:pPr>
      <w:r>
        <w:rPr>
          <w:b/>
          <w:color w:themeColor="text1" w:val="000000"/>
        </w:rPr>
        <w:t>Material de consumo</w:t>
      </w:r>
    </w:p>
    <w:p>
      <w:pPr>
        <w:pStyle w:val="Normal"/>
        <w:spacing w:before="280" w:after="280"/>
        <w:rPr>
          <w:color w:val="000000"/>
        </w:rPr>
      </w:pPr>
      <w:r>
        <w:rPr>
          <w:b/>
          <w:color w:themeColor="text1" w:val="000000"/>
        </w:rPr>
        <w:tab/>
      </w:r>
      <w:r>
        <w:rPr>
          <w:color w:themeColor="text1" w:val="000000"/>
        </w:rPr>
        <w:t>Os materiais utilizados serão papel e materiais de escritório para o preenchimento do protocolo de pesquisa. O recurso desses materiais será pessoal.</w:t>
      </w:r>
    </w:p>
    <w:p>
      <w:pPr>
        <w:pStyle w:val="Normal"/>
        <w:spacing w:before="280" w:after="280"/>
        <w:rPr>
          <w:b/>
          <w:color w:val="000000"/>
        </w:rPr>
      </w:pPr>
      <w:r>
        <w:rPr>
          <w:b/>
          <w:color w:themeColor="text1" w:val="000000"/>
        </w:rPr>
        <w:t>Material permanente</w:t>
      </w:r>
    </w:p>
    <w:p>
      <w:pPr>
        <w:pStyle w:val="Normal"/>
        <w:spacing w:before="280" w:after="280"/>
        <w:rPr>
          <w:color w:val="000000"/>
        </w:rPr>
      </w:pPr>
      <w:r>
        <w:rPr>
          <w:b/>
          <w:color w:themeColor="text1" w:val="000000"/>
        </w:rPr>
        <w:tab/>
      </w:r>
      <w:r>
        <w:rPr>
          <w:color w:themeColor="text1" w:val="000000"/>
        </w:rPr>
        <w:t>Os equipamentos utilizados serão: computador, softwares e impressora, disponíveis na Clínica de Fonoaudiologia da Faculdade de Odontologia de Bauru (FOB - USP).</w:t>
      </w:r>
    </w:p>
    <w:p>
      <w:pPr>
        <w:pStyle w:val="Normal"/>
        <w:spacing w:before="0" w:after="280"/>
        <w:ind w:left="72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color w:val="000000"/>
        </w:rPr>
      </w:pPr>
      <w:r>
        <w:rPr>
          <w:color w:themeColor="text1" w:val="000000"/>
        </w:rPr>
      </w:r>
    </w:p>
    <w:p>
      <w:pPr>
        <w:pStyle w:val="Normal"/>
        <w:widowControl w:val="false"/>
        <w:spacing w:before="0" w:after="240"/>
        <w:rPr>
          <w:b/>
          <w:color w:val="000000"/>
        </w:rPr>
      </w:pPr>
      <w:r>
        <w:rPr>
          <w:b/>
          <w:color w:themeColor="text1" w:val="000000"/>
        </w:rPr>
      </w:r>
    </w:p>
    <w:p>
      <w:pPr>
        <w:pStyle w:val="Normal"/>
        <w:widowControl w:val="false"/>
        <w:spacing w:before="0" w:after="240"/>
        <w:rPr>
          <w:b/>
          <w:color w:val="000000"/>
          <w:lang w:val="en-US"/>
        </w:rPr>
      </w:pPr>
      <w:r>
        <w:rPr>
          <w:b/>
          <w:color w:themeColor="text1" w:val="000000"/>
          <w:lang w:val="en-US"/>
        </w:rPr>
        <w:t>7. REFERÊNCIAS BIBLIOGRÁFICAS</w:t>
      </w:r>
    </w:p>
    <w:p>
      <w:pPr>
        <w:pStyle w:val="Normal"/>
        <w:ind w:left="283"/>
        <w:rPr>
          <w:color w:val="000000"/>
          <w:lang w:val="en-US"/>
        </w:rPr>
      </w:pPr>
      <w:r>
        <w:rPr>
          <w:color w:themeColor="text1" w:val="000000"/>
          <w:lang w:val="en-US"/>
        </w:rPr>
        <w:t xml:space="preserve">LANGGUTH, B.; KLEINJUNG, T.; LANDGREBE, M. Tinnitus: the complexity of standardization. </w:t>
      </w:r>
      <w:r>
        <w:rPr>
          <w:b/>
          <w:color w:themeColor="text1" w:val="000000"/>
          <w:lang w:val="en-US"/>
        </w:rPr>
        <w:t>Eval Health Prof</w:t>
      </w:r>
      <w:r>
        <w:rPr>
          <w:i/>
          <w:color w:themeColor="text1" w:val="000000"/>
          <w:lang w:val="en-US"/>
        </w:rPr>
        <w:t>.</w:t>
      </w:r>
      <w:r>
        <w:rPr>
          <w:color w:themeColor="text1" w:val="000000"/>
          <w:lang w:val="en-US"/>
        </w:rPr>
        <w:t>, 2011, v. 34, p. 429–433.</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BAGULEY, D.; MCFERRAN, D.; HALL, D. Tinnitus. </w:t>
      </w:r>
      <w:r>
        <w:rPr>
          <w:b/>
          <w:color w:themeColor="text1" w:val="000000"/>
          <w:lang w:val="en-US"/>
        </w:rPr>
        <w:t>Lancet</w:t>
      </w:r>
      <w:r>
        <w:rPr>
          <w:color w:themeColor="text1" w:val="000000"/>
          <w:lang w:val="en-US"/>
        </w:rPr>
        <w:t>, 2013, v. 382, p. 1600–1607. DOI: 10.1016/S0140-6736(13)60142-7.</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PIERCE, K. J. et al. Effects of severe bothersome tinnitus on cognitive function measured with standardized tests. </w:t>
      </w:r>
      <w:r>
        <w:rPr>
          <w:b/>
          <w:color w:themeColor="text1" w:val="000000"/>
          <w:lang w:val="en-US"/>
        </w:rPr>
        <w:t>J Clin Exp Neuropsychol.</w:t>
      </w:r>
      <w:r>
        <w:rPr>
          <w:color w:themeColor="text1" w:val="000000"/>
          <w:lang w:val="en-US"/>
        </w:rPr>
        <w:t>, 2012, v. 34, p. 126–134.</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WATTS, E. J. et al. Why is tinnitus a problem? A qualitative analysis of problems reported by tinnitus patients. </w:t>
      </w:r>
      <w:r>
        <w:rPr>
          <w:b/>
          <w:color w:themeColor="text1" w:val="000000"/>
          <w:lang w:val="en-US"/>
        </w:rPr>
        <w:t>Trends Hear</w:t>
      </w:r>
      <w:r>
        <w:rPr>
          <w:i/>
          <w:color w:themeColor="text1" w:val="000000"/>
          <w:lang w:val="en-US"/>
        </w:rPr>
        <w:t>.</w:t>
      </w:r>
      <w:r>
        <w:rPr>
          <w:color w:themeColor="text1" w:val="000000"/>
          <w:lang w:val="en-US"/>
        </w:rPr>
        <w:t>, 2018, v. 22, p. 2331216518812250.</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SALDANHA, A. D. et al. Are temporomandibular disorders and tinnitus associated? </w:t>
      </w:r>
      <w:r>
        <w:rPr>
          <w:b/>
          <w:color w:themeColor="text1" w:val="000000"/>
          <w:lang w:val="en-US"/>
        </w:rPr>
        <w:t>Cranio.</w:t>
      </w:r>
      <w:r>
        <w:rPr>
          <w:color w:themeColor="text1" w:val="000000"/>
          <w:lang w:val="en-US"/>
        </w:rPr>
        <w:t>, 2012, v. 30, p. 166–171.</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et al. The presence of physical symptoms in patients with tinnitus: International web‐based survey. </w:t>
      </w:r>
      <w:r>
        <w:rPr>
          <w:b/>
          <w:color w:themeColor="text1" w:val="000000"/>
          <w:lang w:val="en-US"/>
        </w:rPr>
        <w:t>Interact. J. Med Res.</w:t>
      </w:r>
      <w:r>
        <w:rPr>
          <w:color w:themeColor="text1" w:val="000000"/>
          <w:lang w:val="en-US"/>
        </w:rPr>
        <w:t>, 2019, v. 8, e14519.</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RALLI, M. et al. Somatosensory tinnitus: current evidence and future perspectives. </w:t>
      </w:r>
      <w:r>
        <w:rPr>
          <w:b/>
          <w:color w:themeColor="text1" w:val="000000"/>
          <w:lang w:val="en-US"/>
        </w:rPr>
        <w:t>J. Int. Med Res.</w:t>
      </w:r>
      <w:r>
        <w:rPr>
          <w:color w:themeColor="text1" w:val="000000"/>
          <w:lang w:val="en-US"/>
        </w:rPr>
        <w:t>, 2017, v. 45, p. 933–947.</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et al. Diagnostic criteria for somatosensory tinnitus: a Delphi process and face-to-face meeting to establish consensus. </w:t>
      </w:r>
      <w:r>
        <w:rPr>
          <w:b/>
          <w:color w:themeColor="text1" w:val="000000"/>
          <w:lang w:val="en-US"/>
        </w:rPr>
        <w:t>Trends Hear.</w:t>
      </w:r>
      <w:r>
        <w:rPr>
          <w:color w:themeColor="text1" w:val="000000"/>
          <w:lang w:val="en-US"/>
        </w:rPr>
        <w:t>, 2018, v. 22, p. 2331216518796403.</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CHERIAN, K. et al. Improving tinnitus with mechanical treatment of the cervical spine and jaw. </w:t>
      </w:r>
      <w:r>
        <w:rPr>
          <w:b/>
          <w:color w:themeColor="text1" w:val="000000"/>
          <w:lang w:val="en-US"/>
        </w:rPr>
        <w:t>J Am Acad Audiol.</w:t>
      </w:r>
      <w:r>
        <w:rPr>
          <w:color w:themeColor="text1" w:val="000000"/>
          <w:lang w:val="en-US"/>
        </w:rPr>
        <w:t>, 2013, v. 24, p. 544–555.</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ELADL, H. M. et al. Effect of adding a supervised physical therapy exercise program to photobiomodulation therapy in the treatment of cervicogenic somatosensory tinnitus: a randomized controlled study. </w:t>
      </w:r>
      <w:r>
        <w:rPr>
          <w:b/>
          <w:color w:themeColor="text1" w:val="000000"/>
          <w:lang w:val="en-US"/>
        </w:rPr>
        <w:t>Medicine (Baltimore)</w:t>
      </w:r>
      <w:r>
        <w:rPr>
          <w:color w:themeColor="text1" w:val="000000"/>
          <w:lang w:val="en-US"/>
        </w:rPr>
        <w:t>, 2022, v. 101, n. 31, e29946. DOI: 10.1097/MD.0000000000029946.</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SANCHEZ, T. G.; ROCHA, C. B. Diagnosis and management of somatosensory tinnitus. </w:t>
      </w:r>
      <w:r>
        <w:rPr>
          <w:b/>
          <w:color w:themeColor="text1" w:val="000000"/>
          <w:lang w:val="en-US"/>
        </w:rPr>
        <w:t>Clinics</w:t>
      </w:r>
      <w:r>
        <w:rPr>
          <w:color w:themeColor="text1" w:val="000000"/>
          <w:lang w:val="en-US"/>
        </w:rPr>
        <w:t>, 2011, v. 66, p. 1089–1094.</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SANCHEZ, T. G. et al. Somatic modulation of tinnitus: test reliability and results after repetitive muscle contraction training. </w:t>
      </w:r>
      <w:r>
        <w:rPr>
          <w:b/>
          <w:color w:themeColor="text1" w:val="000000"/>
          <w:lang w:val="en-US"/>
        </w:rPr>
        <w:t>Ann Otol Rhinol Laryngol</w:t>
      </w:r>
      <w:r>
        <w:rPr>
          <w:i/>
          <w:color w:themeColor="text1" w:val="000000"/>
          <w:lang w:val="en-US"/>
        </w:rPr>
        <w:t>.</w:t>
      </w:r>
      <w:r>
        <w:rPr>
          <w:color w:themeColor="text1" w:val="000000"/>
          <w:lang w:val="en-US"/>
        </w:rPr>
        <w:t>, 2007, v. 116, p. 30–35.</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ZHAN, X.; PONGSTAPORNP, T.; RYUGO, D. K. Projections of the second cervical dorsal root ganglion to the cochlear nucleus in rats. </w:t>
      </w:r>
      <w:r>
        <w:rPr>
          <w:b/>
          <w:color w:themeColor="text1" w:val="000000"/>
          <w:lang w:val="en-US"/>
        </w:rPr>
        <w:t>Journal of Comparative Neurology</w:t>
      </w:r>
      <w:r>
        <w:rPr>
          <w:color w:themeColor="text1" w:val="000000"/>
          <w:lang w:val="en-US"/>
        </w:rPr>
        <w:t>, 2006, v. 496, n. 3, p. 335-348.</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LANTING, C. P. et al. Neural correlates of human somatosensory integration in tinnitus. </w:t>
      </w:r>
      <w:r>
        <w:rPr>
          <w:b/>
          <w:color w:themeColor="text1" w:val="000000"/>
          <w:lang w:val="en-US"/>
        </w:rPr>
        <w:t>Hearing Research</w:t>
      </w:r>
      <w:r>
        <w:rPr>
          <w:color w:themeColor="text1" w:val="000000"/>
          <w:lang w:val="en-US"/>
        </w:rPr>
        <w:t>, 2010, v. 267, n. 1-2, p. 78-88.</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et al. Physical therapy for patients with subjective tinnitus: a systematic review. </w:t>
      </w:r>
      <w:r>
        <w:rPr>
          <w:b/>
          <w:color w:themeColor="text1" w:val="000000"/>
          <w:lang w:val="en-US"/>
        </w:rPr>
        <w:t>Phys. Ther</w:t>
      </w:r>
      <w:r>
        <w:rPr>
          <w:i/>
          <w:color w:themeColor="text1" w:val="000000"/>
          <w:lang w:val="en-US"/>
        </w:rPr>
        <w:t>.</w:t>
      </w:r>
      <w:r>
        <w:rPr>
          <w:color w:themeColor="text1" w:val="000000"/>
          <w:lang w:val="en-US"/>
        </w:rPr>
        <w:t>, 2016, v. 96, n. 5, p. 670-680. DOI: 10.2522/ptj.20140380.</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SHORE, S. E. Plasticity of somatosensory inputs to the cochlear nucleus – implications for tinnitus. </w:t>
      </w:r>
      <w:r>
        <w:rPr>
          <w:b/>
          <w:color w:themeColor="text1" w:val="000000"/>
          <w:lang w:val="en-US"/>
        </w:rPr>
        <w:t>Hearing Research</w:t>
      </w:r>
      <w:r>
        <w:rPr>
          <w:color w:themeColor="text1" w:val="000000"/>
          <w:lang w:val="en-US"/>
        </w:rPr>
        <w:t>, 2011, v. 281, n. 1-2, p. 38-46. DOI: 10.1016/j.heares.2011.01.005.</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NOREÑA, A. J. et al. An integrative model accounting for the symptom cluster triggered after an acoustic shock. </w:t>
      </w:r>
      <w:r>
        <w:rPr>
          <w:b/>
          <w:color w:themeColor="text1" w:val="000000"/>
          <w:lang w:val="en-US"/>
        </w:rPr>
        <w:t>Trends Hear.</w:t>
      </w:r>
      <w:r>
        <w:rPr>
          <w:color w:themeColor="text1" w:val="000000"/>
          <w:lang w:val="en-US"/>
        </w:rPr>
        <w:t>, 2018, v. 22, p. 2331216518801725. DOI:</w:t>
      </w:r>
      <w:hyperlink r:id="rId2">
        <w:r>
          <w:rPr>
            <w:color w:themeColor="text1" w:val="000000"/>
            <w:lang w:val="en-US"/>
          </w:rPr>
          <w:t xml:space="preserve"> </w:t>
        </w:r>
      </w:hyperlink>
      <w:hyperlink r:id="rId3">
        <w:r>
          <w:rPr>
            <w:color w:themeColor="text1" w:val="1155CC"/>
            <w:u w:val="single"/>
            <w:lang w:val="en-US"/>
          </w:rPr>
          <w:t>10.1177/2331216518801725</w:t>
        </w:r>
      </w:hyperlink>
      <w:r>
        <w:rPr>
          <w:color w:themeColor="text1" w:val="000000"/>
          <w:lang w:val="en-US"/>
        </w:rPr>
        <w:t>.</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HENRY, J. A. et al. Tinnitus management: randomized controlled trial comparing extended-wear hearing aids, conventional hearing aids, and combination instruments. </w:t>
      </w:r>
      <w:r>
        <w:rPr>
          <w:b/>
          <w:color w:themeColor="text1" w:val="000000"/>
          <w:lang w:val="en-US"/>
        </w:rPr>
        <w:t xml:space="preserve">J. Am. </w:t>
      </w:r>
      <w:r>
        <w:rPr>
          <w:b/>
          <w:color w:themeColor="text1" w:val="000000"/>
        </w:rPr>
        <w:t>Acad. Audiol.</w:t>
      </w:r>
      <w:r>
        <w:rPr>
          <w:color w:themeColor="text1" w:val="000000"/>
        </w:rPr>
        <w:t xml:space="preserve">, 2017, v. 28, p. 546–561. </w:t>
      </w:r>
      <w:r>
        <w:rPr>
          <w:color w:themeColor="text1" w:val="000000"/>
          <w:lang w:val="en-US"/>
        </w:rPr>
        <w:t>DOI:</w:t>
      </w:r>
      <w:hyperlink r:id="rId4">
        <w:r>
          <w:rPr>
            <w:color w:themeColor="text1" w:val="000000"/>
            <w:lang w:val="en-US"/>
          </w:rPr>
          <w:t xml:space="preserve"> </w:t>
        </w:r>
      </w:hyperlink>
      <w:hyperlink r:id="rId5">
        <w:r>
          <w:rPr>
            <w:color w:themeColor="text1" w:val="1155CC"/>
            <w:u w:val="single"/>
            <w:lang w:val="en-US"/>
          </w:rPr>
          <w:t>10.3766/jaaa.16067</w:t>
        </w:r>
      </w:hyperlink>
      <w:r>
        <w:rPr>
          <w:color w:themeColor="text1" w:val="000000"/>
          <w:lang w:val="en-US"/>
        </w:rPr>
        <w:t>.</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SHORE, S.; ZHOU, J.; KOEHLER, S. Neural mechanisms underlying somatic tinnitus. </w:t>
      </w:r>
      <w:r>
        <w:rPr>
          <w:i/>
          <w:color w:themeColor="text1" w:val="000000"/>
          <w:lang w:val="en-US"/>
        </w:rPr>
        <w:t>Progress in Brain Research</w:t>
      </w:r>
      <w:r>
        <w:rPr>
          <w:color w:themeColor="text1" w:val="000000"/>
          <w:lang w:val="en-US"/>
        </w:rPr>
        <w:t>, 2007, v. 166, p. 107-123.</w:t>
      </w:r>
    </w:p>
    <w:p>
      <w:pPr>
        <w:pStyle w:val="Normal"/>
        <w:ind w:left="283"/>
        <w:rPr>
          <w:color w:val="000000"/>
          <w:lang w:val="en-US"/>
        </w:rPr>
      </w:pPr>
      <w:r>
        <w:rPr>
          <w:color w:themeColor="text1" w:val="000000"/>
          <w:lang w:val="en-US"/>
        </w:rPr>
        <w:t xml:space="preserve">MICHIELS, S. et al. Cervical spine dysfunctions in patients with chronic subjective tinnitus. </w:t>
      </w:r>
      <w:r>
        <w:rPr>
          <w:b/>
          <w:color w:themeColor="text1" w:val="000000"/>
          <w:lang w:val="en-US"/>
        </w:rPr>
        <w:t>Otol. Neurotol.</w:t>
      </w:r>
      <w:r>
        <w:rPr>
          <w:color w:themeColor="text1" w:val="000000"/>
          <w:lang w:val="en-US"/>
        </w:rPr>
        <w:t>, 2015, v. 36, p. 741–745. DOI: 10.1097/MAO.0000000000000670.</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et al. Diagnostic criteria for somatosensory tinnitus: a Delphi process and face-to-face meeting to establish consensus. </w:t>
      </w:r>
      <w:r>
        <w:rPr>
          <w:b/>
          <w:color w:themeColor="text1" w:val="000000"/>
          <w:lang w:val="en-US"/>
        </w:rPr>
        <w:t>Trends Hear</w:t>
      </w:r>
      <w:r>
        <w:rPr>
          <w:i/>
          <w:color w:themeColor="text1" w:val="000000"/>
          <w:lang w:val="en-US"/>
        </w:rPr>
        <w:t>.</w:t>
      </w:r>
      <w:r>
        <w:rPr>
          <w:color w:themeColor="text1" w:val="000000"/>
          <w:lang w:val="en-US"/>
        </w:rPr>
        <w:t>, 2018, v. 22, p. 2331216518796403. DOI: 10.1177/2331216518796403.</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et al. The rapid screening for somatosensory tinnitus tool: a data-driven decision tree based on specific diagnostic criteria. </w:t>
      </w:r>
      <w:r>
        <w:rPr>
          <w:b/>
          <w:color w:themeColor="text1" w:val="000000"/>
          <w:lang w:val="en-US"/>
        </w:rPr>
        <w:t>Ear Hear</w:t>
      </w:r>
      <w:r>
        <w:rPr>
          <w:i/>
          <w:color w:themeColor="text1" w:val="000000"/>
          <w:lang w:val="en-US"/>
        </w:rPr>
        <w:t>.</w:t>
      </w:r>
      <w:r>
        <w:rPr>
          <w:color w:themeColor="text1" w:val="000000"/>
          <w:lang w:val="en-US"/>
        </w:rPr>
        <w:t xml:space="preserve"> DOI:</w:t>
      </w:r>
      <w:hyperlink r:id="rId6">
        <w:r>
          <w:rPr>
            <w:color w:themeColor="text1" w:val="000000"/>
            <w:lang w:val="en-US"/>
          </w:rPr>
          <w:t xml:space="preserve"> </w:t>
        </w:r>
      </w:hyperlink>
      <w:hyperlink r:id="rId7">
        <w:r>
          <w:rPr>
            <w:color w:themeColor="text1" w:val="1155CC"/>
            <w:u w:val="single"/>
            <w:lang w:val="en-US"/>
          </w:rPr>
          <w:t>10.1097/AUD.0000000000001224</w:t>
        </w:r>
      </w:hyperlink>
      <w:r>
        <w:rPr>
          <w:color w:themeColor="text1" w:val="000000"/>
          <w:lang w:val="en-US"/>
        </w:rPr>
        <w:t>.</w:t>
      </w:r>
    </w:p>
    <w:p>
      <w:pPr>
        <w:pStyle w:val="Normal"/>
        <w:ind w:left="283"/>
        <w:rPr>
          <w:color w:val="000000"/>
          <w:lang w:val="en-US"/>
        </w:rPr>
      </w:pPr>
      <w:r>
        <w:rPr>
          <w:color w:themeColor="text1" w:val="000000"/>
          <w:lang w:val="en-US"/>
        </w:rPr>
      </w:r>
    </w:p>
    <w:p>
      <w:pPr>
        <w:pStyle w:val="Normal"/>
        <w:ind w:left="283"/>
        <w:rPr>
          <w:color w:val="000000"/>
        </w:rPr>
      </w:pPr>
      <w:r>
        <w:rPr>
          <w:color w:themeColor="text1" w:val="000000"/>
          <w:lang w:val="en-US"/>
        </w:rPr>
        <w:t xml:space="preserve">COHEN, S. P.; HOOTEN, W. M. Advances in the diagnosis and management of neck pain. </w:t>
      </w:r>
      <w:r>
        <w:rPr>
          <w:b/>
          <w:color w:themeColor="text1" w:val="000000"/>
        </w:rPr>
        <w:t>BMJ</w:t>
      </w:r>
      <w:r>
        <w:rPr>
          <w:color w:themeColor="text1" w:val="000000"/>
        </w:rPr>
        <w:t>, 2017, v. 358, j3221. DOI: 10.1136/bmj.j3221.</w:t>
      </w:r>
    </w:p>
    <w:p>
      <w:pPr>
        <w:pStyle w:val="Normal"/>
        <w:ind w:left="283"/>
        <w:rPr>
          <w:color w:val="000000"/>
        </w:rPr>
      </w:pPr>
      <w:r>
        <w:rPr>
          <w:color w:themeColor="text1" w:val="000000"/>
        </w:rPr>
      </w:r>
    </w:p>
    <w:p>
      <w:pPr>
        <w:pStyle w:val="Normal"/>
        <w:ind w:left="283"/>
        <w:rPr>
          <w:color w:val="000000"/>
          <w:lang w:val="en-US"/>
        </w:rPr>
      </w:pPr>
      <w:r>
        <w:rPr>
          <w:color w:themeColor="text1" w:val="000000"/>
        </w:rPr>
        <w:t xml:space="preserve">COTE, P. et al. </w:t>
      </w:r>
      <w:r>
        <w:rPr>
          <w:color w:themeColor="text1" w:val="000000"/>
          <w:lang w:val="en-US"/>
        </w:rPr>
        <w:t xml:space="preserve">Management of neck pain and associated disorders: a clinical practice guideline from the Ontario Protocol for Traffic Injury Management (OPTIMa) Collaboration. </w:t>
      </w:r>
      <w:r>
        <w:rPr>
          <w:b/>
          <w:color w:themeColor="text1" w:val="000000"/>
          <w:lang w:val="en-US"/>
        </w:rPr>
        <w:t>Eur Spine J</w:t>
      </w:r>
      <w:r>
        <w:rPr>
          <w:i/>
          <w:color w:themeColor="text1" w:val="000000"/>
          <w:lang w:val="en-US"/>
        </w:rPr>
        <w:t>.</w:t>
      </w:r>
      <w:r>
        <w:rPr>
          <w:color w:themeColor="text1" w:val="000000"/>
          <w:lang w:val="en-US"/>
        </w:rPr>
        <w:t>, 2016, v. 25, n. 7, p. 2000–2022. DOI: 10.1007/s00586-016-4467-7.</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JARACH, C. M. et al. Global prevalence and incidence of tinnitus: a systematic review and meta-analysis. </w:t>
      </w:r>
      <w:r>
        <w:rPr>
          <w:b/>
          <w:color w:themeColor="text1" w:val="000000"/>
          <w:lang w:val="en-US"/>
        </w:rPr>
        <w:t>JAMA Neurol</w:t>
      </w:r>
      <w:r>
        <w:rPr>
          <w:i/>
          <w:color w:themeColor="text1" w:val="000000"/>
          <w:lang w:val="en-US"/>
        </w:rPr>
        <w:t>.</w:t>
      </w:r>
      <w:r>
        <w:rPr>
          <w:color w:themeColor="text1" w:val="000000"/>
          <w:lang w:val="en-US"/>
        </w:rPr>
        <w:t>, 2022, v. 79, n. 9, p. 888-900. DOI: 10.1001/jamaneurol.2022.2189.</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RADEMAKER, M. M. et al. The effect of mindfulness-based interventions on tinnitus distress. </w:t>
      </w:r>
      <w:r>
        <w:rPr>
          <w:b/>
          <w:color w:themeColor="text1" w:val="000000"/>
          <w:lang w:val="en-US"/>
        </w:rPr>
        <w:t>Front Neurol</w:t>
      </w:r>
      <w:r>
        <w:rPr>
          <w:i/>
          <w:color w:themeColor="text1" w:val="000000"/>
          <w:lang w:val="en-US"/>
        </w:rPr>
        <w:t>.</w:t>
      </w:r>
      <w:r>
        <w:rPr>
          <w:color w:themeColor="text1" w:val="000000"/>
          <w:lang w:val="en-US"/>
        </w:rPr>
        <w:t>, 2019, v. 10, p. 1135. DOI: 10.3389/fneur.2019.01135.</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HEILAND, L. D. et al. Neuromodulation for treatment of tinnitus: a systematic review and meta-analysis. </w:t>
      </w:r>
      <w:r>
        <w:rPr>
          <w:b/>
          <w:color w:themeColor="text1" w:val="000000"/>
          <w:lang w:val="en-US"/>
        </w:rPr>
        <w:t>Otolaryngol Head Neck Surg</w:t>
      </w:r>
      <w:r>
        <w:rPr>
          <w:i/>
          <w:color w:themeColor="text1" w:val="000000"/>
          <w:lang w:val="en-US"/>
        </w:rPr>
        <w:t>.</w:t>
      </w:r>
      <w:r>
        <w:rPr>
          <w:color w:themeColor="text1" w:val="000000"/>
          <w:lang w:val="en-US"/>
        </w:rPr>
        <w:t>, 2024, v. 170, n. 5, p. 1234-1245. DOI: 10.1002/ohn.671.</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BYUN, Y. J. et al. Transcutaneous electrical nerve stimulation for treatment of tinnitus: a systematic review and meta-analysis.</w:t>
      </w:r>
      <w:r>
        <w:rPr>
          <w:b/>
          <w:color w:themeColor="text1" w:val="000000"/>
          <w:lang w:val="en-US"/>
        </w:rPr>
        <w:t xml:space="preserve"> Otol Neurotol.</w:t>
      </w:r>
      <w:r>
        <w:rPr>
          <w:color w:themeColor="text1" w:val="000000"/>
          <w:lang w:val="en-US"/>
        </w:rPr>
        <w:t>, 2020, v. 41, n. 7, p. e767-e775. DOI: 10.1097/MAO.0000000000002712.</w:t>
      </w:r>
    </w:p>
    <w:p>
      <w:pPr>
        <w:pStyle w:val="Normal"/>
        <w:rPr>
          <w:color w:val="000000"/>
          <w:highlight w:val="white"/>
          <w:lang w:val="en-US"/>
        </w:rPr>
      </w:pPr>
      <w:r>
        <w:rPr>
          <w:color w:themeColor="text1" w:val="000000"/>
          <w:highlight w:val="white"/>
          <w:lang w:val="en-US"/>
        </w:rPr>
      </w:r>
    </w:p>
    <w:p>
      <w:pPr>
        <w:pStyle w:val="Normal"/>
        <w:ind w:left="283"/>
        <w:rPr>
          <w:color w:val="000000"/>
          <w:lang w:val="en-US"/>
        </w:rPr>
      </w:pPr>
      <w:r>
        <w:rPr>
          <w:color w:themeColor="text1" w:val="000000"/>
          <w:lang w:val="en-US"/>
        </w:rPr>
        <w:t xml:space="preserve">HUANG, K.; LIANG, S.; CHEN, L.; GRELLER, A. Acupuncture for tinnitus: a systematic review and meta-analysis of randomized controlled trials. </w:t>
      </w:r>
      <w:r>
        <w:rPr>
          <w:b/>
          <w:color w:themeColor="text1" w:val="000000"/>
          <w:lang w:val="en-US"/>
        </w:rPr>
        <w:t>Acupuncture in Medicine</w:t>
      </w:r>
      <w:r>
        <w:rPr>
          <w:color w:themeColor="text1" w:val="000000"/>
          <w:lang w:val="en-US"/>
        </w:rPr>
        <w:t>, v. 39, n. 4, p. 264-271, 2021. DOI: 10.1177/0964528420938380. Epub 2020 Aug 10. PMID: 32772848.</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NIKOOKAM, Y. et al. The effect of photobiomodulation on tinnitus: a systematic review. </w:t>
      </w:r>
      <w:r>
        <w:rPr>
          <w:b/>
          <w:color w:themeColor="text1" w:val="000000"/>
          <w:lang w:val="en-US"/>
        </w:rPr>
        <w:t>Journal of Laryngology and Otology</w:t>
      </w:r>
      <w:r>
        <w:rPr>
          <w:color w:themeColor="text1" w:val="000000"/>
          <w:lang w:val="en-US"/>
        </w:rPr>
        <w:t>, 2023. p. 1-22. DOI: 10.1017/S0022215123002165. Epub ahead of print. PMID: 37994052.</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HAN, M.; YANG, X.; LV, J. Efficacy of tinnitus retraining therapy in the treatment of tinnitus: A meta-analysis and systematic review. </w:t>
      </w:r>
      <w:r>
        <w:rPr>
          <w:b/>
          <w:color w:themeColor="text1" w:val="000000"/>
          <w:lang w:val="en-US"/>
        </w:rPr>
        <w:t>American Journal of Otolaryngology</w:t>
      </w:r>
      <w:r>
        <w:rPr>
          <w:color w:themeColor="text1" w:val="000000"/>
          <w:lang w:val="en-US"/>
        </w:rPr>
        <w:t>, v. 42, n. 6, p. 103151, 2021. DOI: 10.1016/j.amjoto.2021.103151. Epub 2021 Jun 27. PMID: 34303210.</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NOREÑA, A. J. et al. A contribution to the debate on tinnitus definition. </w:t>
      </w:r>
      <w:r>
        <w:rPr>
          <w:b/>
          <w:color w:themeColor="text1" w:val="000000"/>
          <w:lang w:val="en-US"/>
        </w:rPr>
        <w:t>Progress in Brain Research</w:t>
      </w:r>
      <w:r>
        <w:rPr>
          <w:color w:themeColor="text1" w:val="000000"/>
          <w:lang w:val="en-US"/>
        </w:rPr>
        <w:t>, v. 262, p. 469-485, 2021. DOI: 10.1016/bs.pbr.2021.01.029. Epub 2021 Apr 8. PMID: 33931192.</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Somatosensory Tinnitus: Recent Developments in Diagnosis and Treatment. </w:t>
      </w:r>
      <w:r>
        <w:rPr>
          <w:b/>
          <w:color w:themeColor="text1" w:val="000000"/>
          <w:lang w:val="en-US"/>
        </w:rPr>
        <w:t>Journal of the Association for Research in Otolaryngology</w:t>
      </w:r>
      <w:r>
        <w:rPr>
          <w:color w:themeColor="text1" w:val="000000"/>
          <w:lang w:val="en-US"/>
        </w:rPr>
        <w:t>, v. 24, n. 5, p. 465-472, 2023. DOI: 10.1007/s10162-023-00912-3. Epub 2023 Oct 4. PMID: 37794291; PMCID: PMC10695899.</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MICHIELS, S. et al. Prognostic indicators for decrease in tinnitus severity after cervical physical therapy in patients with cervicogenic somatic tinnitus. </w:t>
      </w:r>
      <w:r>
        <w:rPr>
          <w:b/>
          <w:color w:themeColor="text1" w:val="000000"/>
          <w:lang w:val="en-US"/>
        </w:rPr>
        <w:t>Musculoskeletal Science and Practice</w:t>
      </w:r>
      <w:r>
        <w:rPr>
          <w:color w:themeColor="text1" w:val="000000"/>
          <w:lang w:val="en-US"/>
        </w:rPr>
        <w:t>, v. 29, p. 33-37, 2017. DOI: 10.1016/j.msksp.2017.02.008. Epub 2017 Mar 6. PMID: 28286241.</w:t>
      </w:r>
    </w:p>
    <w:p>
      <w:pPr>
        <w:pStyle w:val="Normal"/>
        <w:ind w:left="283"/>
        <w:rPr>
          <w:color w:val="000000"/>
          <w:lang w:val="en-US"/>
        </w:rPr>
      </w:pPr>
      <w:r>
        <w:rPr>
          <w:color w:themeColor="text1" w:val="000000"/>
          <w:lang w:val="en-US"/>
        </w:rPr>
      </w:r>
    </w:p>
    <w:p>
      <w:pPr>
        <w:pStyle w:val="Normal"/>
        <w:ind w:left="283"/>
        <w:rPr>
          <w:color w:val="000000"/>
          <w:lang w:val="en-US"/>
        </w:rPr>
      </w:pPr>
      <w:r>
        <w:rPr>
          <w:color w:themeColor="text1" w:val="000000"/>
          <w:lang w:val="en-US"/>
        </w:rPr>
        <w:t xml:space="preserve">REISSHAUER, A. et al. Functional disturbances of the cervical spine in tinnitus. </w:t>
      </w:r>
      <w:r>
        <w:rPr>
          <w:b/>
          <w:color w:themeColor="text1" w:val="000000"/>
          <w:lang w:val="en-US"/>
        </w:rPr>
        <w:t>HNO</w:t>
      </w:r>
      <w:r>
        <w:rPr>
          <w:color w:themeColor="text1" w:val="000000"/>
          <w:lang w:val="en-US"/>
        </w:rPr>
        <w:t>, v. 54, p. 125-131, 2006.</w:t>
      </w:r>
    </w:p>
    <w:p>
      <w:pPr>
        <w:pStyle w:val="Normal"/>
        <w:rPr>
          <w:color w:val="000000"/>
          <w:lang w:val="en-US"/>
        </w:rPr>
      </w:pPr>
      <w:r>
        <w:rPr>
          <w:color w:themeColor="text1" w:val="000000"/>
          <w:lang w:val="en-US"/>
        </w:rPr>
      </w:r>
    </w:p>
    <w:p>
      <w:pPr>
        <w:pStyle w:val="Normal"/>
        <w:ind w:left="283"/>
        <w:rPr>
          <w:color w:val="000000"/>
        </w:rPr>
      </w:pPr>
      <w:r>
        <w:rPr>
          <w:color w:themeColor="text1" w:val="000000"/>
          <w:lang w:val="en-US"/>
        </w:rPr>
        <w:t xml:space="preserve">BLANPIED, Peter R. et al. </w:t>
      </w:r>
      <w:r>
        <w:rPr>
          <w:color w:themeColor="text1" w:val="000000"/>
        </w:rPr>
        <w:t xml:space="preserve">Neck pain: revision 2017. </w:t>
      </w:r>
      <w:r>
        <w:rPr>
          <w:color w:themeColor="text1" w:val="000000"/>
          <w:lang w:val="en-US"/>
        </w:rPr>
        <w:t xml:space="preserve">Clinical practice guidelines            linked to the International Classification of Functioning, Disability and Health from the Orthopaedic Section of the American Physical Therapy Association. </w:t>
      </w:r>
      <w:r>
        <w:rPr>
          <w:b/>
          <w:color w:themeColor="text1" w:val="000000"/>
          <w:lang w:val="en-US"/>
        </w:rPr>
        <w:t>Journal of Orthopaedic &amp; Sports Physical Therapy</w:t>
      </w:r>
      <w:r>
        <w:rPr>
          <w:color w:themeColor="text1" w:val="000000"/>
          <w:lang w:val="en-US"/>
        </w:rPr>
        <w:t xml:space="preserve">, v. 47, n. 7, p. A1-A83, 2017. </w:t>
      </w:r>
      <w:r>
        <w:rPr>
          <w:color w:themeColor="text1" w:val="000000"/>
        </w:rPr>
        <w:t>DOI: 10.2519/jospt.2017.0302.</w:t>
      </w:r>
    </w:p>
    <w:p>
      <w:pPr>
        <w:pStyle w:val="Normal"/>
        <w:rPr>
          <w:color w:val="000000"/>
        </w:rPr>
      </w:pPr>
      <w:r>
        <w:rPr>
          <w:color w:themeColor="text1" w:val="000000"/>
        </w:rPr>
      </w:r>
    </w:p>
    <w:p>
      <w:pPr>
        <w:pStyle w:val="Normal"/>
        <w:ind w:firstLine="57" w:left="283"/>
        <w:rPr>
          <w:rFonts w:eastAsia="Times"/>
          <w:color w:val="000000"/>
        </w:rPr>
      </w:pPr>
      <w:r>
        <w:rPr>
          <w:rFonts w:eastAsia="Times"/>
          <w:color w:themeColor="text1" w:val="000000"/>
        </w:rPr>
        <w:t xml:space="preserve">FIELD, A. Discovering statistics using IBM SPSS Statistics. 5. ed. Thousand   Oaks: </w:t>
      </w:r>
      <w:r>
        <w:rPr>
          <w:rFonts w:eastAsia="Times"/>
          <w:b/>
          <w:color w:themeColor="text1" w:val="000000"/>
        </w:rPr>
        <w:t>SAGE Publications</w:t>
      </w:r>
      <w:r>
        <w:rPr>
          <w:rFonts w:eastAsia="Times"/>
          <w:color w:themeColor="text1" w:val="000000"/>
        </w:rPr>
        <w:t>, 2017. 1070 p.</w:t>
      </w:r>
    </w:p>
    <w:p>
      <w:pPr>
        <w:pStyle w:val="Normal"/>
        <w:rPr>
          <w:rFonts w:eastAsia="Times"/>
          <w:color w:val="000000"/>
        </w:rPr>
      </w:pPr>
      <w:r>
        <w:rPr>
          <w:rFonts w:eastAsia="Times"/>
          <w:color w:themeColor="text1" w:val="000000"/>
        </w:rPr>
      </w:r>
    </w:p>
    <w:p>
      <w:pPr>
        <w:pStyle w:val="Normal"/>
        <w:ind w:left="260"/>
        <w:rPr>
          <w:color w:val="00B050"/>
        </w:rPr>
      </w:pPr>
      <w:r>
        <w:rPr>
          <w:rFonts w:eastAsia="Times"/>
          <w:color w:themeColor="text1" w:val="000000"/>
        </w:rPr>
        <w:t xml:space="preserve">FIGUEIREDO, R. R.; AZEVEDO, A. A. de; OLIVEIRA, P. de M. Análise da correlação entre a escala visual-analógica e o Tinnitus Handicap Inventory na avaliação de pacientes com zumbido. </w:t>
      </w:r>
      <w:r>
        <w:rPr>
          <w:rFonts w:eastAsia="Times"/>
          <w:b/>
          <w:color w:themeColor="text1" w:val="000000"/>
        </w:rPr>
        <w:t>Revista Brasileira de Otorrinolaringologia</w:t>
      </w:r>
      <w:r>
        <w:rPr>
          <w:rFonts w:eastAsia="Times"/>
          <w:color w:themeColor="text1" w:val="000000"/>
        </w:rPr>
        <w:t>, São Paulo, v. 75, n. 1, p. 76-79, jan. 2009. Disponível em: https://doi.org/10.1590/S0034-72992009000100012. Acesso em: 3 dez. 2024.</w:t>
      </w:r>
    </w:p>
    <w:sectPr>
      <w:footerReference w:type="default" r:id="rId8"/>
      <w:footerReference w:type="first" r:id="rId9"/>
      <w:type w:val="nextPage"/>
      <w:pgSz w:w="12240" w:h="15840"/>
      <w:pgMar w:left="1701" w:right="1701" w:gutter="0" w:header="0" w:top="1417" w:footer="720" w:bottom="141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1"/>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1"/>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Courier">
    <w:altName w:val="Courier New"/>
    <w:charset w:val="01"/>
    <w:family w:val="roman"/>
    <w:pitch w:val="variable"/>
  </w:font>
  <w:font w:name="Liberation Sans">
    <w:altName w:val="Arial"/>
    <w:charset w:val="01"/>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Georgia">
    <w:charset w:val="01"/>
    <w:family w:val="roman"/>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 w:name="Cambria">
    <w:charset w:val="01"/>
    <w:family w:val="roman"/>
    <w:pitch w:val="variable"/>
    <w:embedRegular r:id="rId26" w:fontKey="{1A014A78-CABC-4EF0-12AC-5CD89AEFDE1A}"/>
    <w:embedBold r:id="rId27" w:fontKey="{1B014A78-CABC-4EF0-12AC-5CD89AEFDE1B}"/>
    <w:embedItalic r:id="rId28" w:fontKey="{1C014A78-CABC-4EF0-12AC-5CD89AEFDE1C}"/>
    <w:embedBoldItalic r:id="rId29" w:fontKey="{1D014A78-CABC-4EF0-12AC-5CD89AEFDE1D}"/>
  </w:font>
  <w:font w:name="OpenSymbol">
    <w:altName w:val="Arial Unicode MS"/>
    <w:charset w:val="01"/>
    <w:family w:val="auto"/>
    <w:pitch w:val="variable"/>
    <w:embedRegular r:id="rId30" w:fontKey="{1E014A78-CABC-4EF0-12AC-5CD89AEFDE1E}"/>
  </w:font>
  <w:font w:name="Noto Sans Symbols">
    <w:charset w:val="01"/>
    <w:family w:val="swiss"/>
    <w:pitch w:val="default"/>
  </w:font>
  <w:font w:name="Courier New">
    <w:charset w:val="01"/>
    <w:family w:val="modern"/>
    <w:pitch w:val="fixed"/>
    <w:embedRegular r:id="rId31" w:fontKey="{1F014A78-CABC-4EF0-12AC-5CD89AEFDE1F}"/>
    <w:embedBold r:id="rId32" w:fontKey="{20014A78-CABC-4EF0-12AC-5CD89AEFDE20}"/>
    <w:embedItalic r:id="rId33" w:fontKey="{21014A78-CABC-4EF0-12AC-5CD89AEFDE21}"/>
    <w:embedBoldItalic r:id="rId34" w:fontKey="{22014A78-CABC-4EF0-12AC-5CD89AEFDE22}"/>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fldChar w:fldCharType="begin"/>
    </w:r>
    <w:r>
      <w:rPr/>
      <w:instrText xml:space="preserve"> PAGE </w:instrText>
    </w:r>
    <w:r>
      <w:rPr/>
      <w:fldChar w:fldCharType="separate"/>
    </w:r>
    <w:r>
      <w:rPr/>
      <w:t>35</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40" w:hanging="360"/>
      </w:pPr>
      <w:rPr>
        <w:rFonts w:ascii="OpenSymbol" w:hAnsi="OpenSymbol" w:cs="OpenSymbol" w:hint="default"/>
        <w:u w:val="none"/>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2">
    <w:lvl w:ilvl="0">
      <w:start w:val="1"/>
      <w:numFmt w:val="bullet"/>
      <w:lvlText w:val="-"/>
      <w:lvlJc w:val="left"/>
      <w:pPr>
        <w:tabs>
          <w:tab w:val="num" w:pos="0"/>
        </w:tabs>
        <w:ind w:left="1440" w:hanging="360"/>
      </w:pPr>
      <w:rPr>
        <w:rFonts w:ascii="OpenSymbol" w:hAnsi="OpenSymbol" w:cs="OpenSymbol" w:hint="default"/>
        <w:u w:val="none"/>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5">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6">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80"/>
  <w:embedTrueType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6AA84F"/>
        <w:sz w:val="24"/>
        <w:szCs w:val="24"/>
        <w:lang w:val="pt-BR" w:eastAsia="pt-BR" w:bidi="ar-SA"/>
      </w:rPr>
    </w:rPrDefault>
    <w:pPrDefault>
      <w:pPr>
        <w:suppressAutoHyphens w:val="true"/>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5d7fac"/>
    <w:pPr>
      <w:widowControl/>
      <w:suppressAutoHyphens w:val="true"/>
      <w:bidi w:val="0"/>
      <w:spacing w:lineRule="auto" w:line="360" w:before="0" w:after="0"/>
      <w:jc w:val="both"/>
    </w:pPr>
    <w:rPr>
      <w:rFonts w:ascii="Arial" w:hAnsi="Arial" w:eastAsia="Arial" w:cs="Arial"/>
      <w:color w:themeColor="text1" w:val="000000"/>
      <w:kern w:val="0"/>
      <w:sz w:val="24"/>
      <w:szCs w:val="24"/>
      <w:lang w:val="pt-BR" w:eastAsia="pt-BR"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b/>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TextodecomentrioChar" w:customStyle="1">
    <w:name w:val="Texto de comentário Char"/>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AssuntodocomentrioChar" w:customStyle="1">
    <w:name w:val="Assunto do comentário Char"/>
    <w:basedOn w:val="TextodecomentrioChar"/>
    <w:link w:val="Annotationsubject"/>
    <w:uiPriority w:val="99"/>
    <w:semiHidden/>
    <w:qFormat/>
    <w:rsid w:val="00ae0bac"/>
    <w:rPr>
      <w:b/>
      <w:bCs/>
      <w:sz w:val="20"/>
      <w:szCs w:val="20"/>
    </w:rPr>
  </w:style>
  <w:style w:type="character" w:styleId="TextodebaloChar" w:customStyle="1">
    <w:name w:val="Texto de balão Char"/>
    <w:basedOn w:val="DefaultParagraphFont"/>
    <w:link w:val="BalloonText"/>
    <w:uiPriority w:val="99"/>
    <w:semiHidden/>
    <w:qFormat/>
    <w:rsid w:val="00b71080"/>
    <w:rPr>
      <w:rFonts w:ascii="Times New Roman" w:hAnsi="Times New Roman" w:cs="Times New Roman"/>
      <w:sz w:val="18"/>
      <w:szCs w:val="18"/>
    </w:rPr>
  </w:style>
  <w:style w:type="character" w:styleId="Pr-formataoHTMLChar" w:customStyle="1">
    <w:name w:val="Pré-formatação HTML Char"/>
    <w:basedOn w:val="DefaultParagraphFont"/>
    <w:link w:val="HTMLPreformatted"/>
    <w:uiPriority w:val="99"/>
    <w:semiHidden/>
    <w:qFormat/>
    <w:rsid w:val="00ef3c8c"/>
    <w:rPr>
      <w:rFonts w:ascii="Courier" w:hAnsi="Courier"/>
      <w:color w:themeColor="text1" w:val="000000"/>
      <w:sz w:val="20"/>
      <w:szCs w:val="20"/>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themeColor="text1" w:val="666666"/>
      <w:sz w:val="48"/>
      <w:szCs w:val="48"/>
    </w:rPr>
  </w:style>
  <w:style w:type="paragraph" w:styleId="Annotationtext">
    <w:name w:val="annotation text"/>
    <w:basedOn w:val="Normal"/>
    <w:link w:val="TextodecomentrioChar"/>
    <w:uiPriority w:val="99"/>
    <w:semiHidden/>
    <w:unhideWhenUsed/>
    <w:qFormat/>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ae0bac"/>
    <w:pPr/>
    <w:rPr>
      <w:b/>
      <w:bCs/>
    </w:rPr>
  </w:style>
  <w:style w:type="paragraph" w:styleId="BalloonText">
    <w:name w:val="Balloon Text"/>
    <w:basedOn w:val="Normal"/>
    <w:link w:val="TextodebaloChar"/>
    <w:uiPriority w:val="99"/>
    <w:semiHidden/>
    <w:unhideWhenUsed/>
    <w:qFormat/>
    <w:rsid w:val="00b71080"/>
    <w:pPr>
      <w:spacing w:lineRule="auto" w:line="240"/>
    </w:pPr>
    <w:rPr>
      <w:rFonts w:ascii="Times New Roman" w:hAnsi="Times New Roman" w:cs="Times New Roman"/>
      <w:sz w:val="18"/>
      <w:szCs w:val="18"/>
    </w:rPr>
  </w:style>
  <w:style w:type="paragraph" w:styleId="ListParagraph">
    <w:name w:val="List Paragraph"/>
    <w:basedOn w:val="Normal"/>
    <w:uiPriority w:val="34"/>
    <w:qFormat/>
    <w:rsid w:val="00ff0307"/>
    <w:pPr>
      <w:spacing w:lineRule="auto" w:line="259" w:before="0" w:after="160"/>
      <w:ind w:left="720"/>
      <w:contextualSpacing/>
      <w:jc w:val="left"/>
    </w:pPr>
    <w:rPr>
      <w:rFonts w:ascii="Cambria" w:hAnsi="Cambria" w:eastAsia="Cambria" w:cs="" w:asciiTheme="minorHAnsi" w:cstheme="minorBidi" w:eastAsiaTheme="minorHAnsi" w:hAnsiTheme="minorHAnsi"/>
      <w:color w:themeColor="text1" w:val="auto"/>
      <w:kern w:val="2"/>
      <w:sz w:val="22"/>
      <w:szCs w:val="22"/>
      <w:lang w:eastAsia="en-US"/>
      <w14:ligatures w14:val="standardContextual"/>
    </w:rPr>
  </w:style>
  <w:style w:type="paragraph" w:styleId="HTMLPreformatted">
    <w:name w:val="HTML Preformatted"/>
    <w:basedOn w:val="Normal"/>
    <w:link w:val="Pr-formataoHTMLChar"/>
    <w:uiPriority w:val="99"/>
    <w:semiHidden/>
    <w:unhideWhenUsed/>
    <w:qFormat/>
    <w:rsid w:val="00ef3c8c"/>
    <w:pPr>
      <w:spacing w:lineRule="auto" w:line="240"/>
    </w:pPr>
    <w:rPr>
      <w:rFonts w:ascii="Courier" w:hAnsi="Courier"/>
      <w:sz w:val="20"/>
      <w:szCs w:val="20"/>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elaSimples2">
    <w:name w:val="Plain Table 2"/>
    <w:basedOn w:val="Tabelanormal"/>
    <w:uiPriority w:val="42"/>
    <w:rsid w:val="004d7f0b"/>
    <w:pPr>
      <w:spacing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 w:type="table" w:styleId="Tabelacomgrade">
    <w:name w:val="Table Grid"/>
    <w:basedOn w:val="Tabelanormal"/>
    <w:uiPriority w:val="39"/>
    <w:rsid w:val="004d7f0b"/>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GradedeTabelaClaro">
    <w:name w:val="Grid Table Light"/>
    <w:basedOn w:val="Tabelanormal"/>
    <w:uiPriority w:val="40"/>
    <w:rsid w:val="004d7f0b"/>
    <w:pPr>
      <w:spacing w:line="240" w:lineRule="auto"/>
    </w:p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CellMar>
        <w:top w:w="0" w:type="dxa"/>
        <w:left w:w="108" w:type="dxa"/>
        <w:bottom w:w="0" w:type="dxa"/>
        <w:right w:w="108" w:type="dxa"/>
      </w:tblCellMar>
    </w:tblPr>
  </w:style>
  <w:style w:type="table" w:styleId="TabelaSimples1">
    <w:name w:val="Plain Table 1"/>
    <w:basedOn w:val="Tabelanormal"/>
    <w:uiPriority w:val="41"/>
    <w:rsid w:val="004d7f0b"/>
    <w:pPr>
      <w:spacing w:line="240" w:lineRule="auto"/>
    </w:p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3">
    <w:name w:val="Plain Table 3"/>
    <w:basedOn w:val="Tabelanormal"/>
    <w:uiPriority w:val="43"/>
    <w:rsid w:val="004d7f0b"/>
    <w:pPr>
      <w:spacing w:line="240" w:lineRule="auto"/>
    </w:pPr>
    <w:tblPr>
      <w:tblStyleRowBandSize w:val="1"/>
      <w:tblStyleColBandSize w:val="1"/>
      <w:tblCellMar>
        <w:top w:w="0" w:type="dxa"/>
        <w:left w:w="108" w:type="dxa"/>
        <w:bottom w:w="0" w:type="dxa"/>
        <w:right w:w="108" w:type="dxa"/>
      </w:tblCellMar>
    </w:tblPr>
    <w:tblStylePr w:type="firstRow">
      <w:rPr>
        <w:b/>
        <w:bCs/>
        <w:caps/>
      </w:rPr>
      <w:tblPr/>
      <w:tcPr>
        <w:tcBorders>
          <w:bottom w:val="single" w:color="7F7F7F" w:themeColor="text1"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4d7f0b"/>
    <w:pPr>
      <w:spacing w:line="240" w:lineRule="auto"/>
    </w:pPr>
    <w:tblPr>
      <w:tblStyleRowBandSize w:val="1"/>
      <w:tblStyleColBandSize w:val="1"/>
      <w:tblCellMar>
        <w:top w:w="0" w:type="dxa"/>
        <w:left w:w="108" w:type="dxa"/>
        <w:bottom w:w="0" w:type="dxa"/>
        <w:right w:w="108" w:type="dxa"/>
      </w:tblCellMar>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177/2331216518801725" TargetMode="External"/><Relationship Id="rId3" Type="http://schemas.openxmlformats.org/officeDocument/2006/relationships/hyperlink" Target="https://doi.org/10.1177/2331216518801725" TargetMode="External"/><Relationship Id="rId4" Type="http://schemas.openxmlformats.org/officeDocument/2006/relationships/hyperlink" Target="https://doi.org/10.3766/jaaa.16067" TargetMode="External"/><Relationship Id="rId5" Type="http://schemas.openxmlformats.org/officeDocument/2006/relationships/hyperlink" Target="https://doi.org/10.3766/jaaa.16067" TargetMode="External"/><Relationship Id="rId6" Type="http://schemas.openxmlformats.org/officeDocument/2006/relationships/hyperlink" Target="https://doi.org/10.1097/AUD.0000000000001224" TargetMode="External"/><Relationship Id="rId7" Type="http://schemas.openxmlformats.org/officeDocument/2006/relationships/hyperlink" Target="https://doi.org/10.1097/AUD.0000000000001224"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Relationship Id="rId30" Type="http://schemas.openxmlformats.org/officeDocument/2006/relationships/font" Target="fonts/font30.odttf"/><Relationship Id="rId31" Type="http://schemas.openxmlformats.org/officeDocument/2006/relationships/font" Target="fonts/font31.odttf"/><Relationship Id="rId32" Type="http://schemas.openxmlformats.org/officeDocument/2006/relationships/font" Target="fonts/font32.odttf"/><Relationship Id="rId33" Type="http://schemas.openxmlformats.org/officeDocument/2006/relationships/font" Target="fonts/font33.odttf"/><Relationship Id="rId34" Type="http://schemas.openxmlformats.org/officeDocument/2006/relationships/font" Target="fonts/font3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Title.XSL" StyleName="Gost - Classificação por Título"/>
</file>

<file path=customXml/itemProps1.xml><?xml version="1.0" encoding="utf-8"?>
<ds:datastoreItem xmlns:ds="http://schemas.openxmlformats.org/officeDocument/2006/customXml" ds:itemID="{A9113BAA-2E4A-6547-BA09-C43F3003D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Application>1Doc/1.5.0.$MacOSX_X86_64 LibreOffice_project/2f9b6e7260225c6c2c1401d17cb7be8dc4e3347b</Application>
  <AppVersion>15.0000</AppVersion>
  <Pages>35</Pages>
  <Words>6917</Words>
  <Characters>38928</Characters>
  <CharactersWithSpaces>45597</CharactersWithSpaces>
  <Paragraphs>362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2024-12-03T17:24:00Z</dcterms:created>
  <dc:creator/>
  <dc:description/>
  <dc:language>pt-BR</dc:language>
  <cp:lastModifiedBy/>
  <dcterms:modified xsi:type="dcterms:W3CDTF">2025-06-27T21:49:44Z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