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5E2D8"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UNIVERSIDADE FEDERAL DO ESPÍRITO SANTO</w:t>
      </w:r>
    </w:p>
    <w:p w14:paraId="527C4053"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CENTRO DE CIÊNCIAS DA SAÚDE</w:t>
      </w:r>
    </w:p>
    <w:p w14:paraId="03BC916A"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74233A24"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CURSO DE FISIOTERAPIA</w:t>
      </w:r>
    </w:p>
    <w:p w14:paraId="067A5E7C" w14:textId="77777777"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1F8761A3"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GABRIEL BALDOTTO LIBERATORE</w:t>
      </w:r>
    </w:p>
    <w:p w14:paraId="27B97299"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MAYRA FAGUNDES BRAGANÇA BORGES VIEIRA</w:t>
      </w:r>
    </w:p>
    <w:p w14:paraId="106E1CE5"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RAUL JUSTINO FEU DA ROCHA</w:t>
      </w:r>
    </w:p>
    <w:p w14:paraId="6B573157" w14:textId="77777777"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0B0CC0A2"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ANÁLISE DO EFEITO ADICIONAL DA ESTIMULAÇÃO MAGNÉTICA TRANSCRANIANA NO CÓRTEX MOTOR APÓS UM ESTÍMULO NO CÓRTEX VISUAL SOBRE O TEMPO DE REAÇÃO MUSCULAR</w:t>
      </w:r>
    </w:p>
    <w:p w14:paraId="0346BB3B"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4B8978A3"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 </w:t>
      </w:r>
    </w:p>
    <w:p w14:paraId="73E5D384" w14:textId="77777777"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52F058AD"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VITÓRIA - ES</w:t>
      </w:r>
    </w:p>
    <w:p w14:paraId="6986CA13"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2025</w:t>
      </w:r>
    </w:p>
    <w:p w14:paraId="53AB0C8F"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79123C68"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7BCE782F"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17C6C055"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619C7B07"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7452C495"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5FA42762"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6D55B6E2"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56D48F81"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070CF49C" w14:textId="77777777" w:rsidR="00003E63" w:rsidRDefault="00003E63" w:rsidP="00003E63">
      <w:pPr>
        <w:spacing w:after="0" w:line="240" w:lineRule="auto"/>
        <w:jc w:val="center"/>
        <w:rPr>
          <w:rFonts w:ascii="Arial" w:eastAsia="Times New Roman" w:hAnsi="Arial" w:cs="Arial"/>
          <w:b/>
          <w:bCs/>
          <w:color w:val="000000"/>
          <w:kern w:val="0"/>
          <w:sz w:val="24"/>
          <w:szCs w:val="24"/>
          <w:lang w:eastAsia="pt-BR"/>
          <w14:ligatures w14:val="none"/>
        </w:rPr>
      </w:pPr>
    </w:p>
    <w:p w14:paraId="79CE2072"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p>
    <w:p w14:paraId="730323F3"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GABRIEL BALDOTTO LIBERATORE</w:t>
      </w:r>
    </w:p>
    <w:p w14:paraId="5A871471"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MAYRA FAGUNDES BRAGANÇA BORGES VIEIRA</w:t>
      </w:r>
    </w:p>
    <w:p w14:paraId="0B2813F0"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RAUL JUSTINO FEU DA ROCHA</w:t>
      </w:r>
    </w:p>
    <w:p w14:paraId="1B918C59" w14:textId="77777777"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39C1E19D"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ANÁLISE DO EFEITO ADICIONAL DA ESTIMULAÇÃO MAGNÉTICA TRANSCRANIANA NO CÓRTEX MOTOR APÓS UM ESTÍMULO NO CÓRTEX VISUAL SOBRE O TEMPO DE REAÇÃO MUSCULAR</w:t>
      </w:r>
    </w:p>
    <w:p w14:paraId="5DF90F1D" w14:textId="77777777"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36C5A586" w14:textId="77777777" w:rsidR="00003E63" w:rsidRPr="00003E63" w:rsidRDefault="00003E63" w:rsidP="00003E63">
      <w:pPr>
        <w:spacing w:after="0" w:line="240" w:lineRule="auto"/>
        <w:ind w:left="360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Projeto de Trabalho de Conclusão de Curso do Curso de Fisioterapia da Universidade Federal do Espírito Santo, apresentado ao comitê de ética para aprovação. Orientado pela Professora Fernanda Moura Vargas Dias. Coorientação Prof Lisandra Vanessa Martins.</w:t>
      </w:r>
    </w:p>
    <w:p w14:paraId="576BE549" w14:textId="77777777"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61481907"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Vitória - ES</w:t>
      </w:r>
    </w:p>
    <w:p w14:paraId="25F516E2" w14:textId="77777777" w:rsidR="00003E63" w:rsidRPr="00003E63" w:rsidRDefault="00003E63" w:rsidP="00003E63">
      <w:pPr>
        <w:spacing w:after="0" w:line="240" w:lineRule="auto"/>
        <w:jc w:val="center"/>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2025</w:t>
      </w:r>
    </w:p>
    <w:p w14:paraId="19FDFEDF" w14:textId="77777777" w:rsidR="00003E63" w:rsidRDefault="00003E63" w:rsidP="00003E63">
      <w:pPr>
        <w:spacing w:after="0" w:line="240" w:lineRule="auto"/>
        <w:jc w:val="both"/>
        <w:rPr>
          <w:rFonts w:ascii="Arial" w:eastAsia="Times New Roman" w:hAnsi="Arial" w:cs="Arial"/>
          <w:b/>
          <w:bCs/>
          <w:color w:val="000000"/>
          <w:kern w:val="0"/>
          <w:sz w:val="24"/>
          <w:szCs w:val="24"/>
          <w:lang w:eastAsia="pt-BR"/>
          <w14:ligatures w14:val="none"/>
        </w:rPr>
      </w:pPr>
    </w:p>
    <w:p w14:paraId="46F2AB48" w14:textId="77777777" w:rsidR="00003E63" w:rsidRDefault="00003E63" w:rsidP="00003E63">
      <w:pPr>
        <w:spacing w:after="0" w:line="240" w:lineRule="auto"/>
        <w:jc w:val="both"/>
        <w:rPr>
          <w:rFonts w:ascii="Arial" w:eastAsia="Times New Roman" w:hAnsi="Arial" w:cs="Arial"/>
          <w:b/>
          <w:bCs/>
          <w:color w:val="000000"/>
          <w:kern w:val="0"/>
          <w:sz w:val="24"/>
          <w:szCs w:val="24"/>
          <w:lang w:eastAsia="pt-BR"/>
          <w14:ligatures w14:val="none"/>
        </w:rPr>
      </w:pPr>
    </w:p>
    <w:p w14:paraId="687D2E64" w14:textId="77777777" w:rsidR="00003E63" w:rsidRDefault="00003E63" w:rsidP="00003E63">
      <w:pPr>
        <w:spacing w:after="0" w:line="240" w:lineRule="auto"/>
        <w:jc w:val="both"/>
        <w:rPr>
          <w:rFonts w:ascii="Arial" w:eastAsia="Times New Roman" w:hAnsi="Arial" w:cs="Arial"/>
          <w:b/>
          <w:bCs/>
          <w:color w:val="000000"/>
          <w:kern w:val="0"/>
          <w:sz w:val="24"/>
          <w:szCs w:val="24"/>
          <w:lang w:eastAsia="pt-BR"/>
          <w14:ligatures w14:val="none"/>
        </w:rPr>
      </w:pPr>
    </w:p>
    <w:p w14:paraId="5FC281CE" w14:textId="77777777" w:rsidR="00003E63" w:rsidRDefault="00003E63" w:rsidP="00003E63">
      <w:pPr>
        <w:spacing w:after="0" w:line="240" w:lineRule="auto"/>
        <w:jc w:val="both"/>
        <w:rPr>
          <w:rFonts w:ascii="Arial" w:eastAsia="Times New Roman" w:hAnsi="Arial" w:cs="Arial"/>
          <w:b/>
          <w:bCs/>
          <w:color w:val="000000"/>
          <w:kern w:val="0"/>
          <w:sz w:val="24"/>
          <w:szCs w:val="24"/>
          <w:lang w:eastAsia="pt-BR"/>
          <w14:ligatures w14:val="none"/>
        </w:rPr>
      </w:pPr>
    </w:p>
    <w:p w14:paraId="467BA0D0" w14:textId="25699D41"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Instituição Proponente:</w:t>
      </w:r>
    </w:p>
    <w:p w14:paraId="0FD514B2" w14:textId="77777777" w:rsidR="00003E63" w:rsidRPr="00003E63" w:rsidRDefault="00003E63" w:rsidP="00003E63">
      <w:pPr>
        <w:spacing w:after="24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 </w:t>
      </w:r>
    </w:p>
    <w:p w14:paraId="7C87AEED" w14:textId="77777777" w:rsidR="00003E63" w:rsidRPr="00003E63" w:rsidRDefault="00003E63" w:rsidP="00003E63">
      <w:pPr>
        <w:spacing w:after="0" w:line="240" w:lineRule="auto"/>
        <w:ind w:right="88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Universidade Federal do Espírito Santo, Centro de Ciências da Saúde, Departamento de Educação Integrada em Saúde.</w:t>
      </w:r>
    </w:p>
    <w:p w14:paraId="7C4EB820" w14:textId="77777777" w:rsidR="00003E63" w:rsidRPr="00003E63" w:rsidRDefault="00003E63" w:rsidP="00003E63">
      <w:pPr>
        <w:spacing w:before="240" w:after="24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Colegiado do curso de Fisioterapia</w:t>
      </w:r>
    </w:p>
    <w:p w14:paraId="72FA918B" w14:textId="77777777" w:rsidR="00003E63" w:rsidRPr="00003E63" w:rsidRDefault="00003E63" w:rsidP="00003E63">
      <w:pPr>
        <w:spacing w:after="0" w:line="240" w:lineRule="auto"/>
        <w:ind w:right="194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Av. Marechal Campos, 1468 – Maruípe, CEP 29.040-090, Vitória - ES, Brasil Telefone: (27) 3335-7017/ 988147550</w:t>
      </w:r>
    </w:p>
    <w:p w14:paraId="11AE6D52" w14:textId="77777777" w:rsidR="00003E63" w:rsidRPr="00003E63" w:rsidRDefault="00003E63" w:rsidP="00003E63">
      <w:pPr>
        <w:spacing w:after="0" w:line="240" w:lineRule="auto"/>
        <w:ind w:right="194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e-mail: fernandamvargas@yahoo.com.br</w:t>
      </w:r>
    </w:p>
    <w:p w14:paraId="6BA4A4F3" w14:textId="77777777" w:rsidR="00003E63" w:rsidRPr="00003E63" w:rsidRDefault="00003E63" w:rsidP="00003E63">
      <w:pPr>
        <w:spacing w:before="240" w:after="24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 </w:t>
      </w:r>
    </w:p>
    <w:p w14:paraId="2658E707" w14:textId="77777777" w:rsidR="00003E63" w:rsidRPr="00003E63" w:rsidRDefault="00003E63" w:rsidP="00003E63">
      <w:pPr>
        <w:spacing w:before="240" w:after="24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 </w:t>
      </w:r>
    </w:p>
    <w:p w14:paraId="3BA3CEFC" w14:textId="77777777" w:rsidR="00003E63" w:rsidRPr="00003E63" w:rsidRDefault="00003E63" w:rsidP="00003E63">
      <w:pPr>
        <w:spacing w:after="24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 </w:t>
      </w:r>
    </w:p>
    <w:p w14:paraId="1648726A" w14:textId="77777777" w:rsidR="00003E63" w:rsidRPr="00003E63" w:rsidRDefault="00003E63" w:rsidP="00003E63">
      <w:pPr>
        <w:spacing w:after="0" w:line="240" w:lineRule="auto"/>
        <w:jc w:val="both"/>
        <w:outlineLvl w:val="0"/>
        <w:rPr>
          <w:rFonts w:ascii="Times New Roman" w:eastAsia="Times New Roman" w:hAnsi="Times New Roman" w:cs="Times New Roman"/>
          <w:b/>
          <w:bCs/>
          <w:kern w:val="36"/>
          <w:sz w:val="48"/>
          <w:szCs w:val="48"/>
          <w:lang w:eastAsia="pt-BR"/>
          <w14:ligatures w14:val="none"/>
        </w:rPr>
      </w:pPr>
      <w:r w:rsidRPr="00003E63">
        <w:rPr>
          <w:rFonts w:ascii="Arial" w:eastAsia="Times New Roman" w:hAnsi="Arial" w:cs="Arial"/>
          <w:b/>
          <w:bCs/>
          <w:color w:val="000000"/>
          <w:kern w:val="36"/>
          <w:sz w:val="24"/>
          <w:szCs w:val="24"/>
          <w:lang w:eastAsia="pt-BR"/>
          <w14:ligatures w14:val="none"/>
        </w:rPr>
        <w:t>Período de Execução:</w:t>
      </w:r>
    </w:p>
    <w:p w14:paraId="745A1051" w14:textId="77777777" w:rsidR="00003E63" w:rsidRPr="00003E63" w:rsidRDefault="00003E63" w:rsidP="00003E63">
      <w:pPr>
        <w:spacing w:after="0" w:line="240" w:lineRule="auto"/>
        <w:ind w:right="88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O projeto será realizado a partir de agosto de 2025 com término previsto para  agosto de 2027.</w:t>
      </w:r>
    </w:p>
    <w:p w14:paraId="3E30DC07" w14:textId="38202528"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230AA4C6"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017946E2"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50261AAE"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3395E1D8"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360E3B7A"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0C51E1C2"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2DCB7C3E"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6B0E1CA6"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731F31C4"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3A402664"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09CCE6DF"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66FFD230"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5B81B5EE"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7375C1E5" w14:textId="77777777" w:rsidR="00003E63" w:rsidRPr="00003E63" w:rsidRDefault="00003E63" w:rsidP="00003E63">
      <w:pPr>
        <w:spacing w:after="0" w:line="240" w:lineRule="auto"/>
        <w:ind w:right="88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lastRenderedPageBreak/>
        <w:t>Resumo</w:t>
      </w:r>
    </w:p>
    <w:p w14:paraId="079C67BB" w14:textId="77777777" w:rsidR="00003E63" w:rsidRPr="00003E63" w:rsidRDefault="00003E63" w:rsidP="00003E63">
      <w:pPr>
        <w:spacing w:after="0" w:line="240" w:lineRule="auto"/>
        <w:ind w:right="88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Introdução:</w:t>
      </w:r>
      <w:r w:rsidRPr="00003E63">
        <w:rPr>
          <w:rFonts w:ascii="Arial" w:eastAsia="Times New Roman" w:hAnsi="Arial" w:cs="Arial"/>
          <w:color w:val="000000"/>
          <w:kern w:val="0"/>
          <w:lang w:eastAsia="pt-BR"/>
          <w14:ligatures w14:val="none"/>
        </w:rPr>
        <w:t xml:space="preserve"> O córtex motor primário sofre modulações de outras áreas corticais, a partir de vários estímulos externos (visão, audição e gustação), essa conexão é relevante para integração rápida da informação externa em tarefa motora. Muitos estudos têm sido feitos para avaliar a eficácia da Estimulação Magnética Transcraniana (EMT) em diversas áreas corticais. O tempo de reação aos estímulos visuais pode ser diminuído, estimulando-se áreas específicas do cérebro, como a área de perseguição frontal (FPA). Além disso, a estimulação do córtex motor primário (M1) pode também gerar uma diminuição do tempo de reação a um estímulo externo. Portanto, o uso da EMT, associando os estímulos em FPA com os do córtex M1, pode ser eficaz para reduzir o tempo de reação muscular a estímulos visuais. </w:t>
      </w:r>
      <w:r w:rsidRPr="00003E63">
        <w:rPr>
          <w:rFonts w:ascii="Arial" w:eastAsia="Times New Roman" w:hAnsi="Arial" w:cs="Arial"/>
          <w:b/>
          <w:bCs/>
          <w:color w:val="000000"/>
          <w:kern w:val="0"/>
          <w:lang w:eastAsia="pt-BR"/>
          <w14:ligatures w14:val="none"/>
        </w:rPr>
        <w:t>Objetivo:</w:t>
      </w:r>
      <w:r w:rsidRPr="00003E63">
        <w:rPr>
          <w:rFonts w:ascii="Arial" w:eastAsia="Times New Roman" w:hAnsi="Arial" w:cs="Arial"/>
          <w:color w:val="000000"/>
          <w:kern w:val="0"/>
          <w:lang w:eastAsia="pt-BR"/>
          <w14:ligatures w14:val="none"/>
        </w:rPr>
        <w:t xml:space="preserve"> O objetivo deste estudo será analisar o efeito adicional da EMT no córtex motor após um estímulo no córtex visual sobre o tempo de reação muscular. </w:t>
      </w:r>
      <w:r w:rsidRPr="00003E63">
        <w:rPr>
          <w:rFonts w:ascii="Arial" w:eastAsia="Times New Roman" w:hAnsi="Arial" w:cs="Arial"/>
          <w:b/>
          <w:bCs/>
          <w:color w:val="000000"/>
          <w:kern w:val="0"/>
          <w:lang w:eastAsia="pt-BR"/>
          <w14:ligatures w14:val="none"/>
        </w:rPr>
        <w:t>Métodos:</w:t>
      </w:r>
      <w:r w:rsidRPr="00003E63">
        <w:rPr>
          <w:rFonts w:ascii="Arial" w:eastAsia="Times New Roman" w:hAnsi="Arial" w:cs="Arial"/>
          <w:color w:val="000000"/>
          <w:kern w:val="0"/>
          <w:lang w:eastAsia="pt-BR"/>
          <w14:ligatures w14:val="none"/>
        </w:rPr>
        <w:t xml:space="preserve"> Estudo piloto experimental, com comparação/</w:t>
      </w:r>
      <w:r w:rsidRPr="00003E63">
        <w:rPr>
          <w:rFonts w:ascii="Arial" w:eastAsia="Times New Roman" w:hAnsi="Arial" w:cs="Arial"/>
          <w:i/>
          <w:iCs/>
          <w:color w:val="000000"/>
          <w:kern w:val="0"/>
          <w:lang w:eastAsia="pt-BR"/>
          <w14:ligatures w14:val="none"/>
        </w:rPr>
        <w:t>cross over</w:t>
      </w:r>
      <w:r w:rsidRPr="00003E63">
        <w:rPr>
          <w:rFonts w:ascii="Arial" w:eastAsia="Times New Roman" w:hAnsi="Arial" w:cs="Arial"/>
          <w:color w:val="000000"/>
          <w:kern w:val="0"/>
          <w:lang w:eastAsia="pt-BR"/>
          <w14:ligatures w14:val="none"/>
        </w:rPr>
        <w:t xml:space="preserve"> dos resultados obtidos de 3 tipos de intervenções (A, B e C) e uma controle, sendo a A, EMT Visual + EMT Motor; B, </w:t>
      </w:r>
      <w:r w:rsidRPr="00003E63">
        <w:rPr>
          <w:rFonts w:ascii="Arial" w:eastAsia="Times New Roman" w:hAnsi="Arial" w:cs="Arial"/>
          <w:b/>
          <w:bCs/>
          <w:color w:val="000000"/>
          <w:kern w:val="0"/>
          <w:lang w:eastAsia="pt-BR"/>
          <w14:ligatures w14:val="none"/>
        </w:rPr>
        <w:t> </w:t>
      </w:r>
      <w:r w:rsidRPr="00003E63">
        <w:rPr>
          <w:rFonts w:ascii="Arial" w:eastAsia="Times New Roman" w:hAnsi="Arial" w:cs="Arial"/>
          <w:color w:val="000000"/>
          <w:kern w:val="0"/>
          <w:lang w:eastAsia="pt-BR"/>
          <w14:ligatures w14:val="none"/>
        </w:rPr>
        <w:t xml:space="preserve">EMT Motor; C, EMT Visual; Controle, nenhum tipo de intervenção. O grupo amostral será composto por estudantes universitários da UFES, </w:t>
      </w:r>
      <w:r w:rsidRPr="00003E63">
        <w:rPr>
          <w:rFonts w:ascii="Arial" w:eastAsia="Times New Roman" w:hAnsi="Arial" w:cs="Arial"/>
          <w:i/>
          <w:iCs/>
          <w:color w:val="000000"/>
          <w:kern w:val="0"/>
          <w:lang w:eastAsia="pt-BR"/>
          <w14:ligatures w14:val="none"/>
        </w:rPr>
        <w:t xml:space="preserve">campus </w:t>
      </w:r>
      <w:r w:rsidRPr="00003E63">
        <w:rPr>
          <w:rFonts w:ascii="Arial" w:eastAsia="Times New Roman" w:hAnsi="Arial" w:cs="Arial"/>
          <w:color w:val="000000"/>
          <w:kern w:val="0"/>
          <w:lang w:eastAsia="pt-BR"/>
          <w14:ligatures w14:val="none"/>
        </w:rPr>
        <w:t xml:space="preserve">de Maruípe, maiores de 20 anos e menores de 30 (20 &lt; n &gt; 30), que sejam destros. O </w:t>
      </w:r>
      <w:r w:rsidRPr="00003E63">
        <w:rPr>
          <w:rFonts w:ascii="Arial" w:eastAsia="Times New Roman" w:hAnsi="Arial" w:cs="Arial"/>
          <w:b/>
          <w:bCs/>
          <w:i/>
          <w:iCs/>
          <w:color w:val="000000"/>
          <w:kern w:val="0"/>
          <w:lang w:eastAsia="pt-BR"/>
          <w14:ligatures w14:val="none"/>
        </w:rPr>
        <w:t>n</w:t>
      </w:r>
      <w:r w:rsidRPr="00003E63">
        <w:rPr>
          <w:rFonts w:ascii="Arial" w:eastAsia="Times New Roman" w:hAnsi="Arial" w:cs="Arial"/>
          <w:b/>
          <w:bCs/>
          <w:color w:val="000000"/>
          <w:kern w:val="0"/>
          <w:lang w:eastAsia="pt-BR"/>
          <w14:ligatures w14:val="none"/>
        </w:rPr>
        <w:t xml:space="preserve"> </w:t>
      </w:r>
      <w:r w:rsidRPr="00003E63">
        <w:rPr>
          <w:rFonts w:ascii="Arial" w:eastAsia="Times New Roman" w:hAnsi="Arial" w:cs="Arial"/>
          <w:color w:val="000000"/>
          <w:kern w:val="0"/>
          <w:lang w:eastAsia="pt-BR"/>
          <w14:ligatures w14:val="none"/>
        </w:rPr>
        <w:t xml:space="preserve">amostral será de 10 participantes voluntários, sendo 5 do sexo feminino e 5 do sexo masculino. O protocolo de intervenção terá duração de 1 mês e terá início após o recrutamento do voluntário. Os protocolos (A, B e C) serão aplicados com intervalo de 14 dias e a ordem será aleatorizada, por meio de randomização das etapas. Os testes utilizados serão: Teste de Resolução REST-SPER, WIFIVI e Teste de Simultaneidade DIAT-SHIF, aplicados no primeiro dia, antes da intervenção, e após a aplicação de todos os protocolos. </w:t>
      </w:r>
      <w:r w:rsidRPr="00003E63">
        <w:rPr>
          <w:rFonts w:ascii="Arial" w:eastAsia="Times New Roman" w:hAnsi="Arial" w:cs="Arial"/>
          <w:b/>
          <w:bCs/>
          <w:color w:val="000000"/>
          <w:kern w:val="0"/>
          <w:lang w:eastAsia="pt-BR"/>
          <w14:ligatures w14:val="none"/>
        </w:rPr>
        <w:t>Resultados esperados:</w:t>
      </w:r>
      <w:r w:rsidRPr="00003E63">
        <w:rPr>
          <w:rFonts w:ascii="Arial" w:eastAsia="Times New Roman" w:hAnsi="Arial" w:cs="Arial"/>
          <w:color w:val="000000"/>
          <w:kern w:val="0"/>
          <w:lang w:eastAsia="pt-BR"/>
          <w14:ligatures w14:val="none"/>
        </w:rPr>
        <w:t xml:space="preserve"> A hipótese deste estudo é que a partir do uso da EMT para estimular duas vias corticais, a da visão (a partir de um estímulo realizado na área de perseguição frontal) e a via motora (a partir de um estímulo realizado no córtex motor primário) o tempo de reação (TR) entre o estímulo visual oferecido para a avaliação do TR e a contração muscular para execução da atividade motora em resposta ao estímulo visual será diminuído em comparação com o teste feito antes do uso da EMT no indivíduo.</w:t>
      </w:r>
    </w:p>
    <w:p w14:paraId="16441607"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4D0DBAA5"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Palavras Chave:</w:t>
      </w:r>
      <w:r w:rsidRPr="00003E63">
        <w:rPr>
          <w:rFonts w:ascii="Arial" w:eastAsia="Times New Roman" w:hAnsi="Arial" w:cs="Arial"/>
          <w:color w:val="000000"/>
          <w:kern w:val="0"/>
          <w:sz w:val="24"/>
          <w:szCs w:val="24"/>
          <w:lang w:eastAsia="pt-BR"/>
          <w14:ligatures w14:val="none"/>
        </w:rPr>
        <w:t xml:space="preserve"> Estimulação Magnética Transcraniana. Córtex visual. Córtex Motor. Tempo de reação. </w:t>
      </w:r>
    </w:p>
    <w:p w14:paraId="5CD7A848"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6B0553E8"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744ECE11" w14:textId="77777777" w:rsid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p>
    <w:p w14:paraId="38436FF1" w14:textId="4670E6B0" w:rsidR="00003E63" w:rsidRPr="00003E63" w:rsidRDefault="00003E63" w:rsidP="00003E63">
      <w:pPr>
        <w:spacing w:after="240" w:line="240" w:lineRule="auto"/>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lastRenderedPageBreak/>
        <w:br/>
      </w:r>
    </w:p>
    <w:p w14:paraId="0E2A3B7C" w14:textId="77777777" w:rsidR="00003E63" w:rsidRPr="00003E63" w:rsidRDefault="00003E63" w:rsidP="00003E63">
      <w:pPr>
        <w:spacing w:before="240" w:after="240" w:line="240" w:lineRule="auto"/>
        <w:ind w:firstLine="720"/>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1- INTRODUÇÃO</w:t>
      </w:r>
    </w:p>
    <w:p w14:paraId="0538A9B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O trato corticoespinhal é responsável por mandar as informações do córtex motor primário (M1) até o neurônio motor inferior para que ocorra o movimento. Atualmente, já é conhecido que o M1 sofre modulações de outras áreas corticais além do córtex pré-motor e área motora suplementar (Furubayashi et al. 2000). Essas influências podem ser vistas através de estímulos auditivos, visuais ou até mesmo gustativos (Tokimura et al. 1996; Cantello et al. 2000; </w:t>
      </w:r>
      <w:r w:rsidRPr="00003E63">
        <w:rPr>
          <w:rFonts w:ascii="Arial" w:eastAsia="Times New Roman" w:hAnsi="Arial" w:cs="Arial"/>
          <w:color w:val="000000"/>
          <w:kern w:val="0"/>
          <w:shd w:val="clear" w:color="auto" w:fill="FFFFFF"/>
          <w:lang w:eastAsia="pt-BR"/>
          <w14:ligatures w14:val="none"/>
        </w:rPr>
        <w:t>SIMÕES, C. et al 2014</w:t>
      </w:r>
      <w:r w:rsidRPr="00003E63">
        <w:rPr>
          <w:rFonts w:ascii="Arial" w:eastAsia="Times New Roman" w:hAnsi="Arial" w:cs="Arial"/>
          <w:color w:val="000000"/>
          <w:kern w:val="0"/>
          <w:lang w:eastAsia="pt-BR"/>
          <w14:ligatures w14:val="none"/>
        </w:rPr>
        <w:t>).</w:t>
      </w:r>
    </w:p>
    <w:p w14:paraId="69D4792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Um desses estímulos, o visual, modula algumas áreas como o córtex pré-motor, a área motora suplementar, o córtex pré-frontal e os campos oculares frontais. Porém, não se tem a comprovação dos exatos mecanismos anatoneurofisiológicos envolvidos na ligação entre o estímulo visual e a resposta motora seguida de tal estímulo. Entretanto, é comprovado a existência de conexões occipito-motoras fisiologicamente relevantes que realizam uma integração rápida da informação visual em tarefas motoras (Strigaro et al. 2015).</w:t>
      </w:r>
    </w:p>
    <w:p w14:paraId="1738773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 interpretação do estímulo visual se inicia na retina, onde fotorreceptores convertem a energia luminosa em sinais elétricos. Esses sinais passam pelo nervo óptico, indo para o corpo geniculado lateral do tálamo e, posteriormente, o córtex visual primário (V1), localizado no lobo occipital. Em V1, é feito o processamento de propriedades fundamentais, como contornos, orientação e contraste. Após isso, a informação é encaminhada para áreas secundárias, responsáveis ​​por atributos mais complexos, como cor, forma e movimento, distribuindo-se pelas vias dorsal e ventral, que são essenciais para a percepção espacial e para o reconhecimento de objetos (GOODALE; MILNER, 1992).</w:t>
      </w:r>
    </w:p>
    <w:p w14:paraId="6C41DBE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processamento do estímulo visual colabora na percepção de estímulos auditivos, como pode ser visto em estudos de neuroimagem e de estimulação magnética, no qual em condições de tarefas multimodais – como a leitura labial ou a percepção integrada de cena audiovisual – ocorre uma interação entre o córtex visual e as áreas do córtex auditivo primário (A1) e secundário para conseguir interpretar o estímulo externo (DRIVER; NOESSELT, 2008; CALVERT et al., 1997). </w:t>
      </w:r>
    </w:p>
    <w:p w14:paraId="359E413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As informações visuais também são usadas para a preparação do movimento, tendo em vista que a via dorsal visual, que é responsável pela análise espacial, projeta também informações para áreas parietais e pré-motoras, que, por sua vez, se comunicam com o córtex motor primário. Essa integração permite que a percepção visual oriente a execução de respostas motoras precisas e adaptativas, tornando a coordenação dos </w:t>
      </w:r>
      <w:r w:rsidRPr="00003E63">
        <w:rPr>
          <w:rFonts w:ascii="Arial" w:eastAsia="Times New Roman" w:hAnsi="Arial" w:cs="Arial"/>
          <w:color w:val="000000"/>
          <w:kern w:val="0"/>
          <w:lang w:eastAsia="pt-BR"/>
          <w14:ligatures w14:val="none"/>
        </w:rPr>
        <w:lastRenderedPageBreak/>
        <w:t>movimentos exatas em resposta a comunicação desses estímulos com o córtex motor, como é visto nas ações de preensão de objetos ou na execução de movimentos oculares rápidos (sacádicos) (JEANNEROD, 1997; MURRAY; WALLACE, 2012; STRIGARO, 2015).</w:t>
      </w:r>
    </w:p>
    <w:p w14:paraId="13382D5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Atualmente a estimulação magnética transcraniana (EMT) tem sido empregada para explorar as interações entre estímulos visuais e a excitabilidade cortical. Pesquisas demonstram que a aplicação de EMT sobre o córtex occipital pode ter efeitos opostos na detecção de estímulos visuais e auditivos, implicando em interações multissensoriais complexas (Romei, V. et al., 2007). </w:t>
      </w:r>
    </w:p>
    <w:p w14:paraId="6D3097C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 estimulação da área de perseguição frontal (FPA) pode melhorar o tempo de reação nos movimentos oculares de perseguição suave, pois essa região desempenha um papel crucial no controle dinâmico do ganho de velocidade ocular e na adaptação a estímulos visuais. Estudos de neuroimagem e estimulação magnética transcraniana (EMT) demonstraram que a FPA está envolvida na modulação da velocidade do olho, especialmente durante mudanças na velocidade do alvo, e que sua estimulação pode tanto aumentar quanto diminuir a velocidade ocular, dependendo do momento em que é aplicada (Gagnon et al., 2006; Nuding et al., 2009). </w:t>
      </w:r>
    </w:p>
    <w:p w14:paraId="7C3BB56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Além disso, a FPA faz parte da rede fronto parietal, que está associada à orientação da atenção (Corbetta &amp; Shulman, 2002), e sua interação com os movimentos de perseguição ocular sugere que a estimulação dessa área pode otimizar tanto os movimentos oculares quanto a capacidade de direcionar a atenção de forma mais eficiente, impactando diretamente o tempo de reação (Acker &amp; Toone, 1978; Kerzel et al., 2009). Esses achados indicam que a estimulação da FPA pode ser uma estratégia eficaz para melhorar a resposta a estímulos visuais dinâmicos.</w:t>
      </w:r>
    </w:p>
    <w:p w14:paraId="19AC652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 EMT é uma técnica não invasiva que utiliza pulsos magnéticos para induzir correntes elétricas no cérebro, modulando a atividade neuronal. Estudos indicam que ela pode influenciar o tempo de resposta neuronal sensorial. Por exemplo, a aplicação de EMT focal sobre o córtex motor influencia o tempo de reação em atividades com estímulos auditivos, visuais e somatossensoriais, indicando que a EMT pode facilitar a prontidão neural para a resposta motora (Pascual-Leone et al. 1995).</w:t>
      </w:r>
    </w:p>
    <w:p w14:paraId="05B240F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Na atual pesquisa, pretendemos analisar o efeito da EMT sobre duas vias corticais, a da visão (Córtex visual primário) e a via motora (Córtex motor - Neurônio motor secundário “neurônio motor inferior”) relacionando os efeitos encontrados com uma possível e já comprovada interrelação “não direta” entre esses dois córtex, e os benefícios da EMT para eles.</w:t>
      </w:r>
    </w:p>
    <w:p w14:paraId="22725656"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p>
    <w:p w14:paraId="1766F397"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lastRenderedPageBreak/>
        <w:t>2- JUSTIFICATIVA </w:t>
      </w:r>
    </w:p>
    <w:p w14:paraId="639BB33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6737D44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O córtex motor primário pode ser modulado por outras áreas corticais (Furubayashi et al. 2000), como a visual (Tokimura et al. 1996; Cantello et al. 2000; </w:t>
      </w:r>
      <w:r w:rsidRPr="00003E63">
        <w:rPr>
          <w:rFonts w:ascii="Arial" w:eastAsia="Times New Roman" w:hAnsi="Arial" w:cs="Arial"/>
          <w:color w:val="000000"/>
          <w:kern w:val="0"/>
          <w:shd w:val="clear" w:color="auto" w:fill="FFFFFF"/>
          <w:lang w:eastAsia="pt-BR"/>
          <w14:ligatures w14:val="none"/>
        </w:rPr>
        <w:t>SIMÕES, C. et al 2014</w:t>
      </w:r>
      <w:r w:rsidRPr="00003E63">
        <w:rPr>
          <w:rFonts w:ascii="Arial" w:eastAsia="Times New Roman" w:hAnsi="Arial" w:cs="Arial"/>
          <w:color w:val="000000"/>
          <w:kern w:val="0"/>
          <w:lang w:eastAsia="pt-BR"/>
          <w14:ligatures w14:val="none"/>
        </w:rPr>
        <w:t>). Sabe-se que, fisiologicamente, existem conexões que integram as informações visuais com as tarefas motoras (Strigaro et al. 2015), mas sem comprovações dos mecanismos anatoneurofisiológicos exatos. Portanto, a combinação dessas duas vias é importante para a precisão das respostas motoras.</w:t>
      </w:r>
    </w:p>
    <w:p w14:paraId="63D836B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Outrossim, estudos mostram que a atenção está relacionada com a área de perseguição frontal, na rede fronto parietal (Corbetta &amp; Shulman, 2002), isso sugere que, os estímulos dessa área, possam aumentar a velocidade dos movimentos visuais e aumentar a atenção, reduzindo o tempo de reação aos estímulos visuais (Acker &amp; Toone, 1978; Kerzel et al., 2009).</w:t>
      </w:r>
    </w:p>
    <w:p w14:paraId="78B89CF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As pesquisas mais antigas confirmam que a facilitação intersensorial, que é o estímulo de várias modalidades, pode diminuir o tempo de reação simples (Terao; 1997). Portanto, a utilização da Estimulação Magnética Transcraniana com a combinação do estímulo visual com o motor, pode facilitar a prontidão neural para a resposta motora (Pascual-Leone et al. 1995).</w:t>
      </w:r>
    </w:p>
    <w:p w14:paraId="5D69B0C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Este estudo pretende analisar os benefícios do uso da EMT nas áreas corticais visual e motora, para entender seus possíveis benefícios, como a redução do tempo de reação. Além disso, buscamos entender melhor sobre a relação entre as áreas corticais, visual e motora, buscando compreender se realmente há uma relação direta entre o estímulo de uma, e uma resposta alterada da outra.</w:t>
      </w:r>
    </w:p>
    <w:p w14:paraId="3AB08E00" w14:textId="77777777" w:rsid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70C1121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22447490"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3- HIPÓTESE</w:t>
      </w:r>
    </w:p>
    <w:p w14:paraId="373874A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0BDF26C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O córtex motor primário (M1) sofre modulações de outras áreas corticais além do córtex pré-motor e área motora suplementar, de acordo com estudos de Furubayashi. Essas influências que chegam no M1 ajudam no processo de construção do movimento, modulando-o de acordo com os estímulos externos, e isso pode ser visto através de diversos estímulos, que desencadeiam algum movimento em resposta, como estímulos  auditivos, visuais ou até mesmo gustativos (Tokimura et al. 1996; Cantello et al. 2000; </w:t>
      </w:r>
      <w:r w:rsidRPr="00003E63">
        <w:rPr>
          <w:rFonts w:ascii="Arial" w:eastAsia="Times New Roman" w:hAnsi="Arial" w:cs="Arial"/>
          <w:color w:val="000000"/>
          <w:kern w:val="0"/>
          <w:shd w:val="clear" w:color="auto" w:fill="FFFFFF"/>
          <w:lang w:eastAsia="pt-BR"/>
          <w14:ligatures w14:val="none"/>
        </w:rPr>
        <w:t>SIMÕES, C. et al</w:t>
      </w:r>
      <w:r w:rsidRPr="00003E63">
        <w:rPr>
          <w:rFonts w:ascii="Arial" w:eastAsia="Times New Roman" w:hAnsi="Arial" w:cs="Arial"/>
          <w:color w:val="000000"/>
          <w:kern w:val="0"/>
          <w:lang w:eastAsia="pt-BR"/>
          <w14:ligatures w14:val="none"/>
        </w:rPr>
        <w:t>. 2014). </w:t>
      </w:r>
    </w:p>
    <w:p w14:paraId="0AE01F9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Um desses estímulos, o visual, modula algumas áreas como o córtex pré-motor, a área motora suplementar, o córtex pré-frontal e os campos oculares frontais. E tendo em vista </w:t>
      </w:r>
      <w:r w:rsidRPr="00003E63">
        <w:rPr>
          <w:rFonts w:ascii="Arial" w:eastAsia="Times New Roman" w:hAnsi="Arial" w:cs="Arial"/>
          <w:color w:val="000000"/>
          <w:kern w:val="0"/>
          <w:lang w:eastAsia="pt-BR"/>
          <w14:ligatures w14:val="none"/>
        </w:rPr>
        <w:lastRenderedPageBreak/>
        <w:t>que essa modulação ocorre no córtex pré-motor e na área motora suplementar, pode-se concluir que o estímulo auditivo interage com as áreas que participam da criação do movimento, antes dele ser enviado ao M1 para a execução.</w:t>
      </w:r>
    </w:p>
    <w:p w14:paraId="53281E7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Além disso, já é comprovado a que a técnica da estimulação magnética transcraniana modula a resposta cortical, tanto para o córtex motor primário, quanto para áreas do córtex visual primário e algumas correspondências (como a estimulação da FPA e seu efeito na melhora da interpretação do campo visual) (Nuding et al., 2009; Pascual-Leone et al. 1995).</w:t>
      </w:r>
    </w:p>
    <w:p w14:paraId="4525DA2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 Hipótese deste estudo é que a partir do uso da EMT para estimular duas vias corticais, a da visão (a partir de um estímulo realizado na área de perseguição frontal) e a via motora (a partir de um estímulo realizado no córtex motor primário) o tempo de reação (TR) entre o estímulo visual oferecido para a avaliação do TR e a contração muscular para execução da atividade motora em resposta ao estímulo visual será diminuído em comparação com o teste feito antes do uso da EMT no indivíduo.</w:t>
      </w:r>
    </w:p>
    <w:p w14:paraId="582EEDF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Além disso, pretende-se entender se os protocolos de estimulação somente da via motora, ou somente da via cortical da visão, ou então a combinação das duas, qual delas será a mais efetiva para reduzir o TR.</w:t>
      </w:r>
    </w:p>
    <w:p w14:paraId="1B6C413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230E0FE8"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4- OBJETIVO GERAL</w:t>
      </w:r>
    </w:p>
    <w:p w14:paraId="6D84EA9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1F29266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objetivo deste estudo será analisar o efeito adicional da Estimulação Magnética Transcraniana no córtex motor após um estímulo no córtex visual sobre o tempo de reação muscular.</w:t>
      </w:r>
    </w:p>
    <w:p w14:paraId="08B3456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607AC0FB"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5- OBJETIVO ESPECÍFICOS</w:t>
      </w:r>
    </w:p>
    <w:p w14:paraId="604A5657" w14:textId="77777777" w:rsidR="00003E63" w:rsidRPr="00003E63" w:rsidRDefault="00003E63" w:rsidP="00003E63">
      <w:pPr>
        <w:numPr>
          <w:ilvl w:val="0"/>
          <w:numId w:val="9"/>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Avaliar se existe algum efeito no tempo de reação a partir do protocolo de EMT na FPA</w:t>
      </w:r>
    </w:p>
    <w:p w14:paraId="1EDF3CCC" w14:textId="77777777" w:rsidR="00003E63" w:rsidRPr="00003E63" w:rsidRDefault="00003E63" w:rsidP="00003E63">
      <w:pPr>
        <w:numPr>
          <w:ilvl w:val="0"/>
          <w:numId w:val="9"/>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Avaliar se existe algum efeito no tempo de reação a partir do protocolo de EMT no Córtex motor primário</w:t>
      </w:r>
    </w:p>
    <w:p w14:paraId="752C14E1" w14:textId="77777777" w:rsidR="00003E63" w:rsidRPr="00003E63" w:rsidRDefault="00003E63" w:rsidP="00003E63">
      <w:pPr>
        <w:numPr>
          <w:ilvl w:val="0"/>
          <w:numId w:val="9"/>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Verificar a correlação entre a combinação do uso da EMT no córtex motor primário e na FPA, em comparação com os protocolos de estimulação somente do córtex M1 ou FPA para redução do tempo de reação muscular. </w:t>
      </w:r>
    </w:p>
    <w:p w14:paraId="3729F379" w14:textId="77777777" w:rsidR="00003E63" w:rsidRPr="00003E63" w:rsidRDefault="00003E63" w:rsidP="00003E63">
      <w:pPr>
        <w:numPr>
          <w:ilvl w:val="0"/>
          <w:numId w:val="9"/>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Avaliar qual dos protocolos será mais efetivo para reduzir o TR: os protocolos de estimulação somente da via motora, ou somente da via cortical da visão, ou então a combinação das duas.</w:t>
      </w:r>
    </w:p>
    <w:p w14:paraId="5F6E4CFC"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lastRenderedPageBreak/>
        <w:br/>
      </w:r>
    </w:p>
    <w:p w14:paraId="258C4C32" w14:textId="77777777" w:rsidR="00003E63" w:rsidRDefault="00003E63" w:rsidP="00003E63">
      <w:pPr>
        <w:spacing w:after="0" w:line="360" w:lineRule="auto"/>
        <w:ind w:firstLine="720"/>
        <w:contextualSpacing/>
        <w:jc w:val="both"/>
        <w:rPr>
          <w:rFonts w:ascii="Arial" w:eastAsia="Times New Roman" w:hAnsi="Arial" w:cs="Arial"/>
          <w:b/>
          <w:bCs/>
          <w:color w:val="000000"/>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 MATERIAIS E MÉTODOS</w:t>
      </w:r>
    </w:p>
    <w:p w14:paraId="54B9F817"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p>
    <w:p w14:paraId="1253DC2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6.1- Local </w:t>
      </w:r>
    </w:p>
    <w:p w14:paraId="36328529"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O estudo será realizado na Clínica Escola Interprofissional em Saúde, localizada na Universidade Federal do Espírito Santo (UFES), Campus de Maruípe, no endereço: Av. Marechal Campos, 1468 – Maruípe, CEP 29.040-090, Vitória - ES. </w:t>
      </w:r>
    </w:p>
    <w:p w14:paraId="34D6CA2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4B2B556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6.2- Tipo de Estudo </w:t>
      </w:r>
    </w:p>
    <w:p w14:paraId="58792724"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Trata-se de um estudo piloto experimental, com comparação/</w:t>
      </w:r>
      <w:r w:rsidRPr="00003E63">
        <w:rPr>
          <w:rFonts w:ascii="Arial" w:eastAsia="Times New Roman" w:hAnsi="Arial" w:cs="Arial"/>
          <w:i/>
          <w:iCs/>
          <w:color w:val="000000"/>
          <w:kern w:val="0"/>
          <w:lang w:eastAsia="pt-BR"/>
          <w14:ligatures w14:val="none"/>
        </w:rPr>
        <w:t>cross over</w:t>
      </w:r>
      <w:r w:rsidRPr="00003E63">
        <w:rPr>
          <w:rFonts w:ascii="Arial" w:eastAsia="Times New Roman" w:hAnsi="Arial" w:cs="Arial"/>
          <w:color w:val="000000"/>
          <w:kern w:val="0"/>
          <w:lang w:eastAsia="pt-BR"/>
          <w14:ligatures w14:val="none"/>
        </w:rPr>
        <w:t xml:space="preserve"> dos resultados obtidos de 3 tipos de intervenções (A, B e C) e uma controle, sendo a A, EMT Visual + EMT Motor; B,  EMT Motor; C, EMT Visual; Controle, nenhum tipo de intervenção.</w:t>
      </w:r>
    </w:p>
    <w:p w14:paraId="1B3EC68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3ADF632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6.3- Amostra </w:t>
      </w:r>
    </w:p>
    <w:p w14:paraId="26EC79A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O grupo amostral deste estudo será composto por estudantes universitários da UFES, </w:t>
      </w:r>
      <w:r w:rsidRPr="00003E63">
        <w:rPr>
          <w:rFonts w:ascii="Arial" w:eastAsia="Times New Roman" w:hAnsi="Arial" w:cs="Arial"/>
          <w:i/>
          <w:iCs/>
          <w:color w:val="000000"/>
          <w:kern w:val="0"/>
          <w:lang w:eastAsia="pt-BR"/>
          <w14:ligatures w14:val="none"/>
        </w:rPr>
        <w:t xml:space="preserve">campus </w:t>
      </w:r>
      <w:r w:rsidRPr="00003E63">
        <w:rPr>
          <w:rFonts w:ascii="Arial" w:eastAsia="Times New Roman" w:hAnsi="Arial" w:cs="Arial"/>
          <w:color w:val="000000"/>
          <w:kern w:val="0"/>
          <w:lang w:eastAsia="pt-BR"/>
          <w14:ligatures w14:val="none"/>
        </w:rPr>
        <w:t xml:space="preserve">de Maruípe, maiores de 20 anos e menores de 30 (20 &lt; n &gt; 30). O </w:t>
      </w:r>
      <w:r w:rsidRPr="00003E63">
        <w:rPr>
          <w:rFonts w:ascii="Arial" w:eastAsia="Times New Roman" w:hAnsi="Arial" w:cs="Arial"/>
          <w:b/>
          <w:bCs/>
          <w:i/>
          <w:iCs/>
          <w:color w:val="000000"/>
          <w:kern w:val="0"/>
          <w:lang w:eastAsia="pt-BR"/>
          <w14:ligatures w14:val="none"/>
        </w:rPr>
        <w:t>n</w:t>
      </w:r>
      <w:r w:rsidRPr="00003E63">
        <w:rPr>
          <w:rFonts w:ascii="Arial" w:eastAsia="Times New Roman" w:hAnsi="Arial" w:cs="Arial"/>
          <w:color w:val="000000"/>
          <w:kern w:val="0"/>
          <w:lang w:eastAsia="pt-BR"/>
          <w14:ligatures w14:val="none"/>
        </w:rPr>
        <w:t xml:space="preserve"> amostral será de 10 participantes voluntários, sendo 5 do sexo feminino e 5 do sexo masculino, com base em estudo previamente feito e publicado na área (Souza, 2021). Os estudantes serão convidados a participar da pesquisa a partir da divulgação nas redes sociais dos pesquisadores. </w:t>
      </w:r>
    </w:p>
    <w:p w14:paraId="5904FB3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protocolo de intervenção terá duração de, aproximadamente, 1 mês e terá início após o recrutamento do voluntário. Os protocolos (A, B e C) serão aplicados com intervalo de, em média, 14 dias, podendo ser 3 dias a mais ou a menos, e a ordem será aleatorizada, por meio de randomização das etapas. Os testes utilizados serão: Teste de Resolução REST-SPER, WIFIVI e Teste de Simultaneidade DIAT-SHIF, aplicados no primeiro dia, antes da intervenção, e após a aplicação de todos os protocolos.</w:t>
      </w:r>
    </w:p>
    <w:p w14:paraId="2F26B2F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7AAB9D5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6.3.1- Critérios de Inclusão e Exclusão</w:t>
      </w:r>
    </w:p>
    <w:p w14:paraId="3EC5F115"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b/>
          <w:bCs/>
          <w:color w:val="000000"/>
          <w:kern w:val="0"/>
          <w:lang w:eastAsia="pt-BR"/>
          <w14:ligatures w14:val="none"/>
        </w:rPr>
        <w:t>Inclusão:</w:t>
      </w:r>
      <w:r w:rsidRPr="00003E63">
        <w:rPr>
          <w:rFonts w:ascii="Arial" w:eastAsia="Times New Roman" w:hAnsi="Arial" w:cs="Arial"/>
          <w:color w:val="000000"/>
          <w:kern w:val="0"/>
          <w:lang w:eastAsia="pt-BR"/>
          <w14:ligatures w14:val="none"/>
        </w:rPr>
        <w:t xml:space="preserve"> pessoas com idade entre 20 e 30 anos, que sejam destros, que não apresentem implantes metálicos, histórico de convulsões e uso de drogas neuroestimuladoras </w:t>
      </w:r>
    </w:p>
    <w:p w14:paraId="24C011FC" w14:textId="52526A54"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Exclusão:</w:t>
      </w:r>
      <w:r w:rsidRPr="00003E63">
        <w:rPr>
          <w:rFonts w:ascii="Arial" w:eastAsia="Times New Roman" w:hAnsi="Arial" w:cs="Arial"/>
          <w:color w:val="000000"/>
          <w:kern w:val="0"/>
          <w:lang w:eastAsia="pt-BR"/>
          <w14:ligatures w14:val="none"/>
        </w:rPr>
        <w:t xml:space="preserve"> serão excluídos pessoas que apresentem qualquer condição neurológica diagnosticada, como Acidente Vascular Cerebral, Epilepsia e Demência. Também, pessoas que possuam deficiências visuais, como cegueira ou baixa visão não corrigida </w:t>
      </w:r>
      <w:r w:rsidRPr="00003E63">
        <w:rPr>
          <w:rFonts w:ascii="Arial" w:eastAsia="Times New Roman" w:hAnsi="Arial" w:cs="Arial"/>
          <w:color w:val="000000"/>
          <w:kern w:val="0"/>
          <w:lang w:eastAsia="pt-BR"/>
          <w14:ligatures w14:val="none"/>
        </w:rPr>
        <w:lastRenderedPageBreak/>
        <w:t>por óculos ou lentes, e deficiências neuromusculares, como Esclerose Lateral Amiotrófica, Miastenia Gravis e neuropatias periféricas. </w:t>
      </w:r>
    </w:p>
    <w:p w14:paraId="777EC24A"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p>
    <w:p w14:paraId="54F0979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6.4- Procedimento </w:t>
      </w:r>
    </w:p>
    <w:p w14:paraId="2CF4DF9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procedimento terá duração de 1 mês e terá início após o recrutamento do paciente. No dia combinado com o participante, será realizada a primeira avaliação do desfecho principal (tempo de reação após o estímulo visual) utilizando os testes selecionados, e no mesmo dia será realizada a intervenção específica de uma das 3 intervenções (A, B ou C), que será escolhida por sorteio. Posteriormente à ela, serão refeitos os testes e isso será contabilizado como semana 1. </w:t>
      </w:r>
    </w:p>
    <w:p w14:paraId="4931716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Na semana 3, após 14 dias, podendo ser 3 dias a mais ou a menos, da primeira aplicação do protocolo, o paciente retornará para realizar o segundo procedimento e o sorteio do protocolo a ser utilizado será realizado entre as 2 intervenções restantes, os testes serão aplicados ao fim da sessão e os resultados obtidos serão registrados. </w:t>
      </w:r>
    </w:p>
    <w:p w14:paraId="08D7567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Por fim, na semana 5, 14 dias após a intervenção 2, podendo ser 3 dias a mais ou a menos, será realizada a última intervenção, do único papel que sobrou dos sorteios anteriores. Serão refeitos os testes, após a aplicação do protocolo restante, os dados serão registrados, findando a coleta com este paciente.</w:t>
      </w:r>
    </w:p>
    <w:p w14:paraId="481C6D2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0594D9F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6.4.1- Sorteio</w:t>
      </w:r>
    </w:p>
    <w:p w14:paraId="3A7AE6A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sorteio será feito utilizando-se de uma caixa vedada (sem visualização do conteúdo interno e com abertura para passagem das mãos), serão colocados 3 papeis no seu interior, cada um contendo as seguintes escritas: papel 1 - Protocolo A, papel 2 - Protocolo B e papel 3 - Protocolo C. O participante irá retirar da caixa um papel, porém não saberá qual a intervenção específica de cada protocolo, e o que for retirado corresponderá a intervenção que será feita no 1° dia da semana 1. </w:t>
      </w:r>
    </w:p>
    <w:p w14:paraId="17EF22D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Na 3° semana, o sorteio será realizado entre os dois papeis restantes, excluindo o papel que saiu na semana 1, e sendo realizado o mesmo procedimento que anteriormente. </w:t>
      </w:r>
    </w:p>
    <w:p w14:paraId="4C18058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Na semana 5, será feita a intervenção que ainda não foi sorteada pelo paciente.</w:t>
      </w:r>
    </w:p>
    <w:p w14:paraId="5098856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0641875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6.4.2- Intervenção</w:t>
      </w:r>
    </w:p>
    <w:p w14:paraId="1AF2222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As intervenções serão divididas em três etapas, sendo elas: </w:t>
      </w:r>
    </w:p>
    <w:p w14:paraId="5614C3DA" w14:textId="77777777" w:rsidR="00003E63" w:rsidRPr="00003E63" w:rsidRDefault="00003E63" w:rsidP="00003E63">
      <w:pPr>
        <w:numPr>
          <w:ilvl w:val="0"/>
          <w:numId w:val="10"/>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A: Uso da Estimulação Magnética Transcraniana (EMT) na área de perseguição frontal (FPA) para estimular o córtex visual e também no córtex motor primário (M1)</w:t>
      </w:r>
    </w:p>
    <w:p w14:paraId="75AA56F0" w14:textId="77777777" w:rsidR="00003E63" w:rsidRPr="00003E63" w:rsidRDefault="00003E63" w:rsidP="00003E63">
      <w:pPr>
        <w:numPr>
          <w:ilvl w:val="0"/>
          <w:numId w:val="10"/>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B: Uso da EMT no córtex motor primário (M1) </w:t>
      </w:r>
    </w:p>
    <w:p w14:paraId="22D61FBD" w14:textId="77777777" w:rsidR="00003E63" w:rsidRPr="00003E63" w:rsidRDefault="00003E63" w:rsidP="00003E63">
      <w:pPr>
        <w:numPr>
          <w:ilvl w:val="0"/>
          <w:numId w:val="10"/>
        </w:numPr>
        <w:spacing w:after="0" w:line="360" w:lineRule="auto"/>
        <w:contextualSpacing/>
        <w:jc w:val="both"/>
        <w:textAlignment w:val="baseline"/>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lastRenderedPageBreak/>
        <w:t>C: Uso da EMT no FPA para estimular o córtex visual</w:t>
      </w:r>
    </w:p>
    <w:p w14:paraId="0B8C548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219381B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No protocolo será utilizado um estimulador MagPro R30, equipado com uma bobina (Cool-B70 A/P), formato de 8, para fornecer pulsos de TMS (MagVenture A/S, Lucernemarken 15, Denmark). </w:t>
      </w:r>
    </w:p>
    <w:p w14:paraId="32E4AFB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Outrossim, será administrado (</w:t>
      </w:r>
      <w:r w:rsidRPr="00003E63">
        <w:rPr>
          <w:rFonts w:ascii="Arial" w:eastAsia="Times New Roman" w:hAnsi="Arial" w:cs="Arial"/>
          <w:color w:val="000000"/>
          <w:kern w:val="0"/>
          <w:shd w:val="clear" w:color="auto" w:fill="FFFFFF"/>
          <w:lang w:eastAsia="pt-BR"/>
          <w14:ligatures w14:val="none"/>
        </w:rPr>
        <w:t>continuous theta burst stimulation</w:t>
      </w:r>
      <w:r w:rsidRPr="00003E63">
        <w:rPr>
          <w:rFonts w:ascii="Roboto" w:eastAsia="Times New Roman" w:hAnsi="Roboto" w:cs="Times New Roman"/>
          <w:color w:val="212121"/>
          <w:kern w:val="0"/>
          <w:sz w:val="24"/>
          <w:szCs w:val="24"/>
          <w:shd w:val="clear" w:color="auto" w:fill="FFFFFF"/>
          <w:lang w:eastAsia="pt-BR"/>
          <w14:ligatures w14:val="none"/>
        </w:rPr>
        <w:t xml:space="preserve">) </w:t>
      </w:r>
      <w:r w:rsidRPr="00003E63">
        <w:rPr>
          <w:rFonts w:ascii="Arial" w:eastAsia="Times New Roman" w:hAnsi="Arial" w:cs="Arial"/>
          <w:color w:val="000000"/>
          <w:kern w:val="0"/>
          <w:lang w:eastAsia="pt-BR"/>
          <w14:ligatures w14:val="none"/>
        </w:rPr>
        <w:t>cTBS offline a 80% do limiar motor do participante. O limiar motor será coletado todos os dias antes da aplicação do protocolo de EMT (Rossi, S, et al, 2022). A sessão de EMT será realizada de acordo com as diretrizes de segurança publicadas (Wassermann et al., 1996 ; Rossi et al., 2009).</w:t>
      </w:r>
    </w:p>
    <w:p w14:paraId="0A36A01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FPA:</w:t>
      </w:r>
      <w:r w:rsidRPr="00003E63">
        <w:rPr>
          <w:rFonts w:ascii="Arial" w:eastAsia="Times New Roman" w:hAnsi="Arial" w:cs="Arial"/>
          <w:color w:val="000000"/>
          <w:kern w:val="0"/>
          <w:lang w:eastAsia="pt-BR"/>
          <w14:ligatures w14:val="none"/>
        </w:rPr>
        <w:t xml:space="preserve"> Cada trem de cTBS consistirá em 3 pulsos a cada 200 ms a 50 Hz, e 200 rajadas com um total de 600 pulsos sendo entregues ao FPA direito ([35 -7 52] na coordenada de Talairach; Gagnon et al., 2006 ; Nuding et al., 2009).</w:t>
      </w:r>
    </w:p>
    <w:p w14:paraId="6CA8F95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Córtex motor primário (M1):</w:t>
      </w:r>
      <w:r w:rsidRPr="00003E63">
        <w:rPr>
          <w:rFonts w:ascii="Arial" w:eastAsia="Times New Roman" w:hAnsi="Arial" w:cs="Arial"/>
          <w:color w:val="000000"/>
          <w:kern w:val="0"/>
          <w:lang w:eastAsia="pt-BR"/>
          <w14:ligatures w14:val="none"/>
        </w:rPr>
        <w:t xml:space="preserve"> Cada trem de cTBS consistirá em 3 pulsos a cada 200 ms a 50 Hz, e 200 rajadas com um total de 600 pulsos sendo entregues ao córtex motor primário (M1) ([29 -31 70] na coordenada de Talairach) (Gao et al., 2006).</w:t>
      </w:r>
    </w:p>
    <w:p w14:paraId="2973183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3F73B44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6.4.3- Testes </w:t>
      </w:r>
    </w:p>
    <w:p w14:paraId="54D8665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Os dados serão coletados por meio dos Testes WIFIVI, Teste de Simultaneidade DIAT-SHIF e Teste de Resolução REST-SPER. Eles foram inspirados nos testes clássicos, como o Teste de Vigilância Psicomotora (PVT; Basner et al., 2011), o Teste Integrado de Desempenho Visual e Auditivo Contínuo (IVA-2 CPT; Stanford &amp; Turner, 1995 ) e o Teste de Variáveis de Atenção (TOVA; Greenberg, 1991).</w:t>
      </w:r>
    </w:p>
    <w:p w14:paraId="0CDA907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37E5DB6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Teste de Resolução REST-SPER</w:t>
      </w:r>
      <w:r w:rsidRPr="00003E63">
        <w:rPr>
          <w:rFonts w:ascii="Arial" w:eastAsia="Times New Roman" w:hAnsi="Arial" w:cs="Arial"/>
          <w:color w:val="000000"/>
          <w:kern w:val="0"/>
          <w:lang w:eastAsia="pt-BR"/>
          <w14:ligatures w14:val="none"/>
        </w:rPr>
        <w:t>: avalia a capacidade de concentração em um alvo. O participante deve pressionar rapidamente os círculos que aparecem na tela, enquanto ignora os hexágonos, caso apareçam. A tarefa inclui 16 itens compostos apenas por círculos e 8 itens com círculos e hexágonos. Para cada item, são registrados dados sobre o tempo de resposta, precisão e a distância entre o cursor e o centro do alvo. </w:t>
      </w:r>
    </w:p>
    <w:p w14:paraId="08200AD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 xml:space="preserve">Existem 4 versões paralelas do teste para evitar o efeito de memória de teste-reteste, e, dentro de cada versão, os itens de destino (e distração, se presentes) são posicionados em locais diferentes. Na fase de aprendizado, são apresentados 3 estímulos circulares estáticos, que aparecem em várias partes da tela. Durante a fase de teste, serão mostrados 24 círculos estáticos, que podem ser isolados (16 testes) ou acompanhados por hexágonos estáticos como distrações (8 testes). Cada estímulo </w:t>
      </w:r>
      <w:r w:rsidRPr="00003E63">
        <w:rPr>
          <w:rFonts w:ascii="Arial" w:eastAsia="Times New Roman" w:hAnsi="Arial" w:cs="Arial"/>
          <w:color w:val="000000"/>
          <w:kern w:val="0"/>
          <w:lang w:eastAsia="pt-BR"/>
          <w14:ligatures w14:val="none"/>
        </w:rPr>
        <w:lastRenderedPageBreak/>
        <w:t>permanecerá na tela por até 5000 milissegundos ou até que o usuário clique no círculo, o que ocorrer primeiro.</w:t>
      </w:r>
    </w:p>
    <w:p w14:paraId="504D9C72"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p>
    <w:p w14:paraId="4C77AB4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Tabela 1 - Estrutura da tarefa do teste de vigilância psicomotora</w:t>
      </w:r>
    </w:p>
    <w:tbl>
      <w:tblPr>
        <w:tblW w:w="0" w:type="auto"/>
        <w:tblCellMar>
          <w:top w:w="15" w:type="dxa"/>
          <w:left w:w="15" w:type="dxa"/>
          <w:bottom w:w="15" w:type="dxa"/>
          <w:right w:w="15" w:type="dxa"/>
        </w:tblCellMar>
        <w:tblLook w:val="04A0" w:firstRow="1" w:lastRow="0" w:firstColumn="1" w:lastColumn="0" w:noHBand="0" w:noVBand="1"/>
      </w:tblPr>
      <w:tblGrid>
        <w:gridCol w:w="1436"/>
        <w:gridCol w:w="995"/>
        <w:gridCol w:w="2426"/>
        <w:gridCol w:w="1729"/>
      </w:tblGrid>
      <w:tr w:rsidR="00003E63" w:rsidRPr="00003E63" w14:paraId="0ACA19E7" w14:textId="77777777" w:rsidTr="00003E63">
        <w:trPr>
          <w:trHeight w:val="373"/>
        </w:trPr>
        <w:tc>
          <w:tcPr>
            <w:tcW w:w="0" w:type="auto"/>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5F3029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Fase</w:t>
            </w:r>
          </w:p>
        </w:tc>
        <w:tc>
          <w:tcPr>
            <w:tcW w:w="0" w:type="auto"/>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6B7F48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Estágio</w:t>
            </w:r>
          </w:p>
        </w:tc>
        <w:tc>
          <w:tcPr>
            <w:tcW w:w="0" w:type="auto"/>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A2C174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Quantidade de testes</w:t>
            </w:r>
          </w:p>
        </w:tc>
        <w:tc>
          <w:tcPr>
            <w:tcW w:w="0" w:type="auto"/>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8853EE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Tipo</w:t>
            </w:r>
          </w:p>
        </w:tc>
      </w:tr>
      <w:tr w:rsidR="00003E63" w:rsidRPr="00003E63" w14:paraId="22BE931F" w14:textId="77777777" w:rsidTr="00003E63">
        <w:trPr>
          <w:trHeight w:val="3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50766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Aprendizado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DC26B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507C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82EF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Sem distrações</w:t>
            </w:r>
          </w:p>
        </w:tc>
      </w:tr>
      <w:tr w:rsidR="00003E63" w:rsidRPr="00003E63" w14:paraId="08B39095" w14:textId="77777777" w:rsidTr="00003E63">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EDA7E"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p>
          <w:p w14:paraId="2EB0B92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Testando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BC4C3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57AA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039B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Sem distrações</w:t>
            </w:r>
          </w:p>
        </w:tc>
      </w:tr>
      <w:tr w:rsidR="00003E63" w:rsidRPr="00003E63" w14:paraId="495CBF62"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BBE48D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D607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A482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6031A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Com distrações</w:t>
            </w:r>
          </w:p>
        </w:tc>
      </w:tr>
      <w:tr w:rsidR="00003E63" w:rsidRPr="00003E63" w14:paraId="3F6279B0"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2700E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A396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98AC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CA92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Sem distrações</w:t>
            </w:r>
          </w:p>
        </w:tc>
      </w:tr>
      <w:tr w:rsidR="00003E63" w:rsidRPr="00003E63" w14:paraId="2F82EDA4" w14:textId="77777777" w:rsidTr="00003E63">
        <w:trPr>
          <w:trHeight w:val="373"/>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FE32F1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91D97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FD9A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EDE4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Com distrações</w:t>
            </w:r>
          </w:p>
        </w:tc>
      </w:tr>
    </w:tbl>
    <w:p w14:paraId="4CE372DD"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Fonte: Psychomotor Vigilance Test. CogniFit. 2022. Version No: 2022.1.</w:t>
      </w:r>
    </w:p>
    <w:p w14:paraId="0964FD2F"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p>
    <w:p w14:paraId="14A37AB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4CBA55CC" w14:textId="0E863459" w:rsidR="00003E63" w:rsidRDefault="00003E63" w:rsidP="00003E63">
      <w:pPr>
        <w:spacing w:after="0" w:line="360" w:lineRule="auto"/>
        <w:contextualSpacing/>
        <w:jc w:val="both"/>
        <w:rPr>
          <w:rFonts w:ascii="Arial" w:eastAsia="Times New Roman" w:hAnsi="Arial" w:cs="Arial"/>
          <w:color w:val="000000"/>
          <w:kern w:val="0"/>
          <w:shd w:val="clear" w:color="auto" w:fill="FFFFFF"/>
          <w:lang w:eastAsia="pt-BR"/>
          <w14:ligatures w14:val="none"/>
        </w:rPr>
      </w:pPr>
      <w:r w:rsidRPr="00003E63">
        <w:rPr>
          <w:rFonts w:ascii="Arial" w:eastAsia="Times New Roman" w:hAnsi="Arial" w:cs="Arial"/>
          <w:b/>
          <w:bCs/>
          <w:color w:val="000000"/>
          <w:kern w:val="0"/>
          <w:shd w:val="clear" w:color="auto" w:fill="FFFFFF"/>
          <w:lang w:eastAsia="pt-BR"/>
          <w14:ligatures w14:val="none"/>
        </w:rPr>
        <w:t>WIFIVI</w:t>
      </w:r>
      <w:r w:rsidRPr="00003E63">
        <w:rPr>
          <w:rFonts w:ascii="Arial" w:eastAsia="Times New Roman" w:hAnsi="Arial" w:cs="Arial"/>
          <w:color w:val="000000"/>
          <w:kern w:val="0"/>
          <w:shd w:val="clear" w:color="auto" w:fill="FFFFFF"/>
          <w:lang w:eastAsia="pt-BR"/>
          <w14:ligatures w14:val="none"/>
        </w:rPr>
        <w:t>: é um teste de habilidade visual inspirado no</w:t>
      </w:r>
      <w:r w:rsidRPr="00003E63">
        <w:rPr>
          <w:rFonts w:ascii="Arial" w:eastAsia="Times New Roman" w:hAnsi="Arial" w:cs="Arial"/>
          <w:i/>
          <w:iCs/>
          <w:color w:val="000000"/>
          <w:kern w:val="0"/>
          <w:shd w:val="clear" w:color="auto" w:fill="FFFFFF"/>
          <w:lang w:eastAsia="pt-BR"/>
          <w14:ligatures w14:val="none"/>
        </w:rPr>
        <w:t xml:space="preserve"> Useful Field of Vision (UFOV)</w:t>
      </w:r>
      <w:r w:rsidRPr="00003E63">
        <w:rPr>
          <w:rFonts w:ascii="Arial" w:eastAsia="Times New Roman" w:hAnsi="Arial" w:cs="Arial"/>
          <w:color w:val="000000"/>
          <w:kern w:val="0"/>
          <w:shd w:val="clear" w:color="auto" w:fill="FFFFFF"/>
          <w:lang w:eastAsia="pt-BR"/>
          <w14:ligatures w14:val="none"/>
        </w:rPr>
        <w:t xml:space="preserve"> (Ball et al., 1993) e em outras baterias neuropsicológicas que avaliam a largura do campo de visão. Neste teste, cada tentativa consiste em duas etapas: a apresentação do estímulo e o </w:t>
      </w:r>
      <w:r>
        <w:rPr>
          <w:rFonts w:ascii="Arial" w:eastAsia="Times New Roman" w:hAnsi="Arial" w:cs="Arial"/>
          <w:color w:val="000000"/>
          <w:kern w:val="0"/>
          <w:shd w:val="clear" w:color="auto" w:fill="FFFFFF"/>
          <w:lang w:eastAsia="pt-BR"/>
          <w14:ligatures w14:val="none"/>
        </w:rPr>
        <w:t xml:space="preserve"> seu </w:t>
      </w:r>
      <w:r w:rsidRPr="00003E63">
        <w:rPr>
          <w:rFonts w:ascii="Arial" w:eastAsia="Times New Roman" w:hAnsi="Arial" w:cs="Arial"/>
          <w:color w:val="000000"/>
          <w:kern w:val="0"/>
          <w:shd w:val="clear" w:color="auto" w:fill="FFFFFF"/>
          <w:lang w:eastAsia="pt-BR"/>
          <w14:ligatures w14:val="none"/>
        </w:rPr>
        <w:t>reconhecimento. </w:t>
      </w:r>
    </w:p>
    <w:p w14:paraId="237A5C9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Primeiro, o usuário deve identificar uma figura (como um triângulo, hexágono ou forma semelhante a uma ampulheta), a silhueta dessa figura é exibida brevemente no centro da tela e desaparece rapidamente. Em seguida, a mesma imagem é mostrada junto a outras duas, e o usuário deve identificar qual foi exibida inicialmente escolhendo entre as possíveis 3 opções já determinadas, o tempo de exibição vai diminuindo a cada tentativa, tornando a tarefa mais desafiadora à medida que avança. </w:t>
      </w:r>
    </w:p>
    <w:p w14:paraId="283F9CE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Na fase 2, 12 quadrados vazios formam um retângulo na periferia, e em um deles aparece um círculo, e o participante deve identificar o local periférico onde o estímulo foi mostrado</w:t>
      </w:r>
    </w:p>
    <w:p w14:paraId="2B73D1D1" w14:textId="77777777" w:rsidR="00003E63" w:rsidRDefault="00003E63" w:rsidP="00003E63">
      <w:pPr>
        <w:spacing w:after="0" w:line="360" w:lineRule="auto"/>
        <w:contextualSpacing/>
        <w:jc w:val="both"/>
        <w:rPr>
          <w:rFonts w:ascii="Arial" w:eastAsia="Times New Roman" w:hAnsi="Arial" w:cs="Arial"/>
          <w:color w:val="000000"/>
          <w:kern w:val="0"/>
          <w:shd w:val="clear" w:color="auto" w:fill="FFFFFF"/>
          <w:lang w:eastAsia="pt-BR"/>
          <w14:ligatures w14:val="none"/>
        </w:rPr>
      </w:pPr>
      <w:r w:rsidRPr="00003E63">
        <w:rPr>
          <w:rFonts w:ascii="Arial" w:eastAsia="Times New Roman" w:hAnsi="Arial" w:cs="Arial"/>
          <w:color w:val="000000"/>
          <w:kern w:val="0"/>
          <w:shd w:val="clear" w:color="auto" w:fill="FFFFFF"/>
          <w:lang w:eastAsia="pt-BR"/>
          <w14:ligatures w14:val="none"/>
        </w:rPr>
        <w:t>Na fase 3, os estímulos das fases 1 e 2 são apresentados simultaneamente. Entre as tentativas, um ponto de fixação é mostrado. Se o usuário errar duas vezes seguidas, avança para a próxima fase ou termina o teste se estiver na última fase.</w:t>
      </w:r>
    </w:p>
    <w:p w14:paraId="40B38D41" w14:textId="77777777" w:rsidR="00003E63" w:rsidRDefault="00003E63" w:rsidP="00003E63">
      <w:pPr>
        <w:spacing w:after="0" w:line="360" w:lineRule="auto"/>
        <w:contextualSpacing/>
        <w:jc w:val="both"/>
        <w:rPr>
          <w:rFonts w:ascii="Arial" w:eastAsia="Times New Roman" w:hAnsi="Arial" w:cs="Arial"/>
          <w:color w:val="000000"/>
          <w:kern w:val="0"/>
          <w:shd w:val="clear" w:color="auto" w:fill="FFFFFF"/>
          <w:lang w:eastAsia="pt-BR"/>
          <w14:ligatures w14:val="none"/>
        </w:rPr>
      </w:pPr>
    </w:p>
    <w:p w14:paraId="5B1AABF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15450EBA" w14:textId="77777777" w:rsidR="00003E63" w:rsidRDefault="00003E63" w:rsidP="00003E63">
      <w:pPr>
        <w:spacing w:after="0" w:line="360" w:lineRule="auto"/>
        <w:contextualSpacing/>
        <w:jc w:val="both"/>
        <w:rPr>
          <w:rFonts w:ascii="Arial" w:eastAsia="Times New Roman" w:hAnsi="Arial" w:cs="Arial"/>
          <w:color w:val="000000"/>
          <w:kern w:val="0"/>
          <w:shd w:val="clear" w:color="auto" w:fill="FFFFFF"/>
          <w:lang w:eastAsia="pt-BR"/>
          <w14:ligatures w14:val="none"/>
        </w:rPr>
      </w:pPr>
      <w:r w:rsidRPr="00003E63">
        <w:rPr>
          <w:rFonts w:ascii="Arial" w:eastAsia="Times New Roman" w:hAnsi="Arial" w:cs="Arial"/>
          <w:color w:val="000000"/>
          <w:kern w:val="0"/>
          <w:shd w:val="clear" w:color="auto" w:fill="FFFFFF"/>
          <w:lang w:eastAsia="pt-BR"/>
          <w14:ligatures w14:val="none"/>
        </w:rPr>
        <w:lastRenderedPageBreak/>
        <w:t>Tabela 2 - Estrutura útil da tarefa de teste de campo de visão</w:t>
      </w:r>
    </w:p>
    <w:p w14:paraId="53EDB186" w14:textId="77777777" w:rsidR="00003E63" w:rsidRDefault="00003E63" w:rsidP="00003E63">
      <w:pPr>
        <w:spacing w:after="0" w:line="360" w:lineRule="auto"/>
        <w:contextualSpacing/>
        <w:jc w:val="both"/>
        <w:rPr>
          <w:rFonts w:ascii="Arial" w:eastAsia="Times New Roman" w:hAnsi="Arial" w:cs="Arial"/>
          <w:color w:val="000000"/>
          <w:kern w:val="0"/>
          <w:sz w:val="24"/>
          <w:szCs w:val="24"/>
          <w:shd w:val="clear" w:color="auto" w:fill="FFFFFF"/>
          <w:lang w:eastAsia="pt-BR"/>
          <w14:ligatures w14:val="none"/>
        </w:rPr>
      </w:pPr>
    </w:p>
    <w:p w14:paraId="4C61705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634"/>
        <w:gridCol w:w="1606"/>
        <w:gridCol w:w="1694"/>
        <w:gridCol w:w="1612"/>
        <w:gridCol w:w="1938"/>
      </w:tblGrid>
      <w:tr w:rsidR="00003E63" w:rsidRPr="00003E63" w14:paraId="04A91EB1" w14:textId="77777777" w:rsidTr="00003E6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552BA3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Fase</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21BE456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Posição dos estímulos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B79DC4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Quantidade de testes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2D03A74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Período de exposição</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0034CD0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Tempo permitido para responder</w:t>
            </w:r>
          </w:p>
        </w:tc>
      </w:tr>
      <w:tr w:rsidR="00003E63" w:rsidRPr="00003E63" w14:paraId="31C8254B" w14:textId="77777777" w:rsidTr="00003E63">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0B2DC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1 (Aprendizado)</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E87D2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Centro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1621E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F618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C496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5000 ms</w:t>
            </w:r>
          </w:p>
        </w:tc>
      </w:tr>
      <w:tr w:rsidR="00003E63" w:rsidRPr="00003E63" w14:paraId="32CC9A48" w14:textId="77777777" w:rsidTr="00003E63">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B8F4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1 (Testando)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C4793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C59A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B8279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D2E5F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5000 ms</w:t>
            </w:r>
          </w:p>
        </w:tc>
      </w:tr>
      <w:tr w:rsidR="00003E63" w:rsidRPr="00003E63" w14:paraId="7D0974FC" w14:textId="77777777" w:rsidTr="00003E63">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47916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 (Aprendizado)</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2D13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Periferia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4059D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C3251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2754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5000 ms</w:t>
            </w:r>
          </w:p>
        </w:tc>
      </w:tr>
      <w:tr w:rsidR="00003E63" w:rsidRPr="00003E63" w14:paraId="49AD57CA" w14:textId="77777777" w:rsidTr="00003E63">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9EC3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 (Testando)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948FAB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C7F40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8D84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DF6A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5000 ms</w:t>
            </w:r>
          </w:p>
        </w:tc>
      </w:tr>
      <w:tr w:rsidR="00003E63" w:rsidRPr="00003E63" w14:paraId="404286C6" w14:textId="77777777" w:rsidTr="00003E63">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DAD6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3 (Aprendizado)</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2647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Centro e Periferia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961D5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FD40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66A2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5000 ms</w:t>
            </w:r>
          </w:p>
        </w:tc>
      </w:tr>
      <w:tr w:rsidR="00003E63" w:rsidRPr="00003E63" w14:paraId="1647577D" w14:textId="77777777" w:rsidTr="00003E63">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92D6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3 (Testando)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8F893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07AD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5853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4532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5000 ms</w:t>
            </w:r>
          </w:p>
        </w:tc>
      </w:tr>
    </w:tbl>
    <w:p w14:paraId="49F41919"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Fonte: Useful Field of View Test. CogniFit. 2023. Version No: 2023.1.</w:t>
      </w:r>
    </w:p>
    <w:p w14:paraId="5528B6E2"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p>
    <w:p w14:paraId="2085A64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3473A0E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Teste de Simultaneidade DIAT-SHIF:</w:t>
      </w:r>
      <w:r w:rsidRPr="00003E63">
        <w:rPr>
          <w:rFonts w:ascii="Arial" w:eastAsia="Times New Roman" w:hAnsi="Arial" w:cs="Arial"/>
          <w:color w:val="000000"/>
          <w:kern w:val="0"/>
          <w:lang w:eastAsia="pt-BR"/>
          <w14:ligatures w14:val="none"/>
        </w:rPr>
        <w:t xml:space="preserve"> é inspirado no teste clássico de Stroop (Stroop, 1935), no Sistema de Teste de Viena (Whiteside, 2002) e no Teste de Variáveis de Atenção (Greenberg et al., 1996). Nesse teste, é avaliado a capacidade de concentrar-se em duas tarefas ao mesmo tempo. </w:t>
      </w:r>
    </w:p>
    <w:p w14:paraId="52EFDEE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participante deve seguir com o cursor um círculo laranja com a instrução "Passe o cursor sobre o centro da bola para começar". Quando o usuário mover o cursor pela primeira metade do raio do círculo, ele começará a se mover pela tela de forma aleatória, e a precisão é medida pela distância entre o centro da bola e o cursor. A cor do círculo varia conforme a posição do cursor: Se o cursor estiver na primeira metade do raio, o círculo será branco com uma marca verde no centro; Se o cursor estiver na segunda metade, até a borda, o círculo será laranja; Se o cursor estiver fora do círculo, ele será vermelho, com uma cruz branca (X) no centro.</w:t>
      </w:r>
    </w:p>
    <w:p w14:paraId="57475E32"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 xml:space="preserve">Na tela, existe também um retângulo preto translúcido com cantos arredondados, na parte superior central, onde aparecerão palavras coloridas, a cor da palavra irá variar </w:t>
      </w:r>
      <w:r w:rsidRPr="00003E63">
        <w:rPr>
          <w:rFonts w:ascii="Arial" w:eastAsia="Times New Roman" w:hAnsi="Arial" w:cs="Arial"/>
          <w:color w:val="000000"/>
          <w:kern w:val="0"/>
          <w:lang w:eastAsia="pt-BR"/>
          <w14:ligatures w14:val="none"/>
        </w:rPr>
        <w:lastRenderedPageBreak/>
        <w:t>entre cores aleatórias e cores que estão sendo escrita no retângulo, e enquanto o paciente realiza a atividade de levar o cursor até a bola laranja ele também terá que prestar atenção nas palavras que surgem no centro da tela. Quando os nomes das cores na tela coincidirem com a cor em que estão escritos o participante deve pressionar a barra de espaço ou o botão (ação "ir") (por exemplo, pressionar quando "VERMELHO" for exibido em vermelho), evitando pressionar caso contrário (por exemplo, se "VERMELHO" aparecer em azul).</w:t>
      </w:r>
    </w:p>
    <w:p w14:paraId="29163118"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p>
    <w:p w14:paraId="1145A94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67F57DE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Tabela 3: Estrutura da tarefa do teste de atenção dividida</w:t>
      </w:r>
    </w:p>
    <w:tbl>
      <w:tblPr>
        <w:tblW w:w="0" w:type="auto"/>
        <w:tblCellMar>
          <w:top w:w="15" w:type="dxa"/>
          <w:left w:w="15" w:type="dxa"/>
          <w:bottom w:w="15" w:type="dxa"/>
          <w:right w:w="15" w:type="dxa"/>
        </w:tblCellMar>
        <w:tblLook w:val="04A0" w:firstRow="1" w:lastRow="0" w:firstColumn="1" w:lastColumn="0" w:noHBand="0" w:noVBand="1"/>
      </w:tblPr>
      <w:tblGrid>
        <w:gridCol w:w="1592"/>
        <w:gridCol w:w="1473"/>
        <w:gridCol w:w="2125"/>
        <w:gridCol w:w="1881"/>
        <w:gridCol w:w="1413"/>
      </w:tblGrid>
      <w:tr w:rsidR="00003E63" w:rsidRPr="00003E63" w14:paraId="109D6631" w14:textId="77777777" w:rsidTr="00003E6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4FECDE2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Fase</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4D13CEC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Quantidade de testes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0BF0296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Quantidade de testes correspondentes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771BD2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Quantidade de testes incomparáveis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0172150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Tempo por item para responder</w:t>
            </w:r>
          </w:p>
        </w:tc>
      </w:tr>
      <w:tr w:rsidR="00003E63" w:rsidRPr="00003E63" w14:paraId="52DFFDC0"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6259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0 (Aprendizado)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BC00C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5E2D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C1CF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FCE7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3000 ms</w:t>
            </w:r>
          </w:p>
        </w:tc>
      </w:tr>
      <w:tr w:rsidR="00003E63" w:rsidRPr="00003E63" w14:paraId="61216041"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167EC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 (Testando)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A4B7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E16D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BEB3D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06C78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3000 ms</w:t>
            </w:r>
          </w:p>
        </w:tc>
      </w:tr>
    </w:tbl>
    <w:p w14:paraId="5876922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Fonte: Divided Attention Test. CogniFit. 2023. Version No: 2023.1.</w:t>
      </w:r>
    </w:p>
    <w:p w14:paraId="158F84C5" w14:textId="77777777" w:rsidR="00003E63" w:rsidRDefault="00003E63" w:rsidP="00003E63">
      <w:pPr>
        <w:spacing w:before="240" w:after="240" w:line="360" w:lineRule="auto"/>
        <w:contextualSpacing/>
        <w:jc w:val="both"/>
        <w:rPr>
          <w:rFonts w:ascii="Arial" w:eastAsia="Times New Roman" w:hAnsi="Arial" w:cs="Arial"/>
          <w:color w:val="000000"/>
          <w:kern w:val="0"/>
          <w:lang w:eastAsia="pt-BR"/>
          <w14:ligatures w14:val="none"/>
        </w:rPr>
      </w:pPr>
    </w:p>
    <w:p w14:paraId="1C73AB5E" w14:textId="77777777" w:rsidR="00003E63" w:rsidRDefault="00003E63" w:rsidP="00003E63">
      <w:pPr>
        <w:spacing w:before="240" w:after="240" w:line="360" w:lineRule="auto"/>
        <w:contextualSpacing/>
        <w:jc w:val="both"/>
        <w:rPr>
          <w:rFonts w:ascii="Arial" w:eastAsia="Times New Roman" w:hAnsi="Arial" w:cs="Arial"/>
          <w:color w:val="000000"/>
          <w:kern w:val="0"/>
          <w:lang w:eastAsia="pt-BR"/>
          <w14:ligatures w14:val="none"/>
        </w:rPr>
      </w:pPr>
    </w:p>
    <w:p w14:paraId="42218D21" w14:textId="77777777" w:rsidR="00003E63" w:rsidRDefault="00003E63" w:rsidP="00003E63">
      <w:pPr>
        <w:spacing w:before="240" w:after="240" w:line="360" w:lineRule="auto"/>
        <w:contextualSpacing/>
        <w:jc w:val="both"/>
        <w:rPr>
          <w:rFonts w:ascii="Arial" w:eastAsia="Times New Roman" w:hAnsi="Arial" w:cs="Arial"/>
          <w:color w:val="000000"/>
          <w:kern w:val="0"/>
          <w:lang w:eastAsia="pt-BR"/>
          <w14:ligatures w14:val="none"/>
        </w:rPr>
      </w:pPr>
    </w:p>
    <w:p w14:paraId="57D0C0C5" w14:textId="1C81FF08" w:rsidR="00003E63" w:rsidRPr="00003E63" w:rsidRDefault="00003E63" w:rsidP="00003E63">
      <w:pPr>
        <w:spacing w:before="240"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Tabela 4: Estrutura da tarefa do teste de atenção dividida</w:t>
      </w:r>
    </w:p>
    <w:tbl>
      <w:tblPr>
        <w:tblW w:w="0" w:type="auto"/>
        <w:tblCellMar>
          <w:top w:w="15" w:type="dxa"/>
          <w:left w:w="15" w:type="dxa"/>
          <w:bottom w:w="15" w:type="dxa"/>
          <w:right w:w="15" w:type="dxa"/>
        </w:tblCellMar>
        <w:tblLook w:val="04A0" w:firstRow="1" w:lastRow="0" w:firstColumn="1" w:lastColumn="0" w:noHBand="0" w:noVBand="1"/>
      </w:tblPr>
      <w:tblGrid>
        <w:gridCol w:w="1582"/>
        <w:gridCol w:w="1386"/>
        <w:gridCol w:w="1606"/>
        <w:gridCol w:w="1362"/>
      </w:tblGrid>
      <w:tr w:rsidR="00003E63" w:rsidRPr="00003E63" w14:paraId="38922990" w14:textId="77777777" w:rsidTr="00003E6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7E803C0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Fase</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88BB90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Segmentos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4346FFC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Duração (ms)</w:t>
            </w: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5CEC61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Velocidade</w:t>
            </w:r>
          </w:p>
        </w:tc>
      </w:tr>
      <w:tr w:rsidR="00003E63" w:rsidRPr="00003E63" w14:paraId="35EB88C5" w14:textId="77777777" w:rsidTr="00003E63">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13E8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0 </w:t>
            </w:r>
          </w:p>
          <w:p w14:paraId="79D9546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(Aprendizado)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7E19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52BB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C47C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64D7ADCD"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EACCB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CC94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243C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E9F0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r w:rsidR="00003E63" w:rsidRPr="00003E63" w14:paraId="5FCF7B1C" w14:textId="77777777" w:rsidTr="00003E63">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37EA5"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6F8E4C5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lastRenderedPageBreak/>
              <w:t>1 </w:t>
            </w:r>
          </w:p>
          <w:p w14:paraId="4114967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(Testando)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DA88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lastRenderedPageBreak/>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98081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AE5D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33749F91"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5B2C88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29C7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A0D8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69F2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r w:rsidR="00003E63" w:rsidRPr="00003E63" w14:paraId="325A32B7"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C1A55F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FD75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507D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97CE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6395AA25"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9586D2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6110E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1E7D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854B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r w:rsidR="00003E63" w:rsidRPr="00003E63" w14:paraId="603ABAA3"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FAD2ED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B19C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8537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5C45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73DC9BC5"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16E86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DF053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91A7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8A27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r w:rsidR="00003E63" w:rsidRPr="00003E63" w14:paraId="56D61810"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50C2C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4D7A5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BA6B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8648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49C57B88"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E66096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3D4B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83522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F3A9C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r w:rsidR="00003E63" w:rsidRPr="00003E63" w14:paraId="3FB8E8A1"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820DF6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6774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C013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6996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18BC4C81"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3C12FE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57420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BE3B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7000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C155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r w:rsidR="00003E63" w:rsidRPr="00003E63" w14:paraId="0A431ABE"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ACFC1C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A1C7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25F3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B88F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Lento</w:t>
            </w:r>
          </w:p>
        </w:tc>
      </w:tr>
      <w:tr w:rsidR="00003E63" w:rsidRPr="00003E63" w14:paraId="7B7F21FD" w14:textId="77777777" w:rsidTr="00003E63">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65B3C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AEC17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3FF85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2333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64DA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Rápido</w:t>
            </w:r>
          </w:p>
        </w:tc>
      </w:tr>
    </w:tbl>
    <w:p w14:paraId="5747EB0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Fonte: Divided Attention Test. CogniFit. 2023. Version No: 2023.1.</w:t>
      </w:r>
    </w:p>
    <w:p w14:paraId="7D0F8E8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58DCCDD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6.4.4- 1° semana</w:t>
      </w:r>
    </w:p>
    <w:p w14:paraId="29D11BC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Será realizado, primeiramente, o recrutamento dos participantes por meio de conversas virtuais. Após isso, será marcado um dia para ser feita a avaliação dessas pessoas, a fim de confirmar que se encontram dentro dos critérios de inclusão e não se enquadram nos critérios de exclusão. Uma vez incluído na pesquisa, no mesmo dia será feito os testes escolhidos (WIFIVI, Teste de Simultaneidade DIAT-SHIF e Teste de Resolução REST-SPER), que funcionará como valor de controle individual do desfecho principal (Tempo de Reação após o estímulo visual). </w:t>
      </w:r>
    </w:p>
    <w:p w14:paraId="5622778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Posteriormente a realização dos testes, o indivíduo realizará um sorteio para definir aleatoriamente qual dos 3 tipos de intervenção (A, B e C) ele irá realizar no dia. Após o sorteio, será realizada a intervenção determinada pelo papel retirado e serão registrados os resultados obtidos nos testes (o teste será realizado quando o protocolo específico do grupo retirado acabar). Finalizando o atendimento da 1° semana, será marcado com o paciente a data de retorno na 3° semana do procedimento.</w:t>
      </w:r>
    </w:p>
    <w:p w14:paraId="034F792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1AE7156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6.4.5- 3° semana</w:t>
      </w:r>
    </w:p>
    <w:p w14:paraId="2E2DA4A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 paciente irá realizar o sorteio das duas intervenções restantes aleatórias, sendo excluído o grupo que foi sorteado anteriormente na semana 1. Após a escolha do papel, o protocolo será executado e novamente serão registrados os dados obtidos a partir dos testes, realizado após a intervenção. Ao final, será marcado com o paciente a data de retorno na 5° semana do procedimento</w:t>
      </w:r>
    </w:p>
    <w:p w14:paraId="28138CE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1110CCF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lastRenderedPageBreak/>
        <w:t>6.4.6- 5° semana</w:t>
      </w:r>
    </w:p>
    <w:p w14:paraId="4C93D3C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 intervenção restante (excluído as que saíram na 1° e na 3° semana do procedimento do paciente) será escolhida e realizada. Após seu término, será feito os testes e os dados obtidos serão registrados, encerrando-se o procedimento após a coleta destes dados nesta semana. </w:t>
      </w:r>
    </w:p>
    <w:p w14:paraId="5E3168E4"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p>
    <w:p w14:paraId="2891D19D"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7. CONSIDERAÇÕES ÉTICAS.</w:t>
      </w:r>
    </w:p>
    <w:p w14:paraId="7D234541" w14:textId="77777777" w:rsidR="00003E63" w:rsidRDefault="00003E63" w:rsidP="00003E63">
      <w:pPr>
        <w:spacing w:after="0" w:line="360" w:lineRule="auto"/>
        <w:contextualSpacing/>
        <w:jc w:val="both"/>
        <w:rPr>
          <w:rFonts w:ascii="Arial" w:eastAsia="Times New Roman" w:hAnsi="Arial" w:cs="Arial"/>
          <w:color w:val="000000"/>
          <w:kern w:val="0"/>
          <w:lang w:eastAsia="pt-BR"/>
          <w14:ligatures w14:val="none"/>
        </w:rPr>
      </w:pPr>
      <w:r w:rsidRPr="00003E63">
        <w:rPr>
          <w:rFonts w:ascii="Arial" w:eastAsia="Times New Roman" w:hAnsi="Arial" w:cs="Arial"/>
          <w:color w:val="000000"/>
          <w:kern w:val="0"/>
          <w:lang w:eastAsia="pt-BR"/>
          <w14:ligatures w14:val="none"/>
        </w:rPr>
        <w:t>Os pacientes terão acesso a informações quanto aos propósitos da pesquisa, natureza de sua participação, confidencialidade, e sobre os riscos e benefícios inerentes à pesquisa por meio do TCLE, assinado também pelo(a) pesquisador(a) responsável. </w:t>
      </w:r>
    </w:p>
    <w:p w14:paraId="1893A3A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4D24CAE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17898066" w14:textId="77777777" w:rsidR="00003E63" w:rsidRPr="00003E63" w:rsidRDefault="00003E63" w:rsidP="00003E63">
      <w:pPr>
        <w:spacing w:after="0" w:line="360" w:lineRule="auto"/>
        <w:ind w:firstLine="720"/>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8. RISCOS E DESCONFORTOS</w:t>
      </w:r>
    </w:p>
    <w:p w14:paraId="110F998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1E81AD0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Citam-se como riscos e desconfortos do estudo:</w:t>
      </w:r>
    </w:p>
    <w:p w14:paraId="6FD7CF5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a) Neste estudo não existirá nenhum procedimento invasivo, mas é previsto que o participante tenha que desprender-se de algum tempo para realizar a avaliação, os testes e os protocolos da EMT;</w:t>
      </w:r>
    </w:p>
    <w:p w14:paraId="453A28B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b) É pouco provável que o equipamento ou os testes causem algum efeito negativo, seja psicológico ou fisicamente, porém, há um pequeno risco de desconforto após a aplicação dos protocolos de neuromodulação, como uma sensação de trepidação, dor de cabeça e convulsão. Entretanto, estudos demonstram a segurança do procedimento, com riscos baixos de efeitos colaterais. Para minimizar os riscos, haverá supervisão pelos pesquisadores durante  todo o processo. Outrossim, os testes terão intervalo de 5 minutos entre eles, a fim de permitir um pequeno descanso e o participante pode se recusar a continuar, caso sinta algum sintoma; </w:t>
      </w:r>
    </w:p>
    <w:p w14:paraId="6339459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c) Risco de quebra da manutenção do sigilo e da privacidade dos participantes da pesquisa durante as fases da pesquisa. Esses riscos serão minimizados através da assinatura do TERMO DE COMPROMISSO LIVRE E ESCLARECIDO, pois os pesquisadores comprometerão-se com a manutenção do sigilo, do anonimato bem como com a confidencialidade de todas as informações pessoais dos participantes, além de firmar o compromisso de que os dados serão usados apenas para os fins da pesquisa apresentada.</w:t>
      </w:r>
    </w:p>
    <w:p w14:paraId="27302393"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p>
    <w:p w14:paraId="7CD19730" w14:textId="3C5EB62E" w:rsidR="00003E63" w:rsidRDefault="00003E63" w:rsidP="00003E63">
      <w:pPr>
        <w:spacing w:after="0" w:line="360" w:lineRule="auto"/>
        <w:contextualSpacing/>
        <w:jc w:val="both"/>
        <w:rPr>
          <w:rFonts w:ascii="Arial" w:eastAsia="Times New Roman" w:hAnsi="Arial" w:cs="Arial"/>
          <w:b/>
          <w:bCs/>
          <w:color w:val="000000"/>
          <w:kern w:val="0"/>
          <w:sz w:val="24"/>
          <w:szCs w:val="24"/>
          <w:lang w:eastAsia="pt-BR"/>
          <w14:ligatures w14:val="none"/>
        </w:rPr>
      </w:pPr>
      <w:r>
        <w:rPr>
          <w:rFonts w:ascii="Arial" w:eastAsia="Times New Roman" w:hAnsi="Arial" w:cs="Arial"/>
          <w:color w:val="000000"/>
          <w:kern w:val="0"/>
          <w:lang w:eastAsia="pt-BR"/>
          <w14:ligatures w14:val="none"/>
        </w:rPr>
        <w:t xml:space="preserve">             </w:t>
      </w:r>
      <w:r w:rsidRPr="00003E63">
        <w:rPr>
          <w:rFonts w:ascii="Arial" w:eastAsia="Times New Roman" w:hAnsi="Arial" w:cs="Arial"/>
          <w:b/>
          <w:bCs/>
          <w:color w:val="000000"/>
          <w:kern w:val="0"/>
          <w:sz w:val="24"/>
          <w:szCs w:val="24"/>
          <w:lang w:eastAsia="pt-BR"/>
          <w14:ligatures w14:val="none"/>
        </w:rPr>
        <w:t xml:space="preserve"> 9. ANÁLISE DE DADOS</w:t>
      </w:r>
    </w:p>
    <w:p w14:paraId="03CAEDFC" w14:textId="77777777" w:rsidR="00003E63" w:rsidRPr="00003E63" w:rsidRDefault="00003E63" w:rsidP="00003E63">
      <w:pPr>
        <w:spacing w:after="0" w:line="360" w:lineRule="auto"/>
        <w:contextualSpacing/>
        <w:jc w:val="both"/>
        <w:rPr>
          <w:rFonts w:ascii="Times New Roman" w:eastAsia="Times New Roman" w:hAnsi="Times New Roman" w:cs="Times New Roman"/>
          <w:b/>
          <w:bCs/>
          <w:kern w:val="0"/>
          <w:sz w:val="24"/>
          <w:szCs w:val="24"/>
          <w:lang w:eastAsia="pt-BR"/>
          <w14:ligatures w14:val="none"/>
        </w:rPr>
      </w:pPr>
    </w:p>
    <w:p w14:paraId="0FA21602" w14:textId="77777777" w:rsidR="00003E63" w:rsidRPr="00003E63" w:rsidRDefault="00003E63" w:rsidP="00003E63">
      <w:pPr>
        <w:spacing w:after="0" w:line="360" w:lineRule="auto"/>
        <w:contextualSpacing/>
        <w:jc w:val="both"/>
        <w:rPr>
          <w:rFonts w:ascii="Arial" w:eastAsia="Times New Roman" w:hAnsi="Arial" w:cs="Arial"/>
          <w:kern w:val="0"/>
          <w:lang w:eastAsia="pt-BR"/>
          <w14:ligatures w14:val="none"/>
        </w:rPr>
      </w:pPr>
      <w:r w:rsidRPr="00003E63">
        <w:rPr>
          <w:rFonts w:ascii="Arial" w:eastAsia="Times New Roman" w:hAnsi="Arial" w:cs="Arial"/>
          <w:color w:val="000000"/>
          <w:kern w:val="0"/>
          <w:lang w:eastAsia="pt-BR"/>
          <w14:ligatures w14:val="none"/>
        </w:rPr>
        <w:lastRenderedPageBreak/>
        <w:t xml:space="preserve">Os resultados serão expressos como média, desvio padrão, frequência relativa e absoluta. Será utilizado o software </w:t>
      </w:r>
      <w:r w:rsidRPr="00003E63">
        <w:rPr>
          <w:rFonts w:ascii="Arial" w:eastAsia="Times New Roman" w:hAnsi="Arial" w:cs="Arial"/>
          <w:i/>
          <w:iCs/>
          <w:color w:val="000000"/>
          <w:kern w:val="0"/>
          <w:lang w:eastAsia="pt-BR"/>
          <w14:ligatures w14:val="none"/>
        </w:rPr>
        <w:t xml:space="preserve">Graph Pad Prism </w:t>
      </w:r>
      <w:r w:rsidRPr="00003E63">
        <w:rPr>
          <w:rFonts w:ascii="Arial" w:eastAsia="Times New Roman" w:hAnsi="Arial" w:cs="Arial"/>
          <w:color w:val="000000"/>
          <w:kern w:val="0"/>
          <w:lang w:eastAsia="pt-BR"/>
          <w14:ligatures w14:val="none"/>
        </w:rPr>
        <w:t xml:space="preserve">5. Para a análise estatística,  será utilizado o software </w:t>
      </w:r>
      <w:r w:rsidRPr="00003E63">
        <w:rPr>
          <w:rFonts w:ascii="Arial" w:eastAsia="Times New Roman" w:hAnsi="Arial" w:cs="Arial"/>
          <w:i/>
          <w:iCs/>
          <w:color w:val="000000"/>
          <w:kern w:val="0"/>
          <w:lang w:eastAsia="pt-BR"/>
          <w14:ligatures w14:val="none"/>
        </w:rPr>
        <w:t xml:space="preserve">Graph Pad Prism </w:t>
      </w:r>
      <w:r w:rsidRPr="00003E63">
        <w:rPr>
          <w:rFonts w:ascii="Arial" w:eastAsia="Times New Roman" w:hAnsi="Arial" w:cs="Arial"/>
          <w:color w:val="000000"/>
          <w:kern w:val="0"/>
          <w:lang w:eastAsia="pt-BR"/>
          <w14:ligatures w14:val="none"/>
        </w:rPr>
        <w:t>5.  A análise descritiva dos dados quantitativos será expressa por média, desvio padrão, frequência relativa e absoluta. A normalidade da distribuição amostral será examinada por meio do teste de Shapiro-Wilk.  Para análise das diferenças será utilizado o test t de Student  ou Man-Whitney. </w:t>
      </w:r>
    </w:p>
    <w:p w14:paraId="5833111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3A2341F9" w14:textId="1B188E9A" w:rsidR="00003E63" w:rsidRPr="00003E63" w:rsidRDefault="00003E63" w:rsidP="00003E63">
      <w:pPr>
        <w:spacing w:after="0" w:line="360" w:lineRule="auto"/>
        <w:ind w:firstLine="708"/>
        <w:contextualSpacing/>
        <w:jc w:val="both"/>
        <w:rPr>
          <w:rFonts w:ascii="Times New Roman" w:eastAsia="Times New Roman" w:hAnsi="Times New Roman" w:cs="Times New Roman"/>
          <w:kern w:val="0"/>
          <w:sz w:val="24"/>
          <w:szCs w:val="24"/>
          <w:lang w:eastAsia="pt-BR"/>
          <w14:ligatures w14:val="none"/>
        </w:rPr>
      </w:pPr>
      <w:r>
        <w:rPr>
          <w:rFonts w:ascii="Arial" w:eastAsia="Times New Roman" w:hAnsi="Arial" w:cs="Arial"/>
          <w:b/>
          <w:bCs/>
          <w:color w:val="000000"/>
          <w:kern w:val="0"/>
          <w:sz w:val="24"/>
          <w:szCs w:val="24"/>
          <w:lang w:eastAsia="pt-BR"/>
          <w14:ligatures w14:val="none"/>
        </w:rPr>
        <w:t>10</w:t>
      </w:r>
      <w:r w:rsidRPr="00003E63">
        <w:rPr>
          <w:rFonts w:ascii="Arial" w:eastAsia="Times New Roman" w:hAnsi="Arial" w:cs="Arial"/>
          <w:b/>
          <w:bCs/>
          <w:color w:val="000000"/>
          <w:kern w:val="0"/>
          <w:sz w:val="24"/>
          <w:szCs w:val="24"/>
          <w:lang w:eastAsia="pt-BR"/>
          <w14:ligatures w14:val="none"/>
        </w:rPr>
        <w:t>. CRONOGRAMA (Agosto de 2025 a Agosto de 2027)</w:t>
      </w:r>
    </w:p>
    <w:p w14:paraId="75A6C42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bl>
      <w:tblPr>
        <w:tblW w:w="9061" w:type="dxa"/>
        <w:tblCellMar>
          <w:top w:w="15" w:type="dxa"/>
          <w:left w:w="15" w:type="dxa"/>
          <w:bottom w:w="15" w:type="dxa"/>
          <w:right w:w="15" w:type="dxa"/>
        </w:tblCellMar>
        <w:tblLook w:val="04A0" w:firstRow="1" w:lastRow="0" w:firstColumn="1" w:lastColumn="0" w:noHBand="0" w:noVBand="1"/>
      </w:tblPr>
      <w:tblGrid>
        <w:gridCol w:w="9061"/>
      </w:tblGrid>
      <w:tr w:rsidR="00003E63" w:rsidRPr="00003E63" w14:paraId="6D10C423"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FC5B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Lista de Atividades</w:t>
            </w:r>
          </w:p>
        </w:tc>
      </w:tr>
      <w:tr w:rsidR="00003E63" w:rsidRPr="00003E63" w14:paraId="60C94265"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15792" w14:textId="77777777" w:rsidR="00003E63" w:rsidRPr="00003E63" w:rsidRDefault="00003E63" w:rsidP="00003E63">
            <w:pPr>
              <w:numPr>
                <w:ilvl w:val="0"/>
                <w:numId w:val="11"/>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Divulgação do projeto nas mídias sociais dos pesquisadores</w:t>
            </w:r>
          </w:p>
        </w:tc>
      </w:tr>
      <w:tr w:rsidR="00003E63" w:rsidRPr="00003E63" w14:paraId="70AB8BF5"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050C09" w14:textId="77777777" w:rsidR="00003E63" w:rsidRPr="00003E63" w:rsidRDefault="00003E63" w:rsidP="00003E63">
            <w:pPr>
              <w:numPr>
                <w:ilvl w:val="0"/>
                <w:numId w:val="12"/>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Seleção e avaliação dos pacientes</w:t>
            </w:r>
          </w:p>
        </w:tc>
      </w:tr>
      <w:tr w:rsidR="00003E63" w:rsidRPr="00003E63" w14:paraId="2F863674"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53C48" w14:textId="77777777" w:rsidR="00003E63" w:rsidRPr="00003E63" w:rsidRDefault="00003E63" w:rsidP="00003E63">
            <w:pPr>
              <w:numPr>
                <w:ilvl w:val="0"/>
                <w:numId w:val="13"/>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Aplicação dos protocolos do EMT</w:t>
            </w:r>
          </w:p>
        </w:tc>
      </w:tr>
      <w:tr w:rsidR="00003E63" w:rsidRPr="00003E63" w14:paraId="1E152173"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3BEA2" w14:textId="77777777" w:rsidR="00003E63" w:rsidRPr="00003E63" w:rsidRDefault="00003E63" w:rsidP="00003E63">
            <w:pPr>
              <w:numPr>
                <w:ilvl w:val="0"/>
                <w:numId w:val="14"/>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Análise estatística dos dados</w:t>
            </w:r>
          </w:p>
        </w:tc>
      </w:tr>
      <w:tr w:rsidR="00003E63" w:rsidRPr="00003E63" w14:paraId="3DCEA680"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0EF07" w14:textId="77777777" w:rsidR="00003E63" w:rsidRPr="00003E63" w:rsidRDefault="00003E63" w:rsidP="00003E63">
            <w:pPr>
              <w:numPr>
                <w:ilvl w:val="0"/>
                <w:numId w:val="15"/>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Escrita dos resultados e discussão</w:t>
            </w:r>
          </w:p>
        </w:tc>
      </w:tr>
      <w:tr w:rsidR="00003E63" w:rsidRPr="00003E63" w14:paraId="28CF3860"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656DD" w14:textId="77777777" w:rsidR="00003E63" w:rsidRPr="00003E63" w:rsidRDefault="00003E63" w:rsidP="00003E63">
            <w:pPr>
              <w:numPr>
                <w:ilvl w:val="0"/>
                <w:numId w:val="16"/>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Elaboração do trabalho escrito</w:t>
            </w:r>
          </w:p>
        </w:tc>
      </w:tr>
      <w:tr w:rsidR="00003E63" w:rsidRPr="00003E63" w14:paraId="499C14B8"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2776B" w14:textId="77777777" w:rsidR="00003E63" w:rsidRPr="00003E63" w:rsidRDefault="00003E63" w:rsidP="00003E63">
            <w:pPr>
              <w:numPr>
                <w:ilvl w:val="0"/>
                <w:numId w:val="17"/>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Participação de eventos científicos</w:t>
            </w:r>
          </w:p>
        </w:tc>
      </w:tr>
      <w:tr w:rsidR="00003E63" w:rsidRPr="00003E63" w14:paraId="6B1F9BE4"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3B050" w14:textId="77777777" w:rsidR="00003E63" w:rsidRPr="00003E63" w:rsidRDefault="00003E63" w:rsidP="00003E63">
            <w:pPr>
              <w:numPr>
                <w:ilvl w:val="0"/>
                <w:numId w:val="18"/>
              </w:numPr>
              <w:spacing w:after="0" w:line="360" w:lineRule="auto"/>
              <w:contextualSpacing/>
              <w:jc w:val="both"/>
              <w:textAlignment w:val="baseline"/>
              <w:rPr>
                <w:rFonts w:ascii="Arial" w:eastAsia="Times New Roman" w:hAnsi="Arial" w:cs="Arial"/>
                <w:color w:val="000000"/>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Escrita do artigo</w:t>
            </w:r>
          </w:p>
        </w:tc>
      </w:tr>
    </w:tbl>
    <w:p w14:paraId="36AC67D3"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p>
    <w:tbl>
      <w:tblPr>
        <w:tblW w:w="0" w:type="auto"/>
        <w:tblCellMar>
          <w:top w:w="15" w:type="dxa"/>
          <w:left w:w="15" w:type="dxa"/>
          <w:bottom w:w="15" w:type="dxa"/>
          <w:right w:w="15" w:type="dxa"/>
        </w:tblCellMar>
        <w:tblLook w:val="04A0" w:firstRow="1" w:lastRow="0" w:firstColumn="1" w:lastColumn="0" w:noHBand="0" w:noVBand="1"/>
      </w:tblPr>
      <w:tblGrid>
        <w:gridCol w:w="2442"/>
        <w:gridCol w:w="361"/>
        <w:gridCol w:w="361"/>
        <w:gridCol w:w="361"/>
        <w:gridCol w:w="361"/>
        <w:gridCol w:w="361"/>
        <w:gridCol w:w="361"/>
        <w:gridCol w:w="361"/>
        <w:gridCol w:w="361"/>
      </w:tblGrid>
      <w:tr w:rsidR="00003E63" w:rsidRPr="00003E63" w14:paraId="0B6B0188" w14:textId="77777777" w:rsidTr="00003E63">
        <w:trPr>
          <w:trHeight w:val="933"/>
        </w:trPr>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0F17D60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Atividades</w:t>
            </w:r>
          </w:p>
          <w:p w14:paraId="2079C1B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7A09BC7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Meses</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6290B89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1</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65054C2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2</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17470D7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3</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1BDD83C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4</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1C14229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5</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4B7F930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6</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7839739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7</w:t>
            </w:r>
          </w:p>
        </w:tc>
        <w:tc>
          <w:tcPr>
            <w:tcW w:w="0" w:type="auto"/>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4F159E6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8</w:t>
            </w:r>
          </w:p>
        </w:tc>
      </w:tr>
      <w:tr w:rsidR="00003E63" w:rsidRPr="00003E63" w14:paraId="5C293440"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67AA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Agosto</w:t>
            </w:r>
          </w:p>
          <w:p w14:paraId="163C0DA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2025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E4368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0CACB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BA46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DEF4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1996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64AF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619E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C93A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r>
      <w:tr w:rsidR="00003E63" w:rsidRPr="00003E63" w14:paraId="173DCC9B"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6592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Setembro </w:t>
            </w:r>
          </w:p>
          <w:p w14:paraId="5B565E0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2025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2AD0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4C80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C9756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9BC3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78FD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45BB2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928F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5AA9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r>
      <w:tr w:rsidR="00003E63" w:rsidRPr="00003E63" w14:paraId="1B854E56"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DF0BC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lastRenderedPageBreak/>
              <w:t>Outubro a Dezembro</w:t>
            </w:r>
          </w:p>
          <w:p w14:paraId="5FD4D23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2025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0CBB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E4EA0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1E1C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EC58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DAD7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519C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8BD0A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1325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r>
      <w:tr w:rsidR="00003E63" w:rsidRPr="00003E63" w14:paraId="09CCC92C"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AF01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Janeiro e Fevereiro</w:t>
            </w:r>
          </w:p>
          <w:p w14:paraId="78797AB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4DE6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5B47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D9344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6D1E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A00D9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3574C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DCED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859C5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r>
      <w:tr w:rsidR="00003E63" w:rsidRPr="00003E63" w14:paraId="323BE869"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E5CC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Março a Dezembro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48FB5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EAD9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B65F2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D718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9F6E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1DD1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BF87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B830F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r>
      <w:tr w:rsidR="00003E63" w:rsidRPr="00003E63" w14:paraId="6C79AE0E"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FD076"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Janeiro e Fevereiro</w:t>
            </w:r>
          </w:p>
          <w:p w14:paraId="73FD058F"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B3A6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D74F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DDE6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9329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68E5E"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4078E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A033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0A26A7"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r>
      <w:tr w:rsidR="00003E63" w:rsidRPr="00003E63" w14:paraId="256E8429"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743A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Março a Agosto</w:t>
            </w:r>
          </w:p>
          <w:p w14:paraId="7E8C0F9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z w:val="24"/>
                <w:szCs w:val="24"/>
                <w:lang w:eastAsia="pt-BR"/>
                <w14:ligatures w14:val="none"/>
              </w:rPr>
              <w:t>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3F52E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5D08C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2629A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905CB"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002EF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58022"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1751C"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6AE6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X</w:t>
            </w:r>
          </w:p>
        </w:tc>
      </w:tr>
    </w:tbl>
    <w:p w14:paraId="1BD0D66A"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p>
    <w:p w14:paraId="35BE58DB" w14:textId="21B233AA" w:rsidR="00003E63" w:rsidRPr="00003E63" w:rsidRDefault="00003E63" w:rsidP="00003E63">
      <w:pPr>
        <w:spacing w:after="0" w:line="360" w:lineRule="auto"/>
        <w:ind w:firstLine="708"/>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1</w:t>
      </w:r>
      <w:r>
        <w:rPr>
          <w:rFonts w:ascii="Arial" w:eastAsia="Times New Roman" w:hAnsi="Arial" w:cs="Arial"/>
          <w:b/>
          <w:bCs/>
          <w:color w:val="000000"/>
          <w:kern w:val="0"/>
          <w:sz w:val="24"/>
          <w:szCs w:val="24"/>
          <w:lang w:eastAsia="pt-BR"/>
          <w14:ligatures w14:val="none"/>
        </w:rPr>
        <w:t>1</w:t>
      </w:r>
      <w:r w:rsidRPr="00003E63">
        <w:rPr>
          <w:rFonts w:ascii="Arial" w:eastAsia="Times New Roman" w:hAnsi="Arial" w:cs="Arial"/>
          <w:b/>
          <w:bCs/>
          <w:color w:val="000000"/>
          <w:kern w:val="0"/>
          <w:sz w:val="24"/>
          <w:szCs w:val="24"/>
          <w:lang w:eastAsia="pt-BR"/>
          <w14:ligatures w14:val="none"/>
        </w:rPr>
        <w:t>. ORÇAMENTO</w:t>
      </w:r>
    </w:p>
    <w:p w14:paraId="626393D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p w14:paraId="212A6CA1"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Os itens utilizados serão toucas individuais para cada participante e folhas impressas. Todo o valor gasto será desembolsado pelos pesquisadores.</w:t>
      </w:r>
    </w:p>
    <w:p w14:paraId="73961CB3"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022"/>
        <w:gridCol w:w="1411"/>
        <w:gridCol w:w="1876"/>
      </w:tblGrid>
      <w:tr w:rsidR="00003E63" w:rsidRPr="00003E63" w14:paraId="6772BD14"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7F26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Material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BC238"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Quantidade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6C5E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Valor Total</w:t>
            </w:r>
          </w:p>
        </w:tc>
      </w:tr>
      <w:tr w:rsidR="00003E63" w:rsidRPr="00003E63" w14:paraId="6072D065"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C8EC5"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10 Toucas (nylon)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DE1A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58A99"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R$ 150,00</w:t>
            </w:r>
          </w:p>
        </w:tc>
      </w:tr>
      <w:tr w:rsidR="00003E63" w:rsidRPr="00003E63" w14:paraId="77B6569F" w14:textId="77777777" w:rsidTr="00003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1911A"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Folhas impressas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86730"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3B86F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R$ 100,00</w:t>
            </w:r>
          </w:p>
        </w:tc>
      </w:tr>
      <w:tr w:rsidR="00003E63" w:rsidRPr="00003E63" w14:paraId="4CF20AF3" w14:textId="77777777" w:rsidTr="00003E63">
        <w:trPr>
          <w:trHeight w:val="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26133D"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CE034" w14:textId="77777777" w:rsidR="00003E63" w:rsidRPr="00003E63" w:rsidRDefault="00003E63" w:rsidP="00003E63">
            <w:pPr>
              <w:spacing w:after="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Total:</w:t>
            </w:r>
            <w:r w:rsidRPr="00003E63">
              <w:rPr>
                <w:rFonts w:ascii="Arial" w:eastAsia="Times New Roman" w:hAnsi="Arial" w:cs="Arial"/>
                <w:color w:val="000000"/>
                <w:kern w:val="0"/>
                <w:lang w:eastAsia="pt-BR"/>
                <w14:ligatures w14:val="none"/>
              </w:rPr>
              <w:t xml:space="preserve"> R$ 250,00</w:t>
            </w:r>
          </w:p>
        </w:tc>
      </w:tr>
    </w:tbl>
    <w:p w14:paraId="7C9AE0DE" w14:textId="77777777" w:rsidR="00003E63" w:rsidRPr="00003E63" w:rsidRDefault="00003E63" w:rsidP="00003E63">
      <w:pPr>
        <w:spacing w:after="240" w:line="360" w:lineRule="auto"/>
        <w:contextualSpacing/>
        <w:jc w:val="both"/>
        <w:rPr>
          <w:rFonts w:ascii="Times New Roman" w:eastAsia="Times New Roman" w:hAnsi="Times New Roman" w:cs="Times New Roman"/>
          <w:kern w:val="0"/>
          <w:sz w:val="24"/>
          <w:szCs w:val="24"/>
          <w:lang w:eastAsia="pt-BR"/>
          <w14:ligatures w14:val="none"/>
        </w:rPr>
      </w:pP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r w:rsidRPr="00003E63">
        <w:rPr>
          <w:rFonts w:ascii="Times New Roman" w:eastAsia="Times New Roman" w:hAnsi="Times New Roman" w:cs="Times New Roman"/>
          <w:kern w:val="0"/>
          <w:sz w:val="24"/>
          <w:szCs w:val="24"/>
          <w:lang w:eastAsia="pt-BR"/>
          <w14:ligatures w14:val="none"/>
        </w:rPr>
        <w:br/>
      </w:r>
    </w:p>
    <w:p w14:paraId="5CB1A79F" w14:textId="0E3C025D" w:rsidR="00003E63" w:rsidRDefault="00003E63" w:rsidP="00003E63">
      <w:pPr>
        <w:spacing w:after="0" w:line="240" w:lineRule="auto"/>
        <w:rPr>
          <w:rFonts w:ascii="Arial" w:eastAsia="Times New Roman" w:hAnsi="Arial" w:cs="Arial"/>
          <w:b/>
          <w:bCs/>
          <w:color w:val="000000"/>
          <w:kern w:val="0"/>
          <w:sz w:val="24"/>
          <w:szCs w:val="24"/>
          <w:lang w:eastAsia="pt-BR"/>
          <w14:ligatures w14:val="none"/>
        </w:rPr>
      </w:pPr>
      <w:r w:rsidRPr="00003E63">
        <w:rPr>
          <w:rFonts w:ascii="Arial" w:eastAsia="Times New Roman" w:hAnsi="Arial" w:cs="Arial"/>
          <w:b/>
          <w:bCs/>
          <w:color w:val="000000"/>
          <w:kern w:val="0"/>
          <w:sz w:val="24"/>
          <w:szCs w:val="24"/>
          <w:lang w:eastAsia="pt-BR"/>
          <w14:ligatures w14:val="none"/>
        </w:rPr>
        <w:t>1</w:t>
      </w:r>
      <w:r>
        <w:rPr>
          <w:rFonts w:ascii="Arial" w:eastAsia="Times New Roman" w:hAnsi="Arial" w:cs="Arial"/>
          <w:b/>
          <w:bCs/>
          <w:color w:val="000000"/>
          <w:kern w:val="0"/>
          <w:sz w:val="24"/>
          <w:szCs w:val="24"/>
          <w:lang w:eastAsia="pt-BR"/>
          <w14:ligatures w14:val="none"/>
        </w:rPr>
        <w:t>2</w:t>
      </w:r>
      <w:r w:rsidRPr="00003E63">
        <w:rPr>
          <w:rFonts w:ascii="Arial" w:eastAsia="Times New Roman" w:hAnsi="Arial" w:cs="Arial"/>
          <w:b/>
          <w:bCs/>
          <w:color w:val="000000"/>
          <w:kern w:val="0"/>
          <w:sz w:val="24"/>
          <w:szCs w:val="24"/>
          <w:lang w:eastAsia="pt-BR"/>
          <w14:ligatures w14:val="none"/>
        </w:rPr>
        <w:t>. REFERÊNCIAS</w:t>
      </w:r>
    </w:p>
    <w:p w14:paraId="3ED1B5E6"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26786C15"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ACKER, C.; TOONE, B. </w:t>
      </w:r>
      <w:r w:rsidRPr="00003E63">
        <w:rPr>
          <w:rFonts w:ascii="Arial" w:eastAsia="Times New Roman" w:hAnsi="Arial" w:cs="Arial"/>
          <w:b/>
          <w:bCs/>
          <w:color w:val="000000"/>
          <w:kern w:val="0"/>
          <w:shd w:val="clear" w:color="auto" w:fill="FFFFFF"/>
          <w:lang w:eastAsia="pt-BR"/>
          <w14:ligatures w14:val="none"/>
        </w:rPr>
        <w:t>Esquizofrenia, movimentos oculares e atenção</w:t>
      </w:r>
      <w:r w:rsidRPr="00003E63">
        <w:rPr>
          <w:rFonts w:ascii="Arial" w:eastAsia="Times New Roman" w:hAnsi="Arial" w:cs="Arial"/>
          <w:color w:val="000000"/>
          <w:kern w:val="0"/>
          <w:shd w:val="clear" w:color="auto" w:fill="FFFFFF"/>
          <w:lang w:eastAsia="pt-BR"/>
          <w14:ligatures w14:val="none"/>
        </w:rPr>
        <w:t xml:space="preserve">. </w:t>
      </w:r>
      <w:r w:rsidRPr="00003E63">
        <w:rPr>
          <w:rFonts w:ascii="Arial" w:eastAsia="Times New Roman" w:hAnsi="Arial" w:cs="Arial"/>
          <w:i/>
          <w:iCs/>
          <w:color w:val="000000"/>
          <w:kern w:val="0"/>
          <w:shd w:val="clear" w:color="auto" w:fill="FFFFFF"/>
          <w:lang w:eastAsia="pt-BR"/>
          <w14:ligatures w14:val="none"/>
        </w:rPr>
        <w:t>Psicofarmacologia</w:t>
      </w:r>
      <w:r w:rsidRPr="00003E63">
        <w:rPr>
          <w:rFonts w:ascii="Arial" w:eastAsia="Times New Roman" w:hAnsi="Arial" w:cs="Arial"/>
          <w:color w:val="000000"/>
          <w:kern w:val="0"/>
          <w:shd w:val="clear" w:color="auto" w:fill="FFFFFF"/>
          <w:lang w:eastAsia="pt-BR"/>
          <w14:ligatures w14:val="none"/>
        </w:rPr>
        <w:t>. 1978. 58(3): 249-255.</w:t>
      </w:r>
    </w:p>
    <w:p w14:paraId="74D73BFD"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00255B5D"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Basner M, Mollicone DJ, Dinges DF. The MSLQ-2: </w:t>
      </w:r>
      <w:r w:rsidRPr="00003E63">
        <w:rPr>
          <w:rFonts w:ascii="Arial" w:eastAsia="Times New Roman" w:hAnsi="Arial" w:cs="Arial"/>
          <w:b/>
          <w:bCs/>
          <w:color w:val="000000"/>
          <w:kern w:val="0"/>
          <w:shd w:val="clear" w:color="auto" w:fill="FFFFFF"/>
          <w:lang w:eastAsia="pt-BR"/>
          <w14:ligatures w14:val="none"/>
        </w:rPr>
        <w:t>A new tool for assessing the efficacy of sleep, alertness, and performance countermeasures</w:t>
      </w:r>
      <w:r w:rsidRPr="00003E63">
        <w:rPr>
          <w:rFonts w:ascii="Arial" w:eastAsia="Times New Roman" w:hAnsi="Arial" w:cs="Arial"/>
          <w:color w:val="000000"/>
          <w:kern w:val="0"/>
          <w:shd w:val="clear" w:color="auto" w:fill="FFFFFF"/>
          <w:lang w:eastAsia="pt-BR"/>
          <w14:ligatures w14:val="none"/>
        </w:rPr>
        <w:t>. Sleep. 2011;34(7):907-17.</w:t>
      </w:r>
    </w:p>
    <w:p w14:paraId="342EBB67"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7FD8363B"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BEATRIZ OLIVEIRA SOUZA, Sthephânia; TOMÉ, Brendha; MÁRCIA MAGNANI, Rina; MARTINS GERVÁSIO, Flávia. </w:t>
      </w:r>
      <w:r w:rsidRPr="00003E63">
        <w:rPr>
          <w:rFonts w:ascii="Arial" w:eastAsia="Times New Roman" w:hAnsi="Arial" w:cs="Arial"/>
          <w:b/>
          <w:bCs/>
          <w:color w:val="000000"/>
          <w:kern w:val="0"/>
          <w:shd w:val="clear" w:color="auto" w:fill="FFFFFF"/>
          <w:lang w:eastAsia="pt-BR"/>
          <w14:ligatures w14:val="none"/>
        </w:rPr>
        <w:t>Descrição do tempo de reação motora nas faixas etárias e gênero.</w:t>
      </w:r>
      <w:r w:rsidRPr="00003E63">
        <w:rPr>
          <w:rFonts w:ascii="Arial" w:eastAsia="Times New Roman" w:hAnsi="Arial" w:cs="Arial"/>
          <w:color w:val="000000"/>
          <w:kern w:val="0"/>
          <w:shd w:val="clear" w:color="auto" w:fill="FFFFFF"/>
          <w:lang w:eastAsia="pt-BR"/>
          <w14:ligatures w14:val="none"/>
        </w:rPr>
        <w:t xml:space="preserve"> Revista Neurociências, </w:t>
      </w:r>
      <w:r w:rsidRPr="00003E63">
        <w:rPr>
          <w:rFonts w:ascii="Arial" w:eastAsia="Times New Roman" w:hAnsi="Arial" w:cs="Arial"/>
          <w:i/>
          <w:iCs/>
          <w:color w:val="000000"/>
          <w:kern w:val="0"/>
          <w:shd w:val="clear" w:color="auto" w:fill="FFFFFF"/>
          <w:lang w:eastAsia="pt-BR"/>
          <w14:ligatures w14:val="none"/>
        </w:rPr>
        <w:t>[S. l.]</w:t>
      </w:r>
      <w:r w:rsidRPr="00003E63">
        <w:rPr>
          <w:rFonts w:ascii="Arial" w:eastAsia="Times New Roman" w:hAnsi="Arial" w:cs="Arial"/>
          <w:color w:val="000000"/>
          <w:kern w:val="0"/>
          <w:shd w:val="clear" w:color="auto" w:fill="FFFFFF"/>
          <w:lang w:eastAsia="pt-BR"/>
          <w14:ligatures w14:val="none"/>
        </w:rPr>
        <w:t>, v. 29, p. 1–22, 2021. DOI: 10.34024/rnc.2021.v29.11736.</w:t>
      </w:r>
    </w:p>
    <w:p w14:paraId="24A57F87"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7C1A2EE3"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Calvert, GA, Brammer, MJ e Iversen, SD (1998). </w:t>
      </w:r>
      <w:r w:rsidRPr="00003E63">
        <w:rPr>
          <w:rFonts w:ascii="Arial" w:eastAsia="Times New Roman" w:hAnsi="Arial" w:cs="Arial"/>
          <w:b/>
          <w:bCs/>
          <w:color w:val="000000"/>
          <w:kern w:val="0"/>
          <w:shd w:val="clear" w:color="auto" w:fill="FFFFFF"/>
          <w:lang w:eastAsia="pt-BR"/>
          <w14:ligatures w14:val="none"/>
        </w:rPr>
        <w:t>Identificação intermodal.</w:t>
      </w:r>
      <w:r w:rsidRPr="00003E63">
        <w:rPr>
          <w:rFonts w:ascii="Arial" w:eastAsia="Times New Roman" w:hAnsi="Arial" w:cs="Arial"/>
          <w:color w:val="000000"/>
          <w:kern w:val="0"/>
          <w:shd w:val="clear" w:color="auto" w:fill="FFFFFF"/>
          <w:lang w:eastAsia="pt-BR"/>
          <w14:ligatures w14:val="none"/>
        </w:rPr>
        <w:t xml:space="preserve"> Tendências em Ciências Cognitivas, 2 (7), 247–253. https://doi.org/10.1016/S1364-6613(98)01189-9</w:t>
      </w:r>
    </w:p>
    <w:p w14:paraId="1385BA4C"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0C48A498"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CORBETTA, M.; SHULMAN, GL. </w:t>
      </w:r>
      <w:r w:rsidRPr="00003E63">
        <w:rPr>
          <w:rFonts w:ascii="Arial" w:eastAsia="Times New Roman" w:hAnsi="Arial" w:cs="Arial"/>
          <w:b/>
          <w:bCs/>
          <w:color w:val="000000"/>
          <w:kern w:val="0"/>
          <w:shd w:val="clear" w:color="auto" w:fill="FFFFFF"/>
          <w:lang w:eastAsia="pt-BR"/>
          <w14:ligatures w14:val="none"/>
        </w:rPr>
        <w:t>Controle da atenção dirigida a objetivos e a estímulos no cérebro.</w:t>
      </w:r>
      <w:r w:rsidRPr="00003E63">
        <w:rPr>
          <w:rFonts w:ascii="Arial" w:eastAsia="Times New Roman" w:hAnsi="Arial" w:cs="Arial"/>
          <w:color w:val="000000"/>
          <w:kern w:val="0"/>
          <w:shd w:val="clear" w:color="auto" w:fill="FFFFFF"/>
          <w:lang w:eastAsia="pt-BR"/>
          <w14:ligatures w14:val="none"/>
        </w:rPr>
        <w:t xml:space="preserve"> Nature Reviews Neuroscience , v. 3, p. 201-215, 2002.</w:t>
      </w:r>
    </w:p>
    <w:p w14:paraId="59DF0A6C"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5C9FBBB5"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lang w:eastAsia="pt-BR"/>
          <w14:ligatures w14:val="none"/>
        </w:rPr>
        <w:t>Divided Attention Test. CogniFit. 2023. Version No: 2023.1.</w:t>
      </w:r>
    </w:p>
    <w:p w14:paraId="76F0ECDC"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13BBB986"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DRIVER, J.; NOESSELT, T. </w:t>
      </w:r>
      <w:r w:rsidRPr="00003E63">
        <w:rPr>
          <w:rFonts w:ascii="Arial" w:eastAsia="Times New Roman" w:hAnsi="Arial" w:cs="Arial"/>
          <w:b/>
          <w:bCs/>
          <w:color w:val="000000"/>
          <w:kern w:val="0"/>
          <w:shd w:val="clear" w:color="auto" w:fill="FFFFFF"/>
          <w:lang w:eastAsia="pt-BR"/>
          <w14:ligatures w14:val="none"/>
        </w:rPr>
        <w:t>Interação multissensorial revela influências crossmodais em regiões cerebrais 'sensoriais específicas', respostas neurais e julgamentos</w:t>
      </w:r>
      <w:r w:rsidRPr="00003E63">
        <w:rPr>
          <w:rFonts w:ascii="Arial" w:eastAsia="Times New Roman" w:hAnsi="Arial" w:cs="Arial"/>
          <w:color w:val="000000"/>
          <w:kern w:val="0"/>
          <w:shd w:val="clear" w:color="auto" w:fill="FFFFFF"/>
          <w:lang w:eastAsia="pt-BR"/>
          <w14:ligatures w14:val="none"/>
        </w:rPr>
        <w:t>. Neuron , v. 57, n. 1, p. 11-23, 2008. DOI: 10.1016/j.neuron.2007.12.013</w:t>
      </w:r>
    </w:p>
    <w:p w14:paraId="23C8F810"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6FE141FF"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GAGNON, D.; OUELLET, S.; CARRIÈRE, J. </w:t>
      </w:r>
      <w:r w:rsidRPr="00003E63">
        <w:rPr>
          <w:rFonts w:ascii="Arial" w:eastAsia="Times New Roman" w:hAnsi="Arial" w:cs="Arial"/>
          <w:b/>
          <w:bCs/>
          <w:color w:val="000000"/>
          <w:kern w:val="0"/>
          <w:shd w:val="clear" w:color="auto" w:fill="FFFFFF"/>
          <w:lang w:eastAsia="pt-BR"/>
          <w14:ligatures w14:val="none"/>
        </w:rPr>
        <w:t>Neuromodulação dos movimentos oculares sacádicos por estimulação magnética transcraniana dos campos oculares frontais</w:t>
      </w:r>
      <w:r w:rsidRPr="00003E63">
        <w:rPr>
          <w:rFonts w:ascii="Arial" w:eastAsia="Times New Roman" w:hAnsi="Arial" w:cs="Arial"/>
          <w:color w:val="000000"/>
          <w:kern w:val="0"/>
          <w:shd w:val="clear" w:color="auto" w:fill="FFFFFF"/>
          <w:lang w:eastAsia="pt-BR"/>
          <w14:ligatures w14:val="none"/>
        </w:rPr>
        <w:t>. Journal of Cognitive Neuroscience , v. 18, n. 5, p. 749-761, 2006.</w:t>
      </w:r>
    </w:p>
    <w:p w14:paraId="2FADB8B7"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36941FAB"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Gao X, Wang J, Wu X, et al. </w:t>
      </w:r>
      <w:r w:rsidRPr="00003E63">
        <w:rPr>
          <w:rFonts w:ascii="Arial" w:eastAsia="Times New Roman" w:hAnsi="Arial" w:cs="Arial"/>
          <w:b/>
          <w:bCs/>
          <w:color w:val="000000"/>
          <w:kern w:val="0"/>
          <w:shd w:val="clear" w:color="auto" w:fill="FFFFFF"/>
          <w:lang w:eastAsia="pt-BR"/>
          <w14:ligatures w14:val="none"/>
        </w:rPr>
        <w:t>Cortical excitability changes induced by transcranial magnetic stimulation over the motor cortex:</w:t>
      </w:r>
      <w:r w:rsidRPr="00003E63">
        <w:rPr>
          <w:rFonts w:ascii="Arial" w:eastAsia="Times New Roman" w:hAnsi="Arial" w:cs="Arial"/>
          <w:color w:val="000000"/>
          <w:kern w:val="0"/>
          <w:shd w:val="clear" w:color="auto" w:fill="FFFFFF"/>
          <w:lang w:eastAsia="pt-BR"/>
          <w14:ligatures w14:val="none"/>
        </w:rPr>
        <w:t xml:space="preserve"> a study with paired-pulse stimulation. Neurosci Lett. 2006;407(1):1-6.</w:t>
      </w:r>
    </w:p>
    <w:p w14:paraId="6B8FBF21"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04A4574B"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GOODALE, MA; MILNER, AD. </w:t>
      </w:r>
      <w:r w:rsidRPr="00003E63">
        <w:rPr>
          <w:rFonts w:ascii="Arial" w:eastAsia="Times New Roman" w:hAnsi="Arial" w:cs="Arial"/>
          <w:b/>
          <w:bCs/>
          <w:color w:val="000000"/>
          <w:kern w:val="0"/>
          <w:shd w:val="clear" w:color="auto" w:fill="FFFFFF"/>
          <w:lang w:eastAsia="pt-BR"/>
          <w14:ligatures w14:val="none"/>
        </w:rPr>
        <w:t>Caminhos visuais separados para percepção e ação</w:t>
      </w:r>
      <w:r w:rsidRPr="00003E63">
        <w:rPr>
          <w:rFonts w:ascii="Arial" w:eastAsia="Times New Roman" w:hAnsi="Arial" w:cs="Arial"/>
          <w:color w:val="000000"/>
          <w:kern w:val="0"/>
          <w:shd w:val="clear" w:color="auto" w:fill="FFFFFF"/>
          <w:lang w:eastAsia="pt-BR"/>
          <w14:ligatures w14:val="none"/>
        </w:rPr>
        <w:t>. Trends in Neurosciences , v. 15, n. 1, p. 20-25, 1992. DOI: 10.1016/0166-2236(92)90344-8</w:t>
      </w:r>
    </w:p>
    <w:p w14:paraId="2FB586EE"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62061227"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Greenberg LM. The Test of Variables of Attention (TOVA): </w:t>
      </w:r>
      <w:r w:rsidRPr="00003E63">
        <w:rPr>
          <w:rFonts w:ascii="Arial" w:eastAsia="Times New Roman" w:hAnsi="Arial" w:cs="Arial"/>
          <w:b/>
          <w:bCs/>
          <w:color w:val="000000"/>
          <w:kern w:val="0"/>
          <w:shd w:val="clear" w:color="auto" w:fill="FFFFFF"/>
          <w:lang w:eastAsia="pt-BR"/>
          <w14:ligatures w14:val="none"/>
        </w:rPr>
        <w:t>A new continuous performance test of attention</w:t>
      </w:r>
      <w:r w:rsidRPr="00003E63">
        <w:rPr>
          <w:rFonts w:ascii="Arial" w:eastAsia="Times New Roman" w:hAnsi="Arial" w:cs="Arial"/>
          <w:color w:val="000000"/>
          <w:kern w:val="0"/>
          <w:shd w:val="clear" w:color="auto" w:fill="FFFFFF"/>
          <w:lang w:eastAsia="pt-BR"/>
          <w14:ligatures w14:val="none"/>
        </w:rPr>
        <w:t>. Clin Neuropsychol. 1991;5(1):1-14.</w:t>
      </w:r>
    </w:p>
    <w:p w14:paraId="1DF35D21"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1C48713D"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Greenberg LM, Kindschi CL, Corman CL. </w:t>
      </w:r>
      <w:r w:rsidRPr="00003E63">
        <w:rPr>
          <w:rFonts w:ascii="Arial" w:eastAsia="Times New Roman" w:hAnsi="Arial" w:cs="Arial"/>
          <w:b/>
          <w:bCs/>
          <w:color w:val="000000"/>
          <w:kern w:val="0"/>
          <w:shd w:val="clear" w:color="auto" w:fill="FFFFFF"/>
          <w:lang w:eastAsia="pt-BR"/>
          <w14:ligatures w14:val="none"/>
        </w:rPr>
        <w:t>TOVA test of variables of attention: clinical guide.</w:t>
      </w:r>
      <w:r w:rsidRPr="00003E63">
        <w:rPr>
          <w:rFonts w:ascii="Arial" w:eastAsia="Times New Roman" w:hAnsi="Arial" w:cs="Arial"/>
          <w:color w:val="000000"/>
          <w:kern w:val="0"/>
          <w:shd w:val="clear" w:color="auto" w:fill="FFFFFF"/>
          <w:lang w:eastAsia="pt-BR"/>
          <w14:ligatures w14:val="none"/>
        </w:rPr>
        <w:t xml:space="preserve"> St. Paul: TOVA Research Foundation; 1996.</w:t>
      </w:r>
    </w:p>
    <w:p w14:paraId="222CF81F"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32377143"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JEANNEROD, M. </w:t>
      </w:r>
      <w:r w:rsidRPr="00003E63">
        <w:rPr>
          <w:rFonts w:ascii="Arial" w:eastAsia="Times New Roman" w:hAnsi="Arial" w:cs="Arial"/>
          <w:b/>
          <w:bCs/>
          <w:color w:val="000000"/>
          <w:kern w:val="0"/>
          <w:shd w:val="clear" w:color="auto" w:fill="FFFFFF"/>
          <w:lang w:eastAsia="pt-BR"/>
          <w14:ligatures w14:val="none"/>
        </w:rPr>
        <w:t>A neurociência cognitiva da ação</w:t>
      </w:r>
      <w:r w:rsidRPr="00003E63">
        <w:rPr>
          <w:rFonts w:ascii="Arial" w:eastAsia="Times New Roman" w:hAnsi="Arial" w:cs="Arial"/>
          <w:color w:val="000000"/>
          <w:kern w:val="0"/>
          <w:shd w:val="clear" w:color="auto" w:fill="FFFFFF"/>
          <w:lang w:eastAsia="pt-BR"/>
          <w14:ligatures w14:val="none"/>
        </w:rPr>
        <w:t>. Blackwell Publishers , 1997.</w:t>
      </w:r>
    </w:p>
    <w:p w14:paraId="1400F36E"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03877F82"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Jin Z, Gou R, Zhang J, Li L. </w:t>
      </w:r>
      <w:r w:rsidRPr="00003E63">
        <w:rPr>
          <w:rFonts w:ascii="Arial" w:eastAsia="Times New Roman" w:hAnsi="Arial" w:cs="Arial"/>
          <w:b/>
          <w:bCs/>
          <w:color w:val="000000"/>
          <w:kern w:val="0"/>
          <w:shd w:val="clear" w:color="auto" w:fill="FFFFFF"/>
          <w:lang w:eastAsia="pt-BR"/>
          <w14:ligatures w14:val="none"/>
        </w:rPr>
        <w:t>The role of frontal pursuit area in interaction between smooth pursuit eye movements and attention:</w:t>
      </w:r>
      <w:r w:rsidRPr="00003E63">
        <w:rPr>
          <w:rFonts w:ascii="Arial" w:eastAsia="Times New Roman" w:hAnsi="Arial" w:cs="Arial"/>
          <w:color w:val="000000"/>
          <w:kern w:val="0"/>
          <w:shd w:val="clear" w:color="auto" w:fill="FFFFFF"/>
          <w:lang w:eastAsia="pt-BR"/>
          <w14:ligatures w14:val="none"/>
        </w:rPr>
        <w:t xml:space="preserve"> A TMS study. J Vis. 2021 Mar 1;21(3):11. doi: 10.1167/jov.21.3.11. PMID: 33683288; PMCID: PMC7961116.</w:t>
      </w:r>
    </w:p>
    <w:p w14:paraId="003348B7"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4A794795"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KERZEL, D.; POELLHAUSEN, A.; WITZEL, C. </w:t>
      </w:r>
      <w:r w:rsidRPr="00003E63">
        <w:rPr>
          <w:rFonts w:ascii="Arial" w:eastAsia="Times New Roman" w:hAnsi="Arial" w:cs="Arial"/>
          <w:b/>
          <w:bCs/>
          <w:color w:val="000000"/>
          <w:kern w:val="0"/>
          <w:shd w:val="clear" w:color="auto" w:fill="FFFFFF"/>
          <w:lang w:eastAsia="pt-BR"/>
          <w14:ligatures w14:val="none"/>
        </w:rPr>
        <w:t>Mudanças expressivas de atenção e busca visual: Evidência comportamental para um envolvimento dos campos oculares frontais na busca de memória.</w:t>
      </w:r>
      <w:r w:rsidRPr="00003E63">
        <w:rPr>
          <w:rFonts w:ascii="Arial" w:eastAsia="Times New Roman" w:hAnsi="Arial" w:cs="Arial"/>
          <w:color w:val="000000"/>
          <w:kern w:val="0"/>
          <w:shd w:val="clear" w:color="auto" w:fill="FFFFFF"/>
          <w:lang w:eastAsia="pt-BR"/>
          <w14:ligatures w14:val="none"/>
        </w:rPr>
        <w:t xml:space="preserve"> Vision Research , v. 49, n. 14, p. 1777-1786, 2009.</w:t>
      </w:r>
    </w:p>
    <w:p w14:paraId="29BBF453"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2A98EA2C"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Lefaucheur JP, André-Obadia N, Poulet E, et al. </w:t>
      </w:r>
      <w:r w:rsidRPr="00003E63">
        <w:rPr>
          <w:rFonts w:ascii="Arial" w:eastAsia="Times New Roman" w:hAnsi="Arial" w:cs="Arial"/>
          <w:b/>
          <w:bCs/>
          <w:color w:val="000000"/>
          <w:kern w:val="0"/>
          <w:shd w:val="clear" w:color="auto" w:fill="FFFFFF"/>
          <w:lang w:eastAsia="pt-BR"/>
          <w14:ligatures w14:val="none"/>
        </w:rPr>
        <w:t>Recommandations françaises sur l'utilisation de la stimulation magnétique transcrânienne répétitive (rTMS) : règles de sécurité et indications thérapeutiques [French guidelines on the use of repetitive transcranial magnetic stimulation (rTMS): safety and therapeutic indications]</w:t>
      </w:r>
      <w:r w:rsidRPr="00003E63">
        <w:rPr>
          <w:rFonts w:ascii="Arial" w:eastAsia="Times New Roman" w:hAnsi="Arial" w:cs="Arial"/>
          <w:color w:val="000000"/>
          <w:kern w:val="0"/>
          <w:shd w:val="clear" w:color="auto" w:fill="FFFFFF"/>
          <w:lang w:eastAsia="pt-BR"/>
          <w14:ligatures w14:val="none"/>
        </w:rPr>
        <w:t xml:space="preserve">. </w:t>
      </w:r>
      <w:r w:rsidRPr="00003E63">
        <w:rPr>
          <w:rFonts w:ascii="Arial" w:eastAsia="Times New Roman" w:hAnsi="Arial" w:cs="Arial"/>
          <w:i/>
          <w:iCs/>
          <w:color w:val="000000"/>
          <w:kern w:val="0"/>
          <w:shd w:val="clear" w:color="auto" w:fill="FFFFFF"/>
          <w:lang w:eastAsia="pt-BR"/>
          <w14:ligatures w14:val="none"/>
        </w:rPr>
        <w:t>Neurophysiol Clin</w:t>
      </w:r>
      <w:r w:rsidRPr="00003E63">
        <w:rPr>
          <w:rFonts w:ascii="Arial" w:eastAsia="Times New Roman" w:hAnsi="Arial" w:cs="Arial"/>
          <w:color w:val="000000"/>
          <w:kern w:val="0"/>
          <w:shd w:val="clear" w:color="auto" w:fill="FFFFFF"/>
          <w:lang w:eastAsia="pt-BR"/>
          <w14:ligatures w14:val="none"/>
        </w:rPr>
        <w:t>. 2011;41(5-6):221-295. doi:10.1016/j.neucli.2011.10.062</w:t>
      </w:r>
    </w:p>
    <w:p w14:paraId="475C618A"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3E16D6E1"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SIMÕES, C. et al.</w:t>
      </w:r>
      <w:r w:rsidRPr="00003E63">
        <w:rPr>
          <w:rFonts w:ascii="Arial" w:eastAsia="Times New Roman" w:hAnsi="Arial" w:cs="Arial"/>
          <w:b/>
          <w:bCs/>
          <w:color w:val="000000"/>
          <w:kern w:val="0"/>
          <w:shd w:val="clear" w:color="auto" w:fill="FFFFFF"/>
          <w:lang w:eastAsia="pt-BR"/>
          <w14:ligatures w14:val="none"/>
        </w:rPr>
        <w:t xml:space="preserve"> Effects of mirror therapy through functional activites and motor standards in motor function of the upper limb after stroke.</w:t>
      </w:r>
      <w:r w:rsidRPr="00003E63">
        <w:rPr>
          <w:rFonts w:ascii="Arial" w:eastAsia="Times New Roman" w:hAnsi="Arial" w:cs="Arial"/>
          <w:color w:val="000000"/>
          <w:kern w:val="0"/>
          <w:shd w:val="clear" w:color="auto" w:fill="FFFFFF"/>
          <w:lang w:eastAsia="pt-BR"/>
          <w14:ligatures w14:val="none"/>
        </w:rPr>
        <w:t xml:space="preserve"> DOAJ (DOAJ: Directory of Open Access Journals), 1 set. 2014. https://doi.org/10.590/1809-2950/87821032014</w:t>
      </w:r>
    </w:p>
    <w:p w14:paraId="0D3E5739"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2BA4E53F"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MURRAY, MM; WALLACE, MT. </w:t>
      </w:r>
      <w:r w:rsidRPr="00003E63">
        <w:rPr>
          <w:rFonts w:ascii="Arial" w:eastAsia="Times New Roman" w:hAnsi="Arial" w:cs="Arial"/>
          <w:b/>
          <w:bCs/>
          <w:color w:val="000000"/>
          <w:kern w:val="0"/>
          <w:shd w:val="clear" w:color="auto" w:fill="FFFFFF"/>
          <w:lang w:eastAsia="pt-BR"/>
          <w14:ligatures w14:val="none"/>
        </w:rPr>
        <w:t>As bases neurais dos processos multissensoriais</w:t>
      </w:r>
      <w:r w:rsidRPr="00003E63">
        <w:rPr>
          <w:rFonts w:ascii="Arial" w:eastAsia="Times New Roman" w:hAnsi="Arial" w:cs="Arial"/>
          <w:color w:val="000000"/>
          <w:kern w:val="0"/>
          <w:shd w:val="clear" w:color="auto" w:fill="FFFFFF"/>
          <w:lang w:eastAsia="pt-BR"/>
          <w14:ligatures w14:val="none"/>
        </w:rPr>
        <w:t>. CRC Press , 2012.</w:t>
      </w:r>
    </w:p>
    <w:p w14:paraId="6FFB7CEC"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1DF45E2D"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NEVILLE, I. et al. </w:t>
      </w:r>
      <w:r w:rsidRPr="00003E63">
        <w:rPr>
          <w:rFonts w:ascii="Arial" w:eastAsia="Times New Roman" w:hAnsi="Arial" w:cs="Arial"/>
          <w:b/>
          <w:bCs/>
          <w:color w:val="000000"/>
          <w:kern w:val="0"/>
          <w:shd w:val="clear" w:color="auto" w:fill="FFFFFF"/>
          <w:lang w:eastAsia="pt-BR"/>
          <w14:ligatures w14:val="none"/>
        </w:rPr>
        <w:t xml:space="preserve">Avaliação da excitabilidade cortical em pacientes com tumor cerebral. </w:t>
      </w:r>
      <w:r w:rsidRPr="00003E63">
        <w:rPr>
          <w:rFonts w:ascii="Arial" w:eastAsia="Times New Roman" w:hAnsi="Arial" w:cs="Arial"/>
          <w:color w:val="000000"/>
          <w:kern w:val="0"/>
          <w:shd w:val="clear" w:color="auto" w:fill="FFFFFF"/>
          <w:lang w:eastAsia="pt-BR"/>
          <w14:ligatures w14:val="none"/>
        </w:rPr>
        <w:t>Arquivos Brasileiros de Neurocirurgia: Brazilian Neurosurgery, set. 2018.</w:t>
      </w:r>
    </w:p>
    <w:p w14:paraId="42CDA250"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65D8B937"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NUDING, U.; SPORRONG, B.; SIEBERT, S.; SCHWARZWELLER, W.; ILG, UJ. </w:t>
      </w:r>
      <w:r w:rsidRPr="00003E63">
        <w:rPr>
          <w:rFonts w:ascii="Arial" w:eastAsia="Times New Roman" w:hAnsi="Arial" w:cs="Arial"/>
          <w:b/>
          <w:bCs/>
          <w:color w:val="000000"/>
          <w:kern w:val="0"/>
          <w:shd w:val="clear" w:color="auto" w:fill="FFFFFF"/>
          <w:lang w:eastAsia="pt-BR"/>
          <w14:ligatures w14:val="none"/>
        </w:rPr>
        <w:t>Modulação de movimentos oculares de perseguição suave por estimulação magnética transcraniana dos campos oculares frontais.</w:t>
      </w:r>
      <w:r w:rsidRPr="00003E63">
        <w:rPr>
          <w:rFonts w:ascii="Arial" w:eastAsia="Times New Roman" w:hAnsi="Arial" w:cs="Arial"/>
          <w:color w:val="000000"/>
          <w:kern w:val="0"/>
          <w:shd w:val="clear" w:color="auto" w:fill="FFFFFF"/>
          <w:lang w:eastAsia="pt-BR"/>
          <w14:ligatures w14:val="none"/>
        </w:rPr>
        <w:t xml:space="preserve"> Experimental Brain Research , v. 195, n. 1, p. 33-43, 2009.</w:t>
      </w:r>
    </w:p>
    <w:p w14:paraId="4646713C"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1772E71D"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PASCUAL-LEONE, A. et al. </w:t>
      </w:r>
      <w:r w:rsidRPr="00003E63">
        <w:rPr>
          <w:rFonts w:ascii="Arial" w:eastAsia="Times New Roman" w:hAnsi="Arial" w:cs="Arial"/>
          <w:b/>
          <w:bCs/>
          <w:color w:val="000000"/>
          <w:kern w:val="0"/>
          <w:shd w:val="clear" w:color="auto" w:fill="FFFFFF"/>
          <w:lang w:eastAsia="pt-BR"/>
          <w14:ligatures w14:val="none"/>
        </w:rPr>
        <w:t>Modulation of muscle responses evoked by transcranial magnetic stimulation during the acquisition of new fine motor skills.</w:t>
      </w:r>
      <w:r w:rsidRPr="00003E63">
        <w:rPr>
          <w:rFonts w:ascii="Arial" w:eastAsia="Times New Roman" w:hAnsi="Arial" w:cs="Arial"/>
          <w:color w:val="000000"/>
          <w:kern w:val="0"/>
          <w:shd w:val="clear" w:color="auto" w:fill="FFFFFF"/>
          <w:lang w:eastAsia="pt-BR"/>
          <w14:ligatures w14:val="none"/>
        </w:rPr>
        <w:t xml:space="preserve"> Journal of Neurophysiology, v. 74, n. 3, p. 1037–1045, 1 set. 1995.</w:t>
      </w:r>
    </w:p>
    <w:p w14:paraId="2E18EE9F"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0D870E40"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Psychomotor Vigilance Test</w:t>
      </w:r>
      <w:r w:rsidRPr="00003E63">
        <w:rPr>
          <w:rFonts w:ascii="Arial" w:eastAsia="Times New Roman" w:hAnsi="Arial" w:cs="Arial"/>
          <w:color w:val="000000"/>
          <w:kern w:val="0"/>
          <w:lang w:eastAsia="pt-BR"/>
          <w14:ligatures w14:val="none"/>
        </w:rPr>
        <w:t>. CogniFit. 2022. Version No: 2022.1.</w:t>
      </w:r>
    </w:p>
    <w:p w14:paraId="113A617A"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07BA4FF4"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Romei V, Murray MM, Merabet LB, Thut G. O</w:t>
      </w:r>
      <w:r w:rsidRPr="00003E63">
        <w:rPr>
          <w:rFonts w:ascii="Arial" w:eastAsia="Times New Roman" w:hAnsi="Arial" w:cs="Arial"/>
          <w:b/>
          <w:bCs/>
          <w:color w:val="000000"/>
          <w:kern w:val="0"/>
          <w:shd w:val="clear" w:color="auto" w:fill="FFFFFF"/>
          <w:lang w:eastAsia="pt-BR"/>
          <w14:ligatures w14:val="none"/>
        </w:rPr>
        <w:t>ccipital transcranial magnetic stimulation has opposing effects on visual and auditory stimulus detection:</w:t>
      </w:r>
      <w:r w:rsidRPr="00003E63">
        <w:rPr>
          <w:rFonts w:ascii="Arial" w:eastAsia="Times New Roman" w:hAnsi="Arial" w:cs="Arial"/>
          <w:color w:val="000000"/>
          <w:kern w:val="0"/>
          <w:shd w:val="clear" w:color="auto" w:fill="FFFFFF"/>
          <w:lang w:eastAsia="pt-BR"/>
          <w14:ligatures w14:val="none"/>
        </w:rPr>
        <w:t xml:space="preserve"> implications for multisensory interactions. J Neurosci. 2007 Oct 24;27(43):11465-72. doi: 10.1523/JNEUROSCI.2827-07.2007. PMID: 17959789; PMCID: PMC6673223.</w:t>
      </w:r>
    </w:p>
    <w:p w14:paraId="1199F3D3"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5A2B9142"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Rossi S, Antal A, Bestmann S, et al. </w:t>
      </w:r>
      <w:r w:rsidRPr="00003E63">
        <w:rPr>
          <w:rFonts w:ascii="Arial" w:eastAsia="Times New Roman" w:hAnsi="Arial" w:cs="Arial"/>
          <w:b/>
          <w:bCs/>
          <w:color w:val="000000"/>
          <w:kern w:val="0"/>
          <w:shd w:val="clear" w:color="auto" w:fill="FFFFFF"/>
          <w:lang w:eastAsia="pt-BR"/>
          <w14:ligatures w14:val="none"/>
        </w:rPr>
        <w:t>Safety and recommendations for TMS use in healthy subjects and patient populations, with updates on training, ethical and regulatory issues: Expert Guidelines.</w:t>
      </w:r>
      <w:r w:rsidRPr="00003E63">
        <w:rPr>
          <w:rFonts w:ascii="Arial" w:eastAsia="Times New Roman" w:hAnsi="Arial" w:cs="Arial"/>
          <w:color w:val="000000"/>
          <w:kern w:val="0"/>
          <w:shd w:val="clear" w:color="auto" w:fill="FFFFFF"/>
          <w:lang w:eastAsia="pt-BR"/>
          <w14:ligatures w14:val="none"/>
        </w:rPr>
        <w:t xml:space="preserve"> </w:t>
      </w:r>
      <w:r w:rsidRPr="00003E63">
        <w:rPr>
          <w:rFonts w:ascii="Arial" w:eastAsia="Times New Roman" w:hAnsi="Arial" w:cs="Arial"/>
          <w:i/>
          <w:iCs/>
          <w:color w:val="000000"/>
          <w:kern w:val="0"/>
          <w:shd w:val="clear" w:color="auto" w:fill="FFFFFF"/>
          <w:lang w:eastAsia="pt-BR"/>
          <w14:ligatures w14:val="none"/>
        </w:rPr>
        <w:t>Clin Neurophysiol</w:t>
      </w:r>
      <w:r w:rsidRPr="00003E63">
        <w:rPr>
          <w:rFonts w:ascii="Arial" w:eastAsia="Times New Roman" w:hAnsi="Arial" w:cs="Arial"/>
          <w:color w:val="000000"/>
          <w:kern w:val="0"/>
          <w:shd w:val="clear" w:color="auto" w:fill="FFFFFF"/>
          <w:lang w:eastAsia="pt-BR"/>
          <w14:ligatures w14:val="none"/>
        </w:rPr>
        <w:t>. 2021;132(1):269-306. doi:10.1016/j.clinph.2020.10.003</w:t>
      </w:r>
    </w:p>
    <w:p w14:paraId="5470863D"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7BDAB643"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Stroop JR. </w:t>
      </w:r>
      <w:r w:rsidRPr="00003E63">
        <w:rPr>
          <w:rFonts w:ascii="Arial" w:eastAsia="Times New Roman" w:hAnsi="Arial" w:cs="Arial"/>
          <w:b/>
          <w:bCs/>
          <w:color w:val="000000"/>
          <w:kern w:val="0"/>
          <w:shd w:val="clear" w:color="auto" w:fill="FFFFFF"/>
          <w:lang w:eastAsia="pt-BR"/>
          <w14:ligatures w14:val="none"/>
        </w:rPr>
        <w:t>Studies of interference in serial verbal reactions</w:t>
      </w:r>
      <w:r w:rsidRPr="00003E63">
        <w:rPr>
          <w:rFonts w:ascii="Arial" w:eastAsia="Times New Roman" w:hAnsi="Arial" w:cs="Arial"/>
          <w:color w:val="000000"/>
          <w:kern w:val="0"/>
          <w:shd w:val="clear" w:color="auto" w:fill="FFFFFF"/>
          <w:lang w:eastAsia="pt-BR"/>
          <w14:ligatures w14:val="none"/>
        </w:rPr>
        <w:t>. J Exp Psychol. 1935;18(6):643-62. https://doi.org/10.1037/h0054651</w:t>
      </w:r>
    </w:p>
    <w:p w14:paraId="108F1BF5"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5D3043F8"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Strigaro G, Ruge D, Chen JC, Marshall L, Desikan M, Cantello R, Rothwell JC. </w:t>
      </w:r>
      <w:r w:rsidRPr="00003E63">
        <w:rPr>
          <w:rFonts w:ascii="Arial" w:eastAsia="Times New Roman" w:hAnsi="Arial" w:cs="Arial"/>
          <w:b/>
          <w:bCs/>
          <w:color w:val="000000"/>
          <w:kern w:val="0"/>
          <w:shd w:val="clear" w:color="auto" w:fill="FFFFFF"/>
          <w:lang w:eastAsia="pt-BR"/>
          <w14:ligatures w14:val="none"/>
        </w:rPr>
        <w:t>Interaction between visual and motor cortex:</w:t>
      </w:r>
      <w:r w:rsidRPr="00003E63">
        <w:rPr>
          <w:rFonts w:ascii="Arial" w:eastAsia="Times New Roman" w:hAnsi="Arial" w:cs="Arial"/>
          <w:color w:val="000000"/>
          <w:kern w:val="0"/>
          <w:shd w:val="clear" w:color="auto" w:fill="FFFFFF"/>
          <w:lang w:eastAsia="pt-BR"/>
          <w14:ligatures w14:val="none"/>
        </w:rPr>
        <w:t xml:space="preserve"> a transcranial magnetic stimulation study. J Physiol. 2015 May 15;593(10):2365-77. doi: 10.1113/JP270135. Epub 2015 Apr 9. PMID: 25762215; PMCID: PMC4457197.</w:t>
      </w:r>
    </w:p>
    <w:p w14:paraId="1FAC6341"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33686624"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Silvanto J, Bona S, Cattaneo Z. </w:t>
      </w:r>
      <w:r w:rsidRPr="00003E63">
        <w:rPr>
          <w:rFonts w:ascii="Arial" w:eastAsia="Times New Roman" w:hAnsi="Arial" w:cs="Arial"/>
          <w:b/>
          <w:bCs/>
          <w:color w:val="000000"/>
          <w:kern w:val="0"/>
          <w:shd w:val="clear" w:color="auto" w:fill="FFFFFF"/>
          <w:lang w:eastAsia="pt-BR"/>
          <w14:ligatures w14:val="none"/>
        </w:rPr>
        <w:t>Initial activation state, stimulation intensity and timing of stimulation interact in producing behavioral effects of TMS</w:t>
      </w:r>
      <w:r w:rsidRPr="00003E63">
        <w:rPr>
          <w:rFonts w:ascii="Arial" w:eastAsia="Times New Roman" w:hAnsi="Arial" w:cs="Arial"/>
          <w:color w:val="000000"/>
          <w:kern w:val="0"/>
          <w:shd w:val="clear" w:color="auto" w:fill="FFFFFF"/>
          <w:lang w:eastAsia="pt-BR"/>
          <w14:ligatures w14:val="none"/>
        </w:rPr>
        <w:t>. Neuroscience. 2017 Nov 5;363:134-141. doi: 10.1016/j.neuroscience.2017.09.002. Epub 2017 Sep 8. PMID: 28893648; PMCID: PMC5648046.</w:t>
      </w:r>
    </w:p>
    <w:p w14:paraId="47234F64"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30A980C7"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Ter Braack EM, de Goede AA, van Putten MJAM. </w:t>
      </w:r>
      <w:r w:rsidRPr="00003E63">
        <w:rPr>
          <w:rFonts w:ascii="Arial" w:eastAsia="Times New Roman" w:hAnsi="Arial" w:cs="Arial"/>
          <w:b/>
          <w:bCs/>
          <w:color w:val="000000"/>
          <w:kern w:val="0"/>
          <w:shd w:val="clear" w:color="auto" w:fill="FFFFFF"/>
          <w:lang w:eastAsia="pt-BR"/>
          <w14:ligatures w14:val="none"/>
        </w:rPr>
        <w:t>Resting Motor Threshold, MEP and TEP Variability During Daytime</w:t>
      </w:r>
      <w:r w:rsidRPr="00003E63">
        <w:rPr>
          <w:rFonts w:ascii="Arial" w:eastAsia="Times New Roman" w:hAnsi="Arial" w:cs="Arial"/>
          <w:color w:val="000000"/>
          <w:kern w:val="0"/>
          <w:shd w:val="clear" w:color="auto" w:fill="FFFFFF"/>
          <w:lang w:eastAsia="pt-BR"/>
          <w14:ligatures w14:val="none"/>
        </w:rPr>
        <w:t xml:space="preserve">. </w:t>
      </w:r>
      <w:r w:rsidRPr="00003E63">
        <w:rPr>
          <w:rFonts w:ascii="Arial" w:eastAsia="Times New Roman" w:hAnsi="Arial" w:cs="Arial"/>
          <w:i/>
          <w:iCs/>
          <w:color w:val="000000"/>
          <w:kern w:val="0"/>
          <w:shd w:val="clear" w:color="auto" w:fill="FFFFFF"/>
          <w:lang w:eastAsia="pt-BR"/>
          <w14:ligatures w14:val="none"/>
        </w:rPr>
        <w:t>Brain Topogr</w:t>
      </w:r>
      <w:r w:rsidRPr="00003E63">
        <w:rPr>
          <w:rFonts w:ascii="Arial" w:eastAsia="Times New Roman" w:hAnsi="Arial" w:cs="Arial"/>
          <w:color w:val="000000"/>
          <w:kern w:val="0"/>
          <w:shd w:val="clear" w:color="auto" w:fill="FFFFFF"/>
          <w:lang w:eastAsia="pt-BR"/>
          <w14:ligatures w14:val="none"/>
        </w:rPr>
        <w:t>. 2019;32(1):17-27. doi:10.1007/s10548-018-0662-7</w:t>
      </w:r>
    </w:p>
    <w:p w14:paraId="71BE16C6"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247CAAE2"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t xml:space="preserve">Terao Y, Ugawa Y, Suzuki M, Sakai K, Hanajima R, Gemba-Shimizu K, Kanazawa I. </w:t>
      </w:r>
      <w:r w:rsidRPr="00003E63">
        <w:rPr>
          <w:rFonts w:ascii="Arial" w:eastAsia="Times New Roman" w:hAnsi="Arial" w:cs="Arial"/>
          <w:b/>
          <w:bCs/>
          <w:color w:val="000000"/>
          <w:kern w:val="0"/>
          <w:shd w:val="clear" w:color="auto" w:fill="FFFFFF"/>
          <w:lang w:eastAsia="pt-BR"/>
          <w14:ligatures w14:val="none"/>
        </w:rPr>
        <w:t>Shortening of simple reaction time by peripheral electrical and submotor-threshold magnetic cortical stimulation</w:t>
      </w:r>
      <w:r w:rsidRPr="00003E63">
        <w:rPr>
          <w:rFonts w:ascii="Arial" w:eastAsia="Times New Roman" w:hAnsi="Arial" w:cs="Arial"/>
          <w:color w:val="000000"/>
          <w:kern w:val="0"/>
          <w:shd w:val="clear" w:color="auto" w:fill="FFFFFF"/>
          <w:lang w:eastAsia="pt-BR"/>
          <w14:ligatures w14:val="none"/>
        </w:rPr>
        <w:t>. Exp Brain Res. 1997 Jul;115(3):541-5. doi: 10.1007/pl00005724. PMID: 9262209.</w:t>
      </w:r>
    </w:p>
    <w:p w14:paraId="5DB46ACE"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6D723E58"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color w:val="000000"/>
          <w:kern w:val="0"/>
          <w:shd w:val="clear" w:color="auto" w:fill="FFFFFF"/>
          <w:lang w:eastAsia="pt-BR"/>
          <w14:ligatures w14:val="none"/>
        </w:rPr>
        <w:lastRenderedPageBreak/>
        <w:t xml:space="preserve">TOKIMURA, H. et al. </w:t>
      </w:r>
      <w:r w:rsidRPr="00003E63">
        <w:rPr>
          <w:rFonts w:ascii="Arial" w:eastAsia="Times New Roman" w:hAnsi="Arial" w:cs="Arial"/>
          <w:b/>
          <w:bCs/>
          <w:color w:val="000000"/>
          <w:kern w:val="0"/>
          <w:shd w:val="clear" w:color="auto" w:fill="FFFFFF"/>
          <w:lang w:eastAsia="pt-BR"/>
          <w14:ligatures w14:val="none"/>
        </w:rPr>
        <w:t>Speech-induced changes in corticospinal excitability.</w:t>
      </w:r>
      <w:r w:rsidRPr="00003E63">
        <w:rPr>
          <w:rFonts w:ascii="Arial" w:eastAsia="Times New Roman" w:hAnsi="Arial" w:cs="Arial"/>
          <w:color w:val="000000"/>
          <w:kern w:val="0"/>
          <w:shd w:val="clear" w:color="auto" w:fill="FFFFFF"/>
          <w:lang w:eastAsia="pt-BR"/>
          <w14:ligatures w14:val="none"/>
        </w:rPr>
        <w:t xml:space="preserve"> Annals of Neurology, v. 40, n. 4, p. 628–634, out. 1996. https://doi.org/10.1002/ana.410400413</w:t>
      </w:r>
    </w:p>
    <w:p w14:paraId="52CEAA2F" w14:textId="77777777" w:rsidR="00003E63" w:rsidRPr="00003E63" w:rsidRDefault="00003E63" w:rsidP="00003E63">
      <w:pPr>
        <w:spacing w:after="0" w:line="240" w:lineRule="auto"/>
        <w:rPr>
          <w:rFonts w:ascii="Times New Roman" w:eastAsia="Times New Roman" w:hAnsi="Times New Roman" w:cs="Times New Roman"/>
          <w:kern w:val="0"/>
          <w:sz w:val="24"/>
          <w:szCs w:val="24"/>
          <w:lang w:eastAsia="pt-BR"/>
          <w14:ligatures w14:val="none"/>
        </w:rPr>
      </w:pPr>
    </w:p>
    <w:p w14:paraId="5D639C6C" w14:textId="77777777" w:rsidR="00003E63" w:rsidRPr="00003E63" w:rsidRDefault="00003E63" w:rsidP="00003E63">
      <w:pPr>
        <w:spacing w:after="0" w:line="240" w:lineRule="auto"/>
        <w:jc w:val="both"/>
        <w:rPr>
          <w:rFonts w:ascii="Times New Roman" w:eastAsia="Times New Roman" w:hAnsi="Times New Roman" w:cs="Times New Roman"/>
          <w:kern w:val="0"/>
          <w:sz w:val="24"/>
          <w:szCs w:val="24"/>
          <w:lang w:eastAsia="pt-BR"/>
          <w14:ligatures w14:val="none"/>
        </w:rPr>
      </w:pPr>
      <w:r w:rsidRPr="00003E63">
        <w:rPr>
          <w:rFonts w:ascii="Arial" w:eastAsia="Times New Roman" w:hAnsi="Arial" w:cs="Arial"/>
          <w:b/>
          <w:bCs/>
          <w:color w:val="000000"/>
          <w:kern w:val="0"/>
          <w:lang w:eastAsia="pt-BR"/>
          <w14:ligatures w14:val="none"/>
        </w:rPr>
        <w:t>Useful Field of View Test.</w:t>
      </w:r>
      <w:r w:rsidRPr="00003E63">
        <w:rPr>
          <w:rFonts w:ascii="Arial" w:eastAsia="Times New Roman" w:hAnsi="Arial" w:cs="Arial"/>
          <w:color w:val="000000"/>
          <w:kern w:val="0"/>
          <w:lang w:eastAsia="pt-BR"/>
          <w14:ligatures w14:val="none"/>
        </w:rPr>
        <w:t xml:space="preserve"> CogniFit. 2023. Version No: 2023.1.</w:t>
      </w:r>
    </w:p>
    <w:p w14:paraId="4D3505E0" w14:textId="77777777" w:rsidR="00804874" w:rsidRDefault="00804874"/>
    <w:p w14:paraId="45FEBC47" w14:textId="77777777" w:rsidR="002F3619" w:rsidRDefault="002F3619"/>
    <w:p w14:paraId="0D15A0F8" w14:textId="4BB581C1" w:rsidR="002F3619" w:rsidRPr="002F3619" w:rsidRDefault="002F3619" w:rsidP="002F3619">
      <w:r w:rsidRPr="002F3619">
        <w:rPr>
          <w:b/>
          <w:bCs/>
        </w:rPr>
        <w:t>13. ANEXO</w:t>
      </w:r>
    </w:p>
    <w:p w14:paraId="11CD0BA9" w14:textId="77777777" w:rsidR="002F3619" w:rsidRPr="002F3619" w:rsidRDefault="002F3619" w:rsidP="002F3619"/>
    <w:p w14:paraId="02450367" w14:textId="35477D32" w:rsidR="002F3619" w:rsidRPr="002F3619" w:rsidRDefault="002F3619" w:rsidP="002F3619">
      <w:r w:rsidRPr="002F3619">
        <w:rPr>
          <w:b/>
          <w:bCs/>
        </w:rPr>
        <w:t>TABELA 1 - Psychomotor Vigilance Test Task Structure </w:t>
      </w:r>
      <w:r w:rsidRPr="002F3619">
        <w:drawing>
          <wp:inline distT="0" distB="0" distL="0" distR="0" wp14:anchorId="4E112DAA" wp14:editId="0D39A89E">
            <wp:extent cx="5400040" cy="1247140"/>
            <wp:effectExtent l="0" t="0" r="0" b="0"/>
            <wp:docPr id="725749212" name="Imagem 8"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49212" name="Imagem 8" descr="Tabela&#10;&#10;O conteúdo gerado por IA pode estar incorre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247140"/>
                    </a:xfrm>
                    <a:prstGeom prst="rect">
                      <a:avLst/>
                    </a:prstGeom>
                    <a:noFill/>
                    <a:ln>
                      <a:noFill/>
                    </a:ln>
                  </pic:spPr>
                </pic:pic>
              </a:graphicData>
            </a:graphic>
          </wp:inline>
        </w:drawing>
      </w:r>
    </w:p>
    <w:p w14:paraId="18A92594" w14:textId="77777777" w:rsidR="002F3619" w:rsidRPr="002F3619" w:rsidRDefault="002F3619" w:rsidP="002F3619">
      <w:r w:rsidRPr="002F3619">
        <w:t>Fonte: Psychomotor Vigilance Test. CogniFit. 2022. Version No: 2022.1.</w:t>
      </w:r>
    </w:p>
    <w:p w14:paraId="2C135145" w14:textId="77777777" w:rsidR="002F3619" w:rsidRPr="002F3619" w:rsidRDefault="002F3619" w:rsidP="002F3619"/>
    <w:p w14:paraId="7C2187E0" w14:textId="1EB8D4D3" w:rsidR="002F3619" w:rsidRPr="002F3619" w:rsidRDefault="002F3619" w:rsidP="002F3619">
      <w:r w:rsidRPr="002F3619">
        <w:rPr>
          <w:b/>
          <w:bCs/>
        </w:rPr>
        <w:t>TABELA 2 - Useful Field of View Test Task Structure </w:t>
      </w:r>
      <w:r w:rsidRPr="002F3619">
        <w:drawing>
          <wp:inline distT="0" distB="0" distL="0" distR="0" wp14:anchorId="0411AC00" wp14:editId="78066B6B">
            <wp:extent cx="5400040" cy="2579370"/>
            <wp:effectExtent l="0" t="0" r="0" b="0"/>
            <wp:docPr id="2112191773" name="Imagem 7"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91773" name="Imagem 7" descr="Tabela&#10;&#10;O conteúdo gerado por IA pode estar incorre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579370"/>
                    </a:xfrm>
                    <a:prstGeom prst="rect">
                      <a:avLst/>
                    </a:prstGeom>
                    <a:noFill/>
                    <a:ln>
                      <a:noFill/>
                    </a:ln>
                  </pic:spPr>
                </pic:pic>
              </a:graphicData>
            </a:graphic>
          </wp:inline>
        </w:drawing>
      </w:r>
    </w:p>
    <w:p w14:paraId="5108342D" w14:textId="77777777" w:rsidR="002F3619" w:rsidRPr="002F3619" w:rsidRDefault="002F3619" w:rsidP="002F3619">
      <w:r w:rsidRPr="002F3619">
        <w:t>Fonte: Useful Field of View Test. CogniFit. 2023. Version No: 2023.1.</w:t>
      </w:r>
    </w:p>
    <w:p w14:paraId="42C67585" w14:textId="77777777" w:rsidR="002F3619" w:rsidRPr="002F3619" w:rsidRDefault="002F3619" w:rsidP="002F3619"/>
    <w:p w14:paraId="52973A9E" w14:textId="72CAE8FD" w:rsidR="002F3619" w:rsidRPr="002F3619" w:rsidRDefault="002F3619" w:rsidP="002F3619">
      <w:r w:rsidRPr="002F3619">
        <w:rPr>
          <w:b/>
          <w:bCs/>
        </w:rPr>
        <w:lastRenderedPageBreak/>
        <w:t>TABELA 3 - Divided Attention Test Task Structure </w:t>
      </w:r>
      <w:r w:rsidRPr="002F3619">
        <w:drawing>
          <wp:inline distT="0" distB="0" distL="0" distR="0" wp14:anchorId="35003C4A" wp14:editId="2953E6A7">
            <wp:extent cx="5400040" cy="1114425"/>
            <wp:effectExtent l="0" t="0" r="0" b="9525"/>
            <wp:docPr id="918961320" name="Imagem 6"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61320" name="Imagem 6" descr="Tabela&#10;&#10;O conteúdo gerado por IA pode estar incorr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1114425"/>
                    </a:xfrm>
                    <a:prstGeom prst="rect">
                      <a:avLst/>
                    </a:prstGeom>
                    <a:noFill/>
                    <a:ln>
                      <a:noFill/>
                    </a:ln>
                  </pic:spPr>
                </pic:pic>
              </a:graphicData>
            </a:graphic>
          </wp:inline>
        </w:drawing>
      </w:r>
    </w:p>
    <w:p w14:paraId="2B1B467E" w14:textId="77777777" w:rsidR="002F3619" w:rsidRPr="002F3619" w:rsidRDefault="002F3619" w:rsidP="002F3619">
      <w:r w:rsidRPr="002F3619">
        <w:t>Fonte: Divided Attention Test. CogniFit. 2023. Version No: 2023.1.</w:t>
      </w:r>
    </w:p>
    <w:p w14:paraId="506C220B" w14:textId="77777777" w:rsidR="002F3619" w:rsidRPr="002F3619" w:rsidRDefault="002F3619" w:rsidP="002F3619">
      <w:r w:rsidRPr="002F3619">
        <w:br/>
      </w:r>
      <w:r w:rsidRPr="002F3619">
        <w:br/>
      </w:r>
      <w:r w:rsidRPr="002F3619">
        <w:br/>
      </w:r>
      <w:r w:rsidRPr="002F3619">
        <w:br/>
      </w:r>
    </w:p>
    <w:p w14:paraId="5F62EAC4" w14:textId="264EE9C9" w:rsidR="002F3619" w:rsidRPr="002F3619" w:rsidRDefault="002F3619" w:rsidP="002F3619">
      <w:r w:rsidRPr="002F3619">
        <w:rPr>
          <w:b/>
          <w:bCs/>
        </w:rPr>
        <w:t>TABELA 4 - Divided Attention Test Task Structure </w:t>
      </w:r>
      <w:r w:rsidRPr="002F3619">
        <w:drawing>
          <wp:inline distT="0" distB="0" distL="0" distR="0" wp14:anchorId="6515B6E0" wp14:editId="12C45509">
            <wp:extent cx="5400040" cy="3376930"/>
            <wp:effectExtent l="0" t="0" r="0" b="0"/>
            <wp:docPr id="290752972" name="Imagem 5"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52972" name="Imagem 5" descr="Tabel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3376930"/>
                    </a:xfrm>
                    <a:prstGeom prst="rect">
                      <a:avLst/>
                    </a:prstGeom>
                    <a:noFill/>
                    <a:ln>
                      <a:noFill/>
                    </a:ln>
                  </pic:spPr>
                </pic:pic>
              </a:graphicData>
            </a:graphic>
          </wp:inline>
        </w:drawing>
      </w:r>
    </w:p>
    <w:p w14:paraId="44180F30" w14:textId="77777777" w:rsidR="002F3619" w:rsidRPr="002F3619" w:rsidRDefault="002F3619" w:rsidP="002F3619">
      <w:r w:rsidRPr="002F3619">
        <w:t>Fonte: Divided Attention Test. CogniFit. 2023. Version No: 2023.1.</w:t>
      </w:r>
    </w:p>
    <w:p w14:paraId="3648DD36" w14:textId="77777777" w:rsidR="002F3619" w:rsidRDefault="002F3619"/>
    <w:sectPr w:rsidR="002F36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E76"/>
    <w:multiLevelType w:val="multilevel"/>
    <w:tmpl w:val="7F9C0A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83956"/>
    <w:multiLevelType w:val="multilevel"/>
    <w:tmpl w:val="8AD0B7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2706C"/>
    <w:multiLevelType w:val="multilevel"/>
    <w:tmpl w:val="572A5D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7F514A"/>
    <w:multiLevelType w:val="multilevel"/>
    <w:tmpl w:val="7B0E2E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1D004A"/>
    <w:multiLevelType w:val="multilevel"/>
    <w:tmpl w:val="A4EE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E62E2"/>
    <w:multiLevelType w:val="multilevel"/>
    <w:tmpl w:val="66EA7C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781091"/>
    <w:multiLevelType w:val="multilevel"/>
    <w:tmpl w:val="9E1874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4B70B5"/>
    <w:multiLevelType w:val="multilevel"/>
    <w:tmpl w:val="651C6E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D9228B"/>
    <w:multiLevelType w:val="multilevel"/>
    <w:tmpl w:val="A8404E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965163"/>
    <w:multiLevelType w:val="multilevel"/>
    <w:tmpl w:val="21726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427094"/>
    <w:multiLevelType w:val="multilevel"/>
    <w:tmpl w:val="40F6A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9D4C3C"/>
    <w:multiLevelType w:val="multilevel"/>
    <w:tmpl w:val="D0E6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5645765">
    <w:abstractNumId w:val="10"/>
  </w:num>
  <w:num w:numId="2" w16cid:durableId="554589601">
    <w:abstractNumId w:val="1"/>
    <w:lvlOverride w:ilvl="0">
      <w:lvl w:ilvl="0">
        <w:numFmt w:val="decimal"/>
        <w:lvlText w:val="%1."/>
        <w:lvlJc w:val="left"/>
      </w:lvl>
    </w:lvlOverride>
  </w:num>
  <w:num w:numId="3" w16cid:durableId="1652372158">
    <w:abstractNumId w:val="1"/>
    <w:lvlOverride w:ilvl="0">
      <w:lvl w:ilvl="0">
        <w:numFmt w:val="decimal"/>
        <w:lvlText w:val="%1."/>
        <w:lvlJc w:val="left"/>
      </w:lvl>
    </w:lvlOverride>
  </w:num>
  <w:num w:numId="4" w16cid:durableId="677201068">
    <w:abstractNumId w:val="1"/>
    <w:lvlOverride w:ilvl="0">
      <w:lvl w:ilvl="0">
        <w:numFmt w:val="decimal"/>
        <w:lvlText w:val="%1."/>
        <w:lvlJc w:val="left"/>
      </w:lvl>
    </w:lvlOverride>
  </w:num>
  <w:num w:numId="5" w16cid:durableId="1893030414">
    <w:abstractNumId w:val="1"/>
    <w:lvlOverride w:ilvl="0">
      <w:lvl w:ilvl="0">
        <w:numFmt w:val="decimal"/>
        <w:lvlText w:val="%1."/>
        <w:lvlJc w:val="left"/>
      </w:lvl>
    </w:lvlOverride>
  </w:num>
  <w:num w:numId="6" w16cid:durableId="9912450">
    <w:abstractNumId w:val="1"/>
    <w:lvlOverride w:ilvl="0">
      <w:lvl w:ilvl="0">
        <w:numFmt w:val="decimal"/>
        <w:lvlText w:val="%1."/>
        <w:lvlJc w:val="left"/>
      </w:lvl>
    </w:lvlOverride>
  </w:num>
  <w:num w:numId="7" w16cid:durableId="892038973">
    <w:abstractNumId w:val="1"/>
    <w:lvlOverride w:ilvl="0">
      <w:lvl w:ilvl="0">
        <w:numFmt w:val="decimal"/>
        <w:lvlText w:val="%1."/>
        <w:lvlJc w:val="left"/>
      </w:lvl>
    </w:lvlOverride>
  </w:num>
  <w:num w:numId="8" w16cid:durableId="1158619215">
    <w:abstractNumId w:val="1"/>
    <w:lvlOverride w:ilvl="0">
      <w:lvl w:ilvl="0">
        <w:numFmt w:val="decimal"/>
        <w:lvlText w:val="%1."/>
        <w:lvlJc w:val="left"/>
      </w:lvl>
    </w:lvlOverride>
  </w:num>
  <w:num w:numId="9" w16cid:durableId="635919220">
    <w:abstractNumId w:val="11"/>
  </w:num>
  <w:num w:numId="10" w16cid:durableId="2118716101">
    <w:abstractNumId w:val="4"/>
  </w:num>
  <w:num w:numId="11" w16cid:durableId="1788383">
    <w:abstractNumId w:val="9"/>
  </w:num>
  <w:num w:numId="12" w16cid:durableId="1069380137">
    <w:abstractNumId w:val="5"/>
    <w:lvlOverride w:ilvl="0">
      <w:lvl w:ilvl="0">
        <w:numFmt w:val="decimal"/>
        <w:lvlText w:val="%1."/>
        <w:lvlJc w:val="left"/>
      </w:lvl>
    </w:lvlOverride>
  </w:num>
  <w:num w:numId="13" w16cid:durableId="1198202320">
    <w:abstractNumId w:val="3"/>
    <w:lvlOverride w:ilvl="0">
      <w:lvl w:ilvl="0">
        <w:numFmt w:val="decimal"/>
        <w:lvlText w:val="%1."/>
        <w:lvlJc w:val="left"/>
      </w:lvl>
    </w:lvlOverride>
  </w:num>
  <w:num w:numId="14" w16cid:durableId="1339577807">
    <w:abstractNumId w:val="2"/>
    <w:lvlOverride w:ilvl="0">
      <w:lvl w:ilvl="0">
        <w:numFmt w:val="decimal"/>
        <w:lvlText w:val="%1."/>
        <w:lvlJc w:val="left"/>
      </w:lvl>
    </w:lvlOverride>
  </w:num>
  <w:num w:numId="15" w16cid:durableId="1166046009">
    <w:abstractNumId w:val="0"/>
    <w:lvlOverride w:ilvl="0">
      <w:lvl w:ilvl="0">
        <w:numFmt w:val="decimal"/>
        <w:lvlText w:val="%1."/>
        <w:lvlJc w:val="left"/>
      </w:lvl>
    </w:lvlOverride>
  </w:num>
  <w:num w:numId="16" w16cid:durableId="554507554">
    <w:abstractNumId w:val="8"/>
    <w:lvlOverride w:ilvl="0">
      <w:lvl w:ilvl="0">
        <w:numFmt w:val="decimal"/>
        <w:lvlText w:val="%1."/>
        <w:lvlJc w:val="left"/>
      </w:lvl>
    </w:lvlOverride>
  </w:num>
  <w:num w:numId="17" w16cid:durableId="1494955847">
    <w:abstractNumId w:val="7"/>
    <w:lvlOverride w:ilvl="0">
      <w:lvl w:ilvl="0">
        <w:numFmt w:val="decimal"/>
        <w:lvlText w:val="%1."/>
        <w:lvlJc w:val="left"/>
      </w:lvl>
    </w:lvlOverride>
  </w:num>
  <w:num w:numId="18" w16cid:durableId="2107335879">
    <w:abstractNumId w:val="6"/>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E63"/>
    <w:rsid w:val="00003E63"/>
    <w:rsid w:val="00063535"/>
    <w:rsid w:val="002F3619"/>
    <w:rsid w:val="00603A92"/>
    <w:rsid w:val="00780C7D"/>
    <w:rsid w:val="007C594F"/>
    <w:rsid w:val="00804874"/>
    <w:rsid w:val="00FC0E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BC646"/>
  <w15:chartTrackingRefBased/>
  <w15:docId w15:val="{4FF725EF-E99F-45B2-8106-5C2AE09A0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03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03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03E6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03E6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03E6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03E6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03E6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03E6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03E63"/>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03E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03E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03E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03E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03E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03E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03E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03E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03E63"/>
    <w:rPr>
      <w:rFonts w:eastAsiaTheme="majorEastAsia" w:cstheme="majorBidi"/>
      <w:color w:val="272727" w:themeColor="text1" w:themeTint="D8"/>
    </w:rPr>
  </w:style>
  <w:style w:type="paragraph" w:styleId="Ttulo">
    <w:name w:val="Title"/>
    <w:basedOn w:val="Normal"/>
    <w:next w:val="Normal"/>
    <w:link w:val="TtuloChar"/>
    <w:uiPriority w:val="10"/>
    <w:qFormat/>
    <w:rsid w:val="00003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03E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03E6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03E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03E63"/>
    <w:pPr>
      <w:spacing w:before="160"/>
      <w:jc w:val="center"/>
    </w:pPr>
    <w:rPr>
      <w:i/>
      <w:iCs/>
      <w:color w:val="404040" w:themeColor="text1" w:themeTint="BF"/>
    </w:rPr>
  </w:style>
  <w:style w:type="character" w:customStyle="1" w:styleId="CitaoChar">
    <w:name w:val="Citação Char"/>
    <w:basedOn w:val="Fontepargpadro"/>
    <w:link w:val="Citao"/>
    <w:uiPriority w:val="29"/>
    <w:rsid w:val="00003E63"/>
    <w:rPr>
      <w:i/>
      <w:iCs/>
      <w:color w:val="404040" w:themeColor="text1" w:themeTint="BF"/>
    </w:rPr>
  </w:style>
  <w:style w:type="paragraph" w:styleId="PargrafodaLista">
    <w:name w:val="List Paragraph"/>
    <w:basedOn w:val="Normal"/>
    <w:uiPriority w:val="34"/>
    <w:qFormat/>
    <w:rsid w:val="00003E63"/>
    <w:pPr>
      <w:ind w:left="720"/>
      <w:contextualSpacing/>
    </w:pPr>
  </w:style>
  <w:style w:type="character" w:styleId="nfaseIntensa">
    <w:name w:val="Intense Emphasis"/>
    <w:basedOn w:val="Fontepargpadro"/>
    <w:uiPriority w:val="21"/>
    <w:qFormat/>
    <w:rsid w:val="00003E63"/>
    <w:rPr>
      <w:i/>
      <w:iCs/>
      <w:color w:val="0F4761" w:themeColor="accent1" w:themeShade="BF"/>
    </w:rPr>
  </w:style>
  <w:style w:type="paragraph" w:styleId="CitaoIntensa">
    <w:name w:val="Intense Quote"/>
    <w:basedOn w:val="Normal"/>
    <w:next w:val="Normal"/>
    <w:link w:val="CitaoIntensaChar"/>
    <w:uiPriority w:val="30"/>
    <w:qFormat/>
    <w:rsid w:val="00003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03E63"/>
    <w:rPr>
      <w:i/>
      <w:iCs/>
      <w:color w:val="0F4761" w:themeColor="accent1" w:themeShade="BF"/>
    </w:rPr>
  </w:style>
  <w:style w:type="character" w:styleId="RefernciaIntensa">
    <w:name w:val="Intense Reference"/>
    <w:basedOn w:val="Fontepargpadro"/>
    <w:uiPriority w:val="32"/>
    <w:qFormat/>
    <w:rsid w:val="00003E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387516">
      <w:bodyDiv w:val="1"/>
      <w:marLeft w:val="0"/>
      <w:marRight w:val="0"/>
      <w:marTop w:val="0"/>
      <w:marBottom w:val="0"/>
      <w:divBdr>
        <w:top w:val="none" w:sz="0" w:space="0" w:color="auto"/>
        <w:left w:val="none" w:sz="0" w:space="0" w:color="auto"/>
        <w:bottom w:val="none" w:sz="0" w:space="0" w:color="auto"/>
        <w:right w:val="none" w:sz="0" w:space="0" w:color="auto"/>
      </w:divBdr>
    </w:div>
    <w:div w:id="1957562803">
      <w:bodyDiv w:val="1"/>
      <w:marLeft w:val="0"/>
      <w:marRight w:val="0"/>
      <w:marTop w:val="0"/>
      <w:marBottom w:val="0"/>
      <w:divBdr>
        <w:top w:val="none" w:sz="0" w:space="0" w:color="auto"/>
        <w:left w:val="none" w:sz="0" w:space="0" w:color="auto"/>
        <w:bottom w:val="none" w:sz="0" w:space="0" w:color="auto"/>
        <w:right w:val="none" w:sz="0" w:space="0" w:color="auto"/>
      </w:divBdr>
    </w:div>
    <w:div w:id="2070420958">
      <w:bodyDiv w:val="1"/>
      <w:marLeft w:val="0"/>
      <w:marRight w:val="0"/>
      <w:marTop w:val="0"/>
      <w:marBottom w:val="0"/>
      <w:divBdr>
        <w:top w:val="none" w:sz="0" w:space="0" w:color="auto"/>
        <w:left w:val="none" w:sz="0" w:space="0" w:color="auto"/>
        <w:bottom w:val="none" w:sz="0" w:space="0" w:color="auto"/>
        <w:right w:val="none" w:sz="0" w:space="0" w:color="auto"/>
      </w:divBdr>
      <w:divsChild>
        <w:div w:id="2093237086">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22</Pages>
  <Words>5603</Words>
  <Characters>30262</Characters>
  <Application>Microsoft Office Word</Application>
  <DocSecurity>0</DocSecurity>
  <Lines>252</Lines>
  <Paragraphs>71</Paragraphs>
  <ScaleCrop>false</ScaleCrop>
  <Company/>
  <LinksUpToDate>false</LinksUpToDate>
  <CharactersWithSpaces>35794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Lisandra Martins</dc:creator>
  <cp:keywords/>
  <dc:description/>
  <cp:lastModifiedBy>Lisandra Martins</cp:lastModifiedBy>
  <cp:revision>3</cp:revision>
  <dcterms:created xsi:type="dcterms:W3CDTF">2025-04-14T17:09:00Z</dcterms:created>
  <dcterms:modified xsi:type="dcterms:W3CDTF">2025-04-14T17:29:00Z</dcterms:modified>
</cp:coreProperties>
</file>