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6" w:type="dxa"/>
        <w:tblLayout w:type="fixed"/>
        <w:tblLook w:val="04A0" w:firstRow="1" w:lastRow="0" w:firstColumn="1" w:lastColumn="0" w:noHBand="0" w:noVBand="1"/>
      </w:tblPr>
      <w:tblGrid>
        <w:gridCol w:w="1275"/>
        <w:gridCol w:w="8001"/>
      </w:tblGrid>
      <w:tr w:rsidR="000E71AC" w:rsidRPr="00C62706" w:rsidTr="000E71AC">
        <w:trPr>
          <w:trHeight w:val="1305"/>
        </w:trPr>
        <w:tc>
          <w:tcPr>
            <w:tcW w:w="1275" w:type="dxa"/>
            <w:vAlign w:val="center"/>
          </w:tcPr>
          <w:p w:rsidR="000E71AC" w:rsidRPr="00C62706" w:rsidRDefault="000E71AC" w:rsidP="000E71AC">
            <w:pPr>
              <w:rPr>
                <w:rFonts w:ascii="Arial" w:hAnsi="Arial" w:cs="Arial"/>
                <w:noProof w:val="0"/>
                <w:sz w:val="28"/>
                <w:szCs w:val="28"/>
              </w:rPr>
            </w:pPr>
            <w:r w:rsidRPr="00C62706">
              <w:rPr>
                <w:rFonts w:ascii="Arial" w:hAnsi="Arial" w:cs="Arial"/>
                <w:sz w:val="28"/>
                <w:szCs w:val="28"/>
                <w:lang w:eastAsia="pt-BR"/>
              </w:rPr>
              <w:drawing>
                <wp:inline distT="0" distB="0" distL="0" distR="0" wp14:anchorId="5C276602" wp14:editId="6E814785">
                  <wp:extent cx="644236" cy="706582"/>
                  <wp:effectExtent l="0" t="0" r="0" b="0"/>
                  <wp:docPr id="1" name="Imagem 1" descr="http://www.uerj.br/institucional/arquivos/logo_uerj_pb.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uerj.br/institucional/arquivos/logo_uerj_pb.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4236" cy="706582"/>
                          </a:xfrm>
                          <a:prstGeom prst="rect">
                            <a:avLst/>
                          </a:prstGeom>
                          <a:noFill/>
                          <a:ln>
                            <a:noFill/>
                          </a:ln>
                        </pic:spPr>
                      </pic:pic>
                    </a:graphicData>
                  </a:graphic>
                </wp:inline>
              </w:drawing>
            </w:r>
          </w:p>
        </w:tc>
        <w:tc>
          <w:tcPr>
            <w:tcW w:w="8001" w:type="dxa"/>
          </w:tcPr>
          <w:p w:rsidR="000E71AC" w:rsidRPr="00C62706" w:rsidRDefault="000E71AC" w:rsidP="000E71AC">
            <w:pPr>
              <w:spacing w:line="360" w:lineRule="auto"/>
              <w:ind w:left="-675"/>
              <w:jc w:val="center"/>
              <w:rPr>
                <w:rFonts w:ascii="Arial" w:hAnsi="Arial" w:cs="Arial"/>
                <w:sz w:val="28"/>
                <w:szCs w:val="28"/>
                <w:lang w:eastAsia="pt-BR"/>
              </w:rPr>
            </w:pPr>
            <w:r w:rsidRPr="00C62706">
              <w:rPr>
                <w:rFonts w:ascii="Arial" w:hAnsi="Arial" w:cs="Arial"/>
                <w:sz w:val="28"/>
                <w:szCs w:val="28"/>
                <w:lang w:eastAsia="pt-BR"/>
              </w:rPr>
              <w:t>Universidade do Estado do Rio de Janeiro</w:t>
            </w:r>
          </w:p>
          <w:p w:rsidR="000E71AC" w:rsidRPr="00C62706" w:rsidRDefault="000E71AC" w:rsidP="000E71AC">
            <w:pPr>
              <w:spacing w:line="360" w:lineRule="auto"/>
              <w:ind w:left="-675"/>
              <w:jc w:val="center"/>
              <w:rPr>
                <w:rFonts w:ascii="Arial" w:hAnsi="Arial" w:cs="Arial"/>
                <w:sz w:val="28"/>
                <w:szCs w:val="28"/>
                <w:lang w:eastAsia="pt-BR"/>
              </w:rPr>
            </w:pPr>
            <w:r w:rsidRPr="00C62706">
              <w:rPr>
                <w:rFonts w:ascii="Arial" w:hAnsi="Arial" w:cs="Arial"/>
                <w:sz w:val="28"/>
                <w:szCs w:val="28"/>
                <w:lang w:eastAsia="pt-BR"/>
              </w:rPr>
              <w:t>Centro de Educação e Humanidades</w:t>
            </w:r>
          </w:p>
          <w:p w:rsidR="000E71AC" w:rsidRPr="00C62706" w:rsidRDefault="000E71AC" w:rsidP="000E71AC">
            <w:pPr>
              <w:spacing w:line="360" w:lineRule="auto"/>
              <w:ind w:left="-675"/>
              <w:jc w:val="center"/>
              <w:rPr>
                <w:rFonts w:ascii="Arial" w:hAnsi="Arial" w:cs="Arial"/>
                <w:sz w:val="28"/>
                <w:szCs w:val="28"/>
                <w:lang w:eastAsia="pt-BR"/>
              </w:rPr>
            </w:pPr>
            <w:r w:rsidRPr="00C62706">
              <w:rPr>
                <w:rFonts w:ascii="Arial" w:hAnsi="Arial" w:cs="Arial"/>
                <w:sz w:val="28"/>
                <w:szCs w:val="28"/>
                <w:lang w:eastAsia="pt-BR"/>
              </w:rPr>
              <w:t>Instituto de Educação Física e Desporto</w:t>
            </w:r>
          </w:p>
        </w:tc>
      </w:tr>
    </w:tbl>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spacing w:after="0" w:line="360" w:lineRule="auto"/>
        <w:ind w:left="709"/>
        <w:jc w:val="center"/>
        <w:rPr>
          <w:rFonts w:ascii="Arial" w:hAnsi="Arial" w:cs="Arial"/>
          <w:sz w:val="28"/>
          <w:szCs w:val="28"/>
        </w:rPr>
      </w:pPr>
    </w:p>
    <w:p w:rsidR="000E71AC" w:rsidRPr="00C62706" w:rsidRDefault="000E71AC" w:rsidP="000E71AC">
      <w:pPr>
        <w:tabs>
          <w:tab w:val="center" w:pos="4252"/>
          <w:tab w:val="right" w:pos="8504"/>
        </w:tabs>
        <w:spacing w:line="360" w:lineRule="auto"/>
        <w:rPr>
          <w:rFonts w:ascii="Arial" w:hAnsi="Arial" w:cs="Arial"/>
          <w:sz w:val="28"/>
          <w:szCs w:val="28"/>
        </w:rPr>
      </w:pPr>
      <w:r w:rsidRPr="00C62706">
        <w:rPr>
          <w:rFonts w:ascii="Arial" w:hAnsi="Arial" w:cs="Arial"/>
          <w:sz w:val="28"/>
          <w:szCs w:val="28"/>
        </w:rPr>
        <w:tab/>
        <w:t>Lorena Cristina Ribeiro da Rosa</w:t>
      </w:r>
      <w:r w:rsidRPr="00C62706">
        <w:rPr>
          <w:rFonts w:ascii="Arial" w:hAnsi="Arial" w:cs="Arial"/>
          <w:sz w:val="28"/>
          <w:szCs w:val="28"/>
        </w:rPr>
        <w:tab/>
      </w:r>
    </w:p>
    <w:p w:rsidR="000E71AC" w:rsidRPr="00C62706" w:rsidRDefault="000E71AC" w:rsidP="000E71AC">
      <w:pPr>
        <w:spacing w:line="360" w:lineRule="auto"/>
        <w:jc w:val="center"/>
        <w:rPr>
          <w:rFonts w:ascii="Arial" w:hAnsi="Arial" w:cs="Arial"/>
          <w:sz w:val="28"/>
          <w:szCs w:val="28"/>
        </w:rPr>
      </w:pPr>
    </w:p>
    <w:p w:rsidR="000E71AC" w:rsidRPr="00C62706" w:rsidRDefault="000E71AC" w:rsidP="000E71AC">
      <w:pPr>
        <w:spacing w:line="360" w:lineRule="auto"/>
        <w:jc w:val="center"/>
        <w:rPr>
          <w:rFonts w:ascii="Arial" w:hAnsi="Arial" w:cs="Arial"/>
          <w:sz w:val="28"/>
          <w:szCs w:val="28"/>
        </w:rPr>
      </w:pPr>
    </w:p>
    <w:p w:rsidR="000E71AC" w:rsidRPr="00C62706" w:rsidRDefault="000E71AC" w:rsidP="000E71AC">
      <w:pPr>
        <w:spacing w:line="360" w:lineRule="auto"/>
        <w:jc w:val="center"/>
        <w:rPr>
          <w:rFonts w:ascii="Arial" w:hAnsi="Arial" w:cs="Arial"/>
          <w:strike/>
          <w:sz w:val="28"/>
          <w:szCs w:val="28"/>
        </w:rPr>
      </w:pPr>
      <w:r w:rsidRPr="00C62706">
        <w:rPr>
          <w:rFonts w:ascii="Arial" w:hAnsi="Arial" w:cs="Arial"/>
          <w:sz w:val="28"/>
          <w:szCs w:val="28"/>
        </w:rPr>
        <w:t>EFEITOS DO TREINAMENTO  RESISTIDO</w:t>
      </w:r>
      <w:r>
        <w:rPr>
          <w:rFonts w:ascii="Arial" w:hAnsi="Arial" w:cs="Arial"/>
          <w:sz w:val="28"/>
          <w:szCs w:val="28"/>
        </w:rPr>
        <w:t xml:space="preserve"> COMBINADO À</w:t>
      </w:r>
      <w:r w:rsidRPr="00C62706">
        <w:rPr>
          <w:rFonts w:ascii="Arial" w:hAnsi="Arial" w:cs="Arial"/>
          <w:sz w:val="28"/>
          <w:szCs w:val="28"/>
        </w:rPr>
        <w:t xml:space="preserve"> DA SUPLEMENTAÇÃO DE VITAMINA D</w:t>
      </w:r>
      <w:r>
        <w:rPr>
          <w:rFonts w:ascii="Arial" w:hAnsi="Arial" w:cs="Arial"/>
          <w:sz w:val="28"/>
          <w:szCs w:val="28"/>
        </w:rPr>
        <w:t xml:space="preserve"> NA COMPOSIÇÃO CORPORAL, FORÇA MUSCULAR E ESTADO INFLAMATÓRIO EM PESSOAS IDOSAS </w:t>
      </w:r>
      <w:r w:rsidRPr="00C62706">
        <w:rPr>
          <w:rFonts w:ascii="Arial" w:hAnsi="Arial" w:cs="Arial"/>
          <w:sz w:val="28"/>
          <w:szCs w:val="28"/>
        </w:rPr>
        <w:t>.</w:t>
      </w:r>
    </w:p>
    <w:p w:rsidR="000E71AC" w:rsidRPr="00C62706" w:rsidRDefault="000E71AC" w:rsidP="000E71AC">
      <w:pPr>
        <w:jc w:val="right"/>
        <w:rPr>
          <w:rFonts w:ascii="Arial" w:hAnsi="Arial" w:cs="Arial"/>
          <w:sz w:val="28"/>
          <w:szCs w:val="28"/>
        </w:rPr>
      </w:pPr>
    </w:p>
    <w:p w:rsidR="000E71AC" w:rsidRPr="00C62706" w:rsidRDefault="000E71AC" w:rsidP="000E71AC">
      <w:pPr>
        <w:jc w:val="right"/>
        <w:rPr>
          <w:rFonts w:ascii="Arial" w:hAnsi="Arial" w:cs="Arial"/>
          <w:sz w:val="28"/>
          <w:szCs w:val="28"/>
        </w:rPr>
      </w:pPr>
    </w:p>
    <w:p w:rsidR="000E71AC" w:rsidRPr="00C62706" w:rsidRDefault="000E71AC" w:rsidP="000E71AC">
      <w:pPr>
        <w:jc w:val="right"/>
        <w:rPr>
          <w:rFonts w:ascii="Arial" w:hAnsi="Arial" w:cs="Arial"/>
          <w:sz w:val="28"/>
          <w:szCs w:val="28"/>
        </w:rPr>
      </w:pPr>
      <w:r w:rsidRPr="00C62706">
        <w:rPr>
          <w:rFonts w:ascii="Arial" w:hAnsi="Arial" w:cs="Arial"/>
          <w:sz w:val="28"/>
          <w:szCs w:val="28"/>
        </w:rPr>
        <w:t>ORIENTADORA</w:t>
      </w:r>
    </w:p>
    <w:p w:rsidR="000E71AC" w:rsidRPr="00C62706" w:rsidRDefault="000E71AC" w:rsidP="000E71AC">
      <w:pPr>
        <w:jc w:val="right"/>
        <w:rPr>
          <w:rFonts w:ascii="Arial" w:hAnsi="Arial" w:cs="Arial"/>
          <w:sz w:val="28"/>
          <w:szCs w:val="28"/>
        </w:rPr>
      </w:pPr>
      <w:r w:rsidRPr="00C62706">
        <w:rPr>
          <w:rFonts w:ascii="Arial" w:hAnsi="Arial" w:cs="Arial"/>
          <w:sz w:val="28"/>
          <w:szCs w:val="28"/>
        </w:rPr>
        <w:t>Nádia Souza Lima da Silva</w:t>
      </w:r>
    </w:p>
    <w:p w:rsidR="000E71AC" w:rsidRPr="00C62706" w:rsidRDefault="000E71AC" w:rsidP="000E71AC">
      <w:pPr>
        <w:jc w:val="right"/>
        <w:rPr>
          <w:rFonts w:ascii="Arial" w:hAnsi="Arial" w:cs="Arial"/>
          <w:sz w:val="28"/>
          <w:szCs w:val="28"/>
        </w:rPr>
      </w:pPr>
      <w:r w:rsidRPr="00C62706">
        <w:rPr>
          <w:rFonts w:ascii="Arial" w:hAnsi="Arial" w:cs="Arial"/>
          <w:sz w:val="28"/>
          <w:szCs w:val="28"/>
        </w:rPr>
        <w:t>COORIENTADORA</w:t>
      </w:r>
    </w:p>
    <w:p w:rsidR="000E71AC" w:rsidRPr="00C62706" w:rsidRDefault="000E71AC" w:rsidP="000E71AC">
      <w:pPr>
        <w:jc w:val="right"/>
        <w:rPr>
          <w:rFonts w:ascii="Arial" w:hAnsi="Arial" w:cs="Arial"/>
          <w:sz w:val="28"/>
          <w:szCs w:val="28"/>
        </w:rPr>
      </w:pPr>
      <w:r w:rsidRPr="00C62706">
        <w:rPr>
          <w:rFonts w:ascii="Arial" w:hAnsi="Arial" w:cs="Arial"/>
          <w:sz w:val="28"/>
          <w:szCs w:val="28"/>
        </w:rPr>
        <w:t>Patrícia Maria Lourenço Dutra.</w:t>
      </w:r>
    </w:p>
    <w:p w:rsidR="000E71AC" w:rsidRPr="00C62706" w:rsidRDefault="000E71AC" w:rsidP="000E71AC">
      <w:pPr>
        <w:jc w:val="center"/>
        <w:rPr>
          <w:rFonts w:ascii="Arial" w:hAnsi="Arial" w:cs="Arial"/>
          <w:sz w:val="28"/>
          <w:szCs w:val="28"/>
        </w:rPr>
      </w:pPr>
    </w:p>
    <w:p w:rsidR="000E71AC" w:rsidRPr="00C62706" w:rsidRDefault="000E71AC" w:rsidP="000E71AC">
      <w:pPr>
        <w:jc w:val="center"/>
        <w:rPr>
          <w:rFonts w:ascii="Arial" w:hAnsi="Arial" w:cs="Arial"/>
          <w:sz w:val="28"/>
          <w:szCs w:val="28"/>
        </w:rPr>
      </w:pPr>
    </w:p>
    <w:p w:rsidR="000E71AC" w:rsidRPr="00C62706" w:rsidRDefault="000E71AC" w:rsidP="000E71AC">
      <w:pPr>
        <w:jc w:val="center"/>
        <w:rPr>
          <w:rFonts w:ascii="Arial" w:hAnsi="Arial" w:cs="Arial"/>
          <w:sz w:val="28"/>
          <w:szCs w:val="28"/>
        </w:rPr>
      </w:pPr>
      <w:r w:rsidRPr="00C62706">
        <w:rPr>
          <w:rFonts w:ascii="Arial" w:hAnsi="Arial" w:cs="Arial"/>
          <w:sz w:val="28"/>
          <w:szCs w:val="28"/>
        </w:rPr>
        <w:t>RIO DE JANEIRO</w:t>
      </w:r>
    </w:p>
    <w:p w:rsidR="000E71AC" w:rsidRDefault="000E71AC" w:rsidP="000E71AC">
      <w:pPr>
        <w:jc w:val="center"/>
        <w:rPr>
          <w:rFonts w:ascii="Arial" w:hAnsi="Arial" w:cs="Arial"/>
          <w:sz w:val="28"/>
          <w:szCs w:val="28"/>
        </w:rPr>
      </w:pPr>
      <w:r>
        <w:rPr>
          <w:rFonts w:ascii="Arial" w:hAnsi="Arial" w:cs="Arial"/>
          <w:sz w:val="28"/>
          <w:szCs w:val="28"/>
        </w:rPr>
        <w:t>2023</w:t>
      </w:r>
      <w:r w:rsidRPr="00C62706">
        <w:rPr>
          <w:rFonts w:ascii="Arial" w:hAnsi="Arial" w:cs="Arial"/>
          <w:sz w:val="28"/>
          <w:szCs w:val="28"/>
        </w:rPr>
        <w:t>.</w:t>
      </w:r>
    </w:p>
    <w:p w:rsidR="000E71AC" w:rsidRDefault="000E71AC" w:rsidP="000E71AC">
      <w:pPr>
        <w:rPr>
          <w:rFonts w:ascii="Arial" w:hAnsi="Arial" w:cs="Arial"/>
          <w:sz w:val="28"/>
          <w:szCs w:val="28"/>
        </w:rPr>
      </w:pPr>
      <w:r w:rsidRPr="000E71AC">
        <w:rPr>
          <w:rFonts w:ascii="Arial" w:hAnsi="Arial" w:cs="Arial"/>
          <w:sz w:val="28"/>
          <w:szCs w:val="28"/>
        </w:rPr>
        <w:lastRenderedPageBreak/>
        <w:t>SUMÁRIO</w:t>
      </w:r>
    </w:p>
    <w:tbl>
      <w:tblPr>
        <w:tblW w:w="8931" w:type="dxa"/>
        <w:tblInd w:w="-147" w:type="dxa"/>
        <w:tblLook w:val="04A0" w:firstRow="1" w:lastRow="0" w:firstColumn="1" w:lastColumn="0" w:noHBand="0" w:noVBand="1"/>
      </w:tblPr>
      <w:tblGrid>
        <w:gridCol w:w="1017"/>
        <w:gridCol w:w="7141"/>
        <w:gridCol w:w="773"/>
      </w:tblGrid>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1.</w:t>
            </w:r>
          </w:p>
        </w:tc>
        <w:tc>
          <w:tcPr>
            <w:tcW w:w="7141" w:type="dxa"/>
          </w:tcPr>
          <w:p w:rsidR="000E71AC" w:rsidRDefault="000E71AC" w:rsidP="000E71AC">
            <w:pPr>
              <w:rPr>
                <w:rFonts w:ascii="Arial" w:hAnsi="Arial" w:cs="Arial"/>
                <w:sz w:val="24"/>
                <w:szCs w:val="24"/>
              </w:rPr>
            </w:pPr>
            <w:r>
              <w:rPr>
                <w:rFonts w:ascii="Arial" w:hAnsi="Arial" w:cs="Arial"/>
                <w:sz w:val="24"/>
                <w:szCs w:val="24"/>
              </w:rPr>
              <w:t>INTRODUÇÃO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2</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w:t>
            </w:r>
          </w:p>
        </w:tc>
        <w:tc>
          <w:tcPr>
            <w:tcW w:w="7141" w:type="dxa"/>
          </w:tcPr>
          <w:p w:rsidR="000E71AC" w:rsidRDefault="000E71AC" w:rsidP="000E71AC">
            <w:pPr>
              <w:rPr>
                <w:rFonts w:ascii="Arial" w:hAnsi="Arial" w:cs="Arial"/>
                <w:sz w:val="24"/>
                <w:szCs w:val="24"/>
              </w:rPr>
            </w:pPr>
            <w:r>
              <w:rPr>
                <w:rFonts w:ascii="Arial" w:hAnsi="Arial" w:cs="Arial"/>
                <w:sz w:val="24"/>
                <w:szCs w:val="24"/>
              </w:rPr>
              <w:t>MÉTODOS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6</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2.1.</w:t>
            </w:r>
          </w:p>
        </w:tc>
        <w:tc>
          <w:tcPr>
            <w:tcW w:w="7141" w:type="dxa"/>
          </w:tcPr>
          <w:p w:rsidR="000E71AC" w:rsidRDefault="000E71AC" w:rsidP="000E71AC">
            <w:pPr>
              <w:rPr>
                <w:rFonts w:ascii="Arial" w:hAnsi="Arial" w:cs="Arial"/>
                <w:sz w:val="24"/>
                <w:szCs w:val="24"/>
              </w:rPr>
            </w:pPr>
            <w:r>
              <w:rPr>
                <w:rFonts w:ascii="Arial" w:hAnsi="Arial" w:cs="Arial"/>
                <w:sz w:val="24"/>
                <w:szCs w:val="24"/>
              </w:rPr>
              <w:t>Amostra ............................................................................................</w:t>
            </w:r>
          </w:p>
        </w:tc>
        <w:tc>
          <w:tcPr>
            <w:tcW w:w="773" w:type="dxa"/>
          </w:tcPr>
          <w:p w:rsidR="000E71AC" w:rsidRPr="006B6388" w:rsidRDefault="00586030" w:rsidP="000E71AC">
            <w:pPr>
              <w:rPr>
                <w:rFonts w:ascii="Arial" w:hAnsi="Arial" w:cs="Arial"/>
                <w:sz w:val="24"/>
                <w:szCs w:val="24"/>
              </w:rPr>
            </w:pPr>
            <w:r>
              <w:rPr>
                <w:rFonts w:ascii="Arial" w:hAnsi="Arial" w:cs="Arial"/>
                <w:sz w:val="24"/>
                <w:szCs w:val="24"/>
              </w:rPr>
              <w:t>10</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2.2.</w:t>
            </w:r>
          </w:p>
        </w:tc>
        <w:tc>
          <w:tcPr>
            <w:tcW w:w="7141" w:type="dxa"/>
          </w:tcPr>
          <w:p w:rsidR="000E71AC" w:rsidRDefault="000E71AC" w:rsidP="000E71AC">
            <w:pPr>
              <w:rPr>
                <w:rFonts w:ascii="Arial" w:hAnsi="Arial" w:cs="Arial"/>
                <w:sz w:val="24"/>
                <w:szCs w:val="24"/>
              </w:rPr>
            </w:pPr>
            <w:r>
              <w:rPr>
                <w:rFonts w:ascii="Arial" w:hAnsi="Arial" w:cs="Arial"/>
                <w:sz w:val="24"/>
                <w:szCs w:val="24"/>
              </w:rPr>
              <w:t>Desenho experimental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7</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2.3..</w:t>
            </w:r>
          </w:p>
        </w:tc>
        <w:tc>
          <w:tcPr>
            <w:tcW w:w="7141" w:type="dxa"/>
          </w:tcPr>
          <w:p w:rsidR="000E71AC" w:rsidRDefault="000E71AC" w:rsidP="000E71AC">
            <w:pPr>
              <w:rPr>
                <w:rFonts w:ascii="Arial" w:hAnsi="Arial" w:cs="Arial"/>
                <w:sz w:val="24"/>
                <w:szCs w:val="24"/>
              </w:rPr>
            </w:pPr>
            <w:r>
              <w:rPr>
                <w:rFonts w:ascii="Arial" w:hAnsi="Arial" w:cs="Arial"/>
                <w:sz w:val="24"/>
                <w:szCs w:val="24"/>
              </w:rPr>
              <w:t>Instrumento de coleta de dados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8</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2.3.1.</w:t>
            </w:r>
          </w:p>
        </w:tc>
        <w:tc>
          <w:tcPr>
            <w:tcW w:w="7141" w:type="dxa"/>
          </w:tcPr>
          <w:p w:rsidR="000E71AC" w:rsidRDefault="000E71AC" w:rsidP="000E71AC">
            <w:pPr>
              <w:rPr>
                <w:rFonts w:ascii="Arial" w:hAnsi="Arial" w:cs="Arial"/>
                <w:sz w:val="24"/>
                <w:szCs w:val="24"/>
              </w:rPr>
            </w:pPr>
            <w:r>
              <w:rPr>
                <w:rFonts w:ascii="Arial" w:hAnsi="Arial" w:cs="Arial"/>
                <w:sz w:val="24"/>
                <w:szCs w:val="24"/>
              </w:rPr>
              <w:t>Medidas de força muscular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8</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2.3.1.1.</w:t>
            </w:r>
          </w:p>
        </w:tc>
        <w:tc>
          <w:tcPr>
            <w:tcW w:w="7141" w:type="dxa"/>
          </w:tcPr>
          <w:p w:rsidR="000E71AC" w:rsidRDefault="000E71AC" w:rsidP="000E71AC">
            <w:pPr>
              <w:rPr>
                <w:rFonts w:ascii="Arial" w:hAnsi="Arial" w:cs="Arial"/>
                <w:sz w:val="24"/>
                <w:szCs w:val="24"/>
              </w:rPr>
            </w:pPr>
            <w:r>
              <w:rPr>
                <w:rFonts w:ascii="Arial" w:hAnsi="Arial" w:cs="Arial"/>
                <w:sz w:val="24"/>
                <w:szCs w:val="24"/>
              </w:rPr>
              <w:t>Teste de sentar e levantar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9</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2.3.1.2.</w:t>
            </w:r>
          </w:p>
        </w:tc>
        <w:tc>
          <w:tcPr>
            <w:tcW w:w="7141" w:type="dxa"/>
          </w:tcPr>
          <w:p w:rsidR="000E71AC" w:rsidRDefault="000E71AC" w:rsidP="000E71AC">
            <w:pPr>
              <w:rPr>
                <w:rFonts w:ascii="Arial" w:hAnsi="Arial" w:cs="Arial"/>
                <w:sz w:val="24"/>
                <w:szCs w:val="24"/>
              </w:rPr>
            </w:pPr>
            <w:r>
              <w:rPr>
                <w:rFonts w:ascii="Arial" w:hAnsi="Arial" w:cs="Arial"/>
                <w:sz w:val="24"/>
                <w:szCs w:val="24"/>
              </w:rPr>
              <w:t>Força de preensão manual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9</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2.4.</w:t>
            </w:r>
          </w:p>
        </w:tc>
        <w:tc>
          <w:tcPr>
            <w:tcW w:w="7141" w:type="dxa"/>
          </w:tcPr>
          <w:p w:rsidR="000E71AC" w:rsidRDefault="000E71AC" w:rsidP="000E71AC">
            <w:pPr>
              <w:rPr>
                <w:rFonts w:ascii="Arial" w:hAnsi="Arial" w:cs="Arial"/>
                <w:sz w:val="24"/>
                <w:szCs w:val="24"/>
              </w:rPr>
            </w:pPr>
            <w:r>
              <w:rPr>
                <w:rFonts w:ascii="Arial" w:hAnsi="Arial" w:cs="Arial"/>
                <w:sz w:val="24"/>
                <w:szCs w:val="24"/>
              </w:rPr>
              <w:t>Antropometria e composição corporal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10</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2.5.</w:t>
            </w:r>
          </w:p>
        </w:tc>
        <w:tc>
          <w:tcPr>
            <w:tcW w:w="7141" w:type="dxa"/>
          </w:tcPr>
          <w:p w:rsidR="000E71AC" w:rsidRDefault="000E71AC" w:rsidP="000E71AC">
            <w:pPr>
              <w:rPr>
                <w:rFonts w:ascii="Arial" w:hAnsi="Arial" w:cs="Arial"/>
                <w:sz w:val="24"/>
                <w:szCs w:val="24"/>
              </w:rPr>
            </w:pPr>
            <w:r>
              <w:rPr>
                <w:rFonts w:ascii="Arial" w:hAnsi="Arial" w:cs="Arial"/>
                <w:sz w:val="24"/>
                <w:szCs w:val="24"/>
              </w:rPr>
              <w:t>Vitamina D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10</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2.6.</w:t>
            </w:r>
          </w:p>
        </w:tc>
        <w:tc>
          <w:tcPr>
            <w:tcW w:w="7141" w:type="dxa"/>
          </w:tcPr>
          <w:p w:rsidR="000E71AC" w:rsidRDefault="000E71AC" w:rsidP="000E71AC">
            <w:pPr>
              <w:rPr>
                <w:rFonts w:ascii="Arial" w:hAnsi="Arial" w:cs="Arial"/>
                <w:sz w:val="24"/>
                <w:szCs w:val="24"/>
              </w:rPr>
            </w:pPr>
            <w:r>
              <w:rPr>
                <w:rFonts w:ascii="Arial" w:hAnsi="Arial" w:cs="Arial"/>
                <w:sz w:val="24"/>
                <w:szCs w:val="24"/>
              </w:rPr>
              <w:t>Marcadores inflamatórios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10</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2.7.</w:t>
            </w:r>
          </w:p>
        </w:tc>
        <w:tc>
          <w:tcPr>
            <w:tcW w:w="7141" w:type="dxa"/>
          </w:tcPr>
          <w:p w:rsidR="000E71AC" w:rsidRDefault="000E71AC" w:rsidP="000E71AC">
            <w:pPr>
              <w:rPr>
                <w:rFonts w:ascii="Arial" w:hAnsi="Arial" w:cs="Arial"/>
                <w:sz w:val="24"/>
                <w:szCs w:val="24"/>
              </w:rPr>
            </w:pPr>
            <w:r>
              <w:rPr>
                <w:rFonts w:ascii="Arial" w:hAnsi="Arial" w:cs="Arial"/>
                <w:sz w:val="24"/>
                <w:szCs w:val="24"/>
              </w:rPr>
              <w:t>Treinamento resistido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11</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 xml:space="preserve">2.8. </w:t>
            </w:r>
          </w:p>
        </w:tc>
        <w:tc>
          <w:tcPr>
            <w:tcW w:w="7141" w:type="dxa"/>
          </w:tcPr>
          <w:p w:rsidR="000E71AC" w:rsidRDefault="000E71AC" w:rsidP="000E71AC">
            <w:pPr>
              <w:rPr>
                <w:rFonts w:ascii="Arial" w:hAnsi="Arial" w:cs="Arial"/>
                <w:sz w:val="24"/>
                <w:szCs w:val="24"/>
              </w:rPr>
            </w:pPr>
            <w:r>
              <w:rPr>
                <w:rFonts w:ascii="Arial" w:hAnsi="Arial" w:cs="Arial"/>
                <w:sz w:val="24"/>
                <w:szCs w:val="24"/>
              </w:rPr>
              <w:t>Intervenção para o grupo controle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11</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2.9.</w:t>
            </w:r>
          </w:p>
        </w:tc>
        <w:tc>
          <w:tcPr>
            <w:tcW w:w="7141" w:type="dxa"/>
          </w:tcPr>
          <w:p w:rsidR="000E71AC" w:rsidRDefault="000E71AC" w:rsidP="000E71AC">
            <w:pPr>
              <w:rPr>
                <w:rFonts w:ascii="Arial" w:hAnsi="Arial" w:cs="Arial"/>
                <w:sz w:val="24"/>
                <w:szCs w:val="24"/>
              </w:rPr>
            </w:pPr>
            <w:r>
              <w:rPr>
                <w:rFonts w:ascii="Arial" w:hAnsi="Arial" w:cs="Arial"/>
                <w:sz w:val="24"/>
                <w:szCs w:val="24"/>
              </w:rPr>
              <w:t>Suplementação de vitamina d e placebo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11</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3.</w:t>
            </w:r>
          </w:p>
        </w:tc>
        <w:tc>
          <w:tcPr>
            <w:tcW w:w="7141" w:type="dxa"/>
          </w:tcPr>
          <w:p w:rsidR="000E71AC" w:rsidRDefault="000E71AC" w:rsidP="000E71AC">
            <w:pPr>
              <w:rPr>
                <w:rFonts w:ascii="Arial" w:hAnsi="Arial" w:cs="Arial"/>
                <w:sz w:val="24"/>
                <w:szCs w:val="24"/>
              </w:rPr>
            </w:pPr>
            <w:r>
              <w:rPr>
                <w:rFonts w:ascii="Arial" w:hAnsi="Arial" w:cs="Arial"/>
                <w:sz w:val="24"/>
                <w:szCs w:val="24"/>
              </w:rPr>
              <w:t>ANÁLISE DOS DADOS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12</w:t>
            </w:r>
          </w:p>
        </w:tc>
      </w:tr>
      <w:tr w:rsidR="000E71AC" w:rsidRPr="006B6388" w:rsidTr="000E71AC">
        <w:tc>
          <w:tcPr>
            <w:tcW w:w="1017" w:type="dxa"/>
          </w:tcPr>
          <w:p w:rsidR="000E71AC" w:rsidRDefault="000E71AC" w:rsidP="000E71AC">
            <w:pPr>
              <w:rPr>
                <w:rFonts w:ascii="Arial" w:hAnsi="Arial" w:cs="Arial"/>
                <w:sz w:val="24"/>
                <w:szCs w:val="24"/>
              </w:rPr>
            </w:pPr>
            <w:r>
              <w:rPr>
                <w:rFonts w:ascii="Arial" w:hAnsi="Arial" w:cs="Arial"/>
                <w:sz w:val="24"/>
                <w:szCs w:val="24"/>
              </w:rPr>
              <w:t>4.</w:t>
            </w:r>
          </w:p>
        </w:tc>
        <w:tc>
          <w:tcPr>
            <w:tcW w:w="7141" w:type="dxa"/>
          </w:tcPr>
          <w:p w:rsidR="000E71AC" w:rsidRDefault="000E71AC" w:rsidP="000E71AC">
            <w:pPr>
              <w:rPr>
                <w:rFonts w:ascii="Arial" w:hAnsi="Arial" w:cs="Arial"/>
                <w:sz w:val="24"/>
                <w:szCs w:val="24"/>
              </w:rPr>
            </w:pPr>
            <w:r>
              <w:rPr>
                <w:rFonts w:ascii="Arial" w:hAnsi="Arial" w:cs="Arial"/>
                <w:sz w:val="24"/>
                <w:szCs w:val="24"/>
              </w:rPr>
              <w:t>REFERÊNCIAS ................................................................................</w:t>
            </w:r>
          </w:p>
        </w:tc>
        <w:tc>
          <w:tcPr>
            <w:tcW w:w="773" w:type="dxa"/>
          </w:tcPr>
          <w:p w:rsidR="000E71AC" w:rsidRPr="006B6388" w:rsidRDefault="006F3397" w:rsidP="000E71AC">
            <w:pPr>
              <w:rPr>
                <w:rFonts w:ascii="Arial" w:hAnsi="Arial" w:cs="Arial"/>
                <w:sz w:val="24"/>
                <w:szCs w:val="24"/>
              </w:rPr>
            </w:pPr>
            <w:r>
              <w:rPr>
                <w:rFonts w:ascii="Arial" w:hAnsi="Arial" w:cs="Arial"/>
                <w:sz w:val="24"/>
                <w:szCs w:val="24"/>
              </w:rPr>
              <w:t>13</w:t>
            </w:r>
          </w:p>
        </w:tc>
      </w:tr>
    </w:tbl>
    <w:p w:rsidR="00586030" w:rsidRDefault="00586030" w:rsidP="00586030">
      <w:pPr>
        <w:rPr>
          <w:rFonts w:ascii="Arial" w:hAnsi="Arial" w:cs="Arial"/>
          <w:b/>
          <w:sz w:val="24"/>
          <w:szCs w:val="24"/>
        </w:rPr>
      </w:pPr>
      <w:bookmarkStart w:id="0" w:name="_GoBack"/>
      <w:bookmarkEnd w:id="0"/>
    </w:p>
    <w:p w:rsidR="00C844B4" w:rsidRDefault="00C844B4" w:rsidP="00586030">
      <w:pPr>
        <w:rPr>
          <w:rFonts w:ascii="Arial" w:hAnsi="Arial" w:cs="Arial"/>
          <w:b/>
          <w:sz w:val="24"/>
          <w:szCs w:val="24"/>
        </w:rPr>
        <w:sectPr w:rsidR="00C844B4" w:rsidSect="006F3397">
          <w:headerReference w:type="default" r:id="rId10"/>
          <w:pgSz w:w="11906" w:h="16838"/>
          <w:pgMar w:top="1417" w:right="1701" w:bottom="1417" w:left="1701" w:header="1134" w:footer="708" w:gutter="0"/>
          <w:pgNumType w:start="2"/>
          <w:cols w:space="708"/>
          <w:docGrid w:linePitch="360"/>
        </w:sectPr>
      </w:pPr>
      <w:r>
        <w:rPr>
          <w:rFonts w:ascii="Arial" w:hAnsi="Arial" w:cs="Arial"/>
          <w:b/>
          <w:sz w:val="24"/>
          <w:szCs w:val="24"/>
        </w:rPr>
        <w:br w:type="page"/>
      </w:r>
    </w:p>
    <w:p w:rsidR="00C844B4" w:rsidRDefault="00C844B4" w:rsidP="00586030">
      <w:pPr>
        <w:rPr>
          <w:rFonts w:ascii="Arial" w:hAnsi="Arial" w:cs="Arial"/>
          <w:b/>
          <w:sz w:val="24"/>
          <w:szCs w:val="24"/>
        </w:rPr>
      </w:pPr>
    </w:p>
    <w:p w:rsidR="000E71AC" w:rsidRPr="000E71AC" w:rsidRDefault="000E71AC" w:rsidP="00586030">
      <w:pPr>
        <w:rPr>
          <w:rFonts w:ascii="Arial" w:hAnsi="Arial" w:cs="Arial"/>
          <w:b/>
          <w:sz w:val="24"/>
          <w:szCs w:val="24"/>
        </w:rPr>
      </w:pPr>
      <w:r w:rsidRPr="000E71AC">
        <w:rPr>
          <w:rFonts w:ascii="Arial" w:hAnsi="Arial" w:cs="Arial"/>
          <w:b/>
          <w:sz w:val="24"/>
          <w:szCs w:val="24"/>
        </w:rPr>
        <w:t>INTRODUÇÃO</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O envelhecimento populacional é um fenômeno presente em quase todos os países do mundo e seu ritmo está aumentando exponencialmente em todo o planeta. No ano de 2015, a população mundial acima de 65 anos representava 900 milhões de habitantes e sua projeção para o ano de 2050 indica que essa parcela configurará 2 bilhões de pessoas (WHO, 2017).</w:t>
      </w:r>
      <w:r w:rsidRPr="000E71AC">
        <w:rPr>
          <w:rFonts w:ascii="Arial" w:hAnsi="Arial" w:cs="Arial"/>
          <w:sz w:val="24"/>
          <w:szCs w:val="24"/>
        </w:rPr>
        <w:tab/>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ab/>
        <w:t xml:space="preserve">O Brasil segue a tendência dos parâmetros mundiais, onde a população idosa cresceu 18% entre os anos de 2012 e 2017, correspondendo em valores absolutos à 24 e 30 milhões de indivíduos, respectivamente (IBGE, 2018). Devido a essa maior longevidade, faz-se necessário o entendimento satisfatório do processo de envelhecimento em busca de uma melhor qualidade de vida dessa população. </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ab/>
        <w:t>Nesse contexto, é importante assinalar os conceitos de senescência e senilidade afim de distinguir o processo fisiológico que ocorre com o avanço da idade e as patologias inerentes a essa condição. De acordo com Jacob (2016), senescência corresponde às mudanças próprias da ação do tempo, excluindo as condições de doenças, que implicam na perda progressiva da reserva funcional de modo que não prejudique as necessidades básicas para a manutenção da vida. Em contraponto, a senilidade diz respeito às doenças ocasionadas devido a essa perda fisiológica, sendo consideradas mecanismos fisiopatológicos decorrentes do envelhecimento. Cabe ressaltar que nem sempre a definição entre um quadro e outro acontece de modo claro, mas pode-se relatar que em condições de senilidade há perda considerável da qualidade de vida do idoso (JACOB, 2016; JACOB, 2006).</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ab/>
        <w:t>Já Da Costa et al (2016) definem o próprio envelhecimento como senescência ou deterioração gradativa das funções corporais, atribuindo a este fenômeno a perda da complexidade de uma vasta gama de processos fisiológicos e estruturas anatômicas, dentre os quais pode-se citar a hipertensão arterial, a diminuição do ritmo de passadas, a perda de visão, a dificuldade na manutenção da postura e a perda de massa muscular.</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lastRenderedPageBreak/>
        <w:tab/>
        <w:t>Dentre os processos incorporados à senilidade destaca-se no presente projeto a sarcopenia, caracterizada pela perda de massa muscular, que tende a ser substituída pelo aumento dos tecidos adiposo e conjuntivo (MAGKOS, 2012). Ressalta-se que o pico da condição de hipertrofia muscular dos seres humanos ocorre por volta dos 24 anos de idade e que após esse período sucede-se a perda gradativa de 10% da quantidade de músculo esquelético até os 50 anos de idade, e de mais 30% até a oitava década de vida (BUCH et al.</w:t>
      </w:r>
      <w:r w:rsidRPr="000E71AC">
        <w:rPr>
          <w:rFonts w:ascii="Arial" w:hAnsi="Arial" w:cs="Arial"/>
          <w:i/>
          <w:sz w:val="24"/>
          <w:szCs w:val="24"/>
        </w:rPr>
        <w:t>,</w:t>
      </w:r>
      <w:r w:rsidRPr="000E71AC">
        <w:rPr>
          <w:rFonts w:ascii="Arial" w:hAnsi="Arial" w:cs="Arial"/>
          <w:sz w:val="24"/>
          <w:szCs w:val="24"/>
        </w:rPr>
        <w:t xml:space="preserve"> 2016).</w:t>
      </w:r>
    </w:p>
    <w:p w:rsidR="000E71AC" w:rsidRPr="000E71AC" w:rsidRDefault="000E71AC" w:rsidP="000E71AC">
      <w:pPr>
        <w:spacing w:line="360" w:lineRule="auto"/>
        <w:jc w:val="both"/>
        <w:rPr>
          <w:rFonts w:ascii="Arial" w:hAnsi="Arial" w:cs="Arial"/>
          <w:sz w:val="24"/>
          <w:szCs w:val="24"/>
          <w:shd w:val="clear" w:color="auto" w:fill="FFFFFF"/>
        </w:rPr>
      </w:pPr>
      <w:r w:rsidRPr="000E71AC">
        <w:rPr>
          <w:rFonts w:ascii="Arial" w:hAnsi="Arial" w:cs="Arial"/>
          <w:sz w:val="24"/>
          <w:szCs w:val="24"/>
        </w:rPr>
        <w:tab/>
        <w:t>A sarcopenia em idosos é considerada primária por estar relacionada com o avanço da idade em si, todavia, pode ser de ordem secundária quando relacionada às doenças de forma distinta ou concomitante (ABBATECOLA et al.</w:t>
      </w:r>
      <w:r w:rsidRPr="000E71AC">
        <w:rPr>
          <w:rFonts w:ascii="Arial" w:hAnsi="Arial" w:cs="Arial"/>
          <w:i/>
          <w:sz w:val="24"/>
          <w:szCs w:val="24"/>
        </w:rPr>
        <w:t>,</w:t>
      </w:r>
      <w:r w:rsidRPr="000E71AC">
        <w:rPr>
          <w:rFonts w:ascii="Arial" w:hAnsi="Arial" w:cs="Arial"/>
          <w:sz w:val="24"/>
          <w:szCs w:val="24"/>
        </w:rPr>
        <w:t xml:space="preserve"> 2011). Quando trata-se da primeira condição, a perda de massa muscular é multifatorial, relativa a fatores mecânicos, hormonais, estilo de vida e de ordem psicológica </w:t>
      </w:r>
      <w:r w:rsidRPr="000E71AC">
        <w:rPr>
          <w:rFonts w:ascii="Arial" w:hAnsi="Arial" w:cs="Arial"/>
          <w:sz w:val="24"/>
          <w:szCs w:val="24"/>
          <w:shd w:val="clear" w:color="auto" w:fill="FFFFFF"/>
        </w:rPr>
        <w:t>(WANG; BAI, 2012).</w:t>
      </w:r>
    </w:p>
    <w:p w:rsidR="000E71AC" w:rsidRPr="000E71AC" w:rsidRDefault="000E71AC" w:rsidP="000E71AC">
      <w:pPr>
        <w:spacing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ab/>
        <w:t>Descobertas recentes relatam que além dos fatores fisiologicamente conhecidos, a perda de massa muscular provoca um quadro inflamatório crônico (SHARMA; DABUR</w:t>
      </w:r>
      <w:r w:rsidRPr="000E71AC">
        <w:rPr>
          <w:rFonts w:ascii="Arial" w:hAnsi="Arial" w:cs="Arial"/>
          <w:sz w:val="24"/>
          <w:szCs w:val="24"/>
        </w:rPr>
        <w:t xml:space="preserve">, 2018). </w:t>
      </w:r>
      <w:r w:rsidRPr="000E71AC">
        <w:rPr>
          <w:rFonts w:ascii="Arial" w:hAnsi="Arial" w:cs="Arial"/>
          <w:sz w:val="24"/>
          <w:szCs w:val="24"/>
          <w:shd w:val="clear" w:color="auto" w:fill="FFFFFF"/>
        </w:rPr>
        <w:t>Esse estado é desencadeado pela ação de citocinas pró-inflamatórias e pelo estresse oxidativo (KINOSHITA et al., 2018). A expressão aumentada do fator de necrose tumoral alfa (TNF</w:t>
      </w:r>
      <w:r w:rsidRPr="000E71AC">
        <w:rPr>
          <w:rFonts w:ascii="Arial" w:hAnsi="Arial" w:cs="Arial"/>
          <w:bCs/>
          <w:sz w:val="24"/>
          <w:szCs w:val="24"/>
          <w:shd w:val="clear" w:color="auto" w:fill="FFFFFF"/>
        </w:rPr>
        <w:t>-α</w:t>
      </w:r>
      <w:r w:rsidRPr="000E71AC">
        <w:rPr>
          <w:rFonts w:ascii="Arial" w:hAnsi="Arial" w:cs="Arial"/>
          <w:sz w:val="24"/>
          <w:szCs w:val="24"/>
          <w:shd w:val="clear" w:color="auto" w:fill="FFFFFF"/>
        </w:rPr>
        <w:t>) prejudica a síntese proteica no músculo, o que pode contribuir para a sarcopenia (CHOI, 2016). Lang et al. (2002) observaram, em estudo prospectivo de base populacional, o aumento de interleucina 6 (IL-6) e proteína C reativa (PCR) em células musculares e renais de indivíduos obesos.</w:t>
      </w:r>
    </w:p>
    <w:p w:rsidR="000E71AC" w:rsidRPr="000E71AC" w:rsidRDefault="000E71AC" w:rsidP="000E71AC">
      <w:pPr>
        <w:spacing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ab/>
        <w:t>Paralelamente ao processo de sarcopenia é comum observar o aumento do tecido adiposo, em especial o acúmulo de gordura visceral, fato que muitas vezes nem provoca alteração no Índice de Massa Corporal (IMC) com o passar da idade (CHOI, 2016). Baumgartner (2000), observando a concomitância desses dois fenômenos, pela primeira vez utilizou a terminologia obesidade sarcopênica para descrever esta condição.</w:t>
      </w:r>
    </w:p>
    <w:p w:rsidR="000E71AC" w:rsidRPr="000E71AC" w:rsidRDefault="000E71AC" w:rsidP="000E71AC">
      <w:pPr>
        <w:spacing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ab/>
        <w:t xml:space="preserve">A obesidade sarcopênica apresenta muitos mecanismos fisiopatológicos comuns às duas condições de forma independente, tais como: aumento da expressão de citocinas pró-inflamatórias, presença de infiltrado de macrófago, estresse oxidativo, alterações hormonais e resistência à ação da insulina. No </w:t>
      </w:r>
      <w:r w:rsidRPr="000E71AC">
        <w:rPr>
          <w:rFonts w:ascii="Arial" w:hAnsi="Arial" w:cs="Arial"/>
          <w:sz w:val="24"/>
          <w:szCs w:val="24"/>
          <w:shd w:val="clear" w:color="auto" w:fill="FFFFFF"/>
        </w:rPr>
        <w:lastRenderedPageBreak/>
        <w:t xml:space="preserve">entanto, esses fatores apresentam-se de modo potencializado em um quadro de obesidade sarcopênica (CHOI, 2016; ZUO, 2018). Nessas condições pode-se estabelecer que o aumento do acúmulo de gordura visceral também desencadeia um processo inflamatório, que induz a condições de sarcopenia </w:t>
      </w:r>
      <w:r w:rsidRPr="000E71AC">
        <w:rPr>
          <w:rFonts w:ascii="Arial" w:hAnsi="Arial" w:cs="Arial"/>
          <w:i/>
          <w:sz w:val="24"/>
          <w:szCs w:val="24"/>
          <w:shd w:val="clear" w:color="auto" w:fill="FFFFFF"/>
        </w:rPr>
        <w:t xml:space="preserve">per se. </w:t>
      </w:r>
      <w:r w:rsidRPr="000E71AC">
        <w:rPr>
          <w:rFonts w:ascii="Arial" w:hAnsi="Arial" w:cs="Arial"/>
          <w:sz w:val="24"/>
          <w:szCs w:val="24"/>
          <w:shd w:val="clear" w:color="auto" w:fill="FFFFFF"/>
        </w:rPr>
        <w:t>(GREGOR; HOTAMISLIGIL, 2011).  Kim e coautores (2014), em estudo longitudinal, observaram a obesidade visceral como preditor de condição de sarcopenia patológica em idosos.</w:t>
      </w:r>
    </w:p>
    <w:p w:rsidR="000E71AC" w:rsidRPr="000E71AC" w:rsidRDefault="000E71AC" w:rsidP="000E71AC">
      <w:pPr>
        <w:spacing w:line="360" w:lineRule="auto"/>
        <w:jc w:val="both"/>
        <w:rPr>
          <w:rFonts w:ascii="Arial" w:eastAsia="Times New Roman" w:hAnsi="Arial" w:cs="Arial"/>
          <w:sz w:val="24"/>
          <w:szCs w:val="24"/>
          <w:lang w:eastAsia="pt-BR"/>
        </w:rPr>
      </w:pPr>
      <w:r w:rsidRPr="000E71AC">
        <w:rPr>
          <w:rFonts w:ascii="Arial" w:hAnsi="Arial" w:cs="Arial"/>
          <w:sz w:val="24"/>
          <w:szCs w:val="24"/>
          <w:shd w:val="clear" w:color="auto" w:fill="FFFFFF"/>
        </w:rPr>
        <w:tab/>
        <w:t xml:space="preserve">Diante do exposto, percebe-se que tanto a condição de obesidade e de sarcopenia isoladas, como a de obesidade sarcopênica, estão relacionadas a um quadro inflamatório que tem como peculiaridade estabelecer-se de forma crônica, o que está  associado a distúrbios metabólicos, morbidade e mortalidade (CHOI, 2016). </w:t>
      </w:r>
      <w:r w:rsidRPr="000E71AC">
        <w:rPr>
          <w:rFonts w:ascii="Arial" w:eastAsia="Times New Roman" w:hAnsi="Arial" w:cs="Arial"/>
          <w:sz w:val="24"/>
          <w:szCs w:val="24"/>
          <w:lang w:eastAsia="pt-BR"/>
        </w:rPr>
        <w:t>Assim sendo, foi preconizado que a obesidade sarcopênica pode ter um impacto maior nas doenças metabólicas e na morbidade e mortalidade cardiovascular, do que a sarcopenia ou a obesidade isoladamente (</w:t>
      </w:r>
      <w:r w:rsidRPr="000E71AC">
        <w:rPr>
          <w:rFonts w:ascii="Arial" w:hAnsi="Arial" w:cs="Arial"/>
          <w:sz w:val="24"/>
          <w:szCs w:val="24"/>
          <w:shd w:val="clear" w:color="auto" w:fill="FFFFFF"/>
        </w:rPr>
        <w:t xml:space="preserve">WANNAMETHEE ATKINS, 2015; </w:t>
      </w:r>
      <w:r w:rsidRPr="000E71AC">
        <w:rPr>
          <w:rFonts w:ascii="Arial" w:eastAsia="Times New Roman" w:hAnsi="Arial" w:cs="Arial"/>
          <w:sz w:val="24"/>
          <w:szCs w:val="24"/>
          <w:lang w:eastAsia="pt-BR"/>
        </w:rPr>
        <w:t xml:space="preserve"> ZAMBONI et al., 2008). Para ratificar tal teoria, Tian e Xu  (2016), através de uma metanálise, mostraram que a obesidade sarcopênica aumenta em 24% o risco de mortalidade em idosos do que em pessoas da mesma faixa etária que não se encontram nessa condição, especialmente em homens.</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tab/>
        <w:t>Mais especificamente, Narici et al. (2010) observaram que também os danos histológicos oriundos dessa doença no músculo estriado, que são referentes ao acúmulo de gordura ectópica e tecido conjuntivo, configura o quadro de mioesteatose. Ainda no corpo muscular, foi observada a perda de fibra muscular, principalmente do tipo II, que é atribuída à perda ao declínio da produção de mitocôndrias, ATP e neurônios motores responsáveis pelas inervações dessas fibras (DAWSON-HUGHES et al.</w:t>
      </w:r>
      <w:r w:rsidRPr="000E71AC">
        <w:rPr>
          <w:rFonts w:ascii="Arial" w:eastAsia="Times New Roman" w:hAnsi="Arial" w:cs="Arial"/>
          <w:i/>
          <w:sz w:val="24"/>
          <w:szCs w:val="24"/>
          <w:lang w:eastAsia="pt-BR"/>
        </w:rPr>
        <w:t>,</w:t>
      </w:r>
      <w:r w:rsidRPr="000E71AC">
        <w:rPr>
          <w:rFonts w:ascii="Arial" w:eastAsia="Times New Roman" w:hAnsi="Arial" w:cs="Arial"/>
          <w:sz w:val="24"/>
          <w:szCs w:val="24"/>
          <w:lang w:eastAsia="pt-BR"/>
        </w:rPr>
        <w:t xml:space="preserve"> 2017).</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tab/>
        <w:t>Outro importante componente que sofre alterações em caso de obesidade sarcopênica é a Vitamina D, que exerce função determinante no sistema osteomuscular, pois sua carência provoca dores acentuadas e condição de fraqueza extrema (DAWSON-HUGHES et al.</w:t>
      </w:r>
      <w:r w:rsidRPr="000E71AC">
        <w:rPr>
          <w:rFonts w:ascii="Arial" w:eastAsia="Times New Roman" w:hAnsi="Arial" w:cs="Arial"/>
          <w:i/>
          <w:sz w:val="24"/>
          <w:szCs w:val="24"/>
          <w:lang w:eastAsia="pt-BR"/>
        </w:rPr>
        <w:t>,</w:t>
      </w:r>
      <w:r w:rsidRPr="000E71AC">
        <w:rPr>
          <w:rFonts w:ascii="Arial" w:eastAsia="Times New Roman" w:hAnsi="Arial" w:cs="Arial"/>
          <w:sz w:val="24"/>
          <w:szCs w:val="24"/>
          <w:lang w:eastAsia="pt-BR"/>
        </w:rPr>
        <w:t xml:space="preserve"> 2017). </w:t>
      </w:r>
    </w:p>
    <w:p w:rsidR="000E71AC" w:rsidRPr="000E71AC" w:rsidRDefault="000E71AC" w:rsidP="000E71AC">
      <w:pPr>
        <w:spacing w:after="0" w:line="360" w:lineRule="auto"/>
        <w:jc w:val="both"/>
        <w:rPr>
          <w:rFonts w:ascii="Arial" w:hAnsi="Arial" w:cs="Arial"/>
          <w:sz w:val="24"/>
          <w:szCs w:val="24"/>
        </w:rPr>
      </w:pPr>
      <w:r w:rsidRPr="000E71AC">
        <w:rPr>
          <w:rFonts w:ascii="Arial" w:eastAsia="Times New Roman" w:hAnsi="Arial" w:cs="Arial"/>
          <w:sz w:val="24"/>
          <w:szCs w:val="24"/>
          <w:lang w:eastAsia="pt-BR"/>
        </w:rPr>
        <w:tab/>
        <w:t xml:space="preserve">A relação entre obesidade e nível de Vitamina D é inversamente proporcional, especialmente em idosos, devido a diminuição do número de </w:t>
      </w:r>
      <w:r w:rsidRPr="000E71AC">
        <w:rPr>
          <w:rFonts w:ascii="Arial" w:eastAsia="Times New Roman" w:hAnsi="Arial" w:cs="Arial"/>
          <w:sz w:val="24"/>
          <w:szCs w:val="24"/>
          <w:lang w:eastAsia="pt-BR"/>
        </w:rPr>
        <w:lastRenderedPageBreak/>
        <w:t>receptores para essa vitamina em vários tecidos, incluindo o muscular (TAE et al., 2013). Através de biopsia muscular, Ceglia  et al.(2013) constataram que esses receptores padecem de perda mais vigorosa em fibras musculares do tipo II que, devido a essa redução, também sofre mais com a diminuição da sensibilidade do tecido em captar essa vitamina (</w:t>
      </w:r>
      <w:r w:rsidRPr="000E71AC">
        <w:rPr>
          <w:rFonts w:ascii="Arial" w:hAnsi="Arial" w:cs="Arial"/>
          <w:sz w:val="24"/>
          <w:szCs w:val="24"/>
        </w:rPr>
        <w:t>WALRAND, 2016).</w:t>
      </w:r>
    </w:p>
    <w:p w:rsidR="000E71AC" w:rsidRPr="000E71AC" w:rsidRDefault="000E71AC" w:rsidP="000E71AC">
      <w:pPr>
        <w:spacing w:after="0" w:line="360" w:lineRule="auto"/>
        <w:jc w:val="both"/>
        <w:rPr>
          <w:rFonts w:ascii="Arial" w:hAnsi="Arial" w:cs="Arial"/>
          <w:sz w:val="24"/>
          <w:szCs w:val="24"/>
        </w:rPr>
      </w:pPr>
      <w:r w:rsidRPr="000E71AC">
        <w:rPr>
          <w:rFonts w:ascii="Arial" w:hAnsi="Arial" w:cs="Arial"/>
          <w:sz w:val="24"/>
          <w:szCs w:val="24"/>
        </w:rPr>
        <w:tab/>
        <w:t>Um dos impactos negativos do processo relatado já foi apresentado por Mowé et al.,em 1999, quando realizaram uma pesquisa exploratória com 349 indivíduos com média de idade de 70 anos, mostrando que os idosos com níveis abaixo de 40nM/L de Vitamina D apresentavam piores condições de força manual, da capacidade de subir escadas e do deslocamento a pé. Por outro lado, Verhaar et al. (2000) ao ministrarem Vitamina D por seis meses para mulheres com idade média de 76 anos, com nível dessa vitamina  menor que 20 nmol/L, mostraram que o grupo da intervenção teve significativa melhora na força de extensão de joelho e distância percorrida a pé, quando comparado como grupo placebo.</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hAnsi="Arial" w:cs="Arial"/>
          <w:sz w:val="24"/>
          <w:szCs w:val="24"/>
        </w:rPr>
        <w:tab/>
        <w:t>Corroborando os resultados anteriores, um</w:t>
      </w:r>
      <w:r w:rsidRPr="000E71AC">
        <w:rPr>
          <w:rFonts w:ascii="Arial" w:eastAsia="Times New Roman" w:hAnsi="Arial" w:cs="Arial"/>
          <w:sz w:val="24"/>
          <w:szCs w:val="24"/>
          <w:lang w:eastAsia="pt-BR"/>
        </w:rPr>
        <w:t xml:space="preserve"> estudo realizado mais recentemente com idosas em condição inicial com deficiência de Vitamina D, tratadas com 4000UI dessa vitamina por dia, tiveram um aumento de receptores intramionucleares em fibras do tipo II, porém não no tipo I, enquanto a área de secção transversa do músculo aumentou consideravelmente (CEGLIA et al., 2013).</w:t>
      </w:r>
    </w:p>
    <w:p w:rsidR="000E71AC" w:rsidRPr="000E71AC" w:rsidRDefault="000E71AC" w:rsidP="000E71AC">
      <w:pPr>
        <w:shd w:val="clear" w:color="auto" w:fill="FFFFFF"/>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tab/>
        <w:t>Esse acréscimo na área de secção transversa das fibras musculares apresentado em estudos com suplementação de Vitamina D também pode ser percebido através do treinamento de força muscular nessa mesma população, além de outros efeitos positivos, como: promover a síntese proteica, a função neuromuscular e a sensibilidade à ação de insulina, além da diminuição da inflamação em caso de obesidade sarcopênica, ou mesmo na sarcopenia isoladamente (GROISSER et al.</w:t>
      </w:r>
      <w:r w:rsidRPr="000E71AC">
        <w:rPr>
          <w:rFonts w:ascii="Arial" w:eastAsia="Times New Roman" w:hAnsi="Arial" w:cs="Arial"/>
          <w:i/>
          <w:sz w:val="24"/>
          <w:szCs w:val="24"/>
          <w:lang w:eastAsia="pt-BR"/>
        </w:rPr>
        <w:t>,</w:t>
      </w:r>
      <w:r w:rsidRPr="000E71AC">
        <w:rPr>
          <w:rFonts w:ascii="Arial" w:eastAsia="Times New Roman" w:hAnsi="Arial" w:cs="Arial"/>
          <w:sz w:val="24"/>
          <w:szCs w:val="24"/>
          <w:lang w:eastAsia="pt-BR"/>
        </w:rPr>
        <w:t xml:space="preserve"> 2015). </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tab/>
        <w:t>Vasconcelos et al. (2016), por exemplo, realizaram treinamento de alta velocidade em idosos com obesidade sarcopênica e observaram efeitos discretamente melhores em relação ao emagrecimento e ganho de massa muscular, porém, as intensidades ideais do treinamento ainda não estão muito bem esclarecidas.</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lastRenderedPageBreak/>
        <w:tab/>
        <w:t xml:space="preserve">Consequentemente os benefícios já relatados na literatura, da suplementação da vitamina D e do treinamento de força muscular isoladamente sobre a condição de obesidade sarcopênica, tanto no que tange a melhoria da condição de força e hipertrofia muscular, como da qualidade de vida em idosos, pouco se sabe sobre os efeitos da combinação dessas duas variáveis sobre essa mesma população.  </w:t>
      </w:r>
    </w:p>
    <w:p w:rsidR="000E71AC" w:rsidRPr="000E71AC" w:rsidRDefault="000E71AC" w:rsidP="000E71AC">
      <w:pPr>
        <w:spacing w:after="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eastAsia="pt-BR"/>
        </w:rPr>
        <w:tab/>
        <w:t>Assim sendo, este estudo tem por objetivo verificar os efeitos do treinamento resistido combinado a suplementação de Vitamina D em idosos com obesidade sercopênica, mais especificamente, avaliar seus benefícios relativos à redução do tecido adiposo, aumento da força e da massa muscular e  diminuição do estado inflamatório em idosos.</w:t>
      </w:r>
    </w:p>
    <w:p w:rsidR="000E71AC" w:rsidRPr="000E71AC" w:rsidRDefault="000E71AC" w:rsidP="000E71AC">
      <w:pPr>
        <w:spacing w:after="0" w:line="360" w:lineRule="auto"/>
        <w:jc w:val="both"/>
        <w:rPr>
          <w:rFonts w:ascii="Arial" w:eastAsia="Times New Roman" w:hAnsi="Arial" w:cs="Arial"/>
          <w:sz w:val="24"/>
          <w:szCs w:val="24"/>
          <w:lang w:eastAsia="pt-BR"/>
        </w:rPr>
      </w:pPr>
    </w:p>
    <w:p w:rsidR="000E71AC" w:rsidRPr="000E71AC" w:rsidRDefault="000E71AC" w:rsidP="000E71AC">
      <w:pPr>
        <w:spacing w:line="360" w:lineRule="auto"/>
        <w:rPr>
          <w:rFonts w:ascii="Arial" w:hAnsi="Arial" w:cs="Arial"/>
          <w:b/>
          <w:sz w:val="24"/>
          <w:szCs w:val="24"/>
        </w:rPr>
      </w:pPr>
      <w:r w:rsidRPr="000E71AC">
        <w:rPr>
          <w:rFonts w:ascii="Arial" w:eastAsia="Times New Roman" w:hAnsi="Arial" w:cs="Arial"/>
          <w:b/>
          <w:sz w:val="24"/>
          <w:szCs w:val="24"/>
          <w:lang w:eastAsia="pt-BR"/>
        </w:rPr>
        <w:t>2</w:t>
      </w:r>
      <w:r w:rsidRPr="000E71AC">
        <w:rPr>
          <w:rFonts w:ascii="Arial" w:hAnsi="Arial" w:cs="Arial"/>
          <w:b/>
          <w:sz w:val="24"/>
          <w:szCs w:val="24"/>
        </w:rPr>
        <w:t>.  MÉTODOS</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ab/>
        <w:t>Esta pesquisa é caracterizada como um estudo clínico, randomizado e controlado, devido a intenção de estabelecer associação de causa e efeito entre as variáveis independentes (COUTINHO; CUNHA, 2005) treinamento de força e suplementação de vitamina D, com as variáveis dependentes que configuram um quadro de obesidade sarcopênica: força muscular, massa muscular, estado inflamatório e tecido adiposo.</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Este projeto foi aprovado pelo Comitê de Ética do Hospital Universitário Pedro Ernesto da Universidade do Estado do Rio de Janeiro (Parecer número 3.655.940).</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2.1. AMOSTRA</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Para determinação do número de sujeitos foi realizado um cálculo amostral com auxílio do software G*POWER. Como este é um estudo de comparação entre subgrupos que requer testes de hipóteses, a amostra foi calculada considerando o teste estatístico escolhido, as diferenças entre os grupos e as probabilidades associadas aos erros tipos I e II (MIOT, 2011). O cálculo realizado determinou o número de 64 idosos a serem distribuídos igualmente nos quatro  grupos. Essa amostra representa a probabilidade de rejeitar a hipótese nula em 85%. </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lastRenderedPageBreak/>
        <w:t>Voluntários de ambos os sexos comporão a amostra, que será dividida de forma aleatória, randomizada e duplamente cegada quanto à Vitamina D, em quatro grupos: Grupo experimental musculação e Vitamina D (GEMVD) – composto por idosos que serão submetidos ao treinamento de musculação e suplementação com Vitamina D; Grupo experimental musculação e placebo (GEMP) - composto por idosos que serão submetidos ao treinamento de musculação e placebo; Grupo controle sedentário e Vitamina D (GCSVD) – composto por idosos que não realizarão o treinamento de musculação e serão sujeitos a suplementação com Vitamina D; Grupo controle sedentário e placebo – composto por idosos que não realizarão o treinamento de musculação e tomarão placebo (GCSP). Todos os voluntários deverão assinar o termo de consentimento livre e esclarecido (TCLE), conforme determina a resolução 466 de 17 de dezembro de 2012 (MINISTÉRIO DA SAÚDE, CONSELHO NACIONAL DE SAÚDE, 2012).</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Para a seleção da amostra serão adotados os seguintes critérios de inclusão: a) ter 65 anos ou mais; b) não apresentar restrições médicas à prática de exercício físico; c) não apresentar deficiência motora ou cognitiva impeditiva da aplicação das avaliações previstas; d) não apresentar problemas osteomioarticulares que comprometam a realização dos testes e do treinamento físico; e) não possuir qualquer restrição médica para a ingesta de suplementação de Vitamina D; f) Não apresentar algum acometimento fisiológico que iniba ou diminua a absorção de Vitamina D, como cirurgia bariátrica ou doença inflamatória intestinal; g) não apresentar experiência prévia com as atividades propostas, ou estar ao menos três meses inativo(a); h) não utilizar previamente suplementação de Vitamina D; i) assinar o TCLE.  Como critério de exclusão adotar-se-á: a) não completar ao menos 80% das sessões de treino; b) não tomar ao menos 80% da suplementação de Vitamina D ou placebo; c) não realizar todos testes propostos. </w:t>
      </w:r>
    </w:p>
    <w:p w:rsidR="000E71AC" w:rsidRPr="000E71AC" w:rsidRDefault="000E71AC" w:rsidP="000E71AC">
      <w:pPr>
        <w:spacing w:line="360" w:lineRule="auto"/>
        <w:ind w:firstLine="709"/>
        <w:jc w:val="both"/>
        <w:rPr>
          <w:rFonts w:ascii="Arial" w:hAnsi="Arial" w:cs="Arial"/>
          <w:strike/>
          <w:sz w:val="24"/>
          <w:szCs w:val="24"/>
        </w:rPr>
      </w:pP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2.2. DESENHO EXPERIMENTAL</w:t>
      </w:r>
    </w:p>
    <w:p w:rsidR="000E71AC" w:rsidRPr="000E71AC" w:rsidRDefault="000E71AC" w:rsidP="000E71AC">
      <w:pPr>
        <w:spacing w:line="360" w:lineRule="auto"/>
        <w:jc w:val="both"/>
        <w:rPr>
          <w:rFonts w:ascii="Arial" w:hAnsi="Arial" w:cs="Arial"/>
          <w:sz w:val="24"/>
          <w:szCs w:val="24"/>
        </w:rPr>
      </w:pPr>
      <w:r w:rsidRPr="000E71AC">
        <w:rPr>
          <w:rFonts w:ascii="Arial" w:hAnsi="Arial" w:cs="Arial"/>
          <w:color w:val="ED7D31" w:themeColor="accent2"/>
          <w:sz w:val="24"/>
          <w:szCs w:val="24"/>
        </w:rPr>
        <w:tab/>
      </w:r>
      <w:r w:rsidRPr="000E71AC">
        <w:rPr>
          <w:rFonts w:ascii="Arial" w:hAnsi="Arial" w:cs="Arial"/>
          <w:sz w:val="24"/>
          <w:szCs w:val="24"/>
        </w:rPr>
        <w:t xml:space="preserve">Independentemente do grupo, todos os voluntários serão submetidos a avaliações antropométricas, da composição corporal, da força muscular e dos </w:t>
      </w:r>
      <w:r w:rsidRPr="000E71AC">
        <w:rPr>
          <w:rFonts w:ascii="Arial" w:hAnsi="Arial" w:cs="Arial"/>
          <w:sz w:val="24"/>
          <w:szCs w:val="24"/>
        </w:rPr>
        <w:lastRenderedPageBreak/>
        <w:t xml:space="preserve">níveis de Vitamina D e marcadores inflamatórios, antes e após intervenção de 16 semanas de treinamento resistido combinado a suplementação de Vitamina D ou placebo. Os testes pré e pós serão realizados em uma única visita ao laboratório, quando será coletada a amostra sanguínea para a avaliação da Vitamina D e marcadores inflamatórios e avaliados a massa corporal, a estatura </w:t>
      </w:r>
      <w:r w:rsidRPr="000E71AC">
        <w:rPr>
          <w:rFonts w:ascii="Arial" w:hAnsi="Arial" w:cs="Arial"/>
          <w:color w:val="ED7D31" w:themeColor="accent2"/>
          <w:sz w:val="24"/>
          <w:szCs w:val="24"/>
        </w:rPr>
        <w:t xml:space="preserve"> </w:t>
      </w:r>
      <w:r w:rsidRPr="000E71AC">
        <w:rPr>
          <w:rFonts w:ascii="Arial" w:hAnsi="Arial" w:cs="Arial"/>
          <w:sz w:val="24"/>
          <w:szCs w:val="24"/>
        </w:rPr>
        <w:t>a composição corporal e os testes de força de membros inferiores e superiores. Um segundo dia de visita será necessário somente para os grupos submetidos ao treinamento resistido, para determinação individualizada da carga de treino. Duas semanas de adaptação serão ministradas antes de iniciar o treinamento propriamente dito. Todo o desenho do estudo pode ser melhor visualizado na Figura 1.</w:t>
      </w:r>
    </w:p>
    <w:p w:rsidR="000E71AC" w:rsidRPr="000E71AC" w:rsidRDefault="000E71AC" w:rsidP="000E71AC">
      <w:pPr>
        <w:spacing w:line="360" w:lineRule="auto"/>
        <w:jc w:val="both"/>
        <w:rPr>
          <w:rFonts w:ascii="Arial" w:hAnsi="Arial" w:cs="Arial"/>
          <w:color w:val="ED7D31" w:themeColor="accent2"/>
          <w:sz w:val="24"/>
          <w:szCs w:val="24"/>
        </w:rPr>
      </w:pPr>
      <w:r w:rsidRPr="000E71AC">
        <w:rPr>
          <w:rFonts w:ascii="Arial" w:hAnsi="Arial" w:cs="Arial"/>
          <w:color w:val="ED7D31" w:themeColor="accent2"/>
          <w:sz w:val="24"/>
          <w:szCs w:val="24"/>
        </w:rPr>
        <w:tab/>
      </w:r>
    </w:p>
    <w:p w:rsidR="000E71AC" w:rsidRPr="000E71AC" w:rsidRDefault="000E71AC" w:rsidP="000E71AC">
      <w:pPr>
        <w:spacing w:line="360" w:lineRule="auto"/>
        <w:jc w:val="both"/>
        <w:rPr>
          <w:rFonts w:ascii="Arial" w:hAnsi="Arial" w:cs="Arial"/>
          <w:sz w:val="24"/>
          <w:szCs w:val="24"/>
        </w:rPr>
      </w:pPr>
      <w:r w:rsidRPr="000E71AC">
        <w:rPr>
          <w:rFonts w:ascii="Arial" w:hAnsi="Arial" w:cs="Arial"/>
          <w:color w:val="ED7D31" w:themeColor="accent2"/>
          <w:sz w:val="24"/>
          <w:szCs w:val="24"/>
        </w:rPr>
        <w:t xml:space="preserve"> </w:t>
      </w:r>
      <w:r w:rsidRPr="000E71AC">
        <w:rPr>
          <w:rFonts w:ascii="Arial" w:hAnsi="Arial" w:cs="Arial"/>
          <w:sz w:val="24"/>
          <w:szCs w:val="24"/>
        </w:rPr>
        <w:t xml:space="preserve">Figura 1 - Fluxograma do experimento </w:t>
      </w:r>
    </w:p>
    <w:p w:rsidR="000E71AC" w:rsidRPr="000E71AC" w:rsidRDefault="000E71AC" w:rsidP="000E71AC">
      <w:pPr>
        <w:spacing w:line="360" w:lineRule="auto"/>
        <w:jc w:val="both"/>
        <w:rPr>
          <w:rFonts w:ascii="Arial" w:hAnsi="Arial" w:cs="Arial"/>
          <w:color w:val="ED7D31" w:themeColor="accent2"/>
          <w:sz w:val="24"/>
          <w:szCs w:val="24"/>
        </w:rPr>
      </w:pPr>
      <w:r w:rsidRPr="000E71AC">
        <w:rPr>
          <w:rFonts w:ascii="Arial" w:hAnsi="Arial" w:cs="Arial"/>
          <w:color w:val="ED7D31" w:themeColor="accent2"/>
          <w:sz w:val="24"/>
          <w:szCs w:val="24"/>
          <w:lang w:eastAsia="pt-BR"/>
        </w:rPr>
        <w:drawing>
          <wp:inline distT="0" distB="0" distL="0" distR="0" wp14:anchorId="1D81DC10" wp14:editId="19E40E5B">
            <wp:extent cx="5591175" cy="3943350"/>
            <wp:effectExtent l="38100" t="19050" r="2857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2.3. INSTRUMENTO E COLETA DE DADOS</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2.3.1. Medidas de força muscular:</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lastRenderedPageBreak/>
        <w:t>A avaliação da força muscular dos membros inferiores acontecerá através do teste de sentar e levantar, enquanto dos membros superiores pela força de preensão manual.</w:t>
      </w:r>
    </w:p>
    <w:p w:rsidR="000E71AC" w:rsidRPr="000E71AC" w:rsidRDefault="000E71AC" w:rsidP="000E71AC">
      <w:pPr>
        <w:spacing w:line="360" w:lineRule="auto"/>
        <w:ind w:firstLine="709"/>
        <w:jc w:val="both"/>
        <w:rPr>
          <w:rFonts w:ascii="Arial" w:hAnsi="Arial" w:cs="Arial"/>
          <w:sz w:val="24"/>
          <w:szCs w:val="24"/>
        </w:rPr>
      </w:pPr>
    </w:p>
    <w:p w:rsidR="000E71AC" w:rsidRPr="000E71AC" w:rsidRDefault="000E71AC" w:rsidP="000E71AC">
      <w:pPr>
        <w:spacing w:line="360" w:lineRule="auto"/>
        <w:ind w:left="-680" w:firstLine="709"/>
        <w:jc w:val="both"/>
        <w:rPr>
          <w:rFonts w:ascii="Arial" w:hAnsi="Arial" w:cs="Arial"/>
          <w:sz w:val="24"/>
          <w:szCs w:val="24"/>
        </w:rPr>
      </w:pPr>
      <w:r w:rsidRPr="000E71AC">
        <w:rPr>
          <w:rFonts w:ascii="Arial" w:hAnsi="Arial" w:cs="Arial"/>
          <w:sz w:val="24"/>
          <w:szCs w:val="24"/>
        </w:rPr>
        <w:t>2.3.1.1.Teste de Sentar e Levantar</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O teste tem como objetivo avaliar a força e resistência dos membros inferiores. Para a realização da avaliação são necessários os seguintes instrumentos: cronômetro, cadeira com encosto e sem braços, com altura de assento de aproximadamente 43 cm. Por razões de segurança, a cadeira deve ser colocada contra uma parede, ou estabilizada de qualquer outro modo, evitando que se mova durante o teste.  </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A posição inicial do avaliado deverá ser sentado na cadeira com as costas totalmente aparada pelo  encosto, os  pés apoiados no chão e os braços cruzados no peito com o dedo médio em direção ao acrômio. Ao sinal do avaliador o participante deve erguer-se e ficar totalmente em pé e retornar a posição sentada, repetindo a ação pelo tempo de 30 segundos. O participante deve ser encorajado a completar tantas ações completas quanto possível no tempo estipulado.</w:t>
      </w:r>
    </w:p>
    <w:p w:rsidR="000E71AC" w:rsidRPr="000E71AC" w:rsidRDefault="000E71AC" w:rsidP="000E71AC">
      <w:pPr>
        <w:spacing w:line="360" w:lineRule="auto"/>
        <w:jc w:val="both"/>
        <w:rPr>
          <w:rFonts w:ascii="Arial" w:hAnsi="Arial" w:cs="Arial"/>
          <w:color w:val="FF0000"/>
          <w:sz w:val="24"/>
          <w:szCs w:val="24"/>
        </w:rPr>
      </w:pPr>
      <w:r w:rsidRPr="000E71AC">
        <w:rPr>
          <w:rFonts w:ascii="Arial" w:hAnsi="Arial" w:cs="Arial"/>
          <w:sz w:val="24"/>
          <w:szCs w:val="24"/>
        </w:rPr>
        <w:tab/>
        <w:t>O teste deverá ser realizado uma única vez e a pontuação é obtida pelo número total de execuções corretas no intervalo de 30 segundos. Se o participante estiver no meio da elevação no final dos 30 segundos, deve-se contar esta como uma execução (JONES,  et al.,1999).</w:t>
      </w:r>
    </w:p>
    <w:p w:rsidR="000E71AC" w:rsidRPr="000E71AC" w:rsidRDefault="000E71AC" w:rsidP="000E71AC">
      <w:pPr>
        <w:spacing w:line="360" w:lineRule="auto"/>
        <w:jc w:val="both"/>
        <w:rPr>
          <w:rFonts w:ascii="Arial" w:hAnsi="Arial" w:cs="Arial"/>
          <w:sz w:val="24"/>
          <w:szCs w:val="24"/>
        </w:rPr>
      </w:pPr>
    </w:p>
    <w:p w:rsidR="000E71AC" w:rsidRPr="000E71AC" w:rsidRDefault="000E71AC" w:rsidP="000E71AC">
      <w:pPr>
        <w:spacing w:line="360" w:lineRule="auto"/>
        <w:ind w:left="-680" w:firstLine="708"/>
        <w:jc w:val="both"/>
        <w:rPr>
          <w:rFonts w:ascii="Arial" w:hAnsi="Arial" w:cs="Arial"/>
          <w:sz w:val="24"/>
          <w:szCs w:val="24"/>
        </w:rPr>
      </w:pPr>
      <w:r w:rsidRPr="000E71AC">
        <w:rPr>
          <w:rFonts w:ascii="Arial" w:hAnsi="Arial" w:cs="Arial"/>
          <w:sz w:val="24"/>
          <w:szCs w:val="24"/>
        </w:rPr>
        <w:t>2.3.1.2. Força de preensão manual</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A força muscular de membros superiores será mensurada através do dinamômetro de preensão manual </w:t>
      </w:r>
      <w:r w:rsidRPr="000E71AC">
        <w:rPr>
          <w:rFonts w:ascii="Arial" w:hAnsi="Arial" w:cs="Arial"/>
          <w:sz w:val="24"/>
          <w:szCs w:val="24"/>
          <w:shd w:val="clear" w:color="auto" w:fill="FFFFFF"/>
        </w:rPr>
        <w:t>(JAMAR </w:t>
      </w:r>
      <w:r w:rsidRPr="000E71AC">
        <w:rPr>
          <w:rFonts w:ascii="Arial" w:hAnsi="Arial" w:cs="Arial"/>
          <w:i/>
          <w:iCs/>
          <w:sz w:val="24"/>
          <w:szCs w:val="24"/>
          <w:shd w:val="clear" w:color="auto" w:fill="FFFFFF"/>
        </w:rPr>
        <w:t>Hydraulic Hand Dynamometer</w:t>
      </w:r>
      <w:r w:rsidRPr="000E71AC">
        <w:rPr>
          <w:rFonts w:ascii="Arial" w:hAnsi="Arial" w:cs="Arial"/>
          <w:sz w:val="24"/>
          <w:szCs w:val="24"/>
          <w:shd w:val="clear" w:color="auto" w:fill="FFFFFF"/>
          <w:vertAlign w:val="superscript"/>
        </w:rPr>
        <w:t>® </w:t>
      </w:r>
      <w:r w:rsidRPr="000E71AC">
        <w:rPr>
          <w:rFonts w:ascii="Arial" w:hAnsi="Arial" w:cs="Arial"/>
          <w:i/>
          <w:iCs/>
          <w:sz w:val="24"/>
          <w:szCs w:val="24"/>
          <w:shd w:val="clear" w:color="auto" w:fill="FFFFFF"/>
        </w:rPr>
        <w:t>Model PC-5030J1, Fred Sammons, Inc., Burr Ridge, IL: USA</w:t>
      </w:r>
      <w:r w:rsidRPr="000E71AC">
        <w:rPr>
          <w:rFonts w:ascii="Arial" w:hAnsi="Arial" w:cs="Arial"/>
          <w:sz w:val="24"/>
          <w:szCs w:val="24"/>
          <w:shd w:val="clear" w:color="auto" w:fill="FFFFFF"/>
        </w:rPr>
        <w:t>)</w:t>
      </w:r>
      <w:r w:rsidRPr="000E71AC">
        <w:rPr>
          <w:rFonts w:ascii="Arial" w:hAnsi="Arial" w:cs="Arial"/>
          <w:sz w:val="24"/>
          <w:szCs w:val="24"/>
        </w:rPr>
        <w:t xml:space="preserve">, com capacidade de 100kg e relógio com precisão de 1kg. Para realização do teste o voluntário deverá estar sentado, com ambos os pés apoiados no chão e o membro superior envolvido no teste com o ombro em adução, cotovelo a 90º </w:t>
      </w:r>
      <w:r w:rsidRPr="000E71AC">
        <w:rPr>
          <w:rFonts w:ascii="Arial" w:hAnsi="Arial" w:cs="Arial"/>
          <w:sz w:val="24"/>
          <w:szCs w:val="24"/>
        </w:rPr>
        <w:lastRenderedPageBreak/>
        <w:t>e o antebraço em posição neutra. O teste será realizado do lado direito e constará de um aquecimento prévio de preensão manual submáxima. Posteriormente, serão executadas três medidas máximas, com 60 segundos de intervalo entre elas, onde a maior será considerada para a análise (GERALDES et al., 2008).</w:t>
      </w:r>
    </w:p>
    <w:p w:rsidR="000E71AC" w:rsidRPr="000E71AC" w:rsidRDefault="000E71AC" w:rsidP="000E71AC">
      <w:pPr>
        <w:spacing w:line="360" w:lineRule="auto"/>
        <w:jc w:val="both"/>
        <w:rPr>
          <w:rFonts w:ascii="Arial" w:hAnsi="Arial" w:cs="Arial"/>
          <w:sz w:val="24"/>
          <w:szCs w:val="24"/>
        </w:rPr>
      </w:pPr>
    </w:p>
    <w:p w:rsidR="000E71AC" w:rsidRPr="000E71AC" w:rsidRDefault="000E71AC" w:rsidP="000E71AC">
      <w:pPr>
        <w:spacing w:line="360" w:lineRule="auto"/>
        <w:jc w:val="both"/>
        <w:rPr>
          <w:rFonts w:ascii="Arial" w:hAnsi="Arial" w:cs="Arial"/>
          <w:strike/>
          <w:sz w:val="24"/>
          <w:szCs w:val="24"/>
        </w:rPr>
      </w:pPr>
      <w:r w:rsidRPr="000E71AC">
        <w:rPr>
          <w:rFonts w:ascii="Arial" w:hAnsi="Arial" w:cs="Arial"/>
          <w:sz w:val="24"/>
          <w:szCs w:val="24"/>
        </w:rPr>
        <w:t xml:space="preserve">2.4. Antropometria e Composição corporal </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Com os voluntários descalços e vestindo roupas leves,a massa corporal e a estatura serão determinados para caracterização dos sujeitos através de uma balança digital calibrada (Filizola, São Paulo, Brasil), com precisão de 0,1 kg, e um estadiômetro de parede graduado em milímetros, de acordo com as padronizações descritas por Martin, Carter, Hendye Malina (1988) e Gordon, Chunlea ; Roche (1988), respectivamente. A partir dessas medidas, o índice de massa corporal (IMC) será determinado pelo quociente massa corporal/(estatura)</w:t>
      </w:r>
      <w:r w:rsidRPr="000E71AC">
        <w:rPr>
          <w:rFonts w:ascii="Arial" w:hAnsi="Arial" w:cs="Arial"/>
          <w:sz w:val="24"/>
          <w:szCs w:val="24"/>
          <w:vertAlign w:val="superscript"/>
        </w:rPr>
        <w:t>2</w:t>
      </w:r>
      <w:r w:rsidRPr="000E71AC">
        <w:rPr>
          <w:rFonts w:ascii="Arial" w:hAnsi="Arial" w:cs="Arial"/>
          <w:sz w:val="24"/>
          <w:szCs w:val="24"/>
        </w:rPr>
        <w:t>, sendo a massa corporal expressa em quilogramas (kg) e a estatura, em metros (m).</w:t>
      </w:r>
    </w:p>
    <w:p w:rsidR="000E71AC" w:rsidRPr="000E71AC" w:rsidRDefault="000E71AC" w:rsidP="000E71AC">
      <w:pPr>
        <w:spacing w:line="360" w:lineRule="auto"/>
        <w:ind w:firstLine="709"/>
        <w:jc w:val="both"/>
        <w:rPr>
          <w:rFonts w:ascii="Arial" w:eastAsia="Calibri" w:hAnsi="Arial" w:cs="Arial"/>
          <w:sz w:val="24"/>
          <w:szCs w:val="24"/>
        </w:rPr>
      </w:pPr>
      <w:r w:rsidRPr="000E71AC">
        <w:rPr>
          <w:rFonts w:ascii="Arial" w:hAnsi="Arial" w:cs="Arial"/>
          <w:sz w:val="24"/>
          <w:szCs w:val="24"/>
        </w:rPr>
        <w:t xml:space="preserve">A composição corporal será determinada por </w:t>
      </w:r>
      <w:r w:rsidRPr="000E71AC">
        <w:rPr>
          <w:rFonts w:ascii="Arial" w:hAnsi="Arial" w:cs="Arial"/>
          <w:sz w:val="24"/>
          <w:szCs w:val="24"/>
          <w:shd w:val="clear" w:color="auto" w:fill="FFFFFF"/>
        </w:rPr>
        <w:t xml:space="preserve">Dual-Energy X-ray </w:t>
      </w:r>
      <w:r w:rsidRPr="000E71AC">
        <w:rPr>
          <w:rFonts w:ascii="Arial" w:hAnsi="Arial" w:cs="Arial"/>
          <w:sz w:val="24"/>
          <w:szCs w:val="24"/>
        </w:rPr>
        <w:t>Absorptiometry – DEXA (EncoreTM, GE Healthcare, NY, USA. O escaneamento no corpo todo será feito com o voluntário deitado em posição de decúbito ventral.</w:t>
      </w:r>
      <w:r w:rsidRPr="000E71AC">
        <w:rPr>
          <w:rFonts w:ascii="Arial" w:eastAsia="Calibri" w:hAnsi="Arial" w:cs="Arial"/>
          <w:sz w:val="24"/>
          <w:szCs w:val="24"/>
        </w:rPr>
        <w:t xml:space="preserve"> As variáveis massa corporal (kg), massa magra (g), massa gorda (g) e percentual de gordura corporal serão analisadas.</w:t>
      </w:r>
    </w:p>
    <w:p w:rsidR="000E71AC" w:rsidRPr="000E71AC" w:rsidRDefault="000E71AC" w:rsidP="000E71AC">
      <w:pPr>
        <w:shd w:val="clear" w:color="auto" w:fill="FFFFFF"/>
        <w:spacing w:after="0" w:line="360" w:lineRule="auto"/>
        <w:jc w:val="both"/>
        <w:rPr>
          <w:rFonts w:ascii="Arial" w:hAnsi="Arial" w:cs="Arial"/>
          <w:sz w:val="24"/>
          <w:szCs w:val="24"/>
        </w:rPr>
      </w:pPr>
      <w:r w:rsidRPr="000E71AC">
        <w:rPr>
          <w:rFonts w:ascii="Arial" w:hAnsi="Arial" w:cs="Arial"/>
          <w:sz w:val="24"/>
          <w:szCs w:val="24"/>
        </w:rPr>
        <w:t>2.6. Vitamina D</w:t>
      </w:r>
    </w:p>
    <w:p w:rsidR="000E71AC" w:rsidRPr="000E71AC" w:rsidRDefault="000E71AC" w:rsidP="000E71AC">
      <w:pPr>
        <w:shd w:val="clear" w:color="auto" w:fill="FFFFFF"/>
        <w:spacing w:after="0" w:line="360" w:lineRule="auto"/>
        <w:ind w:firstLine="709"/>
        <w:jc w:val="both"/>
        <w:rPr>
          <w:rFonts w:ascii="Arial" w:hAnsi="Arial" w:cs="Arial"/>
          <w:sz w:val="24"/>
          <w:szCs w:val="24"/>
        </w:rPr>
      </w:pPr>
      <w:r w:rsidRPr="000E71AC">
        <w:rPr>
          <w:rFonts w:ascii="Arial" w:hAnsi="Arial" w:cs="Arial"/>
          <w:sz w:val="24"/>
          <w:szCs w:val="24"/>
        </w:rPr>
        <w:t xml:space="preserve">A análise do nível de vitamina D ocorrerá por amostra de sangue através da medida de </w:t>
      </w:r>
      <w:r w:rsidRPr="000E71AC">
        <w:rPr>
          <w:rFonts w:ascii="Arial" w:eastAsia="Times New Roman" w:hAnsi="Arial" w:cs="Arial"/>
          <w:sz w:val="24"/>
          <w:szCs w:val="24"/>
          <w:lang w:eastAsia="pt-BR"/>
        </w:rPr>
        <w:t>25-hidroxi-vitamina D 25 (OH) D</w:t>
      </w:r>
      <w:r w:rsidRPr="000E71AC">
        <w:rPr>
          <w:rFonts w:ascii="Arial" w:hAnsi="Arial" w:cs="Arial"/>
          <w:sz w:val="24"/>
          <w:szCs w:val="24"/>
        </w:rPr>
        <w:t>, avaliados em jejum de duas horas, em dois dias seguidos (UUSI-RASI et al., 2017).</w:t>
      </w:r>
    </w:p>
    <w:p w:rsidR="000E71AC" w:rsidRPr="000E71AC" w:rsidRDefault="000E71AC" w:rsidP="000E71AC">
      <w:pPr>
        <w:shd w:val="clear" w:color="auto" w:fill="FFFFFF"/>
        <w:spacing w:after="0" w:line="360" w:lineRule="auto"/>
        <w:jc w:val="both"/>
        <w:rPr>
          <w:rFonts w:ascii="Arial" w:hAnsi="Arial" w:cs="Arial"/>
          <w:sz w:val="24"/>
          <w:szCs w:val="24"/>
        </w:rPr>
      </w:pP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2.7. Marcadores inflamatórios</w:t>
      </w:r>
    </w:p>
    <w:p w:rsidR="000E71AC" w:rsidRPr="000E71AC" w:rsidRDefault="000E71AC" w:rsidP="000E71AC">
      <w:pPr>
        <w:spacing w:line="360" w:lineRule="auto"/>
        <w:ind w:firstLine="709"/>
        <w:jc w:val="both"/>
        <w:rPr>
          <w:rFonts w:ascii="Arial" w:hAnsi="Arial" w:cs="Arial"/>
          <w:sz w:val="24"/>
          <w:szCs w:val="24"/>
          <w:shd w:val="clear" w:color="auto" w:fill="FFFFFF"/>
        </w:rPr>
      </w:pPr>
      <w:r w:rsidRPr="000E71AC">
        <w:rPr>
          <w:rFonts w:ascii="Arial" w:hAnsi="Arial" w:cs="Arial"/>
          <w:sz w:val="24"/>
          <w:szCs w:val="24"/>
          <w:shd w:val="clear" w:color="auto" w:fill="FFFFFF"/>
        </w:rPr>
        <w:t>Através de amostra sanguínea</w:t>
      </w:r>
      <w:r w:rsidRPr="000E71AC">
        <w:rPr>
          <w:rFonts w:ascii="Arial" w:hAnsi="Arial" w:cs="Arial"/>
          <w:sz w:val="24"/>
          <w:szCs w:val="24"/>
        </w:rPr>
        <w:t xml:space="preserve"> serão analisados como marcadores inflamatórios as miocinas: fator de necrose tumoral alfa (TNF-</w:t>
      </w:r>
      <w:r w:rsidRPr="000E71AC">
        <w:rPr>
          <w:rFonts w:ascii="Arial" w:hAnsi="Arial" w:cs="Arial"/>
          <w:bCs/>
          <w:sz w:val="24"/>
          <w:szCs w:val="24"/>
          <w:shd w:val="clear" w:color="auto" w:fill="FFFFFF"/>
        </w:rPr>
        <w:t>α</w:t>
      </w:r>
      <w:r w:rsidRPr="000E71AC">
        <w:rPr>
          <w:rFonts w:ascii="Arial" w:hAnsi="Arial" w:cs="Arial"/>
          <w:sz w:val="24"/>
          <w:szCs w:val="24"/>
        </w:rPr>
        <w:t xml:space="preserve">) e interleucina 6 (IL- 6); além de </w:t>
      </w:r>
      <w:r w:rsidRPr="000E71AC">
        <w:rPr>
          <w:rFonts w:ascii="Arial" w:hAnsi="Arial" w:cs="Arial"/>
          <w:sz w:val="24"/>
          <w:szCs w:val="24"/>
          <w:shd w:val="clear" w:color="auto" w:fill="FFFFFF"/>
        </w:rPr>
        <w:t xml:space="preserve">verificar a presença de macrófagos pela técnica de isolamento de PMCs (Peripheral blood mononuclear cell), através </w:t>
      </w:r>
      <w:r w:rsidRPr="000E71AC">
        <w:rPr>
          <w:rFonts w:ascii="Arial" w:hAnsi="Arial" w:cs="Arial"/>
          <w:sz w:val="24"/>
          <w:szCs w:val="24"/>
        </w:rPr>
        <w:t xml:space="preserve">de análise laboratorial </w:t>
      </w:r>
      <w:r w:rsidRPr="000E71AC">
        <w:rPr>
          <w:rFonts w:ascii="Arial" w:hAnsi="Arial" w:cs="Arial"/>
          <w:sz w:val="24"/>
          <w:szCs w:val="24"/>
        </w:rPr>
        <w:lastRenderedPageBreak/>
        <w:t xml:space="preserve">pelo kit </w:t>
      </w:r>
      <w:r w:rsidRPr="000E71AC">
        <w:rPr>
          <w:rFonts w:ascii="Arial" w:hAnsi="Arial" w:cs="Arial"/>
          <w:sz w:val="24"/>
          <w:szCs w:val="24"/>
          <w:shd w:val="clear" w:color="auto" w:fill="FFFFFF"/>
        </w:rPr>
        <w:t>Luminex-based MILLIPLEX</w:t>
      </w:r>
      <w:r w:rsidRPr="000E71AC">
        <w:rPr>
          <w:rFonts w:ascii="Arial" w:hAnsi="Arial" w:cs="Arial"/>
          <w:sz w:val="24"/>
          <w:szCs w:val="24"/>
          <w:shd w:val="clear" w:color="auto" w:fill="FFFFFF"/>
          <w:vertAlign w:val="superscript"/>
        </w:rPr>
        <w:t>®</w:t>
      </w:r>
      <w:r w:rsidRPr="000E71AC">
        <w:rPr>
          <w:rFonts w:ascii="Arial" w:hAnsi="Arial" w:cs="Arial"/>
          <w:sz w:val="24"/>
          <w:szCs w:val="24"/>
          <w:shd w:val="clear" w:color="auto" w:fill="FFFFFF"/>
        </w:rPr>
        <w:t> MAP Human Cytokine/Chemokine Magnetic bead Panel Kit (EMD Millipore Corporation (LIU et al., 2018).</w:t>
      </w:r>
    </w:p>
    <w:p w:rsidR="000E71AC" w:rsidRPr="000E71AC" w:rsidRDefault="000E71AC" w:rsidP="000E71AC">
      <w:pPr>
        <w:spacing w:line="360" w:lineRule="auto"/>
        <w:ind w:firstLine="709"/>
        <w:jc w:val="both"/>
        <w:rPr>
          <w:rFonts w:ascii="Arial" w:hAnsi="Arial" w:cs="Arial"/>
          <w:sz w:val="24"/>
          <w:szCs w:val="24"/>
          <w:shd w:val="clear" w:color="auto" w:fill="FFFFFF"/>
        </w:rPr>
      </w:pP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2.8. Programa do treinamento resistido.</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Os grupos submetidos ao treinamento resistido seguirão as recomendações do </w:t>
      </w:r>
      <w:r w:rsidRPr="000E71AC">
        <w:rPr>
          <w:rFonts w:ascii="Arial" w:hAnsi="Arial" w:cs="Arial"/>
          <w:i/>
          <w:sz w:val="24"/>
          <w:szCs w:val="24"/>
        </w:rPr>
        <w:t>American College of Sports Medicine</w:t>
      </w:r>
      <w:r w:rsidRPr="000E71AC">
        <w:rPr>
          <w:rFonts w:ascii="Arial" w:hAnsi="Arial" w:cs="Arial"/>
          <w:sz w:val="24"/>
          <w:szCs w:val="24"/>
        </w:rPr>
        <w:t xml:space="preserve"> para idosos (ACSM, 2009), quais sejam: duas sessões de treino por semana, compostas por oito exercícios para grandes grupamentos musculares (leg press (LP), supino reto (SR), cadeira extensora (CE), remada (R), cadeira flexora (CF), Puxada no Puley (PP), flexão plantar (FP), abdominal), realizados em dez repetições submáximas (sem falha concêntrica), em duas séries e com intervalos  de dois minutos entre elas. Uma série de aquecimento específico será realizada com 40% da carga de treino.</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t xml:space="preserve"> A carga de treinamento será determinada individualmente através do teste 10RM, seguindo as padronizações de Baechle e Earle (2000), e continuamente ajustada de modo a manter a mesma intensidade de treino ao longo das 16 semanas. Antecedendo o período de treinamento propriamente dito, duas semanas serão utilizadas para a adaptação dos voluntários aos exercícios propostos,</w:t>
      </w:r>
      <w:r w:rsidRPr="000E71AC">
        <w:rPr>
          <w:rFonts w:ascii="Arial" w:hAnsi="Arial" w:cs="Arial"/>
          <w:color w:val="FF0000"/>
          <w:sz w:val="24"/>
          <w:szCs w:val="24"/>
        </w:rPr>
        <w:t xml:space="preserve"> </w:t>
      </w:r>
      <w:r w:rsidRPr="000E71AC">
        <w:rPr>
          <w:rFonts w:ascii="Arial" w:hAnsi="Arial" w:cs="Arial"/>
          <w:sz w:val="24"/>
          <w:szCs w:val="24"/>
        </w:rPr>
        <w:t>quando os sujeitos iniciarão fazendo uma série, progredindo gradativamente para as três séries no final da segunda.</w:t>
      </w:r>
    </w:p>
    <w:p w:rsidR="000E71AC" w:rsidRPr="000E71AC" w:rsidRDefault="000E71AC" w:rsidP="000E71AC">
      <w:pPr>
        <w:spacing w:line="360" w:lineRule="auto"/>
        <w:ind w:firstLine="709"/>
        <w:jc w:val="both"/>
        <w:rPr>
          <w:rFonts w:ascii="Arial" w:hAnsi="Arial" w:cs="Arial"/>
          <w:sz w:val="24"/>
          <w:szCs w:val="24"/>
        </w:rPr>
      </w:pP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2.9. Intervenção para os Grupos Controles</w:t>
      </w: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ab/>
        <w:t>Os grupos controles, uma vez na semana, participarão de atividades de baixa intensidade, voltada para a socialização e recreação dos idosos, para que os mesmos recebam algum tipo de benefício por contribuírem para essa pesquisa.</w:t>
      </w:r>
    </w:p>
    <w:p w:rsidR="000E71AC" w:rsidRPr="000E71AC" w:rsidRDefault="000E71AC" w:rsidP="000E71AC">
      <w:pPr>
        <w:spacing w:line="360" w:lineRule="auto"/>
        <w:ind w:firstLine="709"/>
        <w:jc w:val="both"/>
        <w:rPr>
          <w:rFonts w:ascii="Arial" w:hAnsi="Arial" w:cs="Arial"/>
          <w:sz w:val="24"/>
          <w:szCs w:val="24"/>
        </w:rPr>
      </w:pPr>
    </w:p>
    <w:p w:rsidR="000E71AC" w:rsidRPr="000E71AC" w:rsidRDefault="000E71AC" w:rsidP="000E71AC">
      <w:pPr>
        <w:spacing w:line="360" w:lineRule="auto"/>
        <w:jc w:val="both"/>
        <w:rPr>
          <w:rFonts w:ascii="Arial" w:hAnsi="Arial" w:cs="Arial"/>
          <w:sz w:val="24"/>
          <w:szCs w:val="24"/>
        </w:rPr>
      </w:pPr>
      <w:r w:rsidRPr="000E71AC">
        <w:rPr>
          <w:rFonts w:ascii="Arial" w:hAnsi="Arial" w:cs="Arial"/>
          <w:sz w:val="24"/>
          <w:szCs w:val="24"/>
        </w:rPr>
        <w:t>2.10 Suplementação de Vitamina D e placebo</w:t>
      </w:r>
    </w:p>
    <w:p w:rsidR="000E71AC" w:rsidRPr="000E71AC" w:rsidRDefault="000E71AC" w:rsidP="000E71AC">
      <w:pPr>
        <w:spacing w:line="360" w:lineRule="auto"/>
        <w:ind w:firstLine="709"/>
        <w:jc w:val="both"/>
        <w:rPr>
          <w:rFonts w:ascii="Arial" w:hAnsi="Arial" w:cs="Arial"/>
          <w:sz w:val="24"/>
          <w:szCs w:val="24"/>
        </w:rPr>
      </w:pPr>
      <w:r w:rsidRPr="000E71AC">
        <w:rPr>
          <w:rFonts w:ascii="Arial" w:hAnsi="Arial" w:cs="Arial"/>
          <w:sz w:val="24"/>
          <w:szCs w:val="24"/>
        </w:rPr>
        <w:lastRenderedPageBreak/>
        <w:t>Serão ministradas doses diárias de vitamina D de 2000 – IU (CEGLIA et al., 2013) durante todo o período de treinamento físico (16 semanas) (MIESZKOWSKI et al., 2018; UUSI- RASI et al., 2017). A orientação para o consumo do medicamento placebo será idêntica à Vitamina D.</w:t>
      </w:r>
    </w:p>
    <w:p w:rsidR="000E71AC" w:rsidRPr="000E71AC" w:rsidRDefault="000E71AC" w:rsidP="000E71AC">
      <w:pPr>
        <w:rPr>
          <w:rFonts w:ascii="Arial" w:hAnsi="Arial" w:cs="Arial"/>
          <w:sz w:val="24"/>
          <w:szCs w:val="24"/>
        </w:rPr>
      </w:pPr>
    </w:p>
    <w:p w:rsidR="000E71AC" w:rsidRPr="000E71AC" w:rsidRDefault="000E71AC" w:rsidP="000E71AC">
      <w:pPr>
        <w:rPr>
          <w:rFonts w:ascii="Arial" w:hAnsi="Arial" w:cs="Arial"/>
          <w:b/>
          <w:sz w:val="24"/>
          <w:szCs w:val="24"/>
        </w:rPr>
      </w:pPr>
      <w:r w:rsidRPr="000E71AC">
        <w:rPr>
          <w:rFonts w:ascii="Arial" w:hAnsi="Arial" w:cs="Arial"/>
          <w:b/>
          <w:sz w:val="24"/>
          <w:szCs w:val="24"/>
        </w:rPr>
        <w:t xml:space="preserve">3. ANÁLISE DOS DADOS </w:t>
      </w:r>
    </w:p>
    <w:p w:rsidR="000E71AC" w:rsidRPr="000E71AC" w:rsidRDefault="000E71AC" w:rsidP="000E71AC">
      <w:pPr>
        <w:shd w:val="clear" w:color="auto" w:fill="FFFFFF"/>
        <w:spacing w:before="300" w:after="150" w:line="360" w:lineRule="auto"/>
        <w:ind w:firstLine="709"/>
        <w:jc w:val="both"/>
        <w:outlineLvl w:val="2"/>
        <w:rPr>
          <w:rFonts w:ascii="Arial" w:hAnsi="Arial" w:cs="Arial"/>
          <w:noProof w:val="0"/>
          <w:sz w:val="24"/>
          <w:szCs w:val="24"/>
        </w:rPr>
      </w:pPr>
      <w:r w:rsidRPr="000E71AC">
        <w:rPr>
          <w:rFonts w:ascii="Arial" w:hAnsi="Arial" w:cs="Arial"/>
          <w:noProof w:val="0"/>
          <w:sz w:val="24"/>
          <w:szCs w:val="24"/>
        </w:rPr>
        <w:t>A análise dos dados será realizada aceitando um nível de significância de p≤0,05. Utilizar-se-á o programa SPSS-25 para a análise dos dados. Inicialmente será realizada sua análise descritiva através de medidas de tendência central e dispersão. Em seguida, o teste de Shapiro-</w:t>
      </w:r>
      <w:proofErr w:type="spellStart"/>
      <w:r w:rsidRPr="000E71AC">
        <w:rPr>
          <w:rFonts w:ascii="Arial" w:hAnsi="Arial" w:cs="Arial"/>
          <w:noProof w:val="0"/>
          <w:sz w:val="24"/>
          <w:szCs w:val="24"/>
        </w:rPr>
        <w:t>Wilk</w:t>
      </w:r>
      <w:proofErr w:type="spellEnd"/>
      <w:r w:rsidRPr="000E71AC">
        <w:rPr>
          <w:rFonts w:ascii="Arial" w:hAnsi="Arial" w:cs="Arial"/>
          <w:noProof w:val="0"/>
          <w:sz w:val="24"/>
          <w:szCs w:val="24"/>
        </w:rPr>
        <w:t xml:space="preserve"> ou </w:t>
      </w:r>
      <w:proofErr w:type="spellStart"/>
      <w:r w:rsidRPr="000E71AC">
        <w:rPr>
          <w:rFonts w:ascii="Arial" w:hAnsi="Arial" w:cs="Arial"/>
          <w:noProof w:val="0"/>
          <w:sz w:val="24"/>
          <w:szCs w:val="24"/>
        </w:rPr>
        <w:t>Kolmogorov-Smirnov</w:t>
      </w:r>
      <w:proofErr w:type="spellEnd"/>
      <w:r w:rsidRPr="000E71AC">
        <w:rPr>
          <w:rFonts w:ascii="Arial" w:hAnsi="Arial" w:cs="Arial"/>
          <w:noProof w:val="0"/>
          <w:sz w:val="24"/>
          <w:szCs w:val="24"/>
        </w:rPr>
        <w:t xml:space="preserve">, dependendo no número de sujeitos na amostra, será aplicado para avaliar a normalidade dos dados e, de acordo com o resultado, uma ANOVA para determinar as diferenças entre os grupos e entre os dois momentos da coleta. Caso o pressuposto de normalidade não seja atendido, usar-se-á o teste de </w:t>
      </w:r>
      <w:proofErr w:type="spellStart"/>
      <w:r w:rsidRPr="000E71AC">
        <w:rPr>
          <w:rFonts w:ascii="Arial" w:hAnsi="Arial" w:cs="Arial"/>
          <w:noProof w:val="0"/>
          <w:sz w:val="24"/>
          <w:szCs w:val="24"/>
        </w:rPr>
        <w:t>Kruskal</w:t>
      </w:r>
      <w:proofErr w:type="spellEnd"/>
      <w:r w:rsidRPr="000E71AC">
        <w:rPr>
          <w:rFonts w:ascii="Arial" w:hAnsi="Arial" w:cs="Arial"/>
          <w:noProof w:val="0"/>
          <w:sz w:val="24"/>
          <w:szCs w:val="24"/>
        </w:rPr>
        <w:t xml:space="preserve">-Wallis. Posteriormente, será aplicado o teste post-hoc de </w:t>
      </w:r>
      <w:proofErr w:type="spellStart"/>
      <w:r w:rsidRPr="000E71AC">
        <w:rPr>
          <w:rFonts w:ascii="Arial" w:hAnsi="Arial" w:cs="Arial"/>
          <w:noProof w:val="0"/>
          <w:sz w:val="24"/>
          <w:szCs w:val="24"/>
        </w:rPr>
        <w:t>Tukey</w:t>
      </w:r>
      <w:proofErr w:type="spellEnd"/>
      <w:r w:rsidRPr="000E71AC">
        <w:rPr>
          <w:rFonts w:ascii="Arial" w:hAnsi="Arial" w:cs="Arial"/>
          <w:noProof w:val="0"/>
          <w:sz w:val="24"/>
          <w:szCs w:val="24"/>
        </w:rPr>
        <w:t>. Em adição, o Delta% será calculado para determinar o porcentual de aumento entre os dois momentos de coleta.</w:t>
      </w:r>
    </w:p>
    <w:p w:rsidR="000E71AC" w:rsidRDefault="000E71AC"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Pr="000E71AC" w:rsidRDefault="00586030" w:rsidP="000E71AC">
      <w:pPr>
        <w:shd w:val="clear" w:color="auto" w:fill="FFFFFF"/>
        <w:spacing w:before="300" w:after="150" w:line="360" w:lineRule="auto"/>
        <w:ind w:firstLine="709"/>
        <w:jc w:val="both"/>
        <w:outlineLvl w:val="2"/>
        <w:rPr>
          <w:rFonts w:ascii="Arial" w:hAnsi="Arial" w:cs="Arial"/>
          <w:noProof w:val="0"/>
          <w:sz w:val="24"/>
          <w:szCs w:val="24"/>
        </w:rPr>
      </w:pPr>
    </w:p>
    <w:p w:rsidR="00586030" w:rsidRDefault="00586030" w:rsidP="000E71AC">
      <w:pPr>
        <w:rPr>
          <w:rFonts w:ascii="Arial" w:hAnsi="Arial" w:cs="Arial"/>
          <w:b/>
          <w:sz w:val="24"/>
          <w:szCs w:val="24"/>
        </w:rPr>
      </w:pPr>
    </w:p>
    <w:p w:rsidR="00586030" w:rsidRDefault="00586030" w:rsidP="000E71AC">
      <w:pPr>
        <w:rPr>
          <w:rFonts w:ascii="Arial" w:hAnsi="Arial" w:cs="Arial"/>
          <w:b/>
          <w:sz w:val="24"/>
          <w:szCs w:val="24"/>
        </w:rPr>
      </w:pPr>
    </w:p>
    <w:p w:rsidR="00586030" w:rsidRDefault="00586030" w:rsidP="000E71AC">
      <w:pPr>
        <w:rPr>
          <w:rFonts w:ascii="Arial" w:hAnsi="Arial" w:cs="Arial"/>
          <w:b/>
          <w:sz w:val="24"/>
          <w:szCs w:val="24"/>
        </w:rPr>
      </w:pPr>
    </w:p>
    <w:p w:rsidR="000E71AC" w:rsidRPr="000E71AC" w:rsidRDefault="000E71AC" w:rsidP="000E71AC">
      <w:pPr>
        <w:rPr>
          <w:rFonts w:ascii="Arial" w:hAnsi="Arial" w:cs="Arial"/>
          <w:b/>
          <w:color w:val="FF0000"/>
          <w:sz w:val="24"/>
          <w:szCs w:val="24"/>
        </w:rPr>
      </w:pPr>
      <w:r w:rsidRPr="000E71AC">
        <w:rPr>
          <w:rFonts w:ascii="Arial" w:hAnsi="Arial" w:cs="Arial"/>
          <w:b/>
          <w:sz w:val="24"/>
          <w:szCs w:val="24"/>
        </w:rPr>
        <w:t xml:space="preserve">4. REFERÊNCIAS </w:t>
      </w:r>
    </w:p>
    <w:p w:rsidR="000E71AC" w:rsidRPr="000E71AC" w:rsidRDefault="000E71AC" w:rsidP="000E71AC">
      <w:pPr>
        <w:rPr>
          <w:rFonts w:ascii="Arial" w:hAnsi="Arial" w:cs="Arial"/>
          <w:color w:val="FF0000"/>
          <w:sz w:val="24"/>
          <w:szCs w:val="24"/>
        </w:rPr>
      </w:pPr>
    </w:p>
    <w:tbl>
      <w:tblPr>
        <w:tblW w:w="0" w:type="auto"/>
        <w:tblLook w:val="04A0" w:firstRow="1" w:lastRow="0" w:firstColumn="1" w:lastColumn="0" w:noHBand="0" w:noVBand="1"/>
      </w:tblPr>
      <w:tblGrid>
        <w:gridCol w:w="817"/>
        <w:gridCol w:w="7677"/>
      </w:tblGrid>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s-ES"/>
              </w:rPr>
              <w:t xml:space="preserve">ABBATECOLA, A. M. et al. </w:t>
            </w:r>
            <w:r w:rsidRPr="000E71AC">
              <w:rPr>
                <w:rFonts w:ascii="Arial" w:hAnsi="Arial" w:cs="Arial"/>
                <w:sz w:val="24"/>
                <w:szCs w:val="24"/>
                <w:shd w:val="clear" w:color="auto" w:fill="FFFFFF"/>
                <w:lang w:val="en-US"/>
              </w:rPr>
              <w:t>Discovering pathways of sarcopenia in older adults: a role for insulin resistance on mitochondria dysfunction. </w:t>
            </w:r>
            <w:r w:rsidRPr="000E71AC">
              <w:rPr>
                <w:rFonts w:ascii="Arial" w:hAnsi="Arial" w:cs="Arial"/>
                <w:b/>
                <w:sz w:val="24"/>
                <w:szCs w:val="24"/>
                <w:shd w:val="clear" w:color="auto" w:fill="FFFFFF"/>
                <w:lang w:val="en-US"/>
              </w:rPr>
              <w:t>J Nutr Health Aging</w:t>
            </w:r>
            <w:r w:rsidRPr="000E71AC">
              <w:rPr>
                <w:rFonts w:ascii="Arial" w:hAnsi="Arial" w:cs="Arial"/>
                <w:i/>
                <w:sz w:val="24"/>
                <w:szCs w:val="24"/>
                <w:shd w:val="clear" w:color="auto" w:fill="FFFFFF"/>
                <w:lang w:val="en-US"/>
              </w:rPr>
              <w:t xml:space="preserve">, </w:t>
            </w:r>
            <w:r w:rsidRPr="000E71AC">
              <w:rPr>
                <w:rFonts w:ascii="Arial" w:hAnsi="Arial" w:cs="Arial"/>
                <w:sz w:val="24"/>
                <w:szCs w:val="24"/>
                <w:shd w:val="clear" w:color="auto" w:fill="FFFFFF"/>
                <w:lang w:val="en-US"/>
              </w:rPr>
              <w:t>v. 15, n. 10, p. 890-5, Dec 2011.</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color w:val="FF0000"/>
                <w:sz w:val="24"/>
                <w:szCs w:val="24"/>
              </w:rPr>
            </w:pPr>
            <w:r w:rsidRPr="000E71AC">
              <w:rPr>
                <w:rFonts w:ascii="Arial" w:hAnsi="Arial" w:cs="Arial"/>
                <w:sz w:val="24"/>
                <w:szCs w:val="24"/>
              </w:rPr>
              <w:t>2</w:t>
            </w:r>
            <w:r w:rsidRPr="000E71AC">
              <w:rPr>
                <w:rFonts w:ascii="Arial" w:hAnsi="Arial" w:cs="Arial"/>
                <w:color w:val="FF0000"/>
                <w:sz w:val="24"/>
                <w:szCs w:val="24"/>
              </w:rPr>
              <w:t>.</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ABETE, I. et al.</w:t>
            </w:r>
            <w:r w:rsidRPr="000E71AC">
              <w:rPr>
                <w:rFonts w:ascii="Arial" w:eastAsia="Times New Roman" w:hAnsi="Arial" w:cs="Arial"/>
                <w:bCs/>
                <w:noProof w:val="0"/>
                <w:kern w:val="36"/>
                <w:sz w:val="24"/>
                <w:szCs w:val="24"/>
                <w:lang w:val="en-US" w:eastAsia="pt-BR"/>
              </w:rPr>
              <w:t xml:space="preserve"> Association of lifestyle factors and inflammation with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data from the PREDIMED-Plus trial.</w:t>
            </w:r>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b/>
                <w:noProof w:val="0"/>
                <w:sz w:val="24"/>
                <w:szCs w:val="24"/>
                <w:lang w:val="en-US" w:eastAsia="pt-BR"/>
              </w:rPr>
              <w:t xml:space="preserve">J Cachexia </w:t>
            </w:r>
            <w:proofErr w:type="spellStart"/>
            <w:r w:rsidRPr="000E71AC">
              <w:rPr>
                <w:rFonts w:ascii="Arial" w:eastAsia="Times New Roman" w:hAnsi="Arial" w:cs="Arial"/>
                <w:b/>
                <w:noProof w:val="0"/>
                <w:sz w:val="24"/>
                <w:szCs w:val="24"/>
                <w:lang w:val="en-US" w:eastAsia="pt-BR"/>
              </w:rPr>
              <w:t>Sarcopenia</w:t>
            </w:r>
            <w:proofErr w:type="spellEnd"/>
            <w:r w:rsidRPr="000E71AC">
              <w:rPr>
                <w:rFonts w:ascii="Arial" w:eastAsia="Times New Roman" w:hAnsi="Arial" w:cs="Arial"/>
                <w:b/>
                <w:noProof w:val="0"/>
                <w:sz w:val="24"/>
                <w:szCs w:val="24"/>
                <w:lang w:val="en-US" w:eastAsia="pt-BR"/>
              </w:rPr>
              <w:t xml:space="preserve"> Muscle</w:t>
            </w:r>
            <w:r w:rsidRPr="000E71AC">
              <w:rPr>
                <w:rFonts w:ascii="Arial" w:eastAsia="Times New Roman" w:hAnsi="Arial" w:cs="Arial"/>
                <w:i/>
                <w:noProof w:val="0"/>
                <w:sz w:val="24"/>
                <w:szCs w:val="24"/>
                <w:lang w:val="en-US" w:eastAsia="pt-BR"/>
              </w:rPr>
              <w:t xml:space="preserve">, </w:t>
            </w:r>
            <w:r w:rsidRPr="000E71AC">
              <w:rPr>
                <w:rFonts w:ascii="Arial" w:eastAsia="Times New Roman" w:hAnsi="Arial" w:cs="Arial"/>
                <w:noProof w:val="0"/>
                <w:sz w:val="24"/>
                <w:szCs w:val="24"/>
                <w:lang w:val="en-US" w:eastAsia="pt-BR"/>
              </w:rPr>
              <w:t xml:space="preserve">v. </w:t>
            </w:r>
            <w:r w:rsidRPr="000E71AC">
              <w:rPr>
                <w:rFonts w:ascii="Arial" w:hAnsi="Arial" w:cs="Arial"/>
                <w:sz w:val="24"/>
                <w:szCs w:val="24"/>
                <w:shd w:val="clear" w:color="auto" w:fill="FFFFFF"/>
                <w:lang w:val="en-US"/>
              </w:rPr>
              <w:t>10, n. 5, p. 974-84, Oct 2019.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color w:val="FF0000"/>
                <w:sz w:val="24"/>
                <w:szCs w:val="24"/>
              </w:rPr>
            </w:pPr>
            <w:r w:rsidRPr="000E71AC">
              <w:rPr>
                <w:rFonts w:ascii="Arial" w:hAnsi="Arial" w:cs="Arial"/>
                <w:sz w:val="24"/>
                <w:szCs w:val="24"/>
              </w:rPr>
              <w:t>3</w:t>
            </w:r>
            <w:r w:rsidRPr="000E71AC">
              <w:rPr>
                <w:rFonts w:ascii="Arial" w:hAnsi="Arial" w:cs="Arial"/>
                <w:color w:val="FF0000"/>
                <w:sz w:val="24"/>
                <w:szCs w:val="24"/>
              </w:rPr>
              <w:t>.</w:t>
            </w:r>
          </w:p>
        </w:tc>
        <w:tc>
          <w:tcPr>
            <w:tcW w:w="7677" w:type="dxa"/>
          </w:tcPr>
          <w:p w:rsidR="000E71AC" w:rsidRPr="000E71AC" w:rsidRDefault="000E71AC" w:rsidP="000E71AC">
            <w:pPr>
              <w:spacing w:before="120" w:after="120" w:line="360" w:lineRule="auto"/>
              <w:rPr>
                <w:rFonts w:ascii="Arial" w:hAnsi="Arial" w:cs="Arial"/>
                <w:color w:val="FF0000"/>
                <w:sz w:val="24"/>
                <w:szCs w:val="24"/>
                <w:shd w:val="clear" w:color="auto" w:fill="FFFFFF"/>
              </w:rPr>
            </w:pPr>
            <w:r w:rsidRPr="000E71AC">
              <w:rPr>
                <w:rFonts w:ascii="Arial" w:eastAsiaTheme="majorEastAsia" w:hAnsi="Arial" w:cs="Arial"/>
                <w:sz w:val="24"/>
                <w:szCs w:val="24"/>
                <w:shd w:val="clear" w:color="auto" w:fill="FFFFFF"/>
                <w:lang w:val="en-US"/>
              </w:rPr>
              <w:t>AGEGAARD, J. et al.</w:t>
            </w:r>
            <w:r w:rsidRPr="000E71AC">
              <w:rPr>
                <w:rFonts w:ascii="Arial" w:eastAsia="Times New Roman" w:hAnsi="Arial" w:cs="Arial"/>
                <w:kern w:val="36"/>
                <w:sz w:val="24"/>
                <w:szCs w:val="24"/>
                <w:lang w:val="en-US" w:eastAsia="pt-BR"/>
              </w:rPr>
              <w:t xml:space="preserve"> Does vitamin-D intake during resistance training improve the skeletal muscle hypertrophic and strength response in young and elderly men? – a randomized controlled trial.</w:t>
            </w:r>
            <w:r w:rsidRPr="000E71AC">
              <w:rPr>
                <w:rFonts w:ascii="Arial" w:hAnsi="Arial" w:cs="Arial"/>
                <w:sz w:val="24"/>
                <w:szCs w:val="24"/>
                <w:shd w:val="clear" w:color="auto" w:fill="FFFFFF"/>
                <w:lang w:val="en-US"/>
              </w:rPr>
              <w:t xml:space="preserve"> </w:t>
            </w:r>
            <w:hyperlink r:id="rId16" w:history="1">
              <w:r w:rsidRPr="000E71AC">
                <w:rPr>
                  <w:rFonts w:ascii="Arial" w:hAnsi="Arial" w:cs="Arial"/>
                  <w:b/>
                  <w:sz w:val="24"/>
                  <w:szCs w:val="24"/>
                  <w:shd w:val="clear" w:color="auto" w:fill="FFFFFF"/>
                </w:rPr>
                <w:t>Nutr Metab (Lond),</w:t>
              </w:r>
              <w:r w:rsidRPr="000E71AC">
                <w:rPr>
                  <w:rFonts w:ascii="Arial" w:hAnsi="Arial" w:cs="Arial"/>
                  <w:sz w:val="24"/>
                  <w:szCs w:val="24"/>
                  <w:shd w:val="clear" w:color="auto" w:fill="FFFFFF"/>
                </w:rPr>
                <w:t xml:space="preserve"> n. 30, p. 12-32, </w:t>
              </w:r>
            </w:hyperlink>
            <w:r w:rsidRPr="000E71AC">
              <w:rPr>
                <w:rFonts w:ascii="Arial" w:hAnsi="Arial" w:cs="Arial"/>
                <w:sz w:val="24"/>
                <w:szCs w:val="24"/>
                <w:shd w:val="clear" w:color="auto" w:fill="FFFFFF"/>
              </w:rPr>
              <w:t xml:space="preserve">Sep 2015.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rPr>
            </w:pPr>
            <w:r w:rsidRPr="000E71AC">
              <w:rPr>
                <w:rFonts w:ascii="Arial" w:eastAsia="Times New Roman" w:hAnsi="Arial" w:cs="Arial"/>
                <w:bCs/>
                <w:noProof w:val="0"/>
                <w:kern w:val="36"/>
                <w:sz w:val="24"/>
                <w:szCs w:val="24"/>
                <w:lang w:val="en-US" w:eastAsia="pt-BR"/>
              </w:rPr>
              <w:t xml:space="preserve">ACSM, et al. position stand. Exercise and physical activity for older adults. </w:t>
            </w:r>
            <w:proofErr w:type="spellStart"/>
            <w:r w:rsidRPr="000E71AC">
              <w:rPr>
                <w:rFonts w:ascii="Arial" w:eastAsia="Times New Roman" w:hAnsi="Arial" w:cs="Arial"/>
                <w:b/>
                <w:noProof w:val="0"/>
                <w:sz w:val="24"/>
                <w:szCs w:val="24"/>
                <w:lang w:eastAsia="pt-BR"/>
              </w:rPr>
              <w:t>Med</w:t>
            </w:r>
            <w:proofErr w:type="spellEnd"/>
            <w:r w:rsidRPr="000E71AC">
              <w:rPr>
                <w:rFonts w:ascii="Arial" w:eastAsia="Times New Roman" w:hAnsi="Arial" w:cs="Arial"/>
                <w:b/>
                <w:noProof w:val="0"/>
                <w:sz w:val="24"/>
                <w:szCs w:val="24"/>
                <w:lang w:eastAsia="pt-BR"/>
              </w:rPr>
              <w:t xml:space="preserve"> </w:t>
            </w:r>
            <w:proofErr w:type="spellStart"/>
            <w:r w:rsidRPr="000E71AC">
              <w:rPr>
                <w:rFonts w:ascii="Arial" w:eastAsia="Times New Roman" w:hAnsi="Arial" w:cs="Arial"/>
                <w:b/>
                <w:noProof w:val="0"/>
                <w:sz w:val="24"/>
                <w:szCs w:val="24"/>
                <w:lang w:eastAsia="pt-BR"/>
              </w:rPr>
              <w:t>Sci</w:t>
            </w:r>
            <w:proofErr w:type="spellEnd"/>
            <w:r w:rsidRPr="000E71AC">
              <w:rPr>
                <w:rFonts w:ascii="Arial" w:eastAsia="Times New Roman" w:hAnsi="Arial" w:cs="Arial"/>
                <w:b/>
                <w:noProof w:val="0"/>
                <w:sz w:val="24"/>
                <w:szCs w:val="24"/>
                <w:lang w:eastAsia="pt-BR"/>
              </w:rPr>
              <w:t xml:space="preserve"> Sports </w:t>
            </w:r>
            <w:proofErr w:type="spellStart"/>
            <w:r w:rsidRPr="000E71AC">
              <w:rPr>
                <w:rFonts w:ascii="Arial" w:eastAsia="Times New Roman" w:hAnsi="Arial" w:cs="Arial"/>
                <w:b/>
                <w:noProof w:val="0"/>
                <w:sz w:val="24"/>
                <w:szCs w:val="24"/>
                <w:lang w:eastAsia="pt-BR"/>
              </w:rPr>
              <w:t>Exerc</w:t>
            </w:r>
            <w:proofErr w:type="spellEnd"/>
            <w:r w:rsidRPr="000E71AC">
              <w:rPr>
                <w:rFonts w:ascii="Arial" w:eastAsia="Times New Roman" w:hAnsi="Arial" w:cs="Arial"/>
                <w:i/>
                <w:noProof w:val="0"/>
                <w:sz w:val="24"/>
                <w:szCs w:val="24"/>
                <w:lang w:eastAsia="pt-BR"/>
              </w:rPr>
              <w:t xml:space="preserve">, </w:t>
            </w:r>
            <w:r w:rsidRPr="000E71AC">
              <w:rPr>
                <w:rFonts w:ascii="Arial" w:eastAsia="Times New Roman" w:hAnsi="Arial" w:cs="Arial"/>
                <w:noProof w:val="0"/>
                <w:sz w:val="24"/>
                <w:szCs w:val="24"/>
                <w:lang w:eastAsia="pt-BR"/>
              </w:rPr>
              <w:t xml:space="preserve">v. 41, n. 7, p. 1510-30, </w:t>
            </w:r>
            <w:proofErr w:type="spellStart"/>
            <w:r w:rsidRPr="000E71AC">
              <w:rPr>
                <w:rFonts w:ascii="Arial" w:eastAsia="Times New Roman" w:hAnsi="Arial" w:cs="Arial"/>
                <w:noProof w:val="0"/>
                <w:sz w:val="24"/>
                <w:szCs w:val="24"/>
                <w:lang w:eastAsia="pt-BR"/>
              </w:rPr>
              <w:t>Jul</w:t>
            </w:r>
            <w:proofErr w:type="spellEnd"/>
            <w:r w:rsidRPr="000E71AC">
              <w:rPr>
                <w:rFonts w:ascii="Arial" w:eastAsia="Times New Roman" w:hAnsi="Arial" w:cs="Arial"/>
                <w:noProof w:val="0"/>
                <w:sz w:val="24"/>
                <w:szCs w:val="24"/>
                <w:lang w:eastAsia="pt-BR"/>
              </w:rPr>
              <w:t xml:space="preserve"> 2009.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w:t>
            </w:r>
          </w:p>
        </w:tc>
        <w:tc>
          <w:tcPr>
            <w:tcW w:w="7677" w:type="dxa"/>
          </w:tcPr>
          <w:p w:rsidR="000E71AC" w:rsidRPr="000E71AC" w:rsidRDefault="000E71AC" w:rsidP="000E71AC">
            <w:pPr>
              <w:spacing w:before="120" w:after="120" w:line="360" w:lineRule="auto"/>
              <w:jc w:val="both"/>
              <w:rPr>
                <w:rFonts w:ascii="Arial" w:hAnsi="Arial" w:cs="Arial"/>
                <w:color w:val="000000"/>
                <w:sz w:val="24"/>
                <w:szCs w:val="24"/>
                <w:shd w:val="clear" w:color="auto" w:fill="FFFFFF"/>
              </w:rPr>
            </w:pPr>
            <w:r w:rsidRPr="000E71AC">
              <w:rPr>
                <w:rFonts w:ascii="Arial" w:hAnsi="Arial" w:cs="Arial"/>
                <w:sz w:val="24"/>
                <w:szCs w:val="24"/>
                <w:shd w:val="clear" w:color="auto" w:fill="FFFFFF"/>
                <w:lang w:val="en-US"/>
              </w:rPr>
              <w:t>ANKER, S. D. et al.</w:t>
            </w:r>
            <w:r w:rsidRPr="000E71AC">
              <w:rPr>
                <w:rFonts w:ascii="Arial" w:hAnsi="Arial" w:cs="Arial"/>
                <w:color w:val="000000"/>
                <w:sz w:val="24"/>
                <w:szCs w:val="24"/>
                <w:shd w:val="clear" w:color="auto" w:fill="FFFFFF"/>
                <w:lang w:val="en-US"/>
              </w:rPr>
              <w:t xml:space="preserve">  Welcome to the ICD-10 code for sarcopenia. </w:t>
            </w:r>
            <w:r w:rsidRPr="000E71AC">
              <w:rPr>
                <w:rFonts w:ascii="Arial" w:hAnsi="Arial" w:cs="Arial"/>
                <w:b/>
                <w:iCs/>
                <w:color w:val="000000"/>
                <w:sz w:val="24"/>
                <w:szCs w:val="24"/>
                <w:shd w:val="clear" w:color="auto" w:fill="FFFFFF"/>
              </w:rPr>
              <w:t>J.</w:t>
            </w:r>
            <w:r w:rsidRPr="000E71AC">
              <w:rPr>
                <w:rFonts w:ascii="Arial" w:hAnsi="Arial" w:cs="Arial"/>
                <w:iCs/>
                <w:color w:val="000000"/>
                <w:sz w:val="24"/>
                <w:szCs w:val="24"/>
                <w:shd w:val="clear" w:color="auto" w:fill="FFFFFF"/>
              </w:rPr>
              <w:t xml:space="preserve"> </w:t>
            </w:r>
            <w:r w:rsidRPr="000E71AC">
              <w:rPr>
                <w:rFonts w:ascii="Arial" w:hAnsi="Arial" w:cs="Arial"/>
                <w:b/>
                <w:iCs/>
                <w:sz w:val="24"/>
                <w:szCs w:val="24"/>
                <w:shd w:val="clear" w:color="auto" w:fill="FFFFFF"/>
              </w:rPr>
              <w:t>Cachexia Sarcopenia Muscle</w:t>
            </w:r>
            <w:r w:rsidRPr="000E71AC">
              <w:rPr>
                <w:rFonts w:ascii="Arial" w:hAnsi="Arial" w:cs="Arial"/>
                <w:iCs/>
                <w:color w:val="000000"/>
                <w:sz w:val="24"/>
                <w:szCs w:val="24"/>
                <w:shd w:val="clear" w:color="auto" w:fill="FFFFFF"/>
              </w:rPr>
              <w:t>, v.</w:t>
            </w:r>
            <w:r w:rsidRPr="000E71AC">
              <w:rPr>
                <w:rFonts w:ascii="Arial" w:hAnsi="Arial" w:cs="Arial"/>
                <w:color w:val="000000"/>
                <w:sz w:val="24"/>
                <w:szCs w:val="24"/>
                <w:shd w:val="clear" w:color="auto" w:fill="FFFFFF"/>
              </w:rPr>
              <w:t> 7, n. 5, p. 512–14, Dec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color w:val="000000"/>
                <w:sz w:val="24"/>
                <w:szCs w:val="24"/>
                <w:shd w:val="clear" w:color="auto" w:fill="FFFFFF"/>
                <w:lang w:val="en-US"/>
              </w:rPr>
              <w:t>BALACHANDRAN, A. High-speed circuit training vs hypertrophy training to improve physical function in sarcopenic obese adults: A randomized controlled trial. </w:t>
            </w:r>
            <w:r w:rsidRPr="000E71AC">
              <w:rPr>
                <w:rFonts w:ascii="Arial" w:hAnsi="Arial" w:cs="Arial"/>
                <w:b/>
                <w:iCs/>
                <w:color w:val="000000"/>
                <w:sz w:val="24"/>
                <w:szCs w:val="24"/>
                <w:shd w:val="clear" w:color="auto" w:fill="FFFFFF"/>
              </w:rPr>
              <w:t>Exp Gerontol</w:t>
            </w:r>
            <w:r w:rsidRPr="000E71AC">
              <w:rPr>
                <w:rFonts w:ascii="Arial" w:hAnsi="Arial" w:cs="Arial"/>
                <w:iCs/>
                <w:color w:val="000000"/>
                <w:sz w:val="24"/>
                <w:szCs w:val="24"/>
                <w:shd w:val="clear" w:color="auto" w:fill="FFFFFF"/>
              </w:rPr>
              <w:t>, n. 60, p. 64-71, Dec</w:t>
            </w:r>
            <w:r w:rsidRPr="000E71AC">
              <w:rPr>
                <w:rFonts w:ascii="Arial" w:hAnsi="Arial" w:cs="Arial"/>
                <w:color w:val="000000"/>
                <w:sz w:val="24"/>
                <w:szCs w:val="24"/>
                <w:shd w:val="clear" w:color="auto" w:fill="FFFFFF"/>
              </w:rPr>
              <w:t xml:space="preserve"> 2014.</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w:t>
            </w:r>
          </w:p>
        </w:tc>
        <w:tc>
          <w:tcPr>
            <w:tcW w:w="7677" w:type="dxa"/>
          </w:tcPr>
          <w:p w:rsidR="000E71AC" w:rsidRPr="000E71AC" w:rsidRDefault="000E71AC" w:rsidP="000E71AC">
            <w:pPr>
              <w:shd w:val="clear" w:color="auto" w:fill="FFFFFF"/>
              <w:spacing w:before="120" w:after="120" w:line="360" w:lineRule="auto"/>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BANDO, M. et al.</w:t>
            </w:r>
            <w:r w:rsidRPr="000E71AC">
              <w:rPr>
                <w:rFonts w:ascii="Arial" w:eastAsia="Times New Roman" w:hAnsi="Arial" w:cs="Arial"/>
                <w:bCs/>
                <w:noProof w:val="0"/>
                <w:kern w:val="36"/>
                <w:sz w:val="24"/>
                <w:szCs w:val="24"/>
                <w:lang w:val="en-US" w:eastAsia="pt-BR"/>
              </w:rPr>
              <w:t xml:space="preserve"> Changes and Variations in Death Due to Senility in Japan</w:t>
            </w:r>
            <w:r w:rsidRPr="000E71AC">
              <w:rPr>
                <w:rFonts w:ascii="Arial" w:eastAsia="Times New Roman" w:hAnsi="Arial" w:cs="Arial"/>
                <w:bCs/>
                <w:i/>
                <w:noProof w:val="0"/>
                <w:kern w:val="36"/>
                <w:sz w:val="24"/>
                <w:szCs w:val="24"/>
                <w:lang w:val="en-US" w:eastAsia="pt-BR"/>
              </w:rPr>
              <w:t>.</w:t>
            </w:r>
            <w:r w:rsidRPr="000E71AC">
              <w:rPr>
                <w:rFonts w:ascii="Arial" w:eastAsia="Times New Roman" w:hAnsi="Arial" w:cs="Arial"/>
                <w:i/>
                <w:noProof w:val="0"/>
                <w:sz w:val="24"/>
                <w:szCs w:val="24"/>
                <w:lang w:val="en-US" w:eastAsia="pt-BR"/>
              </w:rPr>
              <w:t xml:space="preserve"> </w:t>
            </w:r>
            <w:r w:rsidRPr="000E71AC">
              <w:rPr>
                <w:rFonts w:ascii="Arial" w:eastAsia="Times New Roman" w:hAnsi="Arial" w:cs="Arial"/>
                <w:b/>
                <w:noProof w:val="0"/>
                <w:sz w:val="24"/>
                <w:szCs w:val="24"/>
                <w:lang w:val="en-US" w:eastAsia="pt-BR"/>
              </w:rPr>
              <w:t>Healthcare (Basel)</w:t>
            </w:r>
            <w:r w:rsidRPr="000E71AC">
              <w:rPr>
                <w:rFonts w:ascii="Arial" w:eastAsia="Times New Roman" w:hAnsi="Arial" w:cs="Arial"/>
                <w:noProof w:val="0"/>
                <w:sz w:val="24"/>
                <w:szCs w:val="24"/>
                <w:lang w:val="en-US" w:eastAsia="pt-BR"/>
              </w:rPr>
              <w:t>,</w:t>
            </w:r>
            <w:r w:rsidRPr="000E71AC">
              <w:rPr>
                <w:rFonts w:ascii="Arial" w:eastAsia="Times New Roman" w:hAnsi="Arial" w:cs="Arial"/>
                <w:i/>
                <w:noProof w:val="0"/>
                <w:sz w:val="24"/>
                <w:szCs w:val="24"/>
                <w:lang w:val="en-US" w:eastAsia="pt-BR"/>
              </w:rPr>
              <w:t xml:space="preserve"> </w:t>
            </w:r>
            <w:r w:rsidRPr="000E71AC">
              <w:rPr>
                <w:rFonts w:ascii="Arial" w:eastAsia="Times New Roman" w:hAnsi="Arial" w:cs="Arial"/>
                <w:noProof w:val="0"/>
                <w:sz w:val="24"/>
                <w:szCs w:val="24"/>
                <w:lang w:val="en-US" w:eastAsia="pt-BR"/>
              </w:rPr>
              <w:t>v. 4, n. 30, p.</w:t>
            </w:r>
            <w:r w:rsidRPr="000E71AC">
              <w:rPr>
                <w:rFonts w:ascii="Arial" w:hAnsi="Arial" w:cs="Arial"/>
                <w:sz w:val="24"/>
                <w:szCs w:val="24"/>
                <w:shd w:val="clear" w:color="auto" w:fill="FFFFFF"/>
                <w:lang w:val="en-US"/>
              </w:rPr>
              <w:t xml:space="preserve"> 443-50, Oct 2020.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8.</w:t>
            </w:r>
          </w:p>
        </w:tc>
        <w:tc>
          <w:tcPr>
            <w:tcW w:w="7677" w:type="dxa"/>
          </w:tcPr>
          <w:p w:rsidR="000E71AC" w:rsidRPr="000E71AC" w:rsidRDefault="000E71AC" w:rsidP="000E71AC">
            <w:pPr>
              <w:spacing w:before="120" w:after="120" w:line="360" w:lineRule="auto"/>
              <w:jc w:val="both"/>
              <w:rPr>
                <w:rFonts w:ascii="Arial" w:hAnsi="Arial" w:cs="Arial"/>
                <w:color w:val="000000"/>
                <w:sz w:val="24"/>
                <w:szCs w:val="24"/>
                <w:shd w:val="clear" w:color="auto" w:fill="FFFFFF"/>
                <w:lang w:val="en-US"/>
              </w:rPr>
            </w:pPr>
            <w:r w:rsidRPr="000E71AC">
              <w:rPr>
                <w:rFonts w:ascii="Arial" w:hAnsi="Arial" w:cs="Arial"/>
                <w:sz w:val="24"/>
                <w:szCs w:val="24"/>
                <w:shd w:val="clear" w:color="auto" w:fill="FFFFFF"/>
                <w:lang w:val="en-US"/>
              </w:rPr>
              <w:t>BATSIS, J. et al.</w:t>
            </w:r>
            <w:r w:rsidRPr="000E71AC">
              <w:rPr>
                <w:rFonts w:ascii="Arial" w:eastAsia="Times New Roman" w:hAnsi="Arial" w:cs="Arial"/>
                <w:bCs/>
                <w:noProof w:val="0"/>
                <w:kern w:val="36"/>
                <w:sz w:val="24"/>
                <w:szCs w:val="24"/>
                <w:lang w:val="en-US" w:eastAsia="pt-BR"/>
              </w:rPr>
              <w:t xml:space="preserve">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in older adults: </w:t>
            </w:r>
            <w:proofErr w:type="spellStart"/>
            <w:r w:rsidRPr="000E71AC">
              <w:rPr>
                <w:rFonts w:ascii="Arial" w:eastAsia="Times New Roman" w:hAnsi="Arial" w:cs="Arial"/>
                <w:bCs/>
                <w:noProof w:val="0"/>
                <w:kern w:val="36"/>
                <w:sz w:val="24"/>
                <w:szCs w:val="24"/>
                <w:lang w:val="en-US" w:eastAsia="pt-BR"/>
              </w:rPr>
              <w:t>aetiology</w:t>
            </w:r>
            <w:proofErr w:type="spellEnd"/>
            <w:r w:rsidRPr="000E71AC">
              <w:rPr>
                <w:rFonts w:ascii="Arial" w:eastAsia="Times New Roman" w:hAnsi="Arial" w:cs="Arial"/>
                <w:bCs/>
                <w:noProof w:val="0"/>
                <w:kern w:val="36"/>
                <w:sz w:val="24"/>
                <w:szCs w:val="24"/>
                <w:lang w:val="en-US" w:eastAsia="pt-BR"/>
              </w:rPr>
              <w:t xml:space="preserve">, epidemiology and treatment strategies. </w:t>
            </w:r>
            <w:r w:rsidRPr="000E71AC">
              <w:rPr>
                <w:rFonts w:ascii="Arial" w:eastAsia="Times New Roman" w:hAnsi="Arial" w:cs="Arial"/>
                <w:b/>
                <w:bCs/>
                <w:noProof w:val="0"/>
                <w:kern w:val="36"/>
                <w:sz w:val="24"/>
                <w:szCs w:val="24"/>
                <w:lang w:val="en-US" w:eastAsia="pt-BR"/>
              </w:rPr>
              <w:t xml:space="preserve">Nat </w:t>
            </w:r>
            <w:proofErr w:type="spellStart"/>
            <w:r w:rsidRPr="000E71AC">
              <w:rPr>
                <w:rFonts w:ascii="Arial" w:eastAsia="Times New Roman" w:hAnsi="Arial" w:cs="Arial"/>
                <w:b/>
                <w:bCs/>
                <w:noProof w:val="0"/>
                <w:kern w:val="36"/>
                <w:sz w:val="24"/>
                <w:szCs w:val="24"/>
                <w:lang w:val="en-US" w:eastAsia="pt-BR"/>
              </w:rPr>
              <w:t>Ver</w:t>
            </w:r>
            <w:proofErr w:type="spellEnd"/>
            <w:r w:rsidRPr="000E71AC">
              <w:rPr>
                <w:rFonts w:ascii="Arial" w:eastAsia="Times New Roman" w:hAnsi="Arial" w:cs="Arial"/>
                <w:b/>
                <w:bCs/>
                <w:noProof w:val="0"/>
                <w:kern w:val="36"/>
                <w:sz w:val="24"/>
                <w:szCs w:val="24"/>
                <w:lang w:val="en-US" w:eastAsia="pt-BR"/>
              </w:rPr>
              <w:t xml:space="preserve"> </w:t>
            </w:r>
            <w:proofErr w:type="spellStart"/>
            <w:r w:rsidRPr="000E71AC">
              <w:rPr>
                <w:rFonts w:ascii="Arial" w:eastAsia="Times New Roman" w:hAnsi="Arial" w:cs="Arial"/>
                <w:b/>
                <w:bCs/>
                <w:noProof w:val="0"/>
                <w:kern w:val="36"/>
                <w:sz w:val="24"/>
                <w:szCs w:val="24"/>
                <w:lang w:val="en-US" w:eastAsia="pt-BR"/>
              </w:rPr>
              <w:t>Endocrinol</w:t>
            </w:r>
            <w:proofErr w:type="spellEnd"/>
            <w:r w:rsidRPr="000E71AC">
              <w:rPr>
                <w:rFonts w:ascii="Arial" w:eastAsia="Times New Roman" w:hAnsi="Arial" w:cs="Arial"/>
                <w:bCs/>
                <w:noProof w:val="0"/>
                <w:kern w:val="36"/>
                <w:sz w:val="24"/>
                <w:szCs w:val="24"/>
                <w:lang w:val="en-US" w:eastAsia="pt-BR"/>
              </w:rPr>
              <w:t>, v. 14, n. 9, p. 513-37, Sep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9.</w:t>
            </w:r>
          </w:p>
        </w:tc>
        <w:tc>
          <w:tcPr>
            <w:tcW w:w="7677" w:type="dxa"/>
          </w:tcPr>
          <w:p w:rsidR="000E71AC" w:rsidRPr="000E71AC" w:rsidRDefault="000E71AC" w:rsidP="000E71AC">
            <w:pPr>
              <w:spacing w:before="120" w:after="120" w:line="360" w:lineRule="auto"/>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BAUMGARTNER, R. N. Body composition in healthy aging. </w:t>
            </w:r>
            <w:r w:rsidRPr="000E71AC">
              <w:rPr>
                <w:rFonts w:ascii="Arial" w:hAnsi="Arial" w:cs="Arial"/>
                <w:b/>
                <w:sz w:val="24"/>
                <w:szCs w:val="24"/>
                <w:shd w:val="clear" w:color="auto" w:fill="FFFFFF"/>
                <w:lang w:val="en-US"/>
              </w:rPr>
              <w:t>Ann N Y Acad Sci,</w:t>
            </w:r>
            <w:r w:rsidRPr="000E71AC">
              <w:rPr>
                <w:rFonts w:ascii="Arial" w:hAnsi="Arial" w:cs="Arial"/>
                <w:sz w:val="24"/>
                <w:szCs w:val="24"/>
                <w:shd w:val="clear" w:color="auto" w:fill="FFFFFF"/>
                <w:lang w:val="en-US"/>
              </w:rPr>
              <w:t xml:space="preserve"> n. 904, p. 437-48, May 2000.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10.</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color w:val="FF0000"/>
                <w:sz w:val="24"/>
                <w:szCs w:val="24"/>
                <w:shd w:val="clear" w:color="auto" w:fill="FFFFFF"/>
                <w:lang w:val="en-US"/>
              </w:rPr>
            </w:pPr>
            <w:r w:rsidRPr="000E71AC">
              <w:rPr>
                <w:rFonts w:ascii="Arial" w:eastAsiaTheme="majorEastAsia" w:hAnsi="Arial" w:cs="Arial"/>
                <w:sz w:val="24"/>
                <w:szCs w:val="24"/>
                <w:shd w:val="clear" w:color="auto" w:fill="FFFFFF"/>
                <w:lang w:val="en-US"/>
              </w:rPr>
              <w:t>BOATENG, G. O. et al.</w:t>
            </w:r>
            <w:r w:rsidRPr="000E71AC">
              <w:rPr>
                <w:rFonts w:ascii="Arial" w:eastAsia="Times New Roman" w:hAnsi="Arial" w:cs="Arial"/>
                <w:bCs/>
                <w:noProof w:val="0"/>
                <w:kern w:val="36"/>
                <w:sz w:val="24"/>
                <w:szCs w:val="24"/>
                <w:lang w:val="en-US" w:eastAsia="pt-BR"/>
              </w:rPr>
              <w:t xml:space="preserve"> Obesity and the burden of health risks among the elderly in Ghana: A population study. </w:t>
            </w:r>
            <w:proofErr w:type="spellStart"/>
            <w:r w:rsidRPr="000E71AC">
              <w:rPr>
                <w:rFonts w:ascii="Arial" w:eastAsia="Times New Roman" w:hAnsi="Arial" w:cs="Arial"/>
                <w:b/>
                <w:bCs/>
                <w:noProof w:val="0"/>
                <w:kern w:val="36"/>
                <w:sz w:val="24"/>
                <w:szCs w:val="24"/>
                <w:lang w:val="en-US" w:eastAsia="pt-BR"/>
              </w:rPr>
              <w:t>PloS</w:t>
            </w:r>
            <w:proofErr w:type="spellEnd"/>
            <w:r w:rsidRPr="000E71AC">
              <w:rPr>
                <w:rFonts w:ascii="Arial" w:eastAsia="Times New Roman" w:hAnsi="Arial" w:cs="Arial"/>
                <w:b/>
                <w:bCs/>
                <w:noProof w:val="0"/>
                <w:kern w:val="36"/>
                <w:sz w:val="24"/>
                <w:szCs w:val="24"/>
                <w:lang w:val="en-US" w:eastAsia="pt-BR"/>
              </w:rPr>
              <w:t xml:space="preserve"> One</w:t>
            </w:r>
            <w:r w:rsidRPr="000E71AC">
              <w:rPr>
                <w:rFonts w:ascii="Arial" w:eastAsia="Times New Roman" w:hAnsi="Arial" w:cs="Arial"/>
                <w:bCs/>
                <w:noProof w:val="0"/>
                <w:kern w:val="36"/>
                <w:sz w:val="24"/>
                <w:szCs w:val="24"/>
                <w:lang w:val="en-US" w:eastAsia="pt-BR"/>
              </w:rPr>
              <w:t xml:space="preserve">, v. 8, n. 12, p.  </w:t>
            </w:r>
            <w:r w:rsidRPr="000E71AC">
              <w:rPr>
                <w:rFonts w:ascii="Arial" w:eastAsiaTheme="majorEastAsia" w:hAnsi="Arial" w:cs="Arial"/>
                <w:sz w:val="24"/>
                <w:szCs w:val="24"/>
                <w:shd w:val="clear" w:color="auto" w:fill="FFFFFF"/>
                <w:lang w:val="en-US"/>
              </w:rPr>
              <w:t xml:space="preserve">e0186947, Nov </w:t>
            </w:r>
            <w:r w:rsidRPr="000E71AC">
              <w:rPr>
                <w:rFonts w:ascii="Arial" w:eastAsia="Times New Roman" w:hAnsi="Arial" w:cs="Arial"/>
                <w:bCs/>
                <w:noProof w:val="0"/>
                <w:kern w:val="36"/>
                <w:sz w:val="24"/>
                <w:szCs w:val="24"/>
                <w:lang w:val="en-US" w:eastAsia="pt-BR"/>
              </w:rPr>
              <w:t>2017.</w:t>
            </w:r>
            <w:r w:rsidRPr="000E71AC">
              <w:rPr>
                <w:rFonts w:ascii="Arial" w:eastAsiaTheme="majorEastAsia" w:hAnsi="Arial" w:cs="Arial"/>
                <w:sz w:val="24"/>
                <w:szCs w:val="24"/>
                <w:shd w:val="clear" w:color="auto" w:fill="FFFFFF"/>
                <w:lang w:val="en-US"/>
              </w:rPr>
              <w:t xml:space="preserve">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11.</w:t>
            </w:r>
          </w:p>
        </w:tc>
        <w:tc>
          <w:tcPr>
            <w:tcW w:w="7677" w:type="dxa"/>
          </w:tcPr>
          <w:p w:rsidR="000E71AC" w:rsidRPr="000E71AC" w:rsidRDefault="000E71AC" w:rsidP="000E71AC">
            <w:pPr>
              <w:spacing w:before="120" w:after="120" w:line="360" w:lineRule="auto"/>
              <w:jc w:val="both"/>
              <w:rPr>
                <w:rFonts w:ascii="Arial" w:hAnsi="Arial" w:cs="Arial"/>
                <w:sz w:val="24"/>
                <w:szCs w:val="24"/>
                <w:lang w:val="en-US"/>
              </w:rPr>
            </w:pPr>
            <w:r w:rsidRPr="000E71AC">
              <w:rPr>
                <w:rFonts w:ascii="Arial" w:eastAsia="Times New Roman" w:hAnsi="Arial" w:cs="Arial"/>
                <w:sz w:val="24"/>
                <w:szCs w:val="24"/>
                <w:lang w:val="en-US" w:eastAsia="pt-BR"/>
              </w:rPr>
              <w:t>CEGLIA, L. et al.</w:t>
            </w:r>
            <w:r w:rsidRPr="000E71AC">
              <w:rPr>
                <w:rFonts w:ascii="Arial" w:hAnsi="Arial" w:cs="Arial"/>
                <w:sz w:val="24"/>
                <w:szCs w:val="24"/>
                <w:lang w:val="en-US"/>
              </w:rPr>
              <w:t xml:space="preserve"> A randomized study on the effect of vitamin d3 supplementation on skeletal muscle morphology and vitamin d receptor concentration in older women. </w:t>
            </w:r>
            <w:r w:rsidRPr="000E71AC">
              <w:rPr>
                <w:rFonts w:ascii="Arial" w:hAnsi="Arial" w:cs="Arial"/>
                <w:b/>
                <w:sz w:val="24"/>
                <w:szCs w:val="24"/>
                <w:lang w:val="en-US"/>
              </w:rPr>
              <w:t>J Clin Endocrinol Metab</w:t>
            </w:r>
            <w:r w:rsidRPr="000E71AC">
              <w:rPr>
                <w:rFonts w:ascii="Arial" w:hAnsi="Arial" w:cs="Arial"/>
                <w:sz w:val="24"/>
                <w:szCs w:val="24"/>
                <w:lang w:val="en-US"/>
              </w:rPr>
              <w:t>, v. 98, n. 12, p. 1927–35, Dec 2013.</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12.</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eastAsia="Times New Roman" w:hAnsi="Arial" w:cs="Arial"/>
                <w:sz w:val="24"/>
                <w:szCs w:val="24"/>
                <w:lang w:val="en-US" w:eastAsia="pt-BR"/>
              </w:rPr>
              <w:t>CIUDIN, A.</w:t>
            </w:r>
            <w:r w:rsidRPr="000E71AC">
              <w:rPr>
                <w:rFonts w:ascii="Arial" w:eastAsia="Times New Roman" w:hAnsi="Arial" w:cs="Arial"/>
                <w:bCs/>
                <w:noProof w:val="0"/>
                <w:kern w:val="36"/>
                <w:sz w:val="24"/>
                <w:szCs w:val="24"/>
                <w:lang w:val="en-US" w:eastAsia="pt-BR"/>
              </w:rPr>
              <w:t xml:space="preserve"> et al.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a new challenge in the clinical practice. </w:t>
            </w:r>
            <w:proofErr w:type="spellStart"/>
            <w:r w:rsidRPr="000E71AC">
              <w:rPr>
                <w:rFonts w:ascii="Arial" w:eastAsia="Times New Roman" w:hAnsi="Arial" w:cs="Arial"/>
                <w:b/>
                <w:noProof w:val="0"/>
                <w:sz w:val="24"/>
                <w:szCs w:val="24"/>
                <w:lang w:val="en-US" w:eastAsia="pt-BR"/>
              </w:rPr>
              <w:t>Endocrinol</w:t>
            </w:r>
            <w:proofErr w:type="spellEnd"/>
            <w:r w:rsidRPr="000E71AC">
              <w:rPr>
                <w:rFonts w:ascii="Arial" w:eastAsia="Times New Roman" w:hAnsi="Arial" w:cs="Arial"/>
                <w:b/>
                <w:noProof w:val="0"/>
                <w:sz w:val="24"/>
                <w:szCs w:val="24"/>
                <w:lang w:val="en-US" w:eastAsia="pt-BR"/>
              </w:rPr>
              <w:t xml:space="preserve"> Diabetes </w:t>
            </w:r>
            <w:proofErr w:type="spellStart"/>
            <w:r w:rsidRPr="000E71AC">
              <w:rPr>
                <w:rFonts w:ascii="Arial" w:eastAsia="Times New Roman" w:hAnsi="Arial" w:cs="Arial"/>
                <w:b/>
                <w:noProof w:val="0"/>
                <w:sz w:val="24"/>
                <w:szCs w:val="24"/>
                <w:lang w:val="en-US" w:eastAsia="pt-BR"/>
              </w:rPr>
              <w:t>Nutr</w:t>
            </w:r>
            <w:proofErr w:type="spellEnd"/>
            <w:r w:rsidRPr="000E71AC">
              <w:rPr>
                <w:rFonts w:ascii="Arial" w:eastAsia="Times New Roman" w:hAnsi="Arial" w:cs="Arial"/>
                <w:noProof w:val="0"/>
                <w:sz w:val="24"/>
                <w:szCs w:val="24"/>
                <w:lang w:val="en-US" w:eastAsia="pt-BR"/>
              </w:rPr>
              <w:t xml:space="preserve">, v. </w:t>
            </w:r>
            <w:r w:rsidRPr="000E71AC">
              <w:rPr>
                <w:rFonts w:ascii="Arial" w:hAnsi="Arial" w:cs="Arial"/>
                <w:sz w:val="24"/>
                <w:szCs w:val="24"/>
                <w:shd w:val="clear" w:color="auto" w:fill="FFFFFF"/>
                <w:lang w:val="en-US"/>
              </w:rPr>
              <w:t>67, n. 10, p. 672-81, Dec 2020.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13.</w:t>
            </w:r>
          </w:p>
        </w:tc>
        <w:tc>
          <w:tcPr>
            <w:tcW w:w="7677" w:type="dxa"/>
          </w:tcPr>
          <w:p w:rsidR="000E71AC" w:rsidRPr="000E71AC" w:rsidRDefault="000E71AC" w:rsidP="000E71AC">
            <w:pPr>
              <w:shd w:val="clear" w:color="auto" w:fill="FFFFFF"/>
              <w:spacing w:before="120" w:after="120" w:line="360" w:lineRule="auto"/>
              <w:jc w:val="both"/>
              <w:rPr>
                <w:rFonts w:ascii="Arial" w:hAnsi="Arial" w:cs="Arial"/>
                <w:color w:val="000000"/>
                <w:sz w:val="24"/>
                <w:szCs w:val="24"/>
                <w:shd w:val="clear" w:color="auto" w:fill="FFFFFF"/>
                <w:lang w:val="en-US"/>
              </w:rPr>
            </w:pPr>
            <w:r w:rsidRPr="000E71AC">
              <w:rPr>
                <w:rFonts w:ascii="Arial" w:eastAsia="Times New Roman" w:hAnsi="Arial" w:cs="Arial"/>
                <w:sz w:val="24"/>
                <w:szCs w:val="24"/>
                <w:lang w:val="en-US" w:eastAsia="pt-BR"/>
              </w:rPr>
              <w:t>CHEN, H. T. et al.</w:t>
            </w:r>
            <w:r w:rsidRPr="000E71AC">
              <w:rPr>
                <w:rFonts w:ascii="Arial" w:hAnsi="Arial" w:cs="Arial"/>
                <w:color w:val="000000"/>
                <w:sz w:val="24"/>
                <w:szCs w:val="24"/>
                <w:shd w:val="clear" w:color="auto" w:fill="FFFFFF"/>
                <w:lang w:val="en-US"/>
              </w:rPr>
              <w:t xml:space="preserve"> Effects of different types of exercise on body composition, muscle strength, and IGF-1 in the Elderly with sarcopenic obesity</w:t>
            </w:r>
            <w:r w:rsidRPr="000E71AC">
              <w:rPr>
                <w:rFonts w:ascii="Arial" w:hAnsi="Arial" w:cs="Arial"/>
                <w:sz w:val="24"/>
                <w:szCs w:val="24"/>
                <w:shd w:val="clear" w:color="auto" w:fill="FFFFFF"/>
                <w:lang w:val="en-US"/>
              </w:rPr>
              <w:t>. </w:t>
            </w:r>
            <w:r w:rsidRPr="000E71AC">
              <w:rPr>
                <w:rFonts w:ascii="Arial" w:hAnsi="Arial" w:cs="Arial"/>
                <w:b/>
                <w:iCs/>
                <w:sz w:val="24"/>
                <w:szCs w:val="24"/>
                <w:shd w:val="clear" w:color="auto" w:fill="FFFFFF"/>
                <w:lang w:val="en-US"/>
              </w:rPr>
              <w:t>J  Am Geriatr  Soc</w:t>
            </w:r>
            <w:r w:rsidRPr="000E71AC">
              <w:rPr>
                <w:rFonts w:ascii="Arial" w:hAnsi="Arial" w:cs="Arial"/>
                <w:i/>
                <w:iCs/>
                <w:color w:val="000000"/>
                <w:sz w:val="24"/>
                <w:szCs w:val="24"/>
                <w:shd w:val="clear" w:color="auto" w:fill="FFFFFF"/>
                <w:lang w:val="en-US"/>
              </w:rPr>
              <w:t xml:space="preserve">, </w:t>
            </w:r>
            <w:r w:rsidRPr="000E71AC">
              <w:rPr>
                <w:rFonts w:ascii="Arial" w:hAnsi="Arial" w:cs="Arial"/>
                <w:iCs/>
                <w:color w:val="000000"/>
                <w:sz w:val="24"/>
                <w:szCs w:val="24"/>
                <w:shd w:val="clear" w:color="auto" w:fill="FFFFFF"/>
                <w:lang w:val="en-US"/>
              </w:rPr>
              <w:t>v</w:t>
            </w:r>
            <w:r w:rsidRPr="000E71AC">
              <w:rPr>
                <w:rFonts w:ascii="Arial" w:hAnsi="Arial" w:cs="Arial"/>
                <w:i/>
                <w:iCs/>
                <w:color w:val="000000"/>
                <w:sz w:val="24"/>
                <w:szCs w:val="24"/>
                <w:shd w:val="clear" w:color="auto" w:fill="FFFFFF"/>
                <w:lang w:val="en-US"/>
              </w:rPr>
              <w:t>.</w:t>
            </w:r>
            <w:r w:rsidRPr="000E71AC">
              <w:rPr>
                <w:rFonts w:ascii="Arial" w:hAnsi="Arial" w:cs="Arial"/>
                <w:color w:val="000000"/>
                <w:sz w:val="24"/>
                <w:szCs w:val="24"/>
                <w:shd w:val="clear" w:color="auto" w:fill="FFFFFF"/>
                <w:lang w:val="en-US"/>
              </w:rPr>
              <w:t xml:space="preserve"> 65, n. 4, p. 827–32, Apr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14.</w:t>
            </w:r>
          </w:p>
        </w:tc>
        <w:tc>
          <w:tcPr>
            <w:tcW w:w="7677" w:type="dxa"/>
          </w:tcPr>
          <w:p w:rsidR="000E71AC" w:rsidRPr="000E71AC" w:rsidRDefault="000E71AC" w:rsidP="000E71AC">
            <w:pPr>
              <w:shd w:val="clear" w:color="auto" w:fill="FFFFFF"/>
              <w:spacing w:before="120" w:after="120" w:line="360" w:lineRule="auto"/>
              <w:jc w:val="both"/>
              <w:rPr>
                <w:rFonts w:ascii="Arial" w:hAnsi="Arial" w:cs="Arial"/>
                <w:iCs/>
                <w:color w:val="000000"/>
                <w:sz w:val="24"/>
                <w:szCs w:val="24"/>
                <w:shd w:val="clear" w:color="auto" w:fill="FFFFFF"/>
                <w:lang w:val="en-US"/>
              </w:rPr>
            </w:pPr>
            <w:r w:rsidRPr="000E71AC">
              <w:rPr>
                <w:rFonts w:ascii="Arial" w:eastAsia="Times New Roman" w:hAnsi="Arial" w:cs="Arial"/>
                <w:sz w:val="24"/>
                <w:szCs w:val="24"/>
                <w:lang w:val="es-ES" w:eastAsia="pt-BR"/>
              </w:rPr>
              <w:t xml:space="preserve">CHIU, S. C. et al. </w:t>
            </w:r>
            <w:r w:rsidRPr="000E71AC">
              <w:rPr>
                <w:rFonts w:ascii="Arial" w:hAnsi="Arial" w:cs="Arial"/>
                <w:color w:val="000000"/>
                <w:sz w:val="24"/>
                <w:szCs w:val="24"/>
                <w:shd w:val="clear" w:color="auto" w:fill="FFFFFF"/>
                <w:lang w:val="en-US"/>
              </w:rPr>
              <w:t>Effects of resistance training on body composition and functional capacity among sarcopenic obese residents in long-term care facilities: A preliminary study. </w:t>
            </w:r>
            <w:r w:rsidRPr="000E71AC">
              <w:rPr>
                <w:rFonts w:ascii="Arial" w:hAnsi="Arial" w:cs="Arial"/>
                <w:b/>
                <w:iCs/>
                <w:color w:val="000000"/>
                <w:sz w:val="24"/>
                <w:szCs w:val="24"/>
                <w:shd w:val="clear" w:color="auto" w:fill="FFFFFF"/>
                <w:lang w:val="en-US"/>
              </w:rPr>
              <w:t>BMC Geriatr</w:t>
            </w:r>
            <w:r w:rsidRPr="000E71AC">
              <w:rPr>
                <w:rFonts w:ascii="Arial" w:hAnsi="Arial" w:cs="Arial"/>
                <w:iCs/>
                <w:color w:val="000000"/>
                <w:sz w:val="24"/>
                <w:szCs w:val="24"/>
                <w:shd w:val="clear" w:color="auto" w:fill="FFFFFF"/>
                <w:lang w:val="en-US"/>
              </w:rPr>
              <w:t>, v. 22, n. 1, p. 18-21, Jan 2018.</w:t>
            </w:r>
            <w:r w:rsidRPr="000E71AC">
              <w:rPr>
                <w:rFonts w:ascii="Arial" w:hAnsi="Arial" w:cs="Arial"/>
                <w:color w:val="FF0000"/>
                <w:sz w:val="24"/>
                <w:szCs w:val="24"/>
                <w:shd w:val="clear" w:color="auto" w:fill="FFFFFF"/>
                <w:lang w:val="en-US"/>
              </w:rPr>
              <w:t xml:space="preserve">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15.</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eastAsia="Times New Roman" w:hAnsi="Arial" w:cs="Arial"/>
                <w:sz w:val="24"/>
                <w:szCs w:val="24"/>
                <w:lang w:val="en-US" w:eastAsia="pt-BR"/>
              </w:rPr>
              <w:t>CHOI, K. M. Sarcopenic and sarcopenic obesity.</w:t>
            </w:r>
            <w:r w:rsidRPr="000E71AC">
              <w:rPr>
                <w:rFonts w:ascii="Arial" w:hAnsi="Arial" w:cs="Arial"/>
                <w:sz w:val="24"/>
                <w:szCs w:val="24"/>
                <w:lang w:val="en-US"/>
              </w:rPr>
              <w:t xml:space="preserve"> </w:t>
            </w:r>
            <w:hyperlink r:id="rId17" w:tooltip="The Korean journal of internal medicine." w:history="1">
              <w:r w:rsidRPr="000E71AC">
                <w:rPr>
                  <w:rFonts w:ascii="Arial" w:hAnsi="Arial" w:cs="Arial"/>
                  <w:b/>
                  <w:sz w:val="24"/>
                  <w:szCs w:val="24"/>
                  <w:shd w:val="clear" w:color="auto" w:fill="FFFFFF"/>
                </w:rPr>
                <w:t>Korean J Intern Med</w:t>
              </w:r>
            </w:hyperlink>
            <w:r w:rsidRPr="000E71AC">
              <w:rPr>
                <w:rFonts w:ascii="Arial" w:hAnsi="Arial" w:cs="Arial"/>
                <w:b/>
                <w:sz w:val="24"/>
                <w:szCs w:val="24"/>
                <w:shd w:val="clear" w:color="auto" w:fill="FFFFFF"/>
              </w:rPr>
              <w:t xml:space="preserve"> </w:t>
            </w:r>
            <w:r w:rsidRPr="000E71AC">
              <w:rPr>
                <w:rFonts w:ascii="Arial" w:hAnsi="Arial" w:cs="Arial"/>
                <w:sz w:val="24"/>
                <w:szCs w:val="24"/>
                <w:shd w:val="clear" w:color="auto" w:fill="FFFFFF"/>
              </w:rPr>
              <w:t>v. 31, n. 6, p. 1054-60, Nov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16.</w:t>
            </w:r>
          </w:p>
        </w:tc>
        <w:tc>
          <w:tcPr>
            <w:tcW w:w="7677" w:type="dxa"/>
          </w:tcPr>
          <w:p w:rsidR="000E71AC" w:rsidRPr="000E71AC" w:rsidRDefault="000E71AC" w:rsidP="000E71AC">
            <w:pPr>
              <w:spacing w:before="120" w:after="120" w:line="360" w:lineRule="auto"/>
              <w:jc w:val="both"/>
              <w:rPr>
                <w:rFonts w:ascii="Arial" w:hAnsi="Arial" w:cs="Arial"/>
                <w:sz w:val="24"/>
                <w:szCs w:val="24"/>
              </w:rPr>
            </w:pPr>
            <w:r w:rsidRPr="000E71AC">
              <w:rPr>
                <w:rFonts w:ascii="Arial" w:hAnsi="Arial" w:cs="Arial"/>
                <w:sz w:val="24"/>
                <w:szCs w:val="24"/>
              </w:rPr>
              <w:t>CONSELHO NACIONAL DE SAÚDE. Resolução n</w:t>
            </w:r>
            <w:r w:rsidRPr="000E71AC">
              <w:rPr>
                <w:rFonts w:ascii="Arial" w:hAnsi="Arial" w:cs="Arial"/>
                <w:sz w:val="24"/>
                <w:szCs w:val="24"/>
                <w:vertAlign w:val="superscript"/>
              </w:rPr>
              <w:t>o</w:t>
            </w:r>
            <w:r w:rsidRPr="000E71AC">
              <w:rPr>
                <w:rFonts w:ascii="Arial" w:hAnsi="Arial" w:cs="Arial"/>
                <w:sz w:val="24"/>
                <w:szCs w:val="24"/>
              </w:rPr>
              <w:t xml:space="preserve"> 466/12, disponível em: &lt;</w:t>
            </w:r>
            <w:hyperlink r:id="rId18" w:history="1">
              <w:r w:rsidRPr="000E71AC">
                <w:rPr>
                  <w:rFonts w:ascii="Arial" w:hAnsi="Arial" w:cs="Arial"/>
                  <w:sz w:val="24"/>
                  <w:szCs w:val="24"/>
                  <w:u w:val="single"/>
                </w:rPr>
                <w:t>http://conselho.saude.gov.br/</w:t>
              </w:r>
            </w:hyperlink>
            <w:r w:rsidRPr="000E71AC">
              <w:rPr>
                <w:rFonts w:ascii="Arial" w:hAnsi="Arial" w:cs="Arial"/>
                <w:sz w:val="24"/>
                <w:szCs w:val="24"/>
              </w:rPr>
              <w:t>&gt;  acesso em: 02/12/2018.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17.</w:t>
            </w:r>
          </w:p>
        </w:tc>
        <w:tc>
          <w:tcPr>
            <w:tcW w:w="7677" w:type="dxa"/>
          </w:tcPr>
          <w:p w:rsidR="000E71AC" w:rsidRPr="000E71AC" w:rsidRDefault="000E71AC" w:rsidP="000E71AC">
            <w:pPr>
              <w:spacing w:before="120" w:after="120" w:line="360" w:lineRule="auto"/>
              <w:jc w:val="both"/>
              <w:rPr>
                <w:rFonts w:ascii="Arial" w:hAnsi="Arial" w:cs="Arial"/>
                <w:color w:val="FF0000"/>
                <w:sz w:val="24"/>
                <w:szCs w:val="24"/>
              </w:rPr>
            </w:pPr>
            <w:r w:rsidRPr="000E71AC">
              <w:rPr>
                <w:rFonts w:ascii="Arial" w:hAnsi="Arial" w:cs="Arial"/>
                <w:sz w:val="24"/>
                <w:szCs w:val="24"/>
              </w:rPr>
              <w:t xml:space="preserve">COUTINHO, E. S. F; CUNHA G. M. Conceitos básicos de epidemiologia e estatística para a leitura de ensaios clínicos controlados. </w:t>
            </w:r>
            <w:r w:rsidRPr="000E71AC">
              <w:rPr>
                <w:rFonts w:ascii="Arial" w:hAnsi="Arial" w:cs="Arial"/>
                <w:b/>
                <w:sz w:val="24"/>
                <w:szCs w:val="24"/>
              </w:rPr>
              <w:t>Rev Bras</w:t>
            </w:r>
            <w:r w:rsidRPr="000E71AC">
              <w:rPr>
                <w:rFonts w:ascii="Arial" w:hAnsi="Arial" w:cs="Arial"/>
                <w:sz w:val="24"/>
                <w:szCs w:val="24"/>
              </w:rPr>
              <w:t xml:space="preserve"> </w:t>
            </w:r>
            <w:r w:rsidRPr="000E71AC">
              <w:rPr>
                <w:rFonts w:ascii="Arial" w:hAnsi="Arial" w:cs="Arial"/>
                <w:b/>
                <w:sz w:val="24"/>
                <w:szCs w:val="24"/>
              </w:rPr>
              <w:t>Psiquiatr</w:t>
            </w:r>
            <w:r w:rsidRPr="000E71AC">
              <w:rPr>
                <w:rFonts w:ascii="Arial" w:hAnsi="Arial" w:cs="Arial"/>
                <w:sz w:val="24"/>
                <w:szCs w:val="24"/>
              </w:rPr>
              <w:t>, v. 27, n. 2, p.146-51, Jun 2005</w:t>
            </w:r>
            <w:r w:rsidRPr="000E71AC">
              <w:rPr>
                <w:rFonts w:ascii="Arial" w:hAnsi="Arial" w:cs="Arial"/>
                <w:color w:val="FF0000"/>
                <w:sz w:val="24"/>
                <w:szCs w:val="24"/>
              </w:rPr>
              <w:t>.</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18.</w:t>
            </w:r>
          </w:p>
        </w:tc>
        <w:tc>
          <w:tcPr>
            <w:tcW w:w="7677" w:type="dxa"/>
          </w:tcPr>
          <w:p w:rsidR="000E71AC" w:rsidRPr="000E71AC" w:rsidRDefault="000E71AC" w:rsidP="000E71AC">
            <w:pPr>
              <w:spacing w:before="120" w:after="120" w:line="360" w:lineRule="auto"/>
              <w:rPr>
                <w:rFonts w:ascii="Arial" w:hAnsi="Arial" w:cs="Arial"/>
                <w:sz w:val="24"/>
                <w:szCs w:val="24"/>
              </w:rPr>
            </w:pPr>
            <w:r w:rsidRPr="000E71AC">
              <w:rPr>
                <w:rFonts w:ascii="Arial" w:eastAsiaTheme="majorEastAsia" w:hAnsi="Arial" w:cs="Arial"/>
                <w:sz w:val="24"/>
                <w:szCs w:val="24"/>
                <w:lang w:val="en-US"/>
              </w:rPr>
              <w:t xml:space="preserve">DA COSTA, J. P. et al, </w:t>
            </w:r>
            <w:r w:rsidRPr="000E71AC">
              <w:rPr>
                <w:rFonts w:ascii="Arial" w:eastAsia="Times New Roman" w:hAnsi="Arial" w:cs="Arial"/>
                <w:bCs/>
                <w:kern w:val="36"/>
                <w:sz w:val="24"/>
                <w:szCs w:val="24"/>
                <w:lang w:val="en-US" w:eastAsia="pt-BR"/>
              </w:rPr>
              <w:t>A synopsis on aging-Theories, mechanisms and future prospects.</w:t>
            </w:r>
            <w:r w:rsidRPr="000E71AC">
              <w:rPr>
                <w:rFonts w:ascii="Arial" w:eastAsiaTheme="majorEastAsia" w:hAnsi="Arial" w:cs="Arial"/>
                <w:sz w:val="24"/>
                <w:szCs w:val="24"/>
                <w:lang w:val="en-US"/>
              </w:rPr>
              <w:t xml:space="preserve"> </w:t>
            </w:r>
            <w:hyperlink r:id="rId19" w:tooltip="Ageing research reviews." w:history="1">
              <w:r w:rsidRPr="000E71AC">
                <w:rPr>
                  <w:rFonts w:ascii="Arial" w:eastAsiaTheme="majorEastAsia" w:hAnsi="Arial" w:cs="Arial"/>
                  <w:b/>
                  <w:sz w:val="24"/>
                  <w:szCs w:val="24"/>
                  <w:shd w:val="clear" w:color="auto" w:fill="FFFFFF"/>
                </w:rPr>
                <w:t>Ageing Res Rev</w:t>
              </w:r>
            </w:hyperlink>
            <w:r w:rsidRPr="000E71AC">
              <w:rPr>
                <w:rFonts w:ascii="Arial" w:eastAsiaTheme="majorEastAsia" w:hAnsi="Arial" w:cs="Arial"/>
                <w:sz w:val="24"/>
                <w:szCs w:val="24"/>
              </w:rPr>
              <w:t xml:space="preserve">, v. </w:t>
            </w:r>
            <w:r w:rsidRPr="000E71AC">
              <w:rPr>
                <w:rFonts w:ascii="Arial" w:eastAsiaTheme="majorEastAsia" w:hAnsi="Arial" w:cs="Arial"/>
                <w:sz w:val="24"/>
                <w:szCs w:val="24"/>
                <w:shd w:val="clear" w:color="auto" w:fill="FFFFFF"/>
              </w:rPr>
              <w:t>29, p. 90-112, Aug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19.</w:t>
            </w:r>
          </w:p>
        </w:tc>
        <w:tc>
          <w:tcPr>
            <w:tcW w:w="7677" w:type="dxa"/>
          </w:tcPr>
          <w:p w:rsidR="000E71AC" w:rsidRPr="000E71AC" w:rsidRDefault="000E71AC" w:rsidP="000E71AC">
            <w:pPr>
              <w:shd w:val="clear" w:color="auto" w:fill="FFFFFF"/>
              <w:spacing w:line="360" w:lineRule="auto"/>
              <w:jc w:val="both"/>
              <w:rPr>
                <w:rFonts w:ascii="Arial" w:hAnsi="Arial" w:cs="Arial"/>
                <w:sz w:val="24"/>
                <w:szCs w:val="24"/>
                <w:lang w:val="en-US"/>
              </w:rPr>
            </w:pPr>
            <w:r w:rsidRPr="000E71AC">
              <w:rPr>
                <w:rFonts w:ascii="Arial" w:eastAsia="Times New Roman" w:hAnsi="Arial" w:cs="Arial"/>
                <w:sz w:val="24"/>
                <w:szCs w:val="24"/>
                <w:lang w:val="en-US" w:eastAsia="pt-BR"/>
              </w:rPr>
              <w:t>DAWSON-HUGHES, B. Vitamin D and muscle function.</w:t>
            </w:r>
            <w:r w:rsidRPr="000E71AC">
              <w:rPr>
                <w:rFonts w:ascii="Arial" w:eastAsia="Times New Roman" w:hAnsi="Arial" w:cs="Arial"/>
                <w:b/>
                <w:i/>
                <w:noProof w:val="0"/>
                <w:sz w:val="24"/>
                <w:szCs w:val="24"/>
                <w:lang w:val="en-US" w:eastAsia="pt-BR"/>
              </w:rPr>
              <w:t xml:space="preserve"> </w:t>
            </w:r>
            <w:r w:rsidRPr="000E71AC">
              <w:rPr>
                <w:rFonts w:ascii="Arial" w:eastAsia="Times New Roman" w:hAnsi="Arial" w:cs="Arial"/>
                <w:b/>
                <w:noProof w:val="0"/>
                <w:sz w:val="24"/>
                <w:szCs w:val="24"/>
                <w:lang w:val="en-US" w:eastAsia="pt-BR"/>
              </w:rPr>
              <w:t>J Steroid</w:t>
            </w:r>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Biochem</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Mol</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Biol</w:t>
            </w:r>
            <w:proofErr w:type="spellEnd"/>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sz w:val="24"/>
                <w:szCs w:val="24"/>
                <w:lang w:val="en-US" w:eastAsia="pt-BR"/>
              </w:rPr>
              <w:t>v.173, p.313–16, Oct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20.</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Theme="majorHAnsi" w:eastAsiaTheme="majorEastAsia" w:hAnsiTheme="majorHAnsi" w:cstheme="majorBidi"/>
                <w:color w:val="2E74B5" w:themeColor="accent1" w:themeShade="BF"/>
                <w:sz w:val="32"/>
                <w:szCs w:val="32"/>
                <w:lang w:eastAsia="pt-BR"/>
              </w:rPr>
            </w:pPr>
            <w:r w:rsidRPr="000E71AC">
              <w:rPr>
                <w:rFonts w:ascii="Arial" w:eastAsia="Times New Roman" w:hAnsi="Arial" w:cs="Arial"/>
                <w:sz w:val="24"/>
                <w:szCs w:val="24"/>
                <w:lang w:val="en-US" w:eastAsia="pt-BR"/>
              </w:rPr>
              <w:t>DE CAMPOS, G. C.</w:t>
            </w:r>
            <w:r w:rsidRPr="000E71AC">
              <w:rPr>
                <w:rFonts w:ascii="Arial" w:eastAsia="Times New Roman" w:hAnsi="Arial" w:cs="Arial"/>
                <w:bCs/>
                <w:noProof w:val="0"/>
                <w:kern w:val="36"/>
                <w:sz w:val="24"/>
                <w:szCs w:val="24"/>
                <w:lang w:val="en-US" w:eastAsia="pt-BR"/>
              </w:rPr>
              <w:t xml:space="preserve"> Prevalence of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and its Association with Functionality, Lifestyle, Biomarkers and Morbidities in Older Adults: the FIBRA-RJ Study of Frailty in Older Brazilian Adults. </w:t>
            </w:r>
            <w:proofErr w:type="spellStart"/>
            <w:r w:rsidRPr="000E71AC">
              <w:rPr>
                <w:rFonts w:ascii="Arial" w:eastAsia="Times New Roman" w:hAnsi="Arial" w:cs="Arial"/>
                <w:b/>
                <w:bCs/>
                <w:noProof w:val="0"/>
                <w:kern w:val="36"/>
                <w:sz w:val="24"/>
                <w:szCs w:val="24"/>
                <w:lang w:eastAsia="pt-BR"/>
              </w:rPr>
              <w:t>Clinics</w:t>
            </w:r>
            <w:proofErr w:type="spellEnd"/>
            <w:r w:rsidRPr="000E71AC">
              <w:rPr>
                <w:rFonts w:ascii="Arial" w:eastAsia="Times New Roman" w:hAnsi="Arial" w:cs="Arial"/>
                <w:b/>
                <w:bCs/>
                <w:noProof w:val="0"/>
                <w:kern w:val="36"/>
                <w:sz w:val="24"/>
                <w:szCs w:val="24"/>
                <w:lang w:eastAsia="pt-BR"/>
              </w:rPr>
              <w:t xml:space="preserve"> (São Paulo)</w:t>
            </w:r>
            <w:r w:rsidRPr="000E71AC">
              <w:rPr>
                <w:rFonts w:ascii="Arial" w:eastAsia="Times New Roman" w:hAnsi="Arial" w:cs="Arial"/>
                <w:bCs/>
                <w:noProof w:val="0"/>
                <w:kern w:val="36"/>
                <w:sz w:val="24"/>
                <w:szCs w:val="24"/>
                <w:lang w:eastAsia="pt-BR"/>
              </w:rPr>
              <w:t xml:space="preserve">, v. 30, n. 75, p. e1815, </w:t>
            </w:r>
            <w:proofErr w:type="spellStart"/>
            <w:r w:rsidRPr="000E71AC">
              <w:rPr>
                <w:rFonts w:ascii="Arial" w:eastAsia="Times New Roman" w:hAnsi="Arial" w:cs="Arial"/>
                <w:bCs/>
                <w:noProof w:val="0"/>
                <w:kern w:val="36"/>
                <w:sz w:val="24"/>
                <w:szCs w:val="24"/>
                <w:lang w:eastAsia="pt-BR"/>
              </w:rPr>
              <w:t>Nov</w:t>
            </w:r>
            <w:proofErr w:type="spellEnd"/>
            <w:r w:rsidRPr="000E71AC">
              <w:rPr>
                <w:rFonts w:ascii="Arial" w:eastAsia="Times New Roman" w:hAnsi="Arial" w:cs="Arial"/>
                <w:bCs/>
                <w:noProof w:val="0"/>
                <w:kern w:val="36"/>
                <w:sz w:val="24"/>
                <w:szCs w:val="24"/>
                <w:lang w:eastAsia="pt-BR"/>
              </w:rPr>
              <w:t xml:space="preserve"> 2020.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21.</w:t>
            </w:r>
          </w:p>
        </w:tc>
        <w:tc>
          <w:tcPr>
            <w:tcW w:w="7677" w:type="dxa"/>
          </w:tcPr>
          <w:p w:rsidR="000E71AC" w:rsidRPr="000E71AC" w:rsidRDefault="000E71AC" w:rsidP="000E71AC">
            <w:pPr>
              <w:shd w:val="clear" w:color="auto" w:fill="FFFFFF"/>
              <w:spacing w:before="120" w:after="12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val="en-US" w:eastAsia="pt-BR"/>
              </w:rPr>
              <w:t>DOSZHANOVA, G.</w:t>
            </w:r>
            <w:r w:rsidRPr="000E71AC">
              <w:rPr>
                <w:rFonts w:ascii="Arial" w:eastAsia="Times New Roman" w:hAnsi="Arial" w:cs="Arial"/>
                <w:bCs/>
                <w:noProof w:val="0"/>
                <w:color w:val="212121"/>
                <w:kern w:val="36"/>
                <w:sz w:val="24"/>
                <w:szCs w:val="24"/>
                <w:lang w:val="en-US" w:eastAsia="pt-BR"/>
              </w:rPr>
              <w:t xml:space="preserve"> Aging </w:t>
            </w:r>
            <w:r w:rsidRPr="000E71AC">
              <w:rPr>
                <w:rFonts w:ascii="Arial" w:eastAsia="Times New Roman" w:hAnsi="Arial" w:cs="Arial"/>
                <w:bCs/>
                <w:noProof w:val="0"/>
                <w:kern w:val="36"/>
                <w:sz w:val="24"/>
                <w:szCs w:val="24"/>
                <w:lang w:val="en-US" w:eastAsia="pt-BR"/>
              </w:rPr>
              <w:t>Biomarkers for Evaluating the Life Style Quality of Elderly and Senile People.</w:t>
            </w:r>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b/>
                <w:noProof w:val="0"/>
                <w:sz w:val="24"/>
                <w:szCs w:val="24"/>
                <w:lang w:eastAsia="pt-BR"/>
              </w:rPr>
              <w:t xml:space="preserve">Iran J </w:t>
            </w:r>
            <w:proofErr w:type="spellStart"/>
            <w:r w:rsidRPr="000E71AC">
              <w:rPr>
                <w:rFonts w:ascii="Arial" w:eastAsia="Times New Roman" w:hAnsi="Arial" w:cs="Arial"/>
                <w:b/>
                <w:noProof w:val="0"/>
                <w:sz w:val="24"/>
                <w:szCs w:val="24"/>
                <w:lang w:eastAsia="pt-BR"/>
              </w:rPr>
              <w:t>Public</w:t>
            </w:r>
            <w:proofErr w:type="spellEnd"/>
            <w:r w:rsidRPr="000E71AC">
              <w:rPr>
                <w:rFonts w:ascii="Arial" w:eastAsia="Times New Roman" w:hAnsi="Arial" w:cs="Arial"/>
                <w:b/>
                <w:noProof w:val="0"/>
                <w:sz w:val="24"/>
                <w:szCs w:val="24"/>
                <w:lang w:eastAsia="pt-BR"/>
              </w:rPr>
              <w:t xml:space="preserve"> Health</w:t>
            </w:r>
            <w:r w:rsidRPr="000E71AC">
              <w:rPr>
                <w:rFonts w:ascii="Arial" w:eastAsia="Times New Roman" w:hAnsi="Arial" w:cs="Arial"/>
                <w:i/>
                <w:noProof w:val="0"/>
                <w:sz w:val="24"/>
                <w:szCs w:val="24"/>
                <w:lang w:eastAsia="pt-BR"/>
              </w:rPr>
              <w:t xml:space="preserve">, </w:t>
            </w:r>
            <w:r w:rsidRPr="000E71AC">
              <w:rPr>
                <w:rFonts w:ascii="Arial" w:hAnsi="Arial" w:cs="Arial"/>
                <w:sz w:val="24"/>
                <w:szCs w:val="24"/>
                <w:shd w:val="clear" w:color="auto" w:fill="FFFFFF"/>
              </w:rPr>
              <w:t>v. 47, n. 5, p. 757-58, May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22.</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imes New Roman" w:hAnsi="Arial" w:cs="Arial"/>
                <w:sz w:val="24"/>
                <w:szCs w:val="24"/>
                <w:lang w:eastAsia="pt-BR"/>
              </w:rPr>
            </w:pPr>
            <w:r w:rsidRPr="000E71AC">
              <w:rPr>
                <w:rFonts w:ascii="Arial" w:eastAsia="Times New Roman" w:hAnsi="Arial" w:cs="Arial"/>
                <w:bCs/>
                <w:kern w:val="36"/>
                <w:sz w:val="24"/>
                <w:szCs w:val="24"/>
                <w:lang w:val="es-ES" w:eastAsia="pt-BR"/>
              </w:rPr>
              <w:t xml:space="preserve">EL HAJJ, C. et al.    </w:t>
            </w:r>
            <w:r w:rsidRPr="000E71AC">
              <w:rPr>
                <w:rFonts w:ascii="Arial" w:eastAsia="Times New Roman" w:hAnsi="Arial" w:cs="Arial"/>
                <w:bCs/>
                <w:kern w:val="36"/>
                <w:sz w:val="24"/>
                <w:szCs w:val="24"/>
                <w:lang w:val="en-US" w:eastAsia="pt-BR"/>
              </w:rPr>
              <w:t>Vitamin D supplementation and muscle strength in pre-sarcopenic elderly Lebanese people: a randomized controlled trial.</w:t>
            </w:r>
            <w:r w:rsidRPr="000E71AC">
              <w:rPr>
                <w:rFonts w:ascii="Arial" w:eastAsiaTheme="majorEastAsia" w:hAnsi="Arial" w:cs="Arial"/>
                <w:sz w:val="24"/>
                <w:szCs w:val="24"/>
                <w:shd w:val="clear" w:color="auto" w:fill="FFFFFF"/>
                <w:lang w:val="en-US"/>
              </w:rPr>
              <w:t xml:space="preserve"> </w:t>
            </w:r>
            <w:hyperlink r:id="rId20" w:tooltip="Archives of osteoporosis." w:history="1">
              <w:r w:rsidRPr="000E71AC">
                <w:rPr>
                  <w:rFonts w:ascii="Arial" w:eastAsiaTheme="majorEastAsia" w:hAnsi="Arial" w:cs="Arial"/>
                  <w:b/>
                  <w:sz w:val="24"/>
                  <w:szCs w:val="24"/>
                  <w:shd w:val="clear" w:color="auto" w:fill="FFFFFF"/>
                </w:rPr>
                <w:t>Arch Osteoporos</w:t>
              </w:r>
            </w:hyperlink>
            <w:r w:rsidRPr="000E71AC">
              <w:rPr>
                <w:rFonts w:ascii="Arial" w:eastAsiaTheme="majorEastAsia" w:hAnsi="Arial" w:cs="Arial"/>
                <w:i/>
                <w:sz w:val="24"/>
                <w:szCs w:val="24"/>
                <w:shd w:val="clear" w:color="auto" w:fill="FFFFFF"/>
              </w:rPr>
              <w:t>,</w:t>
            </w:r>
            <w:r w:rsidRPr="000E71AC">
              <w:rPr>
                <w:rFonts w:ascii="Arial" w:eastAsiaTheme="majorEastAsia" w:hAnsi="Arial" w:cs="Arial"/>
                <w:sz w:val="24"/>
                <w:szCs w:val="24"/>
                <w:shd w:val="clear" w:color="auto" w:fill="FFFFFF"/>
              </w:rPr>
              <w:t> v. 19, n. 14, p. 1-4, Dec 2018.</w:t>
            </w:r>
            <w:r w:rsidRPr="000E71AC">
              <w:rPr>
                <w:rFonts w:ascii="Arial" w:eastAsiaTheme="majorEastAsia" w:hAnsi="Arial" w:cs="Arial"/>
                <w:color w:val="FF0000"/>
                <w:sz w:val="24"/>
                <w:szCs w:val="24"/>
                <w:shd w:val="clear" w:color="auto" w:fill="FFFFFF"/>
              </w:rPr>
              <w:t xml:space="preserve">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23.</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imes New Roman" w:hAnsi="Arial" w:cs="Arial"/>
                <w:bCs/>
                <w:kern w:val="36"/>
                <w:sz w:val="24"/>
                <w:szCs w:val="24"/>
                <w:lang w:val="en-US" w:eastAsia="pt-BR"/>
              </w:rPr>
            </w:pPr>
            <w:r w:rsidRPr="000E71AC">
              <w:rPr>
                <w:rFonts w:ascii="Arial" w:eastAsia="Times New Roman" w:hAnsi="Arial" w:cs="Arial"/>
                <w:bCs/>
                <w:kern w:val="36"/>
                <w:sz w:val="24"/>
                <w:szCs w:val="24"/>
                <w:lang w:val="es-ES" w:eastAsia="pt-BR"/>
              </w:rPr>
              <w:t>GADELHA, A. B. et al.</w:t>
            </w:r>
            <w:r w:rsidRPr="000E71AC">
              <w:rPr>
                <w:rFonts w:ascii="Arial" w:eastAsiaTheme="majorEastAsia" w:hAnsi="Arial" w:cs="Arial"/>
                <w:sz w:val="24"/>
                <w:szCs w:val="24"/>
                <w:lang w:val="es-ES"/>
              </w:rPr>
              <w:t xml:space="preserve"> </w:t>
            </w:r>
            <w:r w:rsidRPr="000E71AC">
              <w:rPr>
                <w:rFonts w:ascii="Arial" w:eastAsiaTheme="majorEastAsia" w:hAnsi="Arial" w:cs="Arial"/>
                <w:sz w:val="24"/>
                <w:szCs w:val="24"/>
                <w:lang w:val="en-US"/>
              </w:rPr>
              <w:t xml:space="preserve">Effects of resistance training on sarcopenic obesity index in older women: A randomized controlled trial. </w:t>
            </w:r>
            <w:r w:rsidRPr="000E71AC">
              <w:rPr>
                <w:rFonts w:ascii="Arial" w:eastAsiaTheme="majorEastAsia" w:hAnsi="Arial" w:cs="Arial"/>
                <w:b/>
                <w:sz w:val="24"/>
                <w:szCs w:val="24"/>
                <w:lang w:val="en-US"/>
              </w:rPr>
              <w:t>Arch</w:t>
            </w:r>
            <w:r w:rsidRPr="000E71AC">
              <w:rPr>
                <w:rFonts w:ascii="Arial" w:eastAsiaTheme="majorEastAsia" w:hAnsi="Arial" w:cs="Arial"/>
                <w:sz w:val="24"/>
                <w:szCs w:val="24"/>
                <w:lang w:val="en-US"/>
              </w:rPr>
              <w:t xml:space="preserve"> </w:t>
            </w:r>
            <w:r w:rsidRPr="000E71AC">
              <w:rPr>
                <w:rFonts w:ascii="Arial" w:eastAsiaTheme="majorEastAsia" w:hAnsi="Arial" w:cs="Arial"/>
                <w:b/>
                <w:sz w:val="24"/>
                <w:szCs w:val="24"/>
                <w:lang w:val="en-US"/>
              </w:rPr>
              <w:t>Gerontol Geriatr</w:t>
            </w:r>
            <w:r w:rsidRPr="000E71AC">
              <w:rPr>
                <w:rFonts w:ascii="Arial" w:eastAsiaTheme="majorEastAsia" w:hAnsi="Arial" w:cs="Arial"/>
                <w:sz w:val="24"/>
                <w:szCs w:val="24"/>
                <w:lang w:val="en-US"/>
              </w:rPr>
              <w:t>, v. 65, p. 168-73, Jul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24.</w:t>
            </w:r>
          </w:p>
        </w:tc>
        <w:tc>
          <w:tcPr>
            <w:tcW w:w="7677" w:type="dxa"/>
          </w:tcPr>
          <w:p w:rsidR="000E71AC" w:rsidRPr="000E71AC" w:rsidRDefault="000E71AC" w:rsidP="000E71AC">
            <w:pPr>
              <w:shd w:val="clear" w:color="auto" w:fill="FFFFFF"/>
              <w:spacing w:before="120" w:after="120" w:line="360" w:lineRule="auto"/>
              <w:rPr>
                <w:rFonts w:ascii="Arial" w:eastAsia="Times New Roman" w:hAnsi="Arial" w:cs="Arial"/>
                <w:noProof w:val="0"/>
                <w:sz w:val="24"/>
                <w:szCs w:val="24"/>
                <w:shd w:val="clear" w:color="auto" w:fill="FFFFFF"/>
                <w:lang w:val="en-US" w:eastAsia="pt-BR"/>
              </w:rPr>
            </w:pPr>
            <w:r w:rsidRPr="000E71AC">
              <w:rPr>
                <w:rFonts w:ascii="Arial" w:eastAsia="Times New Roman" w:hAnsi="Arial" w:cs="Arial"/>
                <w:bCs/>
                <w:kern w:val="36"/>
                <w:sz w:val="24"/>
                <w:szCs w:val="24"/>
                <w:lang w:val="en-US" w:eastAsia="pt-BR"/>
              </w:rPr>
              <w:t xml:space="preserve">GARATACHEA, N. et al. </w:t>
            </w:r>
            <w:r w:rsidRPr="000E71AC">
              <w:rPr>
                <w:rFonts w:ascii="Arial" w:eastAsia="Times New Roman" w:hAnsi="Arial" w:cs="Arial"/>
                <w:bCs/>
                <w:noProof w:val="0"/>
                <w:kern w:val="36"/>
                <w:sz w:val="24"/>
                <w:szCs w:val="24"/>
                <w:lang w:val="en-US" w:eastAsia="pt-BR"/>
              </w:rPr>
              <w:t xml:space="preserve">Exercise attenuates the major hallmarks of aging. </w:t>
            </w:r>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b/>
                <w:noProof w:val="0"/>
                <w:sz w:val="24"/>
                <w:szCs w:val="24"/>
                <w:lang w:val="en-US" w:eastAsia="pt-BR"/>
              </w:rPr>
              <w:t>Rejuvenation Res</w:t>
            </w:r>
            <w:r w:rsidRPr="000E71AC">
              <w:rPr>
                <w:rFonts w:ascii="Arial" w:eastAsia="Times New Roman" w:hAnsi="Arial" w:cs="Arial"/>
                <w:i/>
                <w:noProof w:val="0"/>
                <w:sz w:val="24"/>
                <w:szCs w:val="24"/>
                <w:shd w:val="clear" w:color="auto" w:fill="FFFFFF"/>
                <w:lang w:val="en-US" w:eastAsia="pt-BR"/>
              </w:rPr>
              <w:t>.</w:t>
            </w:r>
            <w:r w:rsidRPr="000E71AC">
              <w:rPr>
                <w:rFonts w:ascii="Arial" w:hAnsi="Arial" w:cs="Arial"/>
                <w:sz w:val="24"/>
                <w:szCs w:val="24"/>
                <w:shd w:val="clear" w:color="auto" w:fill="FFFFFF"/>
                <w:lang w:val="en-US"/>
              </w:rPr>
              <w:t xml:space="preserve"> v. 18, n. 1, p. 57-89, Dec </w:t>
            </w:r>
            <w:r w:rsidRPr="000E71AC">
              <w:rPr>
                <w:rFonts w:ascii="Arial" w:eastAsia="Times New Roman" w:hAnsi="Arial" w:cs="Arial"/>
                <w:noProof w:val="0"/>
                <w:sz w:val="24"/>
                <w:szCs w:val="24"/>
                <w:shd w:val="clear" w:color="auto" w:fill="FFFFFF"/>
                <w:lang w:val="en-US" w:eastAsia="pt-BR"/>
              </w:rPr>
              <w:t>2015</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25.</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eastAsia="Times New Roman" w:hAnsi="Arial" w:cs="Arial"/>
                <w:bCs/>
                <w:kern w:val="36"/>
                <w:sz w:val="24"/>
                <w:szCs w:val="24"/>
                <w:lang w:val="es-ES" w:eastAsia="pt-BR"/>
              </w:rPr>
              <w:t>GUEDES, R. C. et al.</w:t>
            </w:r>
            <w:r w:rsidRPr="000E71AC">
              <w:rPr>
                <w:rFonts w:ascii="Arial" w:eastAsia="Times New Roman" w:hAnsi="Arial" w:cs="Arial"/>
                <w:bCs/>
                <w:noProof w:val="0"/>
                <w:kern w:val="36"/>
                <w:sz w:val="24"/>
                <w:szCs w:val="24"/>
                <w:lang w:val="es-ES" w:eastAsia="pt-BR"/>
              </w:rPr>
              <w:t xml:space="preserve"> </w:t>
            </w:r>
            <w:r w:rsidRPr="000E71AC">
              <w:rPr>
                <w:rFonts w:ascii="Arial" w:eastAsia="Times New Roman" w:hAnsi="Arial" w:cs="Arial"/>
                <w:bCs/>
                <w:noProof w:val="0"/>
                <w:kern w:val="36"/>
                <w:sz w:val="24"/>
                <w:szCs w:val="24"/>
                <w:lang w:val="en-US" w:eastAsia="pt-BR"/>
              </w:rPr>
              <w:t>Frailty syndrome in Brazilian older people: a population based study.</w:t>
            </w:r>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Cien</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Saude</w:t>
            </w:r>
            <w:proofErr w:type="spellEnd"/>
            <w:r w:rsidRPr="000E71AC">
              <w:rPr>
                <w:rFonts w:ascii="Arial" w:eastAsia="Times New Roman" w:hAnsi="Arial" w:cs="Arial"/>
                <w:b/>
                <w:noProof w:val="0"/>
                <w:sz w:val="24"/>
                <w:szCs w:val="24"/>
                <w:lang w:val="en-US" w:eastAsia="pt-BR"/>
              </w:rPr>
              <w:t xml:space="preserve"> Colet</w:t>
            </w:r>
            <w:r w:rsidRPr="000E71AC">
              <w:rPr>
                <w:rFonts w:ascii="Arial" w:eastAsia="Times New Roman" w:hAnsi="Arial" w:cs="Arial"/>
                <w:noProof w:val="0"/>
                <w:sz w:val="24"/>
                <w:szCs w:val="24"/>
                <w:lang w:val="en-US" w:eastAsia="pt-BR"/>
              </w:rPr>
              <w:t xml:space="preserve">, v. </w:t>
            </w:r>
            <w:r w:rsidRPr="000E71AC">
              <w:rPr>
                <w:rFonts w:ascii="Arial" w:hAnsi="Arial" w:cs="Arial"/>
                <w:sz w:val="24"/>
                <w:szCs w:val="24"/>
                <w:shd w:val="clear" w:color="auto" w:fill="FFFFFF"/>
                <w:lang w:val="en-US"/>
              </w:rPr>
              <w:t>25, n. 5, p.1947-54, Mac 2020.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26.</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eastAsia="Times New Roman" w:hAnsi="Arial" w:cs="Arial"/>
                <w:bCs/>
                <w:kern w:val="36"/>
                <w:sz w:val="24"/>
                <w:szCs w:val="24"/>
                <w:lang w:val="en-US" w:eastAsia="pt-BR"/>
              </w:rPr>
              <w:t>GIALLAURIA, F. et al. Resistance training and sarcopenia.</w:t>
            </w:r>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Monaldi</w:t>
            </w:r>
            <w:proofErr w:type="spellEnd"/>
            <w:r w:rsidRPr="000E71AC">
              <w:rPr>
                <w:rFonts w:ascii="Arial" w:eastAsia="Times New Roman" w:hAnsi="Arial" w:cs="Arial"/>
                <w:b/>
                <w:noProof w:val="0"/>
                <w:sz w:val="24"/>
                <w:szCs w:val="24"/>
                <w:lang w:val="en-US" w:eastAsia="pt-BR"/>
              </w:rPr>
              <w:t xml:space="preserve"> Arch Chest Dis</w:t>
            </w:r>
            <w:r w:rsidRPr="000E71AC">
              <w:rPr>
                <w:rFonts w:ascii="Arial" w:eastAsia="Times New Roman" w:hAnsi="Arial" w:cs="Arial"/>
                <w:noProof w:val="0"/>
                <w:sz w:val="24"/>
                <w:szCs w:val="24"/>
                <w:lang w:val="en-US" w:eastAsia="pt-BR"/>
              </w:rPr>
              <w:t xml:space="preserve">, v. </w:t>
            </w:r>
            <w:r w:rsidRPr="000E71AC">
              <w:rPr>
                <w:rFonts w:ascii="Arial" w:hAnsi="Arial" w:cs="Arial"/>
                <w:sz w:val="24"/>
                <w:szCs w:val="24"/>
                <w:shd w:val="clear" w:color="auto" w:fill="FFFFFF"/>
                <w:lang w:val="en-US"/>
              </w:rPr>
              <w:t>22, n.84, p. 734- 38, Jun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27.</w:t>
            </w:r>
          </w:p>
        </w:tc>
        <w:tc>
          <w:tcPr>
            <w:tcW w:w="7677" w:type="dxa"/>
          </w:tcPr>
          <w:p w:rsidR="000E71AC" w:rsidRPr="000E71AC" w:rsidRDefault="000E71AC" w:rsidP="000E71AC">
            <w:pPr>
              <w:shd w:val="clear" w:color="auto" w:fill="FFFFFF"/>
              <w:spacing w:before="120" w:after="120" w:line="360" w:lineRule="auto"/>
              <w:jc w:val="both"/>
              <w:rPr>
                <w:rFonts w:ascii="Arial" w:eastAsia="Times New Roman" w:hAnsi="Arial" w:cs="Arial"/>
                <w:bCs/>
                <w:kern w:val="36"/>
                <w:sz w:val="24"/>
                <w:szCs w:val="24"/>
                <w:lang w:eastAsia="pt-BR"/>
              </w:rPr>
            </w:pPr>
            <w:r w:rsidRPr="000E71AC">
              <w:rPr>
                <w:rFonts w:ascii="Arial" w:eastAsia="Times New Roman" w:hAnsi="Arial" w:cs="Arial"/>
                <w:bCs/>
                <w:kern w:val="36"/>
                <w:sz w:val="24"/>
                <w:szCs w:val="24"/>
                <w:lang w:val="en-US" w:eastAsia="pt-BR"/>
              </w:rPr>
              <w:t xml:space="preserve">GORDON, C.; CHUNLEA, W. C.; ROCHE, A. F. </w:t>
            </w:r>
            <w:r w:rsidRPr="000E71AC">
              <w:rPr>
                <w:rFonts w:ascii="Arial" w:eastAsia="Times New Roman" w:hAnsi="Arial" w:cs="Arial"/>
                <w:b/>
                <w:bCs/>
                <w:kern w:val="36"/>
                <w:sz w:val="24"/>
                <w:szCs w:val="24"/>
                <w:lang w:val="en-US" w:eastAsia="pt-BR"/>
              </w:rPr>
              <w:t>Stature, recumbent length, and weight</w:t>
            </w:r>
            <w:r w:rsidRPr="000E71AC">
              <w:rPr>
                <w:rFonts w:ascii="Arial" w:eastAsia="Times New Roman" w:hAnsi="Arial" w:cs="Arial"/>
                <w:bCs/>
                <w:kern w:val="36"/>
                <w:sz w:val="24"/>
                <w:szCs w:val="24"/>
                <w:lang w:val="en-US" w:eastAsia="pt-BR"/>
              </w:rPr>
              <w:t xml:space="preserve">. </w:t>
            </w:r>
            <w:r w:rsidRPr="000E71AC">
              <w:rPr>
                <w:rFonts w:ascii="Arial" w:eastAsia="Times New Roman" w:hAnsi="Arial" w:cs="Arial"/>
                <w:bCs/>
                <w:kern w:val="36"/>
                <w:sz w:val="24"/>
                <w:szCs w:val="24"/>
                <w:lang w:eastAsia="pt-BR"/>
              </w:rPr>
              <w:t>Champaign: Human Kinetics, 1988.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28.</w:t>
            </w:r>
          </w:p>
        </w:tc>
        <w:tc>
          <w:tcPr>
            <w:tcW w:w="7677" w:type="dxa"/>
          </w:tcPr>
          <w:p w:rsidR="000E71AC" w:rsidRPr="000E71AC" w:rsidRDefault="000E71AC" w:rsidP="000E71AC">
            <w:pPr>
              <w:spacing w:before="120" w:after="120" w:line="360" w:lineRule="auto"/>
              <w:jc w:val="both"/>
              <w:rPr>
                <w:rFonts w:ascii="Arial" w:eastAsiaTheme="majorEastAsia" w:hAnsi="Arial" w:cs="Arial"/>
                <w:sz w:val="24"/>
                <w:szCs w:val="24"/>
              </w:rPr>
            </w:pPr>
            <w:r w:rsidRPr="000E71AC">
              <w:rPr>
                <w:rFonts w:ascii="Arial" w:hAnsi="Arial" w:cs="Arial"/>
                <w:sz w:val="24"/>
                <w:szCs w:val="24"/>
                <w:shd w:val="clear" w:color="auto" w:fill="FFFFFF"/>
                <w:lang w:val="en-US"/>
              </w:rPr>
              <w:t>GREGOR, M. F.; HOTAMISLIGIL, G. S. Inflammatory mechanisms in obesity</w:t>
            </w:r>
            <w:r w:rsidRPr="000E71AC">
              <w:rPr>
                <w:rFonts w:ascii="Arial" w:hAnsi="Arial" w:cs="Arial"/>
                <w:i/>
                <w:sz w:val="24"/>
                <w:szCs w:val="24"/>
                <w:shd w:val="clear" w:color="auto" w:fill="FFFFFF"/>
                <w:lang w:val="en-US"/>
              </w:rPr>
              <w:t>. </w:t>
            </w:r>
            <w:r w:rsidRPr="000E71AC">
              <w:rPr>
                <w:rFonts w:ascii="Arial" w:hAnsi="Arial" w:cs="Arial"/>
                <w:b/>
                <w:sz w:val="24"/>
                <w:szCs w:val="24"/>
                <w:shd w:val="clear" w:color="auto" w:fill="FFFFFF"/>
              </w:rPr>
              <w:t>Annu Rev Immunol</w:t>
            </w:r>
            <w:r w:rsidRPr="000E71AC">
              <w:rPr>
                <w:rFonts w:ascii="Arial" w:hAnsi="Arial" w:cs="Arial"/>
                <w:sz w:val="24"/>
                <w:szCs w:val="24"/>
                <w:shd w:val="clear" w:color="auto" w:fill="FFFFFF"/>
              </w:rPr>
              <w:t>, v. 29, p. 415-25, 2011.</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29.</w:t>
            </w:r>
          </w:p>
        </w:tc>
        <w:tc>
          <w:tcPr>
            <w:tcW w:w="7677" w:type="dxa"/>
          </w:tcPr>
          <w:p w:rsidR="000E71AC" w:rsidRPr="000E71AC" w:rsidRDefault="000E71AC" w:rsidP="000E71AC">
            <w:pPr>
              <w:spacing w:before="120" w:after="120" w:line="360" w:lineRule="auto"/>
              <w:jc w:val="both"/>
              <w:rPr>
                <w:rFonts w:ascii="Arial" w:eastAsiaTheme="majorEastAsia" w:hAnsi="Arial" w:cs="Arial"/>
                <w:sz w:val="24"/>
                <w:szCs w:val="24"/>
                <w:lang w:val="en-US"/>
              </w:rPr>
            </w:pPr>
            <w:r w:rsidRPr="000E71AC">
              <w:rPr>
                <w:rFonts w:ascii="Arial" w:hAnsi="Arial" w:cs="Arial"/>
                <w:sz w:val="24"/>
                <w:szCs w:val="24"/>
                <w:shd w:val="clear" w:color="auto" w:fill="FFFFFF"/>
                <w:lang w:val="en-US"/>
              </w:rPr>
              <w:t>GROISSER, S. et al.</w:t>
            </w:r>
            <w:r w:rsidRPr="000E71AC">
              <w:rPr>
                <w:rFonts w:ascii="Arial" w:eastAsia="Times New Roman" w:hAnsi="Arial" w:cs="Arial"/>
                <w:bCs/>
                <w:kern w:val="36"/>
                <w:sz w:val="24"/>
                <w:szCs w:val="24"/>
                <w:lang w:val="en-US" w:eastAsia="pt-BR"/>
              </w:rPr>
              <w:t xml:space="preserve"> Sarcopenic obesity and complex interventions with nutrition and exercise in community-dwelling older persons--a narrative review. </w:t>
            </w:r>
            <w:hyperlink r:id="rId21" w:tooltip="Clinical interventions in aging." w:history="1">
              <w:r w:rsidRPr="000E71AC">
                <w:rPr>
                  <w:rFonts w:ascii="Arial" w:eastAsia="Times New Roman" w:hAnsi="Arial" w:cs="Arial"/>
                  <w:b/>
                  <w:sz w:val="24"/>
                  <w:szCs w:val="24"/>
                  <w:lang w:val="en-US" w:eastAsia="pt-BR"/>
                </w:rPr>
                <w:t>Clin Interv Aging</w:t>
              </w:r>
              <w:r w:rsidRPr="000E71AC">
                <w:rPr>
                  <w:rFonts w:ascii="Arial" w:eastAsia="Times New Roman" w:hAnsi="Arial" w:cs="Arial"/>
                  <w:sz w:val="24"/>
                  <w:szCs w:val="24"/>
                  <w:lang w:val="en-US" w:eastAsia="pt-BR"/>
                </w:rPr>
                <w:t>,</w:t>
              </w:r>
            </w:hyperlink>
            <w:r w:rsidRPr="000E71AC">
              <w:rPr>
                <w:rFonts w:ascii="Arial" w:eastAsia="Times New Roman" w:hAnsi="Arial" w:cs="Arial"/>
                <w:sz w:val="24"/>
                <w:szCs w:val="24"/>
                <w:lang w:val="en-US" w:eastAsia="pt-BR"/>
              </w:rPr>
              <w:t xml:space="preserve"> v. 6, n. 10, p. 1267-82,  Aug 2015</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30</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lang w:val="es-ES"/>
              </w:rPr>
              <w:t xml:space="preserve">HALLE, C. M. et al. </w:t>
            </w:r>
            <w:r w:rsidRPr="000E71AC">
              <w:rPr>
                <w:rFonts w:ascii="Arial" w:hAnsi="Arial" w:cs="Arial"/>
                <w:sz w:val="24"/>
                <w:szCs w:val="24"/>
                <w:lang w:val="en-US"/>
              </w:rPr>
              <w:t xml:space="preserve">Prevalence of obese among adults and youlth: United States, 2015-16. </w:t>
            </w:r>
            <w:r w:rsidRPr="000E71AC">
              <w:rPr>
                <w:rFonts w:ascii="Arial" w:hAnsi="Arial" w:cs="Arial"/>
                <w:b/>
                <w:sz w:val="24"/>
                <w:szCs w:val="24"/>
                <w:lang w:val="en-US"/>
              </w:rPr>
              <w:t>NCHS data brief</w:t>
            </w:r>
            <w:r w:rsidRPr="000E71AC">
              <w:rPr>
                <w:rFonts w:ascii="Arial" w:hAnsi="Arial" w:cs="Arial"/>
                <w:sz w:val="24"/>
                <w:szCs w:val="24"/>
                <w:lang w:val="en-US"/>
              </w:rPr>
              <w:t>, v. 288, p.1-8, Oct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31.</w:t>
            </w:r>
          </w:p>
        </w:tc>
        <w:tc>
          <w:tcPr>
            <w:tcW w:w="7677" w:type="dxa"/>
          </w:tcPr>
          <w:p w:rsidR="000E71AC" w:rsidRPr="000E71AC" w:rsidRDefault="000E71AC" w:rsidP="000E71AC">
            <w:pPr>
              <w:spacing w:before="120" w:after="120" w:line="360" w:lineRule="auto"/>
              <w:jc w:val="both"/>
              <w:rPr>
                <w:rFonts w:ascii="Arial" w:hAnsi="Arial" w:cs="Arial"/>
                <w:sz w:val="24"/>
                <w:szCs w:val="24"/>
                <w:lang w:val="en-US"/>
              </w:rPr>
            </w:pPr>
            <w:r w:rsidRPr="000E71AC">
              <w:rPr>
                <w:rFonts w:ascii="Arial" w:hAnsi="Arial" w:cs="Arial"/>
                <w:sz w:val="24"/>
                <w:szCs w:val="24"/>
                <w:lang w:val="en-US"/>
              </w:rPr>
              <w:t xml:space="preserve">HIGGINS, J. P. T. et al. </w:t>
            </w:r>
            <w:r w:rsidRPr="000E71AC">
              <w:rPr>
                <w:rFonts w:ascii="Arial" w:hAnsi="Arial" w:cs="Arial"/>
                <w:b/>
                <w:sz w:val="24"/>
                <w:szCs w:val="24"/>
                <w:lang w:val="en-US"/>
              </w:rPr>
              <w:t>Assessing risk of bias in a randomized trial. Cochrane handbook for systematic reviews of interventions</w:t>
            </w:r>
            <w:r w:rsidRPr="000E71AC">
              <w:rPr>
                <w:rFonts w:ascii="Arial" w:hAnsi="Arial" w:cs="Arial"/>
                <w:sz w:val="24"/>
                <w:szCs w:val="24"/>
                <w:lang w:val="en-US"/>
              </w:rPr>
              <w:t xml:space="preserve">, cap.8, p. 205-28, disponível em &lt; </w:t>
            </w:r>
            <w:hyperlink r:id="rId22" w:history="1">
              <w:r w:rsidRPr="000E71AC">
                <w:rPr>
                  <w:rFonts w:ascii="Arial" w:hAnsi="Arial" w:cs="Arial"/>
                  <w:sz w:val="24"/>
                  <w:szCs w:val="24"/>
                  <w:u w:val="single"/>
                  <w:lang w:val="en-US"/>
                </w:rPr>
                <w:t>https://training.cochrane.org/handbook/current/chapter-08</w:t>
              </w:r>
            </w:hyperlink>
            <w:r w:rsidRPr="000E71AC">
              <w:rPr>
                <w:rFonts w:ascii="Arial" w:hAnsi="Arial" w:cs="Arial"/>
                <w:sz w:val="24"/>
                <w:szCs w:val="24"/>
                <w:lang w:val="en-US"/>
              </w:rPr>
              <w:t xml:space="preserve"> &gt; acesso em 04/04/2021.</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32.</w:t>
            </w:r>
          </w:p>
        </w:tc>
        <w:tc>
          <w:tcPr>
            <w:tcW w:w="7677" w:type="dxa"/>
          </w:tcPr>
          <w:p w:rsidR="000E71AC" w:rsidRPr="000E71AC" w:rsidRDefault="000E71AC" w:rsidP="000E71AC">
            <w:pPr>
              <w:spacing w:before="120" w:after="120" w:line="360" w:lineRule="auto"/>
              <w:jc w:val="both"/>
              <w:rPr>
                <w:rFonts w:ascii="Arial" w:hAnsi="Arial" w:cs="Arial"/>
                <w:sz w:val="24"/>
                <w:szCs w:val="24"/>
              </w:rPr>
            </w:pPr>
            <w:r w:rsidRPr="000E71AC">
              <w:rPr>
                <w:rFonts w:ascii="Arial" w:hAnsi="Arial" w:cs="Arial"/>
                <w:sz w:val="24"/>
                <w:szCs w:val="24"/>
                <w:lang w:val="en-US"/>
              </w:rPr>
              <w:t>HUANG, S. W. et al.</w:t>
            </w:r>
            <w:r w:rsidRPr="000E71AC">
              <w:rPr>
                <w:color w:val="000000"/>
                <w:shd w:val="clear" w:color="auto" w:fill="FFFFFF"/>
                <w:lang w:val="en-US"/>
              </w:rPr>
              <w:t xml:space="preserve">  </w:t>
            </w:r>
            <w:r w:rsidRPr="000E71AC">
              <w:rPr>
                <w:rFonts w:ascii="Arial" w:hAnsi="Arial" w:cs="Arial"/>
                <w:color w:val="000000"/>
                <w:sz w:val="24"/>
                <w:szCs w:val="24"/>
                <w:shd w:val="clear" w:color="auto" w:fill="FFFFFF"/>
                <w:lang w:val="en-US"/>
              </w:rPr>
              <w:t>Body composition influenced by progressive elastic band resistance exercise of sarcopenic obesity elderly women: A pilot randomized controlled trial. </w:t>
            </w:r>
            <w:r w:rsidRPr="000E71AC">
              <w:rPr>
                <w:rFonts w:ascii="Arial" w:hAnsi="Arial" w:cs="Arial"/>
                <w:b/>
                <w:iCs/>
                <w:color w:val="000000"/>
                <w:sz w:val="24"/>
                <w:szCs w:val="24"/>
                <w:shd w:val="clear" w:color="auto" w:fill="FFFFFF"/>
              </w:rPr>
              <w:t>Eur J Phys Rehabil Med</w:t>
            </w:r>
            <w:r w:rsidRPr="000E71AC">
              <w:rPr>
                <w:rFonts w:ascii="Arial" w:hAnsi="Arial" w:cs="Arial"/>
                <w:i/>
                <w:iCs/>
                <w:color w:val="000000"/>
                <w:sz w:val="24"/>
                <w:szCs w:val="24"/>
                <w:shd w:val="clear" w:color="auto" w:fill="FFFFFF"/>
              </w:rPr>
              <w:t xml:space="preserve">, </w:t>
            </w:r>
            <w:r w:rsidRPr="000E71AC">
              <w:rPr>
                <w:rFonts w:ascii="Arial" w:hAnsi="Arial" w:cs="Arial"/>
                <w:iCs/>
                <w:color w:val="000000"/>
                <w:sz w:val="24"/>
                <w:szCs w:val="24"/>
                <w:shd w:val="clear" w:color="auto" w:fill="FFFFFF"/>
              </w:rPr>
              <w:t xml:space="preserve">v </w:t>
            </w:r>
            <w:r w:rsidRPr="000E71AC">
              <w:rPr>
                <w:rFonts w:ascii="Arial" w:hAnsi="Arial" w:cs="Arial"/>
                <w:color w:val="000000"/>
                <w:sz w:val="24"/>
                <w:szCs w:val="24"/>
                <w:shd w:val="clear" w:color="auto" w:fill="FFFFFF"/>
              </w:rPr>
              <w:t>53,n. 4, p. 556–63, Aug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33.</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lang w:val="en-US"/>
              </w:rPr>
            </w:pPr>
            <w:r w:rsidRPr="000E71AC">
              <w:rPr>
                <w:rFonts w:ascii="Arial" w:hAnsi="Arial" w:cs="Arial"/>
                <w:sz w:val="24"/>
                <w:szCs w:val="24"/>
                <w:lang w:val="en-US"/>
              </w:rPr>
              <w:t>HSU, K. J. et al.</w:t>
            </w:r>
            <w:r w:rsidRPr="000E71AC">
              <w:rPr>
                <w:rFonts w:ascii="Arial" w:eastAsia="Times New Roman" w:hAnsi="Arial" w:cs="Arial"/>
                <w:bCs/>
                <w:noProof w:val="0"/>
                <w:kern w:val="36"/>
                <w:sz w:val="24"/>
                <w:szCs w:val="24"/>
                <w:lang w:val="en-US" w:eastAsia="pt-BR"/>
              </w:rPr>
              <w:t xml:space="preserve"> Effects of Exercise and Nutritional Intervention on Body Composition, Metabolic Health, and Physical Performance in Adults with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A Meta-Analysis.</w:t>
            </w:r>
            <w:r w:rsidRPr="000E71AC">
              <w:rPr>
                <w:rFonts w:ascii="Arial" w:hAnsi="Arial" w:cs="Arial"/>
                <w:color w:val="000000"/>
                <w:sz w:val="24"/>
                <w:szCs w:val="24"/>
                <w:shd w:val="clear" w:color="auto" w:fill="FFFFFF"/>
                <w:lang w:val="en-US"/>
              </w:rPr>
              <w:t xml:space="preserve"> </w:t>
            </w:r>
            <w:r w:rsidRPr="000E71AC">
              <w:rPr>
                <w:rFonts w:ascii="Arial" w:eastAsia="Times New Roman" w:hAnsi="Arial" w:cs="Arial"/>
                <w:b/>
                <w:noProof w:val="0"/>
                <w:sz w:val="24"/>
                <w:szCs w:val="24"/>
                <w:lang w:val="en-US" w:eastAsia="pt-BR"/>
              </w:rPr>
              <w:t>Nutrients</w:t>
            </w:r>
            <w:r w:rsidRPr="000E71AC">
              <w:rPr>
                <w:rFonts w:ascii="Arial" w:eastAsia="Times New Roman" w:hAnsi="Arial" w:cs="Arial"/>
                <w:noProof w:val="0"/>
                <w:sz w:val="24"/>
                <w:szCs w:val="24"/>
                <w:shd w:val="clear" w:color="auto" w:fill="FFFFFF"/>
                <w:lang w:val="en-US" w:eastAsia="pt-BR"/>
              </w:rPr>
              <w:t>, v. 9, n. 11, p. 2163-9, Sep 2019.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34</w:t>
            </w:r>
          </w:p>
        </w:tc>
        <w:tc>
          <w:tcPr>
            <w:tcW w:w="7677" w:type="dxa"/>
          </w:tcPr>
          <w:p w:rsidR="000E71AC" w:rsidRPr="000E71AC" w:rsidRDefault="000E71AC" w:rsidP="000E71AC">
            <w:pPr>
              <w:spacing w:before="120" w:after="120" w:line="360" w:lineRule="auto"/>
              <w:jc w:val="both"/>
              <w:rPr>
                <w:rFonts w:ascii="Arial" w:hAnsi="Arial" w:cs="Arial"/>
                <w:sz w:val="24"/>
                <w:szCs w:val="24"/>
              </w:rPr>
            </w:pPr>
            <w:r w:rsidRPr="000E71AC">
              <w:rPr>
                <w:rFonts w:ascii="Arial" w:hAnsi="Arial" w:cs="Arial"/>
                <w:sz w:val="24"/>
                <w:szCs w:val="24"/>
              </w:rPr>
              <w:t xml:space="preserve">INSTITUTO BRASILEIRO DE GEOGRAFIA E ESTATÍSTICA (IBGE)- Agência IBGE de notícias. </w:t>
            </w:r>
            <w:r w:rsidRPr="000E71AC">
              <w:rPr>
                <w:rFonts w:ascii="Arial" w:hAnsi="Arial" w:cs="Arial"/>
                <w:b/>
                <w:sz w:val="24"/>
                <w:szCs w:val="24"/>
              </w:rPr>
              <w:t>Projeção da população 2018: número de habitantes do país deve parar de crescer em 2047</w:t>
            </w:r>
            <w:r w:rsidRPr="000E71AC">
              <w:rPr>
                <w:rFonts w:ascii="Arial" w:hAnsi="Arial" w:cs="Arial"/>
                <w:sz w:val="24"/>
                <w:szCs w:val="24"/>
              </w:rPr>
              <w:t xml:space="preserve">. Disponível em: </w:t>
            </w:r>
          </w:p>
          <w:p w:rsidR="000E71AC" w:rsidRPr="000E71AC" w:rsidRDefault="000E71AC" w:rsidP="000E71AC">
            <w:pPr>
              <w:spacing w:before="120" w:after="120" w:line="360" w:lineRule="auto"/>
              <w:jc w:val="both"/>
              <w:rPr>
                <w:rFonts w:ascii="Arial" w:hAnsi="Arial" w:cs="Arial"/>
                <w:sz w:val="24"/>
                <w:szCs w:val="24"/>
              </w:rPr>
            </w:pPr>
            <w:r w:rsidRPr="000E71AC">
              <w:rPr>
                <w:rFonts w:ascii="Arial" w:hAnsi="Arial" w:cs="Arial"/>
                <w:sz w:val="24"/>
                <w:szCs w:val="24"/>
              </w:rPr>
              <w:t xml:space="preserve">&lt; </w:t>
            </w:r>
            <w:hyperlink r:id="rId23" w:history="1">
              <w:r w:rsidRPr="000E71AC">
                <w:rPr>
                  <w:rFonts w:ascii="Arial" w:hAnsi="Arial" w:cs="Arial"/>
                  <w:sz w:val="24"/>
                  <w:szCs w:val="24"/>
                </w:rPr>
                <w:t xml:space="preserve">https://www.ibge.gov.br/ </w:t>
              </w:r>
            </w:hyperlink>
            <w:r w:rsidRPr="000E71AC">
              <w:rPr>
                <w:rFonts w:ascii="Arial" w:hAnsi="Arial" w:cs="Arial"/>
                <w:sz w:val="24"/>
                <w:szCs w:val="24"/>
              </w:rPr>
              <w:t>&gt;Acesso em: 14/12/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35.</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JACOB FILHO, W. et al. </w:t>
            </w:r>
            <w:r w:rsidRPr="000E71AC">
              <w:rPr>
                <w:rFonts w:ascii="Arial" w:hAnsi="Arial" w:cs="Arial"/>
                <w:b/>
                <w:iCs/>
                <w:sz w:val="24"/>
                <w:szCs w:val="24"/>
                <w:shd w:val="clear" w:color="auto" w:fill="FFFFFF"/>
              </w:rPr>
              <w:t>Atividade Física e Envelhecimento Saudável</w:t>
            </w:r>
            <w:r w:rsidRPr="000E71AC">
              <w:rPr>
                <w:rFonts w:ascii="Arial" w:hAnsi="Arial" w:cs="Arial"/>
                <w:b/>
                <w:i/>
                <w:iCs/>
                <w:sz w:val="24"/>
                <w:szCs w:val="24"/>
                <w:shd w:val="clear" w:color="auto" w:fill="FFFFFF"/>
              </w:rPr>
              <w:t>.</w:t>
            </w:r>
            <w:r w:rsidRPr="000E71AC">
              <w:rPr>
                <w:rFonts w:ascii="Arial" w:hAnsi="Arial" w:cs="Arial"/>
                <w:b/>
                <w:sz w:val="24"/>
                <w:szCs w:val="24"/>
                <w:shd w:val="clear" w:color="auto" w:fill="FFFFFF"/>
              </w:rPr>
              <w:t> </w:t>
            </w:r>
            <w:r w:rsidRPr="000E71AC">
              <w:rPr>
                <w:rFonts w:ascii="Arial" w:hAnsi="Arial" w:cs="Arial"/>
                <w:sz w:val="24"/>
                <w:szCs w:val="24"/>
                <w:shd w:val="clear" w:color="auto" w:fill="FFFFFF"/>
              </w:rPr>
              <w:t>São Paulo: Atheneu, 2006.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36.</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 xml:space="preserve">JACOB FILHO, W. </w:t>
            </w:r>
            <w:r w:rsidRPr="000E71AC">
              <w:rPr>
                <w:rFonts w:ascii="Arial" w:hAnsi="Arial" w:cs="Arial"/>
                <w:b/>
                <w:sz w:val="24"/>
                <w:szCs w:val="24"/>
                <w:shd w:val="clear" w:color="auto" w:fill="FFFFFF"/>
              </w:rPr>
              <w:t>Envelhecimento, senescência e senilidade. Sociedade Brasileira de geriatria e gerontologia</w:t>
            </w:r>
            <w:r w:rsidRPr="000E71AC">
              <w:rPr>
                <w:rFonts w:ascii="Arial" w:hAnsi="Arial" w:cs="Arial"/>
                <w:sz w:val="24"/>
                <w:szCs w:val="24"/>
                <w:shd w:val="clear" w:color="auto" w:fill="FFFFFF"/>
              </w:rPr>
              <w:t>. Disponível em: &lt;</w:t>
            </w:r>
            <w:hyperlink r:id="rId24" w:history="1">
              <w:r w:rsidRPr="000E71AC">
                <w:rPr>
                  <w:rFonts w:ascii="Arial" w:hAnsi="Arial" w:cs="Arial"/>
                  <w:sz w:val="24"/>
                  <w:szCs w:val="24"/>
                  <w:shd w:val="clear" w:color="auto" w:fill="FFFFFF"/>
                </w:rPr>
                <w:t>https://www.sbgg-sp.com.br/senescencia-e-senilidade-qual-a-diferenca/</w:t>
              </w:r>
            </w:hyperlink>
            <w:r w:rsidRPr="000E71AC">
              <w:rPr>
                <w:rFonts w:ascii="Arial" w:hAnsi="Arial" w:cs="Arial"/>
                <w:sz w:val="24"/>
                <w:szCs w:val="24"/>
                <w:shd w:val="clear" w:color="auto" w:fill="FFFFFF"/>
              </w:rPr>
              <w:t xml:space="preserve">&gt; Acesso em: 07/072016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37.</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lang w:val="es-ES"/>
              </w:rPr>
              <w:t xml:space="preserve">JONES,  C. J. et al. </w:t>
            </w:r>
            <w:r w:rsidRPr="000E71AC">
              <w:rPr>
                <w:rFonts w:ascii="Arial" w:hAnsi="Arial" w:cs="Arial"/>
                <w:sz w:val="24"/>
                <w:szCs w:val="24"/>
                <w:lang w:val="en-US"/>
              </w:rPr>
              <w:t xml:space="preserve">A 30-s chair-stand test as a measure of lower body strength in community-residing older adults. </w:t>
            </w:r>
            <w:r w:rsidRPr="000E71AC">
              <w:rPr>
                <w:rFonts w:ascii="Arial" w:hAnsi="Arial" w:cs="Arial"/>
                <w:b/>
                <w:sz w:val="24"/>
                <w:szCs w:val="24"/>
              </w:rPr>
              <w:t>Res Q Exerc Sport</w:t>
            </w:r>
            <w:r w:rsidRPr="000E71AC">
              <w:rPr>
                <w:rFonts w:ascii="Arial" w:hAnsi="Arial" w:cs="Arial"/>
                <w:i/>
                <w:sz w:val="24"/>
                <w:szCs w:val="24"/>
              </w:rPr>
              <w:t xml:space="preserve">, v. </w:t>
            </w:r>
            <w:r w:rsidRPr="000E71AC">
              <w:rPr>
                <w:rFonts w:ascii="Arial" w:hAnsi="Arial" w:cs="Arial"/>
                <w:sz w:val="24"/>
                <w:szCs w:val="24"/>
              </w:rPr>
              <w:t>7, n. 2, p. 113–19, 1999.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38.</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KALINKOVICH, A.</w:t>
            </w:r>
            <w:r w:rsidRPr="000E71AC">
              <w:rPr>
                <w:rFonts w:ascii="Arial" w:eastAsia="Times New Roman" w:hAnsi="Arial" w:cs="Arial"/>
                <w:bCs/>
                <w:noProof w:val="0"/>
                <w:kern w:val="36"/>
                <w:sz w:val="24"/>
                <w:szCs w:val="24"/>
                <w:lang w:val="en-US" w:eastAsia="pt-BR"/>
              </w:rPr>
              <w:t xml:space="preserve">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or obese </w:t>
            </w:r>
            <w:proofErr w:type="spellStart"/>
            <w:r w:rsidRPr="000E71AC">
              <w:rPr>
                <w:rFonts w:ascii="Arial" w:eastAsia="Times New Roman" w:hAnsi="Arial" w:cs="Arial"/>
                <w:bCs/>
                <w:noProof w:val="0"/>
                <w:kern w:val="36"/>
                <w:sz w:val="24"/>
                <w:szCs w:val="24"/>
                <w:lang w:val="en-US" w:eastAsia="pt-BR"/>
              </w:rPr>
              <w:t>sarcopenia</w:t>
            </w:r>
            <w:proofErr w:type="spellEnd"/>
            <w:r w:rsidRPr="000E71AC">
              <w:rPr>
                <w:rFonts w:ascii="Arial" w:eastAsia="Times New Roman" w:hAnsi="Arial" w:cs="Arial"/>
                <w:bCs/>
                <w:noProof w:val="0"/>
                <w:kern w:val="36"/>
                <w:sz w:val="24"/>
                <w:szCs w:val="24"/>
                <w:lang w:val="en-US" w:eastAsia="pt-BR"/>
              </w:rPr>
              <w:t>: A cross talk between age-associated adipose tissue and skeletal muscle inflammation as a main mechanism of the pathogenesis.</w:t>
            </w:r>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eastAsia="pt-BR"/>
              </w:rPr>
              <w:t>Ageing</w:t>
            </w:r>
            <w:proofErr w:type="spellEnd"/>
            <w:r w:rsidRPr="000E71AC">
              <w:rPr>
                <w:rFonts w:ascii="Arial" w:eastAsia="Times New Roman" w:hAnsi="Arial" w:cs="Arial"/>
                <w:b/>
                <w:noProof w:val="0"/>
                <w:sz w:val="24"/>
                <w:szCs w:val="24"/>
                <w:lang w:eastAsia="pt-BR"/>
              </w:rPr>
              <w:t xml:space="preserve"> Res</w:t>
            </w:r>
            <w:r w:rsidRPr="000E71AC">
              <w:rPr>
                <w:rFonts w:ascii="Arial" w:eastAsia="Times New Roman" w:hAnsi="Arial" w:cs="Arial"/>
                <w:noProof w:val="0"/>
                <w:sz w:val="24"/>
                <w:szCs w:val="24"/>
                <w:lang w:eastAsia="pt-BR"/>
              </w:rPr>
              <w:t xml:space="preserve"> </w:t>
            </w:r>
            <w:r w:rsidRPr="000E71AC">
              <w:rPr>
                <w:rFonts w:ascii="Arial" w:eastAsia="Times New Roman" w:hAnsi="Arial" w:cs="Arial"/>
                <w:b/>
                <w:noProof w:val="0"/>
                <w:sz w:val="24"/>
                <w:szCs w:val="24"/>
                <w:lang w:eastAsia="pt-BR"/>
              </w:rPr>
              <w:t>Ver</w:t>
            </w:r>
            <w:r w:rsidRPr="000E71AC">
              <w:rPr>
                <w:rFonts w:ascii="Arial" w:eastAsia="Times New Roman" w:hAnsi="Arial" w:cs="Arial"/>
                <w:noProof w:val="0"/>
                <w:sz w:val="24"/>
                <w:szCs w:val="24"/>
                <w:lang w:eastAsia="pt-BR"/>
              </w:rPr>
              <w:t xml:space="preserve">, v. 35, p. </w:t>
            </w:r>
            <w:r w:rsidRPr="000E71AC">
              <w:rPr>
                <w:rFonts w:ascii="Arial" w:hAnsi="Arial" w:cs="Arial"/>
                <w:sz w:val="24"/>
                <w:szCs w:val="24"/>
                <w:shd w:val="clear" w:color="auto" w:fill="FFFFFF"/>
              </w:rPr>
              <w:t>200-21, May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39.</w:t>
            </w:r>
          </w:p>
        </w:tc>
        <w:tc>
          <w:tcPr>
            <w:tcW w:w="7677" w:type="dxa"/>
          </w:tcPr>
          <w:p w:rsidR="000E71AC" w:rsidRPr="000E71AC" w:rsidRDefault="000E71AC" w:rsidP="000E71AC">
            <w:pPr>
              <w:shd w:val="clear" w:color="auto" w:fill="FFFFFF"/>
              <w:spacing w:before="120" w:after="120" w:line="360" w:lineRule="auto"/>
              <w:jc w:val="both"/>
              <w:rPr>
                <w:rFonts w:ascii="Arial" w:hAnsi="Arial" w:cs="Arial"/>
                <w:color w:val="000000"/>
                <w:sz w:val="24"/>
                <w:szCs w:val="24"/>
                <w:shd w:val="clear" w:color="auto" w:fill="FFFFFF"/>
                <w:lang w:val="en-US"/>
              </w:rPr>
            </w:pPr>
            <w:r w:rsidRPr="000E71AC">
              <w:rPr>
                <w:rFonts w:ascii="Arial" w:hAnsi="Arial" w:cs="Arial"/>
                <w:sz w:val="24"/>
                <w:szCs w:val="24"/>
                <w:shd w:val="clear" w:color="auto" w:fill="FFFFFF"/>
                <w:lang w:val="en-US"/>
              </w:rPr>
              <w:t>KEMMLER, W.</w:t>
            </w:r>
            <w:r w:rsidRPr="000E71AC">
              <w:rPr>
                <w:rFonts w:ascii="Arial" w:hAnsi="Arial" w:cs="Arial"/>
                <w:color w:val="000000"/>
                <w:sz w:val="24"/>
                <w:szCs w:val="24"/>
                <w:shd w:val="clear" w:color="auto" w:fill="FFFFFF"/>
                <w:lang w:val="en-US"/>
              </w:rPr>
              <w:t xml:space="preserve"> et al. Whole-body electromyostimulation and protein supplementation favorably affect sarcopenic obesity in community-dwelling older men at risk: The randomized controlled FranSO study. </w:t>
            </w:r>
            <w:r w:rsidRPr="000E71AC">
              <w:rPr>
                <w:rFonts w:ascii="Arial" w:hAnsi="Arial" w:cs="Arial"/>
                <w:b/>
                <w:iCs/>
                <w:color w:val="000000"/>
                <w:sz w:val="24"/>
                <w:szCs w:val="24"/>
                <w:shd w:val="clear" w:color="auto" w:fill="FFFFFF"/>
                <w:lang w:val="en-US"/>
              </w:rPr>
              <w:t>Clin Interv Aging</w:t>
            </w:r>
            <w:r w:rsidRPr="000E71AC">
              <w:rPr>
                <w:rFonts w:ascii="Arial" w:hAnsi="Arial" w:cs="Arial"/>
                <w:i/>
                <w:iCs/>
                <w:color w:val="000000"/>
                <w:sz w:val="24"/>
                <w:szCs w:val="24"/>
                <w:shd w:val="clear" w:color="auto" w:fill="FFFFFF"/>
                <w:lang w:val="en-US"/>
              </w:rPr>
              <w:t xml:space="preserve">, </w:t>
            </w:r>
            <w:r w:rsidRPr="000E71AC">
              <w:rPr>
                <w:rFonts w:ascii="Arial" w:hAnsi="Arial" w:cs="Arial"/>
                <w:iCs/>
                <w:color w:val="000000"/>
                <w:sz w:val="24"/>
                <w:szCs w:val="24"/>
                <w:shd w:val="clear" w:color="auto" w:fill="FFFFFF"/>
                <w:lang w:val="en-US"/>
              </w:rPr>
              <w:t xml:space="preserve">v. </w:t>
            </w:r>
            <w:r w:rsidRPr="000E71AC">
              <w:rPr>
                <w:rFonts w:ascii="Arial" w:hAnsi="Arial" w:cs="Arial"/>
                <w:color w:val="000000"/>
                <w:sz w:val="24"/>
                <w:szCs w:val="24"/>
                <w:shd w:val="clear" w:color="auto" w:fill="FFFFFF"/>
                <w:lang w:val="en-US"/>
              </w:rPr>
              <w:t>12, n. 21, p. 1503–13, Sep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40.</w:t>
            </w:r>
          </w:p>
        </w:tc>
        <w:tc>
          <w:tcPr>
            <w:tcW w:w="7677" w:type="dxa"/>
          </w:tcPr>
          <w:p w:rsidR="000E71AC" w:rsidRPr="000E71AC" w:rsidRDefault="000E71AC" w:rsidP="000E71AC">
            <w:pPr>
              <w:shd w:val="clear" w:color="auto" w:fill="FFFFFF"/>
              <w:spacing w:before="120" w:after="120" w:line="360" w:lineRule="auto"/>
              <w:jc w:val="both"/>
              <w:rPr>
                <w:rFonts w:ascii="Arial" w:hAnsi="Arial" w:cs="Arial"/>
                <w:color w:val="000000"/>
                <w:sz w:val="24"/>
                <w:szCs w:val="24"/>
                <w:shd w:val="clear" w:color="auto" w:fill="FFFFFF"/>
                <w:lang w:val="en-US"/>
              </w:rPr>
            </w:pPr>
            <w:r w:rsidRPr="000E71AC">
              <w:rPr>
                <w:rFonts w:ascii="Arial" w:hAnsi="Arial" w:cs="Arial"/>
                <w:sz w:val="24"/>
                <w:szCs w:val="24"/>
                <w:shd w:val="clear" w:color="auto" w:fill="FFFFFF"/>
                <w:lang w:val="en-US"/>
              </w:rPr>
              <w:t>KIM, H. et al.</w:t>
            </w:r>
            <w:r w:rsidRPr="000E71AC">
              <w:rPr>
                <w:rFonts w:ascii="Arial" w:hAnsi="Arial" w:cs="Arial"/>
                <w:color w:val="000000"/>
                <w:sz w:val="24"/>
                <w:szCs w:val="24"/>
                <w:shd w:val="clear" w:color="auto" w:fill="FFFFFF"/>
                <w:lang w:val="en-US"/>
              </w:rPr>
              <w:t xml:space="preserve"> Exercise and nutritional supplementation on community-dwelling elderly japanese women with sarcopenic obesity: A randomized controlled trial. </w:t>
            </w:r>
            <w:r w:rsidRPr="000E71AC">
              <w:rPr>
                <w:rFonts w:ascii="Arial" w:hAnsi="Arial" w:cs="Arial"/>
                <w:b/>
                <w:iCs/>
                <w:color w:val="000000"/>
                <w:sz w:val="24"/>
                <w:szCs w:val="24"/>
                <w:shd w:val="clear" w:color="auto" w:fill="FFFFFF"/>
                <w:lang w:val="en-US"/>
              </w:rPr>
              <w:t>J Am Med Dir Assoc</w:t>
            </w:r>
            <w:r w:rsidRPr="000E71AC">
              <w:rPr>
                <w:rFonts w:ascii="Arial" w:hAnsi="Arial" w:cs="Arial"/>
                <w:i/>
                <w:iCs/>
                <w:color w:val="000000"/>
                <w:sz w:val="24"/>
                <w:szCs w:val="24"/>
                <w:shd w:val="clear" w:color="auto" w:fill="FFFFFF"/>
                <w:lang w:val="en-US"/>
              </w:rPr>
              <w:t xml:space="preserve">, </w:t>
            </w:r>
            <w:r w:rsidRPr="000E71AC">
              <w:rPr>
                <w:rFonts w:ascii="Arial" w:hAnsi="Arial" w:cs="Arial"/>
                <w:iCs/>
                <w:color w:val="000000"/>
                <w:sz w:val="24"/>
                <w:szCs w:val="24"/>
                <w:shd w:val="clear" w:color="auto" w:fill="FFFFFF"/>
                <w:lang w:val="en-US"/>
              </w:rPr>
              <w:t xml:space="preserve">v. </w:t>
            </w:r>
            <w:r w:rsidRPr="000E71AC">
              <w:rPr>
                <w:rFonts w:ascii="Arial" w:hAnsi="Arial" w:cs="Arial"/>
                <w:color w:val="000000"/>
                <w:sz w:val="24"/>
                <w:szCs w:val="24"/>
                <w:shd w:val="clear" w:color="auto" w:fill="FFFFFF"/>
                <w:lang w:val="en-US"/>
              </w:rPr>
              <w:t>1, n. 17, p.1011–19,  Nov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41.</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 xml:space="preserve">KIM, T. N. et al. Impact of visceral fat on skeletal muscle mass and vice versa in a prospective cohort study: the Korean Sarcopenic Obesity Study (KSOS). </w:t>
            </w:r>
            <w:r w:rsidRPr="000E71AC">
              <w:rPr>
                <w:rFonts w:ascii="Arial" w:hAnsi="Arial" w:cs="Arial"/>
                <w:b/>
                <w:sz w:val="24"/>
                <w:szCs w:val="24"/>
                <w:shd w:val="clear" w:color="auto" w:fill="FFFFFF"/>
                <w:lang w:val="en-US"/>
              </w:rPr>
              <w:t>PLoS One</w:t>
            </w:r>
            <w:r w:rsidRPr="000E71AC">
              <w:rPr>
                <w:rFonts w:ascii="Arial" w:hAnsi="Arial" w:cs="Arial"/>
                <w:sz w:val="24"/>
                <w:szCs w:val="24"/>
                <w:shd w:val="clear" w:color="auto" w:fill="FFFFFF"/>
                <w:lang w:val="en-US"/>
              </w:rPr>
              <w:t>, v. 17, n. 9, p. e115407, Dec  2014.</w:t>
            </w:r>
            <w:r w:rsidRPr="000E71AC">
              <w:rPr>
                <w:rFonts w:ascii="Arial" w:hAnsi="Arial" w:cs="Arial"/>
                <w:sz w:val="24"/>
                <w:szCs w:val="24"/>
                <w:shd w:val="clear" w:color="auto" w:fill="FFFFFF"/>
                <w:lang w:val="en-US"/>
              </w:rPr>
              <w:tab/>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42.</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 xml:space="preserve">KINOSHITA, H. et al. Skeletal Muscle Cell Oxidative Stress As A Possible Therapeutic Target In A Denervation-Induced Experimental Sarcopenic Model. </w:t>
            </w:r>
            <w:r w:rsidRPr="000E71AC">
              <w:rPr>
                <w:rFonts w:ascii="Arial" w:eastAsia="Times New Roman" w:hAnsi="Arial" w:cs="Arial"/>
                <w:b/>
                <w:noProof w:val="0"/>
                <w:sz w:val="24"/>
                <w:szCs w:val="24"/>
                <w:lang w:val="en-US" w:eastAsia="pt-BR"/>
              </w:rPr>
              <w:t>Spine</w:t>
            </w:r>
            <w:r w:rsidRPr="000E71AC">
              <w:rPr>
                <w:rFonts w:ascii="Arial" w:eastAsia="Times New Roman" w:hAnsi="Arial" w:cs="Arial"/>
                <w:i/>
                <w:noProof w:val="0"/>
                <w:sz w:val="24"/>
                <w:szCs w:val="24"/>
                <w:lang w:val="en-US" w:eastAsia="pt-BR"/>
              </w:rPr>
              <w:t>, v. 15, n. 44, p. 446-55</w:t>
            </w:r>
            <w:r w:rsidRPr="000E71AC">
              <w:rPr>
                <w:rFonts w:ascii="Arial" w:hAnsi="Arial" w:cs="Arial"/>
                <w:sz w:val="24"/>
                <w:szCs w:val="24"/>
                <w:shd w:val="clear" w:color="auto" w:fill="FFFFFF"/>
                <w:lang w:val="en-US"/>
              </w:rPr>
              <w:t>, Apr 2019.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43.</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 xml:space="preserve">LANG, D. et al. Protein kinase C (PKC) dependent induction of tissue factor (TF) by mesangial cells in response to inflammatory mediators and release during apoptosis. </w:t>
            </w:r>
            <w:r w:rsidRPr="000E71AC">
              <w:rPr>
                <w:rFonts w:ascii="Arial" w:hAnsi="Arial" w:cs="Arial"/>
                <w:b/>
                <w:sz w:val="24"/>
                <w:szCs w:val="24"/>
                <w:shd w:val="clear" w:color="auto" w:fill="FFFFFF"/>
                <w:lang w:val="en-US"/>
              </w:rPr>
              <w:t>Br J Pharmacol</w:t>
            </w:r>
            <w:r w:rsidRPr="000E71AC">
              <w:rPr>
                <w:rFonts w:ascii="Arial" w:hAnsi="Arial" w:cs="Arial"/>
                <w:i/>
                <w:sz w:val="24"/>
                <w:szCs w:val="24"/>
                <w:shd w:val="clear" w:color="auto" w:fill="FFFFFF"/>
                <w:lang w:val="en-US"/>
              </w:rPr>
              <w:t xml:space="preserve">, </w:t>
            </w:r>
            <w:r w:rsidRPr="000E71AC">
              <w:rPr>
                <w:rFonts w:ascii="Arial" w:hAnsi="Arial" w:cs="Arial"/>
                <w:sz w:val="24"/>
                <w:szCs w:val="24"/>
                <w:shd w:val="clear" w:color="auto" w:fill="FFFFFF"/>
                <w:lang w:val="en-US"/>
              </w:rPr>
              <w:t>v. 137, n. 7, p 1116-24, Dec 2002.</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44.</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lang w:val="en-US"/>
              </w:rPr>
            </w:pPr>
            <w:r w:rsidRPr="000E71AC">
              <w:rPr>
                <w:rFonts w:ascii="Arial" w:eastAsiaTheme="majorEastAsia" w:hAnsi="Arial" w:cs="Arial"/>
                <w:sz w:val="24"/>
                <w:szCs w:val="24"/>
                <w:shd w:val="clear" w:color="auto" w:fill="FFFFFF"/>
                <w:lang w:val="en-US"/>
              </w:rPr>
              <w:t>LARSSON, L. et al.</w:t>
            </w:r>
            <w:r w:rsidRPr="000E71AC">
              <w:rPr>
                <w:rFonts w:ascii="Arial" w:eastAsia="Times New Roman" w:hAnsi="Arial" w:cs="Arial"/>
                <w:bCs/>
                <w:noProof w:val="0"/>
                <w:kern w:val="36"/>
                <w:sz w:val="24"/>
                <w:szCs w:val="24"/>
                <w:lang w:val="en-US" w:eastAsia="pt-BR"/>
              </w:rPr>
              <w:t xml:space="preserve"> </w:t>
            </w:r>
            <w:proofErr w:type="spellStart"/>
            <w:r w:rsidRPr="000E71AC">
              <w:rPr>
                <w:rFonts w:ascii="Arial" w:eastAsia="Times New Roman" w:hAnsi="Arial" w:cs="Arial"/>
                <w:bCs/>
                <w:noProof w:val="0"/>
                <w:kern w:val="36"/>
                <w:sz w:val="24"/>
                <w:szCs w:val="24"/>
                <w:lang w:val="en-US" w:eastAsia="pt-BR"/>
              </w:rPr>
              <w:t>Sarcopenia</w:t>
            </w:r>
            <w:proofErr w:type="spellEnd"/>
            <w:r w:rsidRPr="000E71AC">
              <w:rPr>
                <w:rFonts w:ascii="Arial" w:eastAsia="Times New Roman" w:hAnsi="Arial" w:cs="Arial"/>
                <w:bCs/>
                <w:noProof w:val="0"/>
                <w:kern w:val="36"/>
                <w:sz w:val="24"/>
                <w:szCs w:val="24"/>
                <w:lang w:val="en-US" w:eastAsia="pt-BR"/>
              </w:rPr>
              <w:t xml:space="preserve">: Aging-Related Loss of Muscle Mass and Function. </w:t>
            </w:r>
            <w:proofErr w:type="spellStart"/>
            <w:r w:rsidRPr="000E71AC">
              <w:rPr>
                <w:rFonts w:ascii="Arial" w:eastAsia="Times New Roman" w:hAnsi="Arial" w:cs="Arial"/>
                <w:b/>
                <w:bCs/>
                <w:noProof w:val="0"/>
                <w:kern w:val="36"/>
                <w:sz w:val="24"/>
                <w:szCs w:val="24"/>
                <w:lang w:val="en-US" w:eastAsia="pt-BR"/>
              </w:rPr>
              <w:t>Physiol</w:t>
            </w:r>
            <w:proofErr w:type="spellEnd"/>
            <w:r w:rsidRPr="000E71AC">
              <w:rPr>
                <w:rFonts w:ascii="Arial" w:eastAsia="Times New Roman" w:hAnsi="Arial" w:cs="Arial"/>
                <w:b/>
                <w:bCs/>
                <w:noProof w:val="0"/>
                <w:kern w:val="36"/>
                <w:sz w:val="24"/>
                <w:szCs w:val="24"/>
                <w:lang w:val="en-US" w:eastAsia="pt-BR"/>
              </w:rPr>
              <w:t xml:space="preserve"> Rev</w:t>
            </w:r>
            <w:r w:rsidRPr="000E71AC">
              <w:rPr>
                <w:rFonts w:ascii="Arial" w:eastAsia="Times New Roman" w:hAnsi="Arial" w:cs="Arial"/>
                <w:bCs/>
                <w:noProof w:val="0"/>
                <w:kern w:val="36"/>
                <w:sz w:val="24"/>
                <w:szCs w:val="24"/>
                <w:lang w:val="en-US" w:eastAsia="pt-BR"/>
              </w:rPr>
              <w:t>, v. 1, n. 99, p. 427-511, Jan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45.</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rPr>
            </w:pPr>
            <w:r w:rsidRPr="000E71AC">
              <w:rPr>
                <w:rFonts w:ascii="Arial" w:eastAsiaTheme="majorEastAsia" w:hAnsi="Arial" w:cs="Arial"/>
                <w:sz w:val="24"/>
                <w:szCs w:val="24"/>
                <w:shd w:val="clear" w:color="auto" w:fill="FFFFFF"/>
                <w:lang w:val="es-ES"/>
              </w:rPr>
              <w:t>LIAO, C. D. et al.</w:t>
            </w:r>
            <w:r w:rsidRPr="000E71AC">
              <w:rPr>
                <w:rFonts w:ascii="Arial" w:eastAsiaTheme="majorEastAsia" w:hAnsi="Arial" w:cs="Arial"/>
                <w:color w:val="000000"/>
                <w:sz w:val="24"/>
                <w:szCs w:val="24"/>
                <w:shd w:val="clear" w:color="auto" w:fill="FFFFFF"/>
                <w:lang w:val="es-ES"/>
              </w:rPr>
              <w:t xml:space="preserve">  </w:t>
            </w:r>
            <w:r w:rsidRPr="000E71AC">
              <w:rPr>
                <w:rFonts w:ascii="Arial" w:eastAsiaTheme="majorEastAsia" w:hAnsi="Arial" w:cs="Arial"/>
                <w:color w:val="000000"/>
                <w:sz w:val="24"/>
                <w:szCs w:val="24"/>
                <w:shd w:val="clear" w:color="auto" w:fill="FFFFFF"/>
                <w:lang w:val="en-US"/>
              </w:rPr>
              <w:t>Effects of elastic resistance exercise on body composition and physical capacity in older women with sarcopenic obesity: A CONSORT-compliant prospective randomized controlled trial. </w:t>
            </w:r>
            <w:r w:rsidRPr="000E71AC">
              <w:rPr>
                <w:rFonts w:ascii="Arial" w:eastAsiaTheme="majorEastAsia" w:hAnsi="Arial" w:cs="Arial"/>
                <w:b/>
                <w:iCs/>
                <w:color w:val="000000"/>
                <w:sz w:val="24"/>
                <w:szCs w:val="24"/>
                <w:shd w:val="clear" w:color="auto" w:fill="FFFFFF"/>
              </w:rPr>
              <w:t>Medicine</w:t>
            </w:r>
            <w:r w:rsidRPr="000E71AC">
              <w:rPr>
                <w:rFonts w:ascii="Arial" w:eastAsiaTheme="majorEastAsia" w:hAnsi="Arial" w:cs="Arial"/>
                <w:i/>
                <w:iCs/>
                <w:color w:val="000000"/>
                <w:sz w:val="24"/>
                <w:szCs w:val="24"/>
                <w:shd w:val="clear" w:color="auto" w:fill="FFFFFF"/>
              </w:rPr>
              <w:t xml:space="preserve">. v. </w:t>
            </w:r>
            <w:r w:rsidRPr="000E71AC">
              <w:rPr>
                <w:rFonts w:ascii="Arial" w:eastAsiaTheme="majorEastAsia" w:hAnsi="Arial" w:cs="Arial"/>
                <w:color w:val="000000"/>
                <w:sz w:val="24"/>
                <w:szCs w:val="24"/>
                <w:shd w:val="clear" w:color="auto" w:fill="FFFFFF"/>
              </w:rPr>
              <w:t>96, p. e7115, Jun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46.</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rPr>
            </w:pPr>
            <w:r w:rsidRPr="000E71AC">
              <w:rPr>
                <w:rFonts w:ascii="Arial" w:eastAsiaTheme="majorEastAsia" w:hAnsi="Arial" w:cs="Arial"/>
                <w:sz w:val="24"/>
                <w:szCs w:val="24"/>
                <w:shd w:val="clear" w:color="auto" w:fill="FFFFFF"/>
                <w:lang w:val="es-ES"/>
              </w:rPr>
              <w:t>LIAO, C. D. et al.</w:t>
            </w:r>
            <w:r w:rsidRPr="000E71AC">
              <w:rPr>
                <w:rFonts w:ascii="Arial" w:eastAsiaTheme="majorEastAsia" w:hAnsi="Arial" w:cs="Arial"/>
                <w:color w:val="000000"/>
                <w:sz w:val="24"/>
                <w:szCs w:val="24"/>
                <w:shd w:val="clear" w:color="auto" w:fill="FFFFFF"/>
                <w:lang w:val="es-ES"/>
              </w:rPr>
              <w:t xml:space="preserve">  </w:t>
            </w:r>
            <w:r w:rsidRPr="000E71AC">
              <w:rPr>
                <w:rFonts w:ascii="Arial" w:eastAsiaTheme="majorEastAsia" w:hAnsi="Arial" w:cs="Arial"/>
                <w:color w:val="000000"/>
                <w:sz w:val="24"/>
                <w:szCs w:val="24"/>
                <w:shd w:val="clear" w:color="auto" w:fill="FFFFFF"/>
                <w:lang w:val="en-US"/>
              </w:rPr>
              <w:t>Effects of elastic band exercise on lean mass and physical capacity in older women with sarcopenic obesity: A randomized controlled trial. </w:t>
            </w:r>
            <w:r w:rsidRPr="000E71AC">
              <w:rPr>
                <w:rFonts w:ascii="Arial" w:eastAsiaTheme="majorEastAsia" w:hAnsi="Arial" w:cs="Arial"/>
                <w:b/>
                <w:iCs/>
                <w:color w:val="000000"/>
                <w:sz w:val="24"/>
                <w:szCs w:val="24"/>
                <w:shd w:val="clear" w:color="auto" w:fill="FFFFFF"/>
              </w:rPr>
              <w:t>Sci  Rep</w:t>
            </w:r>
            <w:r w:rsidRPr="000E71AC">
              <w:rPr>
                <w:rFonts w:ascii="Arial" w:eastAsiaTheme="majorEastAsia" w:hAnsi="Arial" w:cs="Arial"/>
                <w:i/>
                <w:iCs/>
                <w:color w:val="000000"/>
                <w:sz w:val="24"/>
                <w:szCs w:val="24"/>
                <w:shd w:val="clear" w:color="auto" w:fill="FFFFFF"/>
              </w:rPr>
              <w:t xml:space="preserve">, </w:t>
            </w:r>
            <w:r w:rsidRPr="000E71AC">
              <w:rPr>
                <w:rFonts w:ascii="Arial" w:eastAsiaTheme="majorEastAsia" w:hAnsi="Arial" w:cs="Arial"/>
                <w:iCs/>
                <w:color w:val="000000"/>
                <w:sz w:val="24"/>
                <w:szCs w:val="24"/>
                <w:shd w:val="clear" w:color="auto" w:fill="FFFFFF"/>
              </w:rPr>
              <w:t xml:space="preserve">v.2, n </w:t>
            </w:r>
            <w:r w:rsidRPr="000E71AC">
              <w:rPr>
                <w:rFonts w:ascii="Arial" w:eastAsiaTheme="majorEastAsia" w:hAnsi="Arial" w:cs="Arial"/>
                <w:color w:val="000000"/>
                <w:sz w:val="24"/>
                <w:szCs w:val="24"/>
                <w:shd w:val="clear" w:color="auto" w:fill="FFFFFF"/>
              </w:rPr>
              <w:t>8, p. 2317, Fev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47.</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LOPEZ, P.</w:t>
            </w:r>
            <w:r w:rsidRPr="000E71AC">
              <w:rPr>
                <w:rFonts w:ascii="Arial" w:eastAsia="Times New Roman" w:hAnsi="Arial" w:cs="Arial"/>
                <w:bCs/>
                <w:noProof w:val="0"/>
                <w:kern w:val="36"/>
                <w:sz w:val="24"/>
                <w:szCs w:val="24"/>
                <w:lang w:val="en-US" w:eastAsia="pt-BR"/>
              </w:rPr>
              <w:t xml:space="preserve"> et al. Benefits of resistance training in physically frail elderly: a systematic review. </w:t>
            </w:r>
            <w:proofErr w:type="spellStart"/>
            <w:r w:rsidRPr="000E71AC">
              <w:rPr>
                <w:rFonts w:ascii="Arial" w:eastAsia="Times New Roman" w:hAnsi="Arial" w:cs="Arial"/>
                <w:b/>
                <w:noProof w:val="0"/>
                <w:sz w:val="24"/>
                <w:szCs w:val="24"/>
                <w:lang w:val="en-US" w:eastAsia="pt-BR"/>
              </w:rPr>
              <w:t>Clin</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Exp</w:t>
            </w:r>
            <w:proofErr w:type="spellEnd"/>
            <w:r w:rsidRPr="000E71AC">
              <w:rPr>
                <w:rFonts w:ascii="Arial" w:eastAsia="Times New Roman" w:hAnsi="Arial" w:cs="Arial"/>
                <w:b/>
                <w:noProof w:val="0"/>
                <w:sz w:val="24"/>
                <w:szCs w:val="24"/>
                <w:lang w:val="en-US" w:eastAsia="pt-BR"/>
              </w:rPr>
              <w:t xml:space="preserve"> Res</w:t>
            </w:r>
            <w:r w:rsidRPr="000E71AC">
              <w:rPr>
                <w:rFonts w:ascii="Arial" w:eastAsia="Times New Roman" w:hAnsi="Arial" w:cs="Arial"/>
                <w:noProof w:val="0"/>
                <w:sz w:val="24"/>
                <w:szCs w:val="24"/>
                <w:lang w:val="en-US" w:eastAsia="pt-BR"/>
              </w:rPr>
              <w:t xml:space="preserve">, v. </w:t>
            </w:r>
            <w:r w:rsidRPr="000E71AC">
              <w:rPr>
                <w:rFonts w:ascii="Arial" w:hAnsi="Arial" w:cs="Arial"/>
                <w:sz w:val="24"/>
                <w:szCs w:val="24"/>
                <w:shd w:val="clear" w:color="auto" w:fill="FFFFFF"/>
                <w:lang w:val="en-US"/>
              </w:rPr>
              <w:t>30, n. 8, p. 889-99, Aug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48.</w:t>
            </w:r>
          </w:p>
        </w:tc>
        <w:tc>
          <w:tcPr>
            <w:tcW w:w="7677" w:type="dxa"/>
          </w:tcPr>
          <w:p w:rsidR="000E71AC" w:rsidRPr="000E71AC" w:rsidRDefault="000E71AC" w:rsidP="000E71AC">
            <w:pPr>
              <w:shd w:val="clear" w:color="auto" w:fill="FFFFFF"/>
              <w:spacing w:before="120" w:after="120" w:line="360" w:lineRule="auto"/>
              <w:jc w:val="both"/>
              <w:rPr>
                <w:rFonts w:ascii="Arial" w:eastAsia="Times New Roman" w:hAnsi="Arial" w:cs="Arial"/>
                <w:noProof w:val="0"/>
                <w:sz w:val="24"/>
                <w:szCs w:val="24"/>
                <w:lang w:val="en-US" w:eastAsia="pt-BR"/>
              </w:rPr>
            </w:pPr>
            <w:r w:rsidRPr="000E71AC">
              <w:rPr>
                <w:rFonts w:ascii="Arial" w:hAnsi="Arial" w:cs="Arial"/>
                <w:sz w:val="24"/>
                <w:szCs w:val="24"/>
                <w:shd w:val="clear" w:color="auto" w:fill="FFFFFF"/>
                <w:lang w:val="en-US"/>
              </w:rPr>
              <w:t>MAGKOS, F. et al.</w:t>
            </w:r>
            <w:r w:rsidRPr="000E71AC">
              <w:rPr>
                <w:rFonts w:ascii="Arial" w:eastAsia="Times New Roman" w:hAnsi="Arial" w:cs="Arial"/>
                <w:bCs/>
                <w:noProof w:val="0"/>
                <w:kern w:val="36"/>
                <w:sz w:val="24"/>
                <w:szCs w:val="24"/>
                <w:lang w:val="en-US" w:eastAsia="pt-BR"/>
              </w:rPr>
              <w:t xml:space="preserve"> Relationship between adipose tissue </w:t>
            </w:r>
            <w:proofErr w:type="spellStart"/>
            <w:r w:rsidRPr="000E71AC">
              <w:rPr>
                <w:rFonts w:ascii="Arial" w:eastAsia="Times New Roman" w:hAnsi="Arial" w:cs="Arial"/>
                <w:bCs/>
                <w:noProof w:val="0"/>
                <w:kern w:val="36"/>
                <w:sz w:val="24"/>
                <w:szCs w:val="24"/>
                <w:lang w:val="en-US" w:eastAsia="pt-BR"/>
              </w:rPr>
              <w:t>lipolytic</w:t>
            </w:r>
            <w:proofErr w:type="spellEnd"/>
            <w:r w:rsidRPr="000E71AC">
              <w:rPr>
                <w:rFonts w:ascii="Arial" w:eastAsia="Times New Roman" w:hAnsi="Arial" w:cs="Arial"/>
                <w:bCs/>
                <w:noProof w:val="0"/>
                <w:kern w:val="36"/>
                <w:sz w:val="24"/>
                <w:szCs w:val="24"/>
                <w:lang w:val="en-US" w:eastAsia="pt-BR"/>
              </w:rPr>
              <w:t xml:space="preserve"> activity and skeletal muscle insulin resistance in </w:t>
            </w:r>
            <w:proofErr w:type="spellStart"/>
            <w:r w:rsidRPr="000E71AC">
              <w:rPr>
                <w:rFonts w:ascii="Arial" w:eastAsia="Times New Roman" w:hAnsi="Arial" w:cs="Arial"/>
                <w:bCs/>
                <w:noProof w:val="0"/>
                <w:kern w:val="36"/>
                <w:sz w:val="24"/>
                <w:szCs w:val="24"/>
                <w:lang w:val="en-US" w:eastAsia="pt-BR"/>
              </w:rPr>
              <w:t>nondiabetic</w:t>
            </w:r>
            <w:proofErr w:type="spellEnd"/>
            <w:r w:rsidRPr="000E71AC">
              <w:rPr>
                <w:rFonts w:ascii="Arial" w:eastAsia="Times New Roman" w:hAnsi="Arial" w:cs="Arial"/>
                <w:bCs/>
                <w:noProof w:val="0"/>
                <w:kern w:val="36"/>
                <w:sz w:val="24"/>
                <w:szCs w:val="24"/>
                <w:lang w:val="en-US" w:eastAsia="pt-BR"/>
              </w:rPr>
              <w:t xml:space="preserve"> women.</w:t>
            </w:r>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b/>
                <w:noProof w:val="0"/>
                <w:sz w:val="24"/>
                <w:szCs w:val="24"/>
                <w:lang w:val="en-US" w:eastAsia="pt-BR"/>
              </w:rPr>
              <w:t xml:space="preserve">J </w:t>
            </w:r>
            <w:proofErr w:type="spellStart"/>
            <w:r w:rsidRPr="000E71AC">
              <w:rPr>
                <w:rFonts w:ascii="Arial" w:eastAsia="Times New Roman" w:hAnsi="Arial" w:cs="Arial"/>
                <w:b/>
                <w:noProof w:val="0"/>
                <w:sz w:val="24"/>
                <w:szCs w:val="24"/>
                <w:lang w:val="en-US" w:eastAsia="pt-BR"/>
              </w:rPr>
              <w:t>Clin</w:t>
            </w:r>
            <w:proofErr w:type="spellEnd"/>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Endocrinol</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Metab</w:t>
            </w:r>
            <w:proofErr w:type="spellEnd"/>
            <w:r w:rsidRPr="000E71AC">
              <w:rPr>
                <w:rFonts w:ascii="Arial" w:eastAsia="Times New Roman" w:hAnsi="Arial" w:cs="Arial"/>
                <w:noProof w:val="0"/>
                <w:sz w:val="24"/>
                <w:szCs w:val="24"/>
                <w:lang w:val="en-US" w:eastAsia="pt-BR"/>
              </w:rPr>
              <w:t>, v. 97, n. 7, p. e1219-23. Jul 2012.</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49.</w:t>
            </w:r>
          </w:p>
        </w:tc>
        <w:tc>
          <w:tcPr>
            <w:tcW w:w="7677" w:type="dxa"/>
          </w:tcPr>
          <w:p w:rsidR="000E71AC" w:rsidRPr="000E71AC" w:rsidRDefault="000E71AC" w:rsidP="000E71AC">
            <w:pPr>
              <w:shd w:val="clear" w:color="auto" w:fill="FFFFFF"/>
              <w:spacing w:before="120" w:after="120" w:line="360" w:lineRule="auto"/>
              <w:jc w:val="both"/>
              <w:rPr>
                <w:rFonts w:ascii="Arial" w:hAnsi="Arial" w:cs="Arial"/>
                <w:color w:val="FF0000"/>
                <w:sz w:val="24"/>
                <w:szCs w:val="24"/>
                <w:shd w:val="clear" w:color="auto" w:fill="FFFFFF"/>
              </w:rPr>
            </w:pPr>
            <w:r w:rsidRPr="000E71AC">
              <w:rPr>
                <w:rFonts w:ascii="Arial" w:hAnsi="Arial" w:cs="Arial"/>
                <w:sz w:val="24"/>
                <w:szCs w:val="24"/>
                <w:lang w:val="en-US"/>
              </w:rPr>
              <w:t xml:space="preserve">MARTIN, A. D,  et al. Segment lengths. In: Lohman TG, Roche AF, Martorell R, editors. </w:t>
            </w:r>
            <w:r w:rsidRPr="000E71AC">
              <w:rPr>
                <w:rFonts w:ascii="Arial" w:hAnsi="Arial" w:cs="Arial"/>
                <w:b/>
                <w:sz w:val="24"/>
                <w:szCs w:val="24"/>
              </w:rPr>
              <w:t>Anthropometric standardization reference manual</w:t>
            </w:r>
            <w:r w:rsidRPr="000E71AC">
              <w:rPr>
                <w:rFonts w:ascii="Arial" w:hAnsi="Arial" w:cs="Arial"/>
                <w:sz w:val="24"/>
                <w:szCs w:val="24"/>
              </w:rPr>
              <w:t>. Champaign: Human Kinetics, p. 9-26, 1988</w:t>
            </w:r>
            <w:r w:rsidRPr="000E71AC">
              <w:rPr>
                <w:rFonts w:ascii="Arial" w:hAnsi="Arial" w:cs="Arial"/>
                <w:color w:val="FF0000"/>
                <w:sz w:val="24"/>
                <w:szCs w:val="24"/>
              </w:rPr>
              <w:t>.</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50.</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rPr>
            </w:pPr>
            <w:r w:rsidRPr="000E71AC">
              <w:rPr>
                <w:rFonts w:ascii="Arial" w:eastAsiaTheme="majorEastAsia" w:hAnsi="Arial" w:cs="Arial"/>
                <w:sz w:val="24"/>
                <w:szCs w:val="24"/>
                <w:shd w:val="clear" w:color="auto" w:fill="FFFFFF"/>
                <w:lang w:val="en-US"/>
              </w:rPr>
              <w:t xml:space="preserve">MATHUS-VLIEGEN, E.M. Prevalence, pathophysology, health consequences and treatment options of obesity in the elderly: a guideline. </w:t>
            </w:r>
            <w:r w:rsidRPr="000E71AC">
              <w:rPr>
                <w:rFonts w:ascii="Arial" w:eastAsiaTheme="majorEastAsia" w:hAnsi="Arial" w:cs="Arial"/>
                <w:b/>
                <w:sz w:val="24"/>
                <w:szCs w:val="24"/>
                <w:shd w:val="clear" w:color="auto" w:fill="FFFFFF"/>
              </w:rPr>
              <w:t>Obes Facts</w:t>
            </w:r>
            <w:r w:rsidRPr="000E71AC">
              <w:rPr>
                <w:rFonts w:ascii="Arial" w:eastAsiaTheme="majorEastAsia" w:hAnsi="Arial" w:cs="Arial"/>
                <w:b/>
                <w:i/>
                <w:sz w:val="24"/>
                <w:szCs w:val="24"/>
                <w:shd w:val="clear" w:color="auto" w:fill="FFFFFF"/>
              </w:rPr>
              <w:t>,</w:t>
            </w:r>
            <w:r w:rsidRPr="000E71AC">
              <w:rPr>
                <w:rFonts w:ascii="Arial" w:eastAsiaTheme="majorEastAsia" w:hAnsi="Arial" w:cs="Arial"/>
                <w:sz w:val="24"/>
                <w:szCs w:val="24"/>
                <w:shd w:val="clear" w:color="auto" w:fill="FFFFFF"/>
              </w:rPr>
              <w:t xml:space="preserve"> v. 5, n. 3 , p. 460-83, 2012.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51.</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lang w:val="en-US"/>
              </w:rPr>
            </w:pPr>
            <w:r w:rsidRPr="000E71AC">
              <w:rPr>
                <w:rFonts w:ascii="Arial" w:eastAsiaTheme="majorEastAsia" w:hAnsi="Arial" w:cs="Arial"/>
                <w:sz w:val="24"/>
                <w:szCs w:val="24"/>
                <w:shd w:val="clear" w:color="auto" w:fill="FFFFFF"/>
                <w:lang w:val="en-US"/>
              </w:rPr>
              <w:t>MEDZHITOV, R.</w:t>
            </w:r>
            <w:r w:rsidRPr="000E71AC">
              <w:rPr>
                <w:rFonts w:ascii="Arial" w:eastAsia="Times New Roman" w:hAnsi="Arial" w:cs="Arial"/>
                <w:b/>
                <w:bCs/>
                <w:noProof w:val="0"/>
                <w:kern w:val="36"/>
                <w:sz w:val="24"/>
                <w:szCs w:val="24"/>
                <w:lang w:val="en-US" w:eastAsia="pt-BR"/>
              </w:rPr>
              <w:t xml:space="preserve"> </w:t>
            </w:r>
            <w:r w:rsidRPr="000E71AC">
              <w:rPr>
                <w:rFonts w:ascii="Arial" w:eastAsia="Times New Roman" w:hAnsi="Arial" w:cs="Arial"/>
                <w:bCs/>
                <w:noProof w:val="0"/>
                <w:kern w:val="36"/>
                <w:sz w:val="24"/>
                <w:szCs w:val="24"/>
                <w:lang w:val="en-US" w:eastAsia="pt-BR"/>
              </w:rPr>
              <w:t xml:space="preserve">Origin and physiological roles of inflammation. </w:t>
            </w:r>
            <w:r w:rsidRPr="000E71AC">
              <w:rPr>
                <w:rFonts w:ascii="Arial" w:eastAsia="Times New Roman" w:hAnsi="Arial" w:cs="Arial"/>
                <w:b/>
                <w:bCs/>
                <w:noProof w:val="0"/>
                <w:kern w:val="36"/>
                <w:sz w:val="24"/>
                <w:szCs w:val="24"/>
                <w:lang w:val="en-US" w:eastAsia="pt-BR"/>
              </w:rPr>
              <w:t>Nature</w:t>
            </w:r>
            <w:r w:rsidRPr="000E71AC">
              <w:rPr>
                <w:rFonts w:ascii="Arial" w:eastAsia="Times New Roman" w:hAnsi="Arial" w:cs="Arial"/>
                <w:bCs/>
                <w:i/>
                <w:noProof w:val="0"/>
                <w:kern w:val="36"/>
                <w:sz w:val="24"/>
                <w:szCs w:val="24"/>
                <w:lang w:val="en-US" w:eastAsia="pt-BR"/>
              </w:rPr>
              <w:t>.</w:t>
            </w:r>
            <w:r w:rsidRPr="000E71AC">
              <w:rPr>
                <w:rFonts w:ascii="Arial" w:eastAsiaTheme="majorEastAsia" w:hAnsi="Arial" w:cs="Arial"/>
                <w:sz w:val="24"/>
                <w:szCs w:val="24"/>
                <w:shd w:val="clear" w:color="auto" w:fill="FFFFFF"/>
                <w:lang w:val="en-US"/>
              </w:rPr>
              <w:t xml:space="preserve"> v. 24, n. 454, p. 428-35, Jul 2008.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52.</w:t>
            </w:r>
          </w:p>
        </w:tc>
        <w:tc>
          <w:tcPr>
            <w:tcW w:w="7677" w:type="dxa"/>
          </w:tcPr>
          <w:p w:rsidR="000E71AC" w:rsidRPr="000E71AC" w:rsidRDefault="000E71AC" w:rsidP="000E71AC">
            <w:pPr>
              <w:keepNext/>
              <w:keepLines/>
              <w:spacing w:before="120" w:after="120" w:line="360" w:lineRule="auto"/>
              <w:jc w:val="both"/>
              <w:outlineLvl w:val="0"/>
              <w:rPr>
                <w:rFonts w:ascii="Arial" w:eastAsiaTheme="majorEastAsia" w:hAnsi="Arial" w:cs="Arial"/>
                <w:color w:val="2E74B5" w:themeColor="accent1" w:themeShade="BF"/>
                <w:sz w:val="24"/>
                <w:szCs w:val="24"/>
                <w:shd w:val="clear" w:color="auto" w:fill="FFFFFF"/>
              </w:rPr>
            </w:pPr>
            <w:r w:rsidRPr="000E71AC">
              <w:rPr>
                <w:rFonts w:ascii="Arial" w:eastAsiaTheme="majorEastAsia" w:hAnsi="Arial" w:cs="Arial"/>
                <w:sz w:val="24"/>
                <w:szCs w:val="24"/>
                <w:shd w:val="clear" w:color="auto" w:fill="FFFFFF"/>
              </w:rPr>
              <w:t xml:space="preserve">MINISTÉRIO DA SAÚDE, CONSELHO NACIONAL DE SAÚDE. </w:t>
            </w:r>
            <w:r w:rsidRPr="000E71AC">
              <w:rPr>
                <w:rFonts w:ascii="Arial" w:eastAsia="Times New Roman" w:hAnsi="Arial" w:cs="Arial"/>
                <w:b/>
                <w:bCs/>
                <w:noProof w:val="0"/>
                <w:kern w:val="36"/>
                <w:sz w:val="24"/>
                <w:szCs w:val="24"/>
                <w:lang w:eastAsia="pt-BR"/>
              </w:rPr>
              <w:t>Resolução nº 466, de 12 de dezembro de 2</w:t>
            </w:r>
            <w:r w:rsidRPr="000E71AC">
              <w:rPr>
                <w:rFonts w:ascii="Arial" w:eastAsia="Times New Roman" w:hAnsi="Arial" w:cs="Arial"/>
                <w:b/>
                <w:bCs/>
                <w:caps/>
                <w:noProof w:val="0"/>
                <w:kern w:val="36"/>
                <w:sz w:val="24"/>
                <w:szCs w:val="24"/>
                <w:lang w:eastAsia="pt-BR"/>
              </w:rPr>
              <w:t>012,</w:t>
            </w:r>
            <w:r w:rsidRPr="000E71AC">
              <w:rPr>
                <w:rFonts w:ascii="Arial" w:eastAsiaTheme="majorEastAsia" w:hAnsi="Arial" w:cs="Arial"/>
                <w:b/>
                <w:sz w:val="24"/>
                <w:szCs w:val="24"/>
                <w:shd w:val="clear" w:color="auto" w:fill="FFFFFF"/>
              </w:rPr>
              <w:t xml:space="preserve"> Q</w:t>
            </w:r>
            <w:r w:rsidRPr="000E71AC">
              <w:rPr>
                <w:rFonts w:ascii="Arial" w:eastAsiaTheme="majorEastAsia" w:hAnsi="Arial" w:cs="Arial"/>
                <w:b/>
                <w:bCs/>
                <w:sz w:val="24"/>
                <w:szCs w:val="24"/>
                <w:shd w:val="clear" w:color="auto" w:fill="FFFFFF"/>
              </w:rPr>
              <w:t xml:space="preserve">ue trata de pesquisas em seres humanos e atualiza a resolução 196, </w:t>
            </w:r>
            <w:r w:rsidRPr="000E71AC">
              <w:rPr>
                <w:rFonts w:ascii="Arial" w:eastAsiaTheme="majorEastAsia" w:hAnsi="Arial" w:cs="Arial"/>
                <w:sz w:val="24"/>
                <w:szCs w:val="24"/>
                <w:shd w:val="clear" w:color="auto" w:fill="FFFFFF"/>
              </w:rPr>
              <w:t>disponível em: &lt;http://conselho.saude.gov.br/&gt;, acesso em: 12/12/2018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53.</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rPr>
              <w:t xml:space="preserve">MIOT, H. A. Tamanho da amostra em estudos clínicos e experimentais. </w:t>
            </w:r>
            <w:r w:rsidRPr="000E71AC">
              <w:rPr>
                <w:rFonts w:ascii="Arial" w:hAnsi="Arial" w:cs="Arial"/>
                <w:b/>
                <w:sz w:val="24"/>
                <w:szCs w:val="24"/>
                <w:shd w:val="clear" w:color="auto" w:fill="FFFFFF"/>
              </w:rPr>
              <w:t>J vasc bras</w:t>
            </w:r>
            <w:r w:rsidRPr="000E71AC">
              <w:rPr>
                <w:rFonts w:ascii="Arial" w:hAnsi="Arial" w:cs="Arial"/>
                <w:sz w:val="24"/>
                <w:szCs w:val="24"/>
                <w:shd w:val="clear" w:color="auto" w:fill="FFFFFF"/>
              </w:rPr>
              <w:t>, v. 10, n.4, p. 25-78, Dez 2011.</w:t>
            </w:r>
            <w:r w:rsidRPr="000E71AC">
              <w:rPr>
                <w:rFonts w:ascii="Arial" w:hAnsi="Arial" w:cs="Arial"/>
                <w:sz w:val="24"/>
                <w:szCs w:val="24"/>
                <w:shd w:val="clear" w:color="auto" w:fill="FFFFFF"/>
              </w:rPr>
              <w:tab/>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54.</w:t>
            </w:r>
          </w:p>
        </w:tc>
        <w:tc>
          <w:tcPr>
            <w:tcW w:w="7677" w:type="dxa"/>
          </w:tcPr>
          <w:p w:rsidR="000E71AC" w:rsidRPr="000E71AC" w:rsidRDefault="009F466F" w:rsidP="000E71AC">
            <w:pPr>
              <w:spacing w:before="120" w:after="120" w:line="360" w:lineRule="auto"/>
              <w:jc w:val="both"/>
              <w:rPr>
                <w:rFonts w:ascii="Arial" w:hAnsi="Arial" w:cs="Arial"/>
                <w:sz w:val="24"/>
                <w:szCs w:val="24"/>
                <w:shd w:val="clear" w:color="auto" w:fill="FFFFFF"/>
              </w:rPr>
            </w:pPr>
            <w:hyperlink r:id="rId25" w:history="1">
              <w:r w:rsidR="000E71AC" w:rsidRPr="000E71AC">
                <w:rPr>
                  <w:rFonts w:ascii="Arial" w:hAnsi="Arial" w:cs="Arial"/>
                  <w:sz w:val="24"/>
                  <w:szCs w:val="24"/>
                  <w:shd w:val="clear" w:color="auto" w:fill="FFFFFF"/>
                  <w:lang w:val="en-US"/>
                </w:rPr>
                <w:t>MOLNÁR, A</w:t>
              </w:r>
            </w:hyperlink>
            <w:r w:rsidR="000E71AC" w:rsidRPr="000E71AC">
              <w:rPr>
                <w:rFonts w:ascii="Arial" w:hAnsi="Arial" w:cs="Arial"/>
                <w:sz w:val="24"/>
                <w:szCs w:val="24"/>
                <w:shd w:val="clear" w:color="auto" w:fill="FFFFFF"/>
                <w:lang w:val="en-US"/>
              </w:rPr>
              <w:t xml:space="preserve">. </w:t>
            </w:r>
            <w:r w:rsidR="000E71AC" w:rsidRPr="000E71AC">
              <w:rPr>
                <w:rFonts w:ascii="Arial" w:hAnsi="Arial" w:cs="Arial"/>
                <w:sz w:val="24"/>
                <w:szCs w:val="24"/>
                <w:lang w:val="en-US"/>
              </w:rPr>
              <w:t>Special nutrition intervention is required for muscle protective efficacy of physical exercise in elderly people at highest risk of sarcopenia</w:t>
            </w:r>
            <w:r w:rsidR="000E71AC" w:rsidRPr="000E71AC">
              <w:rPr>
                <w:rFonts w:ascii="Arial" w:hAnsi="Arial" w:cs="Arial"/>
                <w:i/>
                <w:sz w:val="24"/>
                <w:szCs w:val="24"/>
                <w:lang w:val="en-US"/>
              </w:rPr>
              <w:t xml:space="preserve">. </w:t>
            </w:r>
            <w:hyperlink r:id="rId26" w:tooltip="Physiology international." w:history="1">
              <w:r w:rsidR="000E71AC" w:rsidRPr="000E71AC">
                <w:rPr>
                  <w:rFonts w:ascii="Arial" w:hAnsi="Arial" w:cs="Arial"/>
                  <w:b/>
                  <w:sz w:val="24"/>
                  <w:szCs w:val="24"/>
                  <w:shd w:val="clear" w:color="auto" w:fill="FFFFFF"/>
                </w:rPr>
                <w:t>Physiol Int</w:t>
              </w:r>
            </w:hyperlink>
            <w:r w:rsidR="000E71AC" w:rsidRPr="000E71AC">
              <w:rPr>
                <w:rFonts w:ascii="Arial" w:hAnsi="Arial" w:cs="Arial"/>
                <w:i/>
                <w:sz w:val="24"/>
                <w:szCs w:val="24"/>
                <w:shd w:val="clear" w:color="auto" w:fill="FFFFFF"/>
              </w:rPr>
              <w:t>,</w:t>
            </w:r>
            <w:r w:rsidR="000E71AC" w:rsidRPr="000E71AC">
              <w:rPr>
                <w:rFonts w:ascii="Arial" w:hAnsi="Arial" w:cs="Arial"/>
                <w:sz w:val="24"/>
                <w:szCs w:val="24"/>
                <w:shd w:val="clear" w:color="auto" w:fill="FFFFFF"/>
              </w:rPr>
              <w:t xml:space="preserve"> v. 103, n. 3, p. 368- 76, Sep 2016.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55.</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MOHER, D.; LIBERATI, A.; TETZLAFF, J.; ALTMAN, D. G; PRISMA Group. Preferred reporting items for systematic reviews and meta-analyses: the PRISMA statement.</w:t>
            </w:r>
            <w:r w:rsidRPr="000E71AC">
              <w:rPr>
                <w:rFonts w:ascii="Arial" w:hAnsi="Arial" w:cs="Arial"/>
                <w:b/>
                <w:sz w:val="24"/>
                <w:szCs w:val="24"/>
                <w:shd w:val="clear" w:color="auto" w:fill="FFFFFF"/>
                <w:lang w:val="en-US"/>
              </w:rPr>
              <w:t xml:space="preserve"> </w:t>
            </w:r>
            <w:r w:rsidRPr="000E71AC">
              <w:rPr>
                <w:rFonts w:ascii="Arial" w:hAnsi="Arial" w:cs="Arial"/>
                <w:b/>
                <w:sz w:val="24"/>
                <w:szCs w:val="24"/>
                <w:shd w:val="clear" w:color="auto" w:fill="FFFFFF"/>
              </w:rPr>
              <w:t>PLoS Med</w:t>
            </w:r>
            <w:r w:rsidRPr="000E71AC">
              <w:rPr>
                <w:rFonts w:ascii="Arial" w:hAnsi="Arial" w:cs="Arial"/>
                <w:sz w:val="24"/>
                <w:szCs w:val="24"/>
                <w:shd w:val="clear" w:color="auto" w:fill="FFFFFF"/>
              </w:rPr>
              <w:t>, v. 21, n. 6, p. e1000097, Jul 2009.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56.</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lang w:val="en-US"/>
              </w:rPr>
              <w:t xml:space="preserve">MOWE, M.; HAUG, E.; BOHMER, T. Low serum calcidiol concentration in older adults with reduced muscular function. </w:t>
            </w:r>
            <w:r w:rsidRPr="000E71AC">
              <w:rPr>
                <w:rFonts w:ascii="Arial" w:hAnsi="Arial" w:cs="Arial"/>
                <w:b/>
                <w:sz w:val="24"/>
                <w:szCs w:val="24"/>
              </w:rPr>
              <w:t>J Am Geriatr</w:t>
            </w:r>
            <w:r w:rsidRPr="000E71AC">
              <w:rPr>
                <w:rFonts w:ascii="Arial" w:hAnsi="Arial" w:cs="Arial"/>
                <w:i/>
                <w:sz w:val="24"/>
                <w:szCs w:val="24"/>
              </w:rPr>
              <w:t xml:space="preserve"> </w:t>
            </w:r>
            <w:r w:rsidRPr="000E71AC">
              <w:rPr>
                <w:rFonts w:ascii="Arial" w:hAnsi="Arial" w:cs="Arial"/>
                <w:b/>
                <w:sz w:val="24"/>
                <w:szCs w:val="24"/>
              </w:rPr>
              <w:t>Soc</w:t>
            </w:r>
            <w:r w:rsidRPr="000E71AC">
              <w:rPr>
                <w:rFonts w:ascii="Arial" w:hAnsi="Arial" w:cs="Arial"/>
                <w:sz w:val="24"/>
                <w:szCs w:val="24"/>
              </w:rPr>
              <w:t>, v. 47, p. 220-6, Dec 1999.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57.</w:t>
            </w:r>
          </w:p>
        </w:tc>
        <w:tc>
          <w:tcPr>
            <w:tcW w:w="7677" w:type="dxa"/>
          </w:tcPr>
          <w:p w:rsidR="000E71AC" w:rsidRPr="000E71AC" w:rsidRDefault="000E71AC" w:rsidP="000E71AC">
            <w:pPr>
              <w:spacing w:before="120" w:after="120" w:line="360" w:lineRule="auto"/>
              <w:jc w:val="both"/>
              <w:rPr>
                <w:rFonts w:ascii="Arial" w:hAnsi="Arial" w:cs="Arial"/>
                <w:sz w:val="24"/>
                <w:szCs w:val="24"/>
                <w:lang w:val="en-US"/>
              </w:rPr>
            </w:pPr>
            <w:r w:rsidRPr="000E71AC">
              <w:rPr>
                <w:rFonts w:ascii="Arial" w:hAnsi="Arial" w:cs="Arial"/>
                <w:sz w:val="24"/>
                <w:szCs w:val="24"/>
                <w:shd w:val="clear" w:color="auto" w:fill="FFFFFF"/>
                <w:lang w:val="en-US"/>
              </w:rPr>
              <w:t xml:space="preserve">MOYER, </w:t>
            </w:r>
            <w:r w:rsidRPr="000E71AC">
              <w:rPr>
                <w:rFonts w:ascii="Arial" w:hAnsi="Arial" w:cs="Arial"/>
                <w:color w:val="000000"/>
                <w:sz w:val="24"/>
                <w:szCs w:val="24"/>
                <w:shd w:val="clear" w:color="auto" w:fill="FFFFFF"/>
                <w:lang w:val="en-US"/>
              </w:rPr>
              <w:t>V. A. et al. Vitamin D and calcium supplementation to prevent fractures in adults: U.S. Preventive Services Task Force recommendation statement</w:t>
            </w:r>
            <w:r w:rsidRPr="000E71AC">
              <w:rPr>
                <w:rFonts w:ascii="Arial" w:hAnsi="Arial" w:cs="Arial"/>
                <w:i/>
                <w:color w:val="000000"/>
                <w:sz w:val="24"/>
                <w:szCs w:val="24"/>
                <w:shd w:val="clear" w:color="auto" w:fill="FFFFFF"/>
                <w:lang w:val="en-US"/>
              </w:rPr>
              <w:t>. </w:t>
            </w:r>
            <w:r w:rsidRPr="000E71AC">
              <w:rPr>
                <w:rFonts w:ascii="Arial" w:hAnsi="Arial" w:cs="Arial"/>
                <w:b/>
                <w:iCs/>
                <w:color w:val="000000"/>
                <w:sz w:val="24"/>
                <w:szCs w:val="24"/>
                <w:shd w:val="clear" w:color="auto" w:fill="FFFFFF"/>
                <w:lang w:val="en-US"/>
              </w:rPr>
              <w:t>Ann Intern Med</w:t>
            </w:r>
            <w:r w:rsidRPr="000E71AC">
              <w:rPr>
                <w:rFonts w:ascii="Arial" w:hAnsi="Arial" w:cs="Arial"/>
                <w:color w:val="000000"/>
                <w:sz w:val="24"/>
                <w:szCs w:val="24"/>
                <w:shd w:val="clear" w:color="auto" w:fill="FFFFFF"/>
                <w:lang w:val="en-US"/>
              </w:rPr>
              <w:t>, v. 158, p. 691-6, May 2013.</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58.</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s-ES"/>
              </w:rPr>
              <w:t xml:space="preserve">NARICI, N. V. et al. </w:t>
            </w:r>
            <w:r w:rsidRPr="000E71AC">
              <w:rPr>
                <w:rFonts w:ascii="Arial" w:hAnsi="Arial" w:cs="Arial"/>
                <w:sz w:val="24"/>
                <w:szCs w:val="24"/>
                <w:shd w:val="clear" w:color="auto" w:fill="FFFFFF"/>
                <w:lang w:val="en-US"/>
              </w:rPr>
              <w:t xml:space="preserve">Sarcopenia: characteristics, mechanisms and functional significance. </w:t>
            </w:r>
            <w:r w:rsidRPr="000E71AC">
              <w:rPr>
                <w:rFonts w:ascii="Arial" w:hAnsi="Arial" w:cs="Arial"/>
                <w:b/>
                <w:sz w:val="24"/>
                <w:szCs w:val="24"/>
                <w:shd w:val="clear" w:color="auto" w:fill="FFFFFF"/>
                <w:lang w:val="en-US"/>
              </w:rPr>
              <w:t>Br Med Bull</w:t>
            </w:r>
            <w:r w:rsidRPr="000E71AC">
              <w:rPr>
                <w:rFonts w:ascii="Arial" w:hAnsi="Arial" w:cs="Arial"/>
                <w:sz w:val="24"/>
                <w:szCs w:val="24"/>
                <w:shd w:val="clear" w:color="auto" w:fill="FFFFFF"/>
                <w:lang w:val="en-US"/>
              </w:rPr>
              <w:t>, v. 95, p. 139–159. 2010.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59.</w:t>
            </w:r>
          </w:p>
        </w:tc>
        <w:tc>
          <w:tcPr>
            <w:tcW w:w="7677" w:type="dxa"/>
          </w:tcPr>
          <w:p w:rsidR="000E71AC" w:rsidRPr="000E71AC" w:rsidRDefault="000E71AC" w:rsidP="000E71AC">
            <w:pPr>
              <w:spacing w:before="120" w:after="120" w:line="360" w:lineRule="auto"/>
              <w:jc w:val="both"/>
              <w:rPr>
                <w:rFonts w:ascii="Arial" w:hAnsi="Arial" w:cs="Arial"/>
                <w:sz w:val="24"/>
                <w:szCs w:val="24"/>
                <w:highlight w:val="cyan"/>
                <w:shd w:val="clear" w:color="auto" w:fill="FFFFFF"/>
              </w:rPr>
            </w:pPr>
            <w:r w:rsidRPr="000E71AC">
              <w:rPr>
                <w:rFonts w:ascii="Arial" w:hAnsi="Arial" w:cs="Arial"/>
                <w:sz w:val="24"/>
                <w:szCs w:val="24"/>
                <w:shd w:val="clear" w:color="auto" w:fill="FFFFFF"/>
              </w:rPr>
              <w:t xml:space="preserve">OPAS, Organização Panamericana de Saúde/ Brasil. </w:t>
            </w:r>
            <w:r w:rsidRPr="000E71AC">
              <w:rPr>
                <w:rFonts w:ascii="Arial" w:hAnsi="Arial" w:cs="Arial"/>
                <w:b/>
                <w:sz w:val="24"/>
                <w:szCs w:val="24"/>
                <w:shd w:val="clear" w:color="auto" w:fill="FFFFFF"/>
              </w:rPr>
              <w:t xml:space="preserve">Envelhecimento saudável. </w:t>
            </w:r>
            <w:r w:rsidRPr="000E71AC">
              <w:rPr>
                <w:rFonts w:ascii="Arial" w:hAnsi="Arial" w:cs="Arial"/>
                <w:sz w:val="24"/>
                <w:szCs w:val="24"/>
                <w:shd w:val="clear" w:color="auto" w:fill="FFFFFF"/>
              </w:rPr>
              <w:t>Boletim informativo, 2018</w:t>
            </w:r>
            <w:r w:rsidRPr="000E71AC">
              <w:rPr>
                <w:rFonts w:ascii="Arial" w:hAnsi="Arial" w:cs="Arial"/>
                <w:b/>
                <w:sz w:val="24"/>
                <w:szCs w:val="24"/>
                <w:shd w:val="clear" w:color="auto" w:fill="FFFFFF"/>
              </w:rPr>
              <w:t>.</w:t>
            </w:r>
            <w:r w:rsidRPr="000E71AC">
              <w:rPr>
                <w:rFonts w:ascii="Arial" w:hAnsi="Arial" w:cs="Arial"/>
                <w:sz w:val="24"/>
                <w:szCs w:val="24"/>
                <w:shd w:val="clear" w:color="auto" w:fill="FFFFFF"/>
              </w:rPr>
              <w:t xml:space="preserve"> Disponível em:  &lt;</w:t>
            </w:r>
            <w:r w:rsidRPr="000E71AC">
              <w:t xml:space="preserve"> </w:t>
            </w:r>
            <w:hyperlink r:id="rId27" w:history="1">
              <w:r w:rsidRPr="000E71AC">
                <w:rPr>
                  <w:rFonts w:ascii="Arial" w:hAnsi="Arial" w:cs="Arial"/>
                  <w:sz w:val="24"/>
                  <w:szCs w:val="24"/>
                  <w:shd w:val="clear" w:color="auto" w:fill="FFFFFF"/>
                </w:rPr>
                <w:t>https://www.paho.org/pt/brasil/sobre-opasoms-brasil</w:t>
              </w:r>
            </w:hyperlink>
            <w:r w:rsidRPr="000E71AC">
              <w:rPr>
                <w:rFonts w:ascii="Arial" w:hAnsi="Arial" w:cs="Arial"/>
                <w:sz w:val="24"/>
                <w:szCs w:val="24"/>
                <w:shd w:val="clear" w:color="auto" w:fill="FFFFFF"/>
              </w:rPr>
              <w:t>&gt;. Acesso em: 13/01/2021.</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60.</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lang w:val="en-US"/>
              </w:rPr>
            </w:pPr>
            <w:r w:rsidRPr="000E71AC">
              <w:rPr>
                <w:rFonts w:ascii="Arial" w:eastAsiaTheme="majorEastAsia" w:hAnsi="Arial" w:cs="Arial"/>
                <w:sz w:val="24"/>
                <w:szCs w:val="24"/>
                <w:shd w:val="clear" w:color="auto" w:fill="FFFFFF"/>
                <w:lang w:val="en-US"/>
              </w:rPr>
              <w:t>ÖZTÜRK, Z. A.  et al.</w:t>
            </w:r>
            <w:r w:rsidRPr="000E71AC">
              <w:rPr>
                <w:rFonts w:ascii="Arial" w:eastAsia="Times New Roman" w:hAnsi="Arial" w:cs="Arial"/>
                <w:bCs/>
                <w:noProof w:val="0"/>
                <w:kern w:val="36"/>
                <w:sz w:val="24"/>
                <w:szCs w:val="24"/>
                <w:lang w:val="en-US" w:eastAsia="pt-BR"/>
              </w:rPr>
              <w:t xml:space="preserve"> Health-related quality of life and fall risk associated with age-related body composition changes; </w:t>
            </w:r>
            <w:proofErr w:type="spellStart"/>
            <w:r w:rsidRPr="000E71AC">
              <w:rPr>
                <w:rFonts w:ascii="Arial" w:eastAsia="Times New Roman" w:hAnsi="Arial" w:cs="Arial"/>
                <w:bCs/>
                <w:noProof w:val="0"/>
                <w:kern w:val="36"/>
                <w:sz w:val="24"/>
                <w:szCs w:val="24"/>
                <w:lang w:val="en-US" w:eastAsia="pt-BR"/>
              </w:rPr>
              <w:t>sarcopenia</w:t>
            </w:r>
            <w:proofErr w:type="spellEnd"/>
            <w:r w:rsidRPr="000E71AC">
              <w:rPr>
                <w:rFonts w:ascii="Arial" w:eastAsia="Times New Roman" w:hAnsi="Arial" w:cs="Arial"/>
                <w:bCs/>
                <w:noProof w:val="0"/>
                <w:kern w:val="36"/>
                <w:sz w:val="24"/>
                <w:szCs w:val="24"/>
                <w:lang w:val="en-US" w:eastAsia="pt-BR"/>
              </w:rPr>
              <w:t xml:space="preserve">, obesity and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w:t>
            </w:r>
            <w:r w:rsidRPr="000E71AC">
              <w:rPr>
                <w:rFonts w:ascii="Arial" w:eastAsia="Times New Roman" w:hAnsi="Arial" w:cs="Arial"/>
                <w:b/>
                <w:bCs/>
                <w:noProof w:val="0"/>
                <w:kern w:val="36"/>
                <w:sz w:val="24"/>
                <w:szCs w:val="24"/>
                <w:lang w:val="en-US" w:eastAsia="pt-BR"/>
              </w:rPr>
              <w:t>Intern Med J</w:t>
            </w:r>
            <w:r w:rsidRPr="000E71AC">
              <w:rPr>
                <w:rFonts w:ascii="Arial" w:eastAsia="Times New Roman" w:hAnsi="Arial" w:cs="Arial"/>
                <w:bCs/>
                <w:noProof w:val="0"/>
                <w:kern w:val="36"/>
                <w:sz w:val="24"/>
                <w:szCs w:val="24"/>
                <w:lang w:val="en-US" w:eastAsia="pt-BR"/>
              </w:rPr>
              <w:t xml:space="preserve">, v. </w:t>
            </w:r>
            <w:r w:rsidRPr="000E71AC">
              <w:rPr>
                <w:rFonts w:ascii="Arial" w:eastAsiaTheme="majorEastAsia" w:hAnsi="Arial" w:cs="Arial"/>
                <w:sz w:val="24"/>
                <w:szCs w:val="24"/>
                <w:shd w:val="clear" w:color="auto" w:fill="FFFFFF"/>
                <w:lang w:val="en-US"/>
              </w:rPr>
              <w:t>48, n. 8, p. 973-81, Aug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61.</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rPr>
            </w:pPr>
            <w:r w:rsidRPr="000E71AC">
              <w:rPr>
                <w:rFonts w:ascii="Arial" w:eastAsiaTheme="majorEastAsia" w:hAnsi="Arial" w:cs="Arial"/>
                <w:sz w:val="24"/>
                <w:szCs w:val="24"/>
                <w:shd w:val="clear" w:color="auto" w:fill="FFFFFF"/>
                <w:lang w:val="en-US"/>
              </w:rPr>
              <w:t>PARK, J.</w:t>
            </w:r>
            <w:r w:rsidRPr="000E71AC">
              <w:rPr>
                <w:rFonts w:asciiTheme="majorHAnsi" w:eastAsiaTheme="majorEastAsia" w:hAnsiTheme="majorHAnsi" w:cstheme="majorBidi"/>
                <w:color w:val="2E74B5" w:themeColor="accent1" w:themeShade="BF"/>
                <w:sz w:val="32"/>
                <w:szCs w:val="32"/>
                <w:lang w:val="en-US"/>
              </w:rPr>
              <w:t xml:space="preserve"> </w:t>
            </w:r>
            <w:r w:rsidRPr="000E71AC">
              <w:rPr>
                <w:rFonts w:ascii="Arial" w:eastAsiaTheme="majorEastAsia" w:hAnsi="Arial" w:cs="Arial"/>
                <w:sz w:val="24"/>
                <w:szCs w:val="24"/>
                <w:lang w:val="en-US"/>
              </w:rPr>
              <w:t xml:space="preserve">Effects of 24-Week Aerobic and Resistance Training on Carotid Artery Intima-Media Thickness and Flow Velocity in Elderly Women with Sarcopenic Obesity. </w:t>
            </w:r>
            <w:r w:rsidRPr="000E71AC">
              <w:rPr>
                <w:rFonts w:ascii="Arial" w:eastAsiaTheme="majorEastAsia" w:hAnsi="Arial" w:cs="Arial"/>
                <w:b/>
                <w:sz w:val="24"/>
                <w:szCs w:val="24"/>
              </w:rPr>
              <w:t>J. Atheroscler Thromb</w:t>
            </w:r>
            <w:r w:rsidRPr="000E71AC">
              <w:rPr>
                <w:rFonts w:ascii="Arial" w:eastAsiaTheme="majorEastAsia" w:hAnsi="Arial" w:cs="Arial"/>
                <w:i/>
                <w:sz w:val="24"/>
                <w:szCs w:val="24"/>
              </w:rPr>
              <w:t>.</w:t>
            </w:r>
            <w:r w:rsidRPr="000E71AC">
              <w:rPr>
                <w:rFonts w:ascii="Arial" w:eastAsiaTheme="majorEastAsia" w:hAnsi="Arial" w:cs="Arial"/>
                <w:sz w:val="24"/>
                <w:szCs w:val="24"/>
              </w:rPr>
              <w:t xml:space="preserve"> v. 24, n. 11, p. 1117-1124, Jun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62.</w:t>
            </w:r>
          </w:p>
        </w:tc>
        <w:tc>
          <w:tcPr>
            <w:tcW w:w="7677" w:type="dxa"/>
          </w:tcPr>
          <w:p w:rsidR="000E71AC" w:rsidRPr="000E71AC" w:rsidRDefault="000E71AC" w:rsidP="000E71AC">
            <w:pPr>
              <w:keepNext/>
              <w:keepLines/>
              <w:shd w:val="clear" w:color="auto" w:fill="FFFFFF"/>
              <w:spacing w:before="120" w:after="120" w:line="360" w:lineRule="auto"/>
              <w:jc w:val="both"/>
              <w:outlineLvl w:val="2"/>
              <w:rPr>
                <w:rFonts w:ascii="Arial" w:eastAsia="Times New Roman" w:hAnsi="Arial" w:cs="Arial"/>
                <w:bCs/>
                <w:noProof w:val="0"/>
                <w:sz w:val="24"/>
                <w:szCs w:val="24"/>
                <w:lang w:eastAsia="pt-BR"/>
              </w:rPr>
            </w:pPr>
            <w:r w:rsidRPr="000E71AC">
              <w:rPr>
                <w:rFonts w:ascii="Arial" w:eastAsiaTheme="majorEastAsia" w:hAnsi="Arial" w:cs="Arial"/>
                <w:sz w:val="24"/>
                <w:szCs w:val="24"/>
                <w:shd w:val="clear" w:color="auto" w:fill="FFFFFF"/>
                <w:lang w:val="en-US"/>
              </w:rPr>
              <w:t>PEDROSA, M. A. C; CASTRO, M. L.</w:t>
            </w:r>
            <w:r w:rsidRPr="000E71AC">
              <w:rPr>
                <w:rFonts w:ascii="Arial" w:eastAsiaTheme="majorEastAsia" w:hAnsi="Arial" w:cs="Arial"/>
                <w:bCs/>
                <w:sz w:val="24"/>
                <w:szCs w:val="24"/>
                <w:lang w:val="en-US"/>
              </w:rPr>
              <w:t xml:space="preserve"> Role of vitamin D in the neuro-muscular function.</w:t>
            </w:r>
            <w:r w:rsidRPr="000E71AC">
              <w:rPr>
                <w:rFonts w:ascii="Arial" w:eastAsia="Times New Roman" w:hAnsi="Arial" w:cs="Arial"/>
                <w:bCs/>
                <w:noProof w:val="0"/>
                <w:sz w:val="24"/>
                <w:szCs w:val="24"/>
                <w:lang w:val="en-US" w:eastAsia="pt-BR"/>
              </w:rPr>
              <w:t xml:space="preserve"> </w:t>
            </w:r>
            <w:proofErr w:type="spellStart"/>
            <w:r w:rsidRPr="000E71AC">
              <w:rPr>
                <w:rFonts w:ascii="Arial" w:eastAsia="Times New Roman" w:hAnsi="Arial" w:cs="Arial"/>
                <w:b/>
                <w:bCs/>
                <w:noProof w:val="0"/>
                <w:sz w:val="24"/>
                <w:szCs w:val="24"/>
                <w:lang w:eastAsia="pt-BR"/>
              </w:rPr>
              <w:t>Arq</w:t>
            </w:r>
            <w:proofErr w:type="spellEnd"/>
            <w:r w:rsidRPr="000E71AC">
              <w:rPr>
                <w:rFonts w:ascii="Arial" w:eastAsia="Times New Roman" w:hAnsi="Arial" w:cs="Arial"/>
                <w:b/>
                <w:bCs/>
                <w:noProof w:val="0"/>
                <w:sz w:val="24"/>
                <w:szCs w:val="24"/>
                <w:lang w:eastAsia="pt-BR"/>
              </w:rPr>
              <w:t xml:space="preserve"> </w:t>
            </w:r>
            <w:proofErr w:type="spellStart"/>
            <w:r w:rsidRPr="000E71AC">
              <w:rPr>
                <w:rFonts w:ascii="Arial" w:eastAsia="Times New Roman" w:hAnsi="Arial" w:cs="Arial"/>
                <w:b/>
                <w:bCs/>
                <w:noProof w:val="0"/>
                <w:sz w:val="24"/>
                <w:szCs w:val="24"/>
                <w:lang w:eastAsia="pt-BR"/>
              </w:rPr>
              <w:t>Bras</w:t>
            </w:r>
            <w:proofErr w:type="spellEnd"/>
            <w:r w:rsidRPr="000E71AC">
              <w:rPr>
                <w:rFonts w:ascii="Arial" w:eastAsia="Times New Roman" w:hAnsi="Arial" w:cs="Arial"/>
                <w:b/>
                <w:bCs/>
                <w:noProof w:val="0"/>
                <w:sz w:val="24"/>
                <w:szCs w:val="24"/>
                <w:lang w:eastAsia="pt-BR"/>
              </w:rPr>
              <w:t xml:space="preserve"> </w:t>
            </w:r>
            <w:proofErr w:type="spellStart"/>
            <w:r w:rsidRPr="000E71AC">
              <w:rPr>
                <w:rFonts w:ascii="Arial" w:eastAsia="Times New Roman" w:hAnsi="Arial" w:cs="Arial"/>
                <w:b/>
                <w:bCs/>
                <w:noProof w:val="0"/>
                <w:sz w:val="24"/>
                <w:szCs w:val="24"/>
                <w:lang w:eastAsia="pt-BR"/>
              </w:rPr>
              <w:t>Endocrinol</w:t>
            </w:r>
            <w:proofErr w:type="spellEnd"/>
            <w:r w:rsidRPr="000E71AC">
              <w:rPr>
                <w:rFonts w:ascii="Arial" w:eastAsia="Times New Roman" w:hAnsi="Arial" w:cs="Arial"/>
                <w:b/>
                <w:bCs/>
                <w:noProof w:val="0"/>
                <w:sz w:val="24"/>
                <w:szCs w:val="24"/>
                <w:lang w:eastAsia="pt-BR"/>
              </w:rPr>
              <w:t xml:space="preserve"> </w:t>
            </w:r>
            <w:proofErr w:type="spellStart"/>
            <w:r w:rsidRPr="000E71AC">
              <w:rPr>
                <w:rFonts w:ascii="Arial" w:eastAsia="Times New Roman" w:hAnsi="Arial" w:cs="Arial"/>
                <w:b/>
                <w:bCs/>
                <w:noProof w:val="0"/>
                <w:sz w:val="24"/>
                <w:szCs w:val="24"/>
                <w:lang w:eastAsia="pt-BR"/>
              </w:rPr>
              <w:t>Metab</w:t>
            </w:r>
            <w:proofErr w:type="spellEnd"/>
            <w:r w:rsidRPr="000E71AC">
              <w:rPr>
                <w:rFonts w:ascii="Arial" w:eastAsia="Times New Roman" w:hAnsi="Arial" w:cs="Arial"/>
                <w:bCs/>
                <w:noProof w:val="0"/>
                <w:sz w:val="24"/>
                <w:szCs w:val="24"/>
                <w:lang w:eastAsia="pt-BR"/>
              </w:rPr>
              <w:t xml:space="preserve">, </w:t>
            </w:r>
            <w:r w:rsidRPr="000E71AC">
              <w:rPr>
                <w:rFonts w:ascii="Arial" w:eastAsiaTheme="majorEastAsia" w:hAnsi="Arial" w:cs="Arial"/>
                <w:sz w:val="24"/>
                <w:szCs w:val="24"/>
                <w:shd w:val="clear" w:color="auto" w:fill="FFFFFF"/>
              </w:rPr>
              <w:t>v. 49, n. 4, p. 495-502, Aug 2005.</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63.</w:t>
            </w:r>
          </w:p>
        </w:tc>
        <w:tc>
          <w:tcPr>
            <w:tcW w:w="7677" w:type="dxa"/>
          </w:tcPr>
          <w:p w:rsidR="000E71AC" w:rsidRPr="000E71AC" w:rsidRDefault="000E71AC" w:rsidP="000E71AC">
            <w:pPr>
              <w:shd w:val="clear" w:color="auto" w:fill="FFFFFF"/>
              <w:spacing w:before="120" w:after="120" w:line="360" w:lineRule="auto"/>
              <w:jc w:val="both"/>
              <w:rPr>
                <w:rFonts w:ascii="Segoe UI" w:eastAsia="Times New Roman" w:hAnsi="Segoe UI" w:cs="Segoe UI"/>
                <w:noProof w:val="0"/>
                <w:sz w:val="24"/>
                <w:szCs w:val="24"/>
                <w:shd w:val="clear" w:color="auto" w:fill="FFFFFF"/>
                <w:lang w:val="en-US" w:eastAsia="pt-BR"/>
              </w:rPr>
            </w:pPr>
            <w:r w:rsidRPr="000E71AC">
              <w:rPr>
                <w:rFonts w:ascii="Arial" w:hAnsi="Arial" w:cs="Arial"/>
                <w:sz w:val="24"/>
                <w:szCs w:val="24"/>
                <w:shd w:val="clear" w:color="auto" w:fill="FFFFFF"/>
                <w:lang w:val="es-ES"/>
              </w:rPr>
              <w:t>PETRONI, M. L.</w:t>
            </w:r>
            <w:r w:rsidRPr="000E71AC">
              <w:rPr>
                <w:rFonts w:ascii="Arial" w:eastAsia="Times New Roman" w:hAnsi="Arial" w:cs="Arial"/>
                <w:bCs/>
                <w:noProof w:val="0"/>
                <w:kern w:val="36"/>
                <w:sz w:val="24"/>
                <w:szCs w:val="24"/>
                <w:lang w:val="es-ES" w:eastAsia="pt-BR"/>
              </w:rPr>
              <w:t xml:space="preserve">  </w:t>
            </w:r>
            <w:proofErr w:type="gramStart"/>
            <w:r w:rsidRPr="000E71AC">
              <w:rPr>
                <w:rFonts w:ascii="Arial" w:eastAsia="Times New Roman" w:hAnsi="Arial" w:cs="Arial"/>
                <w:bCs/>
                <w:noProof w:val="0"/>
                <w:kern w:val="36"/>
                <w:sz w:val="24"/>
                <w:szCs w:val="24"/>
                <w:lang w:val="es-ES" w:eastAsia="pt-BR"/>
              </w:rPr>
              <w:t>et</w:t>
            </w:r>
            <w:proofErr w:type="gramEnd"/>
            <w:r w:rsidRPr="000E71AC">
              <w:rPr>
                <w:rFonts w:ascii="Arial" w:eastAsia="Times New Roman" w:hAnsi="Arial" w:cs="Arial"/>
                <w:bCs/>
                <w:noProof w:val="0"/>
                <w:kern w:val="36"/>
                <w:sz w:val="24"/>
                <w:szCs w:val="24"/>
                <w:lang w:val="es-ES" w:eastAsia="pt-BR"/>
              </w:rPr>
              <w:t xml:space="preserve"> al. </w:t>
            </w:r>
            <w:r w:rsidRPr="000E71AC">
              <w:rPr>
                <w:rFonts w:ascii="Arial" w:eastAsia="Times New Roman" w:hAnsi="Arial" w:cs="Arial"/>
                <w:bCs/>
                <w:noProof w:val="0"/>
                <w:kern w:val="36"/>
                <w:sz w:val="24"/>
                <w:szCs w:val="24"/>
                <w:lang w:val="en-US" w:eastAsia="pt-BR"/>
              </w:rPr>
              <w:t xml:space="preserve">Prevention and Treatment of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in Women</w:t>
            </w:r>
            <w:r w:rsidRPr="000E71AC">
              <w:rPr>
                <w:rFonts w:ascii="Arial" w:eastAsia="Times New Roman" w:hAnsi="Arial" w:cs="Arial"/>
                <w:bCs/>
                <w:i/>
                <w:noProof w:val="0"/>
                <w:kern w:val="36"/>
                <w:sz w:val="24"/>
                <w:szCs w:val="24"/>
                <w:lang w:val="en-US" w:eastAsia="pt-BR"/>
              </w:rPr>
              <w:t>.</w:t>
            </w:r>
            <w:r w:rsidRPr="000E71AC">
              <w:rPr>
                <w:rFonts w:ascii="Arial" w:eastAsia="Times New Roman" w:hAnsi="Arial" w:cs="Arial"/>
                <w:i/>
                <w:noProof w:val="0"/>
                <w:sz w:val="24"/>
                <w:szCs w:val="24"/>
                <w:lang w:val="en-US" w:eastAsia="pt-BR"/>
              </w:rPr>
              <w:t xml:space="preserve"> </w:t>
            </w:r>
            <w:r w:rsidRPr="000E71AC">
              <w:rPr>
                <w:rFonts w:ascii="Arial" w:eastAsia="Times New Roman" w:hAnsi="Arial" w:cs="Arial"/>
                <w:b/>
                <w:noProof w:val="0"/>
                <w:sz w:val="24"/>
                <w:szCs w:val="24"/>
                <w:lang w:val="en-US" w:eastAsia="pt-BR"/>
              </w:rPr>
              <w:t>Nutrients</w:t>
            </w:r>
            <w:r w:rsidRPr="000E71AC">
              <w:rPr>
                <w:rFonts w:ascii="Arial" w:eastAsia="Times New Roman" w:hAnsi="Arial" w:cs="Arial"/>
                <w:i/>
                <w:noProof w:val="0"/>
                <w:sz w:val="24"/>
                <w:szCs w:val="24"/>
                <w:lang w:val="en-US" w:eastAsia="pt-BR"/>
              </w:rPr>
              <w:t>,</w:t>
            </w:r>
            <w:r w:rsidRPr="000E71AC">
              <w:rPr>
                <w:rFonts w:ascii="Arial" w:eastAsia="Times New Roman" w:hAnsi="Arial" w:cs="Arial"/>
                <w:noProof w:val="0"/>
                <w:sz w:val="24"/>
                <w:szCs w:val="24"/>
                <w:shd w:val="clear" w:color="auto" w:fill="FFFFFF"/>
                <w:lang w:val="en-US" w:eastAsia="pt-BR"/>
              </w:rPr>
              <w:t xml:space="preserve"> v. 8, n. 11, p. 1302, Jun 2019.</w:t>
            </w:r>
            <w:r w:rsidRPr="000E71AC">
              <w:rPr>
                <w:rFonts w:ascii="Segoe UI" w:eastAsia="Times New Roman" w:hAnsi="Segoe UI" w:cs="Segoe UI"/>
                <w:noProof w:val="0"/>
                <w:sz w:val="24"/>
                <w:szCs w:val="24"/>
                <w:shd w:val="clear" w:color="auto" w:fill="FFFFFF"/>
                <w:lang w:val="en-US" w:eastAsia="pt-BR"/>
              </w:rPr>
              <w:t xml:space="preserve">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64.</w:t>
            </w:r>
          </w:p>
        </w:tc>
        <w:tc>
          <w:tcPr>
            <w:tcW w:w="7677" w:type="dxa"/>
          </w:tcPr>
          <w:p w:rsidR="000E71AC" w:rsidRPr="000E71AC" w:rsidRDefault="000E71AC" w:rsidP="000E71AC">
            <w:pPr>
              <w:spacing w:before="120" w:after="120" w:line="360" w:lineRule="auto"/>
              <w:jc w:val="both"/>
              <w:rPr>
                <w:rFonts w:ascii="Arial" w:eastAsia="Times New Roman" w:hAnsi="Arial" w:cs="Arial"/>
                <w:bCs/>
                <w:sz w:val="24"/>
                <w:szCs w:val="24"/>
                <w:lang w:eastAsia="pt-BR"/>
              </w:rPr>
            </w:pPr>
            <w:r w:rsidRPr="000E71AC">
              <w:rPr>
                <w:rFonts w:ascii="Arial" w:eastAsia="Times New Roman" w:hAnsi="Arial" w:cs="Arial"/>
                <w:sz w:val="24"/>
                <w:szCs w:val="24"/>
                <w:lang w:eastAsia="pt-BR"/>
              </w:rPr>
              <w:t xml:space="preserve">PICOS. </w:t>
            </w:r>
            <w:r w:rsidRPr="000E71AC">
              <w:rPr>
                <w:rFonts w:ascii="Arial" w:eastAsiaTheme="majorEastAsia" w:hAnsi="Arial" w:cs="Arial"/>
                <w:bCs/>
                <w:sz w:val="24"/>
                <w:szCs w:val="24"/>
                <w:shd w:val="clear" w:color="auto" w:fill="FFFFFF"/>
              </w:rPr>
              <w:t xml:space="preserve">Principais itens para relatar Revisões sistemáticas e Meta-análises: A recomendação PRISMA. </w:t>
            </w:r>
            <w:r w:rsidRPr="000E71AC">
              <w:rPr>
                <w:rFonts w:ascii="Arial" w:eastAsia="Times New Roman" w:hAnsi="Arial" w:cs="Arial"/>
                <w:b/>
                <w:bCs/>
                <w:sz w:val="24"/>
                <w:szCs w:val="24"/>
                <w:lang w:eastAsia="pt-BR"/>
              </w:rPr>
              <w:t>Epidemiol ServSaúde</w:t>
            </w:r>
            <w:r w:rsidRPr="000E71AC">
              <w:rPr>
                <w:rFonts w:ascii="Arial" w:eastAsia="Times New Roman" w:hAnsi="Arial" w:cs="Arial"/>
                <w:bCs/>
                <w:sz w:val="24"/>
                <w:szCs w:val="24"/>
                <w:lang w:eastAsia="pt-BR"/>
              </w:rPr>
              <w:t xml:space="preserve">, v. 24, n. 2,  April/June 2015. </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65.</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SHARMA B, DABUR R. Role of Pro-inflammatory cytokines in regulation of skeletal muscle metabolism: A systematic review. </w:t>
            </w:r>
            <w:r w:rsidRPr="000E71AC">
              <w:rPr>
                <w:rFonts w:ascii="Arial" w:hAnsi="Arial" w:cs="Arial"/>
                <w:b/>
                <w:sz w:val="24"/>
                <w:szCs w:val="24"/>
                <w:shd w:val="clear" w:color="auto" w:fill="FFFFFF"/>
              </w:rPr>
              <w:t>Curr Med Chem</w:t>
            </w:r>
            <w:r w:rsidRPr="000E71AC">
              <w:rPr>
                <w:rFonts w:ascii="Arial" w:hAnsi="Arial" w:cs="Arial"/>
                <w:sz w:val="24"/>
                <w:szCs w:val="24"/>
                <w:shd w:val="clear" w:color="auto" w:fill="FFFFFF"/>
              </w:rPr>
              <w:t>, v. 27, n. 13, p. 2161-88, Nov 2020.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66.</w:t>
            </w:r>
          </w:p>
        </w:tc>
        <w:tc>
          <w:tcPr>
            <w:tcW w:w="7677" w:type="dxa"/>
          </w:tcPr>
          <w:p w:rsidR="000E71AC" w:rsidRPr="000E71AC" w:rsidRDefault="000E71AC" w:rsidP="000E71AC">
            <w:pPr>
              <w:shd w:val="clear" w:color="auto" w:fill="FFFFFF"/>
              <w:spacing w:before="120" w:after="120" w:line="360" w:lineRule="auto"/>
              <w:jc w:val="both"/>
              <w:rPr>
                <w:rFonts w:ascii="Arial" w:eastAsia="Times New Roman" w:hAnsi="Arial" w:cs="Arial"/>
                <w:noProof w:val="0"/>
                <w:sz w:val="24"/>
                <w:szCs w:val="24"/>
                <w:shd w:val="clear" w:color="auto" w:fill="FFFFFF"/>
                <w:lang w:val="en-US" w:eastAsia="pt-BR"/>
              </w:rPr>
            </w:pPr>
            <w:r w:rsidRPr="000E71AC">
              <w:rPr>
                <w:rFonts w:ascii="Arial" w:eastAsia="Times New Roman" w:hAnsi="Arial" w:cs="Arial"/>
                <w:sz w:val="24"/>
                <w:szCs w:val="24"/>
                <w:lang w:val="en-US" w:eastAsia="pt-BR"/>
              </w:rPr>
              <w:t xml:space="preserve">SILVA NETO, L. S. et al. </w:t>
            </w:r>
            <w:r w:rsidRPr="000E71AC">
              <w:rPr>
                <w:rFonts w:ascii="Arial" w:eastAsia="Times New Roman" w:hAnsi="Arial" w:cs="Arial"/>
                <w:bCs/>
                <w:noProof w:val="0"/>
                <w:kern w:val="36"/>
                <w:sz w:val="24"/>
                <w:szCs w:val="24"/>
                <w:lang w:val="en-US" w:eastAsia="pt-BR"/>
              </w:rPr>
              <w:t xml:space="preserve">Association between </w:t>
            </w:r>
            <w:proofErr w:type="spellStart"/>
            <w:r w:rsidRPr="000E71AC">
              <w:rPr>
                <w:rFonts w:ascii="Arial" w:eastAsia="Times New Roman" w:hAnsi="Arial" w:cs="Arial"/>
                <w:bCs/>
                <w:noProof w:val="0"/>
                <w:kern w:val="36"/>
                <w:sz w:val="24"/>
                <w:szCs w:val="24"/>
                <w:lang w:val="en-US" w:eastAsia="pt-BR"/>
              </w:rPr>
              <w:t>sarcopenia</w:t>
            </w:r>
            <w:proofErr w:type="spellEnd"/>
            <w:r w:rsidRPr="000E71AC">
              <w:rPr>
                <w:rFonts w:ascii="Arial" w:eastAsia="Times New Roman" w:hAnsi="Arial" w:cs="Arial"/>
                <w:bCs/>
                <w:noProof w:val="0"/>
                <w:kern w:val="36"/>
                <w:sz w:val="24"/>
                <w:szCs w:val="24"/>
                <w:lang w:val="en-US" w:eastAsia="pt-BR"/>
              </w:rPr>
              <w:t xml:space="preserve">,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muscle strength and quality of life variables in elderly women.</w:t>
            </w:r>
            <w:r w:rsidRPr="000E71AC">
              <w:rPr>
                <w:rFonts w:ascii="Arial" w:eastAsia="Times New Roman" w:hAnsi="Arial" w:cs="Arial"/>
                <w:noProof w:val="0"/>
                <w:sz w:val="24"/>
                <w:szCs w:val="24"/>
                <w:lang w:val="en-US" w:eastAsia="pt-BR"/>
              </w:rPr>
              <w:t xml:space="preserve"> </w:t>
            </w:r>
            <w:r w:rsidRPr="000E71AC">
              <w:rPr>
                <w:rFonts w:ascii="Arial" w:eastAsia="Times New Roman" w:hAnsi="Arial" w:cs="Arial"/>
                <w:b/>
                <w:noProof w:val="0"/>
                <w:sz w:val="24"/>
                <w:szCs w:val="24"/>
                <w:lang w:val="en-US" w:eastAsia="pt-BR"/>
              </w:rPr>
              <w:t xml:space="preserve">Rev Bras </w:t>
            </w:r>
            <w:proofErr w:type="spellStart"/>
            <w:r w:rsidRPr="000E71AC">
              <w:rPr>
                <w:rFonts w:ascii="Arial" w:eastAsia="Times New Roman" w:hAnsi="Arial" w:cs="Arial"/>
                <w:b/>
                <w:noProof w:val="0"/>
                <w:sz w:val="24"/>
                <w:szCs w:val="24"/>
                <w:lang w:val="en-US" w:eastAsia="pt-BR"/>
              </w:rPr>
              <w:t>Fisioter</w:t>
            </w:r>
            <w:proofErr w:type="spellEnd"/>
            <w:r w:rsidRPr="000E71AC">
              <w:rPr>
                <w:rFonts w:ascii="Arial" w:eastAsia="Times New Roman" w:hAnsi="Arial" w:cs="Arial"/>
                <w:noProof w:val="0"/>
                <w:sz w:val="24"/>
                <w:szCs w:val="24"/>
                <w:shd w:val="clear" w:color="auto" w:fill="FFFFFF"/>
                <w:lang w:val="en-US" w:eastAsia="pt-BR"/>
              </w:rPr>
              <w:t>, v. 16, n. 5, p. 360-7, Oct 2012.</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67.</w:t>
            </w:r>
          </w:p>
        </w:tc>
        <w:tc>
          <w:tcPr>
            <w:tcW w:w="7677" w:type="dxa"/>
          </w:tcPr>
          <w:p w:rsidR="000E71AC" w:rsidRPr="000E71AC" w:rsidRDefault="000E71AC" w:rsidP="000E71AC">
            <w:pPr>
              <w:spacing w:before="120" w:after="120" w:line="360" w:lineRule="auto"/>
              <w:jc w:val="both"/>
              <w:rPr>
                <w:rFonts w:ascii="Arial" w:eastAsia="Times New Roman" w:hAnsi="Arial" w:cs="Arial"/>
                <w:sz w:val="24"/>
                <w:szCs w:val="24"/>
                <w:lang w:eastAsia="pt-BR"/>
              </w:rPr>
            </w:pPr>
            <w:r w:rsidRPr="000E71AC">
              <w:rPr>
                <w:rFonts w:ascii="Arial" w:eastAsia="Times New Roman" w:hAnsi="Arial" w:cs="Arial"/>
                <w:sz w:val="24"/>
                <w:szCs w:val="24"/>
                <w:lang w:val="en-US" w:eastAsia="pt-BR"/>
              </w:rPr>
              <w:t xml:space="preserve">SMART, A. Validation of a new tool for assesment of study quality and reporting in exercice training studies: TESTEX. </w:t>
            </w:r>
            <w:r w:rsidRPr="000E71AC">
              <w:rPr>
                <w:rFonts w:ascii="Arial" w:eastAsia="Times New Roman" w:hAnsi="Arial" w:cs="Arial"/>
                <w:b/>
                <w:sz w:val="24"/>
                <w:szCs w:val="24"/>
                <w:lang w:eastAsia="pt-BR"/>
              </w:rPr>
              <w:t>Int J Evid Based</w:t>
            </w:r>
            <w:r w:rsidRPr="000E71AC">
              <w:rPr>
                <w:rFonts w:ascii="Arial" w:eastAsia="Times New Roman" w:hAnsi="Arial" w:cs="Arial"/>
                <w:sz w:val="24"/>
                <w:szCs w:val="24"/>
                <w:lang w:eastAsia="pt-BR"/>
              </w:rPr>
              <w:t xml:space="preserve"> </w:t>
            </w:r>
            <w:r w:rsidRPr="000E71AC">
              <w:rPr>
                <w:rFonts w:ascii="Arial" w:eastAsia="Times New Roman" w:hAnsi="Arial" w:cs="Arial"/>
                <w:b/>
                <w:sz w:val="24"/>
                <w:szCs w:val="24"/>
                <w:lang w:eastAsia="pt-BR"/>
              </w:rPr>
              <w:t>Healthc,</w:t>
            </w:r>
            <w:r w:rsidRPr="000E71AC">
              <w:rPr>
                <w:rFonts w:ascii="Arial" w:eastAsia="Times New Roman" w:hAnsi="Arial" w:cs="Arial"/>
                <w:sz w:val="24"/>
                <w:szCs w:val="24"/>
                <w:lang w:eastAsia="pt-BR"/>
              </w:rPr>
              <w:t xml:space="preserve"> v.13, n.1, p.9-18, March 2015.</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68.</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TAE, N. K. Relationships between sarcopenic obesity and insulin resistance, inflammation, and vitamin D status: the Korean Sarcopenic Obesity Study. </w:t>
            </w:r>
            <w:r w:rsidRPr="000E71AC">
              <w:rPr>
                <w:rFonts w:ascii="Arial" w:hAnsi="Arial" w:cs="Arial"/>
                <w:b/>
                <w:sz w:val="24"/>
                <w:szCs w:val="24"/>
                <w:shd w:val="clear" w:color="auto" w:fill="FFFFFF"/>
              </w:rPr>
              <w:t>Clinical Endocrinol (Oxf)</w:t>
            </w:r>
            <w:r w:rsidRPr="000E71AC">
              <w:rPr>
                <w:rFonts w:ascii="Arial" w:hAnsi="Arial" w:cs="Arial"/>
                <w:sz w:val="24"/>
                <w:szCs w:val="24"/>
                <w:shd w:val="clear" w:color="auto" w:fill="FFFFFF"/>
              </w:rPr>
              <w:t>, v. 78, n. 4, p. 525–32, Apr 2013.</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69.</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TIAN, S.; XU, Y. Association of sarcopenic obesity with the risk of all-cause mortality: a meta-analysis of prospective cohort studies. </w:t>
            </w:r>
            <w:r w:rsidRPr="000E71AC">
              <w:rPr>
                <w:rFonts w:ascii="Arial" w:hAnsi="Arial" w:cs="Arial"/>
                <w:b/>
                <w:sz w:val="24"/>
                <w:szCs w:val="24"/>
                <w:shd w:val="clear" w:color="auto" w:fill="FFFFFF"/>
              </w:rPr>
              <w:t>Geriatr Gerontol Int</w:t>
            </w:r>
            <w:r w:rsidRPr="000E71AC">
              <w:rPr>
                <w:rFonts w:ascii="Arial" w:hAnsi="Arial" w:cs="Arial"/>
                <w:sz w:val="24"/>
                <w:szCs w:val="24"/>
                <w:shd w:val="clear" w:color="auto" w:fill="FFFFFF"/>
              </w:rPr>
              <w:t>, v. 16, n. 2, p. 155–66, Feb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70.</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color w:val="2E74B5" w:themeColor="accent1" w:themeShade="BF"/>
                <w:sz w:val="24"/>
                <w:szCs w:val="24"/>
                <w:shd w:val="clear" w:color="auto" w:fill="FFFFFF"/>
              </w:rPr>
            </w:pPr>
            <w:r w:rsidRPr="000E71AC">
              <w:rPr>
                <w:rFonts w:ascii="Arial" w:eastAsiaTheme="majorEastAsia" w:hAnsi="Arial" w:cs="Arial"/>
                <w:sz w:val="24"/>
                <w:szCs w:val="24"/>
                <w:shd w:val="clear" w:color="auto" w:fill="FFFFFF"/>
                <w:lang w:val="en-US"/>
              </w:rPr>
              <w:t>TRIBESS, S.; DE OLIVEIRA, R.</w:t>
            </w:r>
            <w:r w:rsidRPr="000E71AC">
              <w:rPr>
                <w:rFonts w:ascii="Arial" w:eastAsia="Times New Roman" w:hAnsi="Arial" w:cs="Arial"/>
                <w:bCs/>
                <w:noProof w:val="0"/>
                <w:kern w:val="36"/>
                <w:sz w:val="24"/>
                <w:szCs w:val="24"/>
                <w:lang w:val="en-US" w:eastAsia="pt-BR"/>
              </w:rPr>
              <w:t xml:space="preserve"> Biological fragility syndrome in the elderly: systematic review</w:t>
            </w:r>
            <w:r w:rsidRPr="000E71AC">
              <w:rPr>
                <w:rFonts w:ascii="Arial" w:eastAsia="Times New Roman" w:hAnsi="Arial" w:cs="Arial"/>
                <w:bCs/>
                <w:i/>
                <w:noProof w:val="0"/>
                <w:kern w:val="36"/>
                <w:sz w:val="24"/>
                <w:szCs w:val="24"/>
                <w:lang w:val="en-US" w:eastAsia="pt-BR"/>
              </w:rPr>
              <w:t xml:space="preserve">. </w:t>
            </w:r>
            <w:proofErr w:type="spellStart"/>
            <w:r w:rsidRPr="000E71AC">
              <w:rPr>
                <w:rFonts w:ascii="Arial" w:eastAsia="Times New Roman" w:hAnsi="Arial" w:cs="Arial"/>
                <w:b/>
                <w:bCs/>
                <w:noProof w:val="0"/>
                <w:kern w:val="36"/>
                <w:sz w:val="24"/>
                <w:szCs w:val="24"/>
                <w:lang w:eastAsia="pt-BR"/>
              </w:rPr>
              <w:t>Rev</w:t>
            </w:r>
            <w:proofErr w:type="spellEnd"/>
            <w:r w:rsidRPr="000E71AC">
              <w:rPr>
                <w:rFonts w:ascii="Arial" w:eastAsia="Times New Roman" w:hAnsi="Arial" w:cs="Arial"/>
                <w:b/>
                <w:bCs/>
                <w:noProof w:val="0"/>
                <w:kern w:val="36"/>
                <w:sz w:val="24"/>
                <w:szCs w:val="24"/>
                <w:lang w:eastAsia="pt-BR"/>
              </w:rPr>
              <w:t xml:space="preserve"> </w:t>
            </w:r>
            <w:proofErr w:type="spellStart"/>
            <w:r w:rsidRPr="000E71AC">
              <w:rPr>
                <w:rFonts w:ascii="Arial" w:eastAsia="Times New Roman" w:hAnsi="Arial" w:cs="Arial"/>
                <w:b/>
                <w:bCs/>
                <w:noProof w:val="0"/>
                <w:kern w:val="36"/>
                <w:sz w:val="24"/>
                <w:szCs w:val="24"/>
                <w:lang w:eastAsia="pt-BR"/>
              </w:rPr>
              <w:t>Salud</w:t>
            </w:r>
            <w:proofErr w:type="spellEnd"/>
            <w:r w:rsidRPr="000E71AC">
              <w:rPr>
                <w:rFonts w:ascii="Arial" w:eastAsia="Times New Roman" w:hAnsi="Arial" w:cs="Arial"/>
                <w:b/>
                <w:bCs/>
                <w:noProof w:val="0"/>
                <w:kern w:val="36"/>
                <w:sz w:val="24"/>
                <w:szCs w:val="24"/>
                <w:lang w:eastAsia="pt-BR"/>
              </w:rPr>
              <w:t xml:space="preserve"> </w:t>
            </w:r>
            <w:proofErr w:type="spellStart"/>
            <w:r w:rsidRPr="000E71AC">
              <w:rPr>
                <w:rFonts w:ascii="Arial" w:eastAsia="Times New Roman" w:hAnsi="Arial" w:cs="Arial"/>
                <w:b/>
                <w:bCs/>
                <w:noProof w:val="0"/>
                <w:kern w:val="36"/>
                <w:sz w:val="24"/>
                <w:szCs w:val="24"/>
                <w:lang w:eastAsia="pt-BR"/>
              </w:rPr>
              <w:t>Public</w:t>
            </w:r>
            <w:proofErr w:type="spellEnd"/>
            <w:r w:rsidRPr="000E71AC">
              <w:rPr>
                <w:rFonts w:ascii="Arial" w:eastAsia="Times New Roman" w:hAnsi="Arial" w:cs="Arial"/>
                <w:bCs/>
                <w:noProof w:val="0"/>
                <w:kern w:val="36"/>
                <w:sz w:val="24"/>
                <w:szCs w:val="24"/>
                <w:lang w:eastAsia="pt-BR"/>
              </w:rPr>
              <w:t xml:space="preserve">, v. </w:t>
            </w:r>
            <w:r w:rsidRPr="000E71AC">
              <w:rPr>
                <w:rFonts w:ascii="Arial" w:eastAsiaTheme="majorEastAsia" w:hAnsi="Arial" w:cs="Arial"/>
                <w:sz w:val="24"/>
                <w:szCs w:val="24"/>
                <w:shd w:val="clear" w:color="auto" w:fill="FFFFFF"/>
              </w:rPr>
              <w:t>13, n. 5, p. 853-64, Oct 2011.</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71.</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color w:val="2E74B5" w:themeColor="accent1" w:themeShade="BF"/>
                <w:sz w:val="24"/>
                <w:szCs w:val="24"/>
                <w:shd w:val="clear" w:color="auto" w:fill="FFFFFF"/>
                <w:lang w:val="en-US"/>
              </w:rPr>
            </w:pPr>
            <w:r w:rsidRPr="000E71AC">
              <w:rPr>
                <w:rFonts w:ascii="Arial" w:eastAsiaTheme="majorEastAsia" w:hAnsi="Arial" w:cs="Arial"/>
                <w:sz w:val="24"/>
                <w:szCs w:val="24"/>
                <w:shd w:val="clear" w:color="auto" w:fill="FFFFFF"/>
                <w:lang w:val="en-US"/>
              </w:rPr>
              <w:t>TROUWBORST, I. et al.</w:t>
            </w:r>
            <w:r w:rsidRPr="000E71AC">
              <w:rPr>
                <w:rFonts w:ascii="Arial" w:eastAsia="Times New Roman" w:hAnsi="Arial" w:cs="Arial"/>
                <w:bCs/>
                <w:noProof w:val="0"/>
                <w:kern w:val="36"/>
                <w:sz w:val="24"/>
                <w:szCs w:val="24"/>
                <w:lang w:val="en-US" w:eastAsia="pt-BR"/>
              </w:rPr>
              <w:t xml:space="preserve"> Exercise and Nutrition Strategies to Counteract </w:t>
            </w:r>
            <w:proofErr w:type="spellStart"/>
            <w:r w:rsidRPr="000E71AC">
              <w:rPr>
                <w:rFonts w:ascii="Arial" w:eastAsia="Times New Roman" w:hAnsi="Arial" w:cs="Arial"/>
                <w:bCs/>
                <w:noProof w:val="0"/>
                <w:kern w:val="36"/>
                <w:sz w:val="24"/>
                <w:szCs w:val="24"/>
                <w:lang w:val="en-US" w:eastAsia="pt-BR"/>
              </w:rPr>
              <w:t>Sarcopenic</w:t>
            </w:r>
            <w:proofErr w:type="spellEnd"/>
            <w:r w:rsidRPr="000E71AC">
              <w:rPr>
                <w:rFonts w:ascii="Arial" w:eastAsia="Times New Roman" w:hAnsi="Arial" w:cs="Arial"/>
                <w:bCs/>
                <w:noProof w:val="0"/>
                <w:kern w:val="36"/>
                <w:sz w:val="24"/>
                <w:szCs w:val="24"/>
                <w:lang w:val="en-US" w:eastAsia="pt-BR"/>
              </w:rPr>
              <w:t xml:space="preserve"> Obesity. </w:t>
            </w:r>
            <w:r w:rsidRPr="000E71AC">
              <w:rPr>
                <w:rFonts w:ascii="Arial" w:eastAsia="Times New Roman" w:hAnsi="Arial" w:cs="Arial"/>
                <w:b/>
                <w:bCs/>
                <w:noProof w:val="0"/>
                <w:kern w:val="36"/>
                <w:sz w:val="24"/>
                <w:szCs w:val="24"/>
                <w:lang w:val="en-US" w:eastAsia="pt-BR"/>
              </w:rPr>
              <w:t>Nutrients</w:t>
            </w:r>
            <w:r w:rsidRPr="000E71AC">
              <w:rPr>
                <w:rFonts w:ascii="Arial" w:eastAsia="Times New Roman" w:hAnsi="Arial" w:cs="Arial"/>
                <w:bCs/>
                <w:noProof w:val="0"/>
                <w:kern w:val="36"/>
                <w:sz w:val="24"/>
                <w:szCs w:val="24"/>
                <w:lang w:val="en-US" w:eastAsia="pt-BR"/>
              </w:rPr>
              <w:t>, v. 10, n. 5, p. 605, May 2018.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72.</w:t>
            </w:r>
          </w:p>
        </w:tc>
        <w:tc>
          <w:tcPr>
            <w:tcW w:w="7677" w:type="dxa"/>
          </w:tcPr>
          <w:p w:rsidR="000E71AC" w:rsidRPr="000E71AC" w:rsidRDefault="000E71AC" w:rsidP="000E71AC">
            <w:pPr>
              <w:keepNext/>
              <w:keepLines/>
              <w:shd w:val="clear" w:color="auto" w:fill="FFFFFF"/>
              <w:spacing w:before="120" w:after="120" w:line="360" w:lineRule="auto"/>
              <w:jc w:val="both"/>
              <w:outlineLvl w:val="0"/>
              <w:rPr>
                <w:rFonts w:ascii="Arial" w:eastAsiaTheme="majorEastAsia" w:hAnsi="Arial" w:cs="Arial"/>
                <w:sz w:val="24"/>
                <w:szCs w:val="24"/>
                <w:shd w:val="clear" w:color="auto" w:fill="FFFFFF"/>
                <w:lang w:val="en-US"/>
              </w:rPr>
            </w:pPr>
            <w:r w:rsidRPr="000E71AC">
              <w:rPr>
                <w:rFonts w:ascii="Arial" w:eastAsiaTheme="majorEastAsia" w:hAnsi="Arial" w:cs="Arial"/>
                <w:sz w:val="24"/>
                <w:szCs w:val="24"/>
                <w:lang w:val="es-ES" w:eastAsia="pt-BR"/>
              </w:rPr>
              <w:t>UUSI-RASI, K.; et al.</w:t>
            </w:r>
            <w:r w:rsidRPr="000E71AC">
              <w:rPr>
                <w:rFonts w:ascii="Arial" w:eastAsia="Times New Roman" w:hAnsi="Arial" w:cs="Arial"/>
                <w:kern w:val="36"/>
                <w:sz w:val="24"/>
                <w:szCs w:val="24"/>
                <w:lang w:val="es-ES" w:eastAsia="pt-BR"/>
              </w:rPr>
              <w:t xml:space="preserve"> </w:t>
            </w:r>
            <w:r w:rsidRPr="000E71AC">
              <w:rPr>
                <w:rFonts w:ascii="Arial" w:eastAsia="Times New Roman" w:hAnsi="Arial" w:cs="Arial"/>
                <w:kern w:val="36"/>
                <w:sz w:val="24"/>
                <w:szCs w:val="24"/>
                <w:lang w:val="en-US" w:eastAsia="pt-BR"/>
              </w:rPr>
              <w:t xml:space="preserve">Study protocol for prevention of falls: A randomized controlled trial of effects of vitamin D and exercise on falls prevention. </w:t>
            </w:r>
            <w:hyperlink r:id="rId28" w:history="1">
              <w:r w:rsidRPr="000E71AC">
                <w:rPr>
                  <w:rFonts w:ascii="Arial" w:eastAsiaTheme="majorEastAsia" w:hAnsi="Arial" w:cs="Arial"/>
                  <w:b/>
                  <w:sz w:val="24"/>
                  <w:szCs w:val="24"/>
                  <w:shd w:val="clear" w:color="auto" w:fill="FFFFFF"/>
                  <w:lang w:val="en-US"/>
                </w:rPr>
                <w:t>BMC Geriatr</w:t>
              </w:r>
            </w:hyperlink>
            <w:r w:rsidRPr="000E71AC">
              <w:rPr>
                <w:rFonts w:ascii="Arial" w:eastAsiaTheme="majorEastAsia" w:hAnsi="Arial" w:cs="Arial"/>
                <w:sz w:val="24"/>
                <w:szCs w:val="24"/>
                <w:shd w:val="clear" w:color="auto" w:fill="FFFFFF"/>
                <w:lang w:val="en-US"/>
              </w:rPr>
              <w:t>, v. 16, n. 12, p. 12-26, Mar 2012.</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73.</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s-ES"/>
              </w:rPr>
              <w:t xml:space="preserve">VASCONCELOS, K. S. et al. </w:t>
            </w:r>
            <w:r w:rsidRPr="000E71AC">
              <w:rPr>
                <w:rFonts w:ascii="Arial" w:hAnsi="Arial" w:cs="Arial"/>
                <w:sz w:val="24"/>
                <w:szCs w:val="24"/>
                <w:shd w:val="clear" w:color="auto" w:fill="FFFFFF"/>
                <w:lang w:val="en-US"/>
              </w:rPr>
              <w:t xml:space="preserve">Effects of a progressive resistance exercise program with high-speed component on the physicalfunction of older women with sarcopenic obesity: a randomized controlled trial. </w:t>
            </w:r>
            <w:r w:rsidRPr="000E71AC">
              <w:rPr>
                <w:rFonts w:ascii="Arial" w:hAnsi="Arial" w:cs="Arial"/>
                <w:b/>
                <w:sz w:val="24"/>
                <w:szCs w:val="24"/>
                <w:shd w:val="clear" w:color="auto" w:fill="FFFFFF"/>
                <w:lang w:val="en-US"/>
              </w:rPr>
              <w:t>Braz J Phys Ther</w:t>
            </w:r>
            <w:r w:rsidRPr="000E71AC">
              <w:rPr>
                <w:rFonts w:ascii="Arial" w:hAnsi="Arial" w:cs="Arial"/>
                <w:sz w:val="24"/>
                <w:szCs w:val="24"/>
                <w:shd w:val="clear" w:color="auto" w:fill="FFFFFF"/>
                <w:lang w:val="en-US"/>
              </w:rPr>
              <w:t>, v. 20, p. 432-40,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74.</w:t>
            </w:r>
          </w:p>
        </w:tc>
        <w:tc>
          <w:tcPr>
            <w:tcW w:w="7677" w:type="dxa"/>
          </w:tcPr>
          <w:p w:rsidR="000E71AC" w:rsidRPr="000E71AC" w:rsidRDefault="000E71AC" w:rsidP="000E71AC">
            <w:pPr>
              <w:spacing w:before="120" w:after="120" w:line="360" w:lineRule="auto"/>
              <w:rPr>
                <w:rFonts w:ascii="Arial" w:hAnsi="Arial" w:cs="Arial"/>
                <w:sz w:val="24"/>
                <w:szCs w:val="24"/>
                <w:shd w:val="clear" w:color="auto" w:fill="FFFFFF"/>
                <w:lang w:val="en-US"/>
              </w:rPr>
            </w:pPr>
            <w:r w:rsidRPr="000E71AC">
              <w:rPr>
                <w:rFonts w:ascii="Arial" w:hAnsi="Arial" w:cs="Arial"/>
                <w:sz w:val="24"/>
                <w:szCs w:val="24"/>
                <w:shd w:val="clear" w:color="auto" w:fill="FFFFFF"/>
                <w:lang w:val="es-ES"/>
              </w:rPr>
              <w:t xml:space="preserve">VERHAAR, H. J. et al. </w:t>
            </w:r>
            <w:r w:rsidRPr="000E71AC">
              <w:rPr>
                <w:rFonts w:ascii="Arial" w:hAnsi="Arial" w:cs="Arial"/>
                <w:sz w:val="24"/>
                <w:szCs w:val="24"/>
                <w:shd w:val="clear" w:color="auto" w:fill="FFFFFF"/>
                <w:lang w:val="en-US"/>
              </w:rPr>
              <w:t>Muscle strength, functional mobility and vitamin D in older women.</w:t>
            </w:r>
            <w:r w:rsidRPr="000E71AC">
              <w:rPr>
                <w:rFonts w:ascii="Arial" w:hAnsi="Arial" w:cs="Arial"/>
                <w:b/>
                <w:sz w:val="24"/>
                <w:szCs w:val="24"/>
                <w:shd w:val="clear" w:color="auto" w:fill="FFFFFF"/>
                <w:lang w:val="en-US"/>
              </w:rPr>
              <w:t xml:space="preserve"> Ageing</w:t>
            </w:r>
            <w:r w:rsidRPr="000E71AC">
              <w:rPr>
                <w:rFonts w:ascii="Arial" w:hAnsi="Arial" w:cs="Arial"/>
                <w:sz w:val="24"/>
                <w:szCs w:val="24"/>
                <w:shd w:val="clear" w:color="auto" w:fill="FFFFFF"/>
                <w:lang w:val="en-US"/>
              </w:rPr>
              <w:t>, v. 12, n. 6, p. 455-60, Dec 2000.</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75.</w:t>
            </w:r>
          </w:p>
        </w:tc>
        <w:tc>
          <w:tcPr>
            <w:tcW w:w="7677" w:type="dxa"/>
          </w:tcPr>
          <w:p w:rsidR="000E71AC" w:rsidRPr="000E71AC" w:rsidRDefault="009F466F" w:rsidP="000E71AC">
            <w:pPr>
              <w:spacing w:before="120" w:after="120" w:line="360" w:lineRule="auto"/>
              <w:jc w:val="both"/>
              <w:rPr>
                <w:rFonts w:ascii="Arial" w:hAnsi="Arial" w:cs="Arial"/>
                <w:sz w:val="24"/>
                <w:szCs w:val="24"/>
                <w:shd w:val="clear" w:color="auto" w:fill="FFFFFF"/>
              </w:rPr>
            </w:pPr>
            <w:hyperlink r:id="rId29" w:history="1">
              <w:r w:rsidR="000E71AC" w:rsidRPr="000E71AC">
                <w:rPr>
                  <w:rFonts w:ascii="Arial" w:hAnsi="Arial" w:cs="Arial"/>
                  <w:sz w:val="24"/>
                  <w:szCs w:val="24"/>
                  <w:shd w:val="clear" w:color="auto" w:fill="FFFFFF"/>
                  <w:lang w:val="en-US"/>
                </w:rPr>
                <w:t>VERREIJEN, A. M</w:t>
              </w:r>
            </w:hyperlink>
            <w:r w:rsidR="000E71AC" w:rsidRPr="000E71AC">
              <w:rPr>
                <w:rFonts w:ascii="Arial" w:hAnsi="Arial" w:cs="Arial"/>
                <w:sz w:val="24"/>
                <w:szCs w:val="24"/>
                <w:shd w:val="clear" w:color="auto" w:fill="FFFFFF"/>
                <w:lang w:val="en-US"/>
              </w:rPr>
              <w:t xml:space="preserve">. </w:t>
            </w:r>
            <w:r w:rsidR="000E71AC" w:rsidRPr="000E71AC">
              <w:rPr>
                <w:rFonts w:ascii="Arial" w:hAnsi="Arial" w:cs="Arial"/>
                <w:sz w:val="24"/>
                <w:szCs w:val="24"/>
                <w:lang w:val="en-US"/>
              </w:rPr>
              <w:t xml:space="preserve">A high whey protein-, leucine-, and vitamin D-enriched supplement preserves muscle mass during intentional weight loss in obese older adults: a double-blind randomized controlled trial. </w:t>
            </w:r>
            <w:hyperlink r:id="rId30" w:tooltip="The American journal of clinical nutrition." w:history="1">
              <w:r w:rsidR="000E71AC" w:rsidRPr="000E71AC">
                <w:rPr>
                  <w:rFonts w:ascii="Arial" w:hAnsi="Arial" w:cs="Arial"/>
                  <w:b/>
                  <w:sz w:val="24"/>
                  <w:szCs w:val="24"/>
                  <w:shd w:val="clear" w:color="auto" w:fill="FFFFFF"/>
                </w:rPr>
                <w:t>Am J Clin Nutr</w:t>
              </w:r>
            </w:hyperlink>
            <w:r w:rsidR="000E71AC" w:rsidRPr="000E71AC">
              <w:rPr>
                <w:rFonts w:ascii="Arial" w:hAnsi="Arial" w:cs="Arial"/>
                <w:sz w:val="24"/>
                <w:szCs w:val="24"/>
                <w:shd w:val="clear" w:color="auto" w:fill="FFFFFF"/>
              </w:rPr>
              <w:t xml:space="preserve">, v. 101, n. 2, p. 279-86, Feb 2015. </w:t>
            </w:r>
          </w:p>
        </w:tc>
      </w:tr>
      <w:tr w:rsidR="000E71AC" w:rsidRPr="000E71AC" w:rsidTr="000E71AC">
        <w:trPr>
          <w:trHeight w:val="1013"/>
        </w:trPr>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76.</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WALRAND, S. Effect of vitamin D on skeletal muscle. </w:t>
            </w:r>
            <w:r w:rsidRPr="000E71AC">
              <w:rPr>
                <w:rFonts w:ascii="Arial" w:hAnsi="Arial" w:cs="Arial"/>
                <w:b/>
                <w:sz w:val="24"/>
                <w:szCs w:val="24"/>
                <w:shd w:val="clear" w:color="auto" w:fill="FFFFFF"/>
              </w:rPr>
              <w:t>Geriatr Psychol</w:t>
            </w:r>
            <w:r w:rsidRPr="000E71AC">
              <w:rPr>
                <w:rFonts w:ascii="Arial" w:hAnsi="Arial" w:cs="Arial"/>
                <w:sz w:val="24"/>
                <w:szCs w:val="24"/>
                <w:shd w:val="clear" w:color="auto" w:fill="FFFFFF"/>
              </w:rPr>
              <w:t xml:space="preserve"> </w:t>
            </w:r>
            <w:r w:rsidRPr="000E71AC">
              <w:rPr>
                <w:rFonts w:ascii="Arial" w:hAnsi="Arial" w:cs="Arial"/>
                <w:b/>
                <w:sz w:val="24"/>
                <w:szCs w:val="24"/>
                <w:shd w:val="clear" w:color="auto" w:fill="FFFFFF"/>
              </w:rPr>
              <w:t>Neuropsychiatr Vieil</w:t>
            </w:r>
            <w:r w:rsidRPr="000E71AC">
              <w:rPr>
                <w:rFonts w:ascii="Arial" w:hAnsi="Arial" w:cs="Arial"/>
                <w:sz w:val="24"/>
                <w:szCs w:val="24"/>
                <w:shd w:val="clear" w:color="auto" w:fill="FFFFFF"/>
              </w:rPr>
              <w:t>, v.1, n.14, p.127-34, Jun 2016.</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77.</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WANG, C., BAI, L. Sarcopenia in the elderly: basic and clinical issues. </w:t>
            </w:r>
            <w:r w:rsidRPr="000E71AC">
              <w:rPr>
                <w:rFonts w:ascii="Arial" w:hAnsi="Arial" w:cs="Arial"/>
                <w:b/>
                <w:sz w:val="24"/>
                <w:szCs w:val="24"/>
                <w:shd w:val="clear" w:color="auto" w:fill="FFFFFF"/>
              </w:rPr>
              <w:t>Geriatr Gerontol Int</w:t>
            </w:r>
            <w:r w:rsidRPr="000E71AC">
              <w:rPr>
                <w:rFonts w:ascii="Arial" w:hAnsi="Arial" w:cs="Arial"/>
                <w:i/>
                <w:sz w:val="24"/>
                <w:szCs w:val="24"/>
                <w:shd w:val="clear" w:color="auto" w:fill="FFFFFF"/>
              </w:rPr>
              <w:t>,</w:t>
            </w:r>
            <w:r w:rsidRPr="000E71AC">
              <w:rPr>
                <w:rFonts w:ascii="Arial" w:hAnsi="Arial" w:cs="Arial"/>
                <w:sz w:val="24"/>
                <w:szCs w:val="24"/>
                <w:shd w:val="clear" w:color="auto" w:fill="FFFFFF"/>
              </w:rPr>
              <w:t xml:space="preserve"> v. 12, n. 3 p. 388-96, Jul 2012.</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78.</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WANNAMETHEE, S. G.; ATKINS J. L. Muscle loss and obesity: the health implications of sarcopenia and sarcopenic obesity. </w:t>
            </w:r>
            <w:r w:rsidRPr="000E71AC">
              <w:rPr>
                <w:rFonts w:ascii="Arial" w:hAnsi="Arial" w:cs="Arial"/>
                <w:b/>
                <w:sz w:val="24"/>
                <w:szCs w:val="24"/>
                <w:shd w:val="clear" w:color="auto" w:fill="FFFFFF"/>
              </w:rPr>
              <w:t>Proc Nutr Soc</w:t>
            </w:r>
            <w:r w:rsidRPr="000E71AC">
              <w:rPr>
                <w:rFonts w:ascii="Arial" w:hAnsi="Arial" w:cs="Arial"/>
                <w:sz w:val="24"/>
                <w:szCs w:val="24"/>
                <w:shd w:val="clear" w:color="auto" w:fill="FFFFFF"/>
              </w:rPr>
              <w:t>, v. 74, n. 4, p. 405-12, Nov 2015.</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79.</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rPr>
            </w:pPr>
            <w:r w:rsidRPr="000E71AC">
              <w:rPr>
                <w:rFonts w:ascii="Arial" w:hAnsi="Arial" w:cs="Arial"/>
                <w:sz w:val="24"/>
                <w:szCs w:val="24"/>
                <w:shd w:val="clear" w:color="auto" w:fill="FFFFFF"/>
                <w:lang w:val="en-US"/>
              </w:rPr>
              <w:t xml:space="preserve">WHO. </w:t>
            </w:r>
            <w:r w:rsidRPr="000E71AC">
              <w:rPr>
                <w:rFonts w:ascii="Arial" w:hAnsi="Arial" w:cs="Arial"/>
                <w:b/>
                <w:sz w:val="24"/>
                <w:szCs w:val="24"/>
                <w:shd w:val="clear" w:color="auto" w:fill="FFFFFF"/>
                <w:lang w:val="en-US"/>
              </w:rPr>
              <w:t>Fact sheets, ageing and health:</w:t>
            </w:r>
            <w:r w:rsidRPr="000E71AC">
              <w:rPr>
                <w:rFonts w:ascii="Arial" w:hAnsi="Arial" w:cs="Arial"/>
                <w:sz w:val="24"/>
                <w:szCs w:val="24"/>
                <w:shd w:val="clear" w:color="auto" w:fill="FFFFFF"/>
                <w:lang w:val="en-US"/>
              </w:rPr>
              <w:t xml:space="preserve"> 10 facts on ageing and health. </w:t>
            </w:r>
            <w:r w:rsidRPr="000E71AC">
              <w:rPr>
                <w:rFonts w:ascii="Arial" w:hAnsi="Arial" w:cs="Arial"/>
                <w:sz w:val="24"/>
                <w:szCs w:val="24"/>
                <w:shd w:val="clear" w:color="auto" w:fill="FFFFFF"/>
              </w:rPr>
              <w:t>Disponível em: &lt;</w:t>
            </w:r>
            <w:hyperlink r:id="rId31" w:history="1">
              <w:r w:rsidRPr="000E71AC">
                <w:rPr>
                  <w:rFonts w:ascii="Arial" w:hAnsi="Arial" w:cs="Arial"/>
                  <w:sz w:val="24"/>
                  <w:szCs w:val="24"/>
                  <w:shd w:val="clear" w:color="auto" w:fill="FFFFFF"/>
                </w:rPr>
                <w:t>www.who.int/features/factfiles/ageing/en/</w:t>
              </w:r>
            </w:hyperlink>
            <w:r w:rsidRPr="000E71AC">
              <w:rPr>
                <w:rFonts w:ascii="Arial" w:hAnsi="Arial" w:cs="Arial"/>
                <w:sz w:val="24"/>
                <w:szCs w:val="24"/>
                <w:shd w:val="clear" w:color="auto" w:fill="FFFFFF"/>
              </w:rPr>
              <w:t>&gt;. Acesso em: 2018 outubro, 2017.</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80.</w:t>
            </w:r>
          </w:p>
        </w:tc>
        <w:tc>
          <w:tcPr>
            <w:tcW w:w="7677" w:type="dxa"/>
          </w:tcPr>
          <w:p w:rsidR="000E71AC" w:rsidRPr="000E71AC" w:rsidRDefault="000E71AC" w:rsidP="000E71AC">
            <w:pPr>
              <w:shd w:val="clear" w:color="auto" w:fill="FFFFFF"/>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ZAMBONI, M. et al.</w:t>
            </w:r>
            <w:r w:rsidRPr="000E71AC">
              <w:rPr>
                <w:rFonts w:ascii="Arial" w:eastAsia="Times New Roman" w:hAnsi="Arial" w:cs="Arial"/>
                <w:bCs/>
                <w:noProof w:val="0"/>
                <w:kern w:val="36"/>
                <w:sz w:val="24"/>
                <w:szCs w:val="24"/>
                <w:lang w:val="en-US" w:eastAsia="pt-BR"/>
              </w:rPr>
              <w:t xml:space="preserve"> </w:t>
            </w:r>
            <w:proofErr w:type="spellStart"/>
            <w:r w:rsidRPr="000E71AC">
              <w:rPr>
                <w:rFonts w:ascii="Arial" w:eastAsia="Times New Roman" w:hAnsi="Arial" w:cs="Arial"/>
                <w:bCs/>
                <w:noProof w:val="0"/>
                <w:kern w:val="36"/>
                <w:sz w:val="24"/>
                <w:szCs w:val="24"/>
                <w:lang w:val="en-US" w:eastAsia="pt-BR"/>
              </w:rPr>
              <w:t>Sarcopenia</w:t>
            </w:r>
            <w:proofErr w:type="spellEnd"/>
            <w:r w:rsidRPr="000E71AC">
              <w:rPr>
                <w:rFonts w:ascii="Arial" w:eastAsia="Times New Roman" w:hAnsi="Arial" w:cs="Arial"/>
                <w:bCs/>
                <w:noProof w:val="0"/>
                <w:kern w:val="36"/>
                <w:sz w:val="24"/>
                <w:szCs w:val="24"/>
                <w:lang w:val="en-US" w:eastAsia="pt-BR"/>
              </w:rPr>
              <w:t xml:space="preserve"> and obesity.</w:t>
            </w:r>
            <w:r w:rsidRPr="000E71AC">
              <w:rPr>
                <w:rFonts w:ascii="Arial" w:eastAsia="Times New Roman" w:hAnsi="Arial" w:cs="Arial"/>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Curr</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Opin</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Clin</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Nutr</w:t>
            </w:r>
            <w:proofErr w:type="spellEnd"/>
            <w:r w:rsidRPr="000E71AC">
              <w:rPr>
                <w:rFonts w:ascii="Arial" w:eastAsia="Times New Roman" w:hAnsi="Arial" w:cs="Arial"/>
                <w:b/>
                <w:noProof w:val="0"/>
                <w:sz w:val="24"/>
                <w:szCs w:val="24"/>
                <w:lang w:val="en-US" w:eastAsia="pt-BR"/>
              </w:rPr>
              <w:t xml:space="preserve"> </w:t>
            </w:r>
            <w:proofErr w:type="spellStart"/>
            <w:r w:rsidRPr="000E71AC">
              <w:rPr>
                <w:rFonts w:ascii="Arial" w:eastAsia="Times New Roman" w:hAnsi="Arial" w:cs="Arial"/>
                <w:b/>
                <w:noProof w:val="0"/>
                <w:sz w:val="24"/>
                <w:szCs w:val="24"/>
                <w:lang w:val="en-US" w:eastAsia="pt-BR"/>
              </w:rPr>
              <w:t>Metab</w:t>
            </w:r>
            <w:proofErr w:type="spellEnd"/>
            <w:r w:rsidRPr="000E71AC">
              <w:rPr>
                <w:rFonts w:ascii="Arial" w:eastAsia="Times New Roman" w:hAnsi="Arial" w:cs="Arial"/>
                <w:b/>
                <w:noProof w:val="0"/>
                <w:sz w:val="24"/>
                <w:szCs w:val="24"/>
                <w:lang w:val="en-US" w:eastAsia="pt-BR"/>
              </w:rPr>
              <w:t xml:space="preserve"> Care</w:t>
            </w:r>
            <w:r w:rsidRPr="000E71AC">
              <w:rPr>
                <w:rFonts w:ascii="Arial" w:eastAsia="Times New Roman" w:hAnsi="Arial" w:cs="Arial"/>
                <w:noProof w:val="0"/>
                <w:sz w:val="24"/>
                <w:szCs w:val="24"/>
                <w:lang w:val="en-US" w:eastAsia="pt-BR"/>
              </w:rPr>
              <w:t xml:space="preserve">, v. </w:t>
            </w:r>
            <w:r w:rsidRPr="000E71AC">
              <w:rPr>
                <w:rFonts w:ascii="Arial" w:hAnsi="Arial" w:cs="Arial"/>
                <w:sz w:val="24"/>
                <w:szCs w:val="24"/>
                <w:shd w:val="clear" w:color="auto" w:fill="FFFFFF"/>
                <w:lang w:val="en-US"/>
              </w:rPr>
              <w:t>22, n. 1, p. 13-19, Jan 2019.</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lastRenderedPageBreak/>
              <w:t>81.</w:t>
            </w:r>
          </w:p>
        </w:tc>
        <w:tc>
          <w:tcPr>
            <w:tcW w:w="7677" w:type="dxa"/>
          </w:tcPr>
          <w:p w:rsidR="000E71AC" w:rsidRPr="000E71AC" w:rsidRDefault="000E71AC" w:rsidP="000E71AC">
            <w:pPr>
              <w:spacing w:before="120" w:after="120" w:line="360" w:lineRule="auto"/>
              <w:jc w:val="both"/>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ZAMBONI, M. et al. Sarcopenic obesity: a new category of obesity in the elderly</w:t>
            </w:r>
            <w:r w:rsidRPr="000E71AC">
              <w:rPr>
                <w:rFonts w:ascii="Arial" w:hAnsi="Arial" w:cs="Arial"/>
                <w:i/>
                <w:sz w:val="24"/>
                <w:szCs w:val="24"/>
                <w:shd w:val="clear" w:color="auto" w:fill="FFFFFF"/>
                <w:lang w:val="en-US"/>
              </w:rPr>
              <w:t xml:space="preserve">. </w:t>
            </w:r>
            <w:r w:rsidRPr="000E71AC">
              <w:rPr>
                <w:rFonts w:ascii="Arial" w:hAnsi="Arial" w:cs="Arial"/>
                <w:b/>
                <w:sz w:val="24"/>
                <w:szCs w:val="24"/>
                <w:shd w:val="clear" w:color="auto" w:fill="FFFFFF"/>
                <w:lang w:val="en-US"/>
              </w:rPr>
              <w:t>Nutr Metab Cardiovasc Dis</w:t>
            </w:r>
            <w:r w:rsidRPr="000E71AC">
              <w:rPr>
                <w:rFonts w:ascii="Arial" w:hAnsi="Arial" w:cs="Arial"/>
                <w:sz w:val="24"/>
                <w:szCs w:val="24"/>
                <w:shd w:val="clear" w:color="auto" w:fill="FFFFFF"/>
                <w:lang w:val="en-US"/>
              </w:rPr>
              <w:t>, v. 18, n. 5, p. 388–95, Jun 2008.</w:t>
            </w:r>
          </w:p>
        </w:tc>
      </w:tr>
      <w:tr w:rsidR="000E71AC" w:rsidRPr="000E71AC" w:rsidTr="000E71AC">
        <w:tc>
          <w:tcPr>
            <w:tcW w:w="817" w:type="dxa"/>
          </w:tcPr>
          <w:p w:rsidR="000E71AC" w:rsidRPr="000E71AC" w:rsidRDefault="000E71AC" w:rsidP="000E71AC">
            <w:pPr>
              <w:spacing w:before="120" w:after="120" w:line="360" w:lineRule="auto"/>
              <w:rPr>
                <w:rFonts w:ascii="Arial" w:hAnsi="Arial" w:cs="Arial"/>
                <w:sz w:val="24"/>
                <w:szCs w:val="24"/>
              </w:rPr>
            </w:pPr>
            <w:r w:rsidRPr="000E71AC">
              <w:rPr>
                <w:rFonts w:ascii="Arial" w:hAnsi="Arial" w:cs="Arial"/>
                <w:sz w:val="24"/>
                <w:szCs w:val="24"/>
              </w:rPr>
              <w:t>82.</w:t>
            </w:r>
          </w:p>
        </w:tc>
        <w:tc>
          <w:tcPr>
            <w:tcW w:w="7677" w:type="dxa"/>
          </w:tcPr>
          <w:p w:rsidR="000E71AC" w:rsidRPr="000E71AC" w:rsidRDefault="000E71AC" w:rsidP="000E71AC">
            <w:pPr>
              <w:spacing w:before="120" w:after="120" w:line="360" w:lineRule="auto"/>
              <w:rPr>
                <w:rFonts w:ascii="Arial" w:hAnsi="Arial" w:cs="Arial"/>
                <w:sz w:val="24"/>
                <w:szCs w:val="24"/>
                <w:shd w:val="clear" w:color="auto" w:fill="FFFFFF"/>
                <w:lang w:val="en-US"/>
              </w:rPr>
            </w:pPr>
            <w:r w:rsidRPr="000E71AC">
              <w:rPr>
                <w:rFonts w:ascii="Arial" w:hAnsi="Arial" w:cs="Arial"/>
                <w:sz w:val="24"/>
                <w:szCs w:val="24"/>
                <w:shd w:val="clear" w:color="auto" w:fill="FFFFFF"/>
                <w:lang w:val="en-US"/>
              </w:rPr>
              <w:t xml:space="preserve">ZUO, Q. et al. Response of Macrophages in Rat Skeletal Muscle after Eccentric Exercise. </w:t>
            </w:r>
            <w:r w:rsidRPr="000E71AC">
              <w:rPr>
                <w:rFonts w:ascii="Arial" w:hAnsi="Arial" w:cs="Arial"/>
                <w:b/>
                <w:sz w:val="24"/>
                <w:szCs w:val="24"/>
                <w:shd w:val="clear" w:color="auto" w:fill="FFFFFF"/>
                <w:lang w:val="en-US"/>
              </w:rPr>
              <w:t>Chinese Journal of Traumatology</w:t>
            </w:r>
            <w:r w:rsidRPr="000E71AC">
              <w:rPr>
                <w:rFonts w:ascii="Arial" w:hAnsi="Arial" w:cs="Arial"/>
                <w:sz w:val="24"/>
                <w:szCs w:val="24"/>
                <w:shd w:val="clear" w:color="auto" w:fill="FFFFFF"/>
                <w:lang w:val="en-US"/>
              </w:rPr>
              <w:t>, v. 21, n. 2, p. 88-95, Apr 2108.</w:t>
            </w:r>
          </w:p>
        </w:tc>
      </w:tr>
    </w:tbl>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spacing w:line="360" w:lineRule="auto"/>
        <w:rPr>
          <w:rFonts w:ascii="Arial" w:hAnsi="Arial" w:cs="Arial"/>
          <w:sz w:val="24"/>
          <w:szCs w:val="24"/>
          <w:lang w:val="en-US"/>
        </w:rPr>
      </w:pPr>
    </w:p>
    <w:p w:rsidR="000E71AC" w:rsidRPr="000E71AC" w:rsidRDefault="000E71AC" w:rsidP="000E71AC">
      <w:pPr>
        <w:rPr>
          <w:rFonts w:ascii="Arial" w:hAnsi="Arial" w:cs="Arial"/>
          <w:sz w:val="24"/>
          <w:szCs w:val="24"/>
          <w:lang w:val="en-US"/>
        </w:rPr>
      </w:pPr>
    </w:p>
    <w:p w:rsidR="000E71AC" w:rsidRPr="000E71AC" w:rsidRDefault="000E71AC" w:rsidP="000E71AC">
      <w:pPr>
        <w:rPr>
          <w:rFonts w:ascii="Arial" w:hAnsi="Arial" w:cs="Arial"/>
          <w:sz w:val="24"/>
          <w:szCs w:val="24"/>
          <w:lang w:val="en-US"/>
        </w:rPr>
      </w:pPr>
    </w:p>
    <w:p w:rsidR="000E71AC" w:rsidRPr="000E71AC" w:rsidRDefault="000E71AC" w:rsidP="000E71AC">
      <w:pPr>
        <w:rPr>
          <w:rFonts w:ascii="Arial" w:hAnsi="Arial" w:cs="Arial"/>
          <w:sz w:val="24"/>
          <w:szCs w:val="24"/>
          <w:lang w:val="en-US"/>
        </w:rPr>
      </w:pPr>
    </w:p>
    <w:p w:rsidR="000E71AC" w:rsidRPr="000E71AC" w:rsidRDefault="000E71AC" w:rsidP="000E71AC">
      <w:pPr>
        <w:rPr>
          <w:rFonts w:ascii="Arial" w:hAnsi="Arial" w:cs="Arial"/>
          <w:sz w:val="24"/>
          <w:szCs w:val="24"/>
          <w:lang w:val="en-US"/>
        </w:rPr>
      </w:pPr>
    </w:p>
    <w:p w:rsidR="000E71AC" w:rsidRPr="000E71AC" w:rsidRDefault="000E71AC" w:rsidP="000E71AC">
      <w:pPr>
        <w:spacing w:line="360" w:lineRule="auto"/>
        <w:jc w:val="both"/>
        <w:rPr>
          <w:rFonts w:ascii="Arial" w:eastAsia="Times New Roman" w:hAnsi="Arial" w:cs="Arial"/>
          <w:sz w:val="24"/>
          <w:szCs w:val="24"/>
          <w:lang w:val="en-US" w:eastAsia="pt-BR"/>
        </w:rPr>
      </w:pPr>
    </w:p>
    <w:p w:rsidR="000E71AC" w:rsidRPr="000E71AC" w:rsidRDefault="000E71AC" w:rsidP="000E71AC">
      <w:pPr>
        <w:spacing w:line="360" w:lineRule="auto"/>
        <w:jc w:val="both"/>
        <w:rPr>
          <w:rFonts w:ascii="Arial" w:eastAsia="Times New Roman" w:hAnsi="Arial" w:cs="Arial"/>
          <w:sz w:val="24"/>
          <w:szCs w:val="24"/>
          <w:lang w:val="en-US" w:eastAsia="pt-BR"/>
        </w:rPr>
      </w:pPr>
    </w:p>
    <w:p w:rsidR="000E71AC" w:rsidRPr="000E71AC" w:rsidRDefault="000E71AC" w:rsidP="000E71AC">
      <w:pPr>
        <w:spacing w:line="360" w:lineRule="auto"/>
        <w:jc w:val="both"/>
        <w:rPr>
          <w:rFonts w:ascii="Arial" w:eastAsia="Times New Roman" w:hAnsi="Arial" w:cs="Arial"/>
          <w:sz w:val="24"/>
          <w:szCs w:val="24"/>
          <w:lang w:val="en-US" w:eastAsia="pt-BR"/>
        </w:rPr>
      </w:pPr>
    </w:p>
    <w:p w:rsidR="000E71AC" w:rsidRPr="000E71AC" w:rsidRDefault="000E71AC" w:rsidP="000E71AC">
      <w:pPr>
        <w:spacing w:line="360" w:lineRule="auto"/>
        <w:jc w:val="both"/>
        <w:rPr>
          <w:rFonts w:ascii="Arial" w:hAnsi="Arial" w:cs="Arial"/>
          <w:sz w:val="24"/>
          <w:szCs w:val="24"/>
          <w:lang w:val="en-US"/>
        </w:rPr>
      </w:pPr>
    </w:p>
    <w:p w:rsidR="000E71AC" w:rsidRPr="000E71AC" w:rsidRDefault="000E71AC" w:rsidP="000E71AC">
      <w:pPr>
        <w:rPr>
          <w:rFonts w:ascii="Arial" w:hAnsi="Arial" w:cs="Arial"/>
          <w:sz w:val="28"/>
          <w:szCs w:val="28"/>
        </w:rPr>
      </w:pPr>
    </w:p>
    <w:sectPr w:rsidR="000E71AC" w:rsidRPr="000E71AC" w:rsidSect="006F3397">
      <w:headerReference w:type="default" r:id="rId32"/>
      <w:pgSz w:w="11906" w:h="16838"/>
      <w:pgMar w:top="1417" w:right="1701" w:bottom="1417" w:left="1701" w:header="1134"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66F" w:rsidRDefault="009F466F">
      <w:pPr>
        <w:spacing w:after="0" w:line="240" w:lineRule="auto"/>
      </w:pPr>
      <w:r>
        <w:separator/>
      </w:r>
    </w:p>
  </w:endnote>
  <w:endnote w:type="continuationSeparator" w:id="0">
    <w:p w:rsidR="009F466F" w:rsidRDefault="009F4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66F" w:rsidRDefault="009F466F">
      <w:pPr>
        <w:spacing w:after="0" w:line="240" w:lineRule="auto"/>
      </w:pPr>
      <w:r>
        <w:separator/>
      </w:r>
    </w:p>
  </w:footnote>
  <w:footnote w:type="continuationSeparator" w:id="0">
    <w:p w:rsidR="009F466F" w:rsidRDefault="009F4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1AC" w:rsidRPr="00AB35D1" w:rsidRDefault="000E71AC">
    <w:pPr>
      <w:pStyle w:val="Cabealho"/>
      <w:jc w:val="right"/>
      <w:rPr>
        <w:rFonts w:ascii="Arial" w:hAnsi="Arial" w:cs="Arial"/>
        <w:sz w:val="20"/>
        <w:szCs w:val="20"/>
      </w:rPr>
    </w:pPr>
  </w:p>
  <w:p w:rsidR="000E71AC" w:rsidRDefault="000E71A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578341"/>
      <w:docPartObj>
        <w:docPartGallery w:val="Page Numbers (Top of Page)"/>
        <w:docPartUnique/>
      </w:docPartObj>
    </w:sdtPr>
    <w:sdtContent>
      <w:p w:rsidR="006F3397" w:rsidRDefault="006F3397">
        <w:pPr>
          <w:pStyle w:val="Cabealho"/>
          <w:jc w:val="right"/>
        </w:pPr>
        <w:r>
          <w:fldChar w:fldCharType="begin"/>
        </w:r>
        <w:r>
          <w:instrText>PAGE   \* MERGEFORMAT</w:instrText>
        </w:r>
        <w:r>
          <w:fldChar w:fldCharType="separate"/>
        </w:r>
        <w:r>
          <w:t>20</w:t>
        </w:r>
        <w:r>
          <w:fldChar w:fldCharType="end"/>
        </w:r>
      </w:p>
    </w:sdtContent>
  </w:sdt>
  <w:p w:rsidR="00C844B4" w:rsidRDefault="00C844B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0DA8"/>
    <w:multiLevelType w:val="multilevel"/>
    <w:tmpl w:val="2E8E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7E48F5"/>
    <w:multiLevelType w:val="multilevel"/>
    <w:tmpl w:val="2DEE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B2775"/>
    <w:multiLevelType w:val="multilevel"/>
    <w:tmpl w:val="D1EC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5C0FBA"/>
    <w:multiLevelType w:val="multilevel"/>
    <w:tmpl w:val="EB1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B4A30"/>
    <w:multiLevelType w:val="multilevel"/>
    <w:tmpl w:val="9414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EE2DB9"/>
    <w:multiLevelType w:val="multilevel"/>
    <w:tmpl w:val="B546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D1B7D"/>
    <w:multiLevelType w:val="multilevel"/>
    <w:tmpl w:val="90F8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D2027"/>
    <w:multiLevelType w:val="multilevel"/>
    <w:tmpl w:val="492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C62E04"/>
    <w:multiLevelType w:val="multilevel"/>
    <w:tmpl w:val="204C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18742C"/>
    <w:multiLevelType w:val="multilevel"/>
    <w:tmpl w:val="3932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152440"/>
    <w:multiLevelType w:val="multilevel"/>
    <w:tmpl w:val="EAC8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0B4EA1"/>
    <w:multiLevelType w:val="multilevel"/>
    <w:tmpl w:val="755E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200B41"/>
    <w:multiLevelType w:val="multilevel"/>
    <w:tmpl w:val="C702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497D5A"/>
    <w:multiLevelType w:val="hybridMultilevel"/>
    <w:tmpl w:val="6040D9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FE4674B"/>
    <w:multiLevelType w:val="multilevel"/>
    <w:tmpl w:val="C61A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0F51DA"/>
    <w:multiLevelType w:val="multilevel"/>
    <w:tmpl w:val="A64A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777224"/>
    <w:multiLevelType w:val="multilevel"/>
    <w:tmpl w:val="5868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E76519"/>
    <w:multiLevelType w:val="hybridMultilevel"/>
    <w:tmpl w:val="897858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47A44B6"/>
    <w:multiLevelType w:val="multilevel"/>
    <w:tmpl w:val="9ECC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8717CD"/>
    <w:multiLevelType w:val="multilevel"/>
    <w:tmpl w:val="A1C6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1D4BCF"/>
    <w:multiLevelType w:val="multilevel"/>
    <w:tmpl w:val="0A74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13"/>
  </w:num>
  <w:num w:numId="4">
    <w:abstractNumId w:val="20"/>
  </w:num>
  <w:num w:numId="5">
    <w:abstractNumId w:val="11"/>
  </w:num>
  <w:num w:numId="6">
    <w:abstractNumId w:val="6"/>
  </w:num>
  <w:num w:numId="7">
    <w:abstractNumId w:val="15"/>
  </w:num>
  <w:num w:numId="8">
    <w:abstractNumId w:val="3"/>
  </w:num>
  <w:num w:numId="9">
    <w:abstractNumId w:val="1"/>
  </w:num>
  <w:num w:numId="10">
    <w:abstractNumId w:val="9"/>
  </w:num>
  <w:num w:numId="11">
    <w:abstractNumId w:val="8"/>
  </w:num>
  <w:num w:numId="12">
    <w:abstractNumId w:val="4"/>
  </w:num>
  <w:num w:numId="13">
    <w:abstractNumId w:val="2"/>
  </w:num>
  <w:num w:numId="14">
    <w:abstractNumId w:val="0"/>
  </w:num>
  <w:num w:numId="15">
    <w:abstractNumId w:val="16"/>
  </w:num>
  <w:num w:numId="16">
    <w:abstractNumId w:val="18"/>
  </w:num>
  <w:num w:numId="17">
    <w:abstractNumId w:val="14"/>
  </w:num>
  <w:num w:numId="18">
    <w:abstractNumId w:val="19"/>
  </w:num>
  <w:num w:numId="19">
    <w:abstractNumId w:val="5"/>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AC"/>
    <w:rsid w:val="000E71AC"/>
    <w:rsid w:val="001C3162"/>
    <w:rsid w:val="00586030"/>
    <w:rsid w:val="006F3397"/>
    <w:rsid w:val="009F466F"/>
    <w:rsid w:val="00C844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F691C6-3CCD-4125-B66A-F2277A10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1AC"/>
    <w:rPr>
      <w:noProof/>
    </w:rPr>
  </w:style>
  <w:style w:type="paragraph" w:styleId="Ttulo1">
    <w:name w:val="heading 1"/>
    <w:basedOn w:val="Normal"/>
    <w:next w:val="Normal"/>
    <w:link w:val="Ttulo1Char"/>
    <w:uiPriority w:val="9"/>
    <w:qFormat/>
    <w:rsid w:val="000E71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unhideWhenUsed/>
    <w:qFormat/>
    <w:rsid w:val="000E71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E71AC"/>
    <w:rPr>
      <w:rFonts w:asciiTheme="majorHAnsi" w:eastAsiaTheme="majorEastAsia" w:hAnsiTheme="majorHAnsi" w:cstheme="majorBidi"/>
      <w:noProof/>
      <w:color w:val="2E74B5" w:themeColor="accent1" w:themeShade="BF"/>
      <w:sz w:val="32"/>
      <w:szCs w:val="32"/>
    </w:rPr>
  </w:style>
  <w:style w:type="character" w:customStyle="1" w:styleId="Ttulo3Char">
    <w:name w:val="Título 3 Char"/>
    <w:basedOn w:val="Fontepargpadro"/>
    <w:link w:val="Ttulo3"/>
    <w:uiPriority w:val="9"/>
    <w:rsid w:val="000E71AC"/>
    <w:rPr>
      <w:rFonts w:asciiTheme="majorHAnsi" w:eastAsiaTheme="majorEastAsia" w:hAnsiTheme="majorHAnsi" w:cstheme="majorBidi"/>
      <w:noProof/>
      <w:color w:val="1F4D78" w:themeColor="accent1" w:themeShade="7F"/>
      <w:sz w:val="24"/>
      <w:szCs w:val="24"/>
    </w:rPr>
  </w:style>
  <w:style w:type="table" w:customStyle="1" w:styleId="Tabelacomgrade1">
    <w:name w:val="Tabela com grade1"/>
    <w:basedOn w:val="Tabelanormal"/>
    <w:next w:val="Tabelacomgrade"/>
    <w:uiPriority w:val="59"/>
    <w:rsid w:val="000E7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
    <w:name w:val="Table Grid"/>
    <w:basedOn w:val="Tabelanormal"/>
    <w:uiPriority w:val="39"/>
    <w:rsid w:val="000E7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E71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71AC"/>
    <w:rPr>
      <w:noProof/>
    </w:rPr>
  </w:style>
  <w:style w:type="paragraph" w:styleId="Pr-formataoHTML">
    <w:name w:val="HTML Preformatted"/>
    <w:basedOn w:val="Normal"/>
    <w:link w:val="Pr-formataoHTMLChar"/>
    <w:uiPriority w:val="99"/>
    <w:unhideWhenUsed/>
    <w:rsid w:val="000E71AC"/>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0E71AC"/>
    <w:rPr>
      <w:rFonts w:ascii="Consolas" w:hAnsi="Consolas"/>
      <w:noProof/>
      <w:sz w:val="20"/>
      <w:szCs w:val="20"/>
    </w:rPr>
  </w:style>
  <w:style w:type="character" w:styleId="Refdecomentrio">
    <w:name w:val="annotation reference"/>
    <w:basedOn w:val="Fontepargpadro"/>
    <w:uiPriority w:val="99"/>
    <w:semiHidden/>
    <w:unhideWhenUsed/>
    <w:rsid w:val="000E71AC"/>
    <w:rPr>
      <w:sz w:val="16"/>
      <w:szCs w:val="16"/>
    </w:rPr>
  </w:style>
  <w:style w:type="paragraph" w:styleId="Textodecomentrio">
    <w:name w:val="annotation text"/>
    <w:basedOn w:val="Normal"/>
    <w:link w:val="TextodecomentrioChar"/>
    <w:uiPriority w:val="99"/>
    <w:unhideWhenUsed/>
    <w:rsid w:val="000E71AC"/>
    <w:pPr>
      <w:spacing w:line="240" w:lineRule="auto"/>
    </w:pPr>
    <w:rPr>
      <w:sz w:val="20"/>
      <w:szCs w:val="20"/>
    </w:rPr>
  </w:style>
  <w:style w:type="character" w:customStyle="1" w:styleId="TextodecomentrioChar">
    <w:name w:val="Texto de comentário Char"/>
    <w:basedOn w:val="Fontepargpadro"/>
    <w:link w:val="Textodecomentrio"/>
    <w:uiPriority w:val="99"/>
    <w:rsid w:val="000E71AC"/>
    <w:rPr>
      <w:noProof/>
      <w:sz w:val="20"/>
      <w:szCs w:val="20"/>
    </w:rPr>
  </w:style>
  <w:style w:type="character" w:customStyle="1" w:styleId="TextodebaloChar">
    <w:name w:val="Texto de balão Char"/>
    <w:basedOn w:val="Fontepargpadro"/>
    <w:link w:val="Textodebalo"/>
    <w:uiPriority w:val="99"/>
    <w:semiHidden/>
    <w:rsid w:val="000E71AC"/>
    <w:rPr>
      <w:rFonts w:ascii="Segoe UI" w:hAnsi="Segoe UI" w:cs="Segoe UI"/>
      <w:noProof/>
      <w:sz w:val="18"/>
      <w:szCs w:val="18"/>
    </w:rPr>
  </w:style>
  <w:style w:type="paragraph" w:styleId="Textodebalo">
    <w:name w:val="Balloon Text"/>
    <w:basedOn w:val="Normal"/>
    <w:link w:val="TextodebaloChar"/>
    <w:uiPriority w:val="99"/>
    <w:semiHidden/>
    <w:unhideWhenUsed/>
    <w:rsid w:val="000E71AC"/>
    <w:pPr>
      <w:spacing w:after="0" w:line="240" w:lineRule="auto"/>
    </w:pPr>
    <w:rPr>
      <w:rFonts w:ascii="Segoe UI" w:hAnsi="Segoe UI" w:cs="Segoe UI"/>
      <w:sz w:val="18"/>
      <w:szCs w:val="18"/>
    </w:rPr>
  </w:style>
  <w:style w:type="character" w:styleId="Hyperlink">
    <w:name w:val="Hyperlink"/>
    <w:basedOn w:val="Fontepargpadro"/>
    <w:uiPriority w:val="99"/>
    <w:unhideWhenUsed/>
    <w:rsid w:val="000E71AC"/>
    <w:rPr>
      <w:color w:val="0000FF"/>
      <w:u w:val="single"/>
    </w:rPr>
  </w:style>
  <w:style w:type="paragraph" w:styleId="Assuntodocomentrio">
    <w:name w:val="annotation subject"/>
    <w:basedOn w:val="Textodecomentrio"/>
    <w:next w:val="Textodecomentrio"/>
    <w:link w:val="AssuntodocomentrioChar"/>
    <w:uiPriority w:val="99"/>
    <w:semiHidden/>
    <w:unhideWhenUsed/>
    <w:rsid w:val="000E71AC"/>
    <w:rPr>
      <w:b/>
      <w:bCs/>
    </w:rPr>
  </w:style>
  <w:style w:type="character" w:customStyle="1" w:styleId="AssuntodocomentrioChar">
    <w:name w:val="Assunto do comentário Char"/>
    <w:basedOn w:val="TextodecomentrioChar"/>
    <w:link w:val="Assuntodocomentrio"/>
    <w:uiPriority w:val="99"/>
    <w:semiHidden/>
    <w:rsid w:val="000E71AC"/>
    <w:rPr>
      <w:b/>
      <w:bCs/>
      <w:noProof/>
      <w:sz w:val="20"/>
      <w:szCs w:val="20"/>
    </w:rPr>
  </w:style>
  <w:style w:type="paragraph" w:styleId="PargrafodaLista">
    <w:name w:val="List Paragraph"/>
    <w:basedOn w:val="Normal"/>
    <w:uiPriority w:val="34"/>
    <w:qFormat/>
    <w:rsid w:val="000E71AC"/>
    <w:pPr>
      <w:ind w:left="720"/>
      <w:contextualSpacing/>
    </w:pPr>
  </w:style>
  <w:style w:type="character" w:customStyle="1" w:styleId="ref-title">
    <w:name w:val="ref-title"/>
    <w:basedOn w:val="Fontepargpadro"/>
    <w:rsid w:val="000E71AC"/>
  </w:style>
  <w:style w:type="character" w:customStyle="1" w:styleId="ref-journal">
    <w:name w:val="ref-journal"/>
    <w:basedOn w:val="Fontepargpadro"/>
    <w:rsid w:val="000E71AC"/>
  </w:style>
  <w:style w:type="character" w:customStyle="1" w:styleId="ref-vol">
    <w:name w:val="ref-vol"/>
    <w:basedOn w:val="Fontepargpadro"/>
    <w:rsid w:val="000E71AC"/>
  </w:style>
  <w:style w:type="paragraph" w:customStyle="1" w:styleId="aaaaaaa">
    <w:name w:val="_____aaaaaaa"/>
    <w:basedOn w:val="Normal"/>
    <w:rsid w:val="000E71AC"/>
    <w:pPr>
      <w:spacing w:before="60" w:after="0" w:line="360" w:lineRule="auto"/>
      <w:ind w:firstLine="709"/>
      <w:jc w:val="both"/>
    </w:pPr>
    <w:rPr>
      <w:rFonts w:ascii="Times New Roman" w:eastAsia="Times New Roman" w:hAnsi="Times New Roman" w:cs="Times New Roman"/>
      <w:snapToGrid w:val="0"/>
      <w:color w:val="FF6600"/>
      <w:sz w:val="24"/>
      <w:szCs w:val="24"/>
      <w:lang w:eastAsia="pt-BR"/>
    </w:rPr>
  </w:style>
  <w:style w:type="paragraph" w:customStyle="1" w:styleId="COcorpodotexto">
    <w:name w:val="CO_corpo do texto"/>
    <w:basedOn w:val="Normal"/>
    <w:qFormat/>
    <w:rsid w:val="000E71AC"/>
    <w:pPr>
      <w:spacing w:after="0" w:line="360" w:lineRule="auto"/>
      <w:ind w:firstLine="709"/>
      <w:contextualSpacing/>
      <w:jc w:val="both"/>
    </w:pPr>
    <w:rPr>
      <w:rFonts w:ascii="Times New Roman" w:eastAsia="MS Mincho" w:hAnsi="Times New Roman" w:cs="Times New Roman"/>
      <w:noProof w:val="0"/>
      <w:sz w:val="24"/>
      <w:szCs w:val="24"/>
    </w:rPr>
  </w:style>
  <w:style w:type="paragraph" w:styleId="Rodap">
    <w:name w:val="footer"/>
    <w:basedOn w:val="Normal"/>
    <w:link w:val="RodapChar"/>
    <w:uiPriority w:val="99"/>
    <w:unhideWhenUsed/>
    <w:rsid w:val="000E71AC"/>
    <w:pPr>
      <w:tabs>
        <w:tab w:val="center" w:pos="4252"/>
        <w:tab w:val="right" w:pos="8504"/>
      </w:tabs>
      <w:spacing w:after="0" w:line="240" w:lineRule="auto"/>
    </w:pPr>
  </w:style>
  <w:style w:type="character" w:customStyle="1" w:styleId="RodapChar">
    <w:name w:val="Rodapé Char"/>
    <w:basedOn w:val="Fontepargpadro"/>
    <w:link w:val="Rodap"/>
    <w:uiPriority w:val="99"/>
    <w:rsid w:val="000E71AC"/>
    <w:rPr>
      <w:noProof/>
    </w:rPr>
  </w:style>
  <w:style w:type="character" w:styleId="Forte">
    <w:name w:val="Strong"/>
    <w:basedOn w:val="Fontepargpadro"/>
    <w:uiPriority w:val="22"/>
    <w:qFormat/>
    <w:rsid w:val="000E71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conselho.saude.gov.br/" TargetMode="External"/><Relationship Id="rId26" Type="http://schemas.openxmlformats.org/officeDocument/2006/relationships/hyperlink" Target="https://www.ncbi.nlm.nih.gov/pubmed/?term=Special+nutrition+intervention+is+required+for+muscle+protective+efficacy+of+physical+exercise+in+elderly+people+at+highest+risk+of+sarcopenia." TargetMode="External"/><Relationship Id="rId3" Type="http://schemas.openxmlformats.org/officeDocument/2006/relationships/styles" Target="styles.xml"/><Relationship Id="rId21" Type="http://schemas.openxmlformats.org/officeDocument/2006/relationships/hyperlink" Target="https://www.ncbi.nlm.nih.gov/pubmed/26346071"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www.ncbi.nlm.nih.gov/pubmed/27809450" TargetMode="External"/><Relationship Id="rId25" Type="http://schemas.openxmlformats.org/officeDocument/2006/relationships/hyperlink" Target="https://www.ncbi.nlm.nih.gov/pubmed/?term=Moln%C3%A1r%20A%5BAuthor%5D&amp;cauthor=true&amp;cauthor_uid=2822964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ez83.periodicos.capes.gov.br/pmc/articles/PMC4589960/" TargetMode="External"/><Relationship Id="rId20" Type="http://schemas.openxmlformats.org/officeDocument/2006/relationships/hyperlink" Target="https://www.ncbi.nlm.nih.gov/pubmed/?term=Vitamin+D+supplementation+and+muscle+strength+in+pre-sarcopenic+elderly+Lebanese+people%3A+a+randomized+controlled+trial" TargetMode="External"/><Relationship Id="rId29" Type="http://schemas.openxmlformats.org/officeDocument/2006/relationships/hyperlink" Target="https://www.ncbi.nlm.nih.gov/pubmed/?term=Verreijen%20AM%5BAuthor%5D&amp;cauthor=true&amp;cauthor_uid=256463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sbgg-sp.com.br/senescencia-e-senilidade-qual-a-diferenca/" TargetMode="External"/><Relationship Id="rId32" Type="http://schemas.openxmlformats.org/officeDocument/2006/relationships/header" Target="head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s://www.ibge.gov.br/%20" TargetMode="External"/><Relationship Id="rId28" Type="http://schemas.openxmlformats.org/officeDocument/2006/relationships/hyperlink" Target="https://www-ncbi-nlm-nih.ez83.periodicos.capes.gov.br/pmc/articles/PMC3342151/" TargetMode="External"/><Relationship Id="rId10" Type="http://schemas.openxmlformats.org/officeDocument/2006/relationships/header" Target="header1.xml"/><Relationship Id="rId19" Type="http://schemas.openxmlformats.org/officeDocument/2006/relationships/hyperlink" Target="https://www.ncbi.nlm.nih.gov/pubmed/27353257" TargetMode="External"/><Relationship Id="rId31" Type="http://schemas.openxmlformats.org/officeDocument/2006/relationships/hyperlink" Target="http://www.who.int/features/factfiles/ageing/e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hyperlink" Target="https://training.cochrane.org/handbook/current/chapter-08" TargetMode="External"/><Relationship Id="rId27" Type="http://schemas.openxmlformats.org/officeDocument/2006/relationships/hyperlink" Target="https://www.paho.org/pt/brasil/sobre-opasoms-brasil" TargetMode="External"/><Relationship Id="rId30" Type="http://schemas.openxmlformats.org/officeDocument/2006/relationships/hyperlink" Target="https://www.ncbi.nlm.nih.gov/pubmed/?term=A+high+whey+protein-%2C+leucine-%2C+and+vitamin+D-enriched+supplement+preserves+muscle+mass+during+intentional+weight+loss+in+obese+older+adults%3A+a+double-blind+randomized+controlled+trial" TargetMode="External"/><Relationship Id="rId35" Type="http://schemas.openxmlformats.org/officeDocument/2006/relationships/theme" Target="theme/theme1.xml"/><Relationship Id="rId8" Type="http://schemas.openxmlformats.org/officeDocument/2006/relationships/hyperlink" Target="http://www.google.com.br/url?sa=i&amp;rct=j&amp;q=&amp;esrc=s&amp;source=images&amp;cd=&amp;cad=rja&amp;uact=8&amp;ved=0CAcQjRxqFQoTCJeU752ikskCFQV-kAod0uQGag&amp;url=http://www.uerj.br/institucional/&amp;psig=AFQjCNEvyRZsvflIxyZRadLtDHfKDHZYQg&amp;ust=144767136552774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8B96DA-7B9D-44BA-8099-A66F4A16667F}"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pt-BR"/>
        </a:p>
      </dgm:t>
    </dgm:pt>
    <dgm:pt modelId="{08027B7F-A237-495C-B8A9-9DCA0FB79DEB}">
      <dgm:prSet phldrT="[Texto]" custT="1"/>
      <dgm:spPr>
        <a:xfrm rot="5400000">
          <a:off x="-164466" y="166673"/>
          <a:ext cx="1096442" cy="767509"/>
        </a:xfrm>
        <a:solidFill>
          <a:srgbClr val="E7E6E6">
            <a:lumMod val="90000"/>
          </a:srgbClr>
        </a:solidFill>
        <a:ln w="12700" cap="flat" cmpd="sng" algn="ctr">
          <a:solidFill>
            <a:srgbClr val="E7E6E6">
              <a:lumMod val="90000"/>
            </a:srgbClr>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1</a:t>
          </a:r>
          <a:r>
            <a:rPr lang="pt-BR" sz="1200" baseline="30000">
              <a:solidFill>
                <a:sysClr val="windowText" lastClr="000000"/>
              </a:solidFill>
              <a:latin typeface="Arial" panose="020B0604020202020204" pitchFamily="34" charset="0"/>
              <a:ea typeface="+mn-ea"/>
              <a:cs typeface="Arial" panose="020B0604020202020204" pitchFamily="34" charset="0"/>
            </a:rPr>
            <a:t>a</a:t>
          </a:r>
          <a:r>
            <a:rPr lang="pt-BR" sz="1200">
              <a:solidFill>
                <a:sysClr val="windowText" lastClr="000000"/>
              </a:solidFill>
              <a:latin typeface="Arial" panose="020B0604020202020204" pitchFamily="34" charset="0"/>
              <a:ea typeface="+mn-ea"/>
              <a:cs typeface="Arial" panose="020B0604020202020204" pitchFamily="34" charset="0"/>
            </a:rPr>
            <a:t> visita</a:t>
          </a:r>
        </a:p>
        <a:p>
          <a:r>
            <a:rPr lang="pt-BR" sz="1000">
              <a:solidFill>
                <a:sysClr val="windowText" lastClr="000000"/>
              </a:solidFill>
              <a:latin typeface="Arial" panose="020B0604020202020204" pitchFamily="34" charset="0"/>
              <a:ea typeface="+mn-ea"/>
              <a:cs typeface="Arial" panose="020B0604020202020204" pitchFamily="34" charset="0"/>
            </a:rPr>
            <a:t>Pré-Testes</a:t>
          </a:r>
        </a:p>
      </dgm:t>
    </dgm:pt>
    <dgm:pt modelId="{2127FACE-59B3-4939-91D8-75771A71E406}" type="parTrans" cxnId="{20D70BA4-9E82-4434-8052-4318B466786E}">
      <dgm:prSet/>
      <dgm:spPr/>
      <dgm:t>
        <a:bodyPr/>
        <a:lstStyle/>
        <a:p>
          <a:endParaRPr lang="pt-BR"/>
        </a:p>
      </dgm:t>
    </dgm:pt>
    <dgm:pt modelId="{55017A6C-B77C-4A51-8BF4-078A41D20470}" type="sibTrans" cxnId="{20D70BA4-9E82-4434-8052-4318B466786E}">
      <dgm:prSet/>
      <dgm:spPr/>
      <dgm:t>
        <a:bodyPr/>
        <a:lstStyle/>
        <a:p>
          <a:endParaRPr lang="pt-BR"/>
        </a:p>
      </dgm:t>
    </dgm:pt>
    <dgm:pt modelId="{7140F461-8C2B-4F1A-993D-3C87E8E2DC97}">
      <dgm:prSet phldrT="[Texto]" custT="1"/>
      <dgm:spPr>
        <a:xfrm rot="5400000">
          <a:off x="2822811" y="-1985467"/>
          <a:ext cx="713062"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Coleta de amostra sanguínea</a:t>
          </a:r>
          <a:endParaRPr lang="pt-BR" sz="1200" strike="sngStrike">
            <a:solidFill>
              <a:sysClr val="windowText" lastClr="000000"/>
            </a:solidFill>
            <a:latin typeface="Arial" panose="020B0604020202020204" pitchFamily="34" charset="0"/>
            <a:ea typeface="+mn-ea"/>
            <a:cs typeface="Arial" panose="020B0604020202020204" pitchFamily="34" charset="0"/>
          </a:endParaRPr>
        </a:p>
      </dgm:t>
    </dgm:pt>
    <dgm:pt modelId="{E5067E85-9F53-4E06-AE1C-3826A5A5DBCF}" type="parTrans" cxnId="{B911862D-AAD0-4DF0-89A6-5FCE9615D850}">
      <dgm:prSet/>
      <dgm:spPr/>
      <dgm:t>
        <a:bodyPr/>
        <a:lstStyle/>
        <a:p>
          <a:endParaRPr lang="pt-BR"/>
        </a:p>
      </dgm:t>
    </dgm:pt>
    <dgm:pt modelId="{72852E39-9B62-450C-97CE-24FF316C304F}" type="sibTrans" cxnId="{B911862D-AAD0-4DF0-89A6-5FCE9615D850}">
      <dgm:prSet/>
      <dgm:spPr/>
      <dgm:t>
        <a:bodyPr/>
        <a:lstStyle/>
        <a:p>
          <a:endParaRPr lang="pt-BR"/>
        </a:p>
      </dgm:t>
    </dgm:pt>
    <dgm:pt modelId="{A5A465F0-2C76-45C7-8AB0-113496B25CC0}">
      <dgm:prSet phldrT="[Texto]" custT="1"/>
      <dgm:spPr>
        <a:xfrm rot="5400000">
          <a:off x="2822811" y="-1985467"/>
          <a:ext cx="713062"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Testes de força de membros superiores e inferiores.</a:t>
          </a:r>
        </a:p>
      </dgm:t>
    </dgm:pt>
    <dgm:pt modelId="{73151AF9-E2AC-41AC-AED7-4F3ACCD802E9}" type="parTrans" cxnId="{153D73D6-6C70-4C89-AFD6-9658D979EE6C}">
      <dgm:prSet/>
      <dgm:spPr/>
      <dgm:t>
        <a:bodyPr/>
        <a:lstStyle/>
        <a:p>
          <a:endParaRPr lang="pt-BR"/>
        </a:p>
      </dgm:t>
    </dgm:pt>
    <dgm:pt modelId="{653ACF5B-F1CF-4A17-9327-5A189E3A1232}" type="sibTrans" cxnId="{153D73D6-6C70-4C89-AFD6-9658D979EE6C}">
      <dgm:prSet/>
      <dgm:spPr/>
      <dgm:t>
        <a:bodyPr/>
        <a:lstStyle/>
        <a:p>
          <a:endParaRPr lang="pt-BR"/>
        </a:p>
      </dgm:t>
    </dgm:pt>
    <dgm:pt modelId="{4895C0FB-D34F-4FA3-A163-A71DF654597A}">
      <dgm:prSet phldrT="[Texto]" custT="1"/>
      <dgm:spPr>
        <a:xfrm rot="5400000">
          <a:off x="-164466" y="956261"/>
          <a:ext cx="1096442" cy="767509"/>
        </a:xfrm>
        <a:solidFill>
          <a:srgbClr val="E7E6E6">
            <a:lumMod val="90000"/>
          </a:srgbClr>
        </a:solidFill>
        <a:ln w="12700" cap="flat" cmpd="sng" algn="ctr">
          <a:solidFill>
            <a:srgbClr val="E7E6E6">
              <a:lumMod val="90000"/>
            </a:srgbClr>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2</a:t>
          </a:r>
          <a:r>
            <a:rPr lang="pt-BR" sz="1200" baseline="30000">
              <a:solidFill>
                <a:sysClr val="windowText" lastClr="000000"/>
              </a:solidFill>
              <a:latin typeface="Arial" panose="020B0604020202020204" pitchFamily="34" charset="0"/>
              <a:ea typeface="+mn-ea"/>
              <a:cs typeface="Arial" panose="020B0604020202020204" pitchFamily="34" charset="0"/>
            </a:rPr>
            <a:t>a </a:t>
          </a:r>
          <a:r>
            <a:rPr lang="pt-BR" sz="1200">
              <a:solidFill>
                <a:sysClr val="windowText" lastClr="000000"/>
              </a:solidFill>
              <a:latin typeface="Arial" panose="020B0604020202020204" pitchFamily="34" charset="0"/>
              <a:ea typeface="+mn-ea"/>
              <a:cs typeface="Arial" panose="020B0604020202020204" pitchFamily="34" charset="0"/>
            </a:rPr>
            <a:t>visita</a:t>
          </a:r>
        </a:p>
      </dgm:t>
    </dgm:pt>
    <dgm:pt modelId="{EA25DDB3-B207-4AE9-8804-82B0B99C4756}" type="parTrans" cxnId="{C789CCD2-C52F-4A94-8473-E3F33F9EACBE}">
      <dgm:prSet/>
      <dgm:spPr/>
      <dgm:t>
        <a:bodyPr/>
        <a:lstStyle/>
        <a:p>
          <a:endParaRPr lang="pt-BR"/>
        </a:p>
      </dgm:t>
    </dgm:pt>
    <dgm:pt modelId="{7EC151D2-40DB-4B54-8819-E4128157F256}" type="sibTrans" cxnId="{C789CCD2-C52F-4A94-8473-E3F33F9EACBE}">
      <dgm:prSet/>
      <dgm:spPr/>
      <dgm:t>
        <a:bodyPr/>
        <a:lstStyle/>
        <a:p>
          <a:endParaRPr lang="pt-BR"/>
        </a:p>
      </dgm:t>
    </dgm:pt>
    <dgm:pt modelId="{2E58E3BB-7828-45E5-AEE7-5D091DCF6331}">
      <dgm:prSet phldrT="[Texto]" custT="1"/>
      <dgm:spPr>
        <a:xfrm rot="5400000">
          <a:off x="2822998" y="-1105783"/>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Determinação da carga do treinamento resistido </a:t>
          </a:r>
        </a:p>
      </dgm:t>
    </dgm:pt>
    <dgm:pt modelId="{3CCE4E58-C523-4B76-9724-D369116F9693}" type="parTrans" cxnId="{E944D8CE-A2EE-4E76-8C0D-34443FB77D37}">
      <dgm:prSet/>
      <dgm:spPr/>
      <dgm:t>
        <a:bodyPr/>
        <a:lstStyle/>
        <a:p>
          <a:endParaRPr lang="pt-BR"/>
        </a:p>
      </dgm:t>
    </dgm:pt>
    <dgm:pt modelId="{F295DAE8-7266-4BFD-925A-5C927285CDBF}" type="sibTrans" cxnId="{E944D8CE-A2EE-4E76-8C0D-34443FB77D37}">
      <dgm:prSet/>
      <dgm:spPr/>
      <dgm:t>
        <a:bodyPr/>
        <a:lstStyle/>
        <a:p>
          <a:endParaRPr lang="pt-BR"/>
        </a:p>
      </dgm:t>
    </dgm:pt>
    <dgm:pt modelId="{EA550CBD-9A94-4E95-91E6-E36EB8118F8F}">
      <dgm:prSet phldrT="[Texto]"/>
      <dgm:spPr>
        <a:xfrm rot="5400000">
          <a:off x="-164466" y="1866206"/>
          <a:ext cx="1096442" cy="767509"/>
        </a:xfrm>
        <a:solidFill>
          <a:srgbClr val="E7E6E6">
            <a:lumMod val="90000"/>
          </a:srgbClr>
        </a:solidFill>
        <a:ln w="12700" cap="flat" cmpd="sng" algn="ctr">
          <a:solidFill>
            <a:srgbClr val="E7E6E6">
              <a:lumMod val="90000"/>
            </a:srgbClr>
          </a:solidFill>
          <a:prstDash val="solid"/>
          <a:miter lim="800000"/>
        </a:ln>
        <a:effectLst/>
      </dgm:spPr>
      <dgm:t>
        <a:bodyPr/>
        <a:lstStyle/>
        <a:p>
          <a:r>
            <a:rPr lang="pt-BR">
              <a:solidFill>
                <a:sysClr val="windowText" lastClr="000000"/>
              </a:solidFill>
              <a:latin typeface="Arial" panose="020B0604020202020204" pitchFamily="34" charset="0"/>
              <a:ea typeface="+mn-ea"/>
              <a:cs typeface="Arial" panose="020B0604020202020204" pitchFamily="34" charset="0"/>
            </a:rPr>
            <a:t>Intervenção</a:t>
          </a:r>
        </a:p>
      </dgm:t>
    </dgm:pt>
    <dgm:pt modelId="{E76E8834-16A9-4776-941A-317AE949A7A8}" type="parTrans" cxnId="{B8DB5588-F300-4EDE-BE9E-54EB0875E7C2}">
      <dgm:prSet/>
      <dgm:spPr/>
      <dgm:t>
        <a:bodyPr/>
        <a:lstStyle/>
        <a:p>
          <a:endParaRPr lang="pt-BR"/>
        </a:p>
      </dgm:t>
    </dgm:pt>
    <dgm:pt modelId="{1680B0FD-B477-4EF4-A016-AFD25B723454}" type="sibTrans" cxnId="{B8DB5588-F300-4EDE-BE9E-54EB0875E7C2}">
      <dgm:prSet/>
      <dgm:spPr/>
      <dgm:t>
        <a:bodyPr/>
        <a:lstStyle/>
        <a:p>
          <a:endParaRPr lang="pt-BR"/>
        </a:p>
      </dgm:t>
    </dgm:pt>
    <dgm:pt modelId="{7BA0057C-BB4C-4B91-B6B8-0B7F88BA430F}">
      <dgm:prSet phldrT="[Texto]" custT="1"/>
      <dgm:spPr>
        <a:xfrm rot="5400000">
          <a:off x="2822998" y="-150774"/>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2 semanas de adaptação</a:t>
          </a:r>
        </a:p>
      </dgm:t>
    </dgm:pt>
    <dgm:pt modelId="{BB9B2FBF-C054-4FC8-BF73-23E1DA827E79}" type="parTrans" cxnId="{BBCDADDD-AF23-4244-85C5-A55FAAB01AFB}">
      <dgm:prSet/>
      <dgm:spPr/>
      <dgm:t>
        <a:bodyPr/>
        <a:lstStyle/>
        <a:p>
          <a:endParaRPr lang="pt-BR"/>
        </a:p>
      </dgm:t>
    </dgm:pt>
    <dgm:pt modelId="{22EC5C40-F921-4F02-8CAE-3C0B08982B1D}" type="sibTrans" cxnId="{BBCDADDD-AF23-4244-85C5-A55FAAB01AFB}">
      <dgm:prSet/>
      <dgm:spPr/>
      <dgm:t>
        <a:bodyPr/>
        <a:lstStyle/>
        <a:p>
          <a:endParaRPr lang="pt-BR"/>
        </a:p>
      </dgm:t>
    </dgm:pt>
    <dgm:pt modelId="{290DBA76-0E9F-42AA-8552-1F651875BDFF}">
      <dgm:prSet custT="1"/>
      <dgm:spPr>
        <a:xfrm rot="5400000">
          <a:off x="-164466" y="2836268"/>
          <a:ext cx="1096442" cy="767509"/>
        </a:xfrm>
        <a:solidFill>
          <a:srgbClr val="E7E6E6">
            <a:lumMod val="90000"/>
          </a:srgbClr>
        </a:solidFill>
        <a:ln w="12700" cap="flat" cmpd="sng" algn="ctr">
          <a:solidFill>
            <a:srgbClr val="E7E6E6">
              <a:lumMod val="90000"/>
            </a:srgbClr>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1</a:t>
          </a:r>
          <a:r>
            <a:rPr lang="pt-BR" sz="1200" baseline="30000">
              <a:solidFill>
                <a:sysClr val="windowText" lastClr="000000"/>
              </a:solidFill>
              <a:latin typeface="Arial" panose="020B0604020202020204" pitchFamily="34" charset="0"/>
              <a:ea typeface="+mn-ea"/>
              <a:cs typeface="Arial" panose="020B0604020202020204" pitchFamily="34" charset="0"/>
            </a:rPr>
            <a:t>a</a:t>
          </a:r>
          <a:r>
            <a:rPr lang="pt-BR" sz="1200">
              <a:solidFill>
                <a:sysClr val="windowText" lastClr="000000"/>
              </a:solidFill>
              <a:latin typeface="Arial" panose="020B0604020202020204" pitchFamily="34" charset="0"/>
              <a:ea typeface="+mn-ea"/>
              <a:cs typeface="Arial" panose="020B0604020202020204" pitchFamily="34" charset="0"/>
            </a:rPr>
            <a:t> visita</a:t>
          </a:r>
        </a:p>
        <a:p>
          <a:r>
            <a:rPr lang="pt-BR" sz="1050">
              <a:solidFill>
                <a:sysClr val="windowText" lastClr="000000"/>
              </a:solidFill>
              <a:latin typeface="Arial" panose="020B0604020202020204" pitchFamily="34" charset="0"/>
              <a:ea typeface="+mn-ea"/>
              <a:cs typeface="Arial" panose="020B0604020202020204" pitchFamily="34" charset="0"/>
            </a:rPr>
            <a:t>Pós-Teste</a:t>
          </a:r>
        </a:p>
      </dgm:t>
    </dgm:pt>
    <dgm:pt modelId="{FB2C1001-74B0-4E61-9A93-6A713AE62F24}" type="parTrans" cxnId="{748EFD4C-4003-4814-96E2-DBB948397E6D}">
      <dgm:prSet/>
      <dgm:spPr/>
      <dgm:t>
        <a:bodyPr/>
        <a:lstStyle/>
        <a:p>
          <a:endParaRPr lang="pt-BR"/>
        </a:p>
      </dgm:t>
    </dgm:pt>
    <dgm:pt modelId="{218B5CB2-8217-465A-85B8-C4CEEF0F69CD}" type="sibTrans" cxnId="{748EFD4C-4003-4814-96E2-DBB948397E6D}">
      <dgm:prSet/>
      <dgm:spPr/>
      <dgm:t>
        <a:bodyPr/>
        <a:lstStyle/>
        <a:p>
          <a:endParaRPr lang="pt-BR"/>
        </a:p>
      </dgm:t>
    </dgm:pt>
    <dgm:pt modelId="{68996EA4-FF56-4581-AF60-7ADE90BF2E20}">
      <dgm:prSet custT="1"/>
      <dgm:spPr>
        <a:xfrm rot="5400000">
          <a:off x="2822998" y="789211"/>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Coleta de amostra sanguínea</a:t>
          </a:r>
          <a:endParaRPr lang="pt-BR" sz="1200">
            <a:solidFill>
              <a:sysClr val="windowText" lastClr="000000"/>
            </a:solidFill>
            <a:latin typeface="Calibri" panose="020F0502020204030204"/>
            <a:ea typeface="+mn-ea"/>
            <a:cs typeface="+mn-cs"/>
          </a:endParaRPr>
        </a:p>
      </dgm:t>
    </dgm:pt>
    <dgm:pt modelId="{312C50F3-AE88-42F6-A9B5-74AEC2374AA6}" type="parTrans" cxnId="{63B4E0A1-7E95-41B3-9FB1-9277578EC2AF}">
      <dgm:prSet/>
      <dgm:spPr/>
      <dgm:t>
        <a:bodyPr/>
        <a:lstStyle/>
        <a:p>
          <a:endParaRPr lang="pt-BR"/>
        </a:p>
      </dgm:t>
    </dgm:pt>
    <dgm:pt modelId="{C73D630A-9B18-46E1-AB85-344644F9D8A5}" type="sibTrans" cxnId="{63B4E0A1-7E95-41B3-9FB1-9277578EC2AF}">
      <dgm:prSet/>
      <dgm:spPr/>
      <dgm:t>
        <a:bodyPr/>
        <a:lstStyle/>
        <a:p>
          <a:endParaRPr lang="pt-BR"/>
        </a:p>
      </dgm:t>
    </dgm:pt>
    <dgm:pt modelId="{423F6FF6-9D97-4A61-BBAD-0C3DF4E4EEE5}">
      <dgm:prSet phldrT="[Texto]" custT="1"/>
      <dgm:spPr>
        <a:xfrm rot="5400000">
          <a:off x="2822811" y="-1985467"/>
          <a:ext cx="713062"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Avaliação da massa corporal, estatura</a:t>
          </a:r>
          <a:r>
            <a:rPr lang="pt-BR" sz="1200" strike="sngStrike">
              <a:solidFill>
                <a:sysClr val="windowText" lastClr="000000"/>
              </a:solidFill>
              <a:latin typeface="Arial" panose="020B0604020202020204" pitchFamily="34" charset="0"/>
              <a:ea typeface="+mn-ea"/>
              <a:cs typeface="Arial" panose="020B0604020202020204" pitchFamily="34" charset="0"/>
            </a:rPr>
            <a:t> </a:t>
          </a:r>
          <a:r>
            <a:rPr lang="pt-BR" sz="1200" strike="noStrike">
              <a:solidFill>
                <a:sysClr val="windowText" lastClr="000000"/>
              </a:solidFill>
              <a:latin typeface="Arial" panose="020B0604020202020204" pitchFamily="34" charset="0"/>
              <a:ea typeface="+mn-ea"/>
              <a:cs typeface="Arial" panose="020B0604020202020204" pitchFamily="34" charset="0"/>
            </a:rPr>
            <a:t> e </a:t>
          </a:r>
          <a:r>
            <a:rPr lang="pt-BR" sz="1200">
              <a:solidFill>
                <a:sysClr val="windowText" lastClr="000000"/>
              </a:solidFill>
              <a:latin typeface="Arial" panose="020B0604020202020204" pitchFamily="34" charset="0"/>
              <a:ea typeface="+mn-ea"/>
              <a:cs typeface="Arial" panose="020B0604020202020204" pitchFamily="34" charset="0"/>
            </a:rPr>
            <a:t>composição corporal.</a:t>
          </a:r>
        </a:p>
      </dgm:t>
    </dgm:pt>
    <dgm:pt modelId="{276CF730-C503-4583-8754-BE42EF28F646}" type="parTrans" cxnId="{A105736A-1221-46AE-9C4F-D1BF85B016F4}">
      <dgm:prSet/>
      <dgm:spPr/>
      <dgm:t>
        <a:bodyPr/>
        <a:lstStyle/>
        <a:p>
          <a:endParaRPr lang="pt-BR"/>
        </a:p>
      </dgm:t>
    </dgm:pt>
    <dgm:pt modelId="{725C4859-F129-4FFE-B77A-86B3197B5CDA}" type="sibTrans" cxnId="{A105736A-1221-46AE-9C4F-D1BF85B016F4}">
      <dgm:prSet/>
      <dgm:spPr/>
      <dgm:t>
        <a:bodyPr/>
        <a:lstStyle/>
        <a:p>
          <a:endParaRPr lang="pt-BR"/>
        </a:p>
      </dgm:t>
    </dgm:pt>
    <dgm:pt modelId="{6AC5EE84-75D0-4A16-9F02-648014AFD024}">
      <dgm:prSet phldrT="[Texto]" custT="1"/>
      <dgm:spPr>
        <a:xfrm rot="5400000">
          <a:off x="2822998" y="-150774"/>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16 semanas de treinamento de força ou atividade recreativa, Vitamina D ou substância placebo</a:t>
          </a:r>
          <a:r>
            <a:rPr lang="pt-BR" sz="1500">
              <a:solidFill>
                <a:sysClr val="windowText" lastClr="000000"/>
              </a:solidFill>
              <a:latin typeface="Arial" panose="020B0604020202020204" pitchFamily="34" charset="0"/>
              <a:ea typeface="+mn-ea"/>
              <a:cs typeface="Arial" panose="020B0604020202020204" pitchFamily="34" charset="0"/>
            </a:rPr>
            <a:t>.</a:t>
          </a:r>
          <a:endParaRPr lang="pt-BR" sz="1200">
            <a:solidFill>
              <a:sysClr val="windowText" lastClr="000000"/>
            </a:solidFill>
            <a:latin typeface="Arial" panose="020B0604020202020204" pitchFamily="34" charset="0"/>
            <a:ea typeface="+mn-ea"/>
            <a:cs typeface="Arial" panose="020B0604020202020204" pitchFamily="34" charset="0"/>
          </a:endParaRPr>
        </a:p>
      </dgm:t>
    </dgm:pt>
    <dgm:pt modelId="{5A346AAE-3D47-488B-875B-6915FAE937F6}" type="parTrans" cxnId="{F80ABF14-6CC7-4DD7-94E3-1CE22DDAC3AE}">
      <dgm:prSet/>
      <dgm:spPr/>
      <dgm:t>
        <a:bodyPr/>
        <a:lstStyle/>
        <a:p>
          <a:endParaRPr lang="pt-BR"/>
        </a:p>
      </dgm:t>
    </dgm:pt>
    <dgm:pt modelId="{B359CA15-2EBA-4E64-AA0F-CACF1E6C4D75}" type="sibTrans" cxnId="{F80ABF14-6CC7-4DD7-94E3-1CE22DDAC3AE}">
      <dgm:prSet/>
      <dgm:spPr/>
      <dgm:t>
        <a:bodyPr/>
        <a:lstStyle/>
        <a:p>
          <a:endParaRPr lang="pt-BR"/>
        </a:p>
      </dgm:t>
    </dgm:pt>
    <dgm:pt modelId="{79D1CB42-95EA-4A5A-81D0-E00281EF3144}">
      <dgm:prSet custT="1"/>
      <dgm:spPr>
        <a:xfrm rot="5400000">
          <a:off x="2822998" y="789211"/>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Testes de força membros superiores e inferiores</a:t>
          </a:r>
          <a:endParaRPr lang="pt-BR" sz="1200">
            <a:solidFill>
              <a:sysClr val="windowText" lastClr="000000"/>
            </a:solidFill>
            <a:latin typeface="Calibri" panose="020F0502020204030204"/>
            <a:ea typeface="+mn-ea"/>
            <a:cs typeface="+mn-cs"/>
          </a:endParaRPr>
        </a:p>
      </dgm:t>
    </dgm:pt>
    <dgm:pt modelId="{1C4703D0-DFC1-432A-B657-F56ED7A7CB5D}" type="sibTrans" cxnId="{E88CEAFD-6825-4386-B509-151AFECCF033}">
      <dgm:prSet/>
      <dgm:spPr/>
      <dgm:t>
        <a:bodyPr/>
        <a:lstStyle/>
        <a:p>
          <a:endParaRPr lang="pt-BR"/>
        </a:p>
      </dgm:t>
    </dgm:pt>
    <dgm:pt modelId="{5DEF1D88-5252-4C5A-A6D2-4BA596453525}" type="parTrans" cxnId="{E88CEAFD-6825-4386-B509-151AFECCF033}">
      <dgm:prSet/>
      <dgm:spPr/>
      <dgm:t>
        <a:bodyPr/>
        <a:lstStyle/>
        <a:p>
          <a:endParaRPr lang="pt-BR"/>
        </a:p>
      </dgm:t>
    </dgm:pt>
    <dgm:pt modelId="{479056AE-5342-41FB-B8D0-539CF6608CAB}">
      <dgm:prSet custT="1"/>
      <dgm:spPr>
        <a:xfrm rot="5400000">
          <a:off x="2822998" y="789211"/>
          <a:ext cx="712687" cy="4823665"/>
        </a:xfrm>
        <a:solidFill>
          <a:sysClr val="window" lastClr="FFFFFF">
            <a:alpha val="90000"/>
            <a:hueOff val="0"/>
            <a:satOff val="0"/>
            <a:lumOff val="0"/>
            <a:alphaOff val="0"/>
          </a:sysClr>
        </a:solidFill>
        <a:ln w="19050" cap="flat" cmpd="sng" algn="ctr">
          <a:solidFill>
            <a:sysClr val="windowText" lastClr="000000"/>
          </a:solidFill>
          <a:prstDash val="solid"/>
          <a:miter lim="800000"/>
        </a:ln>
        <a:effectLst/>
      </dgm:spPr>
      <dgm:t>
        <a:bodyPr/>
        <a:lstStyle/>
        <a:p>
          <a:r>
            <a:rPr lang="pt-BR" sz="1200">
              <a:solidFill>
                <a:sysClr val="windowText" lastClr="000000"/>
              </a:solidFill>
              <a:latin typeface="Arial" panose="020B0604020202020204" pitchFamily="34" charset="0"/>
              <a:ea typeface="+mn-ea"/>
              <a:cs typeface="Arial" panose="020B0604020202020204" pitchFamily="34" charset="0"/>
            </a:rPr>
            <a:t>Avaliação da massa corporal, estatura </a:t>
          </a:r>
          <a:r>
            <a:rPr lang="pt-BR" sz="1200" strike="noStrike">
              <a:solidFill>
                <a:sysClr val="windowText" lastClr="000000"/>
              </a:solidFill>
              <a:latin typeface="Arial" panose="020B0604020202020204" pitchFamily="34" charset="0"/>
              <a:ea typeface="+mn-ea"/>
              <a:cs typeface="Arial" panose="020B0604020202020204" pitchFamily="34" charset="0"/>
            </a:rPr>
            <a:t>e</a:t>
          </a:r>
          <a:r>
            <a:rPr lang="pt-BR" sz="1200">
              <a:solidFill>
                <a:sysClr val="windowText" lastClr="000000"/>
              </a:solidFill>
              <a:latin typeface="Arial" panose="020B0604020202020204" pitchFamily="34" charset="0"/>
              <a:ea typeface="+mn-ea"/>
              <a:cs typeface="Arial" panose="020B0604020202020204" pitchFamily="34" charset="0"/>
            </a:rPr>
            <a:t> composição corporal.</a:t>
          </a:r>
          <a:endParaRPr lang="pt-BR" sz="1200">
            <a:solidFill>
              <a:sysClr val="windowText" lastClr="000000"/>
            </a:solidFill>
            <a:latin typeface="Calibri" panose="020F0502020204030204"/>
            <a:ea typeface="+mn-ea"/>
            <a:cs typeface="+mn-cs"/>
          </a:endParaRPr>
        </a:p>
      </dgm:t>
    </dgm:pt>
    <dgm:pt modelId="{E3E74F4B-ECD4-453E-BE2B-D8D9C9CDF6EE}" type="parTrans" cxnId="{9D904CA8-1F09-4C56-BB38-ACCF29800938}">
      <dgm:prSet/>
      <dgm:spPr/>
      <dgm:t>
        <a:bodyPr/>
        <a:lstStyle/>
        <a:p>
          <a:endParaRPr lang="pt-BR"/>
        </a:p>
      </dgm:t>
    </dgm:pt>
    <dgm:pt modelId="{5E08AE89-BA0D-411D-A357-073598AD92AD}" type="sibTrans" cxnId="{9D904CA8-1F09-4C56-BB38-ACCF29800938}">
      <dgm:prSet/>
      <dgm:spPr/>
      <dgm:t>
        <a:bodyPr/>
        <a:lstStyle/>
        <a:p>
          <a:endParaRPr lang="pt-BR"/>
        </a:p>
      </dgm:t>
    </dgm:pt>
    <dgm:pt modelId="{AD470524-995E-4F3C-9550-8EB8C2CDB513}" type="pres">
      <dgm:prSet presAssocID="{008B96DA-7B9D-44BA-8099-A66F4A16667F}" presName="linearFlow" presStyleCnt="0">
        <dgm:presLayoutVars>
          <dgm:dir/>
          <dgm:animLvl val="lvl"/>
          <dgm:resizeHandles val="exact"/>
        </dgm:presLayoutVars>
      </dgm:prSet>
      <dgm:spPr/>
      <dgm:t>
        <a:bodyPr/>
        <a:lstStyle/>
        <a:p>
          <a:endParaRPr lang="pt-BR"/>
        </a:p>
      </dgm:t>
    </dgm:pt>
    <dgm:pt modelId="{B7FA4D0E-85EE-48CA-96B8-DB01E9019EA0}" type="pres">
      <dgm:prSet presAssocID="{08027B7F-A237-495C-B8A9-9DCA0FB79DEB}" presName="composite" presStyleCnt="0"/>
      <dgm:spPr/>
    </dgm:pt>
    <dgm:pt modelId="{CD411176-ACF0-45AA-9817-67784D6C9421}" type="pres">
      <dgm:prSet presAssocID="{08027B7F-A237-495C-B8A9-9DCA0FB79DEB}" presName="parentText" presStyleLbl="alignNode1" presStyleIdx="0" presStyleCnt="4" custLinFactNeighborY="0">
        <dgm:presLayoutVars>
          <dgm:chMax val="1"/>
          <dgm:bulletEnabled val="1"/>
        </dgm:presLayoutVars>
      </dgm:prSet>
      <dgm:spPr>
        <a:prstGeom prst="chevron">
          <a:avLst/>
        </a:prstGeom>
      </dgm:spPr>
      <dgm:t>
        <a:bodyPr/>
        <a:lstStyle/>
        <a:p>
          <a:endParaRPr lang="pt-BR"/>
        </a:p>
      </dgm:t>
    </dgm:pt>
    <dgm:pt modelId="{6BB65367-4193-40EF-A426-50203AF5559C}" type="pres">
      <dgm:prSet presAssocID="{08027B7F-A237-495C-B8A9-9DCA0FB79DEB}" presName="descendantText" presStyleLbl="alignAcc1" presStyleIdx="0" presStyleCnt="4" custLinFactNeighborX="0" custLinFactNeighborY="9484">
        <dgm:presLayoutVars>
          <dgm:bulletEnabled val="1"/>
        </dgm:presLayoutVars>
      </dgm:prSet>
      <dgm:spPr>
        <a:prstGeom prst="round2SameRect">
          <a:avLst/>
        </a:prstGeom>
      </dgm:spPr>
      <dgm:t>
        <a:bodyPr/>
        <a:lstStyle/>
        <a:p>
          <a:endParaRPr lang="pt-BR"/>
        </a:p>
      </dgm:t>
    </dgm:pt>
    <dgm:pt modelId="{5B956CA8-7176-4DBB-A5D9-235E51FF10BC}" type="pres">
      <dgm:prSet presAssocID="{55017A6C-B77C-4A51-8BF4-078A41D20470}" presName="sp" presStyleCnt="0"/>
      <dgm:spPr/>
    </dgm:pt>
    <dgm:pt modelId="{0F8B94FA-82A3-4A83-8F2F-52019164C470}" type="pres">
      <dgm:prSet presAssocID="{4895C0FB-D34F-4FA3-A163-A71DF654597A}" presName="composite" presStyleCnt="0"/>
      <dgm:spPr/>
    </dgm:pt>
    <dgm:pt modelId="{EEB520E9-14FF-48AD-9C40-551FB4190DB5}" type="pres">
      <dgm:prSet presAssocID="{4895C0FB-D34F-4FA3-A163-A71DF654597A}" presName="parentText" presStyleLbl="alignNode1" presStyleIdx="1" presStyleCnt="4" custLinFactNeighborX="0" custLinFactNeighborY="-14402">
        <dgm:presLayoutVars>
          <dgm:chMax val="1"/>
          <dgm:bulletEnabled val="1"/>
        </dgm:presLayoutVars>
      </dgm:prSet>
      <dgm:spPr>
        <a:prstGeom prst="chevron">
          <a:avLst/>
        </a:prstGeom>
      </dgm:spPr>
      <dgm:t>
        <a:bodyPr/>
        <a:lstStyle/>
        <a:p>
          <a:endParaRPr lang="pt-BR"/>
        </a:p>
      </dgm:t>
    </dgm:pt>
    <dgm:pt modelId="{CC21424E-E1EA-41BD-BEC2-E10528E6933C}" type="pres">
      <dgm:prSet presAssocID="{4895C0FB-D34F-4FA3-A163-A71DF654597A}" presName="descendantText" presStyleLbl="alignAcc1" presStyleIdx="1" presStyleCnt="4" custLinFactNeighborY="0">
        <dgm:presLayoutVars>
          <dgm:bulletEnabled val="1"/>
        </dgm:presLayoutVars>
      </dgm:prSet>
      <dgm:spPr>
        <a:prstGeom prst="round2SameRect">
          <a:avLst/>
        </a:prstGeom>
      </dgm:spPr>
      <dgm:t>
        <a:bodyPr/>
        <a:lstStyle/>
        <a:p>
          <a:endParaRPr lang="pt-BR"/>
        </a:p>
      </dgm:t>
    </dgm:pt>
    <dgm:pt modelId="{F0F4FD16-91F9-4EC0-A8BD-986B910CC010}" type="pres">
      <dgm:prSet presAssocID="{7EC151D2-40DB-4B54-8819-E4128157F256}" presName="sp" presStyleCnt="0"/>
      <dgm:spPr/>
    </dgm:pt>
    <dgm:pt modelId="{34779488-62B2-47E7-8AC5-76868C6B89AA}" type="pres">
      <dgm:prSet presAssocID="{EA550CBD-9A94-4E95-91E6-E36EB8118F8F}" presName="composite" presStyleCnt="0"/>
      <dgm:spPr/>
    </dgm:pt>
    <dgm:pt modelId="{508B63F9-1DA9-461F-827E-EC63429A152C}" type="pres">
      <dgm:prSet presAssocID="{EA550CBD-9A94-4E95-91E6-E36EB8118F8F}" presName="parentText" presStyleLbl="alignNode1" presStyleIdx="2" presStyleCnt="4" custLinFactNeighborY="-17827">
        <dgm:presLayoutVars>
          <dgm:chMax val="1"/>
          <dgm:bulletEnabled val="1"/>
        </dgm:presLayoutVars>
      </dgm:prSet>
      <dgm:spPr>
        <a:prstGeom prst="chevron">
          <a:avLst/>
        </a:prstGeom>
      </dgm:spPr>
      <dgm:t>
        <a:bodyPr/>
        <a:lstStyle/>
        <a:p>
          <a:endParaRPr lang="pt-BR"/>
        </a:p>
      </dgm:t>
    </dgm:pt>
    <dgm:pt modelId="{7CB11720-5D9B-4271-8654-CE89BF2A9A2A}" type="pres">
      <dgm:prSet presAssocID="{EA550CBD-9A94-4E95-91E6-E36EB8118F8F}" presName="descendantText" presStyleLbl="alignAcc1" presStyleIdx="2" presStyleCnt="4" custLinFactNeighborY="1054">
        <dgm:presLayoutVars>
          <dgm:bulletEnabled val="1"/>
        </dgm:presLayoutVars>
      </dgm:prSet>
      <dgm:spPr>
        <a:prstGeom prst="round2SameRect">
          <a:avLst/>
        </a:prstGeom>
      </dgm:spPr>
      <dgm:t>
        <a:bodyPr/>
        <a:lstStyle/>
        <a:p>
          <a:endParaRPr lang="pt-BR"/>
        </a:p>
      </dgm:t>
    </dgm:pt>
    <dgm:pt modelId="{B2561439-1D38-40B2-9B15-A8EA1EFB78A5}" type="pres">
      <dgm:prSet presAssocID="{1680B0FD-B477-4EF4-A016-AFD25B723454}" presName="sp" presStyleCnt="0"/>
      <dgm:spPr/>
    </dgm:pt>
    <dgm:pt modelId="{89589C35-1386-4B16-8535-710EB5539451}" type="pres">
      <dgm:prSet presAssocID="{290DBA76-0E9F-42AA-8552-1F651875BDFF}" presName="composite" presStyleCnt="0"/>
      <dgm:spPr/>
    </dgm:pt>
    <dgm:pt modelId="{E53FA06E-B46E-4376-B478-5A688482999C}" type="pres">
      <dgm:prSet presAssocID="{290DBA76-0E9F-42AA-8552-1F651875BDFF}" presName="parentText" presStyleLbl="alignNode1" presStyleIdx="3" presStyleCnt="4" custLinFactNeighborX="0" custLinFactNeighborY="-15769">
        <dgm:presLayoutVars>
          <dgm:chMax val="1"/>
          <dgm:bulletEnabled val="1"/>
        </dgm:presLayoutVars>
      </dgm:prSet>
      <dgm:spPr>
        <a:prstGeom prst="chevron">
          <a:avLst/>
        </a:prstGeom>
      </dgm:spPr>
      <dgm:t>
        <a:bodyPr/>
        <a:lstStyle/>
        <a:p>
          <a:endParaRPr lang="pt-BR"/>
        </a:p>
      </dgm:t>
    </dgm:pt>
    <dgm:pt modelId="{D158D4A6-2209-43AC-B257-0E11C5A6D257}" type="pres">
      <dgm:prSet presAssocID="{290DBA76-0E9F-42AA-8552-1F651875BDFF}" presName="descendantText" presStyleLbl="alignAcc1" presStyleIdx="3" presStyleCnt="4">
        <dgm:presLayoutVars>
          <dgm:bulletEnabled val="1"/>
        </dgm:presLayoutVars>
      </dgm:prSet>
      <dgm:spPr>
        <a:prstGeom prst="round2SameRect">
          <a:avLst/>
        </a:prstGeom>
      </dgm:spPr>
      <dgm:t>
        <a:bodyPr/>
        <a:lstStyle/>
        <a:p>
          <a:endParaRPr lang="pt-BR"/>
        </a:p>
      </dgm:t>
    </dgm:pt>
  </dgm:ptLst>
  <dgm:cxnLst>
    <dgm:cxn modelId="{3C4B7FDE-EE7F-40EA-8520-3C61CAA4405C}" type="presOf" srcId="{68996EA4-FF56-4581-AF60-7ADE90BF2E20}" destId="{D158D4A6-2209-43AC-B257-0E11C5A6D257}" srcOrd="0" destOrd="0" presId="urn:microsoft.com/office/officeart/2005/8/layout/chevron2"/>
    <dgm:cxn modelId="{2B4D9D35-40E4-4C13-BD6F-CAE68F57CB12}" type="presOf" srcId="{290DBA76-0E9F-42AA-8552-1F651875BDFF}" destId="{E53FA06E-B46E-4376-B478-5A688482999C}" srcOrd="0" destOrd="0" presId="urn:microsoft.com/office/officeart/2005/8/layout/chevron2"/>
    <dgm:cxn modelId="{C789CCD2-C52F-4A94-8473-E3F33F9EACBE}" srcId="{008B96DA-7B9D-44BA-8099-A66F4A16667F}" destId="{4895C0FB-D34F-4FA3-A163-A71DF654597A}" srcOrd="1" destOrd="0" parTransId="{EA25DDB3-B207-4AE9-8804-82B0B99C4756}" sibTransId="{7EC151D2-40DB-4B54-8819-E4128157F256}"/>
    <dgm:cxn modelId="{C8A945CF-20CE-41D0-A49B-169D2B6E0051}" type="presOf" srcId="{423F6FF6-9D97-4A61-BBAD-0C3DF4E4EEE5}" destId="{6BB65367-4193-40EF-A426-50203AF5559C}" srcOrd="0" destOrd="1" presId="urn:microsoft.com/office/officeart/2005/8/layout/chevron2"/>
    <dgm:cxn modelId="{5E2C8A5C-7F71-40D2-BCE4-B576DD0F914B}" type="presOf" srcId="{7BA0057C-BB4C-4B91-B6B8-0B7F88BA430F}" destId="{7CB11720-5D9B-4271-8654-CE89BF2A9A2A}" srcOrd="0" destOrd="0" presId="urn:microsoft.com/office/officeart/2005/8/layout/chevron2"/>
    <dgm:cxn modelId="{20D70BA4-9E82-4434-8052-4318B466786E}" srcId="{008B96DA-7B9D-44BA-8099-A66F4A16667F}" destId="{08027B7F-A237-495C-B8A9-9DCA0FB79DEB}" srcOrd="0" destOrd="0" parTransId="{2127FACE-59B3-4939-91D8-75771A71E406}" sibTransId="{55017A6C-B77C-4A51-8BF4-078A41D20470}"/>
    <dgm:cxn modelId="{B8DB5588-F300-4EDE-BE9E-54EB0875E7C2}" srcId="{008B96DA-7B9D-44BA-8099-A66F4A16667F}" destId="{EA550CBD-9A94-4E95-91E6-E36EB8118F8F}" srcOrd="2" destOrd="0" parTransId="{E76E8834-16A9-4776-941A-317AE949A7A8}" sibTransId="{1680B0FD-B477-4EF4-A016-AFD25B723454}"/>
    <dgm:cxn modelId="{BBCDADDD-AF23-4244-85C5-A55FAAB01AFB}" srcId="{EA550CBD-9A94-4E95-91E6-E36EB8118F8F}" destId="{7BA0057C-BB4C-4B91-B6B8-0B7F88BA430F}" srcOrd="0" destOrd="0" parTransId="{BB9B2FBF-C054-4FC8-BF73-23E1DA827E79}" sibTransId="{22EC5C40-F921-4F02-8CAE-3C0B08982B1D}"/>
    <dgm:cxn modelId="{F80ABF14-6CC7-4DD7-94E3-1CE22DDAC3AE}" srcId="{EA550CBD-9A94-4E95-91E6-E36EB8118F8F}" destId="{6AC5EE84-75D0-4A16-9F02-648014AFD024}" srcOrd="1" destOrd="0" parTransId="{5A346AAE-3D47-488B-875B-6915FAE937F6}" sibTransId="{B359CA15-2EBA-4E64-AA0F-CACF1E6C4D75}"/>
    <dgm:cxn modelId="{153D73D6-6C70-4C89-AFD6-9658D979EE6C}" srcId="{08027B7F-A237-495C-B8A9-9DCA0FB79DEB}" destId="{A5A465F0-2C76-45C7-8AB0-113496B25CC0}" srcOrd="2" destOrd="0" parTransId="{73151AF9-E2AC-41AC-AED7-4F3ACCD802E9}" sibTransId="{653ACF5B-F1CF-4A17-9327-5A189E3A1232}"/>
    <dgm:cxn modelId="{E06C4560-22D7-48F4-A691-CA4FD38E931B}" type="presOf" srcId="{EA550CBD-9A94-4E95-91E6-E36EB8118F8F}" destId="{508B63F9-1DA9-461F-827E-EC63429A152C}" srcOrd="0" destOrd="0" presId="urn:microsoft.com/office/officeart/2005/8/layout/chevron2"/>
    <dgm:cxn modelId="{BE527A7C-65DE-453A-9E38-27E6D164021A}" type="presOf" srcId="{2E58E3BB-7828-45E5-AEE7-5D091DCF6331}" destId="{CC21424E-E1EA-41BD-BEC2-E10528E6933C}" srcOrd="0" destOrd="0" presId="urn:microsoft.com/office/officeart/2005/8/layout/chevron2"/>
    <dgm:cxn modelId="{87D00744-B070-403D-A781-5A4B300546FA}" type="presOf" srcId="{79D1CB42-95EA-4A5A-81D0-E00281EF3144}" destId="{D158D4A6-2209-43AC-B257-0E11C5A6D257}" srcOrd="0" destOrd="2" presId="urn:microsoft.com/office/officeart/2005/8/layout/chevron2"/>
    <dgm:cxn modelId="{3071E6F3-B72A-4699-89F0-B622EC86E88D}" type="presOf" srcId="{A5A465F0-2C76-45C7-8AB0-113496B25CC0}" destId="{6BB65367-4193-40EF-A426-50203AF5559C}" srcOrd="0" destOrd="2" presId="urn:microsoft.com/office/officeart/2005/8/layout/chevron2"/>
    <dgm:cxn modelId="{9D904CA8-1F09-4C56-BB38-ACCF29800938}" srcId="{290DBA76-0E9F-42AA-8552-1F651875BDFF}" destId="{479056AE-5342-41FB-B8D0-539CF6608CAB}" srcOrd="1" destOrd="0" parTransId="{E3E74F4B-ECD4-453E-BE2B-D8D9C9CDF6EE}" sibTransId="{5E08AE89-BA0D-411D-A357-073598AD92AD}"/>
    <dgm:cxn modelId="{FCF425EB-49A1-481C-B538-CC5145AFC853}" type="presOf" srcId="{6AC5EE84-75D0-4A16-9F02-648014AFD024}" destId="{7CB11720-5D9B-4271-8654-CE89BF2A9A2A}" srcOrd="0" destOrd="1" presId="urn:microsoft.com/office/officeart/2005/8/layout/chevron2"/>
    <dgm:cxn modelId="{95B9D454-08BE-4735-B82F-33E31D120B84}" type="presOf" srcId="{4895C0FB-D34F-4FA3-A163-A71DF654597A}" destId="{EEB520E9-14FF-48AD-9C40-551FB4190DB5}" srcOrd="0" destOrd="0" presId="urn:microsoft.com/office/officeart/2005/8/layout/chevron2"/>
    <dgm:cxn modelId="{A105736A-1221-46AE-9C4F-D1BF85B016F4}" srcId="{08027B7F-A237-495C-B8A9-9DCA0FB79DEB}" destId="{423F6FF6-9D97-4A61-BBAD-0C3DF4E4EEE5}" srcOrd="1" destOrd="0" parTransId="{276CF730-C503-4583-8754-BE42EF28F646}" sibTransId="{725C4859-F129-4FFE-B77A-86B3197B5CDA}"/>
    <dgm:cxn modelId="{05BCC7BA-D420-46D0-B2A6-8C41A71ADD70}" type="presOf" srcId="{08027B7F-A237-495C-B8A9-9DCA0FB79DEB}" destId="{CD411176-ACF0-45AA-9817-67784D6C9421}" srcOrd="0" destOrd="0" presId="urn:microsoft.com/office/officeart/2005/8/layout/chevron2"/>
    <dgm:cxn modelId="{748EFD4C-4003-4814-96E2-DBB948397E6D}" srcId="{008B96DA-7B9D-44BA-8099-A66F4A16667F}" destId="{290DBA76-0E9F-42AA-8552-1F651875BDFF}" srcOrd="3" destOrd="0" parTransId="{FB2C1001-74B0-4E61-9A93-6A713AE62F24}" sibTransId="{218B5CB2-8217-465A-85B8-C4CEEF0F69CD}"/>
    <dgm:cxn modelId="{63B4E0A1-7E95-41B3-9FB1-9277578EC2AF}" srcId="{290DBA76-0E9F-42AA-8552-1F651875BDFF}" destId="{68996EA4-FF56-4581-AF60-7ADE90BF2E20}" srcOrd="0" destOrd="0" parTransId="{312C50F3-AE88-42F6-A9B5-74AEC2374AA6}" sibTransId="{C73D630A-9B18-46E1-AB85-344644F9D8A5}"/>
    <dgm:cxn modelId="{F9B45535-B580-47C1-8A75-B13920259C59}" type="presOf" srcId="{479056AE-5342-41FB-B8D0-539CF6608CAB}" destId="{D158D4A6-2209-43AC-B257-0E11C5A6D257}" srcOrd="0" destOrd="1" presId="urn:microsoft.com/office/officeart/2005/8/layout/chevron2"/>
    <dgm:cxn modelId="{E944D8CE-A2EE-4E76-8C0D-34443FB77D37}" srcId="{4895C0FB-D34F-4FA3-A163-A71DF654597A}" destId="{2E58E3BB-7828-45E5-AEE7-5D091DCF6331}" srcOrd="0" destOrd="0" parTransId="{3CCE4E58-C523-4B76-9724-D369116F9693}" sibTransId="{F295DAE8-7266-4BFD-925A-5C927285CDBF}"/>
    <dgm:cxn modelId="{42AB65A4-90C8-4BB7-AE5A-066ECBA0E3EE}" type="presOf" srcId="{008B96DA-7B9D-44BA-8099-A66F4A16667F}" destId="{AD470524-995E-4F3C-9550-8EB8C2CDB513}" srcOrd="0" destOrd="0" presId="urn:microsoft.com/office/officeart/2005/8/layout/chevron2"/>
    <dgm:cxn modelId="{E88CEAFD-6825-4386-B509-151AFECCF033}" srcId="{290DBA76-0E9F-42AA-8552-1F651875BDFF}" destId="{79D1CB42-95EA-4A5A-81D0-E00281EF3144}" srcOrd="2" destOrd="0" parTransId="{5DEF1D88-5252-4C5A-A6D2-4BA596453525}" sibTransId="{1C4703D0-DFC1-432A-B657-F56ED7A7CB5D}"/>
    <dgm:cxn modelId="{9A2E8390-AA5A-46A5-A795-A0FBD15C2ECE}" type="presOf" srcId="{7140F461-8C2B-4F1A-993D-3C87E8E2DC97}" destId="{6BB65367-4193-40EF-A426-50203AF5559C}" srcOrd="0" destOrd="0" presId="urn:microsoft.com/office/officeart/2005/8/layout/chevron2"/>
    <dgm:cxn modelId="{B911862D-AAD0-4DF0-89A6-5FCE9615D850}" srcId="{08027B7F-A237-495C-B8A9-9DCA0FB79DEB}" destId="{7140F461-8C2B-4F1A-993D-3C87E8E2DC97}" srcOrd="0" destOrd="0" parTransId="{E5067E85-9F53-4E06-AE1C-3826A5A5DBCF}" sibTransId="{72852E39-9B62-450C-97CE-24FF316C304F}"/>
    <dgm:cxn modelId="{9333D32B-64A3-4A27-9AB8-166C2BB8EDB2}" type="presParOf" srcId="{AD470524-995E-4F3C-9550-8EB8C2CDB513}" destId="{B7FA4D0E-85EE-48CA-96B8-DB01E9019EA0}" srcOrd="0" destOrd="0" presId="urn:microsoft.com/office/officeart/2005/8/layout/chevron2"/>
    <dgm:cxn modelId="{4D728CEF-F378-4F65-BE00-022DF525BFC1}" type="presParOf" srcId="{B7FA4D0E-85EE-48CA-96B8-DB01E9019EA0}" destId="{CD411176-ACF0-45AA-9817-67784D6C9421}" srcOrd="0" destOrd="0" presId="urn:microsoft.com/office/officeart/2005/8/layout/chevron2"/>
    <dgm:cxn modelId="{AD43F383-3D63-48DB-A519-641E3592BB3A}" type="presParOf" srcId="{B7FA4D0E-85EE-48CA-96B8-DB01E9019EA0}" destId="{6BB65367-4193-40EF-A426-50203AF5559C}" srcOrd="1" destOrd="0" presId="urn:microsoft.com/office/officeart/2005/8/layout/chevron2"/>
    <dgm:cxn modelId="{48900B37-7F20-4AF2-B37B-9BE3A3BF8724}" type="presParOf" srcId="{AD470524-995E-4F3C-9550-8EB8C2CDB513}" destId="{5B956CA8-7176-4DBB-A5D9-235E51FF10BC}" srcOrd="1" destOrd="0" presId="urn:microsoft.com/office/officeart/2005/8/layout/chevron2"/>
    <dgm:cxn modelId="{733AA2B8-42AF-4705-BF2F-CC4516D27C1C}" type="presParOf" srcId="{AD470524-995E-4F3C-9550-8EB8C2CDB513}" destId="{0F8B94FA-82A3-4A83-8F2F-52019164C470}" srcOrd="2" destOrd="0" presId="urn:microsoft.com/office/officeart/2005/8/layout/chevron2"/>
    <dgm:cxn modelId="{6FC94B03-300C-44B7-B196-92519365DE09}" type="presParOf" srcId="{0F8B94FA-82A3-4A83-8F2F-52019164C470}" destId="{EEB520E9-14FF-48AD-9C40-551FB4190DB5}" srcOrd="0" destOrd="0" presId="urn:microsoft.com/office/officeart/2005/8/layout/chevron2"/>
    <dgm:cxn modelId="{CB7F6756-8411-4BF3-A5A3-5A327047EDF4}" type="presParOf" srcId="{0F8B94FA-82A3-4A83-8F2F-52019164C470}" destId="{CC21424E-E1EA-41BD-BEC2-E10528E6933C}" srcOrd="1" destOrd="0" presId="urn:microsoft.com/office/officeart/2005/8/layout/chevron2"/>
    <dgm:cxn modelId="{B1285FA8-0DA3-4209-AE9A-651614564B8D}" type="presParOf" srcId="{AD470524-995E-4F3C-9550-8EB8C2CDB513}" destId="{F0F4FD16-91F9-4EC0-A8BD-986B910CC010}" srcOrd="3" destOrd="0" presId="urn:microsoft.com/office/officeart/2005/8/layout/chevron2"/>
    <dgm:cxn modelId="{C3840180-696D-4E8A-9598-6ED188636521}" type="presParOf" srcId="{AD470524-995E-4F3C-9550-8EB8C2CDB513}" destId="{34779488-62B2-47E7-8AC5-76868C6B89AA}" srcOrd="4" destOrd="0" presId="urn:microsoft.com/office/officeart/2005/8/layout/chevron2"/>
    <dgm:cxn modelId="{5535D1A6-1C43-48EB-A60B-E51272A64E8C}" type="presParOf" srcId="{34779488-62B2-47E7-8AC5-76868C6B89AA}" destId="{508B63F9-1DA9-461F-827E-EC63429A152C}" srcOrd="0" destOrd="0" presId="urn:microsoft.com/office/officeart/2005/8/layout/chevron2"/>
    <dgm:cxn modelId="{67A76AEB-583E-43B5-B20F-678253BC24A8}" type="presParOf" srcId="{34779488-62B2-47E7-8AC5-76868C6B89AA}" destId="{7CB11720-5D9B-4271-8654-CE89BF2A9A2A}" srcOrd="1" destOrd="0" presId="urn:microsoft.com/office/officeart/2005/8/layout/chevron2"/>
    <dgm:cxn modelId="{110C113E-9063-48D9-AFB6-BAEAA2B03A25}" type="presParOf" srcId="{AD470524-995E-4F3C-9550-8EB8C2CDB513}" destId="{B2561439-1D38-40B2-9B15-A8EA1EFB78A5}" srcOrd="5" destOrd="0" presId="urn:microsoft.com/office/officeart/2005/8/layout/chevron2"/>
    <dgm:cxn modelId="{5921C23C-55FE-4A65-BCB2-D332C3122E8A}" type="presParOf" srcId="{AD470524-995E-4F3C-9550-8EB8C2CDB513}" destId="{89589C35-1386-4B16-8535-710EB5539451}" srcOrd="6" destOrd="0" presId="urn:microsoft.com/office/officeart/2005/8/layout/chevron2"/>
    <dgm:cxn modelId="{EDA03218-CA98-4771-BB38-B1627A770D9A}" type="presParOf" srcId="{89589C35-1386-4B16-8535-710EB5539451}" destId="{E53FA06E-B46E-4376-B478-5A688482999C}" srcOrd="0" destOrd="0" presId="urn:microsoft.com/office/officeart/2005/8/layout/chevron2"/>
    <dgm:cxn modelId="{C573CFAD-DCE6-4550-B329-1D1FB8B9474F}" type="presParOf" srcId="{89589C35-1386-4B16-8535-710EB5539451}" destId="{D158D4A6-2209-43AC-B257-0E11C5A6D257}"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11176-ACF0-45AA-9817-67784D6C9421}">
      <dsp:nvSpPr>
        <dsp:cNvPr id="0" name=""/>
        <dsp:cNvSpPr/>
      </dsp:nvSpPr>
      <dsp:spPr>
        <a:xfrm rot="5400000">
          <a:off x="-164466" y="166673"/>
          <a:ext cx="1096442" cy="767509"/>
        </a:xfrm>
        <a:prstGeom prst="chevron">
          <a:avLst/>
        </a:prstGeom>
        <a:solidFill>
          <a:srgbClr val="E7E6E6">
            <a:lumMod val="90000"/>
          </a:srgbClr>
        </a:solidFill>
        <a:ln w="12700" cap="flat" cmpd="sng" algn="ctr">
          <a:solidFill>
            <a:srgbClr val="E7E6E6">
              <a:lumMod val="9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pt-BR" sz="1200" kern="1200">
              <a:solidFill>
                <a:sysClr val="windowText" lastClr="000000"/>
              </a:solidFill>
              <a:latin typeface="Arial" panose="020B0604020202020204" pitchFamily="34" charset="0"/>
              <a:ea typeface="+mn-ea"/>
              <a:cs typeface="Arial" panose="020B0604020202020204" pitchFamily="34" charset="0"/>
            </a:rPr>
            <a:t>1</a:t>
          </a:r>
          <a:r>
            <a:rPr lang="pt-BR" sz="1200" kern="1200" baseline="30000">
              <a:solidFill>
                <a:sysClr val="windowText" lastClr="000000"/>
              </a:solidFill>
              <a:latin typeface="Arial" panose="020B0604020202020204" pitchFamily="34" charset="0"/>
              <a:ea typeface="+mn-ea"/>
              <a:cs typeface="Arial" panose="020B0604020202020204" pitchFamily="34" charset="0"/>
            </a:rPr>
            <a:t>a</a:t>
          </a:r>
          <a:r>
            <a:rPr lang="pt-BR" sz="1200" kern="1200">
              <a:solidFill>
                <a:sysClr val="windowText" lastClr="000000"/>
              </a:solidFill>
              <a:latin typeface="Arial" panose="020B0604020202020204" pitchFamily="34" charset="0"/>
              <a:ea typeface="+mn-ea"/>
              <a:cs typeface="Arial" panose="020B0604020202020204" pitchFamily="34" charset="0"/>
            </a:rPr>
            <a:t> visita</a:t>
          </a:r>
        </a:p>
        <a:p>
          <a:pPr lvl="0" algn="ctr" defTabSz="533400">
            <a:lnSpc>
              <a:spcPct val="90000"/>
            </a:lnSpc>
            <a:spcBef>
              <a:spcPct val="0"/>
            </a:spcBef>
            <a:spcAft>
              <a:spcPct val="35000"/>
            </a:spcAft>
          </a:pPr>
          <a:r>
            <a:rPr lang="pt-BR" sz="1000" kern="1200">
              <a:solidFill>
                <a:sysClr val="windowText" lastClr="000000"/>
              </a:solidFill>
              <a:latin typeface="Arial" panose="020B0604020202020204" pitchFamily="34" charset="0"/>
              <a:ea typeface="+mn-ea"/>
              <a:cs typeface="Arial" panose="020B0604020202020204" pitchFamily="34" charset="0"/>
            </a:rPr>
            <a:t>Pré-Testes</a:t>
          </a:r>
        </a:p>
      </dsp:txBody>
      <dsp:txXfrm rot="-5400000">
        <a:off x="1" y="385962"/>
        <a:ext cx="767509" cy="328933"/>
      </dsp:txXfrm>
    </dsp:sp>
    <dsp:sp modelId="{6BB65367-4193-40EF-A426-50203AF5559C}">
      <dsp:nvSpPr>
        <dsp:cNvPr id="0" name=""/>
        <dsp:cNvSpPr/>
      </dsp:nvSpPr>
      <dsp:spPr>
        <a:xfrm rot="5400000">
          <a:off x="2822811" y="-1985467"/>
          <a:ext cx="713062" cy="4823665"/>
        </a:xfrm>
        <a:prstGeom prst="round2SameRect">
          <a:avLst/>
        </a:prstGeom>
        <a:solidFill>
          <a:sysClr val="window" lastClr="FFFFFF">
            <a:alpha val="90000"/>
            <a:hueOff val="0"/>
            <a:satOff val="0"/>
            <a:lumOff val="0"/>
            <a:alphaOff val="0"/>
          </a:sysClr>
        </a:solidFill>
        <a:ln w="1905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Coleta de amostra sanguínea</a:t>
          </a:r>
          <a:endParaRPr lang="pt-BR" sz="1200" strike="sngStrike" kern="1200">
            <a:solidFill>
              <a:sysClr val="windowText" lastClr="000000"/>
            </a:solidFill>
            <a:latin typeface="Arial" panose="020B0604020202020204" pitchFamily="34" charset="0"/>
            <a:ea typeface="+mn-ea"/>
            <a:cs typeface="Arial" panose="020B0604020202020204" pitchFamily="34" charset="0"/>
          </a:endParaRPr>
        </a:p>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Avaliação da massa corporal, estatura</a:t>
          </a:r>
          <a:r>
            <a:rPr lang="pt-BR" sz="1200" strike="sngStrike" kern="1200">
              <a:solidFill>
                <a:sysClr val="windowText" lastClr="000000"/>
              </a:solidFill>
              <a:latin typeface="Arial" panose="020B0604020202020204" pitchFamily="34" charset="0"/>
              <a:ea typeface="+mn-ea"/>
              <a:cs typeface="Arial" panose="020B0604020202020204" pitchFamily="34" charset="0"/>
            </a:rPr>
            <a:t> </a:t>
          </a:r>
          <a:r>
            <a:rPr lang="pt-BR" sz="1200" strike="noStrike" kern="1200">
              <a:solidFill>
                <a:sysClr val="windowText" lastClr="000000"/>
              </a:solidFill>
              <a:latin typeface="Arial" panose="020B0604020202020204" pitchFamily="34" charset="0"/>
              <a:ea typeface="+mn-ea"/>
              <a:cs typeface="Arial" panose="020B0604020202020204" pitchFamily="34" charset="0"/>
            </a:rPr>
            <a:t> e </a:t>
          </a:r>
          <a:r>
            <a:rPr lang="pt-BR" sz="1200" kern="1200">
              <a:solidFill>
                <a:sysClr val="windowText" lastClr="000000"/>
              </a:solidFill>
              <a:latin typeface="Arial" panose="020B0604020202020204" pitchFamily="34" charset="0"/>
              <a:ea typeface="+mn-ea"/>
              <a:cs typeface="Arial" panose="020B0604020202020204" pitchFamily="34" charset="0"/>
            </a:rPr>
            <a:t>composição corporal.</a:t>
          </a:r>
        </a:p>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Testes de força de membros superiores e inferiores.</a:t>
          </a:r>
        </a:p>
      </dsp:txBody>
      <dsp:txXfrm rot="-5400000">
        <a:off x="767510" y="104643"/>
        <a:ext cx="4788856" cy="643444"/>
      </dsp:txXfrm>
    </dsp:sp>
    <dsp:sp modelId="{EEB520E9-14FF-48AD-9C40-551FB4190DB5}">
      <dsp:nvSpPr>
        <dsp:cNvPr id="0" name=""/>
        <dsp:cNvSpPr/>
      </dsp:nvSpPr>
      <dsp:spPr>
        <a:xfrm rot="5400000">
          <a:off x="-164466" y="956261"/>
          <a:ext cx="1096442" cy="767509"/>
        </a:xfrm>
        <a:prstGeom prst="chevron">
          <a:avLst/>
        </a:prstGeom>
        <a:solidFill>
          <a:srgbClr val="E7E6E6">
            <a:lumMod val="90000"/>
          </a:srgbClr>
        </a:solidFill>
        <a:ln w="12700" cap="flat" cmpd="sng" algn="ctr">
          <a:solidFill>
            <a:srgbClr val="E7E6E6">
              <a:lumMod val="9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pt-BR" sz="1200" kern="1200">
              <a:solidFill>
                <a:sysClr val="windowText" lastClr="000000"/>
              </a:solidFill>
              <a:latin typeface="Arial" panose="020B0604020202020204" pitchFamily="34" charset="0"/>
              <a:ea typeface="+mn-ea"/>
              <a:cs typeface="Arial" panose="020B0604020202020204" pitchFamily="34" charset="0"/>
            </a:rPr>
            <a:t>2</a:t>
          </a:r>
          <a:r>
            <a:rPr lang="pt-BR" sz="1200" kern="1200" baseline="30000">
              <a:solidFill>
                <a:sysClr val="windowText" lastClr="000000"/>
              </a:solidFill>
              <a:latin typeface="Arial" panose="020B0604020202020204" pitchFamily="34" charset="0"/>
              <a:ea typeface="+mn-ea"/>
              <a:cs typeface="Arial" panose="020B0604020202020204" pitchFamily="34" charset="0"/>
            </a:rPr>
            <a:t>a </a:t>
          </a:r>
          <a:r>
            <a:rPr lang="pt-BR" sz="1200" kern="1200">
              <a:solidFill>
                <a:sysClr val="windowText" lastClr="000000"/>
              </a:solidFill>
              <a:latin typeface="Arial" panose="020B0604020202020204" pitchFamily="34" charset="0"/>
              <a:ea typeface="+mn-ea"/>
              <a:cs typeface="Arial" panose="020B0604020202020204" pitchFamily="34" charset="0"/>
            </a:rPr>
            <a:t>visita</a:t>
          </a:r>
        </a:p>
      </dsp:txBody>
      <dsp:txXfrm rot="-5400000">
        <a:off x="1" y="1175550"/>
        <a:ext cx="767509" cy="328933"/>
      </dsp:txXfrm>
    </dsp:sp>
    <dsp:sp modelId="{CC21424E-E1EA-41BD-BEC2-E10528E6933C}">
      <dsp:nvSpPr>
        <dsp:cNvPr id="0" name=""/>
        <dsp:cNvSpPr/>
      </dsp:nvSpPr>
      <dsp:spPr>
        <a:xfrm rot="5400000">
          <a:off x="2822998" y="-1105783"/>
          <a:ext cx="712687" cy="4823665"/>
        </a:xfrm>
        <a:prstGeom prst="round2SameRect">
          <a:avLst/>
        </a:prstGeom>
        <a:solidFill>
          <a:sysClr val="window" lastClr="FFFFFF">
            <a:alpha val="90000"/>
            <a:hueOff val="0"/>
            <a:satOff val="0"/>
            <a:lumOff val="0"/>
            <a:alphaOff val="0"/>
          </a:sysClr>
        </a:solidFill>
        <a:ln w="1905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Determinação da carga do treinamento resistido </a:t>
          </a:r>
        </a:p>
      </dsp:txBody>
      <dsp:txXfrm rot="-5400000">
        <a:off x="767510" y="984496"/>
        <a:ext cx="4788874" cy="643105"/>
      </dsp:txXfrm>
    </dsp:sp>
    <dsp:sp modelId="{508B63F9-1DA9-461F-827E-EC63429A152C}">
      <dsp:nvSpPr>
        <dsp:cNvPr id="0" name=""/>
        <dsp:cNvSpPr/>
      </dsp:nvSpPr>
      <dsp:spPr>
        <a:xfrm rot="5400000">
          <a:off x="-164466" y="1866206"/>
          <a:ext cx="1096442" cy="767509"/>
        </a:xfrm>
        <a:prstGeom prst="chevron">
          <a:avLst/>
        </a:prstGeom>
        <a:solidFill>
          <a:srgbClr val="E7E6E6">
            <a:lumMod val="90000"/>
          </a:srgbClr>
        </a:solidFill>
        <a:ln w="12700" cap="flat" cmpd="sng" algn="ctr">
          <a:solidFill>
            <a:srgbClr val="E7E6E6">
              <a:lumMod val="9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pt-BR" sz="1100" kern="1200">
              <a:solidFill>
                <a:sysClr val="windowText" lastClr="000000"/>
              </a:solidFill>
              <a:latin typeface="Arial" panose="020B0604020202020204" pitchFamily="34" charset="0"/>
              <a:ea typeface="+mn-ea"/>
              <a:cs typeface="Arial" panose="020B0604020202020204" pitchFamily="34" charset="0"/>
            </a:rPr>
            <a:t>Intervenção</a:t>
          </a:r>
        </a:p>
      </dsp:txBody>
      <dsp:txXfrm rot="-5400000">
        <a:off x="1" y="2085495"/>
        <a:ext cx="767509" cy="328933"/>
      </dsp:txXfrm>
    </dsp:sp>
    <dsp:sp modelId="{7CB11720-5D9B-4271-8654-CE89BF2A9A2A}">
      <dsp:nvSpPr>
        <dsp:cNvPr id="0" name=""/>
        <dsp:cNvSpPr/>
      </dsp:nvSpPr>
      <dsp:spPr>
        <a:xfrm rot="5400000">
          <a:off x="2822998" y="-150774"/>
          <a:ext cx="712687" cy="4823665"/>
        </a:xfrm>
        <a:prstGeom prst="round2SameRect">
          <a:avLst/>
        </a:prstGeom>
        <a:solidFill>
          <a:sysClr val="window" lastClr="FFFFFF">
            <a:alpha val="90000"/>
            <a:hueOff val="0"/>
            <a:satOff val="0"/>
            <a:lumOff val="0"/>
            <a:alphaOff val="0"/>
          </a:sysClr>
        </a:solidFill>
        <a:ln w="1905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2 semanas de adaptação</a:t>
          </a:r>
        </a:p>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16 semanas de treinamento de força ou atividade recreativa, Vitamina D ou substância placebo</a:t>
          </a:r>
          <a:r>
            <a:rPr lang="pt-BR" sz="1500" kern="1200">
              <a:solidFill>
                <a:sysClr val="windowText" lastClr="000000"/>
              </a:solidFill>
              <a:latin typeface="Arial" panose="020B0604020202020204" pitchFamily="34" charset="0"/>
              <a:ea typeface="+mn-ea"/>
              <a:cs typeface="Arial" panose="020B0604020202020204" pitchFamily="34" charset="0"/>
            </a:rPr>
            <a:t>.</a:t>
          </a:r>
          <a:endParaRPr lang="pt-BR" sz="1200" kern="1200">
            <a:solidFill>
              <a:sysClr val="windowText" lastClr="000000"/>
            </a:solidFill>
            <a:latin typeface="Arial" panose="020B0604020202020204" pitchFamily="34" charset="0"/>
            <a:ea typeface="+mn-ea"/>
            <a:cs typeface="Arial" panose="020B0604020202020204" pitchFamily="34" charset="0"/>
          </a:endParaRPr>
        </a:p>
      </dsp:txBody>
      <dsp:txXfrm rot="-5400000">
        <a:off x="767510" y="1939505"/>
        <a:ext cx="4788874" cy="643105"/>
      </dsp:txXfrm>
    </dsp:sp>
    <dsp:sp modelId="{E53FA06E-B46E-4376-B478-5A688482999C}">
      <dsp:nvSpPr>
        <dsp:cNvPr id="0" name=""/>
        <dsp:cNvSpPr/>
      </dsp:nvSpPr>
      <dsp:spPr>
        <a:xfrm rot="5400000">
          <a:off x="-164466" y="2836268"/>
          <a:ext cx="1096442" cy="767509"/>
        </a:xfrm>
        <a:prstGeom prst="chevron">
          <a:avLst/>
        </a:prstGeom>
        <a:solidFill>
          <a:srgbClr val="E7E6E6">
            <a:lumMod val="90000"/>
          </a:srgbClr>
        </a:solidFill>
        <a:ln w="12700" cap="flat" cmpd="sng" algn="ctr">
          <a:solidFill>
            <a:srgbClr val="E7E6E6">
              <a:lumMod val="9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pt-BR" sz="1200" kern="1200">
              <a:solidFill>
                <a:sysClr val="windowText" lastClr="000000"/>
              </a:solidFill>
              <a:latin typeface="Arial" panose="020B0604020202020204" pitchFamily="34" charset="0"/>
              <a:ea typeface="+mn-ea"/>
              <a:cs typeface="Arial" panose="020B0604020202020204" pitchFamily="34" charset="0"/>
            </a:rPr>
            <a:t>1</a:t>
          </a:r>
          <a:r>
            <a:rPr lang="pt-BR" sz="1200" kern="1200" baseline="30000">
              <a:solidFill>
                <a:sysClr val="windowText" lastClr="000000"/>
              </a:solidFill>
              <a:latin typeface="Arial" panose="020B0604020202020204" pitchFamily="34" charset="0"/>
              <a:ea typeface="+mn-ea"/>
              <a:cs typeface="Arial" panose="020B0604020202020204" pitchFamily="34" charset="0"/>
            </a:rPr>
            <a:t>a</a:t>
          </a:r>
          <a:r>
            <a:rPr lang="pt-BR" sz="1200" kern="1200">
              <a:solidFill>
                <a:sysClr val="windowText" lastClr="000000"/>
              </a:solidFill>
              <a:latin typeface="Arial" panose="020B0604020202020204" pitchFamily="34" charset="0"/>
              <a:ea typeface="+mn-ea"/>
              <a:cs typeface="Arial" panose="020B0604020202020204" pitchFamily="34" charset="0"/>
            </a:rPr>
            <a:t> visita</a:t>
          </a:r>
        </a:p>
        <a:p>
          <a:pPr lvl="0" algn="ctr" defTabSz="533400">
            <a:lnSpc>
              <a:spcPct val="90000"/>
            </a:lnSpc>
            <a:spcBef>
              <a:spcPct val="0"/>
            </a:spcBef>
            <a:spcAft>
              <a:spcPct val="35000"/>
            </a:spcAft>
          </a:pPr>
          <a:r>
            <a:rPr lang="pt-BR" sz="1050" kern="1200">
              <a:solidFill>
                <a:sysClr val="windowText" lastClr="000000"/>
              </a:solidFill>
              <a:latin typeface="Arial" panose="020B0604020202020204" pitchFamily="34" charset="0"/>
              <a:ea typeface="+mn-ea"/>
              <a:cs typeface="Arial" panose="020B0604020202020204" pitchFamily="34" charset="0"/>
            </a:rPr>
            <a:t>Pós-Teste</a:t>
          </a:r>
        </a:p>
      </dsp:txBody>
      <dsp:txXfrm rot="-5400000">
        <a:off x="1" y="3055557"/>
        <a:ext cx="767509" cy="328933"/>
      </dsp:txXfrm>
    </dsp:sp>
    <dsp:sp modelId="{D158D4A6-2209-43AC-B257-0E11C5A6D257}">
      <dsp:nvSpPr>
        <dsp:cNvPr id="0" name=""/>
        <dsp:cNvSpPr/>
      </dsp:nvSpPr>
      <dsp:spPr>
        <a:xfrm rot="5400000">
          <a:off x="2822998" y="789211"/>
          <a:ext cx="712687" cy="4823665"/>
        </a:xfrm>
        <a:prstGeom prst="round2SameRect">
          <a:avLst/>
        </a:prstGeom>
        <a:solidFill>
          <a:sysClr val="window" lastClr="FFFFFF">
            <a:alpha val="90000"/>
            <a:hueOff val="0"/>
            <a:satOff val="0"/>
            <a:lumOff val="0"/>
            <a:alphaOff val="0"/>
          </a:sysClr>
        </a:solidFill>
        <a:ln w="1905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Coleta de amostra sanguínea</a:t>
          </a:r>
          <a:endParaRPr lang="pt-BR" sz="1200" kern="1200">
            <a:solidFill>
              <a:sysClr val="windowText" lastClr="000000"/>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Avaliação da massa corporal, estatura </a:t>
          </a:r>
          <a:r>
            <a:rPr lang="pt-BR" sz="1200" strike="noStrike" kern="1200">
              <a:solidFill>
                <a:sysClr val="windowText" lastClr="000000"/>
              </a:solidFill>
              <a:latin typeface="Arial" panose="020B0604020202020204" pitchFamily="34" charset="0"/>
              <a:ea typeface="+mn-ea"/>
              <a:cs typeface="Arial" panose="020B0604020202020204" pitchFamily="34" charset="0"/>
            </a:rPr>
            <a:t>e</a:t>
          </a:r>
          <a:r>
            <a:rPr lang="pt-BR" sz="1200" kern="1200">
              <a:solidFill>
                <a:sysClr val="windowText" lastClr="000000"/>
              </a:solidFill>
              <a:latin typeface="Arial" panose="020B0604020202020204" pitchFamily="34" charset="0"/>
              <a:ea typeface="+mn-ea"/>
              <a:cs typeface="Arial" panose="020B0604020202020204" pitchFamily="34" charset="0"/>
            </a:rPr>
            <a:t> composição corporal.</a:t>
          </a:r>
          <a:endParaRPr lang="pt-BR" sz="1200" kern="1200">
            <a:solidFill>
              <a:sysClr val="windowText" lastClr="000000"/>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pt-BR" sz="1200" kern="1200">
              <a:solidFill>
                <a:sysClr val="windowText" lastClr="000000"/>
              </a:solidFill>
              <a:latin typeface="Arial" panose="020B0604020202020204" pitchFamily="34" charset="0"/>
              <a:ea typeface="+mn-ea"/>
              <a:cs typeface="Arial" panose="020B0604020202020204" pitchFamily="34" charset="0"/>
            </a:rPr>
            <a:t>Testes de força membros superiores e inferiores</a:t>
          </a:r>
          <a:endParaRPr lang="pt-BR" sz="1200" kern="1200">
            <a:solidFill>
              <a:sysClr val="windowText" lastClr="000000"/>
            </a:solidFill>
            <a:latin typeface="Calibri" panose="020F0502020204030204"/>
            <a:ea typeface="+mn-ea"/>
            <a:cs typeface="+mn-cs"/>
          </a:endParaRPr>
        </a:p>
      </dsp:txBody>
      <dsp:txXfrm rot="-5400000">
        <a:off x="767510" y="2879491"/>
        <a:ext cx="4788874" cy="64310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8A"/>
    <w:rsid w:val="00572D48"/>
    <w:rsid w:val="00BA1A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51698461B77A40B0A03EECE97F7BB62F">
    <w:name w:val="51698461B77A40B0A03EECE97F7BB62F"/>
    <w:rsid w:val="00BA1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2C1C-7E3C-4DC7-A6D3-09A3EE75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5989</Words>
  <Characters>32344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rosa</dc:creator>
  <cp:keywords/>
  <dc:description/>
  <cp:lastModifiedBy>lorena rosa</cp:lastModifiedBy>
  <cp:revision>2</cp:revision>
  <dcterms:created xsi:type="dcterms:W3CDTF">2023-07-04T23:49:00Z</dcterms:created>
  <dcterms:modified xsi:type="dcterms:W3CDTF">2023-07-06T23:21:00Z</dcterms:modified>
</cp:coreProperties>
</file>