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879439" w14:textId="12341AE5" w:rsidR="00064900" w:rsidRDefault="00064900" w:rsidP="00043886">
      <w:pPr>
        <w:jc w:val="center"/>
        <w:rPr>
          <w:rFonts w:ascii="Calibri" w:hAnsi="Calibri" w:cs="Calibri"/>
          <w:b/>
          <w:color w:val="000000"/>
          <w:sz w:val="24"/>
          <w:szCs w:val="24"/>
        </w:rPr>
      </w:pPr>
    </w:p>
    <w:p w14:paraId="39AC6F8B" w14:textId="77777777" w:rsidR="00064900" w:rsidRPr="00064900" w:rsidRDefault="00846357" w:rsidP="00043886">
      <w:pPr>
        <w:jc w:val="center"/>
        <w:rPr>
          <w:rFonts w:ascii="Calibri" w:hAnsi="Calibri" w:cs="Calibri"/>
          <w:b/>
          <w:color w:val="000000"/>
          <w:sz w:val="28"/>
          <w:szCs w:val="28"/>
        </w:rPr>
      </w:pPr>
      <w:r w:rsidRPr="00064900">
        <w:rPr>
          <w:rFonts w:ascii="Calibri" w:hAnsi="Calibri" w:cs="Calibri"/>
          <w:b/>
          <w:color w:val="000000"/>
          <w:sz w:val="28"/>
          <w:szCs w:val="28"/>
        </w:rPr>
        <w:t>Método não invasivo de monitorização da pressão intracraniana</w:t>
      </w:r>
    </w:p>
    <w:p w14:paraId="1A2E2FFC" w14:textId="294E3DFA" w:rsidR="002D32E8" w:rsidRPr="00064900" w:rsidRDefault="00846357" w:rsidP="00043886">
      <w:pPr>
        <w:jc w:val="center"/>
        <w:rPr>
          <w:rFonts w:ascii="Calibri" w:hAnsi="Calibri" w:cs="Calibri"/>
          <w:b/>
          <w:color w:val="000000"/>
          <w:sz w:val="28"/>
          <w:szCs w:val="28"/>
          <w:shd w:val="clear" w:color="auto" w:fill="FFFFFF"/>
        </w:rPr>
      </w:pPr>
      <w:r w:rsidRPr="00064900">
        <w:rPr>
          <w:rFonts w:ascii="Calibri" w:hAnsi="Calibri" w:cs="Calibri"/>
          <w:b/>
          <w:color w:val="000000"/>
          <w:sz w:val="28"/>
          <w:szCs w:val="28"/>
        </w:rPr>
        <w:t xml:space="preserve"> para avaliação de encefalopatia hepática</w:t>
      </w:r>
    </w:p>
    <w:p w14:paraId="3EE8A50C" w14:textId="77777777" w:rsidR="00756106" w:rsidRPr="00064900" w:rsidRDefault="00756106" w:rsidP="00756106">
      <w:pPr>
        <w:rPr>
          <w:rFonts w:ascii="Calibri" w:hAnsi="Calibri" w:cs="Calibri"/>
          <w:b/>
          <w:color w:val="000000"/>
          <w:sz w:val="32"/>
          <w:szCs w:val="32"/>
          <w:shd w:val="clear" w:color="auto" w:fill="FFFFFF"/>
        </w:rPr>
      </w:pPr>
    </w:p>
    <w:p w14:paraId="459FD2B8" w14:textId="77777777" w:rsidR="00886DEB" w:rsidRPr="00043886" w:rsidRDefault="00886DEB" w:rsidP="00043886">
      <w:pPr>
        <w:rPr>
          <w:rFonts w:ascii="Calibri" w:hAnsi="Calibri" w:cs="Calibri"/>
          <w:b/>
          <w:sz w:val="24"/>
          <w:szCs w:val="24"/>
        </w:rPr>
      </w:pPr>
    </w:p>
    <w:p w14:paraId="1F63C84B" w14:textId="77777777" w:rsidR="00886DEB" w:rsidRPr="00043886" w:rsidRDefault="00886DEB" w:rsidP="00043886">
      <w:pPr>
        <w:rPr>
          <w:rFonts w:ascii="Calibri" w:hAnsi="Calibri" w:cs="Calibri"/>
          <w:b/>
          <w:sz w:val="24"/>
          <w:szCs w:val="24"/>
        </w:rPr>
      </w:pPr>
    </w:p>
    <w:p w14:paraId="60C2C694" w14:textId="5BD50D96" w:rsidR="00043886" w:rsidRPr="00F62FC9" w:rsidRDefault="00C27EE0" w:rsidP="00AD6E74">
      <w:pPr>
        <w:pStyle w:val="Ttulo1"/>
        <w:spacing w:line="240" w:lineRule="auto"/>
        <w:rPr>
          <w:rFonts w:ascii="Calibri" w:hAnsi="Calibri" w:cs="Calibri"/>
        </w:rPr>
      </w:pPr>
      <w:bookmarkStart w:id="0" w:name="_Toc64578287"/>
      <w:bookmarkStart w:id="1" w:name="_Toc64578443"/>
      <w:r w:rsidRPr="00043886">
        <w:rPr>
          <w:rFonts w:ascii="Calibri" w:hAnsi="Calibri" w:cs="Calibri"/>
        </w:rPr>
        <w:t>Resumo</w:t>
      </w:r>
      <w:bookmarkEnd w:id="0"/>
      <w:bookmarkEnd w:id="1"/>
      <w:r w:rsidR="002273D2">
        <w:rPr>
          <w:rFonts w:ascii="Calibri" w:hAnsi="Calibri" w:cs="Calibri"/>
          <w:b w:val="0"/>
          <w:bCs/>
        </w:rPr>
        <w:t xml:space="preserve">: Doenças hepáticas </w:t>
      </w:r>
      <w:r w:rsidR="003D1E91">
        <w:rPr>
          <w:rFonts w:ascii="Calibri" w:hAnsi="Calibri" w:cs="Calibri"/>
          <w:b w:val="0"/>
          <w:bCs/>
        </w:rPr>
        <w:t>freque</w:t>
      </w:r>
      <w:r w:rsidR="0007782E">
        <w:rPr>
          <w:rFonts w:ascii="Calibri" w:hAnsi="Calibri" w:cs="Calibri"/>
          <w:b w:val="0"/>
          <w:bCs/>
        </w:rPr>
        <w:t xml:space="preserve">ntemente cursam </w:t>
      </w:r>
      <w:r w:rsidR="0006155D">
        <w:rPr>
          <w:rFonts w:ascii="Calibri" w:hAnsi="Calibri" w:cs="Calibri"/>
          <w:b w:val="0"/>
          <w:bCs/>
        </w:rPr>
        <w:t>com encefalopatia</w:t>
      </w:r>
      <w:r w:rsidR="00F6022D">
        <w:rPr>
          <w:rFonts w:ascii="Calibri" w:hAnsi="Calibri" w:cs="Calibri"/>
          <w:b w:val="0"/>
          <w:bCs/>
        </w:rPr>
        <w:t xml:space="preserve"> hepática (EH), cuj</w:t>
      </w:r>
      <w:r w:rsidR="003C2A1F">
        <w:rPr>
          <w:rFonts w:ascii="Calibri" w:hAnsi="Calibri" w:cs="Calibri"/>
          <w:b w:val="0"/>
          <w:bCs/>
        </w:rPr>
        <w:t xml:space="preserve">a fisiopatologia </w:t>
      </w:r>
      <w:r w:rsidR="00917E6A">
        <w:rPr>
          <w:rFonts w:ascii="Calibri" w:hAnsi="Calibri" w:cs="Calibri"/>
          <w:b w:val="0"/>
          <w:bCs/>
        </w:rPr>
        <w:t>pode envolver</w:t>
      </w:r>
      <w:r w:rsidR="003C2A1F">
        <w:rPr>
          <w:rFonts w:ascii="Calibri" w:hAnsi="Calibri" w:cs="Calibri"/>
          <w:b w:val="0"/>
          <w:bCs/>
        </w:rPr>
        <w:t xml:space="preserve"> </w:t>
      </w:r>
      <w:r w:rsidR="00265DC6">
        <w:rPr>
          <w:rFonts w:ascii="Calibri" w:hAnsi="Calibri" w:cs="Calibri"/>
          <w:b w:val="0"/>
          <w:bCs/>
        </w:rPr>
        <w:t>aumento da pressão intracraniana (PIC)</w:t>
      </w:r>
      <w:r w:rsidR="005A40B5">
        <w:rPr>
          <w:rFonts w:ascii="Calibri" w:hAnsi="Calibri" w:cs="Calibri"/>
          <w:b w:val="0"/>
          <w:bCs/>
        </w:rPr>
        <w:t>, edema</w:t>
      </w:r>
      <w:r w:rsidR="00265DC6">
        <w:rPr>
          <w:rFonts w:ascii="Calibri" w:hAnsi="Calibri" w:cs="Calibri"/>
          <w:b w:val="0"/>
          <w:bCs/>
        </w:rPr>
        <w:t xml:space="preserve"> e alterações</w:t>
      </w:r>
      <w:r w:rsidR="00F6022D">
        <w:rPr>
          <w:rFonts w:ascii="Calibri" w:hAnsi="Calibri" w:cs="Calibri"/>
          <w:b w:val="0"/>
          <w:bCs/>
        </w:rPr>
        <w:t xml:space="preserve"> </w:t>
      </w:r>
      <w:r w:rsidR="00B87639">
        <w:rPr>
          <w:rFonts w:ascii="Calibri" w:hAnsi="Calibri" w:cs="Calibri"/>
          <w:b w:val="0"/>
          <w:bCs/>
        </w:rPr>
        <w:t>na complacência cerebral</w:t>
      </w:r>
      <w:r w:rsidR="00265DC6">
        <w:rPr>
          <w:rFonts w:ascii="Calibri" w:hAnsi="Calibri" w:cs="Calibri"/>
          <w:b w:val="0"/>
          <w:bCs/>
        </w:rPr>
        <w:t xml:space="preserve">. </w:t>
      </w:r>
      <w:r w:rsidR="00FC263C">
        <w:rPr>
          <w:rFonts w:ascii="Calibri" w:hAnsi="Calibri" w:cs="Calibri"/>
          <w:b w:val="0"/>
          <w:bCs/>
        </w:rPr>
        <w:t xml:space="preserve">Nesses casos, ferramentas de monitorização da PIC e sua morfologia de pulso podem ser úteis para diagnóstico e prognóstico da EH, apesar de tipicamente invasivas e incorrerem riscos. </w:t>
      </w:r>
      <w:r w:rsidR="002D32E8" w:rsidRPr="003215F1">
        <w:rPr>
          <w:rFonts w:ascii="Calibri" w:hAnsi="Calibri" w:cs="Calibri"/>
          <w:bCs/>
        </w:rPr>
        <w:t>Objetivo:</w:t>
      </w:r>
      <w:r w:rsidR="002D32E8" w:rsidRPr="003215F1">
        <w:rPr>
          <w:rFonts w:ascii="Calibri" w:hAnsi="Calibri" w:cs="Calibri"/>
        </w:rPr>
        <w:t xml:space="preserve"> </w:t>
      </w:r>
      <w:bookmarkStart w:id="2" w:name="_Hlk64574791"/>
      <w:r w:rsidR="00F01C68">
        <w:rPr>
          <w:rFonts w:ascii="Calibri" w:hAnsi="Calibri" w:cs="Calibri"/>
          <w:b w:val="0"/>
          <w:bCs/>
        </w:rPr>
        <w:t>Almeja-se t</w:t>
      </w:r>
      <w:r w:rsidR="003215F1">
        <w:rPr>
          <w:rFonts w:ascii="Calibri" w:hAnsi="Calibri" w:cs="Calibri"/>
          <w:b w:val="0"/>
          <w:bCs/>
        </w:rPr>
        <w:t xml:space="preserve">estar um método não invasivo de monitorização da PIC </w:t>
      </w:r>
      <w:r w:rsidR="008D418E">
        <w:rPr>
          <w:rFonts w:ascii="Calibri" w:hAnsi="Calibri" w:cs="Calibri"/>
          <w:b w:val="0"/>
          <w:bCs/>
        </w:rPr>
        <w:t>como alternativa ao</w:t>
      </w:r>
      <w:r w:rsidR="00596218">
        <w:rPr>
          <w:rFonts w:ascii="Calibri" w:hAnsi="Calibri" w:cs="Calibri"/>
          <w:b w:val="0"/>
          <w:bCs/>
        </w:rPr>
        <w:t>s métodos</w:t>
      </w:r>
      <w:r w:rsidR="008D418E">
        <w:rPr>
          <w:rFonts w:ascii="Calibri" w:hAnsi="Calibri" w:cs="Calibri"/>
          <w:b w:val="0"/>
          <w:bCs/>
        </w:rPr>
        <w:t xml:space="preserve"> invasivo</w:t>
      </w:r>
      <w:r w:rsidR="00596218">
        <w:rPr>
          <w:rFonts w:ascii="Calibri" w:hAnsi="Calibri" w:cs="Calibri"/>
          <w:b w:val="0"/>
          <w:bCs/>
        </w:rPr>
        <w:t>s</w:t>
      </w:r>
      <w:r w:rsidR="008D418E">
        <w:rPr>
          <w:rFonts w:ascii="Calibri" w:hAnsi="Calibri" w:cs="Calibri"/>
          <w:b w:val="0"/>
          <w:bCs/>
        </w:rPr>
        <w:t>.</w:t>
      </w:r>
      <w:r w:rsidR="00273B36">
        <w:rPr>
          <w:rFonts w:ascii="Calibri" w:hAnsi="Calibri" w:cs="Calibri"/>
          <w:b w:val="0"/>
          <w:bCs/>
        </w:rPr>
        <w:t xml:space="preserve"> </w:t>
      </w:r>
      <w:bookmarkEnd w:id="2"/>
      <w:r w:rsidR="002D32E8" w:rsidRPr="002C54F8">
        <w:rPr>
          <w:rFonts w:ascii="Calibri" w:hAnsi="Calibri" w:cs="Calibri"/>
          <w:bCs/>
        </w:rPr>
        <w:t>Método:</w:t>
      </w:r>
      <w:r w:rsidR="00FF0D3E" w:rsidRPr="002C54F8">
        <w:rPr>
          <w:rFonts w:ascii="Calibri" w:hAnsi="Calibri" w:cs="Calibri"/>
          <w:bCs/>
        </w:rPr>
        <w:t xml:space="preserve"> </w:t>
      </w:r>
      <w:r w:rsidR="00993135">
        <w:rPr>
          <w:rFonts w:ascii="Calibri" w:hAnsi="Calibri" w:cs="Calibri"/>
          <w:b w:val="0"/>
        </w:rPr>
        <w:t>Pelos pulsos oscilatórios de dilatação craniana, o receptor mecânico do aparelho BWS da Brain4Care® captará alterações na PIC</w:t>
      </w:r>
      <w:r w:rsidR="00B50EB1">
        <w:rPr>
          <w:rFonts w:ascii="Calibri" w:hAnsi="Calibri" w:cs="Calibri"/>
          <w:b w:val="0"/>
        </w:rPr>
        <w:t xml:space="preserve">. </w:t>
      </w:r>
      <w:r w:rsidR="002D32E8" w:rsidRPr="00AD6E74">
        <w:rPr>
          <w:rFonts w:ascii="Calibri" w:hAnsi="Calibri" w:cs="Calibri"/>
          <w:bCs/>
        </w:rPr>
        <w:t>Resultados Esperados:</w:t>
      </w:r>
      <w:r w:rsidR="002D32E8" w:rsidRPr="00AD6E74">
        <w:rPr>
          <w:rFonts w:ascii="Calibri" w:hAnsi="Calibri" w:cs="Calibri"/>
        </w:rPr>
        <w:t xml:space="preserve"> </w:t>
      </w:r>
      <w:r w:rsidR="00AD6E74">
        <w:rPr>
          <w:rFonts w:ascii="Calibri" w:hAnsi="Calibri" w:cs="Calibri"/>
          <w:b w:val="0"/>
          <w:bCs/>
        </w:rPr>
        <w:t xml:space="preserve">Espera-se contribuir </w:t>
      </w:r>
      <w:r w:rsidR="00425970">
        <w:rPr>
          <w:rFonts w:ascii="Calibri" w:hAnsi="Calibri" w:cs="Calibri"/>
          <w:b w:val="0"/>
          <w:bCs/>
        </w:rPr>
        <w:t xml:space="preserve">com </w:t>
      </w:r>
      <w:r w:rsidR="009D62D7">
        <w:rPr>
          <w:rFonts w:ascii="Calibri" w:hAnsi="Calibri" w:cs="Calibri"/>
          <w:b w:val="0"/>
          <w:bCs/>
        </w:rPr>
        <w:t>a validação</w:t>
      </w:r>
      <w:r w:rsidR="009D5704">
        <w:rPr>
          <w:rFonts w:ascii="Calibri" w:hAnsi="Calibri" w:cs="Calibri"/>
          <w:b w:val="0"/>
          <w:bCs/>
        </w:rPr>
        <w:t xml:space="preserve"> de uma ferramenta </w:t>
      </w:r>
      <w:r w:rsidR="00E61614">
        <w:rPr>
          <w:rFonts w:ascii="Calibri" w:hAnsi="Calibri" w:cs="Calibri"/>
          <w:b w:val="0"/>
          <w:bCs/>
        </w:rPr>
        <w:t>para o diagnóstico precoce</w:t>
      </w:r>
      <w:r w:rsidR="00AA0CB7">
        <w:rPr>
          <w:rFonts w:ascii="Calibri" w:hAnsi="Calibri" w:cs="Calibri"/>
          <w:b w:val="0"/>
          <w:bCs/>
        </w:rPr>
        <w:t>,</w:t>
      </w:r>
      <w:r w:rsidR="00AC20E8">
        <w:rPr>
          <w:rFonts w:ascii="Calibri" w:hAnsi="Calibri" w:cs="Calibri"/>
          <w:b w:val="0"/>
          <w:bCs/>
        </w:rPr>
        <w:t xml:space="preserve"> e não invasivo, </w:t>
      </w:r>
      <w:r w:rsidR="00E61614">
        <w:rPr>
          <w:rFonts w:ascii="Calibri" w:hAnsi="Calibri" w:cs="Calibri"/>
          <w:b w:val="0"/>
          <w:bCs/>
        </w:rPr>
        <w:t>de EH, permitindo intervenções antecipadas capazes e melhorar o prognóstico d</w:t>
      </w:r>
      <w:r w:rsidR="00AC20E8">
        <w:rPr>
          <w:rFonts w:ascii="Calibri" w:hAnsi="Calibri" w:cs="Calibri"/>
          <w:b w:val="0"/>
          <w:bCs/>
        </w:rPr>
        <w:t xml:space="preserve">os pacientes, </w:t>
      </w:r>
      <w:r w:rsidR="00E61614">
        <w:rPr>
          <w:rFonts w:ascii="Calibri" w:hAnsi="Calibri" w:cs="Calibri"/>
          <w:b w:val="0"/>
          <w:bCs/>
        </w:rPr>
        <w:t>bem como</w:t>
      </w:r>
      <w:r w:rsidR="006C557F">
        <w:rPr>
          <w:rFonts w:ascii="Calibri" w:hAnsi="Calibri" w:cs="Calibri"/>
          <w:b w:val="0"/>
          <w:bCs/>
        </w:rPr>
        <w:t xml:space="preserve"> sugerir </w:t>
      </w:r>
      <w:r w:rsidR="006C557F" w:rsidRPr="00F62FC9">
        <w:rPr>
          <w:rFonts w:ascii="Calibri" w:hAnsi="Calibri" w:cs="Calibri"/>
          <w:b w:val="0"/>
          <w:bCs/>
        </w:rPr>
        <w:t>protocolos de monitorização</w:t>
      </w:r>
      <w:r w:rsidR="00BB48E5" w:rsidRPr="00F62FC9">
        <w:rPr>
          <w:rFonts w:ascii="Calibri" w:hAnsi="Calibri" w:cs="Calibri"/>
          <w:b w:val="0"/>
          <w:bCs/>
        </w:rPr>
        <w:t xml:space="preserve"> da PIC em hepatopatas</w:t>
      </w:r>
      <w:r w:rsidR="008F7C1B" w:rsidRPr="00F62FC9">
        <w:rPr>
          <w:rFonts w:ascii="Calibri" w:hAnsi="Calibri" w:cs="Calibri"/>
          <w:b w:val="0"/>
          <w:bCs/>
        </w:rPr>
        <w:t xml:space="preserve"> </w:t>
      </w:r>
      <w:r w:rsidR="00081749">
        <w:rPr>
          <w:rFonts w:ascii="Calibri" w:hAnsi="Calibri" w:cs="Calibri"/>
          <w:b w:val="0"/>
          <w:bCs/>
        </w:rPr>
        <w:t xml:space="preserve">crônicos </w:t>
      </w:r>
      <w:r w:rsidR="008F7C1B" w:rsidRPr="00F62FC9">
        <w:rPr>
          <w:rFonts w:ascii="Calibri" w:hAnsi="Calibri" w:cs="Calibri"/>
          <w:b w:val="0"/>
          <w:bCs/>
        </w:rPr>
        <w:t>durante seu acompanhamento clínico e peri-cirúrgico</w:t>
      </w:r>
      <w:r w:rsidR="00BB48E5" w:rsidRPr="00F62FC9">
        <w:rPr>
          <w:rFonts w:ascii="Calibri" w:hAnsi="Calibri" w:cs="Calibri"/>
          <w:b w:val="0"/>
          <w:bCs/>
        </w:rPr>
        <w:t>.</w:t>
      </w:r>
    </w:p>
    <w:p w14:paraId="0B326396" w14:textId="32489954" w:rsidR="0016207A" w:rsidRPr="00F62FC9" w:rsidRDefault="00217EB5" w:rsidP="00AD6E74">
      <w:pPr>
        <w:ind w:left="360"/>
        <w:jc w:val="both"/>
        <w:rPr>
          <w:rFonts w:ascii="Calibri" w:hAnsi="Calibri" w:cs="Calibri"/>
          <w:sz w:val="24"/>
          <w:szCs w:val="24"/>
        </w:rPr>
      </w:pPr>
      <w:r w:rsidRPr="00F62FC9">
        <w:rPr>
          <w:rFonts w:ascii="Calibri" w:hAnsi="Calibri" w:cs="Calibri"/>
          <w:b/>
          <w:sz w:val="24"/>
          <w:szCs w:val="24"/>
        </w:rPr>
        <w:t>Descritores:</w:t>
      </w:r>
      <w:r w:rsidRPr="00F62FC9">
        <w:rPr>
          <w:rFonts w:ascii="Calibri" w:hAnsi="Calibri" w:cs="Calibri"/>
          <w:sz w:val="24"/>
          <w:szCs w:val="24"/>
        </w:rPr>
        <w:t xml:space="preserve"> </w:t>
      </w:r>
      <w:r w:rsidR="00AD6E74" w:rsidRPr="00F62FC9">
        <w:rPr>
          <w:rFonts w:ascii="Calibri" w:hAnsi="Calibri" w:cs="Calibri"/>
          <w:sz w:val="24"/>
          <w:szCs w:val="24"/>
        </w:rPr>
        <w:t>encefalopatia hepática; pressão intracraniana não</w:t>
      </w:r>
      <w:r w:rsidR="008F7C1B" w:rsidRPr="00F62FC9">
        <w:rPr>
          <w:rFonts w:ascii="Calibri" w:hAnsi="Calibri" w:cs="Calibri"/>
          <w:sz w:val="24"/>
          <w:szCs w:val="24"/>
        </w:rPr>
        <w:t>-</w:t>
      </w:r>
      <w:r w:rsidR="00AD6E74" w:rsidRPr="00F62FC9">
        <w:rPr>
          <w:rFonts w:ascii="Calibri" w:hAnsi="Calibri" w:cs="Calibri"/>
          <w:sz w:val="24"/>
          <w:szCs w:val="24"/>
        </w:rPr>
        <w:t>invasiva; Brain4Care</w:t>
      </w:r>
    </w:p>
    <w:p w14:paraId="3FD1F288" w14:textId="77777777" w:rsidR="00043886" w:rsidRPr="00F62FC9" w:rsidRDefault="00043886" w:rsidP="00043886">
      <w:pPr>
        <w:ind w:firstLine="360"/>
        <w:jc w:val="both"/>
        <w:rPr>
          <w:rFonts w:ascii="Calibri" w:hAnsi="Calibri" w:cs="Calibri"/>
          <w:sz w:val="24"/>
          <w:szCs w:val="24"/>
        </w:rPr>
      </w:pPr>
    </w:p>
    <w:p w14:paraId="0A59E904" w14:textId="381A838A" w:rsidR="00232C45" w:rsidRPr="00F62FC9" w:rsidRDefault="000F293E" w:rsidP="00CF3613">
      <w:pPr>
        <w:pStyle w:val="Ttulo1"/>
        <w:spacing w:line="240" w:lineRule="auto"/>
        <w:rPr>
          <w:rFonts w:ascii="Calibri" w:hAnsi="Calibri" w:cs="Calibri"/>
        </w:rPr>
      </w:pPr>
      <w:bookmarkStart w:id="3" w:name="_Toc64578289"/>
      <w:bookmarkStart w:id="4" w:name="_Toc64578445"/>
      <w:r w:rsidRPr="00F62FC9">
        <w:rPr>
          <w:rFonts w:ascii="Calibri" w:hAnsi="Calibri" w:cs="Calibri"/>
        </w:rPr>
        <w:t>Introdução</w:t>
      </w:r>
      <w:bookmarkEnd w:id="3"/>
      <w:bookmarkEnd w:id="4"/>
    </w:p>
    <w:p w14:paraId="075ADA7D" w14:textId="092C7B85" w:rsidR="00E73F17" w:rsidRPr="00F62FC9" w:rsidRDefault="00E73F17" w:rsidP="00255246">
      <w:pPr>
        <w:ind w:firstLine="360"/>
        <w:jc w:val="both"/>
        <w:rPr>
          <w:rFonts w:ascii="Calibri" w:hAnsi="Calibri" w:cs="Calibri"/>
          <w:sz w:val="24"/>
          <w:szCs w:val="24"/>
        </w:rPr>
      </w:pPr>
      <w:r w:rsidRPr="00F62FC9">
        <w:rPr>
          <w:rFonts w:ascii="Calibri" w:hAnsi="Calibri" w:cs="Calibri"/>
          <w:sz w:val="24"/>
          <w:szCs w:val="24"/>
        </w:rPr>
        <w:t xml:space="preserve">O fígado é </w:t>
      </w:r>
      <w:r w:rsidR="007D75BA" w:rsidRPr="00F62FC9">
        <w:rPr>
          <w:rFonts w:ascii="Calibri" w:hAnsi="Calibri" w:cs="Calibri"/>
          <w:sz w:val="24"/>
          <w:szCs w:val="24"/>
        </w:rPr>
        <w:t xml:space="preserve">considerado a maior glândula do corpo, com funções exócrinas e endócrinas, </w:t>
      </w:r>
      <w:r w:rsidR="008A5344" w:rsidRPr="00F62FC9">
        <w:rPr>
          <w:rFonts w:ascii="Calibri" w:hAnsi="Calibri" w:cs="Calibri"/>
          <w:sz w:val="24"/>
          <w:szCs w:val="24"/>
        </w:rPr>
        <w:t xml:space="preserve">de tal forma que </w:t>
      </w:r>
      <w:r w:rsidR="00FF5777" w:rsidRPr="00F62FC9">
        <w:rPr>
          <w:rFonts w:ascii="Calibri" w:hAnsi="Calibri" w:cs="Calibri"/>
          <w:sz w:val="24"/>
          <w:szCs w:val="24"/>
        </w:rPr>
        <w:t>sua disfunção patológica é capaz de trazer danos sistêmicos consideráveis.</w:t>
      </w:r>
      <w:r w:rsidR="002C50C5" w:rsidRPr="00F62FC9">
        <w:rPr>
          <w:rFonts w:ascii="Calibri" w:hAnsi="Calibri" w:cs="Calibri"/>
          <w:sz w:val="24"/>
          <w:szCs w:val="24"/>
        </w:rPr>
        <w:t xml:space="preserve"> </w:t>
      </w:r>
      <w:r w:rsidR="00255246" w:rsidRPr="00F62FC9">
        <w:rPr>
          <w:rFonts w:ascii="Calibri" w:hAnsi="Calibri" w:cs="Calibri"/>
          <w:sz w:val="24"/>
          <w:szCs w:val="24"/>
        </w:rPr>
        <w:t>A secreção de bile é a principal função digestiva do fígado</w:t>
      </w:r>
      <w:r w:rsidR="008C5997" w:rsidRPr="00F62FC9">
        <w:rPr>
          <w:rFonts w:ascii="Calibri" w:hAnsi="Calibri" w:cs="Calibri"/>
          <w:sz w:val="24"/>
          <w:szCs w:val="24"/>
        </w:rPr>
        <w:t>;</w:t>
      </w:r>
      <w:r w:rsidR="00255246" w:rsidRPr="00F62FC9">
        <w:rPr>
          <w:rFonts w:ascii="Calibri" w:hAnsi="Calibri" w:cs="Calibri"/>
          <w:sz w:val="24"/>
          <w:szCs w:val="24"/>
        </w:rPr>
        <w:t xml:space="preserve"> além disso, o fígado é essencial na regulação do metabolismo dos carboidratos, proteínas </w:t>
      </w:r>
      <w:r w:rsidR="0046381E" w:rsidRPr="00F62FC9">
        <w:rPr>
          <w:rFonts w:ascii="Calibri" w:hAnsi="Calibri" w:cs="Calibri"/>
          <w:sz w:val="24"/>
          <w:szCs w:val="24"/>
        </w:rPr>
        <w:t>(</w:t>
      </w:r>
      <w:r w:rsidR="007F49B0" w:rsidRPr="00F62FC9">
        <w:rPr>
          <w:rFonts w:ascii="Calibri" w:hAnsi="Calibri" w:cs="Calibri"/>
          <w:sz w:val="24"/>
          <w:szCs w:val="24"/>
        </w:rPr>
        <w:t>incluindo a reciclagem de amônia</w:t>
      </w:r>
      <w:r w:rsidR="0046381E" w:rsidRPr="00F62FC9">
        <w:rPr>
          <w:rFonts w:ascii="Calibri" w:hAnsi="Calibri" w:cs="Calibri"/>
          <w:sz w:val="24"/>
          <w:szCs w:val="24"/>
        </w:rPr>
        <w:t>)</w:t>
      </w:r>
      <w:r w:rsidR="007F49B0" w:rsidRPr="00F62FC9">
        <w:rPr>
          <w:rFonts w:ascii="Calibri" w:hAnsi="Calibri" w:cs="Calibri"/>
          <w:sz w:val="24"/>
          <w:szCs w:val="24"/>
        </w:rPr>
        <w:t xml:space="preserve"> </w:t>
      </w:r>
      <w:r w:rsidR="00255246" w:rsidRPr="00F62FC9">
        <w:rPr>
          <w:rFonts w:ascii="Calibri" w:hAnsi="Calibri" w:cs="Calibri"/>
          <w:sz w:val="24"/>
          <w:szCs w:val="24"/>
        </w:rPr>
        <w:t>e lipídios</w:t>
      </w:r>
      <w:r w:rsidR="00384DA9" w:rsidRPr="00F62FC9">
        <w:rPr>
          <w:rFonts w:ascii="Calibri" w:hAnsi="Calibri" w:cs="Calibri"/>
          <w:sz w:val="24"/>
          <w:szCs w:val="24"/>
        </w:rPr>
        <w:t>;</w:t>
      </w:r>
      <w:r w:rsidR="00255246" w:rsidRPr="00F62FC9">
        <w:rPr>
          <w:rFonts w:ascii="Calibri" w:hAnsi="Calibri" w:cs="Calibri"/>
          <w:sz w:val="24"/>
          <w:szCs w:val="24"/>
        </w:rPr>
        <w:t xml:space="preserve"> no armazenamento de substâncias</w:t>
      </w:r>
      <w:r w:rsidR="0046381E" w:rsidRPr="00F62FC9">
        <w:rPr>
          <w:rFonts w:ascii="Calibri" w:hAnsi="Calibri" w:cs="Calibri"/>
          <w:sz w:val="24"/>
          <w:szCs w:val="24"/>
        </w:rPr>
        <w:t>;</w:t>
      </w:r>
      <w:r w:rsidR="00255246" w:rsidRPr="00F62FC9">
        <w:rPr>
          <w:rFonts w:ascii="Calibri" w:hAnsi="Calibri" w:cs="Calibri"/>
          <w:sz w:val="24"/>
          <w:szCs w:val="24"/>
        </w:rPr>
        <w:t xml:space="preserve"> e na degradação e excreção de hormônios. Outras funções incluem a transformação e excreção de drogas</w:t>
      </w:r>
      <w:r w:rsidR="0046381E" w:rsidRPr="00F62FC9">
        <w:rPr>
          <w:rFonts w:ascii="Calibri" w:hAnsi="Calibri" w:cs="Calibri"/>
          <w:sz w:val="24"/>
          <w:szCs w:val="24"/>
        </w:rPr>
        <w:t>;</w:t>
      </w:r>
      <w:r w:rsidR="00255246" w:rsidRPr="00F62FC9">
        <w:rPr>
          <w:rFonts w:ascii="Calibri" w:hAnsi="Calibri" w:cs="Calibri"/>
          <w:sz w:val="24"/>
          <w:szCs w:val="24"/>
        </w:rPr>
        <w:t xml:space="preserve"> a hemostasia </w:t>
      </w:r>
      <w:r w:rsidR="003429B5" w:rsidRPr="00F62FC9">
        <w:rPr>
          <w:rFonts w:ascii="Calibri" w:hAnsi="Calibri" w:cs="Calibri"/>
          <w:sz w:val="24"/>
          <w:szCs w:val="24"/>
        </w:rPr>
        <w:t xml:space="preserve">(formação de fatores de coagulação) </w:t>
      </w:r>
      <w:r w:rsidR="00255246" w:rsidRPr="00F62FC9">
        <w:rPr>
          <w:rFonts w:ascii="Calibri" w:hAnsi="Calibri" w:cs="Calibri"/>
          <w:sz w:val="24"/>
          <w:szCs w:val="24"/>
        </w:rPr>
        <w:t>e o auxílio à resposta imune. Diversas etiologias acometem esse órgão, porém é possível sistematizá-las</w:t>
      </w:r>
      <w:r w:rsidR="00974EEE" w:rsidRPr="00F62FC9">
        <w:rPr>
          <w:rFonts w:ascii="Calibri" w:hAnsi="Calibri" w:cs="Calibri"/>
          <w:sz w:val="24"/>
          <w:szCs w:val="24"/>
        </w:rPr>
        <w:t xml:space="preserve"> pelo período de acometimento</w:t>
      </w:r>
      <w:r w:rsidR="00D309C3" w:rsidRPr="00F62FC9">
        <w:rPr>
          <w:rFonts w:ascii="Calibri" w:hAnsi="Calibri" w:cs="Calibri"/>
          <w:sz w:val="24"/>
          <w:szCs w:val="24"/>
        </w:rPr>
        <w:t>,</w:t>
      </w:r>
      <w:r w:rsidR="00255246" w:rsidRPr="00F62FC9">
        <w:rPr>
          <w:rFonts w:ascii="Calibri" w:hAnsi="Calibri" w:cs="Calibri"/>
          <w:sz w:val="24"/>
          <w:szCs w:val="24"/>
        </w:rPr>
        <w:t xml:space="preserve"> didaticamente</w:t>
      </w:r>
      <w:r w:rsidR="002A5DE7" w:rsidRPr="00F62FC9">
        <w:rPr>
          <w:rFonts w:ascii="Calibri" w:hAnsi="Calibri" w:cs="Calibri"/>
          <w:sz w:val="24"/>
          <w:szCs w:val="24"/>
        </w:rPr>
        <w:t xml:space="preserve"> e não-exclusivamente</w:t>
      </w:r>
      <w:r w:rsidR="00974EEE" w:rsidRPr="00F62FC9">
        <w:rPr>
          <w:rFonts w:ascii="Calibri" w:hAnsi="Calibri" w:cs="Calibri"/>
          <w:sz w:val="24"/>
          <w:szCs w:val="24"/>
        </w:rPr>
        <w:t>,</w:t>
      </w:r>
      <w:r w:rsidR="00255246" w:rsidRPr="00F62FC9">
        <w:rPr>
          <w:rFonts w:ascii="Calibri" w:hAnsi="Calibri" w:cs="Calibri"/>
          <w:sz w:val="24"/>
          <w:szCs w:val="24"/>
        </w:rPr>
        <w:t xml:space="preserve"> em doenças crônicas e agudas.</w:t>
      </w:r>
    </w:p>
    <w:p w14:paraId="420A1744" w14:textId="04F703B5" w:rsidR="00826E28" w:rsidRPr="00F62FC9" w:rsidRDefault="006C30CD" w:rsidP="00177990">
      <w:pPr>
        <w:ind w:firstLine="360"/>
        <w:jc w:val="both"/>
        <w:rPr>
          <w:rFonts w:ascii="Calibri" w:hAnsi="Calibri" w:cs="Calibri"/>
          <w:sz w:val="24"/>
          <w:szCs w:val="24"/>
        </w:rPr>
      </w:pPr>
      <w:r w:rsidRPr="00F62FC9">
        <w:rPr>
          <w:rFonts w:ascii="Calibri" w:hAnsi="Calibri" w:cs="Calibri"/>
          <w:sz w:val="24"/>
          <w:szCs w:val="24"/>
        </w:rPr>
        <w:t>A d</w:t>
      </w:r>
      <w:r w:rsidR="00595B94" w:rsidRPr="00F62FC9">
        <w:rPr>
          <w:rFonts w:ascii="Calibri" w:hAnsi="Calibri" w:cs="Calibri"/>
          <w:sz w:val="24"/>
          <w:szCs w:val="24"/>
        </w:rPr>
        <w:t>oença hepática crônica</w:t>
      </w:r>
      <w:r w:rsidR="004C2C49" w:rsidRPr="00F62FC9">
        <w:rPr>
          <w:rFonts w:ascii="Calibri" w:hAnsi="Calibri" w:cs="Calibri"/>
          <w:sz w:val="24"/>
          <w:szCs w:val="24"/>
        </w:rPr>
        <w:t xml:space="preserve"> (DHC)</w:t>
      </w:r>
      <w:r w:rsidRPr="00F62FC9">
        <w:rPr>
          <w:rFonts w:ascii="Calibri" w:hAnsi="Calibri" w:cs="Calibri"/>
          <w:sz w:val="24"/>
          <w:szCs w:val="24"/>
        </w:rPr>
        <w:t xml:space="preserve"> </w:t>
      </w:r>
      <w:r w:rsidR="00481244" w:rsidRPr="00F62FC9">
        <w:rPr>
          <w:rFonts w:ascii="Calibri" w:hAnsi="Calibri" w:cs="Calibri"/>
          <w:sz w:val="24"/>
          <w:szCs w:val="24"/>
        </w:rPr>
        <w:t xml:space="preserve">pode ser causada </w:t>
      </w:r>
      <w:r w:rsidR="00CB23B4" w:rsidRPr="00F62FC9">
        <w:rPr>
          <w:rFonts w:ascii="Calibri" w:hAnsi="Calibri" w:cs="Calibri"/>
          <w:sz w:val="24"/>
          <w:szCs w:val="24"/>
        </w:rPr>
        <w:t xml:space="preserve">principalmente por infecção viral, como hepatite B e C; por </w:t>
      </w:r>
      <w:r w:rsidR="002D4584" w:rsidRPr="00F62FC9">
        <w:rPr>
          <w:rFonts w:ascii="Calibri" w:hAnsi="Calibri" w:cs="Calibri"/>
          <w:sz w:val="24"/>
          <w:szCs w:val="24"/>
        </w:rPr>
        <w:t xml:space="preserve">hepatite induzida pelo consumo alcoólico; e </w:t>
      </w:r>
      <w:r w:rsidR="005C7F20" w:rsidRPr="00F62FC9">
        <w:rPr>
          <w:rFonts w:ascii="Calibri" w:hAnsi="Calibri" w:cs="Calibri"/>
          <w:sz w:val="24"/>
          <w:szCs w:val="24"/>
        </w:rPr>
        <w:t xml:space="preserve">por </w:t>
      </w:r>
      <w:r w:rsidR="009562D4" w:rsidRPr="00F62FC9">
        <w:rPr>
          <w:rFonts w:ascii="Calibri" w:hAnsi="Calibri" w:cs="Calibri"/>
          <w:sz w:val="24"/>
          <w:szCs w:val="24"/>
        </w:rPr>
        <w:t>acúmulo de gordura no fígado (</w:t>
      </w:r>
      <w:r w:rsidR="005C7F20" w:rsidRPr="00F62FC9">
        <w:rPr>
          <w:rFonts w:ascii="Calibri" w:hAnsi="Calibri" w:cs="Calibri"/>
          <w:sz w:val="24"/>
          <w:szCs w:val="24"/>
        </w:rPr>
        <w:t>esteatose hepática não alcoólica</w:t>
      </w:r>
      <w:r w:rsidR="009562D4" w:rsidRPr="00F62FC9">
        <w:rPr>
          <w:rFonts w:ascii="Calibri" w:hAnsi="Calibri" w:cs="Calibri"/>
          <w:sz w:val="24"/>
          <w:szCs w:val="24"/>
        </w:rPr>
        <w:t>)</w:t>
      </w:r>
      <w:r w:rsidR="00E401B2" w:rsidRPr="00F62FC9">
        <w:rPr>
          <w:rFonts w:ascii="Calibri" w:hAnsi="Calibri" w:cs="Calibri"/>
          <w:sz w:val="24"/>
          <w:szCs w:val="24"/>
        </w:rPr>
        <w:t>. As formas crônicas podem evoluir ao longo do tempo</w:t>
      </w:r>
      <w:r w:rsidR="009562D4" w:rsidRPr="00F62FC9">
        <w:rPr>
          <w:rFonts w:ascii="Calibri" w:hAnsi="Calibri" w:cs="Calibri"/>
          <w:sz w:val="24"/>
          <w:szCs w:val="24"/>
        </w:rPr>
        <w:t xml:space="preserve"> para um quadro de cirrose</w:t>
      </w:r>
      <w:r w:rsidR="009C63B7" w:rsidRPr="00F62FC9">
        <w:rPr>
          <w:rFonts w:ascii="Calibri" w:hAnsi="Calibri" w:cs="Calibri"/>
          <w:sz w:val="24"/>
          <w:szCs w:val="24"/>
        </w:rPr>
        <w:t xml:space="preserve"> (fibrose)</w:t>
      </w:r>
      <w:r w:rsidR="00710EE6" w:rsidRPr="00F62FC9">
        <w:rPr>
          <w:rFonts w:ascii="Calibri" w:hAnsi="Calibri" w:cs="Calibri"/>
          <w:sz w:val="24"/>
          <w:szCs w:val="24"/>
        </w:rPr>
        <w:t>, chegando a necessitar de transplante hepático</w:t>
      </w:r>
      <w:r w:rsidR="00CE67A6" w:rsidRPr="00F62FC9">
        <w:rPr>
          <w:rFonts w:ascii="Calibri" w:hAnsi="Calibri" w:cs="Calibri"/>
          <w:sz w:val="24"/>
          <w:szCs w:val="24"/>
        </w:rPr>
        <w:t xml:space="preserve"> </w:t>
      </w:r>
      <w:r w:rsidR="00FD095B" w:rsidRPr="00F62FC9">
        <w:rPr>
          <w:rFonts w:ascii="Calibri" w:hAnsi="Calibri" w:cs="Calibri"/>
          <w:sz w:val="24"/>
          <w:szCs w:val="24"/>
        </w:rPr>
        <w:t>ortotópico</w:t>
      </w:r>
      <w:r w:rsidR="00CE67A6" w:rsidRPr="00F62FC9">
        <w:rPr>
          <w:rFonts w:ascii="Calibri" w:hAnsi="Calibri" w:cs="Calibri"/>
          <w:sz w:val="24"/>
          <w:szCs w:val="24"/>
        </w:rPr>
        <w:t xml:space="preserve"> (TH</w:t>
      </w:r>
      <w:r w:rsidR="00FD095B" w:rsidRPr="00F62FC9">
        <w:rPr>
          <w:rFonts w:ascii="Calibri" w:hAnsi="Calibri" w:cs="Calibri"/>
          <w:sz w:val="24"/>
          <w:szCs w:val="24"/>
        </w:rPr>
        <w:t>O</w:t>
      </w:r>
      <w:r w:rsidR="00CE67A6" w:rsidRPr="00F62FC9">
        <w:rPr>
          <w:rFonts w:ascii="Calibri" w:hAnsi="Calibri" w:cs="Calibri"/>
          <w:sz w:val="24"/>
          <w:szCs w:val="24"/>
        </w:rPr>
        <w:t>)</w:t>
      </w:r>
      <w:r w:rsidR="00710EE6" w:rsidRPr="00F62FC9">
        <w:rPr>
          <w:rFonts w:ascii="Calibri" w:hAnsi="Calibri" w:cs="Calibri"/>
          <w:sz w:val="24"/>
          <w:szCs w:val="24"/>
        </w:rPr>
        <w:t>.</w:t>
      </w:r>
      <w:r w:rsidR="00255246" w:rsidRPr="00F62FC9">
        <w:rPr>
          <w:rFonts w:ascii="Calibri" w:hAnsi="Calibri" w:cs="Calibri"/>
          <w:sz w:val="24"/>
          <w:szCs w:val="24"/>
        </w:rPr>
        <w:t xml:space="preserve"> </w:t>
      </w:r>
      <w:r w:rsidR="00C0511E" w:rsidRPr="00F62FC9">
        <w:rPr>
          <w:rFonts w:ascii="Calibri" w:hAnsi="Calibri" w:cs="Calibri"/>
          <w:sz w:val="24"/>
          <w:szCs w:val="24"/>
        </w:rPr>
        <w:t xml:space="preserve">O álcool é a etiologia subjacente mais frequente associada à cirrose (45%) no mundo. </w:t>
      </w:r>
      <w:r w:rsidR="00F573D2" w:rsidRPr="00F62FC9">
        <w:rPr>
          <w:rFonts w:ascii="Calibri" w:hAnsi="Calibri" w:cs="Calibri"/>
          <w:sz w:val="24"/>
          <w:szCs w:val="24"/>
        </w:rPr>
        <w:t>Ainda, a partir da DHC, pode ocorrer um quadro de d</w:t>
      </w:r>
      <w:r w:rsidR="00826E28" w:rsidRPr="00F62FC9">
        <w:rPr>
          <w:rFonts w:ascii="Calibri" w:hAnsi="Calibri" w:cs="Calibri"/>
          <w:sz w:val="24"/>
          <w:szCs w:val="24"/>
        </w:rPr>
        <w:t>oença hepática crônica agudizada (</w:t>
      </w:r>
      <w:r w:rsidR="00FB13FF" w:rsidRPr="00F62FC9">
        <w:rPr>
          <w:rFonts w:ascii="Calibri" w:hAnsi="Calibri" w:cs="Calibri"/>
          <w:sz w:val="24"/>
          <w:szCs w:val="24"/>
        </w:rPr>
        <w:t>DHCA)</w:t>
      </w:r>
      <w:r w:rsidR="00F573D2" w:rsidRPr="00F62FC9">
        <w:rPr>
          <w:rFonts w:ascii="Calibri" w:hAnsi="Calibri" w:cs="Calibri"/>
          <w:sz w:val="24"/>
          <w:szCs w:val="24"/>
        </w:rPr>
        <w:t xml:space="preserve">, em que </w:t>
      </w:r>
      <w:r w:rsidR="00EF1518" w:rsidRPr="00F62FC9">
        <w:rPr>
          <w:rFonts w:ascii="Calibri" w:hAnsi="Calibri" w:cs="Calibri"/>
          <w:sz w:val="24"/>
          <w:szCs w:val="24"/>
        </w:rPr>
        <w:t xml:space="preserve">há </w:t>
      </w:r>
      <w:r w:rsidR="0039406F" w:rsidRPr="00F62FC9">
        <w:rPr>
          <w:rFonts w:ascii="Calibri" w:hAnsi="Calibri" w:cs="Calibri"/>
          <w:sz w:val="24"/>
          <w:szCs w:val="24"/>
        </w:rPr>
        <w:t>uma descompensação aguda da cirrose, associada à acometimento sistêmico</w:t>
      </w:r>
      <w:r w:rsidR="000401B6" w:rsidRPr="00F62FC9">
        <w:rPr>
          <w:rFonts w:ascii="Calibri" w:hAnsi="Calibri" w:cs="Calibri"/>
          <w:sz w:val="24"/>
          <w:szCs w:val="24"/>
        </w:rPr>
        <w:t xml:space="preserve"> e à encefalopatia</w:t>
      </w:r>
      <w:r w:rsidR="0039406F" w:rsidRPr="00F62FC9">
        <w:rPr>
          <w:rFonts w:ascii="Calibri" w:hAnsi="Calibri" w:cs="Calibri"/>
          <w:sz w:val="24"/>
          <w:szCs w:val="24"/>
        </w:rPr>
        <w:t>.</w:t>
      </w:r>
      <w:r w:rsidR="002311A3" w:rsidRPr="00F62FC9">
        <w:rPr>
          <w:rFonts w:ascii="Calibri" w:hAnsi="Calibri" w:cs="Calibri"/>
          <w:sz w:val="24"/>
          <w:szCs w:val="24"/>
        </w:rPr>
        <w:t xml:space="preserve"> </w:t>
      </w:r>
      <w:r w:rsidR="004463FB" w:rsidRPr="00F62FC9">
        <w:rPr>
          <w:rFonts w:ascii="Calibri" w:hAnsi="Calibri" w:cs="Calibri"/>
          <w:sz w:val="24"/>
          <w:szCs w:val="24"/>
        </w:rPr>
        <w:t>Nesse cenário</w:t>
      </w:r>
      <w:r w:rsidR="009863A4" w:rsidRPr="00F62FC9">
        <w:rPr>
          <w:rFonts w:ascii="Calibri" w:hAnsi="Calibri" w:cs="Calibri"/>
          <w:sz w:val="24"/>
          <w:szCs w:val="24"/>
        </w:rPr>
        <w:t>,</w:t>
      </w:r>
      <w:r w:rsidR="00D86D52" w:rsidRPr="00F62FC9">
        <w:rPr>
          <w:rFonts w:ascii="Calibri" w:hAnsi="Calibri" w:cs="Calibri"/>
          <w:sz w:val="24"/>
          <w:szCs w:val="24"/>
        </w:rPr>
        <w:t xml:space="preserve"> infecções bacterianas (35%), </w:t>
      </w:r>
      <w:r w:rsidR="000B5C18" w:rsidRPr="00F62FC9">
        <w:rPr>
          <w:rFonts w:ascii="Calibri" w:hAnsi="Calibri" w:cs="Calibri"/>
          <w:sz w:val="24"/>
          <w:szCs w:val="24"/>
        </w:rPr>
        <w:t>hemorragias gastrointestinais (22%) e álcool (19%) representam as etiologias mais comuns globalmente responsávei</w:t>
      </w:r>
      <w:r w:rsidR="00381DB9" w:rsidRPr="00F62FC9">
        <w:rPr>
          <w:rFonts w:ascii="Calibri" w:hAnsi="Calibri" w:cs="Calibri"/>
          <w:sz w:val="24"/>
          <w:szCs w:val="24"/>
        </w:rPr>
        <w:t xml:space="preserve">s pela agudização de um quadro crônico </w:t>
      </w:r>
      <w:r w:rsidR="00381DB9" w:rsidRPr="00F62FC9">
        <w:rPr>
          <w:rFonts w:ascii="Calibri" w:hAnsi="Calibri" w:cs="Calibri"/>
          <w:sz w:val="24"/>
          <w:szCs w:val="24"/>
        </w:rPr>
        <w:fldChar w:fldCharType="begin" w:fldLock="1"/>
      </w:r>
      <w:r w:rsidR="003B280C" w:rsidRPr="00F62FC9">
        <w:rPr>
          <w:rFonts w:ascii="Calibri" w:hAnsi="Calibri" w:cs="Calibri"/>
          <w:sz w:val="24"/>
          <w:szCs w:val="24"/>
        </w:rPr>
        <w:instrText>ADDIN CSL_CITATION {"citationItems":[{"id":"ITEM-1","itemData":{"DOI":"10.1136/gutjnl-2020-323973","ISBN":"2020322161","ISSN":"0017-5749","PMID":"33632711","author":[{"dropping-particle":"","family":"Schulz","given":"Martin","non-dropping-particle":"","parse-names":false,"suffix":""},{"dropping-particle":"","family":"Trebicka","given":"Jonel","non-dropping-particle":"","parse-names":false,"suffix":""}],"container-title":"Gut","id":"ITEM-1","issue":"1","issued":{"date-parts":[["2022","1"]]},"page":"5-6","title":"Acute-on-chronic liver failure: a global disease","type":"article-journal","volume":"71"},"uris":["http://www.mendeley.com/documents/?uuid=5c0af04e-89d5-43ee-a3e5-87ee29dd3bf5"]}],"mendeley":{"formattedCitation":"(1)","plainTextFormattedCitation":"(1)","previouslyFormattedCitation":"(Schulz and Trebicka 2022)"},"properties":{"noteIndex":0},"schema":"https://github.com/citation-style-language/schema/raw/master/csl-citation.json"}</w:instrText>
      </w:r>
      <w:r w:rsidR="00381DB9" w:rsidRPr="00F62FC9">
        <w:rPr>
          <w:rFonts w:ascii="Calibri" w:hAnsi="Calibri" w:cs="Calibri"/>
          <w:sz w:val="24"/>
          <w:szCs w:val="24"/>
        </w:rPr>
        <w:fldChar w:fldCharType="separate"/>
      </w:r>
      <w:r w:rsidR="003B280C" w:rsidRPr="00F62FC9">
        <w:rPr>
          <w:rFonts w:ascii="Calibri" w:hAnsi="Calibri" w:cs="Calibri"/>
          <w:noProof/>
          <w:sz w:val="24"/>
          <w:szCs w:val="24"/>
        </w:rPr>
        <w:t>(1)</w:t>
      </w:r>
      <w:r w:rsidR="00381DB9" w:rsidRPr="00F62FC9">
        <w:rPr>
          <w:rFonts w:ascii="Calibri" w:hAnsi="Calibri" w:cs="Calibri"/>
          <w:sz w:val="24"/>
          <w:szCs w:val="24"/>
        </w:rPr>
        <w:fldChar w:fldCharType="end"/>
      </w:r>
      <w:r w:rsidR="00381DB9" w:rsidRPr="00F62FC9">
        <w:rPr>
          <w:rFonts w:ascii="Calibri" w:hAnsi="Calibri" w:cs="Calibri"/>
          <w:sz w:val="24"/>
          <w:szCs w:val="24"/>
        </w:rPr>
        <w:t>.</w:t>
      </w:r>
    </w:p>
    <w:p w14:paraId="437B5EF2" w14:textId="22E8C6EA" w:rsidR="005B3F9F" w:rsidRPr="00F62FC9" w:rsidRDefault="0039406F" w:rsidP="00562E26">
      <w:pPr>
        <w:ind w:firstLine="360"/>
        <w:jc w:val="both"/>
        <w:rPr>
          <w:rFonts w:ascii="Calibri" w:hAnsi="Calibri" w:cs="Calibri"/>
          <w:sz w:val="24"/>
          <w:szCs w:val="24"/>
        </w:rPr>
      </w:pPr>
      <w:r w:rsidRPr="00F62FC9">
        <w:rPr>
          <w:rFonts w:ascii="Calibri" w:hAnsi="Calibri" w:cs="Calibri"/>
          <w:sz w:val="24"/>
          <w:szCs w:val="24"/>
        </w:rPr>
        <w:t>Já a d</w:t>
      </w:r>
      <w:r w:rsidR="00241AE1" w:rsidRPr="00F62FC9">
        <w:rPr>
          <w:rFonts w:ascii="Calibri" w:hAnsi="Calibri" w:cs="Calibri"/>
          <w:sz w:val="24"/>
          <w:szCs w:val="24"/>
        </w:rPr>
        <w:t>oença</w:t>
      </w:r>
      <w:r w:rsidR="000613F8" w:rsidRPr="00F62FC9">
        <w:rPr>
          <w:rFonts w:ascii="Calibri" w:hAnsi="Calibri" w:cs="Calibri"/>
          <w:sz w:val="24"/>
          <w:szCs w:val="24"/>
        </w:rPr>
        <w:t xml:space="preserve"> hepática aguda (</w:t>
      </w:r>
      <w:r w:rsidR="00241AE1" w:rsidRPr="00F62FC9">
        <w:rPr>
          <w:rFonts w:ascii="Calibri" w:hAnsi="Calibri" w:cs="Calibri"/>
          <w:sz w:val="24"/>
          <w:szCs w:val="24"/>
        </w:rPr>
        <w:t>D</w:t>
      </w:r>
      <w:r w:rsidR="000613F8" w:rsidRPr="00F62FC9">
        <w:rPr>
          <w:rFonts w:ascii="Calibri" w:hAnsi="Calibri" w:cs="Calibri"/>
          <w:sz w:val="24"/>
          <w:szCs w:val="24"/>
        </w:rPr>
        <w:t>HA)</w:t>
      </w:r>
      <w:r w:rsidR="00DB36B0" w:rsidRPr="00F62FC9">
        <w:rPr>
          <w:rFonts w:ascii="Calibri" w:hAnsi="Calibri" w:cs="Calibri"/>
          <w:sz w:val="24"/>
          <w:szCs w:val="24"/>
        </w:rPr>
        <w:t xml:space="preserve"> -</w:t>
      </w:r>
      <w:r w:rsidR="00DD705F" w:rsidRPr="00F62FC9">
        <w:rPr>
          <w:rFonts w:ascii="Calibri" w:hAnsi="Calibri" w:cs="Calibri"/>
          <w:sz w:val="24"/>
          <w:szCs w:val="24"/>
        </w:rPr>
        <w:t xml:space="preserve"> também conhecida como falência hepática aguda ou fulminante</w:t>
      </w:r>
      <w:r w:rsidR="00F71C8B" w:rsidRPr="00F62FC9">
        <w:rPr>
          <w:rFonts w:ascii="Calibri" w:hAnsi="Calibri" w:cs="Calibri"/>
          <w:sz w:val="24"/>
          <w:szCs w:val="24"/>
        </w:rPr>
        <w:t xml:space="preserve"> -</w:t>
      </w:r>
      <w:r w:rsidR="00540750" w:rsidRPr="00F62FC9">
        <w:rPr>
          <w:rFonts w:ascii="Calibri" w:hAnsi="Calibri" w:cs="Calibri"/>
          <w:sz w:val="24"/>
          <w:szCs w:val="24"/>
        </w:rPr>
        <w:t xml:space="preserve"> pode ser definida como</w:t>
      </w:r>
      <w:r w:rsidR="003634C0" w:rsidRPr="00F62FC9">
        <w:rPr>
          <w:rFonts w:ascii="Calibri" w:hAnsi="Calibri" w:cs="Calibri"/>
          <w:sz w:val="24"/>
          <w:szCs w:val="24"/>
        </w:rPr>
        <w:t xml:space="preserve"> uma síndrome clínica de </w:t>
      </w:r>
      <w:r w:rsidR="00EB743F" w:rsidRPr="00F62FC9">
        <w:rPr>
          <w:rFonts w:ascii="Calibri" w:hAnsi="Calibri" w:cs="Calibri"/>
          <w:sz w:val="24"/>
          <w:szCs w:val="24"/>
        </w:rPr>
        <w:t>encefalopatia</w:t>
      </w:r>
      <w:r w:rsidR="008D6DFD" w:rsidRPr="00F62FC9">
        <w:rPr>
          <w:rFonts w:ascii="Calibri" w:hAnsi="Calibri" w:cs="Calibri"/>
          <w:sz w:val="24"/>
          <w:szCs w:val="24"/>
        </w:rPr>
        <w:t xml:space="preserve"> </w:t>
      </w:r>
      <w:r w:rsidR="00EB743F" w:rsidRPr="00F62FC9">
        <w:rPr>
          <w:rFonts w:ascii="Calibri" w:hAnsi="Calibri" w:cs="Calibri"/>
          <w:sz w:val="24"/>
          <w:szCs w:val="24"/>
        </w:rPr>
        <w:t>e coagulopatia</w:t>
      </w:r>
      <w:r w:rsidR="00B07BC4" w:rsidRPr="00F62FC9">
        <w:rPr>
          <w:rFonts w:ascii="Calibri" w:hAnsi="Calibri" w:cs="Calibri"/>
          <w:sz w:val="24"/>
          <w:szCs w:val="24"/>
        </w:rPr>
        <w:t xml:space="preserve"> (</w:t>
      </w:r>
      <w:r w:rsidR="00653618" w:rsidRPr="00F62FC9">
        <w:rPr>
          <w:rFonts w:ascii="Calibri" w:hAnsi="Calibri" w:cs="Calibri"/>
          <w:sz w:val="24"/>
          <w:szCs w:val="24"/>
        </w:rPr>
        <w:t xml:space="preserve">com </w:t>
      </w:r>
      <w:r w:rsidR="00EA131E" w:rsidRPr="00F62FC9">
        <w:rPr>
          <w:rFonts w:ascii="Calibri" w:hAnsi="Calibri" w:cs="Calibri"/>
          <w:i/>
          <w:iCs/>
          <w:sz w:val="24"/>
          <w:szCs w:val="24"/>
        </w:rPr>
        <w:t>International Normalized Ratio</w:t>
      </w:r>
      <w:r w:rsidR="00883712" w:rsidRPr="00F62FC9">
        <w:rPr>
          <w:rFonts w:ascii="Calibri" w:hAnsi="Calibri" w:cs="Calibri"/>
          <w:sz w:val="24"/>
          <w:szCs w:val="24"/>
        </w:rPr>
        <w:t xml:space="preserve"> [</w:t>
      </w:r>
      <w:r w:rsidR="00EA131E" w:rsidRPr="00F62FC9">
        <w:rPr>
          <w:rFonts w:ascii="Calibri" w:hAnsi="Calibri" w:cs="Calibri"/>
          <w:sz w:val="24"/>
          <w:szCs w:val="24"/>
        </w:rPr>
        <w:t>INR</w:t>
      </w:r>
      <w:r w:rsidR="00883712" w:rsidRPr="00F62FC9">
        <w:rPr>
          <w:rFonts w:ascii="Calibri" w:hAnsi="Calibri" w:cs="Calibri"/>
          <w:sz w:val="24"/>
          <w:szCs w:val="24"/>
        </w:rPr>
        <w:t>] &gt; 1.5)</w:t>
      </w:r>
      <w:r w:rsidR="0054396E" w:rsidRPr="00F62FC9">
        <w:rPr>
          <w:rFonts w:ascii="Calibri" w:hAnsi="Calibri" w:cs="Calibri"/>
          <w:sz w:val="24"/>
          <w:szCs w:val="24"/>
        </w:rPr>
        <w:t xml:space="preserve"> resultante de perda massiva </w:t>
      </w:r>
      <w:r w:rsidR="00D86C75" w:rsidRPr="00F62FC9">
        <w:rPr>
          <w:rFonts w:ascii="Calibri" w:hAnsi="Calibri" w:cs="Calibri"/>
          <w:sz w:val="24"/>
          <w:szCs w:val="24"/>
        </w:rPr>
        <w:t xml:space="preserve">súbita </w:t>
      </w:r>
      <w:r w:rsidR="0054396E" w:rsidRPr="00F62FC9">
        <w:rPr>
          <w:rFonts w:ascii="Calibri" w:hAnsi="Calibri" w:cs="Calibri"/>
          <w:sz w:val="24"/>
          <w:szCs w:val="24"/>
        </w:rPr>
        <w:t>de função hepatocitária</w:t>
      </w:r>
      <w:r w:rsidR="00080DA0" w:rsidRPr="00F62FC9">
        <w:rPr>
          <w:rFonts w:ascii="Calibri" w:hAnsi="Calibri" w:cs="Calibri"/>
          <w:sz w:val="24"/>
          <w:szCs w:val="24"/>
        </w:rPr>
        <w:t>.</w:t>
      </w:r>
      <w:r w:rsidR="00911C63" w:rsidRPr="00F62FC9">
        <w:rPr>
          <w:rFonts w:ascii="Calibri" w:hAnsi="Calibri" w:cs="Calibri"/>
          <w:sz w:val="24"/>
          <w:szCs w:val="24"/>
        </w:rPr>
        <w:t xml:space="preserve"> </w:t>
      </w:r>
      <w:r w:rsidR="00CC6529" w:rsidRPr="00F62FC9">
        <w:rPr>
          <w:rFonts w:ascii="Calibri" w:hAnsi="Calibri" w:cs="Calibri"/>
          <w:sz w:val="24"/>
          <w:szCs w:val="24"/>
        </w:rPr>
        <w:t>Representa</w:t>
      </w:r>
      <w:r w:rsidR="00AE05BB" w:rsidRPr="00F62FC9">
        <w:rPr>
          <w:rFonts w:ascii="Calibri" w:hAnsi="Calibri" w:cs="Calibri"/>
          <w:sz w:val="24"/>
          <w:szCs w:val="24"/>
        </w:rPr>
        <w:t xml:space="preserve"> um quadro de até 26 semanas, </w:t>
      </w:r>
      <w:r w:rsidR="00CC6529" w:rsidRPr="00F62FC9">
        <w:rPr>
          <w:rFonts w:ascii="Calibri" w:hAnsi="Calibri" w:cs="Calibri"/>
          <w:sz w:val="24"/>
          <w:szCs w:val="24"/>
        </w:rPr>
        <w:t>sem</w:t>
      </w:r>
      <w:r w:rsidR="00EC73A1" w:rsidRPr="00F62FC9">
        <w:rPr>
          <w:rFonts w:ascii="Calibri" w:hAnsi="Calibri" w:cs="Calibri"/>
          <w:sz w:val="24"/>
          <w:szCs w:val="24"/>
        </w:rPr>
        <w:t xml:space="preserve"> </w:t>
      </w:r>
      <w:r w:rsidR="00AE05BB" w:rsidRPr="00F62FC9">
        <w:rPr>
          <w:rFonts w:ascii="Calibri" w:hAnsi="Calibri" w:cs="Calibri"/>
          <w:sz w:val="24"/>
          <w:szCs w:val="24"/>
        </w:rPr>
        <w:lastRenderedPageBreak/>
        <w:t>DHC ou DHC</w:t>
      </w:r>
      <w:r w:rsidR="00C84AF7" w:rsidRPr="00F62FC9">
        <w:rPr>
          <w:rFonts w:ascii="Calibri" w:hAnsi="Calibri" w:cs="Calibri"/>
          <w:sz w:val="24"/>
          <w:szCs w:val="24"/>
        </w:rPr>
        <w:t>A</w:t>
      </w:r>
      <w:r w:rsidR="00EC73A1" w:rsidRPr="00F62FC9">
        <w:rPr>
          <w:rFonts w:ascii="Calibri" w:hAnsi="Calibri" w:cs="Calibri"/>
          <w:sz w:val="24"/>
          <w:szCs w:val="24"/>
        </w:rPr>
        <w:t xml:space="preserve"> prévios</w:t>
      </w:r>
      <w:r w:rsidR="007863C1" w:rsidRPr="00F62FC9">
        <w:rPr>
          <w:rFonts w:ascii="Calibri" w:hAnsi="Calibri" w:cs="Calibri"/>
          <w:sz w:val="24"/>
          <w:szCs w:val="24"/>
        </w:rPr>
        <w:t xml:space="preserve"> </w:t>
      </w:r>
      <w:r w:rsidR="003D14E4" w:rsidRPr="00F62FC9">
        <w:rPr>
          <w:rFonts w:ascii="Calibri" w:hAnsi="Calibri" w:cs="Calibri"/>
          <w:sz w:val="24"/>
          <w:szCs w:val="24"/>
        </w:rPr>
        <w:fldChar w:fldCharType="begin" w:fldLock="1"/>
      </w:r>
      <w:r w:rsidR="003B280C" w:rsidRPr="00F62FC9">
        <w:rPr>
          <w:rFonts w:ascii="Calibri" w:hAnsi="Calibri" w:cs="Calibri"/>
          <w:sz w:val="24"/>
          <w:szCs w:val="24"/>
        </w:rPr>
        <w:instrText>ADDIN CSL_CITATION {"citationItems":[{"id":"ITEM-1","itemData":{"DOI":"10.1016/S0140-6736(19)31894-X","ISSN":"1474547X","PMID":"31498101","abstract":"Acute liver failure is a rare and severe consequence of abrupt hepatocyte injury, and can evolve over days or weeks to a lethal outcome. A variety of insults to liver cells result in a consistent pattern of rapid-onset elevation of aminotransferases, altered mentation, and disturbed coagulation. The absence of existing liver disease distinguishes acute liver failure from decompensated cirrhosis or acute-on-chronic liver failure. Causes of acute liver failure include paracetamol toxicity, hepatic ischaemia, viral and autoimmune hepatitis, and drug-induced liver injury from prescription drugs, and herbal and dietary supplements. Diagnosis requires careful review of medications taken, and serological testing for possible viral exposure. Because of its rarity, acute liver failure has not been studied in large, randomised trials, and most treatment recommendations represent expert opinion. Improvements in management have resulted in lower mortality, although liver transplantation, used in nearly 30% of patients with acute liver failure, still provides a life-saving alternative to medical management.","author":[{"dropping-particle":"","family":"Stravitz","given":"R. Todd","non-dropping-particle":"","parse-names":false,"suffix":""},{"dropping-particle":"","family":"Lee","given":"William M.","non-dropping-particle":"","parse-names":false,"suffix":""}],"container-title":"The Lancet","id":"ITEM-1","issue":"10201","issued":{"date-parts":[["2019"]]},"page":"869-881","publisher":"Elsevier Ltd","title":"Acute liver failure","type":"article-journal","volume":"394"},"uris":["http://www.mendeley.com/documents/?uuid=7d78687b-006a-4731-a68f-8aa9b5fb06ac"]},{"id":"ITEM-2","itemData":{"DOI":"10.1016/B978-0-7020-4087-0.00044-9","ISSN":"00729752","PMID":"24365344","abstract":"Fulminant hepatic failure presents with a hepatic encephalopathy and may progress to coma and often brain death from cerebral edema. This natural progression in severe cases contributes to early mortality, but outcome can be good if liver transplantation is appropriately timed and increased intracranial pressure (ICP) is managed. Neurologists and neurosurgeons have become more involved in these very challenging patients and are often asked to rapidly identify patients who are at risk of cerebral edema, to carefully select the patient population who will benefit from invasive ICP monitoring, to judge the correct time to start monitoring, to participate in treatment of cerebral edema, and to manage complications such as intracranial hemorrhage or seizures. This chapter summarizes the current multidisciplinary approach to fulminant hepatic failure and how to best bridge patients to emergency liver transplantation. © 2014 Elsevier B.V.","author":[{"dropping-particle":"","family":"Datar","given":"Sudhir","non-dropping-particle":"","parse-names":false,"suffix":""},{"dropping-particle":"","family":"Wijdicks","given":"Eelco F.M.","non-dropping-particle":"","parse-names":false,"suffix":""}],"container-title":"Handbook of Clinical Neurology","edition":"1","id":"ITEM-2","issued":{"date-parts":[["2014"]]},"page":"645-659","publisher":"Elsevier B.V.","title":"Neurologic manifestations of acute liver failure","type":"chapter","volume":"120"},"uris":["http://www.mendeley.com/documents/?uuid=7538d626-0023-4688-bf67-60bfc2a1e3a6"]}],"mendeley":{"formattedCitation":"(2,3)","plainTextFormattedCitation":"(2,3)","previouslyFormattedCitation":"(Stravitz and Lee 2019; Datar and Wijdicks 2014)"},"properties":{"noteIndex":0},"schema":"https://github.com/citation-style-language/schema/raw/master/csl-citation.json"}</w:instrText>
      </w:r>
      <w:r w:rsidR="003D14E4" w:rsidRPr="00F62FC9">
        <w:rPr>
          <w:rFonts w:ascii="Calibri" w:hAnsi="Calibri" w:cs="Calibri"/>
          <w:sz w:val="24"/>
          <w:szCs w:val="24"/>
        </w:rPr>
        <w:fldChar w:fldCharType="separate"/>
      </w:r>
      <w:r w:rsidR="003B280C" w:rsidRPr="00F62FC9">
        <w:rPr>
          <w:rFonts w:ascii="Calibri" w:hAnsi="Calibri" w:cs="Calibri"/>
          <w:noProof/>
          <w:sz w:val="24"/>
          <w:szCs w:val="24"/>
        </w:rPr>
        <w:t>(2,3)</w:t>
      </w:r>
      <w:r w:rsidR="003D14E4" w:rsidRPr="00F62FC9">
        <w:rPr>
          <w:rFonts w:ascii="Calibri" w:hAnsi="Calibri" w:cs="Calibri"/>
          <w:sz w:val="24"/>
          <w:szCs w:val="24"/>
        </w:rPr>
        <w:fldChar w:fldCharType="end"/>
      </w:r>
      <w:r w:rsidR="0054396E" w:rsidRPr="00F62FC9">
        <w:rPr>
          <w:rFonts w:ascii="Calibri" w:hAnsi="Calibri" w:cs="Calibri"/>
          <w:sz w:val="24"/>
          <w:szCs w:val="24"/>
        </w:rPr>
        <w:t>.</w:t>
      </w:r>
      <w:r w:rsidR="007C727A" w:rsidRPr="00F62FC9">
        <w:rPr>
          <w:rFonts w:ascii="Calibri" w:hAnsi="Calibri" w:cs="Calibri"/>
          <w:sz w:val="24"/>
          <w:szCs w:val="24"/>
        </w:rPr>
        <w:t xml:space="preserve"> </w:t>
      </w:r>
      <w:r w:rsidR="000022ED" w:rsidRPr="00F62FC9">
        <w:rPr>
          <w:rFonts w:ascii="Calibri" w:hAnsi="Calibri" w:cs="Calibri"/>
          <w:sz w:val="24"/>
          <w:szCs w:val="24"/>
        </w:rPr>
        <w:t>A</w:t>
      </w:r>
      <w:r w:rsidR="00180FAF" w:rsidRPr="00F62FC9">
        <w:rPr>
          <w:rFonts w:ascii="Calibri" w:hAnsi="Calibri" w:cs="Calibri"/>
          <w:sz w:val="24"/>
          <w:szCs w:val="24"/>
        </w:rPr>
        <w:t xml:space="preserve"> taxa de mortalidade varia entre 30-50% </w:t>
      </w:r>
      <w:r w:rsidR="00180FAF" w:rsidRPr="00F62FC9">
        <w:rPr>
          <w:rFonts w:ascii="Calibri" w:hAnsi="Calibri" w:cs="Calibri"/>
          <w:sz w:val="24"/>
          <w:szCs w:val="24"/>
        </w:rPr>
        <w:fldChar w:fldCharType="begin" w:fldLock="1"/>
      </w:r>
      <w:r w:rsidR="003B280C" w:rsidRPr="00F62FC9">
        <w:rPr>
          <w:rFonts w:ascii="Calibri" w:hAnsi="Calibri" w:cs="Calibri"/>
          <w:sz w:val="24"/>
          <w:szCs w:val="24"/>
        </w:rPr>
        <w:instrText>ADDIN CSL_CITATION {"citationItems":[{"id":"ITEM-1","itemData":{"DOI":"10.1007/s12028-016-0261-y","ISSN":"15560961","PMID":"26966022","abstract":"Acute liver failure (ALF) has been associated with cerebral edema and elevated intracranial pressure (ICP), which may be managed utilizing an ICP monitor. The most feared complication of placement is catastrophic intracranial hemorrhage in the setting of severe coagulopathy. Previous studies reported hemorrhage rates between 3.8–22 % among various devices, with epidural catheters having lower hemorrhage rates and precision relative to subdural bolts and intraparenchymal catheters. We sought to identify institutional hemorrhagic rates of ICP monitoring in ALF and its associated factors in a modern series guided by protocol implantation. Patient records treated for ALF with ICP monitoring at Mayo Clinic in Rochester, MN from 1995 to 2014 were reviewed. Protocalized since 1995, epidural (EP) ICP monitors were first used followed by intraparenchymal (IP) for stage III–IV hepatic encephalopathy. The following variables and outcomes were collected: patient demographics, ICPs and treatment methods, laboratory data, imaging studies, number of days for ICP monitoring, radiographic and symptomatic hemorrhage rates, orthotopic liver transplantation rates, and death. A total of 20 ICP monitors were placed for ALF, 7 EP, and 13 IP. International normalized ratio (INR) at placement of an EP monitor was 2.4 (1.7–3.2) with maximum of 2.7 (2.0–3.6) over the following 2.3 (1–3) days. Mean EP ICP at placement was 36.3 (11–55) and maximum of 43.1 (20–70) mm Hg. INR at placement of an IP monitor was 1.3 (&lt;0.8–3.0) with maximum value of 2.9 (1.6–5.4) over the following 4.2 (2–6) days. Mean IP ICP at placement was 9.9 (2–19) and maximum was 39.8 (11–100) mm Hg. There was one asymptomatic hemorrhage in the EP group (14.3 % hemorrhage rate) and two hemorrhages in the IP group (hemorrhage rate was 15.4 %), both of which were fatal. Overall mortality rate in the EP group was 71.4 % (5/7) with two patients receiving transplantation, and one death in the transplant group. Overall mortality in the IP group was 38.5 % (5/13) with nine liver transplantations; three of the transplanted patients died, including one of the fatal hemorrhages due to monitor placement. Intracranial hypertension is common in patients with ALF with severe hepatic encephalopathy. Monitored patients in both groups experienced elevations of ICP in the setting of intermittent coagulopathy. Severity of coagulopathy did not influence hemorrhage rate. Yet, hemorrhages related to IP monitoring can be catastrophic and…","author":[{"dropping-particle":"","family":"Maloney","given":"Patrick R","non-dropping-particle":"","parse-names":false,"suffix":""},{"dropping-particle":"","family":"Mallory","given":"Grant W","non-dropping-particle":"","parse-names":false,"suffix":""},{"dropping-particle":"","family":"Atkinson","given":"John L.D.","non-dropping-particle":"","parse-names":false,"suffix":""},{"dropping-particle":"","family":"Wijdicks","given":"Eelco F","non-dropping-particle":"","parse-names":false,"suffix":""},{"dropping-particle":"","family":"Rabinstein","given":"Alejandro A","non-dropping-particle":"","parse-names":false,"suffix":""},{"dropping-particle":"","family":"Gompel","given":"Jamie J.","non-dropping-particle":"Van","parse-names":false,"suffix":""}],"container-title":"Neurocritical Care","id":"ITEM-1","issue":"1","issued":{"date-parts":[["2016"]]},"page":"86-93","title":"Intracranial Pressure Monitoring in Acute Liver Failure: Institutional Case Series","type":"article-journal","volume":"25"},"uris":["http://www.mendeley.com/documents/?uuid=2689463f-24ab-426e-b77c-99ef0fbfd837"]}],"mendeley":{"formattedCitation":"(4)","plainTextFormattedCitation":"(4)","previouslyFormattedCitation":"(Maloney et al. 2016)"},"properties":{"noteIndex":0},"schema":"https://github.com/citation-style-language/schema/raw/master/csl-citation.json"}</w:instrText>
      </w:r>
      <w:r w:rsidR="00180FAF" w:rsidRPr="00F62FC9">
        <w:rPr>
          <w:rFonts w:ascii="Calibri" w:hAnsi="Calibri" w:cs="Calibri"/>
          <w:sz w:val="24"/>
          <w:szCs w:val="24"/>
        </w:rPr>
        <w:fldChar w:fldCharType="separate"/>
      </w:r>
      <w:r w:rsidR="003B280C" w:rsidRPr="00F62FC9">
        <w:rPr>
          <w:rFonts w:ascii="Calibri" w:hAnsi="Calibri" w:cs="Calibri"/>
          <w:noProof/>
          <w:sz w:val="24"/>
          <w:szCs w:val="24"/>
        </w:rPr>
        <w:t>(4)</w:t>
      </w:r>
      <w:r w:rsidR="00180FAF" w:rsidRPr="00F62FC9">
        <w:rPr>
          <w:rFonts w:ascii="Calibri" w:hAnsi="Calibri" w:cs="Calibri"/>
          <w:sz w:val="24"/>
          <w:szCs w:val="24"/>
        </w:rPr>
        <w:fldChar w:fldCharType="end"/>
      </w:r>
      <w:r w:rsidR="00180FAF" w:rsidRPr="00F62FC9">
        <w:rPr>
          <w:rFonts w:ascii="Calibri" w:hAnsi="Calibri" w:cs="Calibri"/>
          <w:sz w:val="24"/>
          <w:szCs w:val="24"/>
        </w:rPr>
        <w:t xml:space="preserve">. </w:t>
      </w:r>
      <w:r w:rsidR="002D1F6B" w:rsidRPr="00F62FC9">
        <w:rPr>
          <w:rFonts w:ascii="Calibri" w:hAnsi="Calibri" w:cs="Calibri"/>
          <w:sz w:val="24"/>
          <w:szCs w:val="24"/>
        </w:rPr>
        <w:t xml:space="preserve">As causas </w:t>
      </w:r>
      <w:r w:rsidR="00D26432" w:rsidRPr="00F62FC9">
        <w:rPr>
          <w:rFonts w:ascii="Calibri" w:hAnsi="Calibri" w:cs="Calibri"/>
          <w:sz w:val="24"/>
          <w:szCs w:val="24"/>
        </w:rPr>
        <w:t xml:space="preserve">comuns </w:t>
      </w:r>
      <w:r w:rsidR="002D1F6B" w:rsidRPr="00F62FC9">
        <w:rPr>
          <w:rFonts w:ascii="Calibri" w:hAnsi="Calibri" w:cs="Calibri"/>
          <w:sz w:val="24"/>
          <w:szCs w:val="24"/>
        </w:rPr>
        <w:t>de DHA incluem</w:t>
      </w:r>
      <w:r w:rsidR="0081691A" w:rsidRPr="00F62FC9">
        <w:rPr>
          <w:rFonts w:ascii="Calibri" w:hAnsi="Calibri" w:cs="Calibri"/>
          <w:sz w:val="24"/>
          <w:szCs w:val="24"/>
        </w:rPr>
        <w:t>:</w:t>
      </w:r>
      <w:r w:rsidR="002D1F6B" w:rsidRPr="00F62FC9">
        <w:rPr>
          <w:rFonts w:ascii="Calibri" w:hAnsi="Calibri" w:cs="Calibri"/>
          <w:sz w:val="24"/>
          <w:szCs w:val="24"/>
        </w:rPr>
        <w:t xml:space="preserve"> intoxicação por </w:t>
      </w:r>
      <w:r w:rsidR="001502F4" w:rsidRPr="00F62FC9">
        <w:rPr>
          <w:rFonts w:ascii="Calibri" w:hAnsi="Calibri" w:cs="Calibri"/>
          <w:sz w:val="24"/>
          <w:szCs w:val="24"/>
        </w:rPr>
        <w:t>acetaminofeno</w:t>
      </w:r>
      <w:r w:rsidR="002D1F6B" w:rsidRPr="00F62FC9">
        <w:rPr>
          <w:rFonts w:ascii="Calibri" w:hAnsi="Calibri" w:cs="Calibri"/>
          <w:sz w:val="24"/>
          <w:szCs w:val="24"/>
        </w:rPr>
        <w:t xml:space="preserve"> (</w:t>
      </w:r>
      <w:r w:rsidR="00AD00E3" w:rsidRPr="00F62FC9">
        <w:rPr>
          <w:rFonts w:ascii="Calibri" w:hAnsi="Calibri" w:cs="Calibri"/>
          <w:sz w:val="24"/>
          <w:szCs w:val="24"/>
        </w:rPr>
        <w:t xml:space="preserve">aproximadamente </w:t>
      </w:r>
      <w:r w:rsidR="002D1F6B" w:rsidRPr="00F62FC9">
        <w:rPr>
          <w:rFonts w:ascii="Calibri" w:hAnsi="Calibri" w:cs="Calibri"/>
          <w:sz w:val="24"/>
          <w:szCs w:val="24"/>
        </w:rPr>
        <w:t>46%</w:t>
      </w:r>
      <w:r w:rsidR="00AD00E3" w:rsidRPr="00F62FC9">
        <w:rPr>
          <w:rFonts w:ascii="Calibri" w:hAnsi="Calibri" w:cs="Calibri"/>
          <w:sz w:val="24"/>
          <w:szCs w:val="24"/>
        </w:rPr>
        <w:t xml:space="preserve"> dos casos</w:t>
      </w:r>
      <w:r w:rsidR="002D1F6B" w:rsidRPr="00F62FC9">
        <w:rPr>
          <w:rFonts w:ascii="Calibri" w:hAnsi="Calibri" w:cs="Calibri"/>
          <w:sz w:val="24"/>
          <w:szCs w:val="24"/>
        </w:rPr>
        <w:t xml:space="preserve">; </w:t>
      </w:r>
      <w:r w:rsidR="00CA500B" w:rsidRPr="00F62FC9">
        <w:rPr>
          <w:rFonts w:ascii="Calibri" w:hAnsi="Calibri" w:cs="Calibri"/>
          <w:sz w:val="24"/>
          <w:szCs w:val="24"/>
        </w:rPr>
        <w:t xml:space="preserve">uso de </w:t>
      </w:r>
      <w:r w:rsidR="001502F4" w:rsidRPr="00F62FC9">
        <w:rPr>
          <w:rFonts w:ascii="Calibri" w:hAnsi="Calibri" w:cs="Calibri"/>
          <w:sz w:val="24"/>
          <w:szCs w:val="24"/>
        </w:rPr>
        <w:t xml:space="preserve">Paracetamol é </w:t>
      </w:r>
      <w:r w:rsidR="002D1F6B" w:rsidRPr="00F62FC9">
        <w:rPr>
          <w:rFonts w:ascii="Calibri" w:hAnsi="Calibri" w:cs="Calibri"/>
          <w:sz w:val="24"/>
          <w:szCs w:val="24"/>
        </w:rPr>
        <w:t>comum em tentativas de suicídio)</w:t>
      </w:r>
      <w:r w:rsidR="00E44DDB" w:rsidRPr="00F62FC9">
        <w:rPr>
          <w:rFonts w:ascii="Calibri" w:hAnsi="Calibri" w:cs="Calibri"/>
          <w:sz w:val="24"/>
          <w:szCs w:val="24"/>
        </w:rPr>
        <w:t>;</w:t>
      </w:r>
      <w:r w:rsidR="002D1F6B" w:rsidRPr="00F62FC9">
        <w:rPr>
          <w:rFonts w:ascii="Calibri" w:hAnsi="Calibri" w:cs="Calibri"/>
          <w:sz w:val="24"/>
          <w:szCs w:val="24"/>
        </w:rPr>
        <w:t xml:space="preserve"> </w:t>
      </w:r>
      <w:r w:rsidR="00500904" w:rsidRPr="00F62FC9">
        <w:rPr>
          <w:rFonts w:ascii="Calibri" w:hAnsi="Calibri" w:cs="Calibri"/>
          <w:sz w:val="24"/>
          <w:szCs w:val="24"/>
        </w:rPr>
        <w:t>lesões induzidas por medicamento</w:t>
      </w:r>
      <w:r w:rsidR="00325C1D" w:rsidRPr="00F62FC9">
        <w:rPr>
          <w:rFonts w:ascii="Calibri" w:hAnsi="Calibri" w:cs="Calibri"/>
          <w:sz w:val="24"/>
          <w:szCs w:val="24"/>
        </w:rPr>
        <w:t>s</w:t>
      </w:r>
      <w:r w:rsidR="00500904" w:rsidRPr="00F62FC9">
        <w:rPr>
          <w:rFonts w:ascii="Calibri" w:hAnsi="Calibri" w:cs="Calibri"/>
          <w:sz w:val="24"/>
          <w:szCs w:val="24"/>
        </w:rPr>
        <w:t xml:space="preserve"> prescritos (</w:t>
      </w:r>
      <w:r w:rsidR="00AD00E3" w:rsidRPr="00F62FC9">
        <w:rPr>
          <w:rFonts w:ascii="Calibri" w:hAnsi="Calibri" w:cs="Calibri"/>
          <w:sz w:val="24"/>
          <w:szCs w:val="24"/>
        </w:rPr>
        <w:t xml:space="preserve">aproximadamente </w:t>
      </w:r>
      <w:r w:rsidR="00500904" w:rsidRPr="00F62FC9">
        <w:rPr>
          <w:rFonts w:ascii="Calibri" w:hAnsi="Calibri" w:cs="Calibri"/>
          <w:sz w:val="24"/>
          <w:szCs w:val="24"/>
        </w:rPr>
        <w:t>11%</w:t>
      </w:r>
      <w:r w:rsidR="00AD00E3" w:rsidRPr="00F62FC9">
        <w:rPr>
          <w:rFonts w:ascii="Calibri" w:hAnsi="Calibri" w:cs="Calibri"/>
          <w:sz w:val="24"/>
          <w:szCs w:val="24"/>
        </w:rPr>
        <w:t xml:space="preserve"> dos casos</w:t>
      </w:r>
      <w:r w:rsidR="00500904" w:rsidRPr="00F62FC9">
        <w:rPr>
          <w:rFonts w:ascii="Calibri" w:hAnsi="Calibri" w:cs="Calibri"/>
          <w:sz w:val="24"/>
          <w:szCs w:val="24"/>
        </w:rPr>
        <w:t>)</w:t>
      </w:r>
      <w:r w:rsidR="00E44DDB" w:rsidRPr="00F62FC9">
        <w:rPr>
          <w:rFonts w:ascii="Calibri" w:hAnsi="Calibri" w:cs="Calibri"/>
          <w:sz w:val="24"/>
          <w:szCs w:val="24"/>
        </w:rPr>
        <w:t>;</w:t>
      </w:r>
      <w:r w:rsidR="00500904" w:rsidRPr="00F62FC9">
        <w:rPr>
          <w:rFonts w:ascii="Calibri" w:hAnsi="Calibri" w:cs="Calibri"/>
          <w:sz w:val="24"/>
          <w:szCs w:val="24"/>
        </w:rPr>
        <w:t xml:space="preserve"> </w:t>
      </w:r>
      <w:r w:rsidR="004140B2" w:rsidRPr="00F62FC9">
        <w:rPr>
          <w:rFonts w:ascii="Calibri" w:hAnsi="Calibri" w:cs="Calibri"/>
          <w:sz w:val="24"/>
          <w:szCs w:val="24"/>
        </w:rPr>
        <w:t>isquemia hepática</w:t>
      </w:r>
      <w:r w:rsidR="00E44DDB" w:rsidRPr="00F62FC9">
        <w:rPr>
          <w:rFonts w:ascii="Calibri" w:hAnsi="Calibri" w:cs="Calibri"/>
          <w:sz w:val="24"/>
          <w:szCs w:val="24"/>
        </w:rPr>
        <w:t>;</w:t>
      </w:r>
      <w:r w:rsidR="004140B2" w:rsidRPr="00F62FC9">
        <w:rPr>
          <w:rFonts w:ascii="Calibri" w:hAnsi="Calibri" w:cs="Calibri"/>
          <w:sz w:val="24"/>
          <w:szCs w:val="24"/>
        </w:rPr>
        <w:t xml:space="preserve"> hepatite viral (A</w:t>
      </w:r>
      <w:r w:rsidR="002076FE" w:rsidRPr="00F62FC9">
        <w:rPr>
          <w:rFonts w:ascii="Calibri" w:hAnsi="Calibri" w:cs="Calibri"/>
          <w:sz w:val="24"/>
          <w:szCs w:val="24"/>
        </w:rPr>
        <w:t>,</w:t>
      </w:r>
      <w:r w:rsidR="004140B2" w:rsidRPr="00F62FC9">
        <w:rPr>
          <w:rFonts w:ascii="Calibri" w:hAnsi="Calibri" w:cs="Calibri"/>
          <w:sz w:val="24"/>
          <w:szCs w:val="24"/>
        </w:rPr>
        <w:t xml:space="preserve"> B</w:t>
      </w:r>
      <w:r w:rsidR="002076FE" w:rsidRPr="00F62FC9">
        <w:rPr>
          <w:rFonts w:ascii="Calibri" w:hAnsi="Calibri" w:cs="Calibri"/>
          <w:sz w:val="24"/>
          <w:szCs w:val="24"/>
        </w:rPr>
        <w:t xml:space="preserve"> e E</w:t>
      </w:r>
      <w:r w:rsidR="004140B2" w:rsidRPr="00F62FC9">
        <w:rPr>
          <w:rFonts w:ascii="Calibri" w:hAnsi="Calibri" w:cs="Calibri"/>
          <w:sz w:val="24"/>
          <w:szCs w:val="24"/>
        </w:rPr>
        <w:t xml:space="preserve">, principalmente) e </w:t>
      </w:r>
      <w:r w:rsidR="00755442" w:rsidRPr="00F62FC9">
        <w:rPr>
          <w:rFonts w:ascii="Calibri" w:hAnsi="Calibri" w:cs="Calibri"/>
          <w:sz w:val="24"/>
          <w:szCs w:val="24"/>
        </w:rPr>
        <w:t xml:space="preserve">hepatite </w:t>
      </w:r>
      <w:r w:rsidR="004140B2" w:rsidRPr="00F62FC9">
        <w:rPr>
          <w:rFonts w:ascii="Calibri" w:hAnsi="Calibri" w:cs="Calibri"/>
          <w:sz w:val="24"/>
          <w:szCs w:val="24"/>
        </w:rPr>
        <w:t>autoimune</w:t>
      </w:r>
      <w:r w:rsidR="00E44DDB" w:rsidRPr="00F62FC9">
        <w:rPr>
          <w:rFonts w:ascii="Calibri" w:hAnsi="Calibri" w:cs="Calibri"/>
          <w:sz w:val="24"/>
          <w:szCs w:val="24"/>
        </w:rPr>
        <w:t>;</w:t>
      </w:r>
      <w:r w:rsidR="004140B2" w:rsidRPr="00F62FC9">
        <w:rPr>
          <w:rFonts w:ascii="Calibri" w:hAnsi="Calibri" w:cs="Calibri"/>
          <w:sz w:val="24"/>
          <w:szCs w:val="24"/>
        </w:rPr>
        <w:t xml:space="preserve"> </w:t>
      </w:r>
      <w:r w:rsidR="00E44DDB" w:rsidRPr="00F62FC9">
        <w:rPr>
          <w:rFonts w:ascii="Calibri" w:hAnsi="Calibri" w:cs="Calibri"/>
          <w:sz w:val="24"/>
          <w:szCs w:val="24"/>
        </w:rPr>
        <w:t xml:space="preserve">uso de suplementos dietéticos e </w:t>
      </w:r>
      <w:r w:rsidR="00A45498" w:rsidRPr="00F62FC9">
        <w:rPr>
          <w:rFonts w:ascii="Calibri" w:hAnsi="Calibri" w:cs="Calibri"/>
          <w:sz w:val="24"/>
          <w:szCs w:val="24"/>
        </w:rPr>
        <w:t>fitoterápicos</w:t>
      </w:r>
      <w:r w:rsidR="0088741D" w:rsidRPr="00F62FC9">
        <w:rPr>
          <w:rFonts w:ascii="Calibri" w:hAnsi="Calibri" w:cs="Calibri"/>
          <w:sz w:val="24"/>
          <w:szCs w:val="24"/>
        </w:rPr>
        <w:t xml:space="preserve">; trombose venosa </w:t>
      </w:r>
      <w:r w:rsidR="0081691A" w:rsidRPr="00F62FC9">
        <w:rPr>
          <w:rFonts w:ascii="Calibri" w:hAnsi="Calibri" w:cs="Calibri"/>
          <w:sz w:val="24"/>
          <w:szCs w:val="24"/>
        </w:rPr>
        <w:t>hepática</w:t>
      </w:r>
      <w:r w:rsidR="000D6A2B" w:rsidRPr="00F62FC9">
        <w:rPr>
          <w:rFonts w:ascii="Calibri" w:hAnsi="Calibri" w:cs="Calibri"/>
          <w:sz w:val="24"/>
          <w:szCs w:val="24"/>
        </w:rPr>
        <w:t xml:space="preserve"> (Síndrome de Budd-Chiari); </w:t>
      </w:r>
      <w:r w:rsidR="008C3E92" w:rsidRPr="00F62FC9">
        <w:rPr>
          <w:rFonts w:ascii="Calibri" w:hAnsi="Calibri" w:cs="Calibri"/>
          <w:sz w:val="24"/>
          <w:szCs w:val="24"/>
        </w:rPr>
        <w:t>esteatose hepática aguda da gestação (EHAG)/</w:t>
      </w:r>
      <w:r w:rsidR="000E679A" w:rsidRPr="00F62FC9">
        <w:rPr>
          <w:rFonts w:ascii="Calibri" w:hAnsi="Calibri" w:cs="Calibri"/>
          <w:sz w:val="24"/>
          <w:szCs w:val="24"/>
        </w:rPr>
        <w:t xml:space="preserve"> Síndrome de </w:t>
      </w:r>
      <w:r w:rsidR="008C3E92" w:rsidRPr="00F62FC9">
        <w:rPr>
          <w:rFonts w:ascii="Calibri" w:hAnsi="Calibri" w:cs="Calibri"/>
          <w:sz w:val="24"/>
          <w:szCs w:val="24"/>
        </w:rPr>
        <w:t>HELLP</w:t>
      </w:r>
      <w:r w:rsidR="000E679A" w:rsidRPr="00F62FC9">
        <w:rPr>
          <w:rFonts w:ascii="Calibri" w:hAnsi="Calibri" w:cs="Calibri"/>
          <w:sz w:val="24"/>
          <w:szCs w:val="24"/>
        </w:rPr>
        <w:t xml:space="preserve">; </w:t>
      </w:r>
      <w:r w:rsidR="00EC326C" w:rsidRPr="00F62FC9">
        <w:rPr>
          <w:rFonts w:ascii="Calibri" w:hAnsi="Calibri" w:cs="Calibri"/>
          <w:sz w:val="24"/>
          <w:szCs w:val="24"/>
        </w:rPr>
        <w:t>ingestão de alguns cogumelos; doença de Wilson;</w:t>
      </w:r>
      <w:r w:rsidR="008131D0" w:rsidRPr="00F62FC9">
        <w:rPr>
          <w:rFonts w:ascii="Calibri" w:hAnsi="Calibri" w:cs="Calibri"/>
          <w:sz w:val="24"/>
          <w:szCs w:val="24"/>
        </w:rPr>
        <w:t xml:space="preserve"> ou ainda</w:t>
      </w:r>
      <w:r w:rsidR="00EC326C" w:rsidRPr="00F62FC9">
        <w:rPr>
          <w:rFonts w:ascii="Calibri" w:hAnsi="Calibri" w:cs="Calibri"/>
          <w:sz w:val="24"/>
          <w:szCs w:val="24"/>
        </w:rPr>
        <w:t xml:space="preserve"> </w:t>
      </w:r>
      <w:r w:rsidR="00A81062" w:rsidRPr="00F62FC9">
        <w:rPr>
          <w:rFonts w:ascii="Calibri" w:hAnsi="Calibri" w:cs="Calibri"/>
          <w:sz w:val="24"/>
          <w:szCs w:val="24"/>
        </w:rPr>
        <w:t>parada cardíaca</w:t>
      </w:r>
      <w:r w:rsidR="000F4FE8" w:rsidRPr="00F62FC9">
        <w:rPr>
          <w:rFonts w:ascii="Calibri" w:hAnsi="Calibri" w:cs="Calibri"/>
          <w:sz w:val="24"/>
          <w:szCs w:val="24"/>
        </w:rPr>
        <w:t xml:space="preserve"> </w:t>
      </w:r>
      <w:r w:rsidR="000F4FE8" w:rsidRPr="00F62FC9">
        <w:rPr>
          <w:rFonts w:ascii="Calibri" w:hAnsi="Calibri" w:cs="Calibri"/>
          <w:sz w:val="24"/>
          <w:szCs w:val="24"/>
        </w:rPr>
        <w:fldChar w:fldCharType="begin" w:fldLock="1"/>
      </w:r>
      <w:r w:rsidR="003B280C" w:rsidRPr="00F62FC9">
        <w:rPr>
          <w:rFonts w:ascii="Calibri" w:hAnsi="Calibri" w:cs="Calibri"/>
          <w:sz w:val="24"/>
          <w:szCs w:val="24"/>
        </w:rPr>
        <w:instrText>ADDIN CSL_CITATION {"citationItems":[{"id":"ITEM-1","itemData":{"DOI":"10.1016/S0140-6736(19)31894-X","ISSN":"1474547X","PMID":"31498101","abstract":"Acute liver failure is a rare and severe consequence of abrupt hepatocyte injury, and can evolve over days or weeks to a lethal outcome. A variety of insults to liver cells result in a consistent pattern of rapid-onset elevation of aminotransferases, altered mentation, and disturbed coagulation. The absence of existing liver disease distinguishes acute liver failure from decompensated cirrhosis or acute-on-chronic liver failure. Causes of acute liver failure include paracetamol toxicity, hepatic ischaemia, viral and autoimmune hepatitis, and drug-induced liver injury from prescription drugs, and herbal and dietary supplements. Diagnosis requires careful review of medications taken, and serological testing for possible viral exposure. Because of its rarity, acute liver failure has not been studied in large, randomised trials, and most treatment recommendations represent expert opinion. Improvements in management have resulted in lower mortality, although liver transplantation, used in nearly 30% of patients with acute liver failure, still provides a life-saving alternative to medical management.","author":[{"dropping-particle":"","family":"Stravitz","given":"R. Todd","non-dropping-particle":"","parse-names":false,"suffix":""},{"dropping-particle":"","family":"Lee","given":"William M.","non-dropping-particle":"","parse-names":false,"suffix":""}],"container-title":"The Lancet","id":"ITEM-1","issue":"10201","issued":{"date-parts":[["2019"]]},"page":"869-881","publisher":"Elsevier Ltd","title":"Acute liver failure","type":"article-journal","volume":"394"},"uris":["http://www.mendeley.com/documents/?uuid=7d78687b-006a-4731-a68f-8aa9b5fb06ac"]}],"mendeley":{"formattedCitation":"(2)","plainTextFormattedCitation":"(2)","previouslyFormattedCitation":"(Stravitz and Lee 2019)"},"properties":{"noteIndex":0},"schema":"https://github.com/citation-style-language/schema/raw/master/csl-citation.json"}</w:instrText>
      </w:r>
      <w:r w:rsidR="000F4FE8" w:rsidRPr="00F62FC9">
        <w:rPr>
          <w:rFonts w:ascii="Calibri" w:hAnsi="Calibri" w:cs="Calibri"/>
          <w:sz w:val="24"/>
          <w:szCs w:val="24"/>
        </w:rPr>
        <w:fldChar w:fldCharType="separate"/>
      </w:r>
      <w:r w:rsidR="003B280C" w:rsidRPr="00F62FC9">
        <w:rPr>
          <w:rFonts w:ascii="Calibri" w:hAnsi="Calibri" w:cs="Calibri"/>
          <w:noProof/>
          <w:sz w:val="24"/>
          <w:szCs w:val="24"/>
        </w:rPr>
        <w:t>(2)</w:t>
      </w:r>
      <w:r w:rsidR="000F4FE8" w:rsidRPr="00F62FC9">
        <w:rPr>
          <w:rFonts w:ascii="Calibri" w:hAnsi="Calibri" w:cs="Calibri"/>
          <w:sz w:val="24"/>
          <w:szCs w:val="24"/>
        </w:rPr>
        <w:fldChar w:fldCharType="end"/>
      </w:r>
      <w:r w:rsidR="008131D0" w:rsidRPr="00F62FC9">
        <w:rPr>
          <w:rFonts w:ascii="Calibri" w:hAnsi="Calibri" w:cs="Calibri"/>
          <w:sz w:val="24"/>
          <w:szCs w:val="24"/>
        </w:rPr>
        <w:t>.</w:t>
      </w:r>
      <w:r w:rsidR="006865F4" w:rsidRPr="00F62FC9">
        <w:rPr>
          <w:rFonts w:ascii="Calibri" w:hAnsi="Calibri" w:cs="Calibri"/>
          <w:sz w:val="24"/>
          <w:szCs w:val="24"/>
        </w:rPr>
        <w:t xml:space="preserve"> </w:t>
      </w:r>
    </w:p>
    <w:p w14:paraId="7AAD9008" w14:textId="6FE4323D" w:rsidR="00124A96" w:rsidRPr="00F62FC9" w:rsidRDefault="0014283C" w:rsidP="004B6798">
      <w:pPr>
        <w:ind w:firstLine="360"/>
        <w:jc w:val="both"/>
        <w:rPr>
          <w:rFonts w:ascii="Calibri" w:hAnsi="Calibri" w:cs="Calibri"/>
          <w:sz w:val="24"/>
          <w:szCs w:val="24"/>
        </w:rPr>
      </w:pPr>
      <w:r w:rsidRPr="00F62FC9">
        <w:rPr>
          <w:rFonts w:ascii="Calibri" w:hAnsi="Calibri" w:cs="Calibri"/>
          <w:sz w:val="24"/>
          <w:szCs w:val="24"/>
        </w:rPr>
        <w:t>Ainda n</w:t>
      </w:r>
      <w:r w:rsidR="00BF687E" w:rsidRPr="00F62FC9">
        <w:rPr>
          <w:rFonts w:ascii="Calibri" w:hAnsi="Calibri" w:cs="Calibri"/>
          <w:sz w:val="24"/>
          <w:szCs w:val="24"/>
        </w:rPr>
        <w:t>o contexto das doenças hepáticas</w:t>
      </w:r>
      <w:r w:rsidR="00562E26" w:rsidRPr="00F62FC9">
        <w:rPr>
          <w:rFonts w:ascii="Calibri" w:hAnsi="Calibri" w:cs="Calibri"/>
          <w:sz w:val="24"/>
          <w:szCs w:val="24"/>
        </w:rPr>
        <w:t>, a encefalopatia hepática (EH) pode ser definida como um déficit cognitivo ou uma alteração no nível de consciência, possivelmente reversíveis, relacionados a um distúrbio funcional do sistema nervoso central (SNC) e normalmente associados à insuficiência hepatocelular. Uma EH de qualquer grau pode significar a presença de edema cerebral</w:t>
      </w:r>
      <w:r w:rsidR="00A46EF2" w:rsidRPr="00F62FC9">
        <w:rPr>
          <w:rFonts w:ascii="Calibri" w:hAnsi="Calibri" w:cs="Calibri"/>
          <w:sz w:val="24"/>
          <w:szCs w:val="24"/>
        </w:rPr>
        <w:t>,</w:t>
      </w:r>
      <w:r w:rsidR="00562E26" w:rsidRPr="00F62FC9">
        <w:rPr>
          <w:rFonts w:ascii="Calibri" w:hAnsi="Calibri" w:cs="Calibri"/>
          <w:sz w:val="24"/>
          <w:szCs w:val="24"/>
        </w:rPr>
        <w:t xml:space="preserve"> cuja probabilidade de existência é crescente com a piora do quadro </w:t>
      </w:r>
      <w:r w:rsidR="00562E26" w:rsidRPr="00F62FC9">
        <w:rPr>
          <w:rFonts w:ascii="Calibri" w:hAnsi="Calibri" w:cs="Calibri"/>
          <w:sz w:val="24"/>
          <w:szCs w:val="24"/>
        </w:rPr>
        <w:fldChar w:fldCharType="begin" w:fldLock="1"/>
      </w:r>
      <w:r w:rsidR="003B280C" w:rsidRPr="00F62FC9">
        <w:rPr>
          <w:rFonts w:ascii="Calibri" w:hAnsi="Calibri" w:cs="Calibri"/>
          <w:sz w:val="24"/>
          <w:szCs w:val="24"/>
        </w:rPr>
        <w:instrText>ADDIN CSL_CITATION {"citationItems":[{"id":"ITEM-1","itemData":{"DOI":"10.1016/B978-0-7020-4087-0.00044-9","ISSN":"00729752","PMID":"24365344","abstract":"Fulminant hepatic failure presents with a hepatic encephalopathy and may progress to coma and often brain death from cerebral edema. This natural progression in severe cases contributes to early mortality, but outcome can be good if liver transplantation is appropriately timed and increased intracranial pressure (ICP) is managed. Neurologists and neurosurgeons have become more involved in these very challenging patients and are often asked to rapidly identify patients who are at risk of cerebral edema, to carefully select the patient population who will benefit from invasive ICP monitoring, to judge the correct time to start monitoring, to participate in treatment of cerebral edema, and to manage complications such as intracranial hemorrhage or seizures. This chapter summarizes the current multidisciplinary approach to fulminant hepatic failure and how to best bridge patients to emergency liver transplantation. © 2014 Elsevier B.V.","author":[{"dropping-particle":"","family":"Datar","given":"Sudhir","non-dropping-particle":"","parse-names":false,"suffix":""},{"dropping-particle":"","family":"Wijdicks","given":"Eelco F.M.","non-dropping-particle":"","parse-names":false,"suffix":""}],"container-title":"Handbook of Clinical Neurology","edition":"1","id":"ITEM-1","issued":{"date-parts":[["2014"]]},"page":"645-659","publisher":"Elsevier B.V.","title":"Neurologic manifestations of acute liver failure","type":"chapter","volume":"120"},"uris":["http://www.mendeley.com/documents/?uuid=7538d626-0023-4688-bf67-60bfc2a1e3a6"]},{"id":"ITEM-2","itemData":{"DOI":"10.1016/j.cld.2015.04.006","ISSN":"15578224","PMID":"26195209","abstract":"Hepatic encephalopathy (HE) is associated with cerebral edema (CE), increased intracranial pressure (ICP), and subsequent neurologic complications; it is the most important cause of morbidity and mortality in fulminant hepatic failure. The goal of therapy should be early diagnosis and treatment of HE with measures to reduce CE. A combination of clinical examination and diagnostic modalities can aid in prompt diagnosis. ICP monitoring and transcranial Doppler help diagnose and monitor response to treatment. Transfer to a transplant center and intensive care unit admission with airway management and reduction of CE with hypertonic saline, mannitol, hypothermia, and sedation are recommended as a bridge to liver transplantation.","author":[{"dropping-particle":"","family":"Kodali","given":"Sudha","non-dropping-particle":"","parse-names":false,"suffix":""},{"dropping-particle":"","family":"McGuire","given":"Brendan M.","non-dropping-particle":"","parse-names":false,"suffix":""}],"container-title":"Clinics in Liver Disease","id":"ITEM-2","issue":"3","issued":{"date-parts":[["2015"]]},"page":"565-576","publisher":"Elsevier Inc","title":"Diagnosis and Management of Hepatic Encephalopathy in Fulminant Hepatic Failure","type":"article","volume":"19"},"uris":["http://www.mendeley.com/documents/?uuid=ee5a5aa9-59f4-421f-8274-78a7e72edbae"]}],"mendeley":{"formattedCitation":"(3,5)","plainTextFormattedCitation":"(3,5)","previouslyFormattedCitation":"(Datar and Wijdicks 2014; Kodali and McGuire 2015)"},"properties":{"noteIndex":0},"schema":"https://github.com/citation-style-language/schema/raw/master/csl-citation.json"}</w:instrText>
      </w:r>
      <w:r w:rsidR="00562E26" w:rsidRPr="00F62FC9">
        <w:rPr>
          <w:rFonts w:ascii="Calibri" w:hAnsi="Calibri" w:cs="Calibri"/>
          <w:sz w:val="24"/>
          <w:szCs w:val="24"/>
        </w:rPr>
        <w:fldChar w:fldCharType="separate"/>
      </w:r>
      <w:r w:rsidR="003B280C" w:rsidRPr="00F62FC9">
        <w:rPr>
          <w:rFonts w:ascii="Calibri" w:hAnsi="Calibri" w:cs="Calibri"/>
          <w:noProof/>
          <w:sz w:val="24"/>
          <w:szCs w:val="24"/>
        </w:rPr>
        <w:t>(3,5)</w:t>
      </w:r>
      <w:r w:rsidR="00562E26" w:rsidRPr="00F62FC9">
        <w:rPr>
          <w:rFonts w:ascii="Calibri" w:hAnsi="Calibri" w:cs="Calibri"/>
          <w:sz w:val="24"/>
          <w:szCs w:val="24"/>
        </w:rPr>
        <w:fldChar w:fldCharType="end"/>
      </w:r>
      <w:r w:rsidR="00562E26" w:rsidRPr="00F62FC9">
        <w:rPr>
          <w:rFonts w:ascii="Calibri" w:hAnsi="Calibri" w:cs="Calibri"/>
          <w:sz w:val="24"/>
          <w:szCs w:val="24"/>
        </w:rPr>
        <w:t>. A EH, que antes era vista como um sinal clínico terminal, hoje é retratada com um quadro passível de tratamento.</w:t>
      </w:r>
    </w:p>
    <w:p w14:paraId="59740769" w14:textId="5F07E453" w:rsidR="00595B94" w:rsidRPr="00F62FC9" w:rsidRDefault="00BC5A95" w:rsidP="004B6798">
      <w:pPr>
        <w:ind w:firstLine="360"/>
        <w:jc w:val="both"/>
        <w:rPr>
          <w:rFonts w:ascii="Calibri" w:hAnsi="Calibri" w:cs="Calibri"/>
          <w:sz w:val="24"/>
          <w:szCs w:val="24"/>
        </w:rPr>
      </w:pPr>
      <w:r w:rsidRPr="00F62FC9">
        <w:rPr>
          <w:rFonts w:ascii="Calibri" w:hAnsi="Calibri" w:cs="Calibri"/>
          <w:sz w:val="24"/>
          <w:szCs w:val="24"/>
        </w:rPr>
        <w:t xml:space="preserve">No </w:t>
      </w:r>
      <w:r w:rsidR="00BD4EFA" w:rsidRPr="00F62FC9">
        <w:rPr>
          <w:rFonts w:ascii="Calibri" w:hAnsi="Calibri" w:cs="Calibri"/>
          <w:sz w:val="24"/>
          <w:szCs w:val="24"/>
        </w:rPr>
        <w:t>âmbito</w:t>
      </w:r>
      <w:r w:rsidRPr="00F62FC9">
        <w:rPr>
          <w:rFonts w:ascii="Calibri" w:hAnsi="Calibri" w:cs="Calibri"/>
          <w:sz w:val="24"/>
          <w:szCs w:val="24"/>
        </w:rPr>
        <w:t xml:space="preserve"> epidemiológico, s</w:t>
      </w:r>
      <w:r w:rsidR="00562E26" w:rsidRPr="00F62FC9">
        <w:rPr>
          <w:rFonts w:ascii="Calibri" w:hAnsi="Calibri" w:cs="Calibri"/>
          <w:sz w:val="24"/>
          <w:szCs w:val="24"/>
        </w:rPr>
        <w:t xml:space="preserve">egundo Stravitz </w:t>
      </w:r>
      <w:r w:rsidR="00173BFB" w:rsidRPr="00F62FC9">
        <w:rPr>
          <w:rFonts w:ascii="Calibri" w:hAnsi="Calibri" w:cs="Calibri"/>
          <w:i/>
          <w:iCs/>
          <w:sz w:val="24"/>
          <w:szCs w:val="24"/>
        </w:rPr>
        <w:t>et al.</w:t>
      </w:r>
      <w:r w:rsidR="00562E26" w:rsidRPr="00F62FC9">
        <w:rPr>
          <w:rFonts w:ascii="Calibri" w:hAnsi="Calibri" w:cs="Calibri"/>
          <w:sz w:val="24"/>
          <w:szCs w:val="24"/>
        </w:rPr>
        <w:t xml:space="preserve">, a </w:t>
      </w:r>
      <w:r w:rsidR="008D6DFD" w:rsidRPr="00F62FC9">
        <w:rPr>
          <w:rFonts w:ascii="Calibri" w:hAnsi="Calibri" w:cs="Calibri"/>
          <w:sz w:val="24"/>
          <w:szCs w:val="24"/>
        </w:rPr>
        <w:t xml:space="preserve">EH </w:t>
      </w:r>
      <w:r w:rsidR="00984D74" w:rsidRPr="00F62FC9">
        <w:rPr>
          <w:rFonts w:ascii="Calibri" w:hAnsi="Calibri" w:cs="Calibri"/>
          <w:sz w:val="24"/>
          <w:szCs w:val="24"/>
        </w:rPr>
        <w:t xml:space="preserve">severa </w:t>
      </w:r>
      <w:r w:rsidR="001718AF" w:rsidRPr="00F62FC9">
        <w:rPr>
          <w:rFonts w:ascii="Calibri" w:hAnsi="Calibri" w:cs="Calibri"/>
          <w:sz w:val="24"/>
          <w:szCs w:val="24"/>
        </w:rPr>
        <w:t xml:space="preserve">em DHA </w:t>
      </w:r>
      <w:r w:rsidR="008D6DFD" w:rsidRPr="00F62FC9">
        <w:rPr>
          <w:rFonts w:ascii="Calibri" w:hAnsi="Calibri" w:cs="Calibri"/>
          <w:sz w:val="24"/>
          <w:szCs w:val="24"/>
        </w:rPr>
        <w:t xml:space="preserve">pode ocorrer em </w:t>
      </w:r>
      <w:r w:rsidR="00984D74" w:rsidRPr="00F62FC9">
        <w:rPr>
          <w:rFonts w:ascii="Calibri" w:hAnsi="Calibri" w:cs="Calibri"/>
          <w:sz w:val="24"/>
          <w:szCs w:val="24"/>
        </w:rPr>
        <w:t>5</w:t>
      </w:r>
      <w:r w:rsidR="00DB703B" w:rsidRPr="00F62FC9">
        <w:rPr>
          <w:rFonts w:ascii="Calibri" w:hAnsi="Calibri" w:cs="Calibri"/>
          <w:sz w:val="24"/>
          <w:szCs w:val="24"/>
        </w:rPr>
        <w:t xml:space="preserve">4% dos casos por intoxicação com paracetamol e </w:t>
      </w:r>
      <w:r w:rsidR="00A53215" w:rsidRPr="00F62FC9">
        <w:rPr>
          <w:rFonts w:ascii="Calibri" w:hAnsi="Calibri" w:cs="Calibri"/>
          <w:sz w:val="24"/>
          <w:szCs w:val="24"/>
        </w:rPr>
        <w:t>36</w:t>
      </w:r>
      <w:r w:rsidR="00DB703B" w:rsidRPr="00F62FC9">
        <w:rPr>
          <w:rFonts w:ascii="Calibri" w:hAnsi="Calibri" w:cs="Calibri"/>
          <w:sz w:val="24"/>
          <w:szCs w:val="24"/>
        </w:rPr>
        <w:t xml:space="preserve">% </w:t>
      </w:r>
      <w:r w:rsidR="00A53215" w:rsidRPr="00F62FC9">
        <w:rPr>
          <w:rFonts w:ascii="Calibri" w:hAnsi="Calibri" w:cs="Calibri"/>
          <w:sz w:val="24"/>
          <w:szCs w:val="24"/>
        </w:rPr>
        <w:t xml:space="preserve">dos casos </w:t>
      </w:r>
      <w:r w:rsidR="001718AF" w:rsidRPr="00F62FC9">
        <w:rPr>
          <w:rFonts w:ascii="Calibri" w:hAnsi="Calibri" w:cs="Calibri"/>
          <w:sz w:val="24"/>
          <w:szCs w:val="24"/>
        </w:rPr>
        <w:t xml:space="preserve">por lesão hepática induzida por medicamentos </w:t>
      </w:r>
      <w:r w:rsidR="001718AF" w:rsidRPr="00F62FC9">
        <w:rPr>
          <w:rFonts w:ascii="Calibri" w:hAnsi="Calibri" w:cs="Calibri"/>
          <w:sz w:val="24"/>
          <w:szCs w:val="24"/>
        </w:rPr>
        <w:fldChar w:fldCharType="begin" w:fldLock="1"/>
      </w:r>
      <w:r w:rsidR="003B280C" w:rsidRPr="00F62FC9">
        <w:rPr>
          <w:rFonts w:ascii="Calibri" w:hAnsi="Calibri" w:cs="Calibri"/>
          <w:sz w:val="24"/>
          <w:szCs w:val="24"/>
        </w:rPr>
        <w:instrText>ADDIN CSL_CITATION {"citationItems":[{"id":"ITEM-1","itemData":{"DOI":"10.1016/S0140-6736(19)31894-X","ISSN":"1474547X","PMID":"31498101","abstract":"Acute liver failure is a rare and severe consequence of abrupt hepatocyte injury, and can evolve over days or weeks to a lethal outcome. A variety of insults to liver cells result in a consistent pattern of rapid-onset elevation of aminotransferases, altered mentation, and disturbed coagulation. The absence of existing liver disease distinguishes acute liver failure from decompensated cirrhosis or acute-on-chronic liver failure. Causes of acute liver failure include paracetamol toxicity, hepatic ischaemia, viral and autoimmune hepatitis, and drug-induced liver injury from prescription drugs, and herbal and dietary supplements. Diagnosis requires careful review of medications taken, and serological testing for possible viral exposure. Because of its rarity, acute liver failure has not been studied in large, randomised trials, and most treatment recommendations represent expert opinion. Improvements in management have resulted in lower mortality, although liver transplantation, used in nearly 30% of patients with acute liver failure, still provides a life-saving alternative to medical management.","author":[{"dropping-particle":"","family":"Stravitz","given":"R. Todd","non-dropping-particle":"","parse-names":false,"suffix":""},{"dropping-particle":"","family":"Lee","given":"William M.","non-dropping-particle":"","parse-names":false,"suffix":""}],"container-title":"The Lancet","id":"ITEM-1","issue":"10201","issued":{"date-parts":[["2019"]]},"page":"869-881","publisher":"Elsevier Ltd","title":"Acute liver failure","type":"article-journal","volume":"394"},"uris":["http://www.mendeley.com/documents/?uuid=7d78687b-006a-4731-a68f-8aa9b5fb06ac"]}],"mendeley":{"formattedCitation":"(2)","plainTextFormattedCitation":"(2)","previouslyFormattedCitation":"(Stravitz and Lee 2019)"},"properties":{"noteIndex":0},"schema":"https://github.com/citation-style-language/schema/raw/master/csl-citation.json"}</w:instrText>
      </w:r>
      <w:r w:rsidR="001718AF" w:rsidRPr="00F62FC9">
        <w:rPr>
          <w:rFonts w:ascii="Calibri" w:hAnsi="Calibri" w:cs="Calibri"/>
          <w:sz w:val="24"/>
          <w:szCs w:val="24"/>
        </w:rPr>
        <w:fldChar w:fldCharType="separate"/>
      </w:r>
      <w:r w:rsidR="003B280C" w:rsidRPr="00F62FC9">
        <w:rPr>
          <w:rFonts w:ascii="Calibri" w:hAnsi="Calibri" w:cs="Calibri"/>
          <w:noProof/>
          <w:sz w:val="24"/>
          <w:szCs w:val="24"/>
        </w:rPr>
        <w:t>(2)</w:t>
      </w:r>
      <w:r w:rsidR="001718AF" w:rsidRPr="00F62FC9">
        <w:rPr>
          <w:rFonts w:ascii="Calibri" w:hAnsi="Calibri" w:cs="Calibri"/>
          <w:sz w:val="24"/>
          <w:szCs w:val="24"/>
        </w:rPr>
        <w:fldChar w:fldCharType="end"/>
      </w:r>
      <w:r w:rsidR="00A53215" w:rsidRPr="00F62FC9">
        <w:rPr>
          <w:rFonts w:ascii="Calibri" w:hAnsi="Calibri" w:cs="Calibri"/>
          <w:sz w:val="24"/>
          <w:szCs w:val="24"/>
        </w:rPr>
        <w:t>.</w:t>
      </w:r>
      <w:r w:rsidR="001718AF" w:rsidRPr="00F62FC9">
        <w:rPr>
          <w:rFonts w:ascii="Calibri" w:hAnsi="Calibri" w:cs="Calibri"/>
          <w:sz w:val="24"/>
          <w:szCs w:val="24"/>
        </w:rPr>
        <w:t xml:space="preserve"> </w:t>
      </w:r>
      <w:r w:rsidR="00173BFB" w:rsidRPr="00F62FC9">
        <w:rPr>
          <w:rFonts w:ascii="Calibri" w:hAnsi="Calibri" w:cs="Calibri"/>
          <w:sz w:val="24"/>
          <w:szCs w:val="24"/>
        </w:rPr>
        <w:t xml:space="preserve">Também, </w:t>
      </w:r>
      <w:r w:rsidR="000C5965" w:rsidRPr="00F62FC9">
        <w:rPr>
          <w:rFonts w:ascii="Calibri" w:hAnsi="Calibri" w:cs="Calibri"/>
          <w:sz w:val="24"/>
          <w:szCs w:val="24"/>
        </w:rPr>
        <w:t>a mortalidade em DHA pode chegar de 40 a 80% sem um transplante hepático</w:t>
      </w:r>
      <w:r w:rsidR="00A25FBF" w:rsidRPr="00F62FC9">
        <w:rPr>
          <w:rFonts w:ascii="Calibri" w:hAnsi="Calibri" w:cs="Calibri"/>
          <w:sz w:val="24"/>
          <w:szCs w:val="24"/>
        </w:rPr>
        <w:t>;</w:t>
      </w:r>
      <w:r w:rsidR="005A1E13" w:rsidRPr="00F62FC9">
        <w:rPr>
          <w:rFonts w:ascii="Calibri" w:hAnsi="Calibri" w:cs="Calibri"/>
          <w:sz w:val="24"/>
          <w:szCs w:val="24"/>
        </w:rPr>
        <w:t xml:space="preserve"> </w:t>
      </w:r>
      <w:r w:rsidR="00A37E13" w:rsidRPr="00F62FC9">
        <w:rPr>
          <w:rFonts w:ascii="Calibri" w:hAnsi="Calibri" w:cs="Calibri"/>
          <w:sz w:val="24"/>
          <w:szCs w:val="24"/>
        </w:rPr>
        <w:t>onde</w:t>
      </w:r>
      <w:r w:rsidR="005A1E13" w:rsidRPr="00F62FC9">
        <w:rPr>
          <w:rFonts w:ascii="Calibri" w:hAnsi="Calibri" w:cs="Calibri"/>
          <w:sz w:val="24"/>
          <w:szCs w:val="24"/>
        </w:rPr>
        <w:t xml:space="preserve"> </w:t>
      </w:r>
      <w:r w:rsidR="00DD6F14" w:rsidRPr="00F62FC9">
        <w:rPr>
          <w:rFonts w:ascii="Calibri" w:hAnsi="Calibri" w:cs="Calibri"/>
          <w:sz w:val="24"/>
          <w:szCs w:val="24"/>
        </w:rPr>
        <w:t xml:space="preserve">edema cerebral e hipertensão intracraniana (HIC) secundários a hiperamonemia são </w:t>
      </w:r>
      <w:r w:rsidR="00F02402" w:rsidRPr="00F62FC9">
        <w:rPr>
          <w:rFonts w:ascii="Calibri" w:hAnsi="Calibri" w:cs="Calibri"/>
          <w:sz w:val="24"/>
          <w:szCs w:val="24"/>
        </w:rPr>
        <w:t xml:space="preserve">responsáveis por 35% das mortes. Essas taxas de mortalidade são bastante superiores às de DHC, </w:t>
      </w:r>
      <w:r w:rsidR="007E7E9A" w:rsidRPr="00F62FC9">
        <w:rPr>
          <w:rFonts w:ascii="Calibri" w:hAnsi="Calibri" w:cs="Calibri"/>
          <w:sz w:val="24"/>
          <w:szCs w:val="24"/>
        </w:rPr>
        <w:t>em que a</w:t>
      </w:r>
      <w:r w:rsidR="00F02402" w:rsidRPr="00F62FC9">
        <w:rPr>
          <w:rFonts w:ascii="Calibri" w:hAnsi="Calibri" w:cs="Calibri"/>
          <w:sz w:val="24"/>
          <w:szCs w:val="24"/>
        </w:rPr>
        <w:t xml:space="preserve"> EH está associada principalmente a </w:t>
      </w:r>
      <w:r w:rsidR="00F02402" w:rsidRPr="00F62FC9">
        <w:rPr>
          <w:rFonts w:ascii="Calibri" w:hAnsi="Calibri" w:cs="Calibri"/>
          <w:i/>
          <w:iCs/>
          <w:sz w:val="24"/>
          <w:szCs w:val="24"/>
        </w:rPr>
        <w:t xml:space="preserve">shunt </w:t>
      </w:r>
      <w:r w:rsidR="00201133" w:rsidRPr="00F62FC9">
        <w:rPr>
          <w:rFonts w:ascii="Calibri" w:hAnsi="Calibri" w:cs="Calibri"/>
          <w:sz w:val="24"/>
          <w:szCs w:val="24"/>
        </w:rPr>
        <w:t>porto</w:t>
      </w:r>
      <w:r w:rsidR="00D651D2" w:rsidRPr="00F62FC9">
        <w:rPr>
          <w:rFonts w:ascii="Calibri" w:hAnsi="Calibri" w:cs="Calibri"/>
          <w:sz w:val="24"/>
          <w:szCs w:val="24"/>
        </w:rPr>
        <w:t>-</w:t>
      </w:r>
      <w:r w:rsidR="00201133" w:rsidRPr="00F62FC9">
        <w:rPr>
          <w:rFonts w:ascii="Calibri" w:hAnsi="Calibri" w:cs="Calibri"/>
          <w:sz w:val="24"/>
          <w:szCs w:val="24"/>
        </w:rPr>
        <w:t xml:space="preserve">sistêmico </w:t>
      </w:r>
      <w:r w:rsidR="00201133" w:rsidRPr="00F62FC9">
        <w:rPr>
          <w:rFonts w:ascii="Calibri" w:hAnsi="Calibri" w:cs="Calibri"/>
          <w:sz w:val="24"/>
          <w:szCs w:val="24"/>
        </w:rPr>
        <w:fldChar w:fldCharType="begin" w:fldLock="1"/>
      </w:r>
      <w:r w:rsidR="003B280C" w:rsidRPr="00F62FC9">
        <w:rPr>
          <w:rFonts w:ascii="Calibri" w:hAnsi="Calibri" w:cs="Calibri"/>
          <w:sz w:val="24"/>
          <w:szCs w:val="24"/>
        </w:rPr>
        <w:instrText>ADDIN CSL_CITATION {"citationItems":[{"id":"ITEM-1","itemData":{"DOI":"10.1016/j.cld.2015.04.006","ISSN":"15578224","PMID":"26195209","abstract":"Hepatic encephalopathy (HE) is associated with cerebral edema (CE), increased intracranial pressure (ICP), and subsequent neurologic complications; it is the most important cause of morbidity and mortality in fulminant hepatic failure. The goal of therapy should be early diagnosis and treatment of HE with measures to reduce CE. A combination of clinical examination and diagnostic modalities can aid in prompt diagnosis. ICP monitoring and transcranial Doppler help diagnose and monitor response to treatment. Transfer to a transplant center and intensive care unit admission with airway management and reduction of CE with hypertonic saline, mannitol, hypothermia, and sedation are recommended as a bridge to liver transplantation.","author":[{"dropping-particle":"","family":"Kodali","given":"Sudha","non-dropping-particle":"","parse-names":false,"suffix":""},{"dropping-particle":"","family":"McGuire","given":"Brendan M.","non-dropping-particle":"","parse-names":false,"suffix":""}],"container-title":"Clinics in Liver Disease","id":"ITEM-1","issue":"3","issued":{"date-parts":[["2015"]]},"page":"565-576","publisher":"Elsevier Inc","title":"Diagnosis and Management of Hepatic Encephalopathy in Fulminant Hepatic Failure","type":"article","volume":"19"},"uris":["http://www.mendeley.com/documents/?uuid=ee5a5aa9-59f4-421f-8274-78a7e72edbae"]}],"mendeley":{"formattedCitation":"(5)","plainTextFormattedCitation":"(5)","previouslyFormattedCitation":"(Kodali and McGuire 2015)"},"properties":{"noteIndex":0},"schema":"https://github.com/citation-style-language/schema/raw/master/csl-citation.json"}</w:instrText>
      </w:r>
      <w:r w:rsidR="00201133" w:rsidRPr="00F62FC9">
        <w:rPr>
          <w:rFonts w:ascii="Calibri" w:hAnsi="Calibri" w:cs="Calibri"/>
          <w:sz w:val="24"/>
          <w:szCs w:val="24"/>
        </w:rPr>
        <w:fldChar w:fldCharType="separate"/>
      </w:r>
      <w:r w:rsidR="003B280C" w:rsidRPr="00F62FC9">
        <w:rPr>
          <w:rFonts w:ascii="Calibri" w:hAnsi="Calibri" w:cs="Calibri"/>
          <w:noProof/>
          <w:sz w:val="24"/>
          <w:szCs w:val="24"/>
        </w:rPr>
        <w:t>(5)</w:t>
      </w:r>
      <w:r w:rsidR="00201133" w:rsidRPr="00F62FC9">
        <w:rPr>
          <w:rFonts w:ascii="Calibri" w:hAnsi="Calibri" w:cs="Calibri"/>
          <w:sz w:val="24"/>
          <w:szCs w:val="24"/>
        </w:rPr>
        <w:fldChar w:fldCharType="end"/>
      </w:r>
      <w:r w:rsidR="00201133" w:rsidRPr="00F62FC9">
        <w:rPr>
          <w:rFonts w:ascii="Calibri" w:hAnsi="Calibri" w:cs="Calibri"/>
          <w:sz w:val="24"/>
          <w:szCs w:val="24"/>
        </w:rPr>
        <w:t>.</w:t>
      </w:r>
      <w:r w:rsidR="00E043C0" w:rsidRPr="00F62FC9">
        <w:rPr>
          <w:rFonts w:ascii="Calibri" w:hAnsi="Calibri" w:cs="Calibri"/>
          <w:sz w:val="24"/>
          <w:szCs w:val="24"/>
        </w:rPr>
        <w:t xml:space="preserve"> Na doença crônica</w:t>
      </w:r>
      <w:r w:rsidRPr="00F62FC9">
        <w:rPr>
          <w:rFonts w:ascii="Calibri" w:hAnsi="Calibri" w:cs="Calibri"/>
          <w:sz w:val="24"/>
          <w:szCs w:val="24"/>
        </w:rPr>
        <w:t xml:space="preserve">, </w:t>
      </w:r>
      <w:r w:rsidR="004A2DB3" w:rsidRPr="00F62FC9">
        <w:rPr>
          <w:rFonts w:ascii="Calibri" w:hAnsi="Calibri" w:cs="Calibri"/>
          <w:sz w:val="24"/>
          <w:szCs w:val="24"/>
        </w:rPr>
        <w:t xml:space="preserve">a prevalência de EH em diagnósticos de cirrose é de 10-14% em geral, de 16-21% em pacientes com cirrose descompensada e </w:t>
      </w:r>
      <w:r w:rsidR="00D651D2" w:rsidRPr="00F62FC9">
        <w:rPr>
          <w:rFonts w:ascii="Calibri" w:hAnsi="Calibri" w:cs="Calibri"/>
          <w:sz w:val="24"/>
          <w:szCs w:val="24"/>
        </w:rPr>
        <w:t xml:space="preserve">de </w:t>
      </w:r>
      <w:r w:rsidR="004A2DB3" w:rsidRPr="00F62FC9">
        <w:rPr>
          <w:rFonts w:ascii="Calibri" w:hAnsi="Calibri" w:cs="Calibri"/>
          <w:sz w:val="24"/>
          <w:szCs w:val="24"/>
        </w:rPr>
        <w:t xml:space="preserve">10-15% em pacientes com </w:t>
      </w:r>
      <w:r w:rsidR="004A2DB3" w:rsidRPr="00F62FC9">
        <w:rPr>
          <w:rFonts w:ascii="Calibri" w:hAnsi="Calibri" w:cs="Calibri"/>
          <w:i/>
          <w:iCs/>
          <w:sz w:val="24"/>
          <w:szCs w:val="24"/>
        </w:rPr>
        <w:t>shunt</w:t>
      </w:r>
      <w:r w:rsidR="004A2DB3" w:rsidRPr="00F62FC9">
        <w:rPr>
          <w:rFonts w:ascii="Calibri" w:hAnsi="Calibri" w:cs="Calibri"/>
          <w:sz w:val="24"/>
          <w:szCs w:val="24"/>
        </w:rPr>
        <w:t xml:space="preserve"> transjugular intra-hepático porto-sistêmico (TIPS).</w:t>
      </w:r>
      <w:r w:rsidR="003D2AA7" w:rsidRPr="00F62FC9">
        <w:rPr>
          <w:rFonts w:ascii="Calibri" w:hAnsi="Calibri" w:cs="Calibri"/>
          <w:sz w:val="24"/>
          <w:szCs w:val="24"/>
        </w:rPr>
        <w:t xml:space="preserve"> A EH ocorre eventualmente em 30-40% dos indivíduos com cirrose</w:t>
      </w:r>
      <w:r w:rsidR="001242F9" w:rsidRPr="00F62FC9">
        <w:rPr>
          <w:rFonts w:ascii="Calibri" w:hAnsi="Calibri" w:cs="Calibri"/>
          <w:sz w:val="24"/>
          <w:szCs w:val="24"/>
        </w:rPr>
        <w:t xml:space="preserve"> </w:t>
      </w:r>
      <w:r w:rsidR="007E7E9A" w:rsidRPr="00F62FC9">
        <w:rPr>
          <w:rFonts w:ascii="Calibri" w:hAnsi="Calibri" w:cs="Calibri"/>
          <w:sz w:val="24"/>
          <w:szCs w:val="24"/>
        </w:rPr>
        <w:fldChar w:fldCharType="begin" w:fldLock="1"/>
      </w:r>
      <w:r w:rsidR="003B280C" w:rsidRPr="00F62FC9">
        <w:rPr>
          <w:rFonts w:ascii="Calibri" w:hAnsi="Calibri" w:cs="Calibri"/>
          <w:sz w:val="24"/>
          <w:szCs w:val="24"/>
        </w:rPr>
        <w:instrText>ADDIN CSL_CITATION {"citationItems":[{"id":"ITEM-1","itemData":{"DOI":"10.1002/hep.27210","ISSN":"02709139","PMID":"25042402","author":[{"dropping-particle":"","family":"Vilstrup","given":"Hendrik","non-dropping-particle":"","parse-names":false,"suffix":""},{"dropping-particle":"","family":"Amodio","given":"Piero","non-dropping-particle":"","parse-names":false,"suffix":""},{"dropping-particle":"","family":"Bajaj","given":"Jasmohan","non-dropping-particle":"","parse-names":false,"suffix":""},{"dropping-particle":"","family":"Cordoba","given":"Juan","non-dropping-particle":"","parse-names":false,"suffix":""},{"dropping-particle":"","family":"Ferenci","given":"Peter","non-dropping-particle":"","parse-names":false,"suffix":""},{"dropping-particle":"","family":"Mullen","given":"Kevin D.","non-dropping-particle":"","parse-names":false,"suffix":""},{"dropping-particle":"","family":"Weissenborn","given":"Karin","non-dropping-particle":"","parse-names":false,"suffix":""},{"dropping-particle":"","family":"Wong","given":"Philip","non-dropping-particle":"","parse-names":false,"suffix":""}],"container-title":"Hepatology","id":"ITEM-1","issue":"2","issued":{"date-parts":[["2014","8"]]},"page":"715-735","title":"Hepatic encephalopathy in chronic liver disease: 2014 Practice Guideline by the American Association for the Study Of Liver Diseases and the European Association for the Study of the Liver","type":"article-journal","volume":"60"},"uris":["http://www.mendeley.com/documents/?uuid=5112b611-e52c-4b7e-ab9c-69a8eeb18fb2"]}],"mendeley":{"formattedCitation":"(6)","plainTextFormattedCitation":"(6)","previouslyFormattedCitation":"(Vilstrup et al. 2014)"},"properties":{"noteIndex":0},"schema":"https://github.com/citation-style-language/schema/raw/master/csl-citation.json"}</w:instrText>
      </w:r>
      <w:r w:rsidR="007E7E9A" w:rsidRPr="00F62FC9">
        <w:rPr>
          <w:rFonts w:ascii="Calibri" w:hAnsi="Calibri" w:cs="Calibri"/>
          <w:sz w:val="24"/>
          <w:szCs w:val="24"/>
        </w:rPr>
        <w:fldChar w:fldCharType="separate"/>
      </w:r>
      <w:r w:rsidR="003B280C" w:rsidRPr="00F62FC9">
        <w:rPr>
          <w:rFonts w:ascii="Calibri" w:hAnsi="Calibri" w:cs="Calibri"/>
          <w:noProof/>
          <w:sz w:val="24"/>
          <w:szCs w:val="24"/>
        </w:rPr>
        <w:t>(6)</w:t>
      </w:r>
      <w:r w:rsidR="007E7E9A" w:rsidRPr="00F62FC9">
        <w:rPr>
          <w:rFonts w:ascii="Calibri" w:hAnsi="Calibri" w:cs="Calibri"/>
          <w:sz w:val="24"/>
          <w:szCs w:val="24"/>
        </w:rPr>
        <w:fldChar w:fldCharType="end"/>
      </w:r>
      <w:r w:rsidR="001242F9" w:rsidRPr="00F62FC9">
        <w:rPr>
          <w:rFonts w:ascii="Calibri" w:hAnsi="Calibri" w:cs="Calibri"/>
          <w:sz w:val="24"/>
          <w:szCs w:val="24"/>
        </w:rPr>
        <w:t>.</w:t>
      </w:r>
    </w:p>
    <w:p w14:paraId="504EB474" w14:textId="2176FFF1" w:rsidR="008D19BB" w:rsidRPr="00F62FC9" w:rsidRDefault="007B30D1" w:rsidP="008D19BB">
      <w:pPr>
        <w:ind w:firstLine="360"/>
        <w:jc w:val="both"/>
        <w:rPr>
          <w:rFonts w:ascii="Calibri" w:hAnsi="Calibri" w:cs="Calibri"/>
          <w:sz w:val="24"/>
          <w:szCs w:val="24"/>
        </w:rPr>
      </w:pPr>
      <w:r w:rsidRPr="00F62FC9">
        <w:rPr>
          <w:rFonts w:ascii="Calibri" w:hAnsi="Calibri" w:cs="Calibri"/>
          <w:sz w:val="24"/>
          <w:szCs w:val="24"/>
        </w:rPr>
        <w:t>Além disso, n</w:t>
      </w:r>
      <w:r w:rsidR="00994660" w:rsidRPr="00F62FC9">
        <w:rPr>
          <w:rFonts w:ascii="Calibri" w:hAnsi="Calibri" w:cs="Calibri"/>
          <w:sz w:val="24"/>
          <w:szCs w:val="24"/>
        </w:rPr>
        <w:t>a tentativa de sistematizar o quadro, c</w:t>
      </w:r>
      <w:r w:rsidR="008D19BB" w:rsidRPr="00F62FC9">
        <w:rPr>
          <w:rFonts w:ascii="Calibri" w:hAnsi="Calibri" w:cs="Calibri"/>
          <w:sz w:val="24"/>
          <w:szCs w:val="24"/>
        </w:rPr>
        <w:t xml:space="preserve">onforme definido pelo 11º Congresso Mundial de Gastroeneterologia, a EH pode ocorrer em pacientes com </w:t>
      </w:r>
      <w:r w:rsidR="00D81D84" w:rsidRPr="00F62FC9">
        <w:rPr>
          <w:rFonts w:ascii="Calibri" w:hAnsi="Calibri" w:cs="Calibri"/>
          <w:sz w:val="24"/>
          <w:szCs w:val="24"/>
        </w:rPr>
        <w:t>DHA</w:t>
      </w:r>
      <w:r w:rsidR="008D19BB" w:rsidRPr="00F62FC9">
        <w:rPr>
          <w:rFonts w:ascii="Calibri" w:hAnsi="Calibri" w:cs="Calibri"/>
          <w:sz w:val="24"/>
          <w:szCs w:val="24"/>
        </w:rPr>
        <w:t xml:space="preserve"> (tipo A); em portadores de </w:t>
      </w:r>
      <w:r w:rsidR="008D19BB" w:rsidRPr="00F62FC9">
        <w:rPr>
          <w:rFonts w:ascii="Calibri" w:hAnsi="Calibri" w:cs="Calibri"/>
          <w:i/>
          <w:iCs/>
          <w:sz w:val="24"/>
          <w:szCs w:val="24"/>
        </w:rPr>
        <w:t>shunt</w:t>
      </w:r>
      <w:r w:rsidR="008D19BB" w:rsidRPr="00F62FC9">
        <w:rPr>
          <w:rFonts w:ascii="Calibri" w:hAnsi="Calibri" w:cs="Calibri"/>
          <w:sz w:val="24"/>
          <w:szCs w:val="24"/>
        </w:rPr>
        <w:t xml:space="preserve"> porto-sistêmico (tipo B), seja ele espontâneo ou cirúrgico, após a colocação de TIPS - o que não apresentaria lesão hepática intrínseca -; ou em pacientes com </w:t>
      </w:r>
      <w:r w:rsidR="00D81D84" w:rsidRPr="00F62FC9">
        <w:rPr>
          <w:rFonts w:ascii="Calibri" w:hAnsi="Calibri" w:cs="Calibri"/>
          <w:sz w:val="24"/>
          <w:szCs w:val="24"/>
        </w:rPr>
        <w:t xml:space="preserve">DHC </w:t>
      </w:r>
      <w:r w:rsidR="008D19BB" w:rsidRPr="00F62FC9">
        <w:rPr>
          <w:rFonts w:ascii="Calibri" w:hAnsi="Calibri" w:cs="Calibri"/>
          <w:sz w:val="24"/>
          <w:szCs w:val="24"/>
        </w:rPr>
        <w:t xml:space="preserve">(tipo C). A EH </w:t>
      </w:r>
      <w:r w:rsidR="00756D53" w:rsidRPr="00F62FC9">
        <w:rPr>
          <w:rFonts w:ascii="Calibri" w:hAnsi="Calibri" w:cs="Calibri"/>
          <w:sz w:val="24"/>
          <w:szCs w:val="24"/>
        </w:rPr>
        <w:t>do</w:t>
      </w:r>
      <w:r w:rsidR="008D19BB" w:rsidRPr="00F62FC9">
        <w:rPr>
          <w:rFonts w:ascii="Calibri" w:hAnsi="Calibri" w:cs="Calibri"/>
          <w:sz w:val="24"/>
          <w:szCs w:val="24"/>
        </w:rPr>
        <w:t xml:space="preserve"> tipo C, por sua vez, pode ser subclassificada: em (I) EH episódica, quando há delírio agudo ou distúrbio de consciência em pacientes previamente hígidos do ponto de vista neuropsiquiátrico, e podendo ser (Ia) precipitada (por fatores desencadeantes), (Ib) espontânea (na ausência desses fatores) ou (Ic) recorrente (com mais de 2 episódios por ano); em (II) EH persistente, quando há presença contínua e ininterrupta de sinais e sintomas neuropsiquiátricos, geralmente alterações extrapiramidais, disartria, distúrbios de personalidade, de memória e do ciclo sono</w:t>
      </w:r>
      <w:r w:rsidR="00911382" w:rsidRPr="00F62FC9">
        <w:rPr>
          <w:rFonts w:ascii="Calibri" w:hAnsi="Calibri" w:cs="Calibri"/>
          <w:sz w:val="24"/>
          <w:szCs w:val="24"/>
        </w:rPr>
        <w:t>-</w:t>
      </w:r>
      <w:r w:rsidR="008D19BB" w:rsidRPr="00F62FC9">
        <w:rPr>
          <w:rFonts w:ascii="Calibri" w:hAnsi="Calibri" w:cs="Calibri"/>
          <w:sz w:val="24"/>
          <w:szCs w:val="24"/>
        </w:rPr>
        <w:t xml:space="preserve">vigília, sendo graduada em (IIa) leve, (IIb) acentuada e (IIc) dependente de tratamento; ou ainda em (III) EH mínima, quando há um estágio pré-clínico de EH em hepatopatas crônicos, com déficits em testes neurológicos, porém sem alteração de estado mental evidente </w:t>
      </w:r>
      <w:r w:rsidR="008D19BB" w:rsidRPr="00F62FC9">
        <w:rPr>
          <w:rFonts w:ascii="Calibri" w:hAnsi="Calibri" w:cs="Calibri"/>
          <w:sz w:val="24"/>
          <w:szCs w:val="24"/>
        </w:rPr>
        <w:fldChar w:fldCharType="begin" w:fldLock="1"/>
      </w:r>
      <w:r w:rsidR="003B280C" w:rsidRPr="00F62FC9">
        <w:rPr>
          <w:rFonts w:ascii="Calibri" w:hAnsi="Calibri" w:cs="Calibri"/>
          <w:sz w:val="24"/>
          <w:szCs w:val="24"/>
        </w:rPr>
        <w:instrText>ADDIN CSL_CITATION {"citationItems":[{"id":"ITEM-1","itemData":{"DOI":"10.1053/jhep.2002.31250","ISSN":"02709139","PMID":"11870389","abstract":"Research on hepatic encephalopathy is hampered by the imprecise definition of this disabling complication of liver disease. Under this light, the Organisation Mondiale de Gastroentérologie commissioned a Working Party to reach a consensus in this area and to present it at the 11th World Congress of Gastroenterology in Vienna (1998). The Working Party continued its work thereafter and now present their final report. In summary, the Working Party has suggested a modification of current nomenclature for clinical diagnosis of hepatic encephalopathy; proposed guidelines for the performance of future clinical trials in hepatic encephalopathy; and felt the need for a large study to redefine neuropsychiatric abnormalities in liver disease, which would allow the diagnosis of minimal (subclinical) encephalopathy to be made on firm statistical grounds. In the interim, it proposes the use of a psychometric hepatic encephalopathy score, based on the result of 5 neuropsychologic tests. Finally, the need for a careful evaluation of the newer neuroimaging modalities for the diagnosis of hepatic encephalopathy was stressed.","author":[{"dropping-particle":"","family":"Ferenci","given":"Peter","non-dropping-particle":"","parse-names":false,"suffix":""},{"dropping-particle":"","family":"Lockwood","given":"Alan","non-dropping-particle":"","parse-names":false,"suffix":""},{"dropping-particle":"","family":"Mullen","given":"Kevin","non-dropping-particle":"","parse-names":false,"suffix":""},{"dropping-particle":"","family":"Tarter","given":"Ralph","non-dropping-particle":"","parse-names":false,"suffix":""},{"dropping-particle":"","family":"Weissenborn","given":"Karin","non-dropping-particle":"","parse-names":false,"suffix":""},{"dropping-particle":"","family":"Blei","given":"Andres T.","non-dropping-particle":"","parse-names":false,"suffix":""}],"container-title":"Hepatology","id":"ITEM-1","issue":"3","issued":{"date-parts":[["2002"]]},"page":"716-721","title":"Hepatic encephalopathy - Definition, nomenclature, diagnosis, and quantification: Final report of the Working Party at the 11th World Congresses of Gastroenterology, Vienna, 1998","type":"article-journal","volume":"35"},"uris":["http://www.mendeley.com/documents/?uuid=27f0cb94-5e2f-4564-a4cb-658a7672a8e6"]}],"mendeley":{"formattedCitation":"(7)","plainTextFormattedCitation":"(7)","previouslyFormattedCitation":"(Ferenci et al. 2002)"},"properties":{"noteIndex":0},"schema":"https://github.com/citation-style-language/schema/raw/master/csl-citation.json"}</w:instrText>
      </w:r>
      <w:r w:rsidR="008D19BB" w:rsidRPr="00F62FC9">
        <w:rPr>
          <w:rFonts w:ascii="Calibri" w:hAnsi="Calibri" w:cs="Calibri"/>
          <w:sz w:val="24"/>
          <w:szCs w:val="24"/>
        </w:rPr>
        <w:fldChar w:fldCharType="separate"/>
      </w:r>
      <w:r w:rsidR="003B280C" w:rsidRPr="00F62FC9">
        <w:rPr>
          <w:rFonts w:ascii="Calibri" w:hAnsi="Calibri" w:cs="Calibri"/>
          <w:noProof/>
          <w:sz w:val="24"/>
          <w:szCs w:val="24"/>
        </w:rPr>
        <w:t>(7)</w:t>
      </w:r>
      <w:r w:rsidR="008D19BB" w:rsidRPr="00F62FC9">
        <w:rPr>
          <w:rFonts w:ascii="Calibri" w:hAnsi="Calibri" w:cs="Calibri"/>
          <w:sz w:val="24"/>
          <w:szCs w:val="24"/>
        </w:rPr>
        <w:fldChar w:fldCharType="end"/>
      </w:r>
      <w:r w:rsidR="008D19BB" w:rsidRPr="00F62FC9">
        <w:rPr>
          <w:rFonts w:ascii="Calibri" w:hAnsi="Calibri" w:cs="Calibri"/>
          <w:sz w:val="24"/>
          <w:szCs w:val="24"/>
        </w:rPr>
        <w:t>.</w:t>
      </w:r>
    </w:p>
    <w:p w14:paraId="116B145C" w14:textId="77777777" w:rsidR="000F1119" w:rsidRPr="00F62FC9" w:rsidRDefault="000F1119" w:rsidP="008D19BB">
      <w:pPr>
        <w:ind w:firstLine="360"/>
        <w:jc w:val="both"/>
        <w:rPr>
          <w:rFonts w:ascii="Calibri" w:hAnsi="Calibri" w:cs="Calibri"/>
          <w:sz w:val="24"/>
          <w:szCs w:val="24"/>
        </w:rPr>
      </w:pPr>
    </w:p>
    <w:p w14:paraId="17821BEE" w14:textId="552D48AF" w:rsidR="00236949" w:rsidRPr="00F62FC9" w:rsidRDefault="00236949" w:rsidP="00236949">
      <w:pPr>
        <w:pStyle w:val="Legenda"/>
        <w:keepNext/>
        <w:jc w:val="both"/>
        <w:rPr>
          <w:rFonts w:ascii="Calibri" w:hAnsi="Calibri" w:cs="Calibri"/>
          <w:b w:val="0"/>
          <w:bCs w:val="0"/>
        </w:rPr>
      </w:pPr>
      <w:r w:rsidRPr="00F62FC9">
        <w:rPr>
          <w:rFonts w:ascii="Calibri" w:hAnsi="Calibri" w:cs="Calibri"/>
          <w:b w:val="0"/>
          <w:bCs w:val="0"/>
        </w:rPr>
        <w:lastRenderedPageBreak/>
        <w:t xml:space="preserve">Tabela </w:t>
      </w:r>
      <w:r w:rsidRPr="00F62FC9">
        <w:rPr>
          <w:rFonts w:ascii="Calibri" w:hAnsi="Calibri" w:cs="Calibri"/>
          <w:b w:val="0"/>
          <w:bCs w:val="0"/>
        </w:rPr>
        <w:fldChar w:fldCharType="begin"/>
      </w:r>
      <w:r w:rsidRPr="00F62FC9">
        <w:rPr>
          <w:rFonts w:ascii="Calibri" w:hAnsi="Calibri" w:cs="Calibri"/>
          <w:b w:val="0"/>
          <w:bCs w:val="0"/>
        </w:rPr>
        <w:instrText xml:space="preserve"> SEQ Tabela \* ARABIC </w:instrText>
      </w:r>
      <w:r w:rsidRPr="00F62FC9">
        <w:rPr>
          <w:rFonts w:ascii="Calibri" w:hAnsi="Calibri" w:cs="Calibri"/>
          <w:b w:val="0"/>
          <w:bCs w:val="0"/>
        </w:rPr>
        <w:fldChar w:fldCharType="separate"/>
      </w:r>
      <w:r w:rsidR="009453D8">
        <w:rPr>
          <w:rFonts w:ascii="Calibri" w:hAnsi="Calibri" w:cs="Calibri"/>
          <w:b w:val="0"/>
          <w:bCs w:val="0"/>
          <w:noProof/>
        </w:rPr>
        <w:t>1</w:t>
      </w:r>
      <w:r w:rsidRPr="00F62FC9">
        <w:rPr>
          <w:rFonts w:ascii="Calibri" w:hAnsi="Calibri" w:cs="Calibri"/>
          <w:b w:val="0"/>
          <w:bCs w:val="0"/>
        </w:rPr>
        <w:fldChar w:fldCharType="end"/>
      </w:r>
      <w:r w:rsidRPr="00F62FC9">
        <w:rPr>
          <w:rFonts w:ascii="Calibri" w:hAnsi="Calibri" w:cs="Calibri"/>
          <w:b w:val="0"/>
          <w:bCs w:val="0"/>
        </w:rPr>
        <w:t xml:space="preserve"> - Classificações da EH</w:t>
      </w:r>
    </w:p>
    <w:p w14:paraId="766D99AF" w14:textId="2A353EF4" w:rsidR="008D19BB" w:rsidRPr="00F62FC9" w:rsidRDefault="00245415" w:rsidP="000F1119">
      <w:pPr>
        <w:ind w:firstLine="360"/>
        <w:jc w:val="both"/>
        <w:rPr>
          <w:rFonts w:ascii="Calibri" w:hAnsi="Calibri" w:cs="Calibri"/>
          <w:noProof/>
          <w:sz w:val="24"/>
          <w:szCs w:val="24"/>
        </w:rPr>
      </w:pPr>
      <w:r>
        <w:rPr>
          <w:rFonts w:ascii="Calibri" w:hAnsi="Calibri" w:cs="Calibri"/>
          <w:noProof/>
          <w:sz w:val="24"/>
          <w:szCs w:val="24"/>
        </w:rPr>
        <w:drawing>
          <wp:inline distT="0" distB="0" distL="0" distR="0" wp14:anchorId="05B2D6AB" wp14:editId="799A2974">
            <wp:extent cx="4705350" cy="1552575"/>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705350" cy="1552575"/>
                    </a:xfrm>
                    <a:prstGeom prst="rect">
                      <a:avLst/>
                    </a:prstGeom>
                    <a:noFill/>
                    <a:ln>
                      <a:noFill/>
                    </a:ln>
                  </pic:spPr>
                </pic:pic>
              </a:graphicData>
            </a:graphic>
          </wp:inline>
        </w:drawing>
      </w:r>
    </w:p>
    <w:p w14:paraId="0B23B12D" w14:textId="77777777" w:rsidR="000F1119" w:rsidRPr="00F62FC9" w:rsidRDefault="000F1119" w:rsidP="000F1119">
      <w:pPr>
        <w:ind w:firstLine="360"/>
        <w:jc w:val="center"/>
        <w:rPr>
          <w:rFonts w:ascii="Calibri" w:hAnsi="Calibri" w:cs="Calibri"/>
          <w:noProof/>
          <w:sz w:val="24"/>
          <w:szCs w:val="24"/>
        </w:rPr>
      </w:pPr>
    </w:p>
    <w:p w14:paraId="36A932E5" w14:textId="471A969D" w:rsidR="005D6282" w:rsidRPr="00F62FC9" w:rsidRDefault="003B5292" w:rsidP="00177990">
      <w:pPr>
        <w:ind w:firstLine="360"/>
        <w:jc w:val="both"/>
        <w:rPr>
          <w:rFonts w:ascii="Calibri" w:hAnsi="Calibri" w:cs="Calibri"/>
          <w:sz w:val="24"/>
          <w:szCs w:val="24"/>
        </w:rPr>
      </w:pPr>
      <w:r w:rsidRPr="00F62FC9">
        <w:rPr>
          <w:rFonts w:ascii="Calibri" w:hAnsi="Calibri" w:cs="Calibri"/>
          <w:sz w:val="24"/>
          <w:szCs w:val="24"/>
        </w:rPr>
        <w:t xml:space="preserve">A fisiopatologia da EH </w:t>
      </w:r>
      <w:r w:rsidR="007A52A2" w:rsidRPr="00F62FC9">
        <w:rPr>
          <w:rFonts w:ascii="Calibri" w:hAnsi="Calibri" w:cs="Calibri"/>
          <w:sz w:val="24"/>
          <w:szCs w:val="24"/>
        </w:rPr>
        <w:t xml:space="preserve">é complexa, multifatorial e </w:t>
      </w:r>
      <w:r w:rsidR="00CE422A" w:rsidRPr="00F62FC9">
        <w:rPr>
          <w:rFonts w:ascii="Calibri" w:hAnsi="Calibri" w:cs="Calibri"/>
          <w:sz w:val="24"/>
          <w:szCs w:val="24"/>
        </w:rPr>
        <w:t>seus mecanismos não estão</w:t>
      </w:r>
      <w:r w:rsidRPr="00F62FC9">
        <w:rPr>
          <w:rFonts w:ascii="Calibri" w:hAnsi="Calibri" w:cs="Calibri"/>
          <w:sz w:val="24"/>
          <w:szCs w:val="24"/>
        </w:rPr>
        <w:t xml:space="preserve"> completamente definid</w:t>
      </w:r>
      <w:r w:rsidR="00CE422A" w:rsidRPr="00F62FC9">
        <w:rPr>
          <w:rFonts w:ascii="Calibri" w:hAnsi="Calibri" w:cs="Calibri"/>
          <w:sz w:val="24"/>
          <w:szCs w:val="24"/>
        </w:rPr>
        <w:t>os</w:t>
      </w:r>
      <w:r w:rsidR="00E61C74" w:rsidRPr="00F62FC9">
        <w:rPr>
          <w:rFonts w:ascii="Calibri" w:hAnsi="Calibri" w:cs="Calibri"/>
          <w:sz w:val="24"/>
          <w:szCs w:val="24"/>
        </w:rPr>
        <w:t>.</w:t>
      </w:r>
      <w:r w:rsidR="00965A62" w:rsidRPr="00F62FC9">
        <w:rPr>
          <w:rFonts w:ascii="Calibri" w:hAnsi="Calibri" w:cs="Calibri"/>
          <w:sz w:val="24"/>
          <w:szCs w:val="24"/>
        </w:rPr>
        <w:t xml:space="preserve"> </w:t>
      </w:r>
      <w:r w:rsidR="00E61C74" w:rsidRPr="00F62FC9">
        <w:rPr>
          <w:rFonts w:ascii="Calibri" w:hAnsi="Calibri" w:cs="Calibri"/>
          <w:sz w:val="24"/>
          <w:szCs w:val="24"/>
        </w:rPr>
        <w:t>C</w:t>
      </w:r>
      <w:r w:rsidR="00965A62" w:rsidRPr="00F62FC9">
        <w:rPr>
          <w:rFonts w:ascii="Calibri" w:hAnsi="Calibri" w:cs="Calibri"/>
          <w:sz w:val="24"/>
          <w:szCs w:val="24"/>
        </w:rPr>
        <w:t xml:space="preserve">ontudo, </w:t>
      </w:r>
      <w:r w:rsidR="00847AF1" w:rsidRPr="00F62FC9">
        <w:rPr>
          <w:rFonts w:ascii="Calibri" w:hAnsi="Calibri" w:cs="Calibri"/>
          <w:sz w:val="24"/>
          <w:szCs w:val="24"/>
        </w:rPr>
        <w:t xml:space="preserve">alguns fatores </w:t>
      </w:r>
      <w:r w:rsidR="00852E86" w:rsidRPr="00F62FC9">
        <w:rPr>
          <w:rFonts w:ascii="Calibri" w:hAnsi="Calibri" w:cs="Calibri"/>
          <w:sz w:val="24"/>
          <w:szCs w:val="24"/>
        </w:rPr>
        <w:t xml:space="preserve">podem ser apontados como </w:t>
      </w:r>
      <w:r w:rsidR="00847AF1" w:rsidRPr="00F62FC9">
        <w:rPr>
          <w:rFonts w:ascii="Calibri" w:hAnsi="Calibri" w:cs="Calibri"/>
          <w:sz w:val="24"/>
          <w:szCs w:val="24"/>
        </w:rPr>
        <w:t xml:space="preserve">predisponentes </w:t>
      </w:r>
      <w:r w:rsidR="00FE0088" w:rsidRPr="00F62FC9">
        <w:rPr>
          <w:rFonts w:ascii="Calibri" w:hAnsi="Calibri" w:cs="Calibri"/>
          <w:sz w:val="24"/>
          <w:szCs w:val="24"/>
        </w:rPr>
        <w:t xml:space="preserve">à progressão e à severidade do </w:t>
      </w:r>
      <w:r w:rsidR="00852E86" w:rsidRPr="00F62FC9">
        <w:rPr>
          <w:rFonts w:ascii="Calibri" w:hAnsi="Calibri" w:cs="Calibri"/>
          <w:sz w:val="24"/>
          <w:szCs w:val="24"/>
        </w:rPr>
        <w:t>declínio neurológico</w:t>
      </w:r>
      <w:r w:rsidR="009B22B7" w:rsidRPr="00F62FC9">
        <w:rPr>
          <w:rFonts w:ascii="Calibri" w:hAnsi="Calibri" w:cs="Calibri"/>
          <w:sz w:val="24"/>
          <w:szCs w:val="24"/>
        </w:rPr>
        <w:t xml:space="preserve"> </w:t>
      </w:r>
      <w:r w:rsidR="008538CE" w:rsidRPr="00F62FC9">
        <w:rPr>
          <w:rFonts w:ascii="Calibri" w:hAnsi="Calibri" w:cs="Calibri"/>
          <w:sz w:val="24"/>
          <w:szCs w:val="24"/>
        </w:rPr>
        <w:t>da hepatopatia crônica</w:t>
      </w:r>
      <w:r w:rsidR="000D0A45" w:rsidRPr="00F62FC9">
        <w:rPr>
          <w:rFonts w:ascii="Calibri" w:hAnsi="Calibri" w:cs="Calibri"/>
          <w:sz w:val="24"/>
          <w:szCs w:val="24"/>
        </w:rPr>
        <w:t xml:space="preserve"> por serem essencialmente formadores de edema</w:t>
      </w:r>
      <w:r w:rsidR="00F8546B" w:rsidRPr="00F62FC9">
        <w:rPr>
          <w:rFonts w:ascii="Calibri" w:hAnsi="Calibri" w:cs="Calibri"/>
          <w:sz w:val="24"/>
          <w:szCs w:val="24"/>
        </w:rPr>
        <w:t xml:space="preserve"> – são eles</w:t>
      </w:r>
      <w:r w:rsidR="00852E86" w:rsidRPr="00F62FC9">
        <w:rPr>
          <w:rFonts w:ascii="Calibri" w:hAnsi="Calibri" w:cs="Calibri"/>
          <w:sz w:val="24"/>
          <w:szCs w:val="24"/>
        </w:rPr>
        <w:t xml:space="preserve">: </w:t>
      </w:r>
      <w:r w:rsidR="0049520C" w:rsidRPr="00F62FC9">
        <w:rPr>
          <w:rFonts w:ascii="Calibri" w:hAnsi="Calibri" w:cs="Calibri"/>
          <w:sz w:val="24"/>
          <w:szCs w:val="24"/>
        </w:rPr>
        <w:t xml:space="preserve">inflamação, estresse oxidativo, </w:t>
      </w:r>
      <w:r w:rsidR="005E4093" w:rsidRPr="00F62FC9">
        <w:rPr>
          <w:rFonts w:ascii="Calibri" w:hAnsi="Calibri" w:cs="Calibri"/>
          <w:sz w:val="24"/>
          <w:szCs w:val="24"/>
        </w:rPr>
        <w:t xml:space="preserve">excesso de </w:t>
      </w:r>
      <w:r w:rsidR="004C3FDE" w:rsidRPr="00F62FC9">
        <w:rPr>
          <w:rFonts w:ascii="Calibri" w:hAnsi="Calibri" w:cs="Calibri"/>
          <w:sz w:val="24"/>
          <w:szCs w:val="24"/>
        </w:rPr>
        <w:t>ácidos biliares</w:t>
      </w:r>
      <w:r w:rsidR="00B92A37" w:rsidRPr="00F62FC9">
        <w:rPr>
          <w:rFonts w:ascii="Calibri" w:hAnsi="Calibri" w:cs="Calibri"/>
          <w:sz w:val="24"/>
          <w:szCs w:val="24"/>
        </w:rPr>
        <w:t xml:space="preserve"> (ABs)</w:t>
      </w:r>
      <w:r w:rsidR="00836E80" w:rsidRPr="00F62FC9">
        <w:rPr>
          <w:rFonts w:ascii="Calibri" w:hAnsi="Calibri" w:cs="Calibri"/>
          <w:sz w:val="24"/>
          <w:szCs w:val="24"/>
        </w:rPr>
        <w:t>, lactato</w:t>
      </w:r>
      <w:r w:rsidR="005E4093" w:rsidRPr="00F62FC9">
        <w:rPr>
          <w:rFonts w:ascii="Calibri" w:hAnsi="Calibri" w:cs="Calibri"/>
          <w:sz w:val="24"/>
          <w:szCs w:val="24"/>
        </w:rPr>
        <w:t xml:space="preserve"> aumentado e</w:t>
      </w:r>
      <w:r w:rsidR="00D90F7A" w:rsidRPr="00F62FC9">
        <w:rPr>
          <w:rFonts w:ascii="Calibri" w:hAnsi="Calibri" w:cs="Calibri"/>
          <w:sz w:val="24"/>
          <w:szCs w:val="24"/>
        </w:rPr>
        <w:t>, principalmente, hiperamonemia</w:t>
      </w:r>
      <w:r w:rsidR="00565545" w:rsidRPr="00F62FC9">
        <w:rPr>
          <w:rFonts w:ascii="Calibri" w:hAnsi="Calibri" w:cs="Calibri"/>
          <w:sz w:val="24"/>
          <w:szCs w:val="24"/>
        </w:rPr>
        <w:t xml:space="preserve"> </w:t>
      </w:r>
      <w:r w:rsidR="00565545" w:rsidRPr="00F62FC9">
        <w:rPr>
          <w:rFonts w:ascii="Calibri" w:hAnsi="Calibri" w:cs="Calibri"/>
          <w:sz w:val="24"/>
          <w:szCs w:val="24"/>
        </w:rPr>
        <w:fldChar w:fldCharType="begin" w:fldLock="1"/>
      </w:r>
      <w:r w:rsidR="003B280C" w:rsidRPr="00F62FC9">
        <w:rPr>
          <w:rFonts w:ascii="Calibri" w:hAnsi="Calibri" w:cs="Calibri"/>
          <w:sz w:val="24"/>
          <w:szCs w:val="24"/>
        </w:rPr>
        <w:instrText>ADDIN CSL_CITATION {"citationItems":[{"id":"ITEM-1","itemData":{"DOI":"10.1016/j.jceh.2018.08.001","ISSN":"22133453","abstract":"Hepatic encephalopathy (HE) is a complex neuropsychiatric syndrome that occurs during chronic liver disease (CLD). While ammonia and other precipitating factors in liver disease including inflammation, bile acids, oxidative stress, and lactate play a role in the pathogenesis of HE, the exact mechanism that leads to HE is not fully understood. Notably, accumulating evidence points toward a synergic effect rather than independent actions among precipitating factors that contributes to the development and severity of HE in CLD. Hence, this review is aimed to briefly discuss the single and synergic interplay of pathological factors in the progression and severity of HE.","author":[{"dropping-particle":"","family":"Ochoa-Sanchez","given":"Rafael","non-dropping-particle":"","parse-names":false,"suffix":""},{"dropping-particle":"","family":"Rose","given":"Christopher F","non-dropping-particle":"","parse-names":false,"suffix":""}],"container-title":"Journal of Clinical and Experimental Hepatology","id":"ITEM-1","issue":"3","issued":{"date-parts":[["2018"]]},"page":"262-271","title":"Pathogenesis of Hepatic Encephalopathy in Chronic Liver Disease","type":"article","volume":"8"},"uris":["http://www.mendeley.com/documents/?uuid=4402be81-1824-4dcd-948e-486aa5fedd22"]}],"mendeley":{"formattedCitation":"(8)","plainTextFormattedCitation":"(8)","previouslyFormattedCitation":"(Ochoa-Sanchez and Rose 2018)"},"properties":{"noteIndex":0},"schema":"https://github.com/citation-style-language/schema/raw/master/csl-citation.json"}</w:instrText>
      </w:r>
      <w:r w:rsidR="00565545" w:rsidRPr="00F62FC9">
        <w:rPr>
          <w:rFonts w:ascii="Calibri" w:hAnsi="Calibri" w:cs="Calibri"/>
          <w:sz w:val="24"/>
          <w:szCs w:val="24"/>
        </w:rPr>
        <w:fldChar w:fldCharType="separate"/>
      </w:r>
      <w:r w:rsidR="003B280C" w:rsidRPr="00F62FC9">
        <w:rPr>
          <w:rFonts w:ascii="Calibri" w:hAnsi="Calibri" w:cs="Calibri"/>
          <w:noProof/>
          <w:sz w:val="24"/>
          <w:szCs w:val="24"/>
        </w:rPr>
        <w:t>(8)</w:t>
      </w:r>
      <w:r w:rsidR="00565545" w:rsidRPr="00F62FC9">
        <w:rPr>
          <w:rFonts w:ascii="Calibri" w:hAnsi="Calibri" w:cs="Calibri"/>
          <w:sz w:val="24"/>
          <w:szCs w:val="24"/>
        </w:rPr>
        <w:fldChar w:fldCharType="end"/>
      </w:r>
      <w:r w:rsidR="00D90F7A" w:rsidRPr="00F62FC9">
        <w:rPr>
          <w:rFonts w:ascii="Calibri" w:hAnsi="Calibri" w:cs="Calibri"/>
          <w:sz w:val="24"/>
          <w:szCs w:val="24"/>
        </w:rPr>
        <w:t>.</w:t>
      </w:r>
      <w:r w:rsidR="000D0A45" w:rsidRPr="00F62FC9">
        <w:rPr>
          <w:rFonts w:ascii="Calibri" w:hAnsi="Calibri" w:cs="Calibri"/>
          <w:sz w:val="24"/>
          <w:szCs w:val="24"/>
        </w:rPr>
        <w:t xml:space="preserve"> </w:t>
      </w:r>
    </w:p>
    <w:p w14:paraId="0F2AC63F" w14:textId="344B2ED6" w:rsidR="00352104" w:rsidRPr="00F62FC9" w:rsidRDefault="005D6282" w:rsidP="00A34F7A">
      <w:pPr>
        <w:ind w:firstLine="360"/>
        <w:jc w:val="both"/>
        <w:rPr>
          <w:rFonts w:ascii="Calibri" w:hAnsi="Calibri" w:cs="Calibri"/>
          <w:sz w:val="24"/>
          <w:szCs w:val="24"/>
        </w:rPr>
      </w:pPr>
      <w:r w:rsidRPr="00F62FC9">
        <w:rPr>
          <w:rFonts w:ascii="Calibri" w:hAnsi="Calibri" w:cs="Calibri"/>
          <w:sz w:val="24"/>
          <w:szCs w:val="24"/>
        </w:rPr>
        <w:t>Um</w:t>
      </w:r>
      <w:r w:rsidR="000D0A45" w:rsidRPr="00F62FC9">
        <w:rPr>
          <w:rFonts w:ascii="Calibri" w:hAnsi="Calibri" w:cs="Calibri"/>
          <w:sz w:val="24"/>
          <w:szCs w:val="24"/>
        </w:rPr>
        <w:t xml:space="preserve"> edema</w:t>
      </w:r>
      <w:r w:rsidR="000800E9" w:rsidRPr="00F62FC9">
        <w:rPr>
          <w:rFonts w:ascii="Calibri" w:hAnsi="Calibri" w:cs="Calibri"/>
          <w:sz w:val="24"/>
          <w:szCs w:val="24"/>
        </w:rPr>
        <w:t xml:space="preserve"> causa alterações na homeostase química e deficiências do impulso nervoso.</w:t>
      </w:r>
      <w:r w:rsidR="004F7ABD" w:rsidRPr="00F62FC9">
        <w:rPr>
          <w:rFonts w:ascii="Calibri" w:hAnsi="Calibri" w:cs="Calibri"/>
          <w:sz w:val="24"/>
          <w:szCs w:val="24"/>
        </w:rPr>
        <w:t xml:space="preserve"> </w:t>
      </w:r>
      <w:r w:rsidR="00D66CAD" w:rsidRPr="00F62FC9">
        <w:rPr>
          <w:rFonts w:ascii="Calibri" w:hAnsi="Calibri" w:cs="Calibri"/>
          <w:sz w:val="24"/>
          <w:szCs w:val="24"/>
        </w:rPr>
        <w:t xml:space="preserve">Nesse contexto, </w:t>
      </w:r>
      <w:r w:rsidR="008728C9" w:rsidRPr="00F62FC9">
        <w:rPr>
          <w:rFonts w:ascii="Calibri" w:hAnsi="Calibri" w:cs="Calibri"/>
          <w:sz w:val="24"/>
          <w:szCs w:val="24"/>
        </w:rPr>
        <w:t>sua formação</w:t>
      </w:r>
      <w:r w:rsidR="00D66CAD" w:rsidRPr="00F62FC9">
        <w:rPr>
          <w:rFonts w:ascii="Calibri" w:hAnsi="Calibri" w:cs="Calibri"/>
          <w:sz w:val="24"/>
          <w:szCs w:val="24"/>
        </w:rPr>
        <w:t xml:space="preserve"> pode ocorrer por </w:t>
      </w:r>
      <w:r w:rsidR="009D4F51" w:rsidRPr="00F62FC9">
        <w:rPr>
          <w:rFonts w:ascii="Calibri" w:hAnsi="Calibri" w:cs="Calibri"/>
          <w:sz w:val="24"/>
          <w:szCs w:val="24"/>
        </w:rPr>
        <w:t xml:space="preserve">(i) </w:t>
      </w:r>
      <w:r w:rsidR="00D66CAD" w:rsidRPr="00F62FC9">
        <w:rPr>
          <w:rFonts w:ascii="Calibri" w:hAnsi="Calibri" w:cs="Calibri"/>
          <w:sz w:val="24"/>
          <w:szCs w:val="24"/>
        </w:rPr>
        <w:t xml:space="preserve">via </w:t>
      </w:r>
      <w:r w:rsidR="00BD1C38" w:rsidRPr="00F62FC9">
        <w:rPr>
          <w:rFonts w:ascii="Calibri" w:hAnsi="Calibri" w:cs="Calibri"/>
          <w:sz w:val="24"/>
          <w:szCs w:val="24"/>
        </w:rPr>
        <w:t xml:space="preserve">vasogênica, </w:t>
      </w:r>
      <w:r w:rsidR="008310C3" w:rsidRPr="00F62FC9">
        <w:rPr>
          <w:rFonts w:ascii="Calibri" w:hAnsi="Calibri" w:cs="Calibri"/>
          <w:sz w:val="24"/>
          <w:szCs w:val="24"/>
        </w:rPr>
        <w:t xml:space="preserve">isto é, quando a barreira hematoencefálica (BHE) é rompida </w:t>
      </w:r>
      <w:r w:rsidR="003D3FC7" w:rsidRPr="00F62FC9">
        <w:rPr>
          <w:rFonts w:ascii="Calibri" w:hAnsi="Calibri" w:cs="Calibri"/>
          <w:sz w:val="24"/>
          <w:szCs w:val="24"/>
        </w:rPr>
        <w:t xml:space="preserve">e </w:t>
      </w:r>
      <w:r w:rsidR="001074D5" w:rsidRPr="00F62FC9">
        <w:rPr>
          <w:rFonts w:ascii="Calibri" w:hAnsi="Calibri" w:cs="Calibri"/>
          <w:sz w:val="24"/>
          <w:szCs w:val="24"/>
        </w:rPr>
        <w:t xml:space="preserve">há influxo de água para o </w:t>
      </w:r>
      <w:r w:rsidR="00F748B9" w:rsidRPr="00F62FC9">
        <w:rPr>
          <w:rFonts w:ascii="Calibri" w:hAnsi="Calibri" w:cs="Calibri"/>
          <w:sz w:val="24"/>
          <w:szCs w:val="24"/>
        </w:rPr>
        <w:t xml:space="preserve">compartimento intersticial cerebral </w:t>
      </w:r>
      <w:r w:rsidR="00653B99" w:rsidRPr="00F62FC9">
        <w:rPr>
          <w:rFonts w:ascii="Calibri" w:hAnsi="Calibri" w:cs="Calibri"/>
          <w:sz w:val="24"/>
          <w:szCs w:val="24"/>
        </w:rPr>
        <w:t xml:space="preserve">que é </w:t>
      </w:r>
      <w:r w:rsidR="00D407A7" w:rsidRPr="00F62FC9">
        <w:rPr>
          <w:rFonts w:ascii="Calibri" w:hAnsi="Calibri" w:cs="Calibri"/>
          <w:sz w:val="24"/>
          <w:szCs w:val="24"/>
        </w:rPr>
        <w:t>hipertônico</w:t>
      </w:r>
      <w:r w:rsidR="00F748B9" w:rsidRPr="00F62FC9">
        <w:rPr>
          <w:rFonts w:ascii="Calibri" w:hAnsi="Calibri" w:cs="Calibri"/>
          <w:sz w:val="24"/>
          <w:szCs w:val="24"/>
        </w:rPr>
        <w:t xml:space="preserve">; </w:t>
      </w:r>
      <w:r w:rsidR="009D4F51" w:rsidRPr="00F62FC9">
        <w:rPr>
          <w:rFonts w:ascii="Calibri" w:hAnsi="Calibri" w:cs="Calibri"/>
          <w:sz w:val="24"/>
          <w:szCs w:val="24"/>
        </w:rPr>
        <w:t xml:space="preserve">ou por (ii) via citotóxica, </w:t>
      </w:r>
      <w:r w:rsidR="002A7AA8" w:rsidRPr="00F62FC9">
        <w:rPr>
          <w:rFonts w:ascii="Calibri" w:hAnsi="Calibri" w:cs="Calibri"/>
          <w:sz w:val="24"/>
          <w:szCs w:val="24"/>
        </w:rPr>
        <w:t xml:space="preserve">quando não há rompimento da BHE. </w:t>
      </w:r>
      <w:r w:rsidR="00653B99" w:rsidRPr="00F62FC9">
        <w:rPr>
          <w:rFonts w:ascii="Calibri" w:hAnsi="Calibri" w:cs="Calibri"/>
          <w:sz w:val="24"/>
          <w:szCs w:val="24"/>
        </w:rPr>
        <w:t>Nessa linha, o</w:t>
      </w:r>
      <w:r w:rsidR="00841BC3" w:rsidRPr="00F62FC9">
        <w:rPr>
          <w:rFonts w:ascii="Calibri" w:hAnsi="Calibri" w:cs="Calibri"/>
          <w:sz w:val="24"/>
          <w:szCs w:val="24"/>
        </w:rPr>
        <w:t>s</w:t>
      </w:r>
      <w:r w:rsidR="00DA0FAF" w:rsidRPr="00F62FC9">
        <w:rPr>
          <w:rFonts w:ascii="Calibri" w:hAnsi="Calibri" w:cs="Calibri"/>
          <w:sz w:val="24"/>
          <w:szCs w:val="24"/>
        </w:rPr>
        <w:t xml:space="preserve"> astrócitos, principais células formadoras da BHE</w:t>
      </w:r>
      <w:r w:rsidR="009C0898" w:rsidRPr="00F62FC9">
        <w:rPr>
          <w:rFonts w:ascii="Calibri" w:hAnsi="Calibri" w:cs="Calibri"/>
          <w:sz w:val="24"/>
          <w:szCs w:val="24"/>
        </w:rPr>
        <w:t>,</w:t>
      </w:r>
      <w:r w:rsidR="00DA0FAF" w:rsidRPr="00F62FC9">
        <w:rPr>
          <w:rFonts w:ascii="Calibri" w:hAnsi="Calibri" w:cs="Calibri"/>
          <w:sz w:val="24"/>
          <w:szCs w:val="24"/>
        </w:rPr>
        <w:t xml:space="preserve"> apresentam um papel crucial nessa dinâmica</w:t>
      </w:r>
      <w:r w:rsidR="007C6E23" w:rsidRPr="00F62FC9">
        <w:rPr>
          <w:rFonts w:ascii="Calibri" w:hAnsi="Calibri" w:cs="Calibri"/>
          <w:sz w:val="24"/>
          <w:szCs w:val="24"/>
        </w:rPr>
        <w:t xml:space="preserve"> -</w:t>
      </w:r>
      <w:r w:rsidR="009C0898" w:rsidRPr="00F62FC9">
        <w:rPr>
          <w:rFonts w:ascii="Calibri" w:hAnsi="Calibri" w:cs="Calibri"/>
          <w:sz w:val="24"/>
          <w:szCs w:val="24"/>
        </w:rPr>
        <w:t xml:space="preserve"> el</w:t>
      </w:r>
      <w:r w:rsidR="007C6E23" w:rsidRPr="00F62FC9">
        <w:rPr>
          <w:rFonts w:ascii="Calibri" w:hAnsi="Calibri" w:cs="Calibri"/>
          <w:sz w:val="24"/>
          <w:szCs w:val="24"/>
        </w:rPr>
        <w:t>e</w:t>
      </w:r>
      <w:r w:rsidR="009C0898" w:rsidRPr="00F62FC9">
        <w:rPr>
          <w:rFonts w:ascii="Calibri" w:hAnsi="Calibri" w:cs="Calibri"/>
          <w:sz w:val="24"/>
          <w:szCs w:val="24"/>
        </w:rPr>
        <w:t xml:space="preserve">s protegem os neurônios de agentes </w:t>
      </w:r>
      <w:r w:rsidR="001346C3" w:rsidRPr="00F62FC9">
        <w:rPr>
          <w:rFonts w:ascii="Calibri" w:hAnsi="Calibri" w:cs="Calibri"/>
          <w:sz w:val="24"/>
          <w:szCs w:val="24"/>
        </w:rPr>
        <w:t>exógenos tóxicos e controlam a homeostase eletrolítica</w:t>
      </w:r>
      <w:r w:rsidR="00552CEB" w:rsidRPr="00F62FC9">
        <w:rPr>
          <w:rFonts w:ascii="Calibri" w:hAnsi="Calibri" w:cs="Calibri"/>
          <w:sz w:val="24"/>
          <w:szCs w:val="24"/>
        </w:rPr>
        <w:t xml:space="preserve">. </w:t>
      </w:r>
      <w:r w:rsidR="00E82BC2" w:rsidRPr="00F62FC9">
        <w:rPr>
          <w:rFonts w:ascii="Calibri" w:hAnsi="Calibri" w:cs="Calibri"/>
          <w:sz w:val="24"/>
          <w:szCs w:val="24"/>
        </w:rPr>
        <w:t>A</w:t>
      </w:r>
      <w:r w:rsidR="00333F1E" w:rsidRPr="00F62FC9">
        <w:rPr>
          <w:rFonts w:ascii="Calibri" w:hAnsi="Calibri" w:cs="Calibri"/>
          <w:sz w:val="24"/>
          <w:szCs w:val="24"/>
        </w:rPr>
        <w:t xml:space="preserve"> desregulação dos canais de aquaporinas 4 (AQP4)</w:t>
      </w:r>
      <w:r w:rsidR="00E82BC2" w:rsidRPr="00F62FC9">
        <w:rPr>
          <w:rFonts w:ascii="Calibri" w:hAnsi="Calibri" w:cs="Calibri"/>
          <w:sz w:val="24"/>
          <w:szCs w:val="24"/>
        </w:rPr>
        <w:t>, o</w:t>
      </w:r>
      <w:r w:rsidR="00333F1E" w:rsidRPr="00F62FC9">
        <w:rPr>
          <w:rFonts w:ascii="Calibri" w:hAnsi="Calibri" w:cs="Calibri"/>
          <w:sz w:val="24"/>
          <w:szCs w:val="24"/>
        </w:rPr>
        <w:t xml:space="preserve"> </w:t>
      </w:r>
      <w:r w:rsidR="00681D8B" w:rsidRPr="00F62FC9">
        <w:rPr>
          <w:rFonts w:ascii="Calibri" w:hAnsi="Calibri" w:cs="Calibri"/>
          <w:sz w:val="24"/>
          <w:szCs w:val="24"/>
        </w:rPr>
        <w:t xml:space="preserve">acúmulo de glutamina intracelular e </w:t>
      </w:r>
      <w:r w:rsidR="00E82BC2" w:rsidRPr="00F62FC9">
        <w:rPr>
          <w:rFonts w:ascii="Calibri" w:hAnsi="Calibri" w:cs="Calibri"/>
          <w:sz w:val="24"/>
          <w:szCs w:val="24"/>
        </w:rPr>
        <w:t xml:space="preserve">o aumento </w:t>
      </w:r>
      <w:r w:rsidR="00681D8B" w:rsidRPr="00F62FC9">
        <w:rPr>
          <w:rFonts w:ascii="Calibri" w:hAnsi="Calibri" w:cs="Calibri"/>
          <w:sz w:val="24"/>
          <w:szCs w:val="24"/>
        </w:rPr>
        <w:t xml:space="preserve">de glutamato extracelular são os possíveis mecanismos relacionados </w:t>
      </w:r>
      <w:r w:rsidR="00C82966" w:rsidRPr="00F62FC9">
        <w:rPr>
          <w:rFonts w:ascii="Calibri" w:hAnsi="Calibri" w:cs="Calibri"/>
          <w:sz w:val="24"/>
          <w:szCs w:val="24"/>
        </w:rPr>
        <w:t>ao edema cerebral mediado por inflamação astrocitári</w:t>
      </w:r>
      <w:r w:rsidR="00A147C2" w:rsidRPr="00F62FC9">
        <w:rPr>
          <w:rFonts w:ascii="Calibri" w:hAnsi="Calibri" w:cs="Calibri"/>
          <w:sz w:val="24"/>
          <w:szCs w:val="24"/>
        </w:rPr>
        <w:t xml:space="preserve">a </w:t>
      </w:r>
      <w:r w:rsidR="006D3979" w:rsidRPr="00F62FC9">
        <w:rPr>
          <w:rFonts w:ascii="Calibri" w:hAnsi="Calibri" w:cs="Calibri"/>
          <w:sz w:val="24"/>
          <w:szCs w:val="24"/>
        </w:rPr>
        <w:fldChar w:fldCharType="begin" w:fldLock="1"/>
      </w:r>
      <w:r w:rsidR="003B280C" w:rsidRPr="00F62FC9">
        <w:rPr>
          <w:rFonts w:ascii="Calibri" w:hAnsi="Calibri" w:cs="Calibri"/>
          <w:sz w:val="24"/>
          <w:szCs w:val="24"/>
        </w:rPr>
        <w:instrText>ADDIN CSL_CITATION {"citationItems":[{"id":"ITEM-1","itemData":{"DOI":"10.1016/j.jceh.2018.08.001","ISSN":"22133453","abstract":"Hepatic encephalopathy (HE) is a complex neuropsychiatric syndrome that occurs during chronic liver disease (CLD). While ammonia and other precipitating factors in liver disease including inflammation, bile acids, oxidative stress, and lactate play a role in the pathogenesis of HE, the exact mechanism that leads to HE is not fully understood. Notably, accumulating evidence points toward a synergic effect rather than independent actions among precipitating factors that contributes to the development and severity of HE in CLD. Hence, this review is aimed to briefly discuss the single and synergic interplay of pathological factors in the progression and severity of HE.","author":[{"dropping-particle":"","family":"Ochoa-Sanchez","given":"Rafael","non-dropping-particle":"","parse-names":false,"suffix":""},{"dropping-particle":"","family":"Rose","given":"Christopher F","non-dropping-particle":"","parse-names":false,"suffix":""}],"container-title":"Journal of Clinical and Experimental Hepatology","id":"ITEM-1","issue":"3","issued":{"date-parts":[["2018"]]},"page":"262-271","title":"Pathogenesis of Hepatic Encephalopathy in Chronic Liver Disease","type":"article","volume":"8"},"uris":["http://www.mendeley.com/documents/?uuid=4402be81-1824-4dcd-948e-486aa5fedd22"]}],"mendeley":{"formattedCitation":"(8)","plainTextFormattedCitation":"(8)","previouslyFormattedCitation":"(Ochoa-Sanchez and Rose 2018)"},"properties":{"noteIndex":0},"schema":"https://github.com/citation-style-language/schema/raw/master/csl-citation.json"}</w:instrText>
      </w:r>
      <w:r w:rsidR="006D3979" w:rsidRPr="00F62FC9">
        <w:rPr>
          <w:rFonts w:ascii="Calibri" w:hAnsi="Calibri" w:cs="Calibri"/>
          <w:sz w:val="24"/>
          <w:szCs w:val="24"/>
        </w:rPr>
        <w:fldChar w:fldCharType="separate"/>
      </w:r>
      <w:r w:rsidR="003B280C" w:rsidRPr="00F62FC9">
        <w:rPr>
          <w:rFonts w:ascii="Calibri" w:hAnsi="Calibri" w:cs="Calibri"/>
          <w:noProof/>
          <w:sz w:val="24"/>
          <w:szCs w:val="24"/>
        </w:rPr>
        <w:t>(8)</w:t>
      </w:r>
      <w:r w:rsidR="006D3979" w:rsidRPr="00F62FC9">
        <w:rPr>
          <w:rFonts w:ascii="Calibri" w:hAnsi="Calibri" w:cs="Calibri"/>
          <w:sz w:val="24"/>
          <w:szCs w:val="24"/>
        </w:rPr>
        <w:fldChar w:fldCharType="end"/>
      </w:r>
      <w:r w:rsidR="000A4B25" w:rsidRPr="00F62FC9">
        <w:rPr>
          <w:rFonts w:ascii="Calibri" w:hAnsi="Calibri" w:cs="Calibri"/>
          <w:sz w:val="24"/>
          <w:szCs w:val="24"/>
        </w:rPr>
        <w:t>.</w:t>
      </w:r>
    </w:p>
    <w:p w14:paraId="281ED840" w14:textId="26A6E317" w:rsidR="009B17AF" w:rsidRPr="00F62FC9" w:rsidRDefault="00722402" w:rsidP="00D9451C">
      <w:pPr>
        <w:ind w:firstLine="360"/>
        <w:jc w:val="both"/>
        <w:rPr>
          <w:rFonts w:ascii="Calibri" w:hAnsi="Calibri" w:cs="Calibri"/>
          <w:sz w:val="24"/>
          <w:szCs w:val="24"/>
        </w:rPr>
      </w:pPr>
      <w:r w:rsidRPr="00F62FC9">
        <w:rPr>
          <w:rFonts w:ascii="Calibri" w:hAnsi="Calibri" w:cs="Calibri"/>
          <w:sz w:val="24"/>
          <w:szCs w:val="24"/>
        </w:rPr>
        <w:t xml:space="preserve">Nesse sentido, </w:t>
      </w:r>
      <w:r w:rsidR="001C3DF9" w:rsidRPr="00F62FC9">
        <w:rPr>
          <w:rFonts w:ascii="Calibri" w:hAnsi="Calibri" w:cs="Calibri"/>
          <w:sz w:val="24"/>
          <w:szCs w:val="24"/>
        </w:rPr>
        <w:t>a lesão</w:t>
      </w:r>
      <w:r w:rsidR="00366F2F" w:rsidRPr="00F62FC9">
        <w:rPr>
          <w:rFonts w:ascii="Calibri" w:hAnsi="Calibri" w:cs="Calibri"/>
          <w:sz w:val="24"/>
          <w:szCs w:val="24"/>
        </w:rPr>
        <w:t xml:space="preserve"> astrocitári</w:t>
      </w:r>
      <w:r w:rsidR="001C3DF9" w:rsidRPr="00F62FC9">
        <w:rPr>
          <w:rFonts w:ascii="Calibri" w:hAnsi="Calibri" w:cs="Calibri"/>
          <w:sz w:val="24"/>
          <w:szCs w:val="24"/>
        </w:rPr>
        <w:t>a</w:t>
      </w:r>
      <w:r w:rsidR="00366F2F" w:rsidRPr="00F62FC9">
        <w:rPr>
          <w:rFonts w:ascii="Calibri" w:hAnsi="Calibri" w:cs="Calibri"/>
          <w:sz w:val="24"/>
          <w:szCs w:val="24"/>
        </w:rPr>
        <w:t xml:space="preserve"> é secundári</w:t>
      </w:r>
      <w:r w:rsidR="00EF10B6" w:rsidRPr="00F62FC9">
        <w:rPr>
          <w:rFonts w:ascii="Calibri" w:hAnsi="Calibri" w:cs="Calibri"/>
          <w:sz w:val="24"/>
          <w:szCs w:val="24"/>
        </w:rPr>
        <w:t>a</w:t>
      </w:r>
      <w:r w:rsidR="00366F2F" w:rsidRPr="00F62FC9">
        <w:rPr>
          <w:rFonts w:ascii="Calibri" w:hAnsi="Calibri" w:cs="Calibri"/>
          <w:sz w:val="24"/>
          <w:szCs w:val="24"/>
        </w:rPr>
        <w:t xml:space="preserve"> à </w:t>
      </w:r>
      <w:r w:rsidR="007144C9" w:rsidRPr="00F62FC9">
        <w:rPr>
          <w:rFonts w:ascii="Calibri" w:hAnsi="Calibri" w:cs="Calibri"/>
          <w:sz w:val="24"/>
          <w:szCs w:val="24"/>
        </w:rPr>
        <w:t xml:space="preserve">tentativa de </w:t>
      </w:r>
      <w:r w:rsidR="00F033F2" w:rsidRPr="00F62FC9">
        <w:rPr>
          <w:rFonts w:ascii="Calibri" w:hAnsi="Calibri" w:cs="Calibri"/>
          <w:sz w:val="24"/>
          <w:szCs w:val="24"/>
        </w:rPr>
        <w:t xml:space="preserve">detoxificação astrocitária </w:t>
      </w:r>
      <w:r w:rsidR="007144C9" w:rsidRPr="00F62FC9">
        <w:rPr>
          <w:rFonts w:ascii="Calibri" w:hAnsi="Calibri" w:cs="Calibri"/>
          <w:sz w:val="24"/>
          <w:szCs w:val="24"/>
        </w:rPr>
        <w:t>por</w:t>
      </w:r>
      <w:r w:rsidR="00F033F2" w:rsidRPr="00F62FC9">
        <w:rPr>
          <w:rFonts w:ascii="Calibri" w:hAnsi="Calibri" w:cs="Calibri"/>
          <w:sz w:val="24"/>
          <w:szCs w:val="24"/>
        </w:rPr>
        <w:t xml:space="preserve"> amônia</w:t>
      </w:r>
      <w:r w:rsidR="0044751D" w:rsidRPr="00F62FC9">
        <w:rPr>
          <w:rFonts w:ascii="Calibri" w:hAnsi="Calibri" w:cs="Calibri"/>
          <w:sz w:val="24"/>
          <w:szCs w:val="24"/>
        </w:rPr>
        <w:t>, que</w:t>
      </w:r>
      <w:r w:rsidR="00F033F2" w:rsidRPr="00F62FC9">
        <w:rPr>
          <w:rFonts w:ascii="Calibri" w:hAnsi="Calibri" w:cs="Calibri"/>
          <w:sz w:val="24"/>
          <w:szCs w:val="24"/>
        </w:rPr>
        <w:t xml:space="preserve"> ocorre por transformação</w:t>
      </w:r>
      <w:r w:rsidR="0044751D" w:rsidRPr="00F62FC9">
        <w:rPr>
          <w:rFonts w:ascii="Calibri" w:hAnsi="Calibri" w:cs="Calibri"/>
          <w:sz w:val="24"/>
          <w:szCs w:val="24"/>
        </w:rPr>
        <w:t>,</w:t>
      </w:r>
      <w:r w:rsidR="00F033F2" w:rsidRPr="00F62FC9">
        <w:rPr>
          <w:rFonts w:ascii="Calibri" w:hAnsi="Calibri" w:cs="Calibri"/>
          <w:sz w:val="24"/>
          <w:szCs w:val="24"/>
        </w:rPr>
        <w:t xml:space="preserve"> </w:t>
      </w:r>
      <w:r w:rsidR="00F34005" w:rsidRPr="00F62FC9">
        <w:rPr>
          <w:rFonts w:ascii="Calibri" w:hAnsi="Calibri" w:cs="Calibri"/>
          <w:sz w:val="24"/>
          <w:szCs w:val="24"/>
        </w:rPr>
        <w:t>via glutamina-sintetase</w:t>
      </w:r>
      <w:r w:rsidR="0044751D" w:rsidRPr="00F62FC9">
        <w:rPr>
          <w:rFonts w:ascii="Calibri" w:hAnsi="Calibri" w:cs="Calibri"/>
          <w:sz w:val="24"/>
          <w:szCs w:val="24"/>
        </w:rPr>
        <w:t>,</w:t>
      </w:r>
      <w:r w:rsidR="00F34005" w:rsidRPr="00F62FC9">
        <w:rPr>
          <w:rFonts w:ascii="Calibri" w:hAnsi="Calibri" w:cs="Calibri"/>
          <w:sz w:val="24"/>
          <w:szCs w:val="24"/>
        </w:rPr>
        <w:t xml:space="preserve"> </w:t>
      </w:r>
      <w:r w:rsidR="00AA6820" w:rsidRPr="00F62FC9">
        <w:rPr>
          <w:rFonts w:ascii="Calibri" w:hAnsi="Calibri" w:cs="Calibri"/>
          <w:sz w:val="24"/>
          <w:szCs w:val="24"/>
        </w:rPr>
        <w:t>de amônia e glutamato</w:t>
      </w:r>
      <w:r w:rsidR="00C62E1F" w:rsidRPr="00F62FC9">
        <w:rPr>
          <w:rFonts w:ascii="Calibri" w:hAnsi="Calibri" w:cs="Calibri"/>
          <w:sz w:val="24"/>
          <w:szCs w:val="24"/>
        </w:rPr>
        <w:t xml:space="preserve"> (principal </w:t>
      </w:r>
      <w:r w:rsidR="001312CB" w:rsidRPr="00F62FC9">
        <w:rPr>
          <w:rFonts w:ascii="Calibri" w:hAnsi="Calibri" w:cs="Calibri"/>
          <w:sz w:val="24"/>
          <w:szCs w:val="24"/>
        </w:rPr>
        <w:t>neurotransmissor [</w:t>
      </w:r>
      <w:r w:rsidR="00C62E1F" w:rsidRPr="00F62FC9">
        <w:rPr>
          <w:rFonts w:ascii="Calibri" w:hAnsi="Calibri" w:cs="Calibri"/>
          <w:sz w:val="24"/>
          <w:szCs w:val="24"/>
        </w:rPr>
        <w:t>NT</w:t>
      </w:r>
      <w:r w:rsidR="001312CB" w:rsidRPr="00F62FC9">
        <w:rPr>
          <w:rFonts w:ascii="Calibri" w:hAnsi="Calibri" w:cs="Calibri"/>
          <w:sz w:val="24"/>
          <w:szCs w:val="24"/>
        </w:rPr>
        <w:t>]</w:t>
      </w:r>
      <w:r w:rsidR="00C62E1F" w:rsidRPr="00F62FC9">
        <w:rPr>
          <w:rFonts w:ascii="Calibri" w:hAnsi="Calibri" w:cs="Calibri"/>
          <w:sz w:val="24"/>
          <w:szCs w:val="24"/>
        </w:rPr>
        <w:t xml:space="preserve"> excitatório do SNC)</w:t>
      </w:r>
      <w:r w:rsidR="00AA6820" w:rsidRPr="00F62FC9">
        <w:rPr>
          <w:rFonts w:ascii="Calibri" w:hAnsi="Calibri" w:cs="Calibri"/>
          <w:sz w:val="24"/>
          <w:szCs w:val="24"/>
        </w:rPr>
        <w:t xml:space="preserve"> em </w:t>
      </w:r>
      <w:r w:rsidR="00053537" w:rsidRPr="00F62FC9">
        <w:rPr>
          <w:rFonts w:ascii="Calibri" w:hAnsi="Calibri" w:cs="Calibri"/>
          <w:sz w:val="24"/>
          <w:szCs w:val="24"/>
        </w:rPr>
        <w:t>glutamina osmoticamente ativa</w:t>
      </w:r>
      <w:r w:rsidR="00AA6820" w:rsidRPr="00F62FC9">
        <w:rPr>
          <w:rFonts w:ascii="Calibri" w:hAnsi="Calibri" w:cs="Calibri"/>
          <w:sz w:val="24"/>
          <w:szCs w:val="24"/>
        </w:rPr>
        <w:t xml:space="preserve"> (85% d</w:t>
      </w:r>
      <w:r w:rsidR="0038516B" w:rsidRPr="00F62FC9">
        <w:rPr>
          <w:rFonts w:ascii="Calibri" w:hAnsi="Calibri" w:cs="Calibri"/>
          <w:sz w:val="24"/>
          <w:szCs w:val="24"/>
        </w:rPr>
        <w:t>e amônia é</w:t>
      </w:r>
      <w:r w:rsidR="00AA6820" w:rsidRPr="00F62FC9">
        <w:rPr>
          <w:rFonts w:ascii="Calibri" w:hAnsi="Calibri" w:cs="Calibri"/>
          <w:sz w:val="24"/>
          <w:szCs w:val="24"/>
        </w:rPr>
        <w:t xml:space="preserve"> </w:t>
      </w:r>
      <w:r w:rsidR="0038516B" w:rsidRPr="00F62FC9">
        <w:rPr>
          <w:rFonts w:ascii="Calibri" w:hAnsi="Calibri" w:cs="Calibri"/>
          <w:sz w:val="24"/>
          <w:szCs w:val="24"/>
        </w:rPr>
        <w:t>convertida</w:t>
      </w:r>
      <w:r w:rsidR="00AA6820" w:rsidRPr="00F62FC9">
        <w:rPr>
          <w:rFonts w:ascii="Calibri" w:hAnsi="Calibri" w:cs="Calibri"/>
          <w:sz w:val="24"/>
          <w:szCs w:val="24"/>
        </w:rPr>
        <w:t xml:space="preserve">). </w:t>
      </w:r>
      <w:r w:rsidR="00D1695F" w:rsidRPr="00F62FC9">
        <w:rPr>
          <w:rFonts w:ascii="Calibri" w:hAnsi="Calibri" w:cs="Calibri"/>
          <w:sz w:val="24"/>
          <w:szCs w:val="24"/>
        </w:rPr>
        <w:t xml:space="preserve">A lesão dos astrócitos </w:t>
      </w:r>
      <w:r w:rsidR="00270637" w:rsidRPr="00F62FC9">
        <w:rPr>
          <w:rFonts w:ascii="Calibri" w:hAnsi="Calibri" w:cs="Calibri"/>
          <w:sz w:val="24"/>
          <w:szCs w:val="24"/>
        </w:rPr>
        <w:t xml:space="preserve">também </w:t>
      </w:r>
      <w:r w:rsidR="00D1695F" w:rsidRPr="00F62FC9">
        <w:rPr>
          <w:rFonts w:ascii="Calibri" w:hAnsi="Calibri" w:cs="Calibri"/>
          <w:sz w:val="24"/>
          <w:szCs w:val="24"/>
        </w:rPr>
        <w:t xml:space="preserve">está relacionada ao aumento dos níveis séricos de </w:t>
      </w:r>
      <w:r w:rsidR="00811BB3" w:rsidRPr="00F62FC9">
        <w:rPr>
          <w:rFonts w:ascii="Calibri" w:hAnsi="Calibri" w:cs="Calibri"/>
          <w:sz w:val="24"/>
          <w:szCs w:val="24"/>
        </w:rPr>
        <w:t>interleucina-6 (IL-6) e</w:t>
      </w:r>
      <w:r w:rsidR="001C15E4" w:rsidRPr="00F62FC9">
        <w:rPr>
          <w:rFonts w:ascii="Calibri" w:hAnsi="Calibri" w:cs="Calibri"/>
          <w:sz w:val="24"/>
          <w:szCs w:val="24"/>
        </w:rPr>
        <w:t xml:space="preserve"> de</w:t>
      </w:r>
      <w:r w:rsidR="00811BB3" w:rsidRPr="00F62FC9">
        <w:rPr>
          <w:rFonts w:ascii="Calibri" w:hAnsi="Calibri" w:cs="Calibri"/>
          <w:sz w:val="24"/>
          <w:szCs w:val="24"/>
        </w:rPr>
        <w:t xml:space="preserve"> fator de necrose tumoral alfa (TNF-α). </w:t>
      </w:r>
      <w:r w:rsidR="00250035" w:rsidRPr="00F62FC9">
        <w:rPr>
          <w:rFonts w:ascii="Calibri" w:hAnsi="Calibri" w:cs="Calibri"/>
          <w:sz w:val="24"/>
          <w:szCs w:val="24"/>
        </w:rPr>
        <w:t>Paralelamente</w:t>
      </w:r>
      <w:r w:rsidR="004117EA" w:rsidRPr="00F62FC9">
        <w:rPr>
          <w:rFonts w:ascii="Calibri" w:hAnsi="Calibri" w:cs="Calibri"/>
          <w:sz w:val="24"/>
          <w:szCs w:val="24"/>
        </w:rPr>
        <w:t xml:space="preserve"> a isso, essa neuroinflamação reduz o </w:t>
      </w:r>
      <w:r w:rsidR="00733917" w:rsidRPr="00F62FC9">
        <w:rPr>
          <w:rFonts w:ascii="Calibri" w:hAnsi="Calibri" w:cs="Calibri"/>
          <w:sz w:val="24"/>
          <w:szCs w:val="24"/>
        </w:rPr>
        <w:t>absorção de glutamato, aumentando sua concentração extracelular. Também, p</w:t>
      </w:r>
      <w:r w:rsidR="00443554" w:rsidRPr="00F62FC9">
        <w:rPr>
          <w:rFonts w:ascii="Calibri" w:hAnsi="Calibri" w:cs="Calibri"/>
          <w:sz w:val="24"/>
          <w:szCs w:val="24"/>
        </w:rPr>
        <w:t>or outro lado</w:t>
      </w:r>
      <w:r w:rsidR="00E70D81" w:rsidRPr="00F62FC9">
        <w:rPr>
          <w:rFonts w:ascii="Calibri" w:hAnsi="Calibri" w:cs="Calibri"/>
          <w:sz w:val="24"/>
          <w:szCs w:val="24"/>
        </w:rPr>
        <w:t>, o NT ácido gama-amino butírico (GABA)</w:t>
      </w:r>
      <w:r w:rsidR="00811BB3" w:rsidRPr="00F62FC9">
        <w:rPr>
          <w:rFonts w:ascii="Calibri" w:hAnsi="Calibri" w:cs="Calibri"/>
          <w:sz w:val="24"/>
          <w:szCs w:val="24"/>
        </w:rPr>
        <w:t xml:space="preserve">, </w:t>
      </w:r>
      <w:r w:rsidR="00250035" w:rsidRPr="00F62FC9">
        <w:rPr>
          <w:rFonts w:ascii="Calibri" w:hAnsi="Calibri" w:cs="Calibri"/>
          <w:sz w:val="24"/>
          <w:szCs w:val="24"/>
        </w:rPr>
        <w:t xml:space="preserve">NT </w:t>
      </w:r>
      <w:r w:rsidR="008050C1" w:rsidRPr="00F62FC9">
        <w:rPr>
          <w:rFonts w:ascii="Calibri" w:hAnsi="Calibri" w:cs="Calibri"/>
          <w:sz w:val="24"/>
          <w:szCs w:val="24"/>
        </w:rPr>
        <w:t>inibitório</w:t>
      </w:r>
      <w:r w:rsidR="00250035" w:rsidRPr="00F62FC9">
        <w:rPr>
          <w:rFonts w:ascii="Calibri" w:hAnsi="Calibri" w:cs="Calibri"/>
          <w:sz w:val="24"/>
          <w:szCs w:val="24"/>
        </w:rPr>
        <w:t xml:space="preserve"> do SNC</w:t>
      </w:r>
      <w:r w:rsidR="008050C1" w:rsidRPr="00F62FC9">
        <w:rPr>
          <w:rFonts w:ascii="Calibri" w:hAnsi="Calibri" w:cs="Calibri"/>
          <w:sz w:val="24"/>
          <w:szCs w:val="24"/>
        </w:rPr>
        <w:t>,</w:t>
      </w:r>
      <w:r w:rsidR="00E70D81" w:rsidRPr="00F62FC9">
        <w:rPr>
          <w:rFonts w:ascii="Calibri" w:hAnsi="Calibri" w:cs="Calibri"/>
          <w:sz w:val="24"/>
          <w:szCs w:val="24"/>
        </w:rPr>
        <w:t xml:space="preserve"> está relacionado ao controle osmótico e hidroeletrolítico cerebral</w:t>
      </w:r>
      <w:r w:rsidR="00F568F3" w:rsidRPr="00F62FC9">
        <w:rPr>
          <w:rFonts w:ascii="Calibri" w:hAnsi="Calibri" w:cs="Calibri"/>
          <w:sz w:val="24"/>
          <w:szCs w:val="24"/>
        </w:rPr>
        <w:t>, pois o</w:t>
      </w:r>
      <w:r w:rsidR="00E70D81" w:rsidRPr="00F62FC9">
        <w:rPr>
          <w:rFonts w:ascii="Calibri" w:hAnsi="Calibri" w:cs="Calibri"/>
          <w:sz w:val="24"/>
          <w:szCs w:val="24"/>
        </w:rPr>
        <w:t>s astrócitos regulam fluxos aniônicos via receptores GABA</w:t>
      </w:r>
      <w:r w:rsidR="00E70D81" w:rsidRPr="00F62FC9">
        <w:rPr>
          <w:rFonts w:ascii="Calibri" w:hAnsi="Calibri" w:cs="Calibri"/>
          <w:sz w:val="24"/>
          <w:szCs w:val="24"/>
          <w:vertAlign w:val="subscript"/>
        </w:rPr>
        <w:t>A</w:t>
      </w:r>
      <w:r w:rsidR="003E0204" w:rsidRPr="00F62FC9">
        <w:rPr>
          <w:rFonts w:ascii="Calibri" w:hAnsi="Calibri" w:cs="Calibri"/>
          <w:sz w:val="24"/>
          <w:szCs w:val="24"/>
        </w:rPr>
        <w:t>. Esses receptores são</w:t>
      </w:r>
      <w:r w:rsidR="00E70D81" w:rsidRPr="00F62FC9">
        <w:rPr>
          <w:rFonts w:ascii="Calibri" w:hAnsi="Calibri" w:cs="Calibri"/>
          <w:sz w:val="24"/>
          <w:szCs w:val="24"/>
        </w:rPr>
        <w:t xml:space="preserve"> responsáveis pelo aumento do tônus GABAérgico</w:t>
      </w:r>
      <w:r w:rsidR="003E0204" w:rsidRPr="00F62FC9">
        <w:rPr>
          <w:rFonts w:ascii="Calibri" w:hAnsi="Calibri" w:cs="Calibri"/>
          <w:sz w:val="24"/>
          <w:szCs w:val="24"/>
        </w:rPr>
        <w:t xml:space="preserve"> e </w:t>
      </w:r>
      <w:r w:rsidR="00E70D81" w:rsidRPr="00F62FC9">
        <w:rPr>
          <w:rFonts w:ascii="Calibri" w:hAnsi="Calibri" w:cs="Calibri"/>
          <w:sz w:val="24"/>
          <w:szCs w:val="24"/>
        </w:rPr>
        <w:t>também são coexpressados com AQP4.</w:t>
      </w:r>
      <w:r w:rsidR="00250035" w:rsidRPr="00F62FC9">
        <w:rPr>
          <w:rFonts w:ascii="Calibri" w:hAnsi="Calibri" w:cs="Calibri"/>
          <w:sz w:val="24"/>
          <w:szCs w:val="24"/>
        </w:rPr>
        <w:t xml:space="preserve"> </w:t>
      </w:r>
      <w:r w:rsidR="00176E7C" w:rsidRPr="00F62FC9">
        <w:rPr>
          <w:rFonts w:ascii="Calibri" w:hAnsi="Calibri" w:cs="Calibri"/>
          <w:sz w:val="24"/>
          <w:szCs w:val="24"/>
        </w:rPr>
        <w:t xml:space="preserve">Assim, a </w:t>
      </w:r>
      <w:r w:rsidR="00C62E1F" w:rsidRPr="00F62FC9">
        <w:rPr>
          <w:rFonts w:ascii="Calibri" w:hAnsi="Calibri" w:cs="Calibri"/>
          <w:sz w:val="24"/>
          <w:szCs w:val="24"/>
        </w:rPr>
        <w:t>hiperam</w:t>
      </w:r>
      <w:r w:rsidR="006C29EA" w:rsidRPr="00F62FC9">
        <w:rPr>
          <w:rFonts w:ascii="Calibri" w:hAnsi="Calibri" w:cs="Calibri"/>
          <w:sz w:val="24"/>
          <w:szCs w:val="24"/>
        </w:rPr>
        <w:t>o</w:t>
      </w:r>
      <w:r w:rsidR="00C62E1F" w:rsidRPr="00F62FC9">
        <w:rPr>
          <w:rFonts w:ascii="Calibri" w:hAnsi="Calibri" w:cs="Calibri"/>
          <w:sz w:val="24"/>
          <w:szCs w:val="24"/>
        </w:rPr>
        <w:t>nemia é</w:t>
      </w:r>
      <w:r w:rsidR="006C29EA" w:rsidRPr="00F62FC9">
        <w:rPr>
          <w:rFonts w:ascii="Calibri" w:hAnsi="Calibri" w:cs="Calibri"/>
          <w:sz w:val="24"/>
          <w:szCs w:val="24"/>
        </w:rPr>
        <w:t xml:space="preserve"> capaz de gerar neuroinflamação, edema e uma desregulação de </w:t>
      </w:r>
      <w:r w:rsidR="00FE4BB4" w:rsidRPr="00F62FC9">
        <w:rPr>
          <w:rFonts w:ascii="Calibri" w:hAnsi="Calibri" w:cs="Calibri"/>
          <w:sz w:val="24"/>
          <w:szCs w:val="24"/>
        </w:rPr>
        <w:t>NTs</w:t>
      </w:r>
      <w:r w:rsidR="006C29EA" w:rsidRPr="00F62FC9">
        <w:rPr>
          <w:rFonts w:ascii="Calibri" w:hAnsi="Calibri" w:cs="Calibri"/>
          <w:sz w:val="24"/>
          <w:szCs w:val="24"/>
        </w:rPr>
        <w:t xml:space="preserve"> no </w:t>
      </w:r>
      <w:r w:rsidR="0098684B" w:rsidRPr="00F62FC9">
        <w:rPr>
          <w:rFonts w:ascii="Calibri" w:hAnsi="Calibri" w:cs="Calibri"/>
          <w:sz w:val="24"/>
          <w:szCs w:val="24"/>
        </w:rPr>
        <w:t>SNC, relacionados aos déficits</w:t>
      </w:r>
      <w:r w:rsidR="00A34F7A" w:rsidRPr="00F62FC9">
        <w:rPr>
          <w:rFonts w:ascii="Calibri" w:hAnsi="Calibri" w:cs="Calibri"/>
          <w:sz w:val="24"/>
          <w:szCs w:val="24"/>
        </w:rPr>
        <w:t xml:space="preserve"> neurológicos</w:t>
      </w:r>
      <w:r w:rsidR="004E59AF" w:rsidRPr="00F62FC9">
        <w:rPr>
          <w:rFonts w:ascii="Calibri" w:hAnsi="Calibri" w:cs="Calibri"/>
          <w:sz w:val="24"/>
          <w:szCs w:val="24"/>
        </w:rPr>
        <w:t xml:space="preserve"> </w:t>
      </w:r>
      <w:r w:rsidR="00A34F7A" w:rsidRPr="00F62FC9">
        <w:rPr>
          <w:rFonts w:ascii="Calibri" w:hAnsi="Calibri" w:cs="Calibri"/>
          <w:sz w:val="24"/>
          <w:szCs w:val="24"/>
        </w:rPr>
        <w:fldChar w:fldCharType="begin" w:fldLock="1"/>
      </w:r>
      <w:r w:rsidR="003B280C" w:rsidRPr="00F62FC9">
        <w:rPr>
          <w:rFonts w:ascii="Calibri" w:hAnsi="Calibri" w:cs="Calibri"/>
          <w:sz w:val="24"/>
          <w:szCs w:val="24"/>
        </w:rPr>
        <w:instrText>ADDIN CSL_CITATION {"citationItems":[{"id":"ITEM-1","itemData":{"DOI":"10.1016/j.jceh.2018.08.001","ISSN":"22133453","abstract":"Hepatic encephalopathy (HE) is a complex neuropsychiatric syndrome that occurs during chronic liver disease (CLD). While ammonia and other precipitating factors in liver disease including inflammation, bile acids, oxidative stress, and lactate play a role in the pathogenesis of HE, the exact mechanism that leads to HE is not fully understood. Notably, accumulating evidence points toward a synergic effect rather than independent actions among precipitating factors that contributes to the development and severity of HE in CLD. Hence, this review is aimed to briefly discuss the single and synergic interplay of pathological factors in the progression and severity of HE.","author":[{"dropping-particle":"","family":"Ochoa-Sanchez","given":"Rafael","non-dropping-particle":"","parse-names":false,"suffix":""},{"dropping-particle":"","family":"Rose","given":"Christopher F","non-dropping-particle":"","parse-names":false,"suffix":""}],"container-title":"Journal of Clinical and Experimental Hepatology","id":"ITEM-1","issue":"3","issued":{"date-parts":[["2018"]]},"page":"262-271","title":"Pathogenesis of Hepatic Encephalopathy in Chronic Liver Disease","type":"article","volume":"8"},"uris":["http://www.mendeley.com/documents/?uuid=4402be81-1824-4dcd-948e-486aa5fedd22"]},{"id":"ITEM-2","itemData":{"DOI":"10.1016/B978-0-7020-4087-0.00044-9","ISSN":"00729752","PMID":"24365344","abstract":"Fulminant hepatic failure presents with a hepatic encephalopathy and may progress to coma and often brain death from cerebral edema. This natural progression in severe cases contributes to early mortality, but outcome can be good if liver transplantation is appropriately timed and increased intracranial pressure (ICP) is managed. Neurologists and neurosurgeons have become more involved in these very challenging patients and are often asked to rapidly identify patients who are at risk of cerebral edema, to carefully select the patient population who will benefit from invasive ICP monitoring, to judge the correct time to start monitoring, to participate in treatment of cerebral edema, and to manage complications such as intracranial hemorrhage or seizures. This chapter summarizes the current multidisciplinary approach to fulminant hepatic failure and how to best bridge patients to emergency liver transplantation. © 2014 Elsevier B.V.","author":[{"dropping-particle":"","family":"Datar","given":"Sudhir","non-dropping-particle":"","parse-names":false,"suffix":""},{"dropping-particle":"","family":"Wijdicks","given":"Eelco F.M.","non-dropping-particle":"","parse-names":false,"suffix":""}],"container-title":"Handbook of Clinical Neurology","edition":"1","id":"ITEM-2","issued":{"date-parts":[["2014"]]},"page":"645-659","publisher":"Elsevier B.V.","title":"Neurologic manifestations of acute liver failure","type":"chapter","volume":"120"},"uris":["http://www.mendeley.com/documents/?uuid=7538d626-0023-4688-bf67-60bfc2a1e3a6"]},{"id":"ITEM-3","itemData":{"DOI":"10.1016/j.cld.2015.04.006","ISSN":"15578224","PMID":"26195209","abstract":"Hepatic encephalopathy (HE) is associated with cerebral edema (CE), increased intracranial pressure (ICP), and subsequent neurologic complications; it is the most important cause of morbidity and mortality in fulminant hepatic failure. The goal of therapy should be early diagnosis and treatment of HE with measures to reduce CE. A combination of clinical examination and diagnostic modalities can aid in prompt diagnosis. ICP monitoring and transcranial Doppler help diagnose and monitor response to treatment. Transfer to a transplant center and intensive care unit admission with airway management and reduction of CE with hypertonic saline, mannitol, hypothermia, and sedation are recommended as a bridge to liver transplantation.","author":[{"dropping-particle":"","family":"Kodali","given":"Sudha","non-dropping-particle":"","parse-names":false,"suffix":""},{"dropping-particle":"","family":"McGuire","given":"Brendan M.","non-dropping-particle":"","parse-names":false,"suffix":""}],"container-title":"Clinics in Liver Disease","id":"ITEM-3","issue":"3","issued":{"date-parts":[["2015"]]},"page":"565-576","publisher":"Elsevier Inc","title":"Diagnosis and Management of Hepatic Encephalopathy in Fulminant Hepatic Failure","type":"article","volume":"19"},"uris":["http://www.mendeley.com/documents/?uuid=ee5a5aa9-59f4-421f-8274-78a7e72edbae"]},{"id":"ITEM-4","itemData":{"DOI":"10.1385/NCC:4:2:179","ISSN":"15416933","PMID":"16627910","abstract":"Severe intracranial hypertension (IH) in the setting of fulminant hepatic failure (FHF) carries a high mortality and is a challenging disease for the critical care provider. Despite considerable improvements in the understanding of the pathophysiology of cerebral edema during liver failure, therapeutic maneuvers that are currently available to treat this disease are limited. Orthotopic liver transplantation is currently the only definitive therapeutic strategy that improves outcomes in patients with FHF. However, many patients die prior to the availability of donor organs, often because of cerebral herniation. Currently, two important theories prevail in the understanding of the pathophysiology of IH during FHF. Ammonia and glutamine causes cytotoxic cerebral injury while cerebral vasodilation caused by loss of autoregulation increases intracranial pressure (ICP) and predisposes to herniation. Although ammonia-reducing strategies are limited in humans, modulation of cerebral blood flow seems promising, at least during the early stages of hepatic encephalopathy. ICP monitoring, transcranial Doppler, and jugular venous oximetry offer valuable information regarding intracranial dynamics. Induced hypothermia, hypertonic saline, propofol sedation, and indomethacin are some of the newer therapies that have been shown to improve survival in patients with severe IH. In this article, we review the pathophysiology of IH in patients with FHF and outline various therapeutic strategies currently available in managing these patients in the critical care setting. Copyright © 2006 Humana Press Inc. All rights of any nature whatsoever are reserved.","author":[{"dropping-particle":"","family":"Raghavan","given":"Murugan","non-dropping-particle":"","parse-names":false,"suffix":""},{"dropping-particle":"","family":"Marik","given":"Paul E.","non-dropping-particle":"","parse-names":false,"suffix":""}],"container-title":"Neurocritical Care","id":"ITEM-4","issue":"2","issued":{"date-parts":[["2006"]]},"page":"179-189","title":"Therapy of intracranial hypertension in patients with fulminant hepatic failure","type":"article","volume":"4"},"uris":["http://www.mendeley.com/documents/?uuid=3be99af1-7a84-430a-bd61-deef4599b296"]}],"mendeley":{"formattedCitation":"(3,5,8,9)","plainTextFormattedCitation":"(3,5,8,9)","previouslyFormattedCitation":"(Ochoa-Sanchez and Rose 2018; Datar and Wijdicks 2014; Kodali and McGuire 2015; Raghavan and Marik 2006)"},"properties":{"noteIndex":0},"schema":"https://github.com/citation-style-language/schema/raw/master/csl-citation.json"}</w:instrText>
      </w:r>
      <w:r w:rsidR="00A34F7A" w:rsidRPr="00F62FC9">
        <w:rPr>
          <w:rFonts w:ascii="Calibri" w:hAnsi="Calibri" w:cs="Calibri"/>
          <w:sz w:val="24"/>
          <w:szCs w:val="24"/>
        </w:rPr>
        <w:fldChar w:fldCharType="separate"/>
      </w:r>
      <w:r w:rsidR="003B280C" w:rsidRPr="00F62FC9">
        <w:rPr>
          <w:rFonts w:ascii="Calibri" w:hAnsi="Calibri" w:cs="Calibri"/>
          <w:noProof/>
          <w:sz w:val="24"/>
          <w:szCs w:val="24"/>
        </w:rPr>
        <w:t>(3,5,8,9)</w:t>
      </w:r>
      <w:r w:rsidR="00A34F7A" w:rsidRPr="00F62FC9">
        <w:rPr>
          <w:rFonts w:ascii="Calibri" w:hAnsi="Calibri" w:cs="Calibri"/>
          <w:sz w:val="24"/>
          <w:szCs w:val="24"/>
        </w:rPr>
        <w:fldChar w:fldCharType="end"/>
      </w:r>
      <w:r w:rsidR="004E59AF" w:rsidRPr="00F62FC9">
        <w:rPr>
          <w:rFonts w:ascii="Calibri" w:hAnsi="Calibri" w:cs="Calibri"/>
          <w:sz w:val="24"/>
          <w:szCs w:val="24"/>
        </w:rPr>
        <w:t xml:space="preserve">. </w:t>
      </w:r>
    </w:p>
    <w:p w14:paraId="0E8CE0F4" w14:textId="7E338840" w:rsidR="00F818D5" w:rsidRPr="00F62FC9" w:rsidRDefault="00AE6EB8" w:rsidP="006C1B57">
      <w:pPr>
        <w:ind w:firstLine="360"/>
        <w:jc w:val="both"/>
        <w:rPr>
          <w:rFonts w:ascii="Calibri" w:hAnsi="Calibri" w:cs="Calibri"/>
          <w:sz w:val="24"/>
          <w:szCs w:val="24"/>
        </w:rPr>
      </w:pPr>
      <w:r w:rsidRPr="00F62FC9">
        <w:rPr>
          <w:rFonts w:ascii="Calibri" w:hAnsi="Calibri" w:cs="Calibri"/>
          <w:sz w:val="24"/>
          <w:szCs w:val="24"/>
        </w:rPr>
        <w:t>Além disso, t</w:t>
      </w:r>
      <w:r w:rsidR="004E59AF" w:rsidRPr="00F62FC9">
        <w:rPr>
          <w:rFonts w:ascii="Calibri" w:hAnsi="Calibri" w:cs="Calibri"/>
          <w:sz w:val="24"/>
          <w:szCs w:val="24"/>
        </w:rPr>
        <w:t xml:space="preserve">al mecanismo é corroborado </w:t>
      </w:r>
      <w:r w:rsidRPr="00F62FC9">
        <w:rPr>
          <w:rFonts w:ascii="Calibri" w:hAnsi="Calibri" w:cs="Calibri"/>
          <w:sz w:val="24"/>
          <w:szCs w:val="24"/>
        </w:rPr>
        <w:t xml:space="preserve">por </w:t>
      </w:r>
      <w:r w:rsidR="004E59AF" w:rsidRPr="00F62FC9">
        <w:rPr>
          <w:rFonts w:ascii="Calibri" w:hAnsi="Calibri" w:cs="Calibri"/>
          <w:sz w:val="24"/>
          <w:szCs w:val="24"/>
        </w:rPr>
        <w:t>e</w:t>
      </w:r>
      <w:r w:rsidR="00F818D5" w:rsidRPr="00F62FC9">
        <w:rPr>
          <w:rFonts w:ascii="Calibri" w:hAnsi="Calibri" w:cs="Calibri"/>
          <w:sz w:val="24"/>
          <w:szCs w:val="24"/>
        </w:rPr>
        <w:t xml:space="preserve">studos </w:t>
      </w:r>
      <w:r w:rsidRPr="00F62FC9">
        <w:rPr>
          <w:rFonts w:ascii="Calibri" w:hAnsi="Calibri" w:cs="Calibri"/>
          <w:sz w:val="24"/>
          <w:szCs w:val="24"/>
        </w:rPr>
        <w:t>que</w:t>
      </w:r>
      <w:r w:rsidR="00567665" w:rsidRPr="00F62FC9">
        <w:rPr>
          <w:rFonts w:ascii="Calibri" w:hAnsi="Calibri" w:cs="Calibri"/>
          <w:sz w:val="24"/>
          <w:szCs w:val="24"/>
        </w:rPr>
        <w:t xml:space="preserve"> correlacionam </w:t>
      </w:r>
      <w:r w:rsidR="00D97007" w:rsidRPr="00F62FC9">
        <w:rPr>
          <w:rFonts w:ascii="Calibri" w:hAnsi="Calibri" w:cs="Calibri"/>
          <w:sz w:val="24"/>
          <w:szCs w:val="24"/>
        </w:rPr>
        <w:t xml:space="preserve">positivamente </w:t>
      </w:r>
      <w:r w:rsidR="00567665" w:rsidRPr="00F62FC9">
        <w:rPr>
          <w:rFonts w:ascii="Calibri" w:hAnsi="Calibri" w:cs="Calibri"/>
          <w:sz w:val="24"/>
          <w:szCs w:val="24"/>
        </w:rPr>
        <w:t xml:space="preserve">o quadro clínico com a concentração sérica de amônia. Eles apontam </w:t>
      </w:r>
      <w:r w:rsidR="001151E8" w:rsidRPr="00F62FC9">
        <w:rPr>
          <w:rFonts w:ascii="Calibri" w:hAnsi="Calibri" w:cs="Calibri"/>
          <w:sz w:val="24"/>
          <w:szCs w:val="24"/>
        </w:rPr>
        <w:t>que EH raramente é desenvolvida</w:t>
      </w:r>
      <w:r w:rsidR="004E59AF" w:rsidRPr="00F62FC9">
        <w:rPr>
          <w:rFonts w:ascii="Calibri" w:hAnsi="Calibri" w:cs="Calibri"/>
          <w:sz w:val="24"/>
          <w:szCs w:val="24"/>
        </w:rPr>
        <w:t xml:space="preserve"> </w:t>
      </w:r>
      <w:r w:rsidRPr="00F62FC9">
        <w:rPr>
          <w:rFonts w:ascii="Calibri" w:hAnsi="Calibri" w:cs="Calibri"/>
          <w:sz w:val="24"/>
          <w:szCs w:val="24"/>
        </w:rPr>
        <w:t xml:space="preserve">com uma amonemia </w:t>
      </w:r>
      <w:r w:rsidR="006177DB" w:rsidRPr="00F62FC9">
        <w:rPr>
          <w:rFonts w:ascii="Calibri" w:hAnsi="Calibri" w:cs="Calibri"/>
          <w:sz w:val="24"/>
          <w:szCs w:val="24"/>
        </w:rPr>
        <w:t xml:space="preserve">arterial inferior a 75 µmol/L. </w:t>
      </w:r>
      <w:r w:rsidR="00184E24" w:rsidRPr="00F62FC9">
        <w:rPr>
          <w:rFonts w:ascii="Calibri" w:hAnsi="Calibri" w:cs="Calibri"/>
          <w:sz w:val="24"/>
          <w:szCs w:val="24"/>
        </w:rPr>
        <w:t xml:space="preserve">HIC foi desenvolvida </w:t>
      </w:r>
      <w:r w:rsidR="00D97007" w:rsidRPr="00F62FC9">
        <w:rPr>
          <w:rFonts w:ascii="Calibri" w:hAnsi="Calibri" w:cs="Calibri"/>
          <w:sz w:val="24"/>
          <w:szCs w:val="24"/>
        </w:rPr>
        <w:t xml:space="preserve">em 55% dos pacientes de DHA com níveis superiores a 200 µmol/L. </w:t>
      </w:r>
      <w:r w:rsidR="009F5B3C" w:rsidRPr="00F62FC9">
        <w:rPr>
          <w:rFonts w:ascii="Calibri" w:hAnsi="Calibri" w:cs="Calibri"/>
          <w:sz w:val="24"/>
          <w:szCs w:val="24"/>
        </w:rPr>
        <w:t xml:space="preserve">Também, revelou-se que a concentração de amônia é tipicamente superior em pacientes de DHA vis-à-vis </w:t>
      </w:r>
      <w:r w:rsidR="00590384" w:rsidRPr="00F62FC9">
        <w:rPr>
          <w:rFonts w:ascii="Calibri" w:hAnsi="Calibri" w:cs="Calibri"/>
          <w:sz w:val="24"/>
          <w:szCs w:val="24"/>
        </w:rPr>
        <w:t xml:space="preserve">DHC </w:t>
      </w:r>
      <w:r w:rsidR="00590384" w:rsidRPr="00F62FC9">
        <w:rPr>
          <w:rFonts w:ascii="Calibri" w:hAnsi="Calibri" w:cs="Calibri"/>
          <w:sz w:val="24"/>
          <w:szCs w:val="24"/>
        </w:rPr>
        <w:fldChar w:fldCharType="begin" w:fldLock="1"/>
      </w:r>
      <w:r w:rsidR="003B280C" w:rsidRPr="00F62FC9">
        <w:rPr>
          <w:rFonts w:ascii="Calibri" w:hAnsi="Calibri" w:cs="Calibri"/>
          <w:sz w:val="24"/>
          <w:szCs w:val="24"/>
        </w:rPr>
        <w:instrText>ADDIN CSL_CITATION {"citationItems":[{"id":"ITEM-1","itemData":{"DOI":"10.1002/hep.21838","ISSN":"02709139","PMID":"17685471","abstract":"High circulating ammonia concentrations are common in patients with acute liver failure (ALF) and are associated with hepatic encephalopathy (HE) and intracranial hypertension (ICH). Other risk factors are poorly characterized. We evaluated the relation of the admission arterial ammonia concentration and other clinical variables with the development of HE and ICH. Arterial ammonia was measured on admission to the intensive care unit in 257 patients; 165 had ALF and severe HE, and there were 3 control groups: acute hepatic dysfunction without severe HE (n = 50), chronic liver disease (n = 33), and elective surgery (n = 9). Variables associated with ICH and HE were investigated with regression analysis. Ammonia was higher in ALF patients than controls. An independent risk factor for the development of severe HE and ICH, a level greater than 100 μmol/L predicted the onset of severe HE with 70% accuracy. The model for end-stage liver disease (MELD) score was also independendy predictive of HE, and its combination with ammonia increased specificity and accuracy. ICH developed in 55% of ALF patients with a level greater than 200 μmol/L, although this threshold failed to identify most cases. After admission, ammonia levels remained high in those developing ICH and fell in those who did not. Youth, a requirement for vasopressors, and renal replacement therapy were additional independent risk factors. Conclusion: Ammonia is an independent risk factor for the development of both HE and ICH. Additional MELD scoring improved the prediction of HE. Factors other than ammonia also appear important in the pathogenesis of ICH. Ammonia measurements could form part of risk stratification for HE and ICH, identifying patients for ammonia-lowering therapies and invasive monitoring. Copyright © 2007 by the American Association for the Study of Liver Diseases.","author":[{"dropping-particle":"","family":"Bernal","given":"William","non-dropping-particle":"","parse-names":false,"suffix":""},{"dropping-particle":"","family":"Hall","given":"Catherine","non-dropping-particle":"","parse-names":false,"suffix":""},{"dropping-particle":"","family":"Karvellas","given":"Constantine J.","non-dropping-particle":"","parse-names":false,"suffix":""},{"dropping-particle":"","family":"Auzinger","given":"Georg","non-dropping-particle":"","parse-names":false,"suffix":""},{"dropping-particle":"","family":"Sizer","given":"Elizabeth","non-dropping-particle":"","parse-names":false,"suffix":""},{"dropping-particle":"","family":"Wendon","given":"Julia","non-dropping-particle":"","parse-names":false,"suffix":""}],"container-title":"Hepatology","id":"ITEM-1","issue":"6","issued":{"date-parts":[["2007"]]},"page":"1844-1852","title":"Arterial ammonia and clinical risk factors for encephalopathy and intracranial hypertension in acute liver failure","type":"article-journal","volume":"46"},"uris":["http://www.mendeley.com/documents/?uuid=9f3f1ddd-2751-42ec-ad3d-7ebae37c7124"]},{"id":"ITEM-2","itemData":{"DOI":"10.1016/j.cld.2015.04.006","ISSN":"15578224","PMID":"26195209","abstract":"Hepatic encephalopathy (HE) is associated with cerebral edema (CE), increased intracranial pressure (ICP), and subsequent neurologic complications; it is the most important cause of morbidity and mortality in fulminant hepatic failure. The goal of therapy should be early diagnosis and treatment of HE with measures to reduce CE. A combination of clinical examination and diagnostic modalities can aid in prompt diagnosis. ICP monitoring and transcranial Doppler help diagnose and monitor response to treatment. Transfer to a transplant center and intensive care unit admission with airway management and reduction of CE with hypertonic saline, mannitol, hypothermia, and sedation are recommended as a bridge to liver transplantation.","author":[{"dropping-particle":"","family":"Kodali","given":"Sudha","non-dropping-particle":"","parse-names":false,"suffix":""},{"dropping-particle":"","family":"McGuire","given":"Brendan M.","non-dropping-particle":"","parse-names":false,"suffix":""}],"container-title":"Clinics in Liver Disease","id":"ITEM-2","issue":"3","issued":{"date-parts":[["2015"]]},"page":"565-576","publisher":"Elsevier Inc","title":"Diagnosis and Management of Hepatic Encephalopathy in Fulminant Hepatic Failure","type":"article","volume":"19"},"uris":["http://www.mendeley.com/documents/?uuid=ee5a5aa9-59f4-421f-8274-78a7e72edbae"]}],"mendeley":{"formattedCitation":"(5,10)","plainTextFormattedCitation":"(5,10)","previouslyFormattedCitation":"(Bernal et al. 2007; Kodali and McGuire 2015)"},"properties":{"noteIndex":0},"schema":"https://github.com/citation-style-language/schema/raw/master/csl-citation.json"}</w:instrText>
      </w:r>
      <w:r w:rsidR="00590384" w:rsidRPr="00F62FC9">
        <w:rPr>
          <w:rFonts w:ascii="Calibri" w:hAnsi="Calibri" w:cs="Calibri"/>
          <w:sz w:val="24"/>
          <w:szCs w:val="24"/>
        </w:rPr>
        <w:fldChar w:fldCharType="separate"/>
      </w:r>
      <w:r w:rsidR="003B280C" w:rsidRPr="00F62FC9">
        <w:rPr>
          <w:rFonts w:ascii="Calibri" w:hAnsi="Calibri" w:cs="Calibri"/>
          <w:noProof/>
          <w:sz w:val="24"/>
          <w:szCs w:val="24"/>
        </w:rPr>
        <w:t>(5,10)</w:t>
      </w:r>
      <w:r w:rsidR="00590384" w:rsidRPr="00F62FC9">
        <w:rPr>
          <w:rFonts w:ascii="Calibri" w:hAnsi="Calibri" w:cs="Calibri"/>
          <w:sz w:val="24"/>
          <w:szCs w:val="24"/>
        </w:rPr>
        <w:fldChar w:fldCharType="end"/>
      </w:r>
      <w:r w:rsidR="00590384" w:rsidRPr="00F62FC9">
        <w:rPr>
          <w:rFonts w:ascii="Calibri" w:hAnsi="Calibri" w:cs="Calibri"/>
          <w:sz w:val="24"/>
          <w:szCs w:val="24"/>
        </w:rPr>
        <w:t>.</w:t>
      </w:r>
    </w:p>
    <w:p w14:paraId="659E9395" w14:textId="21B975E6" w:rsidR="00676B05" w:rsidRPr="00F62FC9" w:rsidRDefault="00B91555" w:rsidP="003F11BB">
      <w:pPr>
        <w:ind w:firstLine="360"/>
        <w:jc w:val="both"/>
        <w:rPr>
          <w:rFonts w:ascii="Calibri" w:hAnsi="Calibri" w:cs="Calibri"/>
          <w:sz w:val="24"/>
          <w:szCs w:val="24"/>
        </w:rPr>
      </w:pPr>
      <w:r w:rsidRPr="00F62FC9">
        <w:rPr>
          <w:rFonts w:ascii="Calibri" w:hAnsi="Calibri" w:cs="Calibri"/>
          <w:sz w:val="24"/>
          <w:szCs w:val="24"/>
        </w:rPr>
        <w:t xml:space="preserve">Outros fatores ainda estão associados à fisiopatologia da EH.  </w:t>
      </w:r>
      <w:r w:rsidR="00676B05" w:rsidRPr="00F62FC9">
        <w:rPr>
          <w:rFonts w:ascii="Calibri" w:hAnsi="Calibri" w:cs="Calibri"/>
          <w:sz w:val="24"/>
          <w:szCs w:val="24"/>
        </w:rPr>
        <w:t>O</w:t>
      </w:r>
      <w:r w:rsidR="00A13F5E" w:rsidRPr="00F62FC9">
        <w:rPr>
          <w:rFonts w:ascii="Calibri" w:hAnsi="Calibri" w:cs="Calibri"/>
          <w:sz w:val="24"/>
          <w:szCs w:val="24"/>
        </w:rPr>
        <w:t xml:space="preserve"> dano hepático diminui a síntese de proteínas associadas </w:t>
      </w:r>
      <w:r w:rsidR="007668E4" w:rsidRPr="00F62FC9">
        <w:rPr>
          <w:rFonts w:ascii="Calibri" w:hAnsi="Calibri" w:cs="Calibri"/>
          <w:sz w:val="24"/>
          <w:szCs w:val="24"/>
        </w:rPr>
        <w:t xml:space="preserve">a efeitos antioxidantes, como albumina e </w:t>
      </w:r>
      <w:r w:rsidR="007668E4" w:rsidRPr="00F62FC9">
        <w:rPr>
          <w:rFonts w:ascii="Calibri" w:hAnsi="Calibri" w:cs="Calibri"/>
          <w:sz w:val="24"/>
          <w:szCs w:val="24"/>
        </w:rPr>
        <w:lastRenderedPageBreak/>
        <w:t>glutationa, o que causa um desbalanço entre a produção e eliminação de espécies reativas de oxigênio (EROs)</w:t>
      </w:r>
      <w:r w:rsidR="00FE4BB4" w:rsidRPr="00F62FC9">
        <w:rPr>
          <w:rFonts w:ascii="Calibri" w:hAnsi="Calibri" w:cs="Calibri"/>
          <w:sz w:val="24"/>
          <w:szCs w:val="24"/>
        </w:rPr>
        <w:t>, gerando estresse oxidativo e disfunção celular.</w:t>
      </w:r>
      <w:r w:rsidR="000B0A9F" w:rsidRPr="00F62FC9">
        <w:rPr>
          <w:rFonts w:ascii="Calibri" w:hAnsi="Calibri" w:cs="Calibri"/>
          <w:sz w:val="24"/>
          <w:szCs w:val="24"/>
        </w:rPr>
        <w:t xml:space="preserve"> Também, n</w:t>
      </w:r>
      <w:r w:rsidR="00D07C22" w:rsidRPr="00F62FC9">
        <w:rPr>
          <w:rFonts w:ascii="Calibri" w:hAnsi="Calibri" w:cs="Calibri"/>
          <w:sz w:val="24"/>
          <w:szCs w:val="24"/>
        </w:rPr>
        <w:t>a dinâmica da bile, o</w:t>
      </w:r>
      <w:r w:rsidR="005042D5" w:rsidRPr="00F62FC9">
        <w:rPr>
          <w:rFonts w:ascii="Calibri" w:hAnsi="Calibri" w:cs="Calibri"/>
          <w:sz w:val="24"/>
          <w:szCs w:val="24"/>
        </w:rPr>
        <w:t xml:space="preserve">s </w:t>
      </w:r>
      <w:r w:rsidR="00CB2A04" w:rsidRPr="00F62FC9">
        <w:rPr>
          <w:rFonts w:ascii="Calibri" w:hAnsi="Calibri" w:cs="Calibri"/>
          <w:sz w:val="24"/>
          <w:szCs w:val="24"/>
        </w:rPr>
        <w:t>ABs</w:t>
      </w:r>
      <w:r w:rsidR="00720FA2" w:rsidRPr="00F62FC9">
        <w:rPr>
          <w:rFonts w:ascii="Calibri" w:hAnsi="Calibri" w:cs="Calibri"/>
          <w:sz w:val="24"/>
          <w:szCs w:val="24"/>
        </w:rPr>
        <w:t xml:space="preserve"> </w:t>
      </w:r>
      <w:r w:rsidR="005042D5" w:rsidRPr="00F62FC9">
        <w:rPr>
          <w:rFonts w:ascii="Calibri" w:hAnsi="Calibri" w:cs="Calibri"/>
          <w:sz w:val="24"/>
          <w:szCs w:val="24"/>
        </w:rPr>
        <w:t xml:space="preserve">devem ser reabsorvidos </w:t>
      </w:r>
      <w:r w:rsidR="00720FA2" w:rsidRPr="00F62FC9">
        <w:rPr>
          <w:rFonts w:ascii="Calibri" w:hAnsi="Calibri" w:cs="Calibri"/>
          <w:sz w:val="24"/>
          <w:szCs w:val="24"/>
        </w:rPr>
        <w:t>e reciclados pelo fígado; contudo,</w:t>
      </w:r>
      <w:r w:rsidR="00754C0C" w:rsidRPr="00F62FC9">
        <w:rPr>
          <w:rFonts w:ascii="Calibri" w:hAnsi="Calibri" w:cs="Calibri"/>
          <w:sz w:val="24"/>
          <w:szCs w:val="24"/>
        </w:rPr>
        <w:t xml:space="preserve"> </w:t>
      </w:r>
      <w:r w:rsidR="00095F59" w:rsidRPr="00F62FC9">
        <w:rPr>
          <w:rFonts w:ascii="Calibri" w:hAnsi="Calibri" w:cs="Calibri"/>
          <w:sz w:val="24"/>
          <w:szCs w:val="24"/>
        </w:rPr>
        <w:t xml:space="preserve">sob doença hepática, </w:t>
      </w:r>
      <w:r w:rsidR="00166EFC" w:rsidRPr="00F62FC9">
        <w:rPr>
          <w:rFonts w:ascii="Calibri" w:hAnsi="Calibri" w:cs="Calibri"/>
          <w:sz w:val="24"/>
          <w:szCs w:val="24"/>
        </w:rPr>
        <w:t>esses ácidos são acumulados na circulação, ultrapassam a BHE</w:t>
      </w:r>
      <w:r w:rsidR="00754973" w:rsidRPr="00F62FC9">
        <w:rPr>
          <w:rFonts w:ascii="Calibri" w:hAnsi="Calibri" w:cs="Calibri"/>
          <w:sz w:val="24"/>
          <w:szCs w:val="24"/>
        </w:rPr>
        <w:t xml:space="preserve"> e estão relacionados à maior permeabilidade dessa barreira</w:t>
      </w:r>
      <w:r w:rsidR="00FD5741" w:rsidRPr="00F62FC9">
        <w:rPr>
          <w:rFonts w:ascii="Calibri" w:hAnsi="Calibri" w:cs="Calibri"/>
          <w:sz w:val="24"/>
          <w:szCs w:val="24"/>
        </w:rPr>
        <w:t>.</w:t>
      </w:r>
      <w:r w:rsidR="000B0A9F" w:rsidRPr="00F62FC9">
        <w:rPr>
          <w:rFonts w:ascii="Calibri" w:hAnsi="Calibri" w:cs="Calibri"/>
          <w:sz w:val="24"/>
          <w:szCs w:val="24"/>
        </w:rPr>
        <w:t xml:space="preserve"> </w:t>
      </w:r>
      <w:r w:rsidR="003F11BB" w:rsidRPr="00F62FC9">
        <w:rPr>
          <w:rFonts w:ascii="Calibri" w:hAnsi="Calibri" w:cs="Calibri"/>
          <w:sz w:val="24"/>
          <w:szCs w:val="24"/>
        </w:rPr>
        <w:t>Por fim, n</w:t>
      </w:r>
      <w:r w:rsidR="00BD7643" w:rsidRPr="00F62FC9">
        <w:rPr>
          <w:rFonts w:ascii="Calibri" w:hAnsi="Calibri" w:cs="Calibri"/>
          <w:sz w:val="24"/>
          <w:szCs w:val="24"/>
        </w:rPr>
        <w:t xml:space="preserve">os astrócitos, </w:t>
      </w:r>
      <w:r w:rsidR="008C25B8" w:rsidRPr="00F62FC9">
        <w:rPr>
          <w:rFonts w:ascii="Calibri" w:hAnsi="Calibri" w:cs="Calibri"/>
          <w:sz w:val="24"/>
          <w:szCs w:val="24"/>
        </w:rPr>
        <w:t xml:space="preserve">pela lactato desidrogenase, </w:t>
      </w:r>
      <w:r w:rsidR="00BD7643" w:rsidRPr="00F62FC9">
        <w:rPr>
          <w:rFonts w:ascii="Calibri" w:hAnsi="Calibri" w:cs="Calibri"/>
          <w:sz w:val="24"/>
          <w:szCs w:val="24"/>
        </w:rPr>
        <w:t>a glicose é transformada em lactato</w:t>
      </w:r>
      <w:r w:rsidR="003A6558" w:rsidRPr="00F62FC9">
        <w:rPr>
          <w:rFonts w:ascii="Calibri" w:hAnsi="Calibri" w:cs="Calibri"/>
          <w:sz w:val="24"/>
          <w:szCs w:val="24"/>
        </w:rPr>
        <w:t xml:space="preserve">, </w:t>
      </w:r>
      <w:r w:rsidR="008C25B8" w:rsidRPr="00F62FC9">
        <w:rPr>
          <w:rFonts w:ascii="Calibri" w:hAnsi="Calibri" w:cs="Calibri"/>
          <w:sz w:val="24"/>
          <w:szCs w:val="24"/>
        </w:rPr>
        <w:t>que é o principal substrato energético nos neurônios</w:t>
      </w:r>
      <w:r w:rsidR="003A6558" w:rsidRPr="00F62FC9">
        <w:rPr>
          <w:rFonts w:ascii="Calibri" w:hAnsi="Calibri" w:cs="Calibri"/>
          <w:sz w:val="24"/>
          <w:szCs w:val="24"/>
        </w:rPr>
        <w:t>,</w:t>
      </w:r>
      <w:r w:rsidR="00887D99" w:rsidRPr="00F62FC9">
        <w:rPr>
          <w:rFonts w:ascii="Calibri" w:hAnsi="Calibri" w:cs="Calibri"/>
          <w:sz w:val="24"/>
          <w:szCs w:val="24"/>
        </w:rPr>
        <w:t xml:space="preserve"> de ta</w:t>
      </w:r>
      <w:r w:rsidR="00EF20B1" w:rsidRPr="00F62FC9">
        <w:rPr>
          <w:rFonts w:ascii="Calibri" w:hAnsi="Calibri" w:cs="Calibri"/>
          <w:sz w:val="24"/>
          <w:szCs w:val="24"/>
        </w:rPr>
        <w:t>l forma que</w:t>
      </w:r>
      <w:r w:rsidR="0047374F" w:rsidRPr="00F62FC9">
        <w:rPr>
          <w:rFonts w:ascii="Calibri" w:hAnsi="Calibri" w:cs="Calibri"/>
          <w:sz w:val="24"/>
          <w:szCs w:val="24"/>
        </w:rPr>
        <w:t xml:space="preserve"> a</w:t>
      </w:r>
      <w:r w:rsidR="003C519C" w:rsidRPr="00F62FC9">
        <w:rPr>
          <w:rFonts w:ascii="Calibri" w:hAnsi="Calibri" w:cs="Calibri"/>
          <w:sz w:val="24"/>
          <w:szCs w:val="24"/>
        </w:rPr>
        <w:t>lterações na homeostase do lactato</w:t>
      </w:r>
      <w:r w:rsidR="00EF20B1" w:rsidRPr="00F62FC9">
        <w:rPr>
          <w:rFonts w:ascii="Calibri" w:hAnsi="Calibri" w:cs="Calibri"/>
          <w:sz w:val="24"/>
          <w:szCs w:val="24"/>
        </w:rPr>
        <w:t>,</w:t>
      </w:r>
      <w:r w:rsidR="006B5DD5" w:rsidRPr="00F62FC9">
        <w:rPr>
          <w:rFonts w:ascii="Calibri" w:hAnsi="Calibri" w:cs="Calibri"/>
          <w:sz w:val="24"/>
          <w:szCs w:val="24"/>
        </w:rPr>
        <w:t xml:space="preserve"> possivelmente induzid</w:t>
      </w:r>
      <w:r w:rsidR="003719E3" w:rsidRPr="00F62FC9">
        <w:rPr>
          <w:rFonts w:ascii="Calibri" w:hAnsi="Calibri" w:cs="Calibri"/>
          <w:sz w:val="24"/>
          <w:szCs w:val="24"/>
        </w:rPr>
        <w:t>a</w:t>
      </w:r>
      <w:r w:rsidR="006B5DD5" w:rsidRPr="00F62FC9">
        <w:rPr>
          <w:rFonts w:ascii="Calibri" w:hAnsi="Calibri" w:cs="Calibri"/>
          <w:sz w:val="24"/>
          <w:szCs w:val="24"/>
        </w:rPr>
        <w:t>s pe</w:t>
      </w:r>
      <w:r w:rsidR="003719E3" w:rsidRPr="00F62FC9">
        <w:rPr>
          <w:rFonts w:ascii="Calibri" w:hAnsi="Calibri" w:cs="Calibri"/>
          <w:sz w:val="24"/>
          <w:szCs w:val="24"/>
        </w:rPr>
        <w:t xml:space="preserve">lo aumento </w:t>
      </w:r>
      <w:r w:rsidR="003F11BB" w:rsidRPr="00F62FC9">
        <w:rPr>
          <w:rFonts w:ascii="Calibri" w:hAnsi="Calibri" w:cs="Calibri"/>
          <w:sz w:val="24"/>
          <w:szCs w:val="24"/>
        </w:rPr>
        <w:t xml:space="preserve">na concentração </w:t>
      </w:r>
      <w:r w:rsidR="003719E3" w:rsidRPr="00F62FC9">
        <w:rPr>
          <w:rFonts w:ascii="Calibri" w:hAnsi="Calibri" w:cs="Calibri"/>
          <w:sz w:val="24"/>
          <w:szCs w:val="24"/>
        </w:rPr>
        <w:t>de amônia</w:t>
      </w:r>
      <w:r w:rsidR="00EF20B1" w:rsidRPr="00F62FC9">
        <w:rPr>
          <w:rFonts w:ascii="Calibri" w:hAnsi="Calibri" w:cs="Calibri"/>
          <w:sz w:val="24"/>
          <w:szCs w:val="24"/>
        </w:rPr>
        <w:t>,</w:t>
      </w:r>
      <w:r w:rsidR="003719E3" w:rsidRPr="00F62FC9">
        <w:rPr>
          <w:rFonts w:ascii="Calibri" w:hAnsi="Calibri" w:cs="Calibri"/>
          <w:sz w:val="24"/>
          <w:szCs w:val="24"/>
        </w:rPr>
        <w:t xml:space="preserve"> </w:t>
      </w:r>
      <w:r w:rsidR="003C519C" w:rsidRPr="00F62FC9">
        <w:rPr>
          <w:rFonts w:ascii="Calibri" w:hAnsi="Calibri" w:cs="Calibri"/>
          <w:sz w:val="24"/>
          <w:szCs w:val="24"/>
        </w:rPr>
        <w:t>estão associad</w:t>
      </w:r>
      <w:r w:rsidR="00C7555F" w:rsidRPr="00F62FC9">
        <w:rPr>
          <w:rFonts w:ascii="Calibri" w:hAnsi="Calibri" w:cs="Calibri"/>
          <w:sz w:val="24"/>
          <w:szCs w:val="24"/>
        </w:rPr>
        <w:t>a</w:t>
      </w:r>
      <w:r w:rsidR="003C519C" w:rsidRPr="00F62FC9">
        <w:rPr>
          <w:rFonts w:ascii="Calibri" w:hAnsi="Calibri" w:cs="Calibri"/>
          <w:sz w:val="24"/>
          <w:szCs w:val="24"/>
        </w:rPr>
        <w:t>s à</w:t>
      </w:r>
      <w:r w:rsidR="00AB6A5B" w:rsidRPr="00F62FC9">
        <w:rPr>
          <w:rFonts w:ascii="Calibri" w:hAnsi="Calibri" w:cs="Calibri"/>
          <w:sz w:val="24"/>
          <w:szCs w:val="24"/>
        </w:rPr>
        <w:t xml:space="preserve"> disfunção neurológica no EH</w:t>
      </w:r>
      <w:r w:rsidR="00D07C22" w:rsidRPr="00F62FC9">
        <w:rPr>
          <w:rFonts w:ascii="Calibri" w:hAnsi="Calibri" w:cs="Calibri"/>
          <w:sz w:val="24"/>
          <w:szCs w:val="24"/>
        </w:rPr>
        <w:t xml:space="preserve"> </w:t>
      </w:r>
      <w:r w:rsidR="00FD5741" w:rsidRPr="00F62FC9">
        <w:rPr>
          <w:rFonts w:ascii="Calibri" w:hAnsi="Calibri" w:cs="Calibri"/>
          <w:sz w:val="24"/>
          <w:szCs w:val="24"/>
        </w:rPr>
        <w:t xml:space="preserve"> </w:t>
      </w:r>
      <w:r w:rsidR="006D3979" w:rsidRPr="00F62FC9">
        <w:rPr>
          <w:rFonts w:ascii="Calibri" w:hAnsi="Calibri" w:cs="Calibri"/>
          <w:sz w:val="24"/>
          <w:szCs w:val="24"/>
        </w:rPr>
        <w:fldChar w:fldCharType="begin" w:fldLock="1"/>
      </w:r>
      <w:r w:rsidR="003B280C" w:rsidRPr="00F62FC9">
        <w:rPr>
          <w:rFonts w:ascii="Calibri" w:hAnsi="Calibri" w:cs="Calibri"/>
          <w:sz w:val="24"/>
          <w:szCs w:val="24"/>
        </w:rPr>
        <w:instrText>ADDIN CSL_CITATION {"citationItems":[{"id":"ITEM-1","itemData":{"DOI":"10.1016/j.jceh.2018.08.001","ISSN":"22133453","abstract":"Hepatic encephalopathy (HE) is a complex neuropsychiatric syndrome that occurs during chronic liver disease (CLD). While ammonia and other precipitating factors in liver disease including inflammation, bile acids, oxidative stress, and lactate play a role in the pathogenesis of HE, the exact mechanism that leads to HE is not fully understood. Notably, accumulating evidence points toward a synergic effect rather than independent actions among precipitating factors that contributes to the development and severity of HE in CLD. Hence, this review is aimed to briefly discuss the single and synergic interplay of pathological factors in the progression and severity of HE.","author":[{"dropping-particle":"","family":"Ochoa-Sanchez","given":"Rafael","non-dropping-particle":"","parse-names":false,"suffix":""},{"dropping-particle":"","family":"Rose","given":"Christopher F","non-dropping-particle":"","parse-names":false,"suffix":""}],"container-title":"Journal of Clinical and Experimental Hepatology","id":"ITEM-1","issue":"3","issued":{"date-parts":[["2018"]]},"page":"262-271","title":"Pathogenesis of Hepatic Encephalopathy in Chronic Liver Disease","type":"article","volume":"8"},"uris":["http://www.mendeley.com/documents/?uuid=4402be81-1824-4dcd-948e-486aa5fedd22"]},{"id":"ITEM-2","itemData":{"DOI":"10.1385/NCC:4:2:179","ISSN":"15416933","PMID":"16627910","abstract":"Severe intracranial hypertension (IH) in the setting of fulminant hepatic failure (FHF) carries a high mortality and is a challenging disease for the critical care provider. Despite considerable improvements in the understanding of the pathophysiology of cerebral edema during liver failure, therapeutic maneuvers that are currently available to treat this disease are limited. Orthotopic liver transplantation is currently the only definitive therapeutic strategy that improves outcomes in patients with FHF. However, many patients die prior to the availability of donor organs, often because of cerebral herniation. Currently, two important theories prevail in the understanding of the pathophysiology of IH during FHF. Ammonia and glutamine causes cytotoxic cerebral injury while cerebral vasodilation caused by loss of autoregulation increases intracranial pressure (ICP) and predisposes to herniation. Although ammonia-reducing strategies are limited in humans, modulation of cerebral blood flow seems promising, at least during the early stages of hepatic encephalopathy. ICP monitoring, transcranial Doppler, and jugular venous oximetry offer valuable information regarding intracranial dynamics. Induced hypothermia, hypertonic saline, propofol sedation, and indomethacin are some of the newer therapies that have been shown to improve survival in patients with severe IH. In this article, we review the pathophysiology of IH in patients with FHF and outline various therapeutic strategies currently available in managing these patients in the critical care setting. Copyright © 2006 Humana Press Inc. All rights of any nature whatsoever are reserved.","author":[{"dropping-particle":"","family":"Raghavan","given":"Murugan","non-dropping-particle":"","parse-names":false,"suffix":""},{"dropping-particle":"","family":"Marik","given":"Paul E.","non-dropping-particle":"","parse-names":false,"suffix":""}],"container-title":"Neurocritical Care","id":"ITEM-2","issue":"2","issued":{"date-parts":[["2006"]]},"page":"179-189","title":"Therapy of intracranial hypertension in patients with fulminant hepatic failure","type":"article","volume":"4"},"uris":["http://www.mendeley.com/documents/?uuid=3be99af1-7a84-430a-bd61-deef4599b296"]}],"mendeley":{"formattedCitation":"(8,9)","plainTextFormattedCitation":"(8,9)","previouslyFormattedCitation":"(Ochoa-Sanchez and Rose 2018; Raghavan and Marik 2006)"},"properties":{"noteIndex":0},"schema":"https://github.com/citation-style-language/schema/raw/master/csl-citation.json"}</w:instrText>
      </w:r>
      <w:r w:rsidR="006D3979" w:rsidRPr="00F62FC9">
        <w:rPr>
          <w:rFonts w:ascii="Calibri" w:hAnsi="Calibri" w:cs="Calibri"/>
          <w:sz w:val="24"/>
          <w:szCs w:val="24"/>
        </w:rPr>
        <w:fldChar w:fldCharType="separate"/>
      </w:r>
      <w:r w:rsidR="003B280C" w:rsidRPr="00F62FC9">
        <w:rPr>
          <w:rFonts w:ascii="Calibri" w:hAnsi="Calibri" w:cs="Calibri"/>
          <w:noProof/>
          <w:sz w:val="24"/>
          <w:szCs w:val="24"/>
        </w:rPr>
        <w:t>(8,9)</w:t>
      </w:r>
      <w:r w:rsidR="006D3979" w:rsidRPr="00F62FC9">
        <w:rPr>
          <w:rFonts w:ascii="Calibri" w:hAnsi="Calibri" w:cs="Calibri"/>
          <w:sz w:val="24"/>
          <w:szCs w:val="24"/>
        </w:rPr>
        <w:fldChar w:fldCharType="end"/>
      </w:r>
      <w:r w:rsidR="00BB67D3" w:rsidRPr="00F62FC9">
        <w:rPr>
          <w:rFonts w:ascii="Calibri" w:hAnsi="Calibri" w:cs="Calibri"/>
          <w:sz w:val="24"/>
          <w:szCs w:val="24"/>
        </w:rPr>
        <w:t>.</w:t>
      </w:r>
    </w:p>
    <w:p w14:paraId="79BA3660" w14:textId="41F0A7D3" w:rsidR="00744ABD" w:rsidRPr="00F62FC9" w:rsidRDefault="00DB741E" w:rsidP="00D9451C">
      <w:pPr>
        <w:ind w:firstLine="360"/>
        <w:jc w:val="both"/>
        <w:rPr>
          <w:rFonts w:ascii="Calibri" w:hAnsi="Calibri" w:cs="Calibri"/>
          <w:sz w:val="24"/>
          <w:szCs w:val="24"/>
        </w:rPr>
      </w:pPr>
      <w:r w:rsidRPr="00F62FC9">
        <w:rPr>
          <w:rFonts w:ascii="Calibri" w:hAnsi="Calibri" w:cs="Calibri"/>
          <w:sz w:val="24"/>
          <w:szCs w:val="24"/>
        </w:rPr>
        <w:t xml:space="preserve">Além disso, </w:t>
      </w:r>
      <w:r w:rsidR="000951A7" w:rsidRPr="00F62FC9">
        <w:rPr>
          <w:rFonts w:ascii="Calibri" w:hAnsi="Calibri" w:cs="Calibri"/>
          <w:sz w:val="24"/>
          <w:szCs w:val="24"/>
        </w:rPr>
        <w:t xml:space="preserve">como resultado das alterações </w:t>
      </w:r>
      <w:r w:rsidR="000828E7" w:rsidRPr="00F62FC9">
        <w:rPr>
          <w:rFonts w:ascii="Calibri" w:hAnsi="Calibri" w:cs="Calibri"/>
          <w:sz w:val="24"/>
          <w:szCs w:val="24"/>
        </w:rPr>
        <w:t>fisio</w:t>
      </w:r>
      <w:r w:rsidR="0095052E" w:rsidRPr="00F62FC9">
        <w:rPr>
          <w:rFonts w:ascii="Calibri" w:hAnsi="Calibri" w:cs="Calibri"/>
          <w:sz w:val="24"/>
          <w:szCs w:val="24"/>
        </w:rPr>
        <w:t>patologicas</w:t>
      </w:r>
      <w:r w:rsidRPr="00F62FC9">
        <w:rPr>
          <w:rFonts w:ascii="Calibri" w:hAnsi="Calibri" w:cs="Calibri"/>
          <w:sz w:val="24"/>
          <w:szCs w:val="24"/>
        </w:rPr>
        <w:t>, a</w:t>
      </w:r>
      <w:r w:rsidR="00744ABD" w:rsidRPr="00F62FC9">
        <w:rPr>
          <w:rFonts w:ascii="Calibri" w:hAnsi="Calibri" w:cs="Calibri"/>
          <w:sz w:val="24"/>
          <w:szCs w:val="24"/>
        </w:rPr>
        <w:t xml:space="preserve"> </w:t>
      </w:r>
      <w:r w:rsidR="008758C0" w:rsidRPr="00F62FC9">
        <w:rPr>
          <w:rFonts w:ascii="Calibri" w:hAnsi="Calibri" w:cs="Calibri"/>
          <w:sz w:val="24"/>
          <w:szCs w:val="24"/>
        </w:rPr>
        <w:t xml:space="preserve">apresentação </w:t>
      </w:r>
      <w:r w:rsidR="00744ABD" w:rsidRPr="00F62FC9">
        <w:rPr>
          <w:rFonts w:ascii="Calibri" w:hAnsi="Calibri" w:cs="Calibri"/>
          <w:sz w:val="24"/>
          <w:szCs w:val="24"/>
        </w:rPr>
        <w:t xml:space="preserve">clínica </w:t>
      </w:r>
      <w:r w:rsidR="008A706B" w:rsidRPr="00F62FC9">
        <w:rPr>
          <w:rFonts w:ascii="Calibri" w:hAnsi="Calibri" w:cs="Calibri"/>
          <w:sz w:val="24"/>
          <w:szCs w:val="24"/>
        </w:rPr>
        <w:t>associada à EH</w:t>
      </w:r>
      <w:r w:rsidR="00BA178B" w:rsidRPr="00F62FC9">
        <w:rPr>
          <w:rFonts w:ascii="Calibri" w:hAnsi="Calibri" w:cs="Calibri"/>
          <w:sz w:val="24"/>
          <w:szCs w:val="24"/>
        </w:rPr>
        <w:t xml:space="preserve"> possui alguns traços comuns. O quadro típico de EH em DHA</w:t>
      </w:r>
      <w:r w:rsidR="0070593A" w:rsidRPr="00F62FC9">
        <w:rPr>
          <w:rFonts w:ascii="Calibri" w:hAnsi="Calibri" w:cs="Calibri"/>
          <w:sz w:val="24"/>
          <w:szCs w:val="24"/>
        </w:rPr>
        <w:t xml:space="preserve"> </w:t>
      </w:r>
      <w:r w:rsidR="008758C0" w:rsidRPr="00F62FC9">
        <w:rPr>
          <w:rFonts w:ascii="Calibri" w:hAnsi="Calibri" w:cs="Calibri"/>
          <w:sz w:val="24"/>
          <w:szCs w:val="24"/>
        </w:rPr>
        <w:t xml:space="preserve">é </w:t>
      </w:r>
      <w:r w:rsidR="00BA178B" w:rsidRPr="00F62FC9">
        <w:rPr>
          <w:rFonts w:ascii="Calibri" w:hAnsi="Calibri" w:cs="Calibri"/>
          <w:sz w:val="24"/>
          <w:szCs w:val="24"/>
        </w:rPr>
        <w:t xml:space="preserve">visto </w:t>
      </w:r>
      <w:r w:rsidR="00B250B5" w:rsidRPr="00F62FC9">
        <w:rPr>
          <w:rFonts w:ascii="Calibri" w:hAnsi="Calibri" w:cs="Calibri"/>
          <w:sz w:val="24"/>
          <w:szCs w:val="24"/>
        </w:rPr>
        <w:t>em pacientes com falência múltipla de órgãos</w:t>
      </w:r>
      <w:r w:rsidR="00CF6494" w:rsidRPr="00F62FC9">
        <w:rPr>
          <w:rFonts w:ascii="Calibri" w:hAnsi="Calibri" w:cs="Calibri"/>
          <w:sz w:val="24"/>
          <w:szCs w:val="24"/>
        </w:rPr>
        <w:t>, choque ou parada cardíaca. Esses pacientes</w:t>
      </w:r>
      <w:r w:rsidR="004112DB" w:rsidRPr="00F62FC9">
        <w:rPr>
          <w:rFonts w:ascii="Calibri" w:hAnsi="Calibri" w:cs="Calibri"/>
          <w:sz w:val="24"/>
          <w:szCs w:val="24"/>
        </w:rPr>
        <w:t xml:space="preserve"> normalmente vão para a unidade de tratamento intensivo (UTI), precisam de via aérea definitiva</w:t>
      </w:r>
      <w:r w:rsidR="001B6516" w:rsidRPr="00F62FC9">
        <w:rPr>
          <w:rFonts w:ascii="Calibri" w:hAnsi="Calibri" w:cs="Calibri"/>
          <w:sz w:val="24"/>
          <w:szCs w:val="24"/>
        </w:rPr>
        <w:t xml:space="preserve"> </w:t>
      </w:r>
      <w:r w:rsidR="007B63D9" w:rsidRPr="00F62FC9">
        <w:rPr>
          <w:rFonts w:ascii="Calibri" w:hAnsi="Calibri" w:cs="Calibri"/>
          <w:sz w:val="24"/>
          <w:szCs w:val="24"/>
        </w:rPr>
        <w:t xml:space="preserve">(VAD) </w:t>
      </w:r>
      <w:r w:rsidR="00827637" w:rsidRPr="00F62FC9">
        <w:rPr>
          <w:rFonts w:ascii="Calibri" w:hAnsi="Calibri" w:cs="Calibri"/>
          <w:sz w:val="24"/>
          <w:szCs w:val="24"/>
        </w:rPr>
        <w:t>com ventilação mecânica</w:t>
      </w:r>
      <w:r w:rsidR="005163AE" w:rsidRPr="00F62FC9">
        <w:rPr>
          <w:rFonts w:ascii="Calibri" w:hAnsi="Calibri" w:cs="Calibri"/>
          <w:sz w:val="24"/>
          <w:szCs w:val="24"/>
        </w:rPr>
        <w:t xml:space="preserve"> e apresentam </w:t>
      </w:r>
      <w:r w:rsidR="00827637" w:rsidRPr="00F62FC9">
        <w:rPr>
          <w:rFonts w:ascii="Calibri" w:hAnsi="Calibri" w:cs="Calibri"/>
          <w:sz w:val="24"/>
          <w:szCs w:val="24"/>
        </w:rPr>
        <w:t>sepse</w:t>
      </w:r>
      <w:r w:rsidR="00583C4D" w:rsidRPr="00F62FC9">
        <w:rPr>
          <w:rFonts w:ascii="Calibri" w:hAnsi="Calibri" w:cs="Calibri"/>
          <w:sz w:val="24"/>
          <w:szCs w:val="24"/>
        </w:rPr>
        <w:t xml:space="preserve">, hipotensão severa e piora da EH. Em relação </w:t>
      </w:r>
      <w:r w:rsidR="00ED6A19" w:rsidRPr="00F62FC9">
        <w:rPr>
          <w:rFonts w:ascii="Calibri" w:hAnsi="Calibri" w:cs="Calibri"/>
          <w:sz w:val="24"/>
          <w:szCs w:val="24"/>
        </w:rPr>
        <w:t>exclusivamente ao aspecto neurológico da EH</w:t>
      </w:r>
      <w:r w:rsidR="00583C4D" w:rsidRPr="00F62FC9">
        <w:rPr>
          <w:rFonts w:ascii="Calibri" w:hAnsi="Calibri" w:cs="Calibri"/>
          <w:sz w:val="24"/>
          <w:szCs w:val="24"/>
        </w:rPr>
        <w:t>, apatia é um sinal</w:t>
      </w:r>
      <w:r w:rsidR="00706AC0" w:rsidRPr="00F62FC9">
        <w:rPr>
          <w:rFonts w:ascii="Calibri" w:hAnsi="Calibri" w:cs="Calibri"/>
          <w:sz w:val="24"/>
          <w:szCs w:val="24"/>
        </w:rPr>
        <w:t xml:space="preserve"> precoce, seguido de </w:t>
      </w:r>
      <w:r w:rsidR="00114F9D" w:rsidRPr="00F62FC9">
        <w:rPr>
          <w:rFonts w:ascii="Calibri" w:hAnsi="Calibri" w:cs="Calibri"/>
          <w:sz w:val="24"/>
          <w:szCs w:val="24"/>
        </w:rPr>
        <w:t xml:space="preserve">hipersonia e confusão mental. </w:t>
      </w:r>
      <w:r w:rsidR="003F4FDC" w:rsidRPr="00F62FC9">
        <w:rPr>
          <w:rFonts w:ascii="Calibri" w:hAnsi="Calibri" w:cs="Calibri"/>
          <w:sz w:val="24"/>
          <w:szCs w:val="24"/>
        </w:rPr>
        <w:t>Pacientes podem apresentar</w:t>
      </w:r>
      <w:r w:rsidR="00974150" w:rsidRPr="00F62FC9">
        <w:rPr>
          <w:rFonts w:ascii="Calibri" w:hAnsi="Calibri" w:cs="Calibri"/>
          <w:sz w:val="24"/>
          <w:szCs w:val="24"/>
        </w:rPr>
        <w:t xml:space="preserve"> delírio, euforia/mania, </w:t>
      </w:r>
      <w:r w:rsidR="00BA225A" w:rsidRPr="00F62FC9">
        <w:rPr>
          <w:rFonts w:ascii="Calibri" w:hAnsi="Calibri" w:cs="Calibri"/>
          <w:sz w:val="24"/>
          <w:szCs w:val="24"/>
        </w:rPr>
        <w:t>desorientação espacial</w:t>
      </w:r>
      <w:r w:rsidR="00F0373E" w:rsidRPr="00F62FC9">
        <w:rPr>
          <w:rFonts w:ascii="Calibri" w:hAnsi="Calibri" w:cs="Calibri"/>
          <w:sz w:val="24"/>
          <w:szCs w:val="24"/>
        </w:rPr>
        <w:t xml:space="preserve">, cognição afetada e perda de memória </w:t>
      </w:r>
      <w:r w:rsidR="00327A9E" w:rsidRPr="00F62FC9">
        <w:rPr>
          <w:rFonts w:ascii="Calibri" w:hAnsi="Calibri" w:cs="Calibri"/>
          <w:sz w:val="24"/>
          <w:szCs w:val="24"/>
        </w:rPr>
        <w:t xml:space="preserve">de curto prazo. </w:t>
      </w:r>
      <w:r w:rsidR="00BE084F" w:rsidRPr="00F62FC9">
        <w:rPr>
          <w:rFonts w:ascii="Calibri" w:hAnsi="Calibri" w:cs="Calibri"/>
          <w:sz w:val="24"/>
          <w:szCs w:val="24"/>
        </w:rPr>
        <w:t xml:space="preserve">Pode haver </w:t>
      </w:r>
      <w:r w:rsidR="00DA4713" w:rsidRPr="00F62FC9">
        <w:rPr>
          <w:rFonts w:ascii="Calibri" w:hAnsi="Calibri" w:cs="Calibri"/>
          <w:sz w:val="24"/>
          <w:szCs w:val="24"/>
        </w:rPr>
        <w:t xml:space="preserve">hipertonia muscular com </w:t>
      </w:r>
      <w:r w:rsidR="00BE084F" w:rsidRPr="00F62FC9">
        <w:rPr>
          <w:rFonts w:ascii="Calibri" w:hAnsi="Calibri" w:cs="Calibri"/>
          <w:sz w:val="24"/>
          <w:szCs w:val="24"/>
        </w:rPr>
        <w:t>mioclonia</w:t>
      </w:r>
      <w:r w:rsidR="00DA4713" w:rsidRPr="00F62FC9">
        <w:rPr>
          <w:rFonts w:ascii="Calibri" w:hAnsi="Calibri" w:cs="Calibri"/>
          <w:sz w:val="24"/>
          <w:szCs w:val="24"/>
        </w:rPr>
        <w:t xml:space="preserve">, reflexos tendíneos </w:t>
      </w:r>
      <w:r w:rsidR="0017530A" w:rsidRPr="00F62FC9">
        <w:rPr>
          <w:rFonts w:ascii="Calibri" w:hAnsi="Calibri" w:cs="Calibri"/>
          <w:sz w:val="24"/>
          <w:szCs w:val="24"/>
        </w:rPr>
        <w:t>exagerados e Sinal de Babinsky</w:t>
      </w:r>
      <w:r w:rsidR="0059498E" w:rsidRPr="00F62FC9">
        <w:rPr>
          <w:rFonts w:ascii="Calibri" w:hAnsi="Calibri" w:cs="Calibri"/>
          <w:sz w:val="24"/>
          <w:szCs w:val="24"/>
        </w:rPr>
        <w:t>.</w:t>
      </w:r>
      <w:r w:rsidR="00BE084F" w:rsidRPr="00F62FC9">
        <w:rPr>
          <w:rFonts w:ascii="Calibri" w:hAnsi="Calibri" w:cs="Calibri"/>
          <w:sz w:val="24"/>
          <w:szCs w:val="24"/>
        </w:rPr>
        <w:t xml:space="preserve"> </w:t>
      </w:r>
      <w:r w:rsidR="0059498E" w:rsidRPr="00F62FC9">
        <w:rPr>
          <w:rFonts w:ascii="Calibri" w:hAnsi="Calibri" w:cs="Calibri"/>
          <w:sz w:val="24"/>
          <w:szCs w:val="24"/>
        </w:rPr>
        <w:t>A</w:t>
      </w:r>
      <w:r w:rsidR="00BE084F" w:rsidRPr="00F62FC9">
        <w:rPr>
          <w:rFonts w:ascii="Calibri" w:hAnsi="Calibri" w:cs="Calibri"/>
          <w:sz w:val="24"/>
          <w:szCs w:val="24"/>
        </w:rPr>
        <w:t>sterix (</w:t>
      </w:r>
      <w:r w:rsidR="00BE084F" w:rsidRPr="00F62FC9">
        <w:rPr>
          <w:rFonts w:ascii="Calibri" w:hAnsi="Calibri" w:cs="Calibri"/>
          <w:i/>
          <w:iCs/>
          <w:sz w:val="24"/>
          <w:szCs w:val="24"/>
        </w:rPr>
        <w:t>flapping</w:t>
      </w:r>
      <w:r w:rsidR="00BE084F" w:rsidRPr="00F62FC9">
        <w:rPr>
          <w:rFonts w:ascii="Calibri" w:hAnsi="Calibri" w:cs="Calibri"/>
          <w:sz w:val="24"/>
          <w:szCs w:val="24"/>
        </w:rPr>
        <w:t>) é mais recorrente nos casos de DHC.</w:t>
      </w:r>
      <w:r w:rsidR="00253903" w:rsidRPr="00F62FC9">
        <w:rPr>
          <w:rFonts w:ascii="Calibri" w:hAnsi="Calibri" w:cs="Calibri"/>
          <w:sz w:val="24"/>
          <w:szCs w:val="24"/>
        </w:rPr>
        <w:t xml:space="preserve"> A</w:t>
      </w:r>
      <w:r w:rsidR="00E62ADA" w:rsidRPr="00F62FC9">
        <w:rPr>
          <w:rFonts w:ascii="Calibri" w:hAnsi="Calibri" w:cs="Calibri"/>
          <w:sz w:val="24"/>
          <w:szCs w:val="24"/>
        </w:rPr>
        <w:t>lteraç</w:t>
      </w:r>
      <w:r w:rsidR="0017530A" w:rsidRPr="00F62FC9">
        <w:rPr>
          <w:rFonts w:ascii="Calibri" w:hAnsi="Calibri" w:cs="Calibri"/>
          <w:sz w:val="24"/>
          <w:szCs w:val="24"/>
        </w:rPr>
        <w:t xml:space="preserve">ões </w:t>
      </w:r>
      <w:r w:rsidR="00E62ADA" w:rsidRPr="00F62FC9">
        <w:rPr>
          <w:rFonts w:ascii="Calibri" w:hAnsi="Calibri" w:cs="Calibri"/>
          <w:sz w:val="24"/>
          <w:szCs w:val="24"/>
        </w:rPr>
        <w:t>nas</w:t>
      </w:r>
      <w:r w:rsidR="001B5DF8" w:rsidRPr="00F62FC9">
        <w:rPr>
          <w:rFonts w:ascii="Calibri" w:hAnsi="Calibri" w:cs="Calibri"/>
          <w:sz w:val="24"/>
          <w:szCs w:val="24"/>
        </w:rPr>
        <w:t xml:space="preserve"> reações pupilares </w:t>
      </w:r>
      <w:r w:rsidR="00E62ADA" w:rsidRPr="00F62FC9">
        <w:rPr>
          <w:rFonts w:ascii="Calibri" w:hAnsi="Calibri" w:cs="Calibri"/>
          <w:sz w:val="24"/>
          <w:szCs w:val="24"/>
        </w:rPr>
        <w:t>são raras.</w:t>
      </w:r>
      <w:r w:rsidR="00A06DC0" w:rsidRPr="00F62FC9">
        <w:rPr>
          <w:rFonts w:ascii="Calibri" w:hAnsi="Calibri" w:cs="Calibri"/>
          <w:sz w:val="24"/>
          <w:szCs w:val="24"/>
        </w:rPr>
        <w:t xml:space="preserve"> </w:t>
      </w:r>
      <w:r w:rsidR="0007463A" w:rsidRPr="00F62FC9">
        <w:rPr>
          <w:rFonts w:ascii="Calibri" w:hAnsi="Calibri" w:cs="Calibri"/>
          <w:sz w:val="24"/>
          <w:szCs w:val="24"/>
        </w:rPr>
        <w:t xml:space="preserve">Com </w:t>
      </w:r>
      <w:r w:rsidR="00572DF1" w:rsidRPr="00F62FC9">
        <w:rPr>
          <w:rFonts w:ascii="Calibri" w:hAnsi="Calibri" w:cs="Calibri"/>
          <w:sz w:val="24"/>
          <w:szCs w:val="24"/>
        </w:rPr>
        <w:t xml:space="preserve">um </w:t>
      </w:r>
      <w:r w:rsidR="00860F9B" w:rsidRPr="00F62FC9">
        <w:rPr>
          <w:rFonts w:ascii="Calibri" w:hAnsi="Calibri" w:cs="Calibri"/>
          <w:sz w:val="24"/>
          <w:szCs w:val="24"/>
        </w:rPr>
        <w:t>reflexo pontino ou mesencefálico afetado</w:t>
      </w:r>
      <w:r w:rsidR="0007463A" w:rsidRPr="00F62FC9">
        <w:rPr>
          <w:rFonts w:ascii="Calibri" w:hAnsi="Calibri" w:cs="Calibri"/>
          <w:sz w:val="24"/>
          <w:szCs w:val="24"/>
        </w:rPr>
        <w:t>,</w:t>
      </w:r>
      <w:r w:rsidR="00A339BD" w:rsidRPr="00F62FC9">
        <w:rPr>
          <w:rFonts w:ascii="Calibri" w:hAnsi="Calibri" w:cs="Calibri"/>
          <w:sz w:val="24"/>
          <w:szCs w:val="24"/>
        </w:rPr>
        <w:t xml:space="preserve"> pode-se suspeitar de edema cerebra</w:t>
      </w:r>
      <w:r w:rsidR="001A63BB" w:rsidRPr="00F62FC9">
        <w:rPr>
          <w:rFonts w:ascii="Calibri" w:hAnsi="Calibri" w:cs="Calibri"/>
          <w:sz w:val="24"/>
          <w:szCs w:val="24"/>
        </w:rPr>
        <w:t xml:space="preserve">l. A Tríade de Cushing – hipertensão sistêmica, bradicardia </w:t>
      </w:r>
      <w:r w:rsidR="00C13553" w:rsidRPr="00F62FC9">
        <w:rPr>
          <w:rFonts w:ascii="Calibri" w:hAnsi="Calibri" w:cs="Calibri"/>
          <w:sz w:val="24"/>
          <w:szCs w:val="24"/>
        </w:rPr>
        <w:t xml:space="preserve">e alterações no ritmo respiratório – também pode servir de auxiliar para detecção de </w:t>
      </w:r>
      <w:r w:rsidR="00D35600" w:rsidRPr="00F62FC9">
        <w:rPr>
          <w:rFonts w:ascii="Calibri" w:hAnsi="Calibri" w:cs="Calibri"/>
          <w:sz w:val="24"/>
          <w:szCs w:val="24"/>
        </w:rPr>
        <w:t xml:space="preserve">aumento na pressão intracraniana (PIC). </w:t>
      </w:r>
      <w:r w:rsidR="00205DB5" w:rsidRPr="00F62FC9">
        <w:rPr>
          <w:rFonts w:ascii="Calibri" w:hAnsi="Calibri" w:cs="Calibri"/>
          <w:sz w:val="24"/>
          <w:szCs w:val="24"/>
        </w:rPr>
        <w:t xml:space="preserve">Assim, em linhas gerais, </w:t>
      </w:r>
      <w:r w:rsidR="00813C86" w:rsidRPr="00F62FC9">
        <w:rPr>
          <w:rFonts w:ascii="Calibri" w:hAnsi="Calibri" w:cs="Calibri"/>
          <w:sz w:val="24"/>
          <w:szCs w:val="24"/>
        </w:rPr>
        <w:t>conforme há uma piora n</w:t>
      </w:r>
      <w:r w:rsidR="000D4252" w:rsidRPr="00F62FC9">
        <w:rPr>
          <w:rFonts w:ascii="Calibri" w:hAnsi="Calibri" w:cs="Calibri"/>
          <w:sz w:val="24"/>
          <w:szCs w:val="24"/>
        </w:rPr>
        <w:t xml:space="preserve">a falência hepática, há </w:t>
      </w:r>
      <w:r w:rsidR="00813C86" w:rsidRPr="00F62FC9">
        <w:rPr>
          <w:rFonts w:ascii="Calibri" w:hAnsi="Calibri" w:cs="Calibri"/>
          <w:sz w:val="24"/>
          <w:szCs w:val="24"/>
        </w:rPr>
        <w:t xml:space="preserve">queda </w:t>
      </w:r>
      <w:r w:rsidR="000D4252" w:rsidRPr="00F62FC9">
        <w:rPr>
          <w:rFonts w:ascii="Calibri" w:hAnsi="Calibri" w:cs="Calibri"/>
          <w:sz w:val="24"/>
          <w:szCs w:val="24"/>
        </w:rPr>
        <w:t xml:space="preserve">proporcional </w:t>
      </w:r>
      <w:r w:rsidR="00813C86" w:rsidRPr="00F62FC9">
        <w:rPr>
          <w:rFonts w:ascii="Calibri" w:hAnsi="Calibri" w:cs="Calibri"/>
          <w:sz w:val="24"/>
          <w:szCs w:val="24"/>
        </w:rPr>
        <w:t xml:space="preserve">no nível de consciência, </w:t>
      </w:r>
      <w:r w:rsidR="000D4252" w:rsidRPr="00F62FC9">
        <w:rPr>
          <w:rFonts w:ascii="Calibri" w:hAnsi="Calibri" w:cs="Calibri"/>
          <w:sz w:val="24"/>
          <w:szCs w:val="24"/>
        </w:rPr>
        <w:t>podendo evoluir ao coma</w:t>
      </w:r>
      <w:r w:rsidR="00860F9B" w:rsidRPr="00F62FC9">
        <w:rPr>
          <w:rFonts w:ascii="Calibri" w:hAnsi="Calibri" w:cs="Calibri"/>
          <w:sz w:val="24"/>
          <w:szCs w:val="24"/>
        </w:rPr>
        <w:t xml:space="preserve"> </w:t>
      </w:r>
      <w:r w:rsidR="00860F9B" w:rsidRPr="00F62FC9">
        <w:rPr>
          <w:rFonts w:ascii="Calibri" w:hAnsi="Calibri" w:cs="Calibri"/>
          <w:sz w:val="24"/>
          <w:szCs w:val="24"/>
        </w:rPr>
        <w:fldChar w:fldCharType="begin" w:fldLock="1"/>
      </w:r>
      <w:r w:rsidR="003B280C" w:rsidRPr="00F62FC9">
        <w:rPr>
          <w:rFonts w:ascii="Calibri" w:hAnsi="Calibri" w:cs="Calibri"/>
          <w:sz w:val="24"/>
          <w:szCs w:val="24"/>
        </w:rPr>
        <w:instrText>ADDIN CSL_CITATION {"citationItems":[{"id":"ITEM-1","itemData":{"DOI":"10.1016/B978-0-7020-4087-0.00044-9","ISSN":"00729752","PMID":"24365344","abstract":"Fulminant hepatic failure presents with a hepatic encephalopathy and may progress to coma and often brain death from cerebral edema. This natural progression in severe cases contributes to early mortality, but outcome can be good if liver transplantation is appropriately timed and increased intracranial pressure (ICP) is managed. Neurologists and neurosurgeons have become more involved in these very challenging patients and are often asked to rapidly identify patients who are at risk of cerebral edema, to carefully select the patient population who will benefit from invasive ICP monitoring, to judge the correct time to start monitoring, to participate in treatment of cerebral edema, and to manage complications such as intracranial hemorrhage or seizures. This chapter summarizes the current multidisciplinary approach to fulminant hepatic failure and how to best bridge patients to emergency liver transplantation. © 2014 Elsevier B.V.","author":[{"dropping-particle":"","family":"Datar","given":"Sudhir","non-dropping-particle":"","parse-names":false,"suffix":""},{"dropping-particle":"","family":"Wijdicks","given":"Eelco F.M.","non-dropping-particle":"","parse-names":false,"suffix":""}],"container-title":"Handbook of Clinical Neurology","edition":"1","id":"ITEM-1","issued":{"date-parts":[["2014"]]},"page":"645-659","publisher":"Elsevier B.V.","title":"Neurologic manifestations of acute liver failure","type":"chapter","volume":"120"},"uris":["http://www.mendeley.com/documents/?uuid=7538d626-0023-4688-bf67-60bfc2a1e3a6"]}],"mendeley":{"formattedCitation":"(3)","plainTextFormattedCitation":"(3)","previouslyFormattedCitation":"(Datar and Wijdicks 2014)"},"properties":{"noteIndex":0},"schema":"https://github.com/citation-style-language/schema/raw/master/csl-citation.json"}</w:instrText>
      </w:r>
      <w:r w:rsidR="00860F9B" w:rsidRPr="00F62FC9">
        <w:rPr>
          <w:rFonts w:ascii="Calibri" w:hAnsi="Calibri" w:cs="Calibri"/>
          <w:sz w:val="24"/>
          <w:szCs w:val="24"/>
        </w:rPr>
        <w:fldChar w:fldCharType="separate"/>
      </w:r>
      <w:r w:rsidR="003B280C" w:rsidRPr="00F62FC9">
        <w:rPr>
          <w:rFonts w:ascii="Calibri" w:hAnsi="Calibri" w:cs="Calibri"/>
          <w:noProof/>
          <w:sz w:val="24"/>
          <w:szCs w:val="24"/>
        </w:rPr>
        <w:t>(3)</w:t>
      </w:r>
      <w:r w:rsidR="00860F9B" w:rsidRPr="00F62FC9">
        <w:rPr>
          <w:rFonts w:ascii="Calibri" w:hAnsi="Calibri" w:cs="Calibri"/>
          <w:sz w:val="24"/>
          <w:szCs w:val="24"/>
        </w:rPr>
        <w:fldChar w:fldCharType="end"/>
      </w:r>
      <w:r w:rsidR="000D4252" w:rsidRPr="00F62FC9">
        <w:rPr>
          <w:rFonts w:ascii="Calibri" w:hAnsi="Calibri" w:cs="Calibri"/>
          <w:sz w:val="24"/>
          <w:szCs w:val="24"/>
        </w:rPr>
        <w:t>.</w:t>
      </w:r>
    </w:p>
    <w:p w14:paraId="6E709C87" w14:textId="3ABCDCCE" w:rsidR="00F765EC" w:rsidRPr="00F62FC9" w:rsidRDefault="00FE2C2E" w:rsidP="001A4A75">
      <w:pPr>
        <w:ind w:firstLine="360"/>
        <w:jc w:val="both"/>
        <w:rPr>
          <w:rFonts w:ascii="Calibri" w:hAnsi="Calibri" w:cs="Calibri"/>
          <w:sz w:val="24"/>
          <w:szCs w:val="24"/>
        </w:rPr>
      </w:pPr>
      <w:r w:rsidRPr="00F62FC9">
        <w:rPr>
          <w:rFonts w:ascii="Calibri" w:hAnsi="Calibri" w:cs="Calibri"/>
          <w:sz w:val="24"/>
          <w:szCs w:val="24"/>
        </w:rPr>
        <w:t>Ademais</w:t>
      </w:r>
      <w:r w:rsidR="00547F91" w:rsidRPr="00F62FC9">
        <w:rPr>
          <w:rFonts w:ascii="Calibri" w:hAnsi="Calibri" w:cs="Calibri"/>
          <w:sz w:val="24"/>
          <w:szCs w:val="24"/>
        </w:rPr>
        <w:t>,</w:t>
      </w:r>
      <w:r w:rsidRPr="00F62FC9">
        <w:rPr>
          <w:rFonts w:ascii="Calibri" w:hAnsi="Calibri" w:cs="Calibri"/>
          <w:sz w:val="24"/>
          <w:szCs w:val="24"/>
        </w:rPr>
        <w:t xml:space="preserve"> uma vez que</w:t>
      </w:r>
      <w:r w:rsidR="00547F91" w:rsidRPr="00F62FC9">
        <w:rPr>
          <w:rFonts w:ascii="Calibri" w:hAnsi="Calibri" w:cs="Calibri"/>
          <w:sz w:val="24"/>
          <w:szCs w:val="24"/>
        </w:rPr>
        <w:t xml:space="preserve"> o</w:t>
      </w:r>
      <w:r w:rsidR="000B20E2" w:rsidRPr="00F62FC9">
        <w:rPr>
          <w:rFonts w:ascii="Calibri" w:hAnsi="Calibri" w:cs="Calibri"/>
          <w:sz w:val="24"/>
          <w:szCs w:val="24"/>
        </w:rPr>
        <w:t xml:space="preserve"> quadro</w:t>
      </w:r>
      <w:r w:rsidR="00A8318F" w:rsidRPr="00F62FC9">
        <w:rPr>
          <w:rFonts w:ascii="Calibri" w:hAnsi="Calibri" w:cs="Calibri"/>
          <w:sz w:val="24"/>
          <w:szCs w:val="24"/>
        </w:rPr>
        <w:t xml:space="preserve"> clínico</w:t>
      </w:r>
      <w:r w:rsidR="000B20E2" w:rsidRPr="00F62FC9">
        <w:rPr>
          <w:rFonts w:ascii="Calibri" w:hAnsi="Calibri" w:cs="Calibri"/>
          <w:sz w:val="24"/>
          <w:szCs w:val="24"/>
        </w:rPr>
        <w:t xml:space="preserve"> de EH é de uma apresentação bastante diversa, </w:t>
      </w:r>
      <w:r w:rsidR="0000009A" w:rsidRPr="00F62FC9">
        <w:rPr>
          <w:rFonts w:ascii="Calibri" w:hAnsi="Calibri" w:cs="Calibri"/>
          <w:sz w:val="24"/>
          <w:szCs w:val="24"/>
        </w:rPr>
        <w:t xml:space="preserve">o </w:t>
      </w:r>
      <w:r w:rsidR="00D75182" w:rsidRPr="00F62FC9">
        <w:rPr>
          <w:rFonts w:ascii="Calibri" w:hAnsi="Calibri" w:cs="Calibri"/>
          <w:sz w:val="24"/>
          <w:szCs w:val="24"/>
        </w:rPr>
        <w:t>c</w:t>
      </w:r>
      <w:r w:rsidR="000B20E2" w:rsidRPr="00F62FC9">
        <w:rPr>
          <w:rFonts w:ascii="Calibri" w:hAnsi="Calibri" w:cs="Calibri"/>
          <w:sz w:val="24"/>
          <w:szCs w:val="24"/>
        </w:rPr>
        <w:t>ritério de West</w:t>
      </w:r>
      <w:r w:rsidR="00D75182" w:rsidRPr="00F62FC9">
        <w:rPr>
          <w:rFonts w:ascii="Calibri" w:hAnsi="Calibri" w:cs="Calibri"/>
          <w:sz w:val="24"/>
          <w:szCs w:val="24"/>
        </w:rPr>
        <w:t>-</w:t>
      </w:r>
      <w:r w:rsidR="000B20E2" w:rsidRPr="00F62FC9">
        <w:rPr>
          <w:rFonts w:ascii="Calibri" w:hAnsi="Calibri" w:cs="Calibri"/>
          <w:sz w:val="24"/>
          <w:szCs w:val="24"/>
        </w:rPr>
        <w:t>Haven</w:t>
      </w:r>
      <w:r w:rsidR="003E3D15" w:rsidRPr="00F62FC9">
        <w:rPr>
          <w:rFonts w:ascii="Calibri" w:hAnsi="Calibri" w:cs="Calibri"/>
          <w:sz w:val="24"/>
          <w:szCs w:val="24"/>
        </w:rPr>
        <w:t xml:space="preserve"> (CWH)</w:t>
      </w:r>
      <w:r w:rsidR="000B20E2" w:rsidRPr="00F62FC9">
        <w:rPr>
          <w:rFonts w:ascii="Calibri" w:hAnsi="Calibri" w:cs="Calibri"/>
          <w:sz w:val="24"/>
          <w:szCs w:val="24"/>
        </w:rPr>
        <w:t xml:space="preserve"> para </w:t>
      </w:r>
      <w:r w:rsidR="00D75182" w:rsidRPr="00F62FC9">
        <w:rPr>
          <w:rFonts w:ascii="Calibri" w:hAnsi="Calibri" w:cs="Calibri"/>
          <w:sz w:val="24"/>
          <w:szCs w:val="24"/>
        </w:rPr>
        <w:t xml:space="preserve">avaliação de </w:t>
      </w:r>
      <w:r w:rsidR="000B20E2" w:rsidRPr="00F62FC9">
        <w:rPr>
          <w:rFonts w:ascii="Calibri" w:hAnsi="Calibri" w:cs="Calibri"/>
          <w:sz w:val="24"/>
          <w:szCs w:val="24"/>
        </w:rPr>
        <w:t xml:space="preserve">estado mental </w:t>
      </w:r>
      <w:r w:rsidR="00D75182" w:rsidRPr="00F62FC9">
        <w:rPr>
          <w:rFonts w:ascii="Calibri" w:hAnsi="Calibri" w:cs="Calibri"/>
          <w:sz w:val="24"/>
          <w:szCs w:val="24"/>
        </w:rPr>
        <w:t>busc</w:t>
      </w:r>
      <w:r w:rsidRPr="00F62FC9">
        <w:rPr>
          <w:rFonts w:ascii="Calibri" w:hAnsi="Calibri" w:cs="Calibri"/>
          <w:sz w:val="24"/>
          <w:szCs w:val="24"/>
        </w:rPr>
        <w:t>ou</w:t>
      </w:r>
      <w:r w:rsidR="007B1D14" w:rsidRPr="00F62FC9">
        <w:rPr>
          <w:rFonts w:ascii="Calibri" w:hAnsi="Calibri" w:cs="Calibri"/>
          <w:sz w:val="24"/>
          <w:szCs w:val="24"/>
        </w:rPr>
        <w:t xml:space="preserve"> </w:t>
      </w:r>
      <w:r w:rsidR="001329F4" w:rsidRPr="00F62FC9">
        <w:rPr>
          <w:rFonts w:ascii="Calibri" w:hAnsi="Calibri" w:cs="Calibri"/>
          <w:sz w:val="24"/>
          <w:szCs w:val="24"/>
        </w:rPr>
        <w:t>compilar essa variedade</w:t>
      </w:r>
      <w:r w:rsidR="007B1D14" w:rsidRPr="00F62FC9">
        <w:rPr>
          <w:rFonts w:ascii="Calibri" w:hAnsi="Calibri" w:cs="Calibri"/>
          <w:sz w:val="24"/>
          <w:szCs w:val="24"/>
        </w:rPr>
        <w:t>: s</w:t>
      </w:r>
      <w:r w:rsidR="000B38DC" w:rsidRPr="00F62FC9">
        <w:rPr>
          <w:rFonts w:ascii="Calibri" w:hAnsi="Calibri" w:cs="Calibri"/>
          <w:sz w:val="24"/>
          <w:szCs w:val="24"/>
        </w:rPr>
        <w:t>ão</w:t>
      </w:r>
      <w:r w:rsidR="001329F4" w:rsidRPr="00F62FC9">
        <w:rPr>
          <w:rFonts w:ascii="Calibri" w:hAnsi="Calibri" w:cs="Calibri"/>
          <w:sz w:val="24"/>
          <w:szCs w:val="24"/>
        </w:rPr>
        <w:t xml:space="preserve"> classificados como </w:t>
      </w:r>
      <w:r w:rsidR="000B38DC" w:rsidRPr="00F62FC9">
        <w:rPr>
          <w:rFonts w:ascii="Calibri" w:hAnsi="Calibri" w:cs="Calibri"/>
          <w:sz w:val="24"/>
          <w:szCs w:val="24"/>
        </w:rPr>
        <w:t xml:space="preserve">Grau 0 aqueles pacientes sem anormalidades; Grau 1, </w:t>
      </w:r>
      <w:r w:rsidR="002B0A0A" w:rsidRPr="00F62FC9">
        <w:rPr>
          <w:rFonts w:ascii="Calibri" w:hAnsi="Calibri" w:cs="Calibri"/>
          <w:sz w:val="24"/>
          <w:szCs w:val="24"/>
        </w:rPr>
        <w:t>pacientes que apresentam</w:t>
      </w:r>
      <w:r w:rsidR="00F34BA9" w:rsidRPr="00F62FC9">
        <w:rPr>
          <w:rFonts w:ascii="Calibri" w:hAnsi="Calibri" w:cs="Calibri"/>
          <w:sz w:val="24"/>
          <w:szCs w:val="24"/>
        </w:rPr>
        <w:t xml:space="preserve"> alteração do ciclo sono-vigília ou alterações do sono</w:t>
      </w:r>
      <w:r w:rsidR="00731E28" w:rsidRPr="00F62FC9">
        <w:rPr>
          <w:rFonts w:ascii="Calibri" w:hAnsi="Calibri" w:cs="Calibri"/>
          <w:sz w:val="24"/>
          <w:szCs w:val="24"/>
        </w:rPr>
        <w:t>, ou</w:t>
      </w:r>
      <w:r w:rsidR="00F34BA9" w:rsidRPr="00F62FC9">
        <w:rPr>
          <w:rFonts w:ascii="Calibri" w:hAnsi="Calibri" w:cs="Calibri"/>
          <w:sz w:val="24"/>
          <w:szCs w:val="24"/>
        </w:rPr>
        <w:t xml:space="preserve"> períodos breves de comprometimento da consciência</w:t>
      </w:r>
      <w:r w:rsidR="00731E28" w:rsidRPr="00F62FC9">
        <w:rPr>
          <w:rFonts w:ascii="Calibri" w:hAnsi="Calibri" w:cs="Calibri"/>
          <w:sz w:val="24"/>
          <w:szCs w:val="24"/>
        </w:rPr>
        <w:t>; Grau 2, pacientes com letargia ou apatia</w:t>
      </w:r>
      <w:r w:rsidR="001652F5" w:rsidRPr="00F62FC9">
        <w:rPr>
          <w:rFonts w:ascii="Calibri" w:hAnsi="Calibri" w:cs="Calibri"/>
          <w:sz w:val="24"/>
          <w:szCs w:val="24"/>
        </w:rPr>
        <w:t xml:space="preserve">, com </w:t>
      </w:r>
      <w:r w:rsidR="00731E28" w:rsidRPr="00F62FC9">
        <w:rPr>
          <w:rFonts w:ascii="Calibri" w:hAnsi="Calibri" w:cs="Calibri"/>
          <w:sz w:val="24"/>
          <w:szCs w:val="24"/>
        </w:rPr>
        <w:t>alteração de comportamento e fala lentificada</w:t>
      </w:r>
      <w:r w:rsidR="001652F5" w:rsidRPr="00F62FC9">
        <w:rPr>
          <w:rFonts w:ascii="Calibri" w:hAnsi="Calibri" w:cs="Calibri"/>
          <w:sz w:val="24"/>
          <w:szCs w:val="24"/>
        </w:rPr>
        <w:t>, e que ainda podem apresenta</w:t>
      </w:r>
      <w:r w:rsidR="005C6C5F" w:rsidRPr="00F62FC9">
        <w:rPr>
          <w:rFonts w:ascii="Calibri" w:hAnsi="Calibri" w:cs="Calibri"/>
          <w:sz w:val="24"/>
          <w:szCs w:val="24"/>
        </w:rPr>
        <w:t>r</w:t>
      </w:r>
      <w:r w:rsidR="00731E28" w:rsidRPr="00F62FC9">
        <w:rPr>
          <w:rFonts w:ascii="Calibri" w:hAnsi="Calibri" w:cs="Calibri"/>
          <w:sz w:val="24"/>
          <w:szCs w:val="24"/>
        </w:rPr>
        <w:t xml:space="preserve"> </w:t>
      </w:r>
      <w:r w:rsidR="00731E28" w:rsidRPr="00F62FC9">
        <w:rPr>
          <w:rFonts w:ascii="Calibri" w:hAnsi="Calibri" w:cs="Calibri"/>
          <w:i/>
          <w:iCs/>
          <w:sz w:val="24"/>
          <w:szCs w:val="24"/>
        </w:rPr>
        <w:t>flapping</w:t>
      </w:r>
      <w:r w:rsidR="001652F5" w:rsidRPr="00F62FC9">
        <w:rPr>
          <w:rFonts w:ascii="Calibri" w:hAnsi="Calibri" w:cs="Calibri"/>
          <w:sz w:val="24"/>
          <w:szCs w:val="24"/>
        </w:rPr>
        <w:t>; Grau 3</w:t>
      </w:r>
      <w:r w:rsidR="00345882" w:rsidRPr="00F62FC9">
        <w:rPr>
          <w:rFonts w:ascii="Calibri" w:hAnsi="Calibri" w:cs="Calibri"/>
          <w:sz w:val="24"/>
          <w:szCs w:val="24"/>
        </w:rPr>
        <w:t>, pacientes com  rebaixamento importante do nível de consciência e estupor; e, por fim, Grau 4</w:t>
      </w:r>
      <w:r w:rsidR="002D6FE7" w:rsidRPr="00F62FC9">
        <w:rPr>
          <w:rFonts w:ascii="Calibri" w:hAnsi="Calibri" w:cs="Calibri"/>
          <w:sz w:val="24"/>
          <w:szCs w:val="24"/>
        </w:rPr>
        <w:t>, indivíduos em coma</w:t>
      </w:r>
      <w:r w:rsidR="00007C45" w:rsidRPr="00F62FC9">
        <w:rPr>
          <w:rFonts w:ascii="Calibri" w:hAnsi="Calibri" w:cs="Calibri"/>
          <w:sz w:val="24"/>
          <w:szCs w:val="24"/>
        </w:rPr>
        <w:t xml:space="preserve"> </w:t>
      </w:r>
      <w:r w:rsidR="00217521" w:rsidRPr="00F62FC9">
        <w:rPr>
          <w:rFonts w:ascii="Calibri" w:hAnsi="Calibri" w:cs="Calibri"/>
          <w:sz w:val="24"/>
          <w:szCs w:val="24"/>
        </w:rPr>
        <w:fldChar w:fldCharType="begin" w:fldLock="1"/>
      </w:r>
      <w:r w:rsidR="003B280C" w:rsidRPr="00F62FC9">
        <w:rPr>
          <w:rFonts w:ascii="Calibri" w:hAnsi="Calibri" w:cs="Calibri"/>
          <w:sz w:val="24"/>
          <w:szCs w:val="24"/>
        </w:rPr>
        <w:instrText>ADDIN CSL_CITATION {"citationItems":[{"id":"ITEM-1","itemData":{"DOI":"10.1053/jhep.2002.31250","ISSN":"02709139","PMID":"11870389","abstract":"Research on hepatic encephalopathy is hampered by the imprecise definition of this disabling complication of liver disease. Under this light, the Organisation Mondiale de Gastroentérologie commissioned a Working Party to reach a consensus in this area and to present it at the 11th World Congress of Gastroenterology in Vienna (1998). The Working Party continued its work thereafter and now present their final report. In summary, the Working Party has suggested a modification of current nomenclature for clinical diagnosis of hepatic encephalopathy; proposed guidelines for the performance of future clinical trials in hepatic encephalopathy; and felt the need for a large study to redefine neuropsychiatric abnormalities in liver disease, which would allow the diagnosis of minimal (subclinical) encephalopathy to be made on firm statistical grounds. In the interim, it proposes the use of a psychometric hepatic encephalopathy score, based on the result of 5 neuropsychologic tests. Finally, the need for a careful evaluation of the newer neuroimaging modalities for the diagnosis of hepatic encephalopathy was stressed.","author":[{"dropping-particle":"","family":"Ferenci","given":"Peter","non-dropping-particle":"","parse-names":false,"suffix":""},{"dropping-particle":"","family":"Lockwood","given":"Alan","non-dropping-particle":"","parse-names":false,"suffix":""},{"dropping-particle":"","family":"Mullen","given":"Kevin","non-dropping-particle":"","parse-names":false,"suffix":""},{"dropping-particle":"","family":"Tarter","given":"Ralph","non-dropping-particle":"","parse-names":false,"suffix":""},{"dropping-particle":"","family":"Weissenborn","given":"Karin","non-dropping-particle":"","parse-names":false,"suffix":""},{"dropping-particle":"","family":"Blei","given":"Andres T.","non-dropping-particle":"","parse-names":false,"suffix":""}],"container-title":"Hepatology","id":"ITEM-1","issue":"3","issued":{"date-parts":[["2002"]]},"page":"716-721","title":"Hepatic encephalopathy - Definition, nomenclature, diagnosis, and quantification: Final report of the Working Party at the 11th World Congresses of Gastroenterology, Vienna, 1998","type":"article-journal","volume":"35"},"uris":["http://www.mendeley.com/documents/?uuid=27f0cb94-5e2f-4564-a4cb-658a7672a8e6"]},{"id":"ITEM-2","itemData":{"DOI":"10.1016/B978-0-7020-4087-0.00044-9","ISSN":"00729752","PMID":"24365344","abstract":"Fulminant hepatic failure presents with a hepatic encephalopathy and may progress to coma and often brain death from cerebral edema. This natural progression in severe cases contributes to early mortality, but outcome can be good if liver transplantation is appropriately timed and increased intracranial pressure (ICP) is managed. Neurologists and neurosurgeons have become more involved in these very challenging patients and are often asked to rapidly identify patients who are at risk of cerebral edema, to carefully select the patient population who will benefit from invasive ICP monitoring, to judge the correct time to start monitoring, to participate in treatment of cerebral edema, and to manage complications such as intracranial hemorrhage or seizures. This chapter summarizes the current multidisciplinary approach to fulminant hepatic failure and how to best bridge patients to emergency liver transplantation. © 2014 Elsevier B.V.","author":[{"dropping-particle":"","family":"Datar","given":"Sudhir","non-dropping-particle":"","parse-names":false,"suffix":""},{"dropping-particle":"","family":"Wijdicks","given":"Eelco F.M.","non-dropping-particle":"","parse-names":false,"suffix":""}],"container-title":"Handbook of Clinical Neurology","edition":"1","id":"ITEM-2","issued":{"date-parts":[["2014"]]},"page":"645-659","publisher":"Elsevier B.V.","title":"Neurologic manifestations of acute liver failure","type":"chapter","volume":"120"},"uris":["http://www.mendeley.com/documents/?uuid=7538d626-0023-4688-bf67-60bfc2a1e3a6"]},{"id":"ITEM-3","itemData":{"DOI":"10.1016/j.cld.2015.04.006","ISSN":"15578224","PMID":"26195209","abstract":"Hepatic encephalopathy (HE) is associated with cerebral edema (CE), increased intracranial pressure (ICP), and subsequent neurologic complications; it is the most important cause of morbidity and mortality in fulminant hepatic failure. The goal of therapy should be early diagnosis and treatment of HE with measures to reduce CE. A combination of clinical examination and diagnostic modalities can aid in prompt diagnosis. ICP monitoring and transcranial Doppler help diagnose and monitor response to treatment. Transfer to a transplant center and intensive care unit admission with airway management and reduction of CE with hypertonic saline, mannitol, hypothermia, and sedation are recommended as a bridge to liver transplantation.","author":[{"dropping-particle":"","family":"Kodali","given":"Sudha","non-dropping-particle":"","parse-names":false,"suffix":""},{"dropping-particle":"","family":"McGuire","given":"Brendan M.","non-dropping-particle":"","parse-names":false,"suffix":""}],"container-title":"Clinics in Liver Disease","id":"ITEM-3","issue":"3","issued":{"date-parts":[["2015"]]},"page":"565-576","publisher":"Elsevier Inc","title":"Diagnosis and Management of Hepatic Encephalopathy in Fulminant Hepatic Failure","type":"article","volume":"19"},"uris":["http://www.mendeley.com/documents/?uuid=ee5a5aa9-59f4-421f-8274-78a7e72edbae"]}],"mendeley":{"formattedCitation":"(3,5,7)","plainTextFormattedCitation":"(3,5,7)","previouslyFormattedCitation":"(Ferenci et al. 2002; Datar and Wijdicks 2014; Kodali and McGuire 2015)"},"properties":{"noteIndex":0},"schema":"https://github.com/citation-style-language/schema/raw/master/csl-citation.json"}</w:instrText>
      </w:r>
      <w:r w:rsidR="00217521" w:rsidRPr="00F62FC9">
        <w:rPr>
          <w:rFonts w:ascii="Calibri" w:hAnsi="Calibri" w:cs="Calibri"/>
          <w:sz w:val="24"/>
          <w:szCs w:val="24"/>
        </w:rPr>
        <w:fldChar w:fldCharType="separate"/>
      </w:r>
      <w:r w:rsidR="003B280C" w:rsidRPr="00F62FC9">
        <w:rPr>
          <w:rFonts w:ascii="Calibri" w:hAnsi="Calibri" w:cs="Calibri"/>
          <w:noProof/>
          <w:sz w:val="24"/>
          <w:szCs w:val="24"/>
        </w:rPr>
        <w:t>(3,5,7)</w:t>
      </w:r>
      <w:r w:rsidR="00217521" w:rsidRPr="00F62FC9">
        <w:rPr>
          <w:rFonts w:ascii="Calibri" w:hAnsi="Calibri" w:cs="Calibri"/>
          <w:sz w:val="24"/>
          <w:szCs w:val="24"/>
        </w:rPr>
        <w:fldChar w:fldCharType="end"/>
      </w:r>
      <w:r w:rsidR="00217521" w:rsidRPr="00F62FC9">
        <w:rPr>
          <w:rFonts w:ascii="Calibri" w:hAnsi="Calibri" w:cs="Calibri"/>
          <w:sz w:val="24"/>
          <w:szCs w:val="24"/>
        </w:rPr>
        <w:t xml:space="preserve">. </w:t>
      </w:r>
    </w:p>
    <w:p w14:paraId="12B3CAE8" w14:textId="5B1B5A00" w:rsidR="001E03D9" w:rsidRPr="00F62FC9" w:rsidRDefault="000F605C" w:rsidP="001A4A75">
      <w:pPr>
        <w:ind w:firstLine="360"/>
        <w:jc w:val="both"/>
        <w:rPr>
          <w:rFonts w:ascii="Calibri" w:hAnsi="Calibri" w:cs="Calibri"/>
          <w:sz w:val="24"/>
          <w:szCs w:val="24"/>
        </w:rPr>
      </w:pPr>
      <w:r w:rsidRPr="00F62FC9">
        <w:rPr>
          <w:rFonts w:ascii="Calibri" w:hAnsi="Calibri" w:cs="Calibri"/>
          <w:sz w:val="24"/>
          <w:szCs w:val="24"/>
        </w:rPr>
        <w:t>No geral, um estudo analisando 92 casos de DHA em 7 anos</w:t>
      </w:r>
      <w:r w:rsidR="0004182E" w:rsidRPr="00F62FC9">
        <w:rPr>
          <w:rFonts w:ascii="Calibri" w:hAnsi="Calibri" w:cs="Calibri"/>
          <w:sz w:val="24"/>
          <w:szCs w:val="24"/>
        </w:rPr>
        <w:t xml:space="preserve"> detectou</w:t>
      </w:r>
      <w:r w:rsidRPr="00F62FC9">
        <w:rPr>
          <w:rFonts w:ascii="Calibri" w:hAnsi="Calibri" w:cs="Calibri"/>
          <w:sz w:val="24"/>
          <w:szCs w:val="24"/>
        </w:rPr>
        <w:t xml:space="preserve"> a presença de edema cerebral em 31% dos casos</w:t>
      </w:r>
      <w:r w:rsidR="00EE18CE" w:rsidRPr="00F62FC9">
        <w:rPr>
          <w:rFonts w:ascii="Calibri" w:hAnsi="Calibri" w:cs="Calibri"/>
          <w:sz w:val="24"/>
          <w:szCs w:val="24"/>
        </w:rPr>
        <w:t>,</w:t>
      </w:r>
      <w:r w:rsidR="005E6C14" w:rsidRPr="00F62FC9">
        <w:rPr>
          <w:rFonts w:ascii="Calibri" w:hAnsi="Calibri" w:cs="Calibri"/>
          <w:sz w:val="24"/>
          <w:szCs w:val="24"/>
        </w:rPr>
        <w:t xml:space="preserve"> </w:t>
      </w:r>
      <w:r w:rsidR="00815B7D" w:rsidRPr="00F62FC9">
        <w:rPr>
          <w:rFonts w:ascii="Calibri" w:hAnsi="Calibri" w:cs="Calibri"/>
          <w:sz w:val="24"/>
          <w:szCs w:val="24"/>
        </w:rPr>
        <w:t xml:space="preserve">não identificou edema cerebral </w:t>
      </w:r>
      <w:r w:rsidR="009135BF" w:rsidRPr="00F62FC9">
        <w:rPr>
          <w:rFonts w:ascii="Calibri" w:hAnsi="Calibri" w:cs="Calibri"/>
          <w:sz w:val="24"/>
          <w:szCs w:val="24"/>
        </w:rPr>
        <w:t>em</w:t>
      </w:r>
      <w:r w:rsidR="00815B7D" w:rsidRPr="00F62FC9">
        <w:rPr>
          <w:rFonts w:ascii="Calibri" w:hAnsi="Calibri" w:cs="Calibri"/>
          <w:sz w:val="24"/>
          <w:szCs w:val="24"/>
        </w:rPr>
        <w:t xml:space="preserve"> paciente</w:t>
      </w:r>
      <w:r w:rsidR="009135BF" w:rsidRPr="00F62FC9">
        <w:rPr>
          <w:rFonts w:ascii="Calibri" w:hAnsi="Calibri" w:cs="Calibri"/>
          <w:sz w:val="24"/>
          <w:szCs w:val="24"/>
        </w:rPr>
        <w:t>s</w:t>
      </w:r>
      <w:r w:rsidR="00815B7D" w:rsidRPr="00F62FC9">
        <w:rPr>
          <w:rFonts w:ascii="Calibri" w:hAnsi="Calibri" w:cs="Calibri"/>
          <w:sz w:val="24"/>
          <w:szCs w:val="24"/>
        </w:rPr>
        <w:t xml:space="preserve"> com </w:t>
      </w:r>
      <w:r w:rsidR="00471691" w:rsidRPr="00F62FC9">
        <w:rPr>
          <w:rFonts w:ascii="Calibri" w:hAnsi="Calibri" w:cs="Calibri"/>
          <w:sz w:val="24"/>
          <w:szCs w:val="24"/>
        </w:rPr>
        <w:t>EH Grau 1 e 2</w:t>
      </w:r>
      <w:r w:rsidR="00F676E3" w:rsidRPr="00F62FC9">
        <w:rPr>
          <w:rFonts w:ascii="Calibri" w:hAnsi="Calibri" w:cs="Calibri"/>
          <w:sz w:val="24"/>
          <w:szCs w:val="24"/>
        </w:rPr>
        <w:t>,</w:t>
      </w:r>
      <w:r w:rsidR="00471691" w:rsidRPr="00F62FC9">
        <w:rPr>
          <w:rFonts w:ascii="Calibri" w:hAnsi="Calibri" w:cs="Calibri"/>
          <w:sz w:val="24"/>
          <w:szCs w:val="24"/>
        </w:rPr>
        <w:t xml:space="preserve"> mas </w:t>
      </w:r>
      <w:r w:rsidR="00EE18CE" w:rsidRPr="00F62FC9">
        <w:rPr>
          <w:rFonts w:ascii="Calibri" w:hAnsi="Calibri" w:cs="Calibri"/>
          <w:sz w:val="24"/>
          <w:szCs w:val="24"/>
        </w:rPr>
        <w:t>referiu</w:t>
      </w:r>
      <w:r w:rsidR="00471691" w:rsidRPr="00F62FC9">
        <w:rPr>
          <w:rFonts w:ascii="Calibri" w:hAnsi="Calibri" w:cs="Calibri"/>
          <w:sz w:val="24"/>
          <w:szCs w:val="24"/>
        </w:rPr>
        <w:t xml:space="preserve"> a presença de edema em </w:t>
      </w:r>
      <w:r w:rsidR="00475E75" w:rsidRPr="00F62FC9">
        <w:rPr>
          <w:rFonts w:ascii="Calibri" w:hAnsi="Calibri" w:cs="Calibri"/>
          <w:sz w:val="24"/>
          <w:szCs w:val="24"/>
        </w:rPr>
        <w:t xml:space="preserve">88% daqueles com Grau 3 ou 4 </w:t>
      </w:r>
      <w:r w:rsidR="003A0DB9" w:rsidRPr="00F62FC9">
        <w:rPr>
          <w:rFonts w:ascii="Calibri" w:hAnsi="Calibri" w:cs="Calibri"/>
          <w:sz w:val="24"/>
          <w:szCs w:val="24"/>
        </w:rPr>
        <w:fldChar w:fldCharType="begin" w:fldLock="1"/>
      </w:r>
      <w:r w:rsidR="003B280C" w:rsidRPr="00F62FC9">
        <w:rPr>
          <w:rFonts w:ascii="Calibri" w:hAnsi="Calibri" w:cs="Calibri"/>
          <w:sz w:val="24"/>
          <w:szCs w:val="24"/>
        </w:rPr>
        <w:instrText>ADDIN CSL_CITATION {"citationItems":[{"id":"ITEM-1","itemData":{"DOI":"10.4065/70.2.119","ISSN":"00256196","abstract":"To describe a series of consecutive patients with fulminant hepatic failure (FHF) and to present a new classification system for brain edema, an important cause of mortality in such patients. We reviewed 22 computed tomographic (CT) scans of the brain in 12 patients with FHF and classified the severity of cerebral edema by using predefined criteria. No cerebral edema was detected on CT scans in four patients with stage 1 or 2 hepatic encephalopathy at the time of admission, but it was noted in seven of eight patients with stage 3 or 4 hepatic encephalopathy. The severity of brain edema on CT scans was significantly correlated (P&lt;0.001) with the stage of hepatic encephalopathy. Three of the four patients who had stage 1 or 2 hepatic encephalopathy at the time of initial assessment ultimately had a good outcome. Of seven patients with stage 3 encephalopathy, two had rapid deterioration to brain death, three died of nonneurologic causes, and two had a good outcome after liver transplantation. One patient with stage 4 hepatic encephalopathy died, and autopsy showed cerebral edema. Stage 3 or 4 hepatic encephalopathy is associated with cerebral edema that can be detected on CT scans. The clinical and radiologic signs of cerebral edema in patients who have progression to stage 3 hepatic encephalopathy can be reversed with conventional treatment of increased intracranial pressure. Whether early recognition and treatment of cerebral edema result in increased survival of patients with FHF remains to be determined. © 1995, Mayo Foundation for Medical Education and Research. All rights reserved.","author":[{"dropping-particle":"","family":"Wijdicks","given":"Eelco F.M.","non-dropping-particle":"","parse-names":false,"suffix":""},{"dropping-particle":"","family":"Plevak","given":"David J.","non-dropping-particle":"","parse-names":false,"suffix":""},{"dropping-particle":"","family":"Rakela","given":"Jorge","non-dropping-particle":"","parse-names":false,"suffix":""},{"dropping-particle":"","family":"Wiesner","given":"Russell H.","non-dropping-particle":"","parse-names":false,"suffix":""}],"container-title":"Mayo Clinic Proceedings","id":"ITEM-1","issue":"2","issued":{"date-parts":[["1995"]]},"page":"119-124","publisher":"Mayo Foundation for Medical Education and Research","title":"Clinical and Radiologic Features of Cerebral Edema in Fulminant Hepatic Failure","type":"article-journal","volume":"70"},"uris":["http://www.mendeley.com/documents/?uuid=a42d5d42-7316-4bbe-bf1e-e8076161eb53"]}],"mendeley":{"formattedCitation":"(11)","plainTextFormattedCitation":"(11)","previouslyFormattedCitation":"(Wijdicks et al. 1995)"},"properties":{"noteIndex":0},"schema":"https://github.com/citation-style-language/schema/raw/master/csl-citation.json"}</w:instrText>
      </w:r>
      <w:r w:rsidR="003A0DB9" w:rsidRPr="00F62FC9">
        <w:rPr>
          <w:rFonts w:ascii="Calibri" w:hAnsi="Calibri" w:cs="Calibri"/>
          <w:sz w:val="24"/>
          <w:szCs w:val="24"/>
        </w:rPr>
        <w:fldChar w:fldCharType="separate"/>
      </w:r>
      <w:r w:rsidR="003B280C" w:rsidRPr="00F62FC9">
        <w:rPr>
          <w:rFonts w:ascii="Calibri" w:hAnsi="Calibri" w:cs="Calibri"/>
          <w:noProof/>
          <w:sz w:val="24"/>
          <w:szCs w:val="24"/>
        </w:rPr>
        <w:t>(11)</w:t>
      </w:r>
      <w:r w:rsidR="003A0DB9" w:rsidRPr="00F62FC9">
        <w:rPr>
          <w:rFonts w:ascii="Calibri" w:hAnsi="Calibri" w:cs="Calibri"/>
          <w:sz w:val="24"/>
          <w:szCs w:val="24"/>
        </w:rPr>
        <w:fldChar w:fldCharType="end"/>
      </w:r>
      <w:r w:rsidR="00475E75" w:rsidRPr="00F62FC9">
        <w:rPr>
          <w:rFonts w:ascii="Calibri" w:hAnsi="Calibri" w:cs="Calibri"/>
          <w:sz w:val="24"/>
          <w:szCs w:val="24"/>
        </w:rPr>
        <w:t>.</w:t>
      </w:r>
      <w:r w:rsidR="003A0DB9" w:rsidRPr="00F62FC9">
        <w:rPr>
          <w:rFonts w:ascii="Calibri" w:hAnsi="Calibri" w:cs="Calibri"/>
          <w:sz w:val="24"/>
          <w:szCs w:val="24"/>
        </w:rPr>
        <w:t xml:space="preserve"> </w:t>
      </w:r>
      <w:r w:rsidR="00031649" w:rsidRPr="00F62FC9">
        <w:rPr>
          <w:rFonts w:ascii="Calibri" w:hAnsi="Calibri" w:cs="Calibri"/>
          <w:sz w:val="24"/>
          <w:szCs w:val="24"/>
        </w:rPr>
        <w:t>P</w:t>
      </w:r>
      <w:r w:rsidR="001A4330" w:rsidRPr="00F62FC9">
        <w:rPr>
          <w:rFonts w:ascii="Calibri" w:hAnsi="Calibri" w:cs="Calibri"/>
          <w:sz w:val="24"/>
          <w:szCs w:val="24"/>
        </w:rPr>
        <w:t>osterior</w:t>
      </w:r>
      <w:r w:rsidR="00031649" w:rsidRPr="00F62FC9">
        <w:rPr>
          <w:rFonts w:ascii="Calibri" w:hAnsi="Calibri" w:cs="Calibri"/>
          <w:sz w:val="24"/>
          <w:szCs w:val="24"/>
        </w:rPr>
        <w:t>mente,</w:t>
      </w:r>
      <w:r w:rsidR="001A4330" w:rsidRPr="00F62FC9">
        <w:rPr>
          <w:rFonts w:ascii="Calibri" w:hAnsi="Calibri" w:cs="Calibri"/>
          <w:sz w:val="24"/>
          <w:szCs w:val="24"/>
        </w:rPr>
        <w:t xml:space="preserve"> o mesmo autor </w:t>
      </w:r>
      <w:r w:rsidR="00516D76" w:rsidRPr="00F62FC9">
        <w:rPr>
          <w:rFonts w:ascii="Calibri" w:hAnsi="Calibri" w:cs="Calibri"/>
          <w:sz w:val="24"/>
          <w:szCs w:val="24"/>
        </w:rPr>
        <w:t xml:space="preserve">reforçou a correlação, apontando </w:t>
      </w:r>
      <w:r w:rsidR="00F676E3" w:rsidRPr="00F62FC9">
        <w:rPr>
          <w:rFonts w:ascii="Calibri" w:hAnsi="Calibri" w:cs="Calibri"/>
          <w:sz w:val="24"/>
          <w:szCs w:val="24"/>
        </w:rPr>
        <w:t>a presença de edema em mais de 75% dos pacientes com EH Grau</w:t>
      </w:r>
      <w:r w:rsidR="00283F62" w:rsidRPr="00F62FC9">
        <w:rPr>
          <w:rFonts w:ascii="Calibri" w:hAnsi="Calibri" w:cs="Calibri"/>
          <w:sz w:val="24"/>
          <w:szCs w:val="24"/>
        </w:rPr>
        <w:t xml:space="preserve"> 4 </w:t>
      </w:r>
      <w:r w:rsidR="00283F62" w:rsidRPr="00F62FC9">
        <w:rPr>
          <w:rFonts w:ascii="Calibri" w:hAnsi="Calibri" w:cs="Calibri"/>
          <w:sz w:val="24"/>
          <w:szCs w:val="24"/>
        </w:rPr>
        <w:fldChar w:fldCharType="begin" w:fldLock="1"/>
      </w:r>
      <w:r w:rsidR="003B280C" w:rsidRPr="00F62FC9">
        <w:rPr>
          <w:rFonts w:ascii="Calibri" w:hAnsi="Calibri" w:cs="Calibri"/>
          <w:sz w:val="24"/>
          <w:szCs w:val="24"/>
        </w:rPr>
        <w:instrText>ADDIN CSL_CITATION {"citationItems":[{"id":"ITEM-1","itemData":{"DOI":"10.1016/B978-0-7020-4087-0.00044-9","ISSN":"00729752","PMID":"24365344","abstract":"Fulminant hepatic failure presents with a hepatic encephalopathy and may progress to coma and often brain death from cerebral edema. This natural progression in severe cases contributes to early mortality, but outcome can be good if liver transplantation is appropriately timed and increased intracranial pressure (ICP) is managed. Neurologists and neurosurgeons have become more involved in these very challenging patients and are often asked to rapidly identify patients who are at risk of cerebral edema, to carefully select the patient population who will benefit from invasive ICP monitoring, to judge the correct time to start monitoring, to participate in treatment of cerebral edema, and to manage complications such as intracranial hemorrhage or seizures. This chapter summarizes the current multidisciplinary approach to fulminant hepatic failure and how to best bridge patients to emergency liver transplantation. © 2014 Elsevier B.V.","author":[{"dropping-particle":"","family":"Datar","given":"Sudhir","non-dropping-particle":"","parse-names":false,"suffix":""},{"dropping-particle":"","family":"Wijdicks","given":"Eelco F.M.","non-dropping-particle":"","parse-names":false,"suffix":""}],"container-title":"Handbook of Clinical Neurology","edition":"1","id":"ITEM-1","issued":{"date-parts":[["2014"]]},"page":"645-659","publisher":"Elsevier B.V.","title":"Neurologic manifestations of acute liver failure","type":"chapter","volume":"120"},"uris":["http://www.mendeley.com/documents/?uuid=7538d626-0023-4688-bf67-60bfc2a1e3a6"]}],"mendeley":{"formattedCitation":"(3)","plainTextFormattedCitation":"(3)","previouslyFormattedCitation":"(Datar and Wijdicks 2014)"},"properties":{"noteIndex":0},"schema":"https://github.com/citation-style-language/schema/raw/master/csl-citation.json"}</w:instrText>
      </w:r>
      <w:r w:rsidR="00283F62" w:rsidRPr="00F62FC9">
        <w:rPr>
          <w:rFonts w:ascii="Calibri" w:hAnsi="Calibri" w:cs="Calibri"/>
          <w:sz w:val="24"/>
          <w:szCs w:val="24"/>
        </w:rPr>
        <w:fldChar w:fldCharType="separate"/>
      </w:r>
      <w:r w:rsidR="003B280C" w:rsidRPr="00F62FC9">
        <w:rPr>
          <w:rFonts w:ascii="Calibri" w:hAnsi="Calibri" w:cs="Calibri"/>
          <w:noProof/>
          <w:sz w:val="24"/>
          <w:szCs w:val="24"/>
        </w:rPr>
        <w:t>(3)</w:t>
      </w:r>
      <w:r w:rsidR="00283F62" w:rsidRPr="00F62FC9">
        <w:rPr>
          <w:rFonts w:ascii="Calibri" w:hAnsi="Calibri" w:cs="Calibri"/>
          <w:sz w:val="24"/>
          <w:szCs w:val="24"/>
        </w:rPr>
        <w:fldChar w:fldCharType="end"/>
      </w:r>
      <w:r w:rsidR="007A3865" w:rsidRPr="00F62FC9">
        <w:rPr>
          <w:rFonts w:ascii="Calibri" w:hAnsi="Calibri" w:cs="Calibri"/>
          <w:sz w:val="24"/>
          <w:szCs w:val="24"/>
        </w:rPr>
        <w:t>.</w:t>
      </w:r>
      <w:r w:rsidR="00F765EC" w:rsidRPr="00F62FC9">
        <w:rPr>
          <w:rFonts w:ascii="Calibri" w:hAnsi="Calibri" w:cs="Calibri"/>
          <w:sz w:val="24"/>
          <w:szCs w:val="24"/>
        </w:rPr>
        <w:t xml:space="preserve"> </w:t>
      </w:r>
      <w:r w:rsidR="00031649" w:rsidRPr="00F62FC9">
        <w:rPr>
          <w:rFonts w:ascii="Calibri" w:hAnsi="Calibri" w:cs="Calibri"/>
          <w:sz w:val="24"/>
          <w:szCs w:val="24"/>
        </w:rPr>
        <w:t>Além disso, outro</w:t>
      </w:r>
      <w:r w:rsidR="005E6C14" w:rsidRPr="00F62FC9">
        <w:rPr>
          <w:rFonts w:ascii="Calibri" w:hAnsi="Calibri" w:cs="Calibri"/>
          <w:sz w:val="24"/>
          <w:szCs w:val="24"/>
        </w:rPr>
        <w:t xml:space="preserve"> estudo apontou que edemas cerebrais for</w:t>
      </w:r>
      <w:r w:rsidR="00DE5105" w:rsidRPr="00F62FC9">
        <w:rPr>
          <w:rFonts w:ascii="Calibri" w:hAnsi="Calibri" w:cs="Calibri"/>
          <w:sz w:val="24"/>
          <w:szCs w:val="24"/>
        </w:rPr>
        <w:t>am</w:t>
      </w:r>
      <w:r w:rsidR="005E6C14" w:rsidRPr="00F62FC9">
        <w:rPr>
          <w:rFonts w:ascii="Calibri" w:hAnsi="Calibri" w:cs="Calibri"/>
          <w:sz w:val="24"/>
          <w:szCs w:val="24"/>
        </w:rPr>
        <w:t xml:space="preserve"> identificados em </w:t>
      </w:r>
      <w:r w:rsidR="00DA6EE4" w:rsidRPr="00F62FC9">
        <w:rPr>
          <w:rFonts w:ascii="Calibri" w:hAnsi="Calibri" w:cs="Calibri"/>
          <w:sz w:val="24"/>
          <w:szCs w:val="24"/>
        </w:rPr>
        <w:t>aproximadamente 80% dos pacientes com DHA</w:t>
      </w:r>
      <w:r w:rsidR="00073462" w:rsidRPr="00F62FC9">
        <w:rPr>
          <w:rFonts w:ascii="Calibri" w:hAnsi="Calibri" w:cs="Calibri"/>
          <w:sz w:val="24"/>
          <w:szCs w:val="24"/>
        </w:rPr>
        <w:t>,</w:t>
      </w:r>
      <w:r w:rsidR="00DA6EE4" w:rsidRPr="00F62FC9">
        <w:rPr>
          <w:rFonts w:ascii="Calibri" w:hAnsi="Calibri" w:cs="Calibri"/>
          <w:sz w:val="24"/>
          <w:szCs w:val="24"/>
        </w:rPr>
        <w:t xml:space="preserve"> sendo que 25-35% apresentavam </w:t>
      </w:r>
      <w:r w:rsidR="009B00BE" w:rsidRPr="00F62FC9">
        <w:rPr>
          <w:rFonts w:ascii="Calibri" w:hAnsi="Calibri" w:cs="Calibri"/>
          <w:sz w:val="24"/>
          <w:szCs w:val="24"/>
        </w:rPr>
        <w:t xml:space="preserve">edema </w:t>
      </w:r>
      <w:r w:rsidR="00DA6EE4" w:rsidRPr="00F62FC9">
        <w:rPr>
          <w:rFonts w:ascii="Calibri" w:hAnsi="Calibri" w:cs="Calibri"/>
          <w:sz w:val="24"/>
          <w:szCs w:val="24"/>
        </w:rPr>
        <w:t xml:space="preserve">quando </w:t>
      </w:r>
      <w:r w:rsidR="00FA267D" w:rsidRPr="00F62FC9">
        <w:rPr>
          <w:rFonts w:ascii="Calibri" w:hAnsi="Calibri" w:cs="Calibri"/>
          <w:sz w:val="24"/>
          <w:szCs w:val="24"/>
        </w:rPr>
        <w:t xml:space="preserve">a EH era </w:t>
      </w:r>
      <w:r w:rsidR="009B00BE" w:rsidRPr="00F62FC9">
        <w:rPr>
          <w:rFonts w:ascii="Calibri" w:hAnsi="Calibri" w:cs="Calibri"/>
          <w:sz w:val="24"/>
          <w:szCs w:val="24"/>
        </w:rPr>
        <w:t xml:space="preserve">de </w:t>
      </w:r>
      <w:r w:rsidR="00FA267D" w:rsidRPr="00F62FC9">
        <w:rPr>
          <w:rFonts w:ascii="Calibri" w:hAnsi="Calibri" w:cs="Calibri"/>
          <w:sz w:val="24"/>
          <w:szCs w:val="24"/>
        </w:rPr>
        <w:t>Grau 3</w:t>
      </w:r>
      <w:r w:rsidR="00073462" w:rsidRPr="00F62FC9">
        <w:rPr>
          <w:rFonts w:ascii="Calibri" w:hAnsi="Calibri" w:cs="Calibri"/>
          <w:sz w:val="24"/>
          <w:szCs w:val="24"/>
        </w:rPr>
        <w:t>,</w:t>
      </w:r>
      <w:r w:rsidR="00FA267D" w:rsidRPr="00F62FC9">
        <w:rPr>
          <w:rFonts w:ascii="Calibri" w:hAnsi="Calibri" w:cs="Calibri"/>
          <w:sz w:val="24"/>
          <w:szCs w:val="24"/>
        </w:rPr>
        <w:t xml:space="preserve"> e 65-75%, </w:t>
      </w:r>
      <w:r w:rsidR="00FC7B51" w:rsidRPr="00F62FC9">
        <w:rPr>
          <w:rFonts w:ascii="Calibri" w:hAnsi="Calibri" w:cs="Calibri"/>
          <w:sz w:val="24"/>
          <w:szCs w:val="24"/>
        </w:rPr>
        <w:t xml:space="preserve">de </w:t>
      </w:r>
      <w:r w:rsidR="00FA267D" w:rsidRPr="00F62FC9">
        <w:rPr>
          <w:rFonts w:ascii="Calibri" w:hAnsi="Calibri" w:cs="Calibri"/>
          <w:sz w:val="24"/>
          <w:szCs w:val="24"/>
        </w:rPr>
        <w:t xml:space="preserve">Grau 4 </w:t>
      </w:r>
      <w:r w:rsidR="00F829A2" w:rsidRPr="00F62FC9">
        <w:rPr>
          <w:rFonts w:ascii="Calibri" w:hAnsi="Calibri" w:cs="Calibri"/>
          <w:sz w:val="24"/>
          <w:szCs w:val="24"/>
        </w:rPr>
        <w:fldChar w:fldCharType="begin" w:fldLock="1"/>
      </w:r>
      <w:r w:rsidR="003B280C" w:rsidRPr="00F62FC9">
        <w:rPr>
          <w:rFonts w:ascii="Calibri" w:hAnsi="Calibri" w:cs="Calibri"/>
          <w:sz w:val="24"/>
          <w:szCs w:val="24"/>
        </w:rPr>
        <w:instrText>ADDIN CSL_CITATION {"citationItems":[{"id":"ITEM-1","itemData":{"DOI":"10.1007/s11940-014-0297-2","ISSN":"15343138","abstract":"Hepatic encephalopathy management varies depending on the acuity of liver failure. However, in patients with either acute or chronic liver failure five basic steps in management are critical: stabilization, addressing modifiable precipitating factors, lowering blood ammonia, managing elevated intracranial pressure (ICP) (if present), and managing complications of liver failure that can contribute to encephalopathy, particularly hyponatremia. Because liver failure patients are prone to a variety of other medical problems that can lead to encephalopathy (such as coagulopathy associated intracranial hemorrhage, electrolyte disarray, renal failure, hypotension, hypoglycemia, and infection), a thorough history, physical and neurologic examination is mandated in all encephalopathic liver failure patients. There should be a low threshold for brain imaging in patients with focal neurological deficits given the propensity for spontaneous intracranial hemorrhage. In patients with acute liver failure and high grade encephalopathy, identification of the etiology of acute liver failure is essential to guide treatment and antidote administration, particularly in the case of acetaminophen poisoning. Equally critical is management of elevated ICP in acute liver failure. Intracranial hypertension can be treated with hypertonic saline and/or adjustment of the dialysis bath. Placement of an intracranial monitor to guide ICP therapy is risky because of concomitant coagulopathy and remains controversial. Continuous renal replacement therapy may help lower serum ammonia, treat coexisting uremia, and improve symptoms. Liver transplantation is the definitive treatment for patients with acute liver failure and hepatic encephalopathy. In patients with chronic hepatic encephalopathy, lactulose and rifaxamin remain a mainstay of therapy. In these patients, it is essential to identify reversible causes of hepatic encephalopathy such as increased ammonia production and/or decreased clearance (eg, infection, GI bleed, constipation, hypokalemia, dehydration). Chronic hyponatremia should be managed by gradual sodium correction of no more than 8‒12 meq/L per day to avoid central myelinolysis syndrome. Free water restriction and increased dietary sodium are reasonable, cost effective treatment options. Many emerging therapies, both pharmacologic and interventional, are currently being studied to improve management of hepatic encephalopathy.","author":[{"dropping-particle":"","family":"Frontera","given":"Jennifer A","non-dropping-particle":"","parse-names":false,"suffix":""}],"container-title":"Current Treatment Options in Neurology","id":"ITEM-1","issue":"6","issued":{"date-parts":[["2014"]]},"page":"1-37","title":"Management of Hepatic Encephalopathy","type":"article","volume":"16"},"uris":["http://www.mendeley.com/documents/?uuid=b14afb16-5d0f-433d-bcef-636a2eeccd6d"]}],"mendeley":{"formattedCitation":"(12)","plainTextFormattedCitation":"(12)","previouslyFormattedCitation":"(Frontera 2014)"},"properties":{"noteIndex":0},"schema":"https://github.com/citation-style-language/schema/raw/master/csl-citation.json"}</w:instrText>
      </w:r>
      <w:r w:rsidR="00F829A2" w:rsidRPr="00F62FC9">
        <w:rPr>
          <w:rFonts w:ascii="Calibri" w:hAnsi="Calibri" w:cs="Calibri"/>
          <w:sz w:val="24"/>
          <w:szCs w:val="24"/>
        </w:rPr>
        <w:fldChar w:fldCharType="separate"/>
      </w:r>
      <w:r w:rsidR="003B280C" w:rsidRPr="00F62FC9">
        <w:rPr>
          <w:rFonts w:ascii="Calibri" w:hAnsi="Calibri" w:cs="Calibri"/>
          <w:noProof/>
          <w:sz w:val="24"/>
          <w:szCs w:val="24"/>
        </w:rPr>
        <w:t>(12)</w:t>
      </w:r>
      <w:r w:rsidR="00F829A2" w:rsidRPr="00F62FC9">
        <w:rPr>
          <w:rFonts w:ascii="Calibri" w:hAnsi="Calibri" w:cs="Calibri"/>
          <w:sz w:val="24"/>
          <w:szCs w:val="24"/>
        </w:rPr>
        <w:fldChar w:fldCharType="end"/>
      </w:r>
      <w:r w:rsidR="00F829A2" w:rsidRPr="00F62FC9">
        <w:rPr>
          <w:rFonts w:ascii="Calibri" w:hAnsi="Calibri" w:cs="Calibri"/>
          <w:sz w:val="24"/>
          <w:szCs w:val="24"/>
        </w:rPr>
        <w:t>.</w:t>
      </w:r>
      <w:r w:rsidR="00FE3267" w:rsidRPr="00F62FC9">
        <w:rPr>
          <w:rFonts w:ascii="Calibri" w:hAnsi="Calibri" w:cs="Calibri"/>
          <w:sz w:val="24"/>
          <w:szCs w:val="24"/>
        </w:rPr>
        <w:t xml:space="preserve"> </w:t>
      </w:r>
      <w:r w:rsidR="00CE46C0" w:rsidRPr="00F62FC9">
        <w:rPr>
          <w:rFonts w:ascii="Calibri" w:hAnsi="Calibri" w:cs="Calibri"/>
          <w:sz w:val="24"/>
          <w:szCs w:val="24"/>
        </w:rPr>
        <w:t>Ras</w:t>
      </w:r>
      <w:r w:rsidR="003D6415" w:rsidRPr="00F62FC9">
        <w:rPr>
          <w:rFonts w:ascii="Calibri" w:hAnsi="Calibri" w:cs="Calibri"/>
          <w:sz w:val="24"/>
          <w:szCs w:val="24"/>
        </w:rPr>
        <w:t xml:space="preserve">chke </w:t>
      </w:r>
      <w:r w:rsidR="003D6415" w:rsidRPr="00F62FC9">
        <w:rPr>
          <w:rFonts w:ascii="Calibri" w:hAnsi="Calibri" w:cs="Calibri"/>
          <w:i/>
          <w:iCs/>
          <w:sz w:val="24"/>
          <w:szCs w:val="24"/>
        </w:rPr>
        <w:t>et al.</w:t>
      </w:r>
      <w:r w:rsidR="003D6415" w:rsidRPr="00F62FC9">
        <w:rPr>
          <w:rFonts w:ascii="Calibri" w:hAnsi="Calibri" w:cs="Calibri"/>
          <w:sz w:val="24"/>
          <w:szCs w:val="24"/>
        </w:rPr>
        <w:t xml:space="preserve"> ainda apont</w:t>
      </w:r>
      <w:r w:rsidR="00FC7B51" w:rsidRPr="00F62FC9">
        <w:rPr>
          <w:rFonts w:ascii="Calibri" w:hAnsi="Calibri" w:cs="Calibri"/>
          <w:sz w:val="24"/>
          <w:szCs w:val="24"/>
        </w:rPr>
        <w:t>aram</w:t>
      </w:r>
      <w:r w:rsidR="003D6415" w:rsidRPr="00F62FC9">
        <w:rPr>
          <w:rFonts w:ascii="Calibri" w:hAnsi="Calibri" w:cs="Calibri"/>
          <w:sz w:val="24"/>
          <w:szCs w:val="24"/>
        </w:rPr>
        <w:t xml:space="preserve"> que há um aumento de PIC em 85-95% dos casos de EH Grau 3 ou 4 </w:t>
      </w:r>
      <w:r w:rsidR="003D6415" w:rsidRPr="00F62FC9">
        <w:rPr>
          <w:rFonts w:ascii="Calibri" w:hAnsi="Calibri" w:cs="Calibri"/>
          <w:sz w:val="24"/>
          <w:szCs w:val="24"/>
        </w:rPr>
        <w:fldChar w:fldCharType="begin" w:fldLock="1"/>
      </w:r>
      <w:r w:rsidR="003B280C" w:rsidRPr="00F62FC9">
        <w:rPr>
          <w:rFonts w:ascii="Calibri" w:hAnsi="Calibri" w:cs="Calibri"/>
          <w:sz w:val="24"/>
          <w:szCs w:val="24"/>
        </w:rPr>
        <w:instrText>ADDIN CSL_CITATION {"citationItems":[{"id":"ITEM-1","itemData":{"DOI":"10.1097/CCM.0b013e31818029a3","ISSN":"0090-3493","PMID":"18664779","abstract":"OBJECTIVE: To assess the safety and efficacy of a protocol to support management of intracerebral pressure in patients with fulminant liver failure (FLF). DESIGN AND SETTING: A prospective series was conducted between May 2004 and September 2006 at Banner Good Samaritan Medical Center, a 650-bed teaching hospital in Phoenix, Arizona. PATIENTS: We recruited consecutive patients with FLF and stage 3 or 4 encephalopathy. INTERVENTIONS: We placed an intracranial pressure monitor in each patient and employed a protocol to support decisions regarding hemostatic management and prevention and treatment of intracranial hypertension (IHTN). Treatment modalities included hypothermia, hypocarbia, intravenous pentobarbital, intravenous mannitol and vasopressor titration for maintenance of cerebral perfusion pressure. The main outcome measure was survival in transplant candidates. MEASUREMENTS AND MAIN RESULTS: Twenty-two patients entered the study and 21 (95%) had at least one episode of IHTN. Eighty-two discrete episodes of IHTN occurred, and 78 of these (95%) resolved with treatment. Overall survival was 55%. Eleven of 18 (61%) of transplant candidates survived with good neurologic outcome. No patient died from isolated cerebral edema. Three patients had intracranial hemorrhages related to the intracranial pressure monitor. CONCLUSIONS: Protocol-driven management of intracranial pressure in FLF can result in good clinical outcomes in most transplant candidates, even if IHTN occurs. LEARNING OBJECTIVES: On completion of this article, the reader should be able to:Dr. Raschke has disclosed that he was a consultant/advisor for Cardinal Health and attended and spoke at several paid meetings and conferences in regards to intravenous heparin. The remaining authors have not disclosed any potential conflicts of interest. The authors have disclosed that the U.S. Food and Drug Administration has not approved pentobarbital for the treatment of intracranial hypertension discussed in this article. Please consult the product's labeling information for approved indications and usage.All faculty and staff in a position to control the content of this CME activity have disclosed that they have no financial relationship with, or financial interests in, any commercial companies pertaining to this educational activity.Lippincott CME Institute, Inc., has identified and resolved all faculty conflicts of interest regarding this educational activity.Visit the Critical Care Medicine Web Sit…","author":[{"dropping-particle":"","family":"Raschke","given":"Robert A.","non-dropping-particle":"","parse-names":false,"suffix":""},{"dropping-particle":"","family":"Curry","given":"Steven C.","non-dropping-particle":"","parse-names":false,"suffix":""},{"dropping-particle":"","family":"Rempe","given":"Silke","non-dropping-particle":"","parse-names":false,"suffix":""},{"dropping-particle":"","family":"Gerkin","given":"Richard","non-dropping-particle":"","parse-names":false,"suffix":""},{"dropping-particle":"","family":"Little","given":"Ester","non-dropping-particle":"","parse-names":false,"suffix":""},{"dropping-particle":"","family":"Manch","given":"Richard","non-dropping-particle":"","parse-names":false,"suffix":""},{"dropping-particle":"","family":"Wong","given":"Mark","non-dropping-particle":"","parse-names":false,"suffix":""},{"dropping-particle":"","family":"Ramos","given":"Alberto","non-dropping-particle":"","parse-names":false,"suffix":""},{"dropping-particle":"","family":"Leibowitz","given":"Alan I.","non-dropping-particle":"","parse-names":false,"suffix":""}],"container-title":"Critical Care Medicine","id":"ITEM-1","issue":"8","issued":{"date-parts":[["2008","8"]]},"page":"2244-2248","title":"Results of a protocol for the management of patients with fulminant liver failure*","type":"article-journal","volume":"36"},"uris":["http://www.mendeley.com/documents/?uuid=37f43f1c-fa6f-4851-9679-5e96b4d2efa5"]}],"mendeley":{"formattedCitation":"(13)","plainTextFormattedCitation":"(13)","previouslyFormattedCitation":"(Raschke et al. 2008)"},"properties":{"noteIndex":0},"schema":"https://github.com/citation-style-language/schema/raw/master/csl-citation.json"}</w:instrText>
      </w:r>
      <w:r w:rsidR="003D6415" w:rsidRPr="00F62FC9">
        <w:rPr>
          <w:rFonts w:ascii="Calibri" w:hAnsi="Calibri" w:cs="Calibri"/>
          <w:sz w:val="24"/>
          <w:szCs w:val="24"/>
        </w:rPr>
        <w:fldChar w:fldCharType="separate"/>
      </w:r>
      <w:r w:rsidR="003B280C" w:rsidRPr="00F62FC9">
        <w:rPr>
          <w:rFonts w:ascii="Calibri" w:hAnsi="Calibri" w:cs="Calibri"/>
          <w:noProof/>
          <w:sz w:val="24"/>
          <w:szCs w:val="24"/>
        </w:rPr>
        <w:t>(13)</w:t>
      </w:r>
      <w:r w:rsidR="003D6415" w:rsidRPr="00F62FC9">
        <w:rPr>
          <w:rFonts w:ascii="Calibri" w:hAnsi="Calibri" w:cs="Calibri"/>
          <w:sz w:val="24"/>
          <w:szCs w:val="24"/>
        </w:rPr>
        <w:fldChar w:fldCharType="end"/>
      </w:r>
      <w:r w:rsidR="003D6415" w:rsidRPr="00F62FC9">
        <w:rPr>
          <w:rFonts w:ascii="Calibri" w:hAnsi="Calibri" w:cs="Calibri"/>
          <w:sz w:val="24"/>
          <w:szCs w:val="24"/>
        </w:rPr>
        <w:t>.</w:t>
      </w:r>
      <w:r w:rsidR="00BD58DE" w:rsidRPr="00F62FC9">
        <w:rPr>
          <w:rFonts w:ascii="Calibri" w:hAnsi="Calibri" w:cs="Calibri"/>
          <w:sz w:val="24"/>
          <w:szCs w:val="24"/>
        </w:rPr>
        <w:t xml:space="preserve"> </w:t>
      </w:r>
      <w:r w:rsidR="006A5A88" w:rsidRPr="00F62FC9">
        <w:rPr>
          <w:rFonts w:ascii="Calibri" w:hAnsi="Calibri" w:cs="Calibri"/>
          <w:sz w:val="24"/>
          <w:szCs w:val="24"/>
        </w:rPr>
        <w:t xml:space="preserve">Por fim, Raghavan </w:t>
      </w:r>
      <w:r w:rsidR="002870BB" w:rsidRPr="00F62FC9">
        <w:rPr>
          <w:rFonts w:ascii="Calibri" w:hAnsi="Calibri" w:cs="Calibri"/>
          <w:i/>
          <w:iCs/>
          <w:sz w:val="24"/>
          <w:szCs w:val="24"/>
        </w:rPr>
        <w:t>et al.</w:t>
      </w:r>
      <w:r w:rsidR="002405F2" w:rsidRPr="00F62FC9">
        <w:rPr>
          <w:rFonts w:ascii="Calibri" w:hAnsi="Calibri" w:cs="Calibri"/>
          <w:i/>
          <w:iCs/>
          <w:sz w:val="24"/>
          <w:szCs w:val="24"/>
        </w:rPr>
        <w:t xml:space="preserve"> </w:t>
      </w:r>
      <w:r w:rsidR="00F22D2B" w:rsidRPr="00F62FC9">
        <w:rPr>
          <w:rFonts w:ascii="Calibri" w:hAnsi="Calibri" w:cs="Calibri"/>
          <w:sz w:val="24"/>
          <w:szCs w:val="24"/>
        </w:rPr>
        <w:t>descreveram</w:t>
      </w:r>
      <w:r w:rsidR="00365A62" w:rsidRPr="00F62FC9">
        <w:rPr>
          <w:rFonts w:ascii="Calibri" w:hAnsi="Calibri" w:cs="Calibri"/>
          <w:sz w:val="24"/>
          <w:szCs w:val="24"/>
        </w:rPr>
        <w:t xml:space="preserve"> que edema cerebral e HIC acontecem em </w:t>
      </w:r>
      <w:r w:rsidR="002870BB" w:rsidRPr="00F62FC9">
        <w:rPr>
          <w:rFonts w:ascii="Calibri" w:hAnsi="Calibri" w:cs="Calibri"/>
          <w:sz w:val="24"/>
          <w:szCs w:val="24"/>
        </w:rPr>
        <w:t xml:space="preserve">75-80% dos pacientes de DHA com EH Grau 3 ou 4 </w:t>
      </w:r>
      <w:r w:rsidR="002870BB" w:rsidRPr="00F62FC9">
        <w:rPr>
          <w:rFonts w:ascii="Calibri" w:hAnsi="Calibri" w:cs="Calibri"/>
          <w:sz w:val="24"/>
          <w:szCs w:val="24"/>
        </w:rPr>
        <w:fldChar w:fldCharType="begin" w:fldLock="1"/>
      </w:r>
      <w:r w:rsidR="003B280C" w:rsidRPr="00F62FC9">
        <w:rPr>
          <w:rFonts w:ascii="Calibri" w:hAnsi="Calibri" w:cs="Calibri"/>
          <w:sz w:val="24"/>
          <w:szCs w:val="24"/>
        </w:rPr>
        <w:instrText>ADDIN CSL_CITATION {"citationItems":[{"id":"ITEM-1","itemData":{"DOI":"10.1385/NCC:4:2:179","ISSN":"15416933","PMID":"16627910","abstract":"Severe intracranial hypertension (IH) in the setting of fulminant hepatic failure (FHF) carries a high mortality and is a challenging disease for the critical care provider. Despite considerable improvements in the understanding of the pathophysiology of cerebral edema during liver failure, therapeutic maneuvers that are currently available to treat this disease are limited. Orthotopic liver transplantation is currently the only definitive therapeutic strategy that improves outcomes in patients with FHF. However, many patients die prior to the availability of donor organs, often because of cerebral herniation. Currently, two important theories prevail in the understanding of the pathophysiology of IH during FHF. Ammonia and glutamine causes cytotoxic cerebral injury while cerebral vasodilation caused by loss of autoregulation increases intracranial pressure (ICP) and predisposes to herniation. Although ammonia-reducing strategies are limited in humans, modulation of cerebral blood flow seems promising, at least during the early stages of hepatic encephalopathy. ICP monitoring, transcranial Doppler, and jugular venous oximetry offer valuable information regarding intracranial dynamics. Induced hypothermia, hypertonic saline, propofol sedation, and indomethacin are some of the newer therapies that have been shown to improve survival in patients with severe IH. In this article, we review the pathophysiology of IH in patients with FHF and outline various therapeutic strategies currently available in managing these patients in the critical care setting. Copyright © 2006 Humana Press Inc. All rights of any nature whatsoever are reserved.","author":[{"dropping-particle":"","family":"Raghavan","given":"Murugan","non-dropping-particle":"","parse-names":false,"suffix":""},{"dropping-particle":"","family":"Marik","given":"Paul E.","non-dropping-particle":"","parse-names":false,"suffix":""}],"container-title":"Neurocritical Care","id":"ITEM-1","issue":"2","issued":{"date-parts":[["2006"]]},"page":"179-189","title":"Therapy of intracranial hypertension in patients with fulminant hepatic failure","type":"article","volume":"4"},"uris":["http://www.mendeley.com/documents/?uuid=3be99af1-7a84-430a-bd61-deef4599b296"]}],"mendeley":{"formattedCitation":"(9)","plainTextFormattedCitation":"(9)","previouslyFormattedCitation":"(Raghavan and Marik 2006)"},"properties":{"noteIndex":0},"schema":"https://github.com/citation-style-language/schema/raw/master/csl-citation.json"}</w:instrText>
      </w:r>
      <w:r w:rsidR="002870BB" w:rsidRPr="00F62FC9">
        <w:rPr>
          <w:rFonts w:ascii="Calibri" w:hAnsi="Calibri" w:cs="Calibri"/>
          <w:sz w:val="24"/>
          <w:szCs w:val="24"/>
        </w:rPr>
        <w:fldChar w:fldCharType="separate"/>
      </w:r>
      <w:r w:rsidR="003B280C" w:rsidRPr="00F62FC9">
        <w:rPr>
          <w:rFonts w:ascii="Calibri" w:hAnsi="Calibri" w:cs="Calibri"/>
          <w:noProof/>
          <w:sz w:val="24"/>
          <w:szCs w:val="24"/>
        </w:rPr>
        <w:t>(9)</w:t>
      </w:r>
      <w:r w:rsidR="002870BB" w:rsidRPr="00F62FC9">
        <w:rPr>
          <w:rFonts w:ascii="Calibri" w:hAnsi="Calibri" w:cs="Calibri"/>
          <w:sz w:val="24"/>
          <w:szCs w:val="24"/>
        </w:rPr>
        <w:fldChar w:fldCharType="end"/>
      </w:r>
      <w:r w:rsidR="002870BB" w:rsidRPr="00F62FC9">
        <w:rPr>
          <w:rFonts w:ascii="Calibri" w:hAnsi="Calibri" w:cs="Calibri"/>
          <w:sz w:val="24"/>
          <w:szCs w:val="24"/>
        </w:rPr>
        <w:t>.</w:t>
      </w:r>
    </w:p>
    <w:p w14:paraId="47585204" w14:textId="2A5C4515" w:rsidR="001A4A75" w:rsidRPr="00F62FC9" w:rsidRDefault="002D6FE7" w:rsidP="001A4A75">
      <w:pPr>
        <w:ind w:firstLine="360"/>
        <w:jc w:val="both"/>
        <w:rPr>
          <w:rFonts w:ascii="Calibri" w:hAnsi="Calibri" w:cs="Calibri"/>
          <w:noProof/>
          <w:sz w:val="24"/>
          <w:szCs w:val="24"/>
        </w:rPr>
      </w:pPr>
      <w:r w:rsidRPr="00F62FC9">
        <w:rPr>
          <w:rFonts w:ascii="Calibri" w:hAnsi="Calibri" w:cs="Calibri"/>
          <w:sz w:val="24"/>
          <w:szCs w:val="24"/>
        </w:rPr>
        <w:t>Nesse sentido, a</w:t>
      </w:r>
      <w:r w:rsidR="00177990" w:rsidRPr="00F62FC9">
        <w:rPr>
          <w:rFonts w:ascii="Calibri" w:hAnsi="Calibri" w:cs="Calibri"/>
          <w:noProof/>
          <w:sz w:val="24"/>
          <w:szCs w:val="24"/>
        </w:rPr>
        <w:t xml:space="preserve"> </w:t>
      </w:r>
      <w:r w:rsidR="00177990" w:rsidRPr="00F62FC9">
        <w:rPr>
          <w:rFonts w:ascii="Calibri" w:hAnsi="Calibri" w:cs="Calibri"/>
          <w:i/>
          <w:iCs/>
          <w:noProof/>
          <w:sz w:val="24"/>
          <w:szCs w:val="24"/>
        </w:rPr>
        <w:t>International Society for Hepatic Encephalopathy and Nitrogen Metabolism</w:t>
      </w:r>
      <w:r w:rsidR="00177990" w:rsidRPr="00F62FC9">
        <w:rPr>
          <w:rFonts w:ascii="Calibri" w:hAnsi="Calibri" w:cs="Calibri"/>
          <w:noProof/>
          <w:sz w:val="24"/>
          <w:szCs w:val="24"/>
        </w:rPr>
        <w:t xml:space="preserve"> (ISHEN)</w:t>
      </w:r>
      <w:r w:rsidR="001C6C36" w:rsidRPr="00F62FC9">
        <w:rPr>
          <w:rFonts w:ascii="Calibri" w:hAnsi="Calibri" w:cs="Calibri"/>
          <w:noProof/>
          <w:sz w:val="24"/>
          <w:szCs w:val="24"/>
        </w:rPr>
        <w:t xml:space="preserve"> também</w:t>
      </w:r>
      <w:r w:rsidR="00177990" w:rsidRPr="00F62FC9">
        <w:rPr>
          <w:rFonts w:ascii="Calibri" w:hAnsi="Calibri" w:cs="Calibri"/>
          <w:noProof/>
          <w:sz w:val="24"/>
          <w:szCs w:val="24"/>
        </w:rPr>
        <w:t xml:space="preserve"> propô</w:t>
      </w:r>
      <w:r w:rsidR="000E1E95" w:rsidRPr="00F62FC9">
        <w:rPr>
          <w:rFonts w:ascii="Calibri" w:hAnsi="Calibri" w:cs="Calibri"/>
          <w:noProof/>
          <w:sz w:val="24"/>
          <w:szCs w:val="24"/>
        </w:rPr>
        <w:t xml:space="preserve">s </w:t>
      </w:r>
      <w:r w:rsidR="00177990" w:rsidRPr="00F62FC9">
        <w:rPr>
          <w:rFonts w:ascii="Calibri" w:hAnsi="Calibri" w:cs="Calibri"/>
          <w:noProof/>
          <w:sz w:val="24"/>
          <w:szCs w:val="24"/>
        </w:rPr>
        <w:t>uma</w:t>
      </w:r>
      <w:r w:rsidR="0054776A" w:rsidRPr="00F62FC9">
        <w:rPr>
          <w:rFonts w:ascii="Calibri" w:hAnsi="Calibri" w:cs="Calibri"/>
          <w:noProof/>
          <w:color w:val="00B050"/>
          <w:sz w:val="24"/>
          <w:szCs w:val="24"/>
        </w:rPr>
        <w:t xml:space="preserve"> </w:t>
      </w:r>
      <w:r w:rsidR="0054776A" w:rsidRPr="00F62FC9">
        <w:rPr>
          <w:rFonts w:ascii="Calibri" w:hAnsi="Calibri" w:cs="Calibri"/>
          <w:noProof/>
          <w:sz w:val="24"/>
          <w:szCs w:val="24"/>
        </w:rPr>
        <w:t xml:space="preserve">classificação </w:t>
      </w:r>
      <w:r w:rsidR="00686791" w:rsidRPr="00F62FC9">
        <w:rPr>
          <w:rFonts w:ascii="Calibri" w:hAnsi="Calibri" w:cs="Calibri"/>
          <w:noProof/>
          <w:sz w:val="24"/>
          <w:szCs w:val="24"/>
        </w:rPr>
        <w:t>clínica</w:t>
      </w:r>
      <w:r w:rsidR="007D7AB5" w:rsidRPr="00F62FC9">
        <w:rPr>
          <w:rFonts w:ascii="Calibri" w:hAnsi="Calibri" w:cs="Calibri"/>
          <w:noProof/>
          <w:sz w:val="24"/>
          <w:szCs w:val="24"/>
        </w:rPr>
        <w:t xml:space="preserve"> –</w:t>
      </w:r>
      <w:r w:rsidR="00E3360E" w:rsidRPr="00F62FC9">
        <w:rPr>
          <w:rFonts w:ascii="Calibri" w:hAnsi="Calibri" w:cs="Calibri"/>
          <w:noProof/>
          <w:sz w:val="24"/>
          <w:szCs w:val="24"/>
        </w:rPr>
        <w:t xml:space="preserve"> </w:t>
      </w:r>
      <w:r w:rsidR="00F75067" w:rsidRPr="00F62FC9">
        <w:rPr>
          <w:rFonts w:ascii="Calibri" w:hAnsi="Calibri" w:cs="Calibri"/>
          <w:noProof/>
          <w:sz w:val="24"/>
          <w:szCs w:val="24"/>
        </w:rPr>
        <w:t xml:space="preserve">mas </w:t>
      </w:r>
      <w:r w:rsidR="003E3D15" w:rsidRPr="00F62FC9">
        <w:rPr>
          <w:rFonts w:ascii="Calibri" w:hAnsi="Calibri" w:cs="Calibri"/>
          <w:noProof/>
          <w:sz w:val="24"/>
          <w:szCs w:val="24"/>
        </w:rPr>
        <w:t xml:space="preserve">diminuindo a variabilidade </w:t>
      </w:r>
      <w:r w:rsidR="00243CA9" w:rsidRPr="00F62FC9">
        <w:rPr>
          <w:rFonts w:ascii="Calibri" w:hAnsi="Calibri" w:cs="Calibri"/>
          <w:noProof/>
          <w:sz w:val="24"/>
          <w:szCs w:val="24"/>
        </w:rPr>
        <w:t xml:space="preserve">intrínseca </w:t>
      </w:r>
      <w:r w:rsidR="00F75067" w:rsidRPr="00F62FC9">
        <w:rPr>
          <w:rFonts w:ascii="Calibri" w:hAnsi="Calibri" w:cs="Calibri"/>
          <w:noProof/>
          <w:sz w:val="24"/>
          <w:szCs w:val="24"/>
        </w:rPr>
        <w:t xml:space="preserve">à </w:t>
      </w:r>
      <w:r w:rsidR="00243CA9" w:rsidRPr="00F62FC9">
        <w:rPr>
          <w:rFonts w:ascii="Calibri" w:hAnsi="Calibri" w:cs="Calibri"/>
          <w:noProof/>
          <w:sz w:val="24"/>
          <w:szCs w:val="24"/>
        </w:rPr>
        <w:t>subjetividade da análise dos graus 1 e 2 do CWH</w:t>
      </w:r>
      <w:r w:rsidR="00E3360E" w:rsidRPr="00F62FC9">
        <w:rPr>
          <w:rFonts w:ascii="Calibri" w:hAnsi="Calibri" w:cs="Calibri"/>
          <w:noProof/>
          <w:sz w:val="24"/>
          <w:szCs w:val="24"/>
        </w:rPr>
        <w:t xml:space="preserve"> e </w:t>
      </w:r>
      <w:r w:rsidR="0090702E" w:rsidRPr="00F62FC9">
        <w:rPr>
          <w:rFonts w:ascii="Calibri" w:hAnsi="Calibri" w:cs="Calibri"/>
          <w:noProof/>
          <w:sz w:val="24"/>
          <w:szCs w:val="24"/>
        </w:rPr>
        <w:t>tornando</w:t>
      </w:r>
      <w:r w:rsidR="00F75067" w:rsidRPr="00F62FC9">
        <w:rPr>
          <w:rFonts w:ascii="Calibri" w:hAnsi="Calibri" w:cs="Calibri"/>
          <w:noProof/>
          <w:sz w:val="24"/>
          <w:szCs w:val="24"/>
        </w:rPr>
        <w:t>-a</w:t>
      </w:r>
      <w:r w:rsidR="0090702E" w:rsidRPr="00F62FC9">
        <w:rPr>
          <w:rFonts w:ascii="Calibri" w:hAnsi="Calibri" w:cs="Calibri"/>
          <w:noProof/>
          <w:sz w:val="24"/>
          <w:szCs w:val="24"/>
        </w:rPr>
        <w:t xml:space="preserve"> mais objetiva </w:t>
      </w:r>
      <w:r w:rsidR="00BC5FAB" w:rsidRPr="00F62FC9">
        <w:rPr>
          <w:rFonts w:ascii="Calibri" w:hAnsi="Calibri" w:cs="Calibri"/>
          <w:noProof/>
          <w:sz w:val="24"/>
          <w:szCs w:val="24"/>
        </w:rPr>
        <w:t>para</w:t>
      </w:r>
      <w:r w:rsidR="0090702E" w:rsidRPr="00F62FC9">
        <w:rPr>
          <w:rFonts w:ascii="Calibri" w:hAnsi="Calibri" w:cs="Calibri"/>
          <w:noProof/>
          <w:sz w:val="24"/>
          <w:szCs w:val="24"/>
        </w:rPr>
        <w:t xml:space="preserve"> estudos</w:t>
      </w:r>
      <w:r w:rsidR="00BC5FAB" w:rsidRPr="00F62FC9">
        <w:rPr>
          <w:rFonts w:ascii="Calibri" w:hAnsi="Calibri" w:cs="Calibri"/>
          <w:noProof/>
          <w:sz w:val="24"/>
          <w:szCs w:val="24"/>
        </w:rPr>
        <w:t>. Ela</w:t>
      </w:r>
      <w:r w:rsidR="00686791" w:rsidRPr="00F62FC9">
        <w:rPr>
          <w:rFonts w:ascii="Calibri" w:hAnsi="Calibri" w:cs="Calibri"/>
          <w:noProof/>
          <w:sz w:val="24"/>
          <w:szCs w:val="24"/>
        </w:rPr>
        <w:t xml:space="preserve"> </w:t>
      </w:r>
      <w:r w:rsidR="004E50D6" w:rsidRPr="00F62FC9">
        <w:rPr>
          <w:rFonts w:ascii="Calibri" w:hAnsi="Calibri" w:cs="Calibri"/>
          <w:noProof/>
          <w:sz w:val="24"/>
          <w:szCs w:val="24"/>
        </w:rPr>
        <w:t>divide</w:t>
      </w:r>
      <w:r w:rsidR="0054776A" w:rsidRPr="00F62FC9">
        <w:rPr>
          <w:rFonts w:ascii="Calibri" w:hAnsi="Calibri" w:cs="Calibri"/>
          <w:noProof/>
          <w:sz w:val="24"/>
          <w:szCs w:val="24"/>
        </w:rPr>
        <w:t xml:space="preserve"> a síndrome em</w:t>
      </w:r>
      <w:r w:rsidR="00E60451" w:rsidRPr="00F62FC9">
        <w:rPr>
          <w:rFonts w:ascii="Calibri" w:hAnsi="Calibri" w:cs="Calibri"/>
          <w:noProof/>
          <w:sz w:val="24"/>
          <w:szCs w:val="24"/>
        </w:rPr>
        <w:t>:</w:t>
      </w:r>
      <w:r w:rsidR="0054776A" w:rsidRPr="00F62FC9">
        <w:rPr>
          <w:rFonts w:ascii="Calibri" w:hAnsi="Calibri" w:cs="Calibri"/>
          <w:noProof/>
          <w:sz w:val="24"/>
          <w:szCs w:val="24"/>
        </w:rPr>
        <w:t xml:space="preserve"> </w:t>
      </w:r>
      <w:r w:rsidR="00F3384A" w:rsidRPr="00F62FC9">
        <w:rPr>
          <w:rFonts w:ascii="Calibri" w:hAnsi="Calibri" w:cs="Calibri"/>
          <w:noProof/>
          <w:sz w:val="24"/>
          <w:szCs w:val="24"/>
        </w:rPr>
        <w:t xml:space="preserve">(i) </w:t>
      </w:r>
      <w:r w:rsidR="00E60451" w:rsidRPr="00F62FC9">
        <w:rPr>
          <w:rFonts w:ascii="Calibri" w:hAnsi="Calibri" w:cs="Calibri"/>
          <w:noProof/>
          <w:sz w:val="24"/>
          <w:szCs w:val="24"/>
        </w:rPr>
        <w:t xml:space="preserve">EH </w:t>
      </w:r>
      <w:r w:rsidR="0054776A" w:rsidRPr="00F62FC9">
        <w:rPr>
          <w:rFonts w:ascii="Calibri" w:hAnsi="Calibri" w:cs="Calibri"/>
          <w:noProof/>
          <w:sz w:val="24"/>
          <w:szCs w:val="24"/>
        </w:rPr>
        <w:t>ausente</w:t>
      </w:r>
      <w:r w:rsidR="00E60451" w:rsidRPr="00F62FC9">
        <w:rPr>
          <w:rFonts w:ascii="Calibri" w:hAnsi="Calibri" w:cs="Calibri"/>
          <w:noProof/>
          <w:sz w:val="24"/>
          <w:szCs w:val="24"/>
        </w:rPr>
        <w:t>;</w:t>
      </w:r>
      <w:r w:rsidR="0054776A" w:rsidRPr="00F62FC9">
        <w:rPr>
          <w:rFonts w:ascii="Calibri" w:hAnsi="Calibri" w:cs="Calibri"/>
          <w:noProof/>
          <w:sz w:val="24"/>
          <w:szCs w:val="24"/>
        </w:rPr>
        <w:t xml:space="preserve"> </w:t>
      </w:r>
      <w:r w:rsidR="00E60451" w:rsidRPr="00F62FC9">
        <w:rPr>
          <w:rFonts w:ascii="Calibri" w:hAnsi="Calibri" w:cs="Calibri"/>
          <w:noProof/>
          <w:sz w:val="24"/>
          <w:szCs w:val="24"/>
        </w:rPr>
        <w:t xml:space="preserve">em </w:t>
      </w:r>
      <w:r w:rsidR="00F3384A" w:rsidRPr="00F62FC9">
        <w:rPr>
          <w:rFonts w:ascii="Calibri" w:hAnsi="Calibri" w:cs="Calibri"/>
          <w:noProof/>
          <w:sz w:val="24"/>
          <w:szCs w:val="24"/>
        </w:rPr>
        <w:t xml:space="preserve">(ii) </w:t>
      </w:r>
      <w:r w:rsidR="00E60451" w:rsidRPr="00F62FC9">
        <w:rPr>
          <w:rFonts w:ascii="Calibri" w:hAnsi="Calibri" w:cs="Calibri"/>
          <w:noProof/>
          <w:sz w:val="24"/>
          <w:szCs w:val="24"/>
        </w:rPr>
        <w:t xml:space="preserve">EH </w:t>
      </w:r>
      <w:r w:rsidR="0054776A" w:rsidRPr="00F62FC9">
        <w:rPr>
          <w:rFonts w:ascii="Calibri" w:hAnsi="Calibri" w:cs="Calibri"/>
          <w:noProof/>
          <w:sz w:val="24"/>
          <w:szCs w:val="24"/>
        </w:rPr>
        <w:lastRenderedPageBreak/>
        <w:t>encoberta (“covert”)</w:t>
      </w:r>
      <w:r w:rsidR="00E60451" w:rsidRPr="00F62FC9">
        <w:rPr>
          <w:rFonts w:ascii="Calibri" w:hAnsi="Calibri" w:cs="Calibri"/>
          <w:noProof/>
          <w:sz w:val="24"/>
          <w:szCs w:val="24"/>
        </w:rPr>
        <w:t xml:space="preserve">, </w:t>
      </w:r>
      <w:r w:rsidR="0054776A" w:rsidRPr="00F62FC9">
        <w:rPr>
          <w:rFonts w:ascii="Calibri" w:hAnsi="Calibri" w:cs="Calibri"/>
          <w:noProof/>
          <w:sz w:val="24"/>
          <w:szCs w:val="24"/>
        </w:rPr>
        <w:t xml:space="preserve"> </w:t>
      </w:r>
      <w:r w:rsidR="00E60451" w:rsidRPr="00F62FC9">
        <w:rPr>
          <w:rFonts w:ascii="Calibri" w:hAnsi="Calibri" w:cs="Calibri"/>
          <w:noProof/>
          <w:sz w:val="24"/>
          <w:szCs w:val="24"/>
        </w:rPr>
        <w:t xml:space="preserve">cujos pacientes apresentam EH mínima e Grau I </w:t>
      </w:r>
      <w:r w:rsidR="00541600" w:rsidRPr="00F62FC9">
        <w:rPr>
          <w:rFonts w:ascii="Calibri" w:hAnsi="Calibri" w:cs="Calibri"/>
          <w:noProof/>
          <w:sz w:val="24"/>
          <w:szCs w:val="24"/>
        </w:rPr>
        <w:t xml:space="preserve">na </w:t>
      </w:r>
      <w:r w:rsidR="00EF57DA" w:rsidRPr="00F62FC9">
        <w:rPr>
          <w:rFonts w:ascii="Calibri" w:hAnsi="Calibri" w:cs="Calibri"/>
          <w:noProof/>
          <w:sz w:val="24"/>
          <w:szCs w:val="24"/>
        </w:rPr>
        <w:t>CWH</w:t>
      </w:r>
      <w:r w:rsidR="00E60451" w:rsidRPr="00F62FC9">
        <w:rPr>
          <w:rFonts w:ascii="Calibri" w:hAnsi="Calibri" w:cs="Calibri"/>
          <w:noProof/>
          <w:sz w:val="24"/>
          <w:szCs w:val="24"/>
        </w:rPr>
        <w:t xml:space="preserve">; </w:t>
      </w:r>
      <w:r w:rsidR="0054776A" w:rsidRPr="00F62FC9">
        <w:rPr>
          <w:rFonts w:ascii="Calibri" w:hAnsi="Calibri" w:cs="Calibri"/>
          <w:noProof/>
          <w:sz w:val="24"/>
          <w:szCs w:val="24"/>
        </w:rPr>
        <w:t xml:space="preserve">ou </w:t>
      </w:r>
      <w:r w:rsidR="00E60451" w:rsidRPr="00F62FC9">
        <w:rPr>
          <w:rFonts w:ascii="Calibri" w:hAnsi="Calibri" w:cs="Calibri"/>
          <w:noProof/>
          <w:sz w:val="24"/>
          <w:szCs w:val="24"/>
        </w:rPr>
        <w:t xml:space="preserve">em </w:t>
      </w:r>
      <w:r w:rsidR="005C45A0" w:rsidRPr="00F62FC9">
        <w:rPr>
          <w:rFonts w:ascii="Calibri" w:hAnsi="Calibri" w:cs="Calibri"/>
          <w:noProof/>
          <w:sz w:val="24"/>
          <w:szCs w:val="24"/>
        </w:rPr>
        <w:t xml:space="preserve">(iii) </w:t>
      </w:r>
      <w:r w:rsidR="00E60451" w:rsidRPr="00F62FC9">
        <w:rPr>
          <w:rFonts w:ascii="Calibri" w:hAnsi="Calibri" w:cs="Calibri"/>
          <w:noProof/>
          <w:sz w:val="24"/>
          <w:szCs w:val="24"/>
        </w:rPr>
        <w:t xml:space="preserve">EH </w:t>
      </w:r>
      <w:r w:rsidR="0054776A" w:rsidRPr="00F62FC9">
        <w:rPr>
          <w:rFonts w:ascii="Calibri" w:hAnsi="Calibri" w:cs="Calibri"/>
          <w:noProof/>
          <w:sz w:val="24"/>
          <w:szCs w:val="24"/>
        </w:rPr>
        <w:t>aparente (“overt”)</w:t>
      </w:r>
      <w:r w:rsidR="00E60451" w:rsidRPr="00F62FC9">
        <w:rPr>
          <w:rFonts w:ascii="Calibri" w:hAnsi="Calibri" w:cs="Calibri"/>
          <w:noProof/>
          <w:sz w:val="24"/>
          <w:szCs w:val="24"/>
        </w:rPr>
        <w:t>, cujos pacientes apresentam anormalidades clínicas evidentes</w:t>
      </w:r>
      <w:r w:rsidR="0054776A" w:rsidRPr="00F62FC9">
        <w:rPr>
          <w:rFonts w:ascii="Calibri" w:hAnsi="Calibri" w:cs="Calibri"/>
          <w:noProof/>
          <w:sz w:val="24"/>
          <w:szCs w:val="24"/>
        </w:rPr>
        <w:t>. Nessa classificação são ponderados o estado mental do paciente, os resultados de testes especializados e a presença ou não de asterix (</w:t>
      </w:r>
      <w:r w:rsidR="0054776A" w:rsidRPr="00F62FC9">
        <w:rPr>
          <w:rFonts w:ascii="Calibri" w:hAnsi="Calibri" w:cs="Calibri"/>
          <w:i/>
          <w:iCs/>
          <w:noProof/>
          <w:sz w:val="24"/>
          <w:szCs w:val="24"/>
        </w:rPr>
        <w:t>flapping</w:t>
      </w:r>
      <w:r w:rsidR="0054776A" w:rsidRPr="00F62FC9">
        <w:rPr>
          <w:rFonts w:ascii="Calibri" w:hAnsi="Calibri" w:cs="Calibri"/>
          <w:noProof/>
          <w:sz w:val="24"/>
          <w:szCs w:val="24"/>
        </w:rPr>
        <w:t>)</w:t>
      </w:r>
      <w:r w:rsidR="004646BE" w:rsidRPr="00F62FC9">
        <w:rPr>
          <w:rFonts w:ascii="Calibri" w:hAnsi="Calibri" w:cs="Calibri"/>
          <w:noProof/>
          <w:sz w:val="24"/>
          <w:szCs w:val="24"/>
        </w:rPr>
        <w:t xml:space="preserve"> </w:t>
      </w:r>
      <w:r w:rsidR="0054776A" w:rsidRPr="00F62FC9">
        <w:rPr>
          <w:rFonts w:ascii="Calibri" w:hAnsi="Calibri" w:cs="Calibri"/>
          <w:noProof/>
          <w:sz w:val="24"/>
          <w:szCs w:val="24"/>
          <w:lang w:val="en-US"/>
        </w:rPr>
        <w:fldChar w:fldCharType="begin" w:fldLock="1"/>
      </w:r>
      <w:r w:rsidR="003B280C" w:rsidRPr="00F62FC9">
        <w:rPr>
          <w:rFonts w:ascii="Calibri" w:hAnsi="Calibri" w:cs="Calibri"/>
          <w:noProof/>
          <w:sz w:val="24"/>
          <w:szCs w:val="24"/>
        </w:rPr>
        <w:instrText>ADDIN CSL_CITATION {"citationItems":[{"id":"ITEM-1","itemData":{"DOI":"10.1111/j.1365-2036.2011.04590.x","ISSN":"02692813","PMID":"21306407","abstract":"Background The clinical classification of hepatic encephalopathy is largely subjective, which has led to difficulties in designing trials in this field. Aims To review the current classification of hepatic encephalopathy and to develop consensus guidelines on the design and conduct of future clinical trials. Methods A round table was convened at the 14th International Society for Hepatic Encephalopathy and Nitrogen Metabolism (ISHEN) meeting. Key discussion points were the nomenclature of hepatic encephalopathy and the selection of patients, standards of care and end-points for assessing the treatment and secondary prevention of hepatic encephalopathy. Results It was generally agreed that severity assessment of hepatic encephalopathy in patients with cirrhosis, whether made clinically or more objectively, should be continuous rather than categorical, and a system for assessing the SONIC (Spectrum of Neuro-cognitive Impairment in Cirrhosis) was proposed. Within this system, patients currently classified as having minimal hepatic encephalopathy and Grade I hepatic encephalopathy would be classified as having Covert hepatic encephalopathy, whereas those with apparent clinical abnormalities would continue to be classified as overt hepatic encephalopathy. Some aspects of the terminology require further debate. Consensus was also reached on the patient populations, standards of care and endpoints to assess clinical trial outcomes. However, some compromises had to be made as there is considerable inter- and intravariability in the availability of some of the more objective surrogate performance markers. Conclusions The objectives of the round table were met. Robust, defendable guidelines for the conduct of future studies into hepatic encephalopathy have been provided. Outstanding issues are few and will continue to be discussed. © 2011 Blackwell Publishing Ltd.","author":[{"dropping-particle":"","family":"Bajaj","given":"J. S.","non-dropping-particle":"","parse-names":false,"suffix":""},{"dropping-particle":"","family":"Cordoba","given":"J.","non-dropping-particle":"","parse-names":false,"suffix":""},{"dropping-particle":"","family":"Mullen","given":"K. D.","non-dropping-particle":"","parse-names":false,"suffix":""},{"dropping-particle":"","family":"Amodio","given":"P.","non-dropping-particle":"","parse-names":false,"suffix":""},{"dropping-particle":"","family":"Shawcross","given":"D. L.","non-dropping-particle":"","parse-names":false,"suffix":""},{"dropping-particle":"","family":"Butterworth","given":"R. F.","non-dropping-particle":"","parse-names":false,"suffix":""},{"dropping-particle":"","family":"Morgan","given":"M. Y.","non-dropping-particle":"","parse-names":false,"suffix":""}],"container-title":"Alimentary Pharmacology and Therapeutics","id":"ITEM-1","issue":"7","issued":{"date-parts":[["2011"]]},"page":"739-747","title":"Review article: The design of clinical trials in hepatic encephalopathy - An International Society for Hepatic Encephalopathy and Nitrogen Metabolism (ISHEN) consensus statement","type":"article-journal","volume":"33"},"uris":["http://www.mendeley.com/documents/?uuid=888edfca-1927-466b-9b67-e700ff427b90"]}],"mendeley":{"formattedCitation":"(14)","plainTextFormattedCitation":"(14)","previouslyFormattedCitation":"(Bajaj et al. 2011)"},"properties":{"noteIndex":0},"schema":"https://github.com/citation-style-language/schema/raw/master/csl-citation.json"}</w:instrText>
      </w:r>
      <w:r w:rsidR="0054776A" w:rsidRPr="00F62FC9">
        <w:rPr>
          <w:rFonts w:ascii="Calibri" w:hAnsi="Calibri" w:cs="Calibri"/>
          <w:noProof/>
          <w:sz w:val="24"/>
          <w:szCs w:val="24"/>
          <w:lang w:val="en-US"/>
        </w:rPr>
        <w:fldChar w:fldCharType="separate"/>
      </w:r>
      <w:r w:rsidR="003B280C" w:rsidRPr="00F62FC9">
        <w:rPr>
          <w:rFonts w:ascii="Calibri" w:hAnsi="Calibri" w:cs="Calibri"/>
          <w:noProof/>
          <w:sz w:val="24"/>
          <w:szCs w:val="24"/>
        </w:rPr>
        <w:t>(14)</w:t>
      </w:r>
      <w:r w:rsidR="0054776A" w:rsidRPr="00F62FC9">
        <w:rPr>
          <w:rFonts w:ascii="Calibri" w:hAnsi="Calibri" w:cs="Calibri"/>
          <w:noProof/>
          <w:sz w:val="24"/>
          <w:szCs w:val="24"/>
          <w:lang w:val="en-US"/>
        </w:rPr>
        <w:fldChar w:fldCharType="end"/>
      </w:r>
      <w:r w:rsidR="0054776A" w:rsidRPr="00F62FC9">
        <w:rPr>
          <w:rFonts w:ascii="Calibri" w:hAnsi="Calibri" w:cs="Calibri"/>
          <w:noProof/>
          <w:sz w:val="24"/>
          <w:szCs w:val="24"/>
        </w:rPr>
        <w:t>.</w:t>
      </w:r>
      <w:r w:rsidR="00092811" w:rsidRPr="00F62FC9">
        <w:rPr>
          <w:rFonts w:ascii="Calibri" w:hAnsi="Calibri" w:cs="Calibri"/>
          <w:noProof/>
          <w:sz w:val="24"/>
          <w:szCs w:val="24"/>
        </w:rPr>
        <w:t xml:space="preserve"> </w:t>
      </w:r>
    </w:p>
    <w:p w14:paraId="50787C7D" w14:textId="77777777" w:rsidR="00B342B8" w:rsidRPr="00F62FC9" w:rsidRDefault="00B342B8" w:rsidP="001A4A75">
      <w:pPr>
        <w:ind w:firstLine="360"/>
        <w:jc w:val="both"/>
        <w:rPr>
          <w:rFonts w:ascii="Calibri" w:hAnsi="Calibri" w:cs="Calibri"/>
          <w:noProof/>
          <w:sz w:val="24"/>
          <w:szCs w:val="24"/>
        </w:rPr>
      </w:pPr>
    </w:p>
    <w:p w14:paraId="3EE79728" w14:textId="211EA3BC" w:rsidR="00236949" w:rsidRPr="00F62FC9" w:rsidRDefault="00236949" w:rsidP="00236949">
      <w:pPr>
        <w:pStyle w:val="Legenda"/>
        <w:keepNext/>
        <w:jc w:val="both"/>
        <w:rPr>
          <w:rFonts w:ascii="Calibri" w:hAnsi="Calibri" w:cs="Calibri"/>
          <w:b w:val="0"/>
          <w:bCs w:val="0"/>
        </w:rPr>
      </w:pPr>
      <w:r w:rsidRPr="00F62FC9">
        <w:rPr>
          <w:rFonts w:ascii="Calibri" w:hAnsi="Calibri" w:cs="Calibri"/>
          <w:b w:val="0"/>
          <w:bCs w:val="0"/>
        </w:rPr>
        <w:t xml:space="preserve">Tabela </w:t>
      </w:r>
      <w:r w:rsidRPr="00F62FC9">
        <w:rPr>
          <w:rFonts w:ascii="Calibri" w:hAnsi="Calibri" w:cs="Calibri"/>
          <w:b w:val="0"/>
          <w:bCs w:val="0"/>
        </w:rPr>
        <w:fldChar w:fldCharType="begin"/>
      </w:r>
      <w:r w:rsidRPr="00F62FC9">
        <w:rPr>
          <w:rFonts w:ascii="Calibri" w:hAnsi="Calibri" w:cs="Calibri"/>
          <w:b w:val="0"/>
          <w:bCs w:val="0"/>
        </w:rPr>
        <w:instrText xml:space="preserve"> SEQ Tabela \* ARABIC </w:instrText>
      </w:r>
      <w:r w:rsidRPr="00F62FC9">
        <w:rPr>
          <w:rFonts w:ascii="Calibri" w:hAnsi="Calibri" w:cs="Calibri"/>
          <w:b w:val="0"/>
          <w:bCs w:val="0"/>
        </w:rPr>
        <w:fldChar w:fldCharType="separate"/>
      </w:r>
      <w:r w:rsidR="009453D8">
        <w:rPr>
          <w:rFonts w:ascii="Calibri" w:hAnsi="Calibri" w:cs="Calibri"/>
          <w:b w:val="0"/>
          <w:bCs w:val="0"/>
          <w:noProof/>
        </w:rPr>
        <w:t>2</w:t>
      </w:r>
      <w:r w:rsidRPr="00F62FC9">
        <w:rPr>
          <w:rFonts w:ascii="Calibri" w:hAnsi="Calibri" w:cs="Calibri"/>
          <w:b w:val="0"/>
          <w:bCs w:val="0"/>
        </w:rPr>
        <w:fldChar w:fldCharType="end"/>
      </w:r>
      <w:r w:rsidRPr="00F62FC9">
        <w:rPr>
          <w:rFonts w:ascii="Calibri" w:hAnsi="Calibri" w:cs="Calibri"/>
          <w:b w:val="0"/>
          <w:bCs w:val="0"/>
        </w:rPr>
        <w:t xml:space="preserve"> - Classificação Neuro cognitiva do espectro clínico da EH pela ISHEN</w:t>
      </w:r>
    </w:p>
    <w:p w14:paraId="1344CE54" w14:textId="1A8036E5" w:rsidR="0054776A" w:rsidRPr="00F62FC9" w:rsidRDefault="00245415" w:rsidP="001A4A75">
      <w:pPr>
        <w:ind w:firstLine="360"/>
        <w:jc w:val="both"/>
        <w:rPr>
          <w:rFonts w:ascii="Calibri" w:hAnsi="Calibri" w:cs="Calibri"/>
          <w:noProof/>
          <w:sz w:val="24"/>
          <w:szCs w:val="24"/>
        </w:rPr>
      </w:pPr>
      <w:r>
        <w:rPr>
          <w:rFonts w:ascii="Calibri" w:hAnsi="Calibri" w:cs="Calibri"/>
          <w:noProof/>
          <w:sz w:val="24"/>
          <w:szCs w:val="24"/>
        </w:rPr>
        <w:drawing>
          <wp:inline distT="0" distB="0" distL="0" distR="0" wp14:anchorId="15FD7232" wp14:editId="7F7083E0">
            <wp:extent cx="4410075" cy="742950"/>
            <wp:effectExtent l="0" t="0" r="0" b="0"/>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410075" cy="742950"/>
                    </a:xfrm>
                    <a:prstGeom prst="rect">
                      <a:avLst/>
                    </a:prstGeom>
                    <a:noFill/>
                    <a:ln>
                      <a:noFill/>
                    </a:ln>
                  </pic:spPr>
                </pic:pic>
              </a:graphicData>
            </a:graphic>
          </wp:inline>
        </w:drawing>
      </w:r>
    </w:p>
    <w:p w14:paraId="373631B5" w14:textId="77777777" w:rsidR="00B342B8" w:rsidRPr="00F62FC9" w:rsidRDefault="00B342B8" w:rsidP="001A4A75">
      <w:pPr>
        <w:ind w:firstLine="360"/>
        <w:jc w:val="both"/>
        <w:rPr>
          <w:rFonts w:ascii="Calibri" w:hAnsi="Calibri" w:cs="Calibri"/>
          <w:noProof/>
          <w:sz w:val="24"/>
          <w:szCs w:val="24"/>
        </w:rPr>
      </w:pPr>
    </w:p>
    <w:p w14:paraId="29B19E3E" w14:textId="61092751" w:rsidR="00EC5B9A" w:rsidRPr="00F62FC9" w:rsidRDefault="00C724CF" w:rsidP="001A4A75">
      <w:pPr>
        <w:ind w:firstLine="360"/>
        <w:jc w:val="both"/>
        <w:rPr>
          <w:rFonts w:ascii="Calibri" w:hAnsi="Calibri" w:cs="Calibri"/>
          <w:noProof/>
          <w:sz w:val="24"/>
          <w:szCs w:val="24"/>
        </w:rPr>
      </w:pPr>
      <w:r w:rsidRPr="00F62FC9">
        <w:rPr>
          <w:rFonts w:ascii="Calibri" w:hAnsi="Calibri" w:cs="Calibri"/>
          <w:noProof/>
          <w:sz w:val="24"/>
          <w:szCs w:val="24"/>
        </w:rPr>
        <w:t xml:space="preserve">Ochoa-Sanchez </w:t>
      </w:r>
      <w:r w:rsidRPr="00F62FC9">
        <w:rPr>
          <w:rFonts w:ascii="Calibri" w:hAnsi="Calibri" w:cs="Calibri"/>
          <w:i/>
          <w:iCs/>
          <w:noProof/>
          <w:sz w:val="24"/>
          <w:szCs w:val="24"/>
        </w:rPr>
        <w:t>et al.</w:t>
      </w:r>
      <w:r w:rsidR="00636F54" w:rsidRPr="00F62FC9">
        <w:rPr>
          <w:rFonts w:ascii="Calibri" w:hAnsi="Calibri" w:cs="Calibri"/>
          <w:noProof/>
          <w:sz w:val="24"/>
          <w:szCs w:val="24"/>
        </w:rPr>
        <w:t xml:space="preserve"> apont</w:t>
      </w:r>
      <w:r w:rsidRPr="00F62FC9">
        <w:rPr>
          <w:rFonts w:ascii="Calibri" w:hAnsi="Calibri" w:cs="Calibri"/>
          <w:noProof/>
          <w:sz w:val="24"/>
          <w:szCs w:val="24"/>
        </w:rPr>
        <w:t>aram</w:t>
      </w:r>
      <w:r w:rsidR="00636F54" w:rsidRPr="00F62FC9">
        <w:rPr>
          <w:rFonts w:ascii="Calibri" w:hAnsi="Calibri" w:cs="Calibri"/>
          <w:noProof/>
          <w:sz w:val="24"/>
          <w:szCs w:val="24"/>
        </w:rPr>
        <w:t xml:space="preserve"> </w:t>
      </w:r>
      <w:r w:rsidR="00EC5B9A" w:rsidRPr="00F62FC9">
        <w:rPr>
          <w:rFonts w:ascii="Calibri" w:hAnsi="Calibri" w:cs="Calibri"/>
          <w:noProof/>
          <w:sz w:val="24"/>
          <w:szCs w:val="24"/>
        </w:rPr>
        <w:t xml:space="preserve">que mais de 80% dos pacientes cirróticos desenvolvem EH encoberta (covert); enquanto </w:t>
      </w:r>
      <w:r w:rsidR="00461945" w:rsidRPr="00F62FC9">
        <w:rPr>
          <w:rFonts w:ascii="Calibri" w:hAnsi="Calibri" w:cs="Calibri"/>
          <w:noProof/>
          <w:sz w:val="24"/>
          <w:szCs w:val="24"/>
        </w:rPr>
        <w:t xml:space="preserve">30% dos pacientes em falência hepática </w:t>
      </w:r>
      <w:r w:rsidR="00E9646B" w:rsidRPr="00F62FC9">
        <w:rPr>
          <w:rFonts w:ascii="Calibri" w:hAnsi="Calibri" w:cs="Calibri"/>
          <w:noProof/>
          <w:sz w:val="24"/>
          <w:szCs w:val="24"/>
        </w:rPr>
        <w:t xml:space="preserve">(DHA) </w:t>
      </w:r>
      <w:r w:rsidR="00461945" w:rsidRPr="00F62FC9">
        <w:rPr>
          <w:rFonts w:ascii="Calibri" w:hAnsi="Calibri" w:cs="Calibri"/>
          <w:noProof/>
          <w:sz w:val="24"/>
          <w:szCs w:val="24"/>
        </w:rPr>
        <w:t>apresentam EH aparente (overt)</w:t>
      </w:r>
      <w:r w:rsidR="00461945" w:rsidRPr="00F62FC9">
        <w:rPr>
          <w:rFonts w:ascii="Calibri" w:hAnsi="Calibri" w:cs="Calibri"/>
          <w:noProof/>
          <w:sz w:val="24"/>
          <w:szCs w:val="24"/>
        </w:rPr>
        <w:fldChar w:fldCharType="begin" w:fldLock="1"/>
      </w:r>
      <w:r w:rsidR="003B280C" w:rsidRPr="00F62FC9">
        <w:rPr>
          <w:rFonts w:ascii="Calibri" w:hAnsi="Calibri" w:cs="Calibri"/>
          <w:noProof/>
          <w:sz w:val="24"/>
          <w:szCs w:val="24"/>
        </w:rPr>
        <w:instrText>ADDIN CSL_CITATION {"citationItems":[{"id":"ITEM-1","itemData":{"DOI":"10.1016/j.jceh.2018.08.001","ISSN":"22133453","abstract":"Hepatic encephalopathy (HE) is a complex neuropsychiatric syndrome that occurs during chronic liver disease (CLD). While ammonia and other precipitating factors in liver disease including inflammation, bile acids, oxidative stress, and lactate play a role in the pathogenesis of HE, the exact mechanism that leads to HE is not fully understood. Notably, accumulating evidence points toward a synergic effect rather than independent actions among precipitating factors that contributes to the development and severity of HE in CLD. Hence, this review is aimed to briefly discuss the single and synergic interplay of pathological factors in the progression and severity of HE.","author":[{"dropping-particle":"","family":"Ochoa-Sanchez","given":"Rafael","non-dropping-particle":"","parse-names":false,"suffix":""},{"dropping-particle":"","family":"Rose","given":"Christopher F","non-dropping-particle":"","parse-names":false,"suffix":""}],"container-title":"Journal of Clinical and Experimental Hepatology","id":"ITEM-1","issue":"3","issued":{"date-parts":[["2018"]]},"page":"262-271","title":"Pathogenesis of Hepatic Encephalopathy in Chronic Liver Disease","type":"article","volume":"8"},"uris":["http://www.mendeley.com/documents/?uuid=4402be81-1824-4dcd-948e-486aa5fedd22"]}],"mendeley":{"formattedCitation":"(8)","plainTextFormattedCitation":"(8)","previouslyFormattedCitation":"(Ochoa-Sanchez and Rose 2018)"},"properties":{"noteIndex":0},"schema":"https://github.com/citation-style-language/schema/raw/master/csl-citation.json"}</w:instrText>
      </w:r>
      <w:r w:rsidR="00461945" w:rsidRPr="00F62FC9">
        <w:rPr>
          <w:rFonts w:ascii="Calibri" w:hAnsi="Calibri" w:cs="Calibri"/>
          <w:noProof/>
          <w:sz w:val="24"/>
          <w:szCs w:val="24"/>
        </w:rPr>
        <w:fldChar w:fldCharType="separate"/>
      </w:r>
      <w:r w:rsidR="003B280C" w:rsidRPr="00F62FC9">
        <w:rPr>
          <w:rFonts w:ascii="Calibri" w:hAnsi="Calibri" w:cs="Calibri"/>
          <w:noProof/>
          <w:sz w:val="24"/>
          <w:szCs w:val="24"/>
        </w:rPr>
        <w:t>(8)</w:t>
      </w:r>
      <w:r w:rsidR="00461945" w:rsidRPr="00F62FC9">
        <w:rPr>
          <w:rFonts w:ascii="Calibri" w:hAnsi="Calibri" w:cs="Calibri"/>
          <w:noProof/>
          <w:sz w:val="24"/>
          <w:szCs w:val="24"/>
        </w:rPr>
        <w:fldChar w:fldCharType="end"/>
      </w:r>
      <w:r w:rsidR="00461945" w:rsidRPr="00F62FC9">
        <w:rPr>
          <w:rFonts w:ascii="Calibri" w:hAnsi="Calibri" w:cs="Calibri"/>
          <w:noProof/>
          <w:sz w:val="24"/>
          <w:szCs w:val="24"/>
        </w:rPr>
        <w:t>.</w:t>
      </w:r>
      <w:r w:rsidR="00DA5D8D" w:rsidRPr="00F62FC9">
        <w:rPr>
          <w:rFonts w:ascii="Calibri" w:hAnsi="Calibri" w:cs="Calibri"/>
          <w:noProof/>
          <w:sz w:val="24"/>
          <w:szCs w:val="24"/>
        </w:rPr>
        <w:t xml:space="preserve"> </w:t>
      </w:r>
      <w:r w:rsidR="00994748" w:rsidRPr="00F62FC9">
        <w:rPr>
          <w:rFonts w:ascii="Calibri" w:hAnsi="Calibri" w:cs="Calibri"/>
          <w:noProof/>
          <w:sz w:val="24"/>
          <w:szCs w:val="24"/>
        </w:rPr>
        <w:t xml:space="preserve">Lidofsky </w:t>
      </w:r>
      <w:r w:rsidR="00994748" w:rsidRPr="00F62FC9">
        <w:rPr>
          <w:rFonts w:ascii="Calibri" w:hAnsi="Calibri" w:cs="Calibri"/>
          <w:i/>
          <w:iCs/>
          <w:noProof/>
          <w:sz w:val="24"/>
          <w:szCs w:val="24"/>
        </w:rPr>
        <w:t>et al.</w:t>
      </w:r>
      <w:r w:rsidR="00994748" w:rsidRPr="00F62FC9">
        <w:rPr>
          <w:rFonts w:ascii="Calibri" w:hAnsi="Calibri" w:cs="Calibri"/>
          <w:noProof/>
          <w:sz w:val="24"/>
          <w:szCs w:val="24"/>
        </w:rPr>
        <w:t xml:space="preserve"> relat</w:t>
      </w:r>
      <w:r w:rsidR="00636F54" w:rsidRPr="00F62FC9">
        <w:rPr>
          <w:rFonts w:ascii="Calibri" w:hAnsi="Calibri" w:cs="Calibri"/>
          <w:noProof/>
          <w:sz w:val="24"/>
          <w:szCs w:val="24"/>
        </w:rPr>
        <w:t>aram</w:t>
      </w:r>
      <w:r w:rsidR="00994748" w:rsidRPr="00F62FC9">
        <w:rPr>
          <w:rFonts w:ascii="Calibri" w:hAnsi="Calibri" w:cs="Calibri"/>
          <w:noProof/>
          <w:sz w:val="24"/>
          <w:szCs w:val="24"/>
        </w:rPr>
        <w:t xml:space="preserve"> </w:t>
      </w:r>
      <w:r w:rsidR="00902100" w:rsidRPr="00F62FC9">
        <w:rPr>
          <w:rFonts w:ascii="Calibri" w:hAnsi="Calibri" w:cs="Calibri"/>
          <w:noProof/>
          <w:sz w:val="24"/>
          <w:szCs w:val="24"/>
        </w:rPr>
        <w:t xml:space="preserve">EH avançada/aparente em 12 a 67% dos pacientes de DHA </w:t>
      </w:r>
      <w:r w:rsidR="00902100" w:rsidRPr="00F62FC9">
        <w:rPr>
          <w:rFonts w:ascii="Calibri" w:hAnsi="Calibri" w:cs="Calibri"/>
          <w:noProof/>
          <w:sz w:val="24"/>
          <w:szCs w:val="24"/>
        </w:rPr>
        <w:fldChar w:fldCharType="begin" w:fldLock="1"/>
      </w:r>
      <w:r w:rsidR="003B280C" w:rsidRPr="00F62FC9">
        <w:rPr>
          <w:rFonts w:ascii="Calibri" w:hAnsi="Calibri" w:cs="Calibri"/>
          <w:noProof/>
          <w:sz w:val="24"/>
          <w:szCs w:val="24"/>
        </w:rPr>
        <w:instrText>ADDIN CSL_CITATION {"citationItems":[{"id":"ITEM-1","itemData":{"DOI":"10.1002/hep.1840160102","ISSN":"02709139","author":[{"dropping-particle":"","family":"Lidofsky","given":"Steven D.","non-dropping-particle":"","parse-names":false,"suffix":""},{"dropping-particle":"","family":"Bass","given":"Nathan M.","non-dropping-particle":"","parse-names":false,"suffix":""},{"dropping-particle":"","family":"Prager","given":"Marie C","non-dropping-particle":"","parse-names":false,"suffix":""},{"dropping-particle":"","family":"Washington","given":"Denna E.","non-dropping-particle":"","parse-names":false,"suffix":""},{"dropping-particle":"","family":"Read","given":"Alexandra E.","non-dropping-particle":"","parse-names":false,"suffix":""},{"dropping-particle":"","family":"Wright","given":"Teresa L","non-dropping-particle":"","parse-names":false,"suffix":""},{"dropping-particle":"","family":"Ascher","given":"Nancy L","non-dropping-particle":"","parse-names":false,"suffix":""},{"dropping-particle":"","family":"Roberts","given":"John P.","non-dropping-particle":"","parse-names":false,"suffix":""},{"dropping-particle":"","family":"Scharschmidt","given":"Bruce F.","non-dropping-particle":"","parse-names":false,"suffix":""},{"dropping-particle":"","family":"Lake","given":"John R.","non-dropping-particle":"","parse-names":false,"suffix":""}],"container-title":"Hepatology","id":"ITEM-1","issue":"1","issued":{"date-parts":[["1992","7"]]},"page":"1-7","title":"Intracranial pressure monitoring and liver transplantation for fulminant hepatic failure","type":"article-journal","volume":"16"},"uris":["http://www.mendeley.com/documents/?uuid=e9b15b34-9ab7-44de-9b5a-bdbb839fc9b5"]}],"mendeley":{"formattedCitation":"(15)","plainTextFormattedCitation":"(15)","previouslyFormattedCitation":"(Lidofsky et al. 1992)"},"properties":{"noteIndex":0},"schema":"https://github.com/citation-style-language/schema/raw/master/csl-citation.json"}</w:instrText>
      </w:r>
      <w:r w:rsidR="00902100" w:rsidRPr="00F62FC9">
        <w:rPr>
          <w:rFonts w:ascii="Calibri" w:hAnsi="Calibri" w:cs="Calibri"/>
          <w:noProof/>
          <w:sz w:val="24"/>
          <w:szCs w:val="24"/>
        </w:rPr>
        <w:fldChar w:fldCharType="separate"/>
      </w:r>
      <w:r w:rsidR="003B280C" w:rsidRPr="00F62FC9">
        <w:rPr>
          <w:rFonts w:ascii="Calibri" w:hAnsi="Calibri" w:cs="Calibri"/>
          <w:noProof/>
          <w:sz w:val="24"/>
          <w:szCs w:val="24"/>
        </w:rPr>
        <w:t>(15)</w:t>
      </w:r>
      <w:r w:rsidR="00902100" w:rsidRPr="00F62FC9">
        <w:rPr>
          <w:rFonts w:ascii="Calibri" w:hAnsi="Calibri" w:cs="Calibri"/>
          <w:noProof/>
          <w:sz w:val="24"/>
          <w:szCs w:val="24"/>
        </w:rPr>
        <w:fldChar w:fldCharType="end"/>
      </w:r>
      <w:r w:rsidR="00902100" w:rsidRPr="00F62FC9">
        <w:rPr>
          <w:rFonts w:ascii="Calibri" w:hAnsi="Calibri" w:cs="Calibri"/>
          <w:noProof/>
          <w:sz w:val="24"/>
          <w:szCs w:val="24"/>
        </w:rPr>
        <w:t>.</w:t>
      </w:r>
      <w:r w:rsidR="00451ACB" w:rsidRPr="00F62FC9">
        <w:rPr>
          <w:rFonts w:ascii="Calibri" w:hAnsi="Calibri" w:cs="Calibri"/>
          <w:noProof/>
          <w:sz w:val="24"/>
          <w:szCs w:val="24"/>
        </w:rPr>
        <w:t xml:space="preserve"> Já outro estudo relata </w:t>
      </w:r>
      <w:r w:rsidR="00236807" w:rsidRPr="00F62FC9">
        <w:rPr>
          <w:rFonts w:ascii="Calibri" w:hAnsi="Calibri" w:cs="Calibri"/>
          <w:noProof/>
          <w:sz w:val="24"/>
          <w:szCs w:val="24"/>
        </w:rPr>
        <w:t xml:space="preserve">que EH mínima </w:t>
      </w:r>
      <w:r w:rsidR="00D15EBD" w:rsidRPr="00F62FC9">
        <w:rPr>
          <w:rFonts w:ascii="Calibri" w:hAnsi="Calibri" w:cs="Calibri"/>
          <w:noProof/>
          <w:sz w:val="24"/>
          <w:szCs w:val="24"/>
        </w:rPr>
        <w:t>ocorre em 20-80% dos pacientes cirroticos</w:t>
      </w:r>
      <w:r w:rsidR="00AD6511" w:rsidRPr="00F62FC9">
        <w:rPr>
          <w:rFonts w:ascii="Calibri" w:hAnsi="Calibri" w:cs="Calibri"/>
          <w:noProof/>
          <w:sz w:val="24"/>
          <w:szCs w:val="24"/>
        </w:rPr>
        <w:t xml:space="preserve">; além de apontar a que </w:t>
      </w:r>
      <w:r w:rsidR="0002688D" w:rsidRPr="00F62FC9">
        <w:rPr>
          <w:rFonts w:ascii="Calibri" w:hAnsi="Calibri" w:cs="Calibri"/>
          <w:noProof/>
          <w:sz w:val="24"/>
          <w:szCs w:val="24"/>
        </w:rPr>
        <w:t>a chance d</w:t>
      </w:r>
      <w:r w:rsidR="00AD6511" w:rsidRPr="00F62FC9">
        <w:rPr>
          <w:rFonts w:ascii="Calibri" w:hAnsi="Calibri" w:cs="Calibri"/>
          <w:noProof/>
          <w:sz w:val="24"/>
          <w:szCs w:val="24"/>
        </w:rPr>
        <w:t xml:space="preserve">o primeiro episódio de EH </w:t>
      </w:r>
      <w:r w:rsidR="0002688D" w:rsidRPr="00F62FC9">
        <w:rPr>
          <w:rFonts w:ascii="Calibri" w:hAnsi="Calibri" w:cs="Calibri"/>
          <w:noProof/>
          <w:sz w:val="24"/>
          <w:szCs w:val="24"/>
        </w:rPr>
        <w:t>é de 5</w:t>
      </w:r>
      <w:r w:rsidR="0077160B" w:rsidRPr="00F62FC9">
        <w:rPr>
          <w:rFonts w:ascii="Calibri" w:hAnsi="Calibri" w:cs="Calibri"/>
          <w:noProof/>
          <w:sz w:val="24"/>
          <w:szCs w:val="24"/>
        </w:rPr>
        <w:t xml:space="preserve"> a </w:t>
      </w:r>
      <w:r w:rsidR="0002688D" w:rsidRPr="00F62FC9">
        <w:rPr>
          <w:rFonts w:ascii="Calibri" w:hAnsi="Calibri" w:cs="Calibri"/>
          <w:noProof/>
          <w:sz w:val="24"/>
          <w:szCs w:val="24"/>
        </w:rPr>
        <w:t>25% dentro dos primeiros 5 anos do diagnóstico</w:t>
      </w:r>
      <w:r w:rsidR="00D16E74" w:rsidRPr="00F62FC9">
        <w:rPr>
          <w:rFonts w:ascii="Calibri" w:hAnsi="Calibri" w:cs="Calibri"/>
          <w:noProof/>
          <w:sz w:val="24"/>
          <w:szCs w:val="24"/>
        </w:rPr>
        <w:t xml:space="preserve"> </w:t>
      </w:r>
      <w:r w:rsidR="00672BD2" w:rsidRPr="00F62FC9">
        <w:rPr>
          <w:rFonts w:ascii="Calibri" w:hAnsi="Calibri" w:cs="Calibri"/>
          <w:noProof/>
          <w:sz w:val="24"/>
          <w:szCs w:val="24"/>
        </w:rPr>
        <w:fldChar w:fldCharType="begin" w:fldLock="1"/>
      </w:r>
      <w:r w:rsidR="003B280C" w:rsidRPr="00F62FC9">
        <w:rPr>
          <w:rFonts w:ascii="Calibri" w:hAnsi="Calibri" w:cs="Calibri"/>
          <w:noProof/>
          <w:sz w:val="24"/>
          <w:szCs w:val="24"/>
        </w:rPr>
        <w:instrText>ADDIN CSL_CITATION {"citationItems":[{"id":"ITEM-1","itemData":{"DOI":"10.1002/hep.27210","ISSN":"02709139","PMID":"25042402","author":[{"dropping-particle":"","family":"Vilstrup","given":"Hendrik","non-dropping-particle":"","parse-names":false,"suffix":""},{"dropping-particle":"","family":"Amodio","given":"Piero","non-dropping-particle":"","parse-names":false,"suffix":""},{"dropping-particle":"","family":"Bajaj","given":"Jasmohan","non-dropping-particle":"","parse-names":false,"suffix":""},{"dropping-particle":"","family":"Cordoba","given":"Juan","non-dropping-particle":"","parse-names":false,"suffix":""},{"dropping-particle":"","family":"Ferenci","given":"Peter","non-dropping-particle":"","parse-names":false,"suffix":""},{"dropping-particle":"","family":"Mullen","given":"Kevin D.","non-dropping-particle":"","parse-names":false,"suffix":""},{"dropping-particle":"","family":"Weissenborn","given":"Karin","non-dropping-particle":"","parse-names":false,"suffix":""},{"dropping-particle":"","family":"Wong","given":"Philip","non-dropping-particle":"","parse-names":false,"suffix":""}],"container-title":"Hepatology","id":"ITEM-1","issue":"2","issued":{"date-parts":[["2014","8"]]},"page":"715-735","title":"Hepatic encephalopathy in chronic liver disease: 2014 Practice Guideline by the American Association for the Study Of Liver Diseases and the European Association for the Study of the Liver","type":"article-journal","volume":"60"},"uris":["http://www.mendeley.com/documents/?uuid=5112b611-e52c-4b7e-ab9c-69a8eeb18fb2"]}],"mendeley":{"formattedCitation":"(6)","plainTextFormattedCitation":"(6)","previouslyFormattedCitation":"(Vilstrup et al. 2014)"},"properties":{"noteIndex":0},"schema":"https://github.com/citation-style-language/schema/raw/master/csl-citation.json"}</w:instrText>
      </w:r>
      <w:r w:rsidR="00672BD2" w:rsidRPr="00F62FC9">
        <w:rPr>
          <w:rFonts w:ascii="Calibri" w:hAnsi="Calibri" w:cs="Calibri"/>
          <w:noProof/>
          <w:sz w:val="24"/>
          <w:szCs w:val="24"/>
        </w:rPr>
        <w:fldChar w:fldCharType="separate"/>
      </w:r>
      <w:r w:rsidR="003B280C" w:rsidRPr="00F62FC9">
        <w:rPr>
          <w:rFonts w:ascii="Calibri" w:hAnsi="Calibri" w:cs="Calibri"/>
          <w:noProof/>
          <w:sz w:val="24"/>
          <w:szCs w:val="24"/>
        </w:rPr>
        <w:t>(6)</w:t>
      </w:r>
      <w:r w:rsidR="00672BD2" w:rsidRPr="00F62FC9">
        <w:rPr>
          <w:rFonts w:ascii="Calibri" w:hAnsi="Calibri" w:cs="Calibri"/>
          <w:noProof/>
          <w:sz w:val="24"/>
          <w:szCs w:val="24"/>
        </w:rPr>
        <w:fldChar w:fldCharType="end"/>
      </w:r>
      <w:r w:rsidR="00D16E74" w:rsidRPr="00F62FC9">
        <w:rPr>
          <w:rFonts w:ascii="Calibri" w:hAnsi="Calibri" w:cs="Calibri"/>
          <w:noProof/>
          <w:sz w:val="24"/>
          <w:szCs w:val="24"/>
        </w:rPr>
        <w:t>.</w:t>
      </w:r>
    </w:p>
    <w:p w14:paraId="4ABEF360" w14:textId="41600D92" w:rsidR="003E12B9" w:rsidRPr="00F62FC9" w:rsidRDefault="00EB54D0" w:rsidP="00E26FB8">
      <w:pPr>
        <w:ind w:firstLine="360"/>
        <w:jc w:val="both"/>
        <w:rPr>
          <w:rFonts w:ascii="Calibri" w:hAnsi="Calibri" w:cs="Calibri"/>
          <w:sz w:val="24"/>
          <w:szCs w:val="24"/>
        </w:rPr>
      </w:pPr>
      <w:r w:rsidRPr="00F62FC9">
        <w:rPr>
          <w:rFonts w:ascii="Calibri" w:hAnsi="Calibri" w:cs="Calibri"/>
          <w:sz w:val="24"/>
          <w:szCs w:val="24"/>
        </w:rPr>
        <w:t>Desse modo, o diagnóstico d</w:t>
      </w:r>
      <w:r w:rsidR="008F60F6" w:rsidRPr="00F62FC9">
        <w:rPr>
          <w:rFonts w:ascii="Calibri" w:hAnsi="Calibri" w:cs="Calibri"/>
          <w:sz w:val="24"/>
          <w:szCs w:val="24"/>
        </w:rPr>
        <w:t>a</w:t>
      </w:r>
      <w:r w:rsidRPr="00F62FC9">
        <w:rPr>
          <w:rFonts w:ascii="Calibri" w:hAnsi="Calibri" w:cs="Calibri"/>
          <w:sz w:val="24"/>
          <w:szCs w:val="24"/>
        </w:rPr>
        <w:t xml:space="preserve"> EH é eminentemente clínico</w:t>
      </w:r>
      <w:r w:rsidR="00A03D95" w:rsidRPr="00F62FC9">
        <w:rPr>
          <w:rFonts w:ascii="Calibri" w:hAnsi="Calibri" w:cs="Calibri"/>
          <w:sz w:val="24"/>
          <w:szCs w:val="24"/>
        </w:rPr>
        <w:t xml:space="preserve">, com a busca desses </w:t>
      </w:r>
      <w:r w:rsidR="00E155C2" w:rsidRPr="00F62FC9">
        <w:rPr>
          <w:rFonts w:ascii="Calibri" w:hAnsi="Calibri" w:cs="Calibri"/>
          <w:sz w:val="24"/>
          <w:szCs w:val="24"/>
        </w:rPr>
        <w:t>achados</w:t>
      </w:r>
      <w:r w:rsidR="00A03D95" w:rsidRPr="00F62FC9">
        <w:rPr>
          <w:rFonts w:ascii="Calibri" w:hAnsi="Calibri" w:cs="Calibri"/>
          <w:sz w:val="24"/>
          <w:szCs w:val="24"/>
        </w:rPr>
        <w:t xml:space="preserve"> típicos</w:t>
      </w:r>
      <w:r w:rsidRPr="00F62FC9">
        <w:rPr>
          <w:rFonts w:ascii="Calibri" w:hAnsi="Calibri" w:cs="Calibri"/>
          <w:sz w:val="24"/>
          <w:szCs w:val="24"/>
        </w:rPr>
        <w:t>.</w:t>
      </w:r>
      <w:r w:rsidR="00A03D95" w:rsidRPr="00F62FC9">
        <w:rPr>
          <w:rFonts w:ascii="Calibri" w:hAnsi="Calibri" w:cs="Calibri"/>
          <w:sz w:val="24"/>
          <w:szCs w:val="24"/>
        </w:rPr>
        <w:t xml:space="preserve"> Paralelamente, pode-se pedir testes laboratoriais </w:t>
      </w:r>
      <w:r w:rsidR="003D14D8" w:rsidRPr="00F62FC9">
        <w:rPr>
          <w:rFonts w:ascii="Calibri" w:hAnsi="Calibri" w:cs="Calibri"/>
          <w:sz w:val="24"/>
          <w:szCs w:val="24"/>
        </w:rPr>
        <w:t xml:space="preserve">indicando o aumento das transaminases, aumento </w:t>
      </w:r>
      <w:r w:rsidR="00C24FD3" w:rsidRPr="00F62FC9">
        <w:rPr>
          <w:rFonts w:ascii="Calibri" w:hAnsi="Calibri" w:cs="Calibri"/>
          <w:sz w:val="24"/>
          <w:szCs w:val="24"/>
        </w:rPr>
        <w:t>no tempo de protrombina</w:t>
      </w:r>
      <w:r w:rsidR="00B5502C" w:rsidRPr="00F62FC9">
        <w:rPr>
          <w:rFonts w:ascii="Calibri" w:hAnsi="Calibri" w:cs="Calibri"/>
          <w:sz w:val="24"/>
          <w:szCs w:val="24"/>
        </w:rPr>
        <w:t xml:space="preserve"> (</w:t>
      </w:r>
      <w:r w:rsidR="00F23F9C" w:rsidRPr="00F62FC9">
        <w:rPr>
          <w:rFonts w:ascii="Calibri" w:hAnsi="Calibri" w:cs="Calibri"/>
          <w:sz w:val="24"/>
          <w:szCs w:val="24"/>
        </w:rPr>
        <w:t xml:space="preserve">PPT; ou </w:t>
      </w:r>
      <w:r w:rsidR="00914C30" w:rsidRPr="00F62FC9">
        <w:rPr>
          <w:rFonts w:ascii="Calibri" w:hAnsi="Calibri" w:cs="Calibri"/>
          <w:sz w:val="24"/>
          <w:szCs w:val="24"/>
        </w:rPr>
        <w:t>via</w:t>
      </w:r>
      <w:r w:rsidR="00B5502C" w:rsidRPr="00F62FC9">
        <w:rPr>
          <w:rFonts w:ascii="Calibri" w:hAnsi="Calibri" w:cs="Calibri"/>
          <w:sz w:val="24"/>
          <w:szCs w:val="24"/>
        </w:rPr>
        <w:t xml:space="preserve"> INR)</w:t>
      </w:r>
      <w:r w:rsidR="00640968" w:rsidRPr="00F62FC9">
        <w:rPr>
          <w:rFonts w:ascii="Calibri" w:hAnsi="Calibri" w:cs="Calibri"/>
          <w:sz w:val="24"/>
          <w:szCs w:val="24"/>
        </w:rPr>
        <w:t xml:space="preserve"> ou ainda a elevação da amônia sérica</w:t>
      </w:r>
      <w:r w:rsidR="0014785D" w:rsidRPr="00F62FC9">
        <w:rPr>
          <w:rFonts w:ascii="Calibri" w:hAnsi="Calibri" w:cs="Calibri"/>
          <w:sz w:val="24"/>
          <w:szCs w:val="24"/>
        </w:rPr>
        <w:t xml:space="preserve"> </w:t>
      </w:r>
      <w:r w:rsidR="0014785D" w:rsidRPr="00F62FC9">
        <w:rPr>
          <w:rFonts w:ascii="Calibri" w:hAnsi="Calibri" w:cs="Calibri"/>
          <w:sz w:val="24"/>
          <w:szCs w:val="24"/>
        </w:rPr>
        <w:fldChar w:fldCharType="begin" w:fldLock="1"/>
      </w:r>
      <w:r w:rsidR="003B280C" w:rsidRPr="00F62FC9">
        <w:rPr>
          <w:rFonts w:ascii="Calibri" w:hAnsi="Calibri" w:cs="Calibri"/>
          <w:sz w:val="24"/>
          <w:szCs w:val="24"/>
        </w:rPr>
        <w:instrText>ADDIN CSL_CITATION {"citationItems":[{"id":"ITEM-1","itemData":{"DOI":"10.1016/j.cld.2015.04.006","ISSN":"15578224","PMID":"26195209","abstract":"Hepatic encephalopathy (HE) is associated with cerebral edema (CE), increased intracranial pressure (ICP), and subsequent neurologic complications; it is the most important cause of morbidity and mortality in fulminant hepatic failure. The goal of therapy should be early diagnosis and treatment of HE with measures to reduce CE. A combination of clinical examination and diagnostic modalities can aid in prompt diagnosis. ICP monitoring and transcranial Doppler help diagnose and monitor response to treatment. Transfer to a transplant center and intensive care unit admission with airway management and reduction of CE with hypertonic saline, mannitol, hypothermia, and sedation are recommended as a bridge to liver transplantation.","author":[{"dropping-particle":"","family":"Kodali","given":"Sudha","non-dropping-particle":"","parse-names":false,"suffix":""},{"dropping-particle":"","family":"McGuire","given":"Brendan M.","non-dropping-particle":"","parse-names":false,"suffix":""}],"container-title":"Clinics in Liver Disease","id":"ITEM-1","issue":"3","issued":{"date-parts":[["2015"]]},"page":"565-576","publisher":"Elsevier Inc","title":"Diagnosis and Management of Hepatic Encephalopathy in Fulminant Hepatic Failure","type":"article","volume":"19"},"uris":["http://www.mendeley.com/documents/?uuid=ee5a5aa9-59f4-421f-8274-78a7e72edbae"]}],"mendeley":{"formattedCitation":"(5)","plainTextFormattedCitation":"(5)","previouslyFormattedCitation":"(Kodali and McGuire 2015)"},"properties":{"noteIndex":0},"schema":"https://github.com/citation-style-language/schema/raw/master/csl-citation.json"}</w:instrText>
      </w:r>
      <w:r w:rsidR="0014785D" w:rsidRPr="00F62FC9">
        <w:rPr>
          <w:rFonts w:ascii="Calibri" w:hAnsi="Calibri" w:cs="Calibri"/>
          <w:sz w:val="24"/>
          <w:szCs w:val="24"/>
        </w:rPr>
        <w:fldChar w:fldCharType="separate"/>
      </w:r>
      <w:r w:rsidR="003B280C" w:rsidRPr="00F62FC9">
        <w:rPr>
          <w:rFonts w:ascii="Calibri" w:hAnsi="Calibri" w:cs="Calibri"/>
          <w:noProof/>
          <w:sz w:val="24"/>
          <w:szCs w:val="24"/>
        </w:rPr>
        <w:t>(5)</w:t>
      </w:r>
      <w:r w:rsidR="0014785D" w:rsidRPr="00F62FC9">
        <w:rPr>
          <w:rFonts w:ascii="Calibri" w:hAnsi="Calibri" w:cs="Calibri"/>
          <w:sz w:val="24"/>
          <w:szCs w:val="24"/>
        </w:rPr>
        <w:fldChar w:fldCharType="end"/>
      </w:r>
      <w:r w:rsidR="00640968" w:rsidRPr="00F62FC9">
        <w:rPr>
          <w:rFonts w:ascii="Calibri" w:hAnsi="Calibri" w:cs="Calibri"/>
          <w:sz w:val="24"/>
          <w:szCs w:val="24"/>
        </w:rPr>
        <w:t>.</w:t>
      </w:r>
      <w:r w:rsidR="003D14D8" w:rsidRPr="00F62FC9">
        <w:rPr>
          <w:rFonts w:ascii="Calibri" w:hAnsi="Calibri" w:cs="Calibri"/>
          <w:sz w:val="24"/>
          <w:szCs w:val="24"/>
        </w:rPr>
        <w:t xml:space="preserve"> </w:t>
      </w:r>
      <w:r w:rsidR="0055588B" w:rsidRPr="00F62FC9">
        <w:rPr>
          <w:rFonts w:ascii="Calibri" w:hAnsi="Calibri" w:cs="Calibri"/>
          <w:sz w:val="24"/>
          <w:szCs w:val="24"/>
        </w:rPr>
        <w:t xml:space="preserve">Referente a testes de imagem, a tomografia computadorizada (TC) </w:t>
      </w:r>
      <w:r w:rsidR="00733ED1" w:rsidRPr="00F62FC9">
        <w:rPr>
          <w:rFonts w:ascii="Calibri" w:hAnsi="Calibri" w:cs="Calibri"/>
          <w:sz w:val="24"/>
          <w:szCs w:val="24"/>
        </w:rPr>
        <w:t>deve ser realizada o quanto antes para identificar edema com efeito de massa</w:t>
      </w:r>
      <w:r w:rsidR="002336B6" w:rsidRPr="00F62FC9">
        <w:rPr>
          <w:rFonts w:ascii="Calibri" w:hAnsi="Calibri" w:cs="Calibri"/>
          <w:sz w:val="24"/>
          <w:szCs w:val="24"/>
        </w:rPr>
        <w:t xml:space="preserve">; contudo, a TC é de baixa sensibilidade por não conseguir excluir casos de edema </w:t>
      </w:r>
      <w:r w:rsidR="00B672BA" w:rsidRPr="00F62FC9">
        <w:rPr>
          <w:rFonts w:ascii="Calibri" w:hAnsi="Calibri" w:cs="Calibri"/>
          <w:sz w:val="24"/>
          <w:szCs w:val="24"/>
        </w:rPr>
        <w:t xml:space="preserve">precoce, uma vez que </w:t>
      </w:r>
      <w:r w:rsidR="00F4152B" w:rsidRPr="00F62FC9">
        <w:rPr>
          <w:rFonts w:ascii="Calibri" w:hAnsi="Calibri" w:cs="Calibri"/>
          <w:sz w:val="24"/>
          <w:szCs w:val="24"/>
        </w:rPr>
        <w:t xml:space="preserve">as </w:t>
      </w:r>
      <w:r w:rsidR="00B672BA" w:rsidRPr="00F62FC9">
        <w:rPr>
          <w:rFonts w:ascii="Calibri" w:hAnsi="Calibri" w:cs="Calibri"/>
          <w:sz w:val="24"/>
          <w:szCs w:val="24"/>
        </w:rPr>
        <w:t>anormalidades são muito suti</w:t>
      </w:r>
      <w:r w:rsidR="00F4152B" w:rsidRPr="00F62FC9">
        <w:rPr>
          <w:rFonts w:ascii="Calibri" w:hAnsi="Calibri" w:cs="Calibri"/>
          <w:sz w:val="24"/>
          <w:szCs w:val="24"/>
        </w:rPr>
        <w:t xml:space="preserve">s, como o desaparecimento de alguns sulcos e fissuras </w:t>
      </w:r>
      <w:r w:rsidR="00813D5C" w:rsidRPr="00F62FC9">
        <w:rPr>
          <w:rFonts w:ascii="Calibri" w:hAnsi="Calibri" w:cs="Calibri"/>
          <w:sz w:val="24"/>
          <w:szCs w:val="24"/>
        </w:rPr>
        <w:t>Sy</w:t>
      </w:r>
      <w:r w:rsidR="00F4152B" w:rsidRPr="00F62FC9">
        <w:rPr>
          <w:rFonts w:ascii="Calibri" w:hAnsi="Calibri" w:cs="Calibri"/>
          <w:sz w:val="24"/>
          <w:szCs w:val="24"/>
        </w:rPr>
        <w:t xml:space="preserve">lvianas. </w:t>
      </w:r>
      <w:r w:rsidR="00112C02" w:rsidRPr="00F62FC9">
        <w:rPr>
          <w:rFonts w:ascii="Calibri" w:hAnsi="Calibri" w:cs="Calibri"/>
          <w:sz w:val="24"/>
          <w:szCs w:val="24"/>
        </w:rPr>
        <w:t>Um</w:t>
      </w:r>
      <w:r w:rsidR="002F0304" w:rsidRPr="00F62FC9">
        <w:rPr>
          <w:rFonts w:ascii="Calibri" w:hAnsi="Calibri" w:cs="Calibri"/>
          <w:sz w:val="24"/>
          <w:szCs w:val="24"/>
        </w:rPr>
        <w:t xml:space="preserve"> paciente com EH e </w:t>
      </w:r>
      <w:r w:rsidR="00112C02" w:rsidRPr="00F62FC9">
        <w:rPr>
          <w:rFonts w:ascii="Calibri" w:hAnsi="Calibri" w:cs="Calibri"/>
          <w:sz w:val="24"/>
          <w:szCs w:val="24"/>
        </w:rPr>
        <w:t xml:space="preserve">TC normal </w:t>
      </w:r>
      <w:r w:rsidR="002F0304" w:rsidRPr="00F62FC9">
        <w:rPr>
          <w:rFonts w:ascii="Calibri" w:hAnsi="Calibri" w:cs="Calibri"/>
          <w:sz w:val="24"/>
          <w:szCs w:val="24"/>
        </w:rPr>
        <w:t>ainda apresenta alto risco de</w:t>
      </w:r>
      <w:r w:rsidR="00564E9D" w:rsidRPr="00F62FC9">
        <w:rPr>
          <w:rFonts w:ascii="Calibri" w:hAnsi="Calibri" w:cs="Calibri"/>
          <w:sz w:val="24"/>
          <w:szCs w:val="24"/>
        </w:rPr>
        <w:t xml:space="preserve"> edema e</w:t>
      </w:r>
      <w:r w:rsidR="002F0304" w:rsidRPr="00F62FC9">
        <w:rPr>
          <w:rFonts w:ascii="Calibri" w:hAnsi="Calibri" w:cs="Calibri"/>
          <w:sz w:val="24"/>
          <w:szCs w:val="24"/>
        </w:rPr>
        <w:t xml:space="preserve"> rápido aumento da PIC</w:t>
      </w:r>
      <w:r w:rsidR="00564E9D" w:rsidRPr="00F62FC9">
        <w:rPr>
          <w:rFonts w:ascii="Calibri" w:hAnsi="Calibri" w:cs="Calibri"/>
          <w:sz w:val="24"/>
          <w:szCs w:val="24"/>
        </w:rPr>
        <w:t xml:space="preserve"> -</w:t>
      </w:r>
      <w:r w:rsidR="00F8496D" w:rsidRPr="00F62FC9">
        <w:rPr>
          <w:rFonts w:ascii="Calibri" w:hAnsi="Calibri" w:cs="Calibri"/>
          <w:sz w:val="24"/>
          <w:szCs w:val="24"/>
        </w:rPr>
        <w:t xml:space="preserve"> que deve ser monitorizada </w:t>
      </w:r>
      <w:r w:rsidR="00F8496D" w:rsidRPr="00F62FC9">
        <w:rPr>
          <w:rFonts w:ascii="Calibri" w:hAnsi="Calibri" w:cs="Calibri"/>
          <w:sz w:val="24"/>
          <w:szCs w:val="24"/>
        </w:rPr>
        <w:fldChar w:fldCharType="begin" w:fldLock="1"/>
      </w:r>
      <w:r w:rsidR="003B280C" w:rsidRPr="00F62FC9">
        <w:rPr>
          <w:rFonts w:ascii="Calibri" w:hAnsi="Calibri" w:cs="Calibri"/>
          <w:sz w:val="24"/>
          <w:szCs w:val="24"/>
        </w:rPr>
        <w:instrText>ADDIN CSL_CITATION {"citationItems":[{"id":"ITEM-1","itemData":{"DOI":"10.1016/B978-0-7020-4087-0.00044-9","ISSN":"00729752","PMID":"24365344","abstract":"Fulminant hepatic failure presents with a hepatic encephalopathy and may progress to coma and often brain death from cerebral edema. This natural progression in severe cases contributes to early mortality, but outcome can be good if liver transplantation is appropriately timed and increased intracranial pressure (ICP) is managed. Neurologists and neurosurgeons have become more involved in these very challenging patients and are often asked to rapidly identify patients who are at risk of cerebral edema, to carefully select the patient population who will benefit from invasive ICP monitoring, to judge the correct time to start monitoring, to participate in treatment of cerebral edema, and to manage complications such as intracranial hemorrhage or seizures. This chapter summarizes the current multidisciplinary approach to fulminant hepatic failure and how to best bridge patients to emergency liver transplantation. © 2014 Elsevier B.V.","author":[{"dropping-particle":"","family":"Datar","given":"Sudhir","non-dropping-particle":"","parse-names":false,"suffix":""},{"dropping-particle":"","family":"Wijdicks","given":"Eelco F.M.","non-dropping-particle":"","parse-names":false,"suffix":""}],"container-title":"Handbook of Clinical Neurology","edition":"1","id":"ITEM-1","issued":{"date-parts":[["2014"]]},"page":"645-659","publisher":"Elsevier B.V.","title":"Neurologic manifestations of acute liver failure","type":"chapter","volume":"120"},"uris":["http://www.mendeley.com/documents/?uuid=7538d626-0023-4688-bf67-60bfc2a1e3a6"]}],"mendeley":{"formattedCitation":"(3)","plainTextFormattedCitation":"(3)","previouslyFormattedCitation":"(Datar and Wijdicks 2014)"},"properties":{"noteIndex":0},"schema":"https://github.com/citation-style-language/schema/raw/master/csl-citation.json"}</w:instrText>
      </w:r>
      <w:r w:rsidR="00F8496D" w:rsidRPr="00F62FC9">
        <w:rPr>
          <w:rFonts w:ascii="Calibri" w:hAnsi="Calibri" w:cs="Calibri"/>
          <w:sz w:val="24"/>
          <w:szCs w:val="24"/>
        </w:rPr>
        <w:fldChar w:fldCharType="separate"/>
      </w:r>
      <w:r w:rsidR="003B280C" w:rsidRPr="00F62FC9">
        <w:rPr>
          <w:rFonts w:ascii="Calibri" w:hAnsi="Calibri" w:cs="Calibri"/>
          <w:noProof/>
          <w:sz w:val="24"/>
          <w:szCs w:val="24"/>
        </w:rPr>
        <w:t>(3)</w:t>
      </w:r>
      <w:r w:rsidR="00F8496D" w:rsidRPr="00F62FC9">
        <w:rPr>
          <w:rFonts w:ascii="Calibri" w:hAnsi="Calibri" w:cs="Calibri"/>
          <w:sz w:val="24"/>
          <w:szCs w:val="24"/>
        </w:rPr>
        <w:fldChar w:fldCharType="end"/>
      </w:r>
      <w:r w:rsidR="00F8496D" w:rsidRPr="00F62FC9">
        <w:rPr>
          <w:rFonts w:ascii="Calibri" w:hAnsi="Calibri" w:cs="Calibri"/>
          <w:sz w:val="24"/>
          <w:szCs w:val="24"/>
        </w:rPr>
        <w:t>.</w:t>
      </w:r>
      <w:r w:rsidR="00D36323" w:rsidRPr="00F62FC9">
        <w:rPr>
          <w:rFonts w:ascii="Calibri" w:hAnsi="Calibri" w:cs="Calibri"/>
          <w:sz w:val="24"/>
          <w:szCs w:val="24"/>
        </w:rPr>
        <w:t xml:space="preserve"> </w:t>
      </w:r>
      <w:r w:rsidR="00F2321F" w:rsidRPr="00F62FC9">
        <w:rPr>
          <w:rFonts w:ascii="Calibri" w:hAnsi="Calibri" w:cs="Calibri"/>
          <w:sz w:val="24"/>
          <w:szCs w:val="24"/>
        </w:rPr>
        <w:t xml:space="preserve">Pode-se ainda </w:t>
      </w:r>
      <w:r w:rsidR="00D36323" w:rsidRPr="00F62FC9">
        <w:rPr>
          <w:rFonts w:ascii="Calibri" w:hAnsi="Calibri" w:cs="Calibri"/>
          <w:sz w:val="24"/>
          <w:szCs w:val="24"/>
        </w:rPr>
        <w:t xml:space="preserve">utilizar métodos </w:t>
      </w:r>
      <w:r w:rsidR="00637359" w:rsidRPr="00F62FC9">
        <w:rPr>
          <w:rFonts w:ascii="Calibri" w:hAnsi="Calibri" w:cs="Calibri"/>
          <w:sz w:val="24"/>
          <w:szCs w:val="24"/>
        </w:rPr>
        <w:t xml:space="preserve">não invasivos </w:t>
      </w:r>
      <w:r w:rsidR="00D36323" w:rsidRPr="00F62FC9">
        <w:rPr>
          <w:rFonts w:ascii="Calibri" w:hAnsi="Calibri" w:cs="Calibri"/>
          <w:sz w:val="24"/>
          <w:szCs w:val="24"/>
        </w:rPr>
        <w:t xml:space="preserve">como </w:t>
      </w:r>
      <w:r w:rsidR="00AE7D78" w:rsidRPr="00F62FC9">
        <w:rPr>
          <w:rFonts w:ascii="Calibri" w:hAnsi="Calibri" w:cs="Calibri"/>
          <w:sz w:val="24"/>
          <w:szCs w:val="24"/>
        </w:rPr>
        <w:t xml:space="preserve">a ultrassonografia transcraniana com Doppler (DTC), a </w:t>
      </w:r>
      <w:r w:rsidR="00FC192F" w:rsidRPr="00F62FC9">
        <w:rPr>
          <w:rFonts w:ascii="Calibri" w:hAnsi="Calibri" w:cs="Calibri"/>
          <w:sz w:val="24"/>
          <w:szCs w:val="24"/>
        </w:rPr>
        <w:t>avaliação do diâmetro da bainha do nervo óptico (ONSD)</w:t>
      </w:r>
      <w:r w:rsidR="00AE7D78" w:rsidRPr="00F62FC9">
        <w:rPr>
          <w:rFonts w:ascii="Calibri" w:hAnsi="Calibri" w:cs="Calibri"/>
          <w:sz w:val="24"/>
          <w:szCs w:val="24"/>
        </w:rPr>
        <w:t xml:space="preserve"> </w:t>
      </w:r>
      <w:r w:rsidR="006479F4" w:rsidRPr="00F62FC9">
        <w:rPr>
          <w:rFonts w:ascii="Calibri" w:hAnsi="Calibri" w:cs="Calibri"/>
          <w:sz w:val="24"/>
          <w:szCs w:val="24"/>
        </w:rPr>
        <w:t xml:space="preserve">e </w:t>
      </w:r>
      <w:r w:rsidR="00637359" w:rsidRPr="00F62FC9">
        <w:rPr>
          <w:rFonts w:ascii="Calibri" w:hAnsi="Calibri" w:cs="Calibri"/>
          <w:sz w:val="24"/>
          <w:szCs w:val="24"/>
        </w:rPr>
        <w:t>a</w:t>
      </w:r>
      <w:r w:rsidR="006479F4" w:rsidRPr="00F62FC9">
        <w:rPr>
          <w:rFonts w:ascii="Calibri" w:hAnsi="Calibri" w:cs="Calibri"/>
          <w:sz w:val="24"/>
          <w:szCs w:val="24"/>
        </w:rPr>
        <w:t xml:space="preserve"> </w:t>
      </w:r>
      <w:r w:rsidR="00637359" w:rsidRPr="00F62FC9">
        <w:rPr>
          <w:rFonts w:ascii="Calibri" w:hAnsi="Calibri" w:cs="Calibri"/>
          <w:sz w:val="24"/>
          <w:szCs w:val="24"/>
        </w:rPr>
        <w:t>ressonância magnética (RM) para estimar a complacência intracraniana</w:t>
      </w:r>
      <w:r w:rsidR="00A06782" w:rsidRPr="00F62FC9">
        <w:rPr>
          <w:rFonts w:ascii="Calibri" w:hAnsi="Calibri" w:cs="Calibri"/>
          <w:sz w:val="24"/>
          <w:szCs w:val="24"/>
        </w:rPr>
        <w:t xml:space="preserve"> (CIC)</w:t>
      </w:r>
      <w:r w:rsidR="00CE213A" w:rsidRPr="00F62FC9">
        <w:rPr>
          <w:rFonts w:ascii="Calibri" w:hAnsi="Calibri" w:cs="Calibri"/>
          <w:sz w:val="24"/>
          <w:szCs w:val="24"/>
        </w:rPr>
        <w:t xml:space="preserve">, a PIC e a </w:t>
      </w:r>
      <w:r w:rsidR="00032076" w:rsidRPr="00F62FC9">
        <w:rPr>
          <w:rFonts w:ascii="Calibri" w:hAnsi="Calibri" w:cs="Calibri"/>
          <w:sz w:val="24"/>
          <w:szCs w:val="24"/>
        </w:rPr>
        <w:t xml:space="preserve">pressão de </w:t>
      </w:r>
      <w:r w:rsidR="00CE213A" w:rsidRPr="00F62FC9">
        <w:rPr>
          <w:rFonts w:ascii="Calibri" w:hAnsi="Calibri" w:cs="Calibri"/>
          <w:sz w:val="24"/>
          <w:szCs w:val="24"/>
        </w:rPr>
        <w:t>perfusão cerebral</w:t>
      </w:r>
      <w:r w:rsidR="00032076" w:rsidRPr="00F62FC9">
        <w:rPr>
          <w:rFonts w:ascii="Calibri" w:hAnsi="Calibri" w:cs="Calibri"/>
          <w:sz w:val="24"/>
          <w:szCs w:val="24"/>
        </w:rPr>
        <w:t xml:space="preserve"> (PPC)</w:t>
      </w:r>
      <w:r w:rsidR="008F60F6" w:rsidRPr="00F62FC9">
        <w:rPr>
          <w:rFonts w:ascii="Calibri" w:hAnsi="Calibri" w:cs="Calibri"/>
          <w:sz w:val="24"/>
          <w:szCs w:val="24"/>
        </w:rPr>
        <w:fldChar w:fldCharType="begin" w:fldLock="1"/>
      </w:r>
      <w:r w:rsidR="003B280C" w:rsidRPr="00F62FC9">
        <w:rPr>
          <w:rFonts w:ascii="Calibri" w:hAnsi="Calibri" w:cs="Calibri"/>
          <w:sz w:val="24"/>
          <w:szCs w:val="24"/>
        </w:rPr>
        <w:instrText>ADDIN CSL_CITATION {"citationItems":[{"id":"ITEM-1","itemData":{"DOI":"10.1016/j.cld.2015.04.006","ISSN":"15578224","PMID":"26195209","abstract":"Hepatic encephalopathy (HE) is associated with cerebral edema (CE), increased intracranial pressure (ICP), and subsequent neurologic complications; it is the most important cause of morbidity and mortality in fulminant hepatic failure. The goal of therapy should be early diagnosis and treatment of HE with measures to reduce CE. A combination of clinical examination and diagnostic modalities can aid in prompt diagnosis. ICP monitoring and transcranial Doppler help diagnose and monitor response to treatment. Transfer to a transplant center and intensive care unit admission with airway management and reduction of CE with hypertonic saline, mannitol, hypothermia, and sedation are recommended as a bridge to liver transplantation.","author":[{"dropping-particle":"","family":"Kodali","given":"Sudha","non-dropping-particle":"","parse-names":false,"suffix":""},{"dropping-particle":"","family":"McGuire","given":"Brendan M.","non-dropping-particle":"","parse-names":false,"suffix":""}],"container-title":"Clinics in Liver Disease","id":"ITEM-1","issue":"3","issued":{"date-parts":[["2015"]]},"page":"565-576","publisher":"Elsevier Inc","title":"Diagnosis and Management of Hepatic Encephalopathy in Fulminant Hepatic Failure","type":"article","volume":"19"},"uris":["http://www.mendeley.com/documents/?uuid=ee5a5aa9-59f4-421f-8274-78a7e72edbae"]}],"mendeley":{"formattedCitation":"(5)","plainTextFormattedCitation":"(5)","previouslyFormattedCitation":"(Kodali and McGuire 2015)"},"properties":{"noteIndex":0},"schema":"https://github.com/citation-style-language/schema/raw/master/csl-citation.json"}</w:instrText>
      </w:r>
      <w:r w:rsidR="008F60F6" w:rsidRPr="00F62FC9">
        <w:rPr>
          <w:rFonts w:ascii="Calibri" w:hAnsi="Calibri" w:cs="Calibri"/>
          <w:sz w:val="24"/>
          <w:szCs w:val="24"/>
        </w:rPr>
        <w:fldChar w:fldCharType="separate"/>
      </w:r>
      <w:r w:rsidR="003B280C" w:rsidRPr="00F62FC9">
        <w:rPr>
          <w:rFonts w:ascii="Calibri" w:hAnsi="Calibri" w:cs="Calibri"/>
          <w:noProof/>
          <w:sz w:val="24"/>
          <w:szCs w:val="24"/>
        </w:rPr>
        <w:t>(5)</w:t>
      </w:r>
      <w:r w:rsidR="008F60F6" w:rsidRPr="00F62FC9">
        <w:rPr>
          <w:rFonts w:ascii="Calibri" w:hAnsi="Calibri" w:cs="Calibri"/>
          <w:sz w:val="24"/>
          <w:szCs w:val="24"/>
        </w:rPr>
        <w:fldChar w:fldCharType="end"/>
      </w:r>
      <w:r w:rsidR="00CE213A" w:rsidRPr="00F62FC9">
        <w:rPr>
          <w:rFonts w:ascii="Calibri" w:hAnsi="Calibri" w:cs="Calibri"/>
          <w:sz w:val="24"/>
          <w:szCs w:val="24"/>
        </w:rPr>
        <w:t xml:space="preserve">. </w:t>
      </w:r>
      <w:r w:rsidR="004B5B23" w:rsidRPr="00F62FC9">
        <w:rPr>
          <w:rFonts w:ascii="Calibri" w:hAnsi="Calibri" w:cs="Calibri"/>
          <w:sz w:val="24"/>
          <w:szCs w:val="24"/>
        </w:rPr>
        <w:t xml:space="preserve">Por fim, o </w:t>
      </w:r>
      <w:r w:rsidR="00D62761" w:rsidRPr="00F62FC9">
        <w:rPr>
          <w:rFonts w:ascii="Calibri" w:hAnsi="Calibri" w:cs="Calibri"/>
          <w:sz w:val="24"/>
          <w:szCs w:val="24"/>
        </w:rPr>
        <w:t xml:space="preserve">diagnóstico deve ser feito </w:t>
      </w:r>
      <w:r w:rsidR="0078610C" w:rsidRPr="00F62FC9">
        <w:rPr>
          <w:rFonts w:ascii="Calibri" w:hAnsi="Calibri" w:cs="Calibri"/>
          <w:sz w:val="24"/>
          <w:szCs w:val="24"/>
        </w:rPr>
        <w:t xml:space="preserve">excluindo diagnósticos diferenciais e identificando possíveis fatores de piora da </w:t>
      </w:r>
      <w:r w:rsidR="00B10325" w:rsidRPr="00F62FC9">
        <w:rPr>
          <w:rFonts w:ascii="Calibri" w:hAnsi="Calibri" w:cs="Calibri"/>
          <w:sz w:val="24"/>
          <w:szCs w:val="24"/>
        </w:rPr>
        <w:t>condição mental.</w:t>
      </w:r>
    </w:p>
    <w:p w14:paraId="11BE611B" w14:textId="77777777" w:rsidR="00E26FB8" w:rsidRPr="00F62FC9" w:rsidRDefault="00E26FB8" w:rsidP="00E26FB8">
      <w:pPr>
        <w:ind w:firstLine="360"/>
        <w:jc w:val="both"/>
        <w:rPr>
          <w:rFonts w:ascii="Calibri" w:hAnsi="Calibri" w:cs="Calibri"/>
          <w:sz w:val="24"/>
          <w:szCs w:val="24"/>
        </w:rPr>
      </w:pPr>
    </w:p>
    <w:p w14:paraId="180A16B5" w14:textId="5067D630" w:rsidR="00DF5977" w:rsidRPr="00F62FC9" w:rsidRDefault="00DF5977" w:rsidP="00DF5977">
      <w:pPr>
        <w:pStyle w:val="Legenda"/>
        <w:keepNext/>
        <w:jc w:val="both"/>
        <w:rPr>
          <w:rFonts w:ascii="Calibri" w:hAnsi="Calibri" w:cs="Calibri"/>
          <w:b w:val="0"/>
          <w:bCs w:val="0"/>
        </w:rPr>
      </w:pPr>
      <w:r w:rsidRPr="00F62FC9">
        <w:rPr>
          <w:rFonts w:ascii="Calibri" w:hAnsi="Calibri" w:cs="Calibri"/>
          <w:b w:val="0"/>
          <w:bCs w:val="0"/>
        </w:rPr>
        <w:t xml:space="preserve">Tabela </w:t>
      </w:r>
      <w:r w:rsidRPr="00F62FC9">
        <w:rPr>
          <w:rFonts w:ascii="Calibri" w:hAnsi="Calibri" w:cs="Calibri"/>
          <w:b w:val="0"/>
          <w:bCs w:val="0"/>
        </w:rPr>
        <w:fldChar w:fldCharType="begin"/>
      </w:r>
      <w:r w:rsidRPr="00F62FC9">
        <w:rPr>
          <w:rFonts w:ascii="Calibri" w:hAnsi="Calibri" w:cs="Calibri"/>
          <w:b w:val="0"/>
          <w:bCs w:val="0"/>
        </w:rPr>
        <w:instrText xml:space="preserve"> SEQ Tabela \* ARABIC </w:instrText>
      </w:r>
      <w:r w:rsidRPr="00F62FC9">
        <w:rPr>
          <w:rFonts w:ascii="Calibri" w:hAnsi="Calibri" w:cs="Calibri"/>
          <w:b w:val="0"/>
          <w:bCs w:val="0"/>
        </w:rPr>
        <w:fldChar w:fldCharType="separate"/>
      </w:r>
      <w:r w:rsidR="009453D8">
        <w:rPr>
          <w:rFonts w:ascii="Calibri" w:hAnsi="Calibri" w:cs="Calibri"/>
          <w:b w:val="0"/>
          <w:bCs w:val="0"/>
          <w:noProof/>
        </w:rPr>
        <w:t>3</w:t>
      </w:r>
      <w:r w:rsidRPr="00F62FC9">
        <w:rPr>
          <w:rFonts w:ascii="Calibri" w:hAnsi="Calibri" w:cs="Calibri"/>
          <w:b w:val="0"/>
          <w:bCs w:val="0"/>
        </w:rPr>
        <w:fldChar w:fldCharType="end"/>
      </w:r>
      <w:r w:rsidRPr="00F62FC9">
        <w:rPr>
          <w:rFonts w:ascii="Calibri" w:hAnsi="Calibri" w:cs="Calibri"/>
          <w:b w:val="0"/>
          <w:bCs w:val="0"/>
        </w:rPr>
        <w:t xml:space="preserve"> - EH: Diagnósticos Diferenciais e Fatores Precipitantes</w:t>
      </w:r>
    </w:p>
    <w:p w14:paraId="0478A85B" w14:textId="4FA5E9A9" w:rsidR="003E12B9" w:rsidRPr="00F62FC9" w:rsidRDefault="00245415" w:rsidP="00E26FB8">
      <w:pPr>
        <w:ind w:firstLine="360"/>
        <w:jc w:val="both"/>
        <w:rPr>
          <w:rFonts w:ascii="Calibri" w:hAnsi="Calibri" w:cs="Calibri"/>
          <w:noProof/>
          <w:sz w:val="24"/>
          <w:szCs w:val="24"/>
        </w:rPr>
      </w:pPr>
      <w:r>
        <w:rPr>
          <w:rFonts w:ascii="Calibri" w:hAnsi="Calibri" w:cs="Calibri"/>
          <w:noProof/>
          <w:sz w:val="24"/>
          <w:szCs w:val="24"/>
        </w:rPr>
        <w:drawing>
          <wp:inline distT="0" distB="0" distL="0" distR="0" wp14:anchorId="7F752162" wp14:editId="601CE5BA">
            <wp:extent cx="5057775" cy="1790700"/>
            <wp:effectExtent l="0" t="0" r="0" b="0"/>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057775" cy="1790700"/>
                    </a:xfrm>
                    <a:prstGeom prst="rect">
                      <a:avLst/>
                    </a:prstGeom>
                    <a:noFill/>
                    <a:ln>
                      <a:noFill/>
                    </a:ln>
                  </pic:spPr>
                </pic:pic>
              </a:graphicData>
            </a:graphic>
          </wp:inline>
        </w:drawing>
      </w:r>
    </w:p>
    <w:p w14:paraId="4ABD6A3D" w14:textId="77777777" w:rsidR="00E26FB8" w:rsidRPr="00F62FC9" w:rsidRDefault="00E26FB8" w:rsidP="00E26FB8">
      <w:pPr>
        <w:ind w:firstLine="360"/>
        <w:jc w:val="both"/>
        <w:rPr>
          <w:rFonts w:ascii="Calibri" w:hAnsi="Calibri" w:cs="Calibri"/>
          <w:noProof/>
          <w:sz w:val="24"/>
          <w:szCs w:val="24"/>
        </w:rPr>
      </w:pPr>
    </w:p>
    <w:p w14:paraId="1799B5FD" w14:textId="57EBD8AD" w:rsidR="00D6126D" w:rsidRPr="00F62FC9" w:rsidRDefault="0006161C" w:rsidP="002369DC">
      <w:pPr>
        <w:ind w:firstLine="360"/>
        <w:jc w:val="both"/>
        <w:rPr>
          <w:rFonts w:ascii="Calibri" w:hAnsi="Calibri" w:cs="Calibri"/>
          <w:sz w:val="24"/>
          <w:szCs w:val="24"/>
        </w:rPr>
      </w:pPr>
      <w:r w:rsidRPr="00F62FC9">
        <w:rPr>
          <w:rFonts w:ascii="Calibri" w:hAnsi="Calibri" w:cs="Calibri"/>
          <w:sz w:val="24"/>
          <w:szCs w:val="24"/>
        </w:rPr>
        <w:t xml:space="preserve">Especificamente sobre a </w:t>
      </w:r>
      <w:r w:rsidR="008B071D" w:rsidRPr="00F62FC9">
        <w:rPr>
          <w:rFonts w:ascii="Calibri" w:hAnsi="Calibri" w:cs="Calibri"/>
          <w:sz w:val="24"/>
          <w:szCs w:val="24"/>
        </w:rPr>
        <w:t>conduta</w:t>
      </w:r>
      <w:r w:rsidRPr="00F62FC9">
        <w:rPr>
          <w:rFonts w:ascii="Calibri" w:hAnsi="Calibri" w:cs="Calibri"/>
          <w:sz w:val="24"/>
          <w:szCs w:val="24"/>
        </w:rPr>
        <w:t xml:space="preserve"> </w:t>
      </w:r>
      <w:r w:rsidR="008A18F8" w:rsidRPr="00F62FC9">
        <w:rPr>
          <w:rFonts w:ascii="Calibri" w:hAnsi="Calibri" w:cs="Calibri"/>
          <w:sz w:val="24"/>
          <w:szCs w:val="24"/>
        </w:rPr>
        <w:t>e trata</w:t>
      </w:r>
      <w:r w:rsidR="00327EAA" w:rsidRPr="00F62FC9">
        <w:rPr>
          <w:rFonts w:ascii="Calibri" w:hAnsi="Calibri" w:cs="Calibri"/>
          <w:sz w:val="24"/>
          <w:szCs w:val="24"/>
        </w:rPr>
        <w:t>mento d</w:t>
      </w:r>
      <w:r w:rsidRPr="00F62FC9">
        <w:rPr>
          <w:rFonts w:ascii="Calibri" w:hAnsi="Calibri" w:cs="Calibri"/>
          <w:sz w:val="24"/>
          <w:szCs w:val="24"/>
        </w:rPr>
        <w:t xml:space="preserve">a </w:t>
      </w:r>
      <w:r w:rsidR="007105D9" w:rsidRPr="00F62FC9">
        <w:rPr>
          <w:rFonts w:ascii="Calibri" w:hAnsi="Calibri" w:cs="Calibri"/>
          <w:sz w:val="24"/>
          <w:szCs w:val="24"/>
        </w:rPr>
        <w:t>EH,</w:t>
      </w:r>
      <w:r w:rsidRPr="00F62FC9">
        <w:rPr>
          <w:rFonts w:ascii="Calibri" w:hAnsi="Calibri" w:cs="Calibri"/>
          <w:sz w:val="24"/>
          <w:szCs w:val="24"/>
        </w:rPr>
        <w:t xml:space="preserve"> </w:t>
      </w:r>
      <w:r w:rsidR="00A53BD1" w:rsidRPr="00F62FC9">
        <w:rPr>
          <w:rFonts w:ascii="Calibri" w:hAnsi="Calibri" w:cs="Calibri"/>
          <w:sz w:val="24"/>
          <w:szCs w:val="24"/>
        </w:rPr>
        <w:t xml:space="preserve">é recomendado que seja feita a </w:t>
      </w:r>
      <w:r w:rsidR="00B71E50" w:rsidRPr="00F62FC9">
        <w:rPr>
          <w:rFonts w:ascii="Calibri" w:hAnsi="Calibri" w:cs="Calibri"/>
          <w:sz w:val="24"/>
          <w:szCs w:val="24"/>
        </w:rPr>
        <w:t xml:space="preserve">(i) </w:t>
      </w:r>
      <w:r w:rsidR="00A53BD1" w:rsidRPr="00F62FC9">
        <w:rPr>
          <w:rFonts w:ascii="Calibri" w:hAnsi="Calibri" w:cs="Calibri"/>
          <w:sz w:val="24"/>
          <w:szCs w:val="24"/>
        </w:rPr>
        <w:t>estabilização</w:t>
      </w:r>
      <w:r w:rsidR="00AB79B4" w:rsidRPr="00F62FC9">
        <w:rPr>
          <w:rFonts w:ascii="Calibri" w:hAnsi="Calibri" w:cs="Calibri"/>
          <w:sz w:val="24"/>
          <w:szCs w:val="24"/>
        </w:rPr>
        <w:t xml:space="preserve">, </w:t>
      </w:r>
      <w:r w:rsidR="00B71E50" w:rsidRPr="00F62FC9">
        <w:rPr>
          <w:rFonts w:ascii="Calibri" w:hAnsi="Calibri" w:cs="Calibri"/>
          <w:sz w:val="24"/>
          <w:szCs w:val="24"/>
        </w:rPr>
        <w:t xml:space="preserve">(ii) </w:t>
      </w:r>
      <w:r w:rsidR="006631BB" w:rsidRPr="00F62FC9">
        <w:rPr>
          <w:rFonts w:ascii="Calibri" w:hAnsi="Calibri" w:cs="Calibri"/>
          <w:sz w:val="24"/>
          <w:szCs w:val="24"/>
        </w:rPr>
        <w:t xml:space="preserve">o controle de fatores precipitantes modificáveis (ex: </w:t>
      </w:r>
      <w:r w:rsidR="00ED1609" w:rsidRPr="00F62FC9">
        <w:rPr>
          <w:rFonts w:ascii="Calibri" w:hAnsi="Calibri" w:cs="Calibri"/>
          <w:sz w:val="24"/>
          <w:szCs w:val="24"/>
        </w:rPr>
        <w:t xml:space="preserve">intoxicação </w:t>
      </w:r>
      <w:r w:rsidR="00ED1609" w:rsidRPr="00F62FC9">
        <w:rPr>
          <w:rFonts w:ascii="Calibri" w:hAnsi="Calibri" w:cs="Calibri"/>
          <w:sz w:val="24"/>
          <w:szCs w:val="24"/>
        </w:rPr>
        <w:lastRenderedPageBreak/>
        <w:t>por paracetamol</w:t>
      </w:r>
      <w:r w:rsidR="006631BB" w:rsidRPr="00F62FC9">
        <w:rPr>
          <w:rFonts w:ascii="Calibri" w:hAnsi="Calibri" w:cs="Calibri"/>
          <w:sz w:val="24"/>
          <w:szCs w:val="24"/>
        </w:rPr>
        <w:t>),</w:t>
      </w:r>
      <w:r w:rsidR="00ED1609" w:rsidRPr="00F62FC9">
        <w:rPr>
          <w:rFonts w:ascii="Calibri" w:hAnsi="Calibri" w:cs="Calibri"/>
          <w:sz w:val="24"/>
          <w:szCs w:val="24"/>
        </w:rPr>
        <w:t xml:space="preserve"> </w:t>
      </w:r>
      <w:r w:rsidR="00B71E50" w:rsidRPr="00F62FC9">
        <w:rPr>
          <w:rFonts w:ascii="Calibri" w:hAnsi="Calibri" w:cs="Calibri"/>
          <w:sz w:val="24"/>
          <w:szCs w:val="24"/>
        </w:rPr>
        <w:t xml:space="preserve">(iii) </w:t>
      </w:r>
      <w:r w:rsidR="00E57282" w:rsidRPr="00F62FC9">
        <w:rPr>
          <w:rFonts w:ascii="Calibri" w:hAnsi="Calibri" w:cs="Calibri"/>
          <w:sz w:val="24"/>
          <w:szCs w:val="24"/>
        </w:rPr>
        <w:t>o abaixamento</w:t>
      </w:r>
      <w:r w:rsidR="00ED1609" w:rsidRPr="00F62FC9">
        <w:rPr>
          <w:rFonts w:ascii="Calibri" w:hAnsi="Calibri" w:cs="Calibri"/>
          <w:sz w:val="24"/>
          <w:szCs w:val="24"/>
        </w:rPr>
        <w:t xml:space="preserve"> </w:t>
      </w:r>
      <w:r w:rsidR="00E57282" w:rsidRPr="00F62FC9">
        <w:rPr>
          <w:rFonts w:ascii="Calibri" w:hAnsi="Calibri" w:cs="Calibri"/>
          <w:sz w:val="24"/>
          <w:szCs w:val="24"/>
        </w:rPr>
        <w:t>d</w:t>
      </w:r>
      <w:r w:rsidR="00ED1609" w:rsidRPr="00F62FC9">
        <w:rPr>
          <w:rFonts w:ascii="Calibri" w:hAnsi="Calibri" w:cs="Calibri"/>
          <w:sz w:val="24"/>
          <w:szCs w:val="24"/>
        </w:rPr>
        <w:t xml:space="preserve">a amônia sérica, </w:t>
      </w:r>
      <w:r w:rsidR="00B71E50" w:rsidRPr="00F62FC9">
        <w:rPr>
          <w:rFonts w:ascii="Calibri" w:hAnsi="Calibri" w:cs="Calibri"/>
          <w:sz w:val="24"/>
          <w:szCs w:val="24"/>
        </w:rPr>
        <w:t xml:space="preserve">(iv) </w:t>
      </w:r>
      <w:r w:rsidR="00E57282" w:rsidRPr="00F62FC9">
        <w:rPr>
          <w:rFonts w:ascii="Calibri" w:hAnsi="Calibri" w:cs="Calibri"/>
          <w:sz w:val="24"/>
          <w:szCs w:val="24"/>
        </w:rPr>
        <w:t xml:space="preserve">o controle da PIC e </w:t>
      </w:r>
      <w:r w:rsidR="00850AB8" w:rsidRPr="00F62FC9">
        <w:rPr>
          <w:rFonts w:ascii="Calibri" w:hAnsi="Calibri" w:cs="Calibri"/>
          <w:sz w:val="24"/>
          <w:szCs w:val="24"/>
        </w:rPr>
        <w:t xml:space="preserve">(v) </w:t>
      </w:r>
      <w:r w:rsidR="00E57282" w:rsidRPr="00F62FC9">
        <w:rPr>
          <w:rFonts w:ascii="Calibri" w:hAnsi="Calibri" w:cs="Calibri"/>
          <w:sz w:val="24"/>
          <w:szCs w:val="24"/>
        </w:rPr>
        <w:t>o</w:t>
      </w:r>
      <w:r w:rsidR="00ED1609" w:rsidRPr="00F62FC9">
        <w:rPr>
          <w:rFonts w:ascii="Calibri" w:hAnsi="Calibri" w:cs="Calibri"/>
          <w:sz w:val="24"/>
          <w:szCs w:val="24"/>
        </w:rPr>
        <w:t xml:space="preserve"> </w:t>
      </w:r>
      <w:r w:rsidR="008F3B98" w:rsidRPr="00F62FC9">
        <w:rPr>
          <w:rFonts w:ascii="Calibri" w:hAnsi="Calibri" w:cs="Calibri"/>
          <w:sz w:val="24"/>
          <w:szCs w:val="24"/>
        </w:rPr>
        <w:t>manejo das complicações</w:t>
      </w:r>
      <w:r w:rsidR="006E3F4E" w:rsidRPr="00F62FC9">
        <w:rPr>
          <w:rFonts w:ascii="Calibri" w:hAnsi="Calibri" w:cs="Calibri"/>
          <w:sz w:val="24"/>
          <w:szCs w:val="24"/>
        </w:rPr>
        <w:t xml:space="preserve"> hepáticas, como a hiponatremia </w:t>
      </w:r>
      <w:r w:rsidR="00F538E6" w:rsidRPr="00F62FC9">
        <w:rPr>
          <w:rFonts w:ascii="Calibri" w:hAnsi="Calibri" w:cs="Calibri"/>
          <w:sz w:val="24"/>
          <w:szCs w:val="24"/>
        </w:rPr>
        <w:fldChar w:fldCharType="begin" w:fldLock="1"/>
      </w:r>
      <w:r w:rsidR="003B280C" w:rsidRPr="00F62FC9">
        <w:rPr>
          <w:rFonts w:ascii="Calibri" w:hAnsi="Calibri" w:cs="Calibri"/>
          <w:sz w:val="24"/>
          <w:szCs w:val="24"/>
        </w:rPr>
        <w:instrText>ADDIN CSL_CITATION {"citationItems":[{"id":"ITEM-1","itemData":{"DOI":"10.1007/s11940-014-0297-2","ISSN":"15343138","abstract":"Hepatic encephalopathy management varies depending on the acuity of liver failure. However, in patients with either acute or chronic liver failure five basic steps in management are critical: stabilization, addressing modifiable precipitating factors, lowering blood ammonia, managing elevated intracranial pressure (ICP) (if present), and managing complications of liver failure that can contribute to encephalopathy, particularly hyponatremia. Because liver failure patients are prone to a variety of other medical problems that can lead to encephalopathy (such as coagulopathy associated intracranial hemorrhage, electrolyte disarray, renal failure, hypotension, hypoglycemia, and infection), a thorough history, physical and neurologic examination is mandated in all encephalopathic liver failure patients. There should be a low threshold for brain imaging in patients with focal neurological deficits given the propensity for spontaneous intracranial hemorrhage. In patients with acute liver failure and high grade encephalopathy, identification of the etiology of acute liver failure is essential to guide treatment and antidote administration, particularly in the case of acetaminophen poisoning. Equally critical is management of elevated ICP in acute liver failure. Intracranial hypertension can be treated with hypertonic saline and/or adjustment of the dialysis bath. Placement of an intracranial monitor to guide ICP therapy is risky because of concomitant coagulopathy and remains controversial. Continuous renal replacement therapy may help lower serum ammonia, treat coexisting uremia, and improve symptoms. Liver transplantation is the definitive treatment for patients with acute liver failure and hepatic encephalopathy. In patients with chronic hepatic encephalopathy, lactulose and rifaxamin remain a mainstay of therapy. In these patients, it is essential to identify reversible causes of hepatic encephalopathy such as increased ammonia production and/or decreased clearance (eg, infection, GI bleed, constipation, hypokalemia, dehydration). Chronic hyponatremia should be managed by gradual sodium correction of no more than 8‒12 meq/L per day to avoid central myelinolysis syndrome. Free water restriction and increased dietary sodium are reasonable, cost effective treatment options. Many emerging therapies, both pharmacologic and interventional, are currently being studied to improve management of hepatic encephalopathy.","author":[{"dropping-particle":"","family":"Frontera","given":"Jennifer A","non-dropping-particle":"","parse-names":false,"suffix":""}],"container-title":"Current Treatment Options in Neurology","id":"ITEM-1","issue":"6","issued":{"date-parts":[["2014"]]},"page":"1-37","title":"Management of Hepatic Encephalopathy","type":"article","volume":"16"},"uris":["http://www.mendeley.com/documents/?uuid=b14afb16-5d0f-433d-bcef-636a2eeccd6d"]}],"mendeley":{"formattedCitation":"(12)","plainTextFormattedCitation":"(12)","previouslyFormattedCitation":"(Frontera 2014)"},"properties":{"noteIndex":0},"schema":"https://github.com/citation-style-language/schema/raw/master/csl-citation.json"}</w:instrText>
      </w:r>
      <w:r w:rsidR="00F538E6" w:rsidRPr="00F62FC9">
        <w:rPr>
          <w:rFonts w:ascii="Calibri" w:hAnsi="Calibri" w:cs="Calibri"/>
          <w:sz w:val="24"/>
          <w:szCs w:val="24"/>
        </w:rPr>
        <w:fldChar w:fldCharType="separate"/>
      </w:r>
      <w:r w:rsidR="003B280C" w:rsidRPr="00F62FC9">
        <w:rPr>
          <w:rFonts w:ascii="Calibri" w:hAnsi="Calibri" w:cs="Calibri"/>
          <w:noProof/>
          <w:sz w:val="24"/>
          <w:szCs w:val="24"/>
        </w:rPr>
        <w:t>(12)</w:t>
      </w:r>
      <w:r w:rsidR="00F538E6" w:rsidRPr="00F62FC9">
        <w:rPr>
          <w:rFonts w:ascii="Calibri" w:hAnsi="Calibri" w:cs="Calibri"/>
          <w:sz w:val="24"/>
          <w:szCs w:val="24"/>
        </w:rPr>
        <w:fldChar w:fldCharType="end"/>
      </w:r>
      <w:r w:rsidR="006E3F4E" w:rsidRPr="00F62FC9">
        <w:rPr>
          <w:rFonts w:ascii="Calibri" w:hAnsi="Calibri" w:cs="Calibri"/>
          <w:sz w:val="24"/>
          <w:szCs w:val="24"/>
        </w:rPr>
        <w:t>.</w:t>
      </w:r>
      <w:r w:rsidR="006631BB" w:rsidRPr="00F62FC9">
        <w:rPr>
          <w:rFonts w:ascii="Calibri" w:hAnsi="Calibri" w:cs="Calibri"/>
          <w:sz w:val="24"/>
          <w:szCs w:val="24"/>
        </w:rPr>
        <w:t xml:space="preserve"> </w:t>
      </w:r>
    </w:p>
    <w:p w14:paraId="0894C805" w14:textId="6E53C491" w:rsidR="006310C0" w:rsidRPr="00F62FC9" w:rsidRDefault="002369DC" w:rsidP="002369DC">
      <w:pPr>
        <w:ind w:firstLine="360"/>
        <w:jc w:val="both"/>
        <w:rPr>
          <w:rFonts w:ascii="Calibri" w:hAnsi="Calibri" w:cs="Calibri"/>
          <w:sz w:val="24"/>
          <w:szCs w:val="24"/>
        </w:rPr>
      </w:pPr>
      <w:r w:rsidRPr="00F62FC9">
        <w:rPr>
          <w:rFonts w:ascii="Calibri" w:hAnsi="Calibri" w:cs="Calibri"/>
          <w:sz w:val="24"/>
          <w:szCs w:val="24"/>
        </w:rPr>
        <w:t>L</w:t>
      </w:r>
      <w:r w:rsidR="002E6D7E" w:rsidRPr="00F62FC9">
        <w:rPr>
          <w:rFonts w:ascii="Calibri" w:hAnsi="Calibri" w:cs="Calibri"/>
          <w:sz w:val="24"/>
          <w:szCs w:val="24"/>
        </w:rPr>
        <w:t xml:space="preserve">actulose </w:t>
      </w:r>
      <w:r w:rsidR="00F919AA" w:rsidRPr="00F62FC9">
        <w:rPr>
          <w:rFonts w:ascii="Calibri" w:hAnsi="Calibri" w:cs="Calibri"/>
          <w:sz w:val="24"/>
          <w:szCs w:val="24"/>
        </w:rPr>
        <w:t xml:space="preserve">é o manejo inicial mais </w:t>
      </w:r>
      <w:r w:rsidR="008B071D" w:rsidRPr="00F62FC9">
        <w:rPr>
          <w:rFonts w:ascii="Calibri" w:hAnsi="Calibri" w:cs="Calibri"/>
          <w:sz w:val="24"/>
          <w:szCs w:val="24"/>
        </w:rPr>
        <w:t>indicado</w:t>
      </w:r>
      <w:r w:rsidR="00F919AA" w:rsidRPr="00F62FC9">
        <w:rPr>
          <w:rFonts w:ascii="Calibri" w:hAnsi="Calibri" w:cs="Calibri"/>
          <w:sz w:val="24"/>
          <w:szCs w:val="24"/>
        </w:rPr>
        <w:t xml:space="preserve"> para </w:t>
      </w:r>
      <w:r w:rsidR="008B071D" w:rsidRPr="00F62FC9">
        <w:rPr>
          <w:rFonts w:ascii="Calibri" w:hAnsi="Calibri" w:cs="Calibri"/>
          <w:sz w:val="24"/>
          <w:szCs w:val="24"/>
        </w:rPr>
        <w:t>controle d</w:t>
      </w:r>
      <w:r w:rsidR="00F919AA" w:rsidRPr="00F62FC9">
        <w:rPr>
          <w:rFonts w:ascii="Calibri" w:hAnsi="Calibri" w:cs="Calibri"/>
          <w:sz w:val="24"/>
          <w:szCs w:val="24"/>
        </w:rPr>
        <w:t>a hiperamonemia</w:t>
      </w:r>
      <w:r w:rsidR="00A8630C" w:rsidRPr="00F62FC9">
        <w:rPr>
          <w:rFonts w:ascii="Calibri" w:hAnsi="Calibri" w:cs="Calibri"/>
          <w:sz w:val="24"/>
          <w:szCs w:val="24"/>
        </w:rPr>
        <w:t xml:space="preserve"> </w:t>
      </w:r>
      <w:r w:rsidR="00B76C15" w:rsidRPr="00F62FC9">
        <w:rPr>
          <w:rFonts w:ascii="Calibri" w:hAnsi="Calibri" w:cs="Calibri"/>
          <w:sz w:val="24"/>
          <w:szCs w:val="24"/>
        </w:rPr>
        <w:t>–</w:t>
      </w:r>
      <w:r w:rsidR="00A8630C" w:rsidRPr="00F62FC9">
        <w:rPr>
          <w:rFonts w:ascii="Calibri" w:hAnsi="Calibri" w:cs="Calibri"/>
          <w:sz w:val="24"/>
          <w:szCs w:val="24"/>
        </w:rPr>
        <w:t xml:space="preserve"> </w:t>
      </w:r>
      <w:r w:rsidR="00B76C15" w:rsidRPr="00F62FC9">
        <w:rPr>
          <w:rFonts w:ascii="Calibri" w:hAnsi="Calibri" w:cs="Calibri"/>
          <w:sz w:val="24"/>
          <w:szCs w:val="24"/>
        </w:rPr>
        <w:t>devido à sua capacidade de controlar o pH do lúmen intestinal, bem como diminuir a absorção de glutamina e amônia</w:t>
      </w:r>
      <w:r w:rsidR="00456F70" w:rsidRPr="00F62FC9">
        <w:rPr>
          <w:rFonts w:ascii="Calibri" w:hAnsi="Calibri" w:cs="Calibri"/>
          <w:sz w:val="24"/>
          <w:szCs w:val="24"/>
        </w:rPr>
        <w:t>. Neomicina</w:t>
      </w:r>
      <w:r w:rsidR="00066067" w:rsidRPr="00F62FC9">
        <w:rPr>
          <w:rFonts w:ascii="Calibri" w:hAnsi="Calibri" w:cs="Calibri"/>
          <w:sz w:val="24"/>
          <w:szCs w:val="24"/>
        </w:rPr>
        <w:t xml:space="preserve"> </w:t>
      </w:r>
      <w:r w:rsidR="00D65A93" w:rsidRPr="00F62FC9">
        <w:rPr>
          <w:rFonts w:ascii="Calibri" w:hAnsi="Calibri" w:cs="Calibri"/>
          <w:sz w:val="24"/>
          <w:szCs w:val="24"/>
        </w:rPr>
        <w:t xml:space="preserve">também </w:t>
      </w:r>
      <w:r w:rsidR="00066067" w:rsidRPr="00F62FC9">
        <w:rPr>
          <w:rFonts w:ascii="Calibri" w:hAnsi="Calibri" w:cs="Calibri"/>
          <w:sz w:val="24"/>
          <w:szCs w:val="24"/>
        </w:rPr>
        <w:t>pode diminuir a glutaminase intestina</w:t>
      </w:r>
      <w:r w:rsidR="00DE4921" w:rsidRPr="00F62FC9">
        <w:rPr>
          <w:rFonts w:ascii="Calibri" w:hAnsi="Calibri" w:cs="Calibri"/>
          <w:sz w:val="24"/>
          <w:szCs w:val="24"/>
        </w:rPr>
        <w:t>l</w:t>
      </w:r>
      <w:r w:rsidR="00D65A93" w:rsidRPr="00F62FC9">
        <w:rPr>
          <w:rFonts w:ascii="Calibri" w:hAnsi="Calibri" w:cs="Calibri"/>
          <w:sz w:val="24"/>
          <w:szCs w:val="24"/>
        </w:rPr>
        <w:t xml:space="preserve"> e consequentemente a amônia sérica</w:t>
      </w:r>
      <w:r w:rsidR="002F3B88" w:rsidRPr="00F62FC9">
        <w:rPr>
          <w:rFonts w:ascii="Calibri" w:hAnsi="Calibri" w:cs="Calibri"/>
          <w:sz w:val="24"/>
          <w:szCs w:val="24"/>
        </w:rPr>
        <w:t>; e rifax</w:t>
      </w:r>
      <w:r w:rsidR="002C137A" w:rsidRPr="00F62FC9">
        <w:rPr>
          <w:rFonts w:ascii="Calibri" w:hAnsi="Calibri" w:cs="Calibri"/>
          <w:sz w:val="24"/>
          <w:szCs w:val="24"/>
        </w:rPr>
        <w:t>i</w:t>
      </w:r>
      <w:r w:rsidR="002F3B88" w:rsidRPr="00F62FC9">
        <w:rPr>
          <w:rFonts w:ascii="Calibri" w:hAnsi="Calibri" w:cs="Calibri"/>
          <w:sz w:val="24"/>
          <w:szCs w:val="24"/>
        </w:rPr>
        <w:t>mina tem efeito empí</w:t>
      </w:r>
      <w:r w:rsidR="00ED60EE" w:rsidRPr="00F62FC9">
        <w:rPr>
          <w:rFonts w:ascii="Calibri" w:hAnsi="Calibri" w:cs="Calibri"/>
          <w:sz w:val="24"/>
          <w:szCs w:val="24"/>
        </w:rPr>
        <w:t>rico comprovado</w:t>
      </w:r>
      <w:r w:rsidR="0066065E" w:rsidRPr="00F62FC9">
        <w:rPr>
          <w:rFonts w:ascii="Calibri" w:hAnsi="Calibri" w:cs="Calibri"/>
          <w:sz w:val="24"/>
          <w:szCs w:val="24"/>
        </w:rPr>
        <w:t xml:space="preserve"> </w:t>
      </w:r>
      <w:r w:rsidR="0066065E" w:rsidRPr="00F62FC9">
        <w:rPr>
          <w:rFonts w:ascii="Calibri" w:hAnsi="Calibri" w:cs="Calibri"/>
          <w:sz w:val="24"/>
          <w:szCs w:val="24"/>
        </w:rPr>
        <w:fldChar w:fldCharType="begin" w:fldLock="1"/>
      </w:r>
      <w:r w:rsidR="003B280C" w:rsidRPr="00F62FC9">
        <w:rPr>
          <w:rFonts w:ascii="Calibri" w:hAnsi="Calibri" w:cs="Calibri"/>
          <w:sz w:val="24"/>
          <w:szCs w:val="24"/>
        </w:rPr>
        <w:instrText>ADDIN CSL_CITATION {"citationItems":[{"id":"ITEM-1","itemData":{"DOI":"10.1016/j.cld.2015.04.006","ISSN":"15578224","PMID":"26195209","abstract":"Hepatic encephalopathy (HE) is associated with cerebral edema (CE), increased intracranial pressure (ICP), and subsequent neurologic complications; it is the most important cause of morbidity and mortality in fulminant hepatic failure. The goal of therapy should be early diagnosis and treatment of HE with measures to reduce CE. A combination of clinical examination and diagnostic modalities can aid in prompt diagnosis. ICP monitoring and transcranial Doppler help diagnose and monitor response to treatment. Transfer to a transplant center and intensive care unit admission with airway management and reduction of CE with hypertonic saline, mannitol, hypothermia, and sedation are recommended as a bridge to liver transplantation.","author":[{"dropping-particle":"","family":"Kodali","given":"Sudha","non-dropping-particle":"","parse-names":false,"suffix":""},{"dropping-particle":"","family":"McGuire","given":"Brendan M.","non-dropping-particle":"","parse-names":false,"suffix":""}],"container-title":"Clinics in Liver Disease","id":"ITEM-1","issue":"3","issued":{"date-parts":[["2015"]]},"page":"565-576","publisher":"Elsevier Inc","title":"Diagnosis and Management of Hepatic Encephalopathy in Fulminant Hepatic Failure","type":"article","volume":"19"},"uris":["http://www.mendeley.com/documents/?uuid=ee5a5aa9-59f4-421f-8274-78a7e72edbae"]},{"id":"ITEM-2","itemData":{"DOI":"10.1007/s11940-014-0297-2","ISSN":"15343138","abstract":"Hepatic encephalopathy management varies depending on the acuity of liver failure. However, in patients with either acute or chronic liver failure five basic steps in management are critical: stabilization, addressing modifiable precipitating factors, lowering blood ammonia, managing elevated intracranial pressure (ICP) (if present), and managing complications of liver failure that can contribute to encephalopathy, particularly hyponatremia. Because liver failure patients are prone to a variety of other medical problems that can lead to encephalopathy (such as coagulopathy associated intracranial hemorrhage, electrolyte disarray, renal failure, hypotension, hypoglycemia, and infection), a thorough history, physical and neurologic examination is mandated in all encephalopathic liver failure patients. There should be a low threshold for brain imaging in patients with focal neurological deficits given the propensity for spontaneous intracranial hemorrhage. In patients with acute liver failure and high grade encephalopathy, identification of the etiology of acute liver failure is essential to guide treatment and antidote administration, particularly in the case of acetaminophen poisoning. Equally critical is management of elevated ICP in acute liver failure. Intracranial hypertension can be treated with hypertonic saline and/or adjustment of the dialysis bath. Placement of an intracranial monitor to guide ICP therapy is risky because of concomitant coagulopathy and remains controversial. Continuous renal replacement therapy may help lower serum ammonia, treat coexisting uremia, and improve symptoms. Liver transplantation is the definitive treatment for patients with acute liver failure and hepatic encephalopathy. In patients with chronic hepatic encephalopathy, lactulose and rifaxamin remain a mainstay of therapy. In these patients, it is essential to identify reversible causes of hepatic encephalopathy such as increased ammonia production and/or decreased clearance (eg, infection, GI bleed, constipation, hypokalemia, dehydration). Chronic hyponatremia should be managed by gradual sodium correction of no more than 8‒12 meq/L per day to avoid central myelinolysis syndrome. Free water restriction and increased dietary sodium are reasonable, cost effective treatment options. Many emerging therapies, both pharmacologic and interventional, are currently being studied to improve management of hepatic encephalopathy.","author":[{"dropping-particle":"","family":"Frontera","given":"Jennifer A","non-dropping-particle":"","parse-names":false,"suffix":""}],"container-title":"Current Treatment Options in Neurology","id":"ITEM-2","issue":"6","issued":{"date-parts":[["2014"]]},"page":"1-37","title":"Management of Hepatic Encephalopathy","type":"article","volume":"16"},"uris":["http://www.mendeley.com/documents/?uuid=b14afb16-5d0f-433d-bcef-636a2eeccd6d"]}],"mendeley":{"formattedCitation":"(5,12)","plainTextFormattedCitation":"(5,12)","previouslyFormattedCitation":"(Kodali and McGuire 2015; Frontera 2014)"},"properties":{"noteIndex":0},"schema":"https://github.com/citation-style-language/schema/raw/master/csl-citation.json"}</w:instrText>
      </w:r>
      <w:r w:rsidR="0066065E" w:rsidRPr="00F62FC9">
        <w:rPr>
          <w:rFonts w:ascii="Calibri" w:hAnsi="Calibri" w:cs="Calibri"/>
          <w:sz w:val="24"/>
          <w:szCs w:val="24"/>
        </w:rPr>
        <w:fldChar w:fldCharType="separate"/>
      </w:r>
      <w:r w:rsidR="003B280C" w:rsidRPr="00F62FC9">
        <w:rPr>
          <w:rFonts w:ascii="Calibri" w:hAnsi="Calibri" w:cs="Calibri"/>
          <w:noProof/>
          <w:sz w:val="24"/>
          <w:szCs w:val="24"/>
        </w:rPr>
        <w:t>(5,12)</w:t>
      </w:r>
      <w:r w:rsidR="0066065E" w:rsidRPr="00F62FC9">
        <w:rPr>
          <w:rFonts w:ascii="Calibri" w:hAnsi="Calibri" w:cs="Calibri"/>
          <w:sz w:val="24"/>
          <w:szCs w:val="24"/>
        </w:rPr>
        <w:fldChar w:fldCharType="end"/>
      </w:r>
      <w:r w:rsidR="006310C0" w:rsidRPr="00F62FC9">
        <w:rPr>
          <w:rFonts w:ascii="Calibri" w:hAnsi="Calibri" w:cs="Calibri"/>
          <w:sz w:val="24"/>
          <w:szCs w:val="24"/>
        </w:rPr>
        <w:t>.</w:t>
      </w:r>
      <w:r w:rsidR="00F919AA" w:rsidRPr="00F62FC9">
        <w:rPr>
          <w:rFonts w:ascii="Calibri" w:hAnsi="Calibri" w:cs="Calibri"/>
          <w:sz w:val="24"/>
          <w:szCs w:val="24"/>
        </w:rPr>
        <w:t xml:space="preserve"> </w:t>
      </w:r>
      <w:r w:rsidR="002F0356" w:rsidRPr="00F62FC9">
        <w:rPr>
          <w:rFonts w:ascii="Calibri" w:hAnsi="Calibri" w:cs="Calibri"/>
          <w:sz w:val="24"/>
          <w:szCs w:val="24"/>
        </w:rPr>
        <w:t xml:space="preserve">Febre por infecção pode aumentar a PIC e deve ser controlada. </w:t>
      </w:r>
      <w:r w:rsidR="00DC2E85" w:rsidRPr="00F62FC9">
        <w:rPr>
          <w:rFonts w:ascii="Calibri" w:hAnsi="Calibri" w:cs="Calibri"/>
          <w:sz w:val="24"/>
          <w:szCs w:val="24"/>
        </w:rPr>
        <w:t>Também, d</w:t>
      </w:r>
      <w:r w:rsidR="00B974F8" w:rsidRPr="00F62FC9">
        <w:rPr>
          <w:rFonts w:ascii="Calibri" w:hAnsi="Calibri" w:cs="Calibri"/>
          <w:sz w:val="24"/>
          <w:szCs w:val="24"/>
        </w:rPr>
        <w:t>eve-se manter uma pressão arterial média (PAM) adequada</w:t>
      </w:r>
      <w:r w:rsidR="0044348C" w:rsidRPr="00F62FC9">
        <w:rPr>
          <w:rFonts w:ascii="Calibri" w:hAnsi="Calibri" w:cs="Calibri"/>
          <w:sz w:val="24"/>
          <w:szCs w:val="24"/>
        </w:rPr>
        <w:t xml:space="preserve"> pois </w:t>
      </w:r>
      <w:r w:rsidR="009325BE" w:rsidRPr="00F62FC9">
        <w:rPr>
          <w:rFonts w:ascii="Calibri" w:hAnsi="Calibri" w:cs="Calibri"/>
          <w:sz w:val="24"/>
          <w:szCs w:val="24"/>
        </w:rPr>
        <w:t xml:space="preserve">uma hipotensão pode diminuir consideravelmente a </w:t>
      </w:r>
      <w:r w:rsidR="007A6D82" w:rsidRPr="00F62FC9">
        <w:rPr>
          <w:rFonts w:ascii="Calibri" w:hAnsi="Calibri" w:cs="Calibri"/>
          <w:sz w:val="24"/>
          <w:szCs w:val="24"/>
        </w:rPr>
        <w:t>PPC</w:t>
      </w:r>
      <w:r w:rsidR="00DA5ECE" w:rsidRPr="00F62FC9">
        <w:rPr>
          <w:rFonts w:ascii="Calibri" w:hAnsi="Calibri" w:cs="Calibri"/>
          <w:sz w:val="24"/>
          <w:szCs w:val="24"/>
        </w:rPr>
        <w:t xml:space="preserve"> e causar isquemia</w:t>
      </w:r>
      <w:r w:rsidR="007A6D82" w:rsidRPr="00F62FC9">
        <w:rPr>
          <w:rFonts w:ascii="Calibri" w:hAnsi="Calibri" w:cs="Calibri"/>
          <w:sz w:val="24"/>
          <w:szCs w:val="24"/>
        </w:rPr>
        <w:t>.</w:t>
      </w:r>
      <w:r w:rsidR="00BE0E0F" w:rsidRPr="00F62FC9">
        <w:rPr>
          <w:rFonts w:ascii="Calibri" w:hAnsi="Calibri" w:cs="Calibri"/>
          <w:sz w:val="24"/>
          <w:szCs w:val="24"/>
        </w:rPr>
        <w:t xml:space="preserve"> Pacientes hipotensos devem passar por ressuscitação volêmica.</w:t>
      </w:r>
      <w:r w:rsidR="007A6D82" w:rsidRPr="00F62FC9">
        <w:rPr>
          <w:rFonts w:ascii="Calibri" w:hAnsi="Calibri" w:cs="Calibri"/>
          <w:sz w:val="24"/>
          <w:szCs w:val="24"/>
        </w:rPr>
        <w:t xml:space="preserve"> </w:t>
      </w:r>
      <w:r w:rsidR="009F71B1" w:rsidRPr="00F62FC9">
        <w:rPr>
          <w:rFonts w:ascii="Calibri" w:hAnsi="Calibri" w:cs="Calibri"/>
          <w:sz w:val="24"/>
          <w:szCs w:val="24"/>
        </w:rPr>
        <w:t xml:space="preserve">A PPC é igual à PAM menos a </w:t>
      </w:r>
      <w:r w:rsidR="00465AA4" w:rsidRPr="00F62FC9">
        <w:rPr>
          <w:rFonts w:ascii="Calibri" w:hAnsi="Calibri" w:cs="Calibri"/>
          <w:sz w:val="24"/>
          <w:szCs w:val="24"/>
        </w:rPr>
        <w:t xml:space="preserve">PIC – mas a pressão venosa (PV), que ocorre de forma paralela à PIC, pode servir de </w:t>
      </w:r>
      <w:r w:rsidR="00465AA4" w:rsidRPr="00F62FC9">
        <w:rPr>
          <w:rFonts w:ascii="Calibri" w:hAnsi="Calibri" w:cs="Calibri"/>
          <w:i/>
          <w:iCs/>
          <w:sz w:val="24"/>
          <w:szCs w:val="24"/>
        </w:rPr>
        <w:t>proxy</w:t>
      </w:r>
      <w:r w:rsidR="009F71B1" w:rsidRPr="00F62FC9">
        <w:rPr>
          <w:rFonts w:ascii="Calibri" w:hAnsi="Calibri" w:cs="Calibri"/>
          <w:sz w:val="24"/>
          <w:szCs w:val="24"/>
        </w:rPr>
        <w:t>.</w:t>
      </w:r>
      <w:r w:rsidR="00BE0E0F" w:rsidRPr="00F62FC9">
        <w:rPr>
          <w:rFonts w:ascii="Calibri" w:hAnsi="Calibri" w:cs="Calibri"/>
          <w:sz w:val="24"/>
          <w:szCs w:val="24"/>
        </w:rPr>
        <w:t xml:space="preserve"> </w:t>
      </w:r>
      <w:r w:rsidR="007C79EC" w:rsidRPr="00F62FC9">
        <w:rPr>
          <w:rFonts w:ascii="Calibri" w:hAnsi="Calibri" w:cs="Calibri"/>
          <w:sz w:val="24"/>
          <w:szCs w:val="24"/>
        </w:rPr>
        <w:t xml:space="preserve">A PPC deve ser mantida preferencialmente acima de 60 mmHg. </w:t>
      </w:r>
      <w:r w:rsidR="00A96068" w:rsidRPr="00F62FC9">
        <w:rPr>
          <w:rFonts w:ascii="Calibri" w:hAnsi="Calibri" w:cs="Calibri"/>
          <w:sz w:val="24"/>
          <w:szCs w:val="24"/>
        </w:rPr>
        <w:t xml:space="preserve">Noradrenalina, </w:t>
      </w:r>
      <w:r w:rsidR="0037497C" w:rsidRPr="00F62FC9">
        <w:rPr>
          <w:rFonts w:ascii="Calibri" w:hAnsi="Calibri" w:cs="Calibri"/>
          <w:sz w:val="24"/>
          <w:szCs w:val="24"/>
        </w:rPr>
        <w:t xml:space="preserve">vasopressina ou terlipressina </w:t>
      </w:r>
      <w:r w:rsidR="00A931F4" w:rsidRPr="00F62FC9">
        <w:rPr>
          <w:rFonts w:ascii="Calibri" w:hAnsi="Calibri" w:cs="Calibri"/>
          <w:sz w:val="24"/>
          <w:szCs w:val="24"/>
        </w:rPr>
        <w:t>podem</w:t>
      </w:r>
      <w:r w:rsidR="009928B1" w:rsidRPr="00F62FC9">
        <w:rPr>
          <w:rFonts w:ascii="Calibri" w:hAnsi="Calibri" w:cs="Calibri"/>
          <w:sz w:val="24"/>
          <w:szCs w:val="24"/>
        </w:rPr>
        <w:t xml:space="preserve"> </w:t>
      </w:r>
      <w:r w:rsidR="00140AF9" w:rsidRPr="00F62FC9">
        <w:rPr>
          <w:rFonts w:ascii="Calibri" w:hAnsi="Calibri" w:cs="Calibri"/>
          <w:sz w:val="24"/>
          <w:szCs w:val="24"/>
        </w:rPr>
        <w:t>aumentar a vasoconstrição e consequentemente a PPC, mas sem aumentar a PIC</w:t>
      </w:r>
      <w:r w:rsidR="00356CA6" w:rsidRPr="00F62FC9">
        <w:rPr>
          <w:rFonts w:ascii="Calibri" w:hAnsi="Calibri" w:cs="Calibri"/>
          <w:sz w:val="24"/>
          <w:szCs w:val="24"/>
        </w:rPr>
        <w:t xml:space="preserve"> </w:t>
      </w:r>
      <w:r w:rsidR="00356CA6" w:rsidRPr="00F62FC9">
        <w:rPr>
          <w:rFonts w:ascii="Calibri" w:hAnsi="Calibri" w:cs="Calibri"/>
          <w:sz w:val="24"/>
          <w:szCs w:val="24"/>
        </w:rPr>
        <w:fldChar w:fldCharType="begin" w:fldLock="1"/>
      </w:r>
      <w:r w:rsidR="003B280C" w:rsidRPr="00F62FC9">
        <w:rPr>
          <w:rFonts w:ascii="Calibri" w:hAnsi="Calibri" w:cs="Calibri"/>
          <w:sz w:val="24"/>
          <w:szCs w:val="24"/>
        </w:rPr>
        <w:instrText>ADDIN CSL_CITATION {"citationItems":[{"id":"ITEM-1","itemData":{"DOI":"10.1016/B978-0-7020-4087-0.00044-9","ISSN":"00729752","PMID":"24365344","abstract":"Fulminant hepatic failure presents with a hepatic encephalopathy and may progress to coma and often brain death from cerebral edema. This natural progression in severe cases contributes to early mortality, but outcome can be good if liver transplantation is appropriately timed and increased intracranial pressure (ICP) is managed. Neurologists and neurosurgeons have become more involved in these very challenging patients and are often asked to rapidly identify patients who are at risk of cerebral edema, to carefully select the patient population who will benefit from invasive ICP monitoring, to judge the correct time to start monitoring, to participate in treatment of cerebral edema, and to manage complications such as intracranial hemorrhage or seizures. This chapter summarizes the current multidisciplinary approach to fulminant hepatic failure and how to best bridge patients to emergency liver transplantation. © 2014 Elsevier B.V.","author":[{"dropping-particle":"","family":"Datar","given":"Sudhir","non-dropping-particle":"","parse-names":false,"suffix":""},{"dropping-particle":"","family":"Wijdicks","given":"Eelco F.M.","non-dropping-particle":"","parse-names":false,"suffix":""}],"container-title":"Handbook of Clinical Neurology","edition":"1","id":"ITEM-1","issued":{"date-parts":[["2014"]]},"page":"645-659","publisher":"Elsevier B.V.","title":"Neurologic manifestations of acute liver failure","type":"chapter","volume":"120"},"uris":["http://www.mendeley.com/documents/?uuid=7538d626-0023-4688-bf67-60bfc2a1e3a6"]}],"mendeley":{"formattedCitation":"(3)","plainTextFormattedCitation":"(3)","previouslyFormattedCitation":"(Datar and Wijdicks 2014)"},"properties":{"noteIndex":0},"schema":"https://github.com/citation-style-language/schema/raw/master/csl-citation.json"}</w:instrText>
      </w:r>
      <w:r w:rsidR="00356CA6" w:rsidRPr="00F62FC9">
        <w:rPr>
          <w:rFonts w:ascii="Calibri" w:hAnsi="Calibri" w:cs="Calibri"/>
          <w:sz w:val="24"/>
          <w:szCs w:val="24"/>
        </w:rPr>
        <w:fldChar w:fldCharType="separate"/>
      </w:r>
      <w:r w:rsidR="003B280C" w:rsidRPr="00F62FC9">
        <w:rPr>
          <w:rFonts w:ascii="Calibri" w:hAnsi="Calibri" w:cs="Calibri"/>
          <w:noProof/>
          <w:sz w:val="24"/>
          <w:szCs w:val="24"/>
        </w:rPr>
        <w:t>(3)</w:t>
      </w:r>
      <w:r w:rsidR="00356CA6" w:rsidRPr="00F62FC9">
        <w:rPr>
          <w:rFonts w:ascii="Calibri" w:hAnsi="Calibri" w:cs="Calibri"/>
          <w:sz w:val="24"/>
          <w:szCs w:val="24"/>
        </w:rPr>
        <w:fldChar w:fldCharType="end"/>
      </w:r>
      <w:r w:rsidR="00140AF9" w:rsidRPr="00F62FC9">
        <w:rPr>
          <w:rFonts w:ascii="Calibri" w:hAnsi="Calibri" w:cs="Calibri"/>
          <w:sz w:val="24"/>
          <w:szCs w:val="24"/>
        </w:rPr>
        <w:t>.</w:t>
      </w:r>
    </w:p>
    <w:p w14:paraId="094E3FED" w14:textId="0ECBDB33" w:rsidR="00356CA6" w:rsidRPr="00F62FC9" w:rsidRDefault="00327EAA" w:rsidP="00356CA6">
      <w:pPr>
        <w:ind w:firstLine="360"/>
        <w:jc w:val="both"/>
        <w:rPr>
          <w:rFonts w:ascii="Calibri" w:hAnsi="Calibri" w:cs="Calibri"/>
          <w:sz w:val="24"/>
          <w:szCs w:val="24"/>
        </w:rPr>
      </w:pPr>
      <w:r w:rsidRPr="00F62FC9">
        <w:rPr>
          <w:rFonts w:ascii="Calibri" w:hAnsi="Calibri" w:cs="Calibri"/>
          <w:sz w:val="24"/>
          <w:szCs w:val="24"/>
        </w:rPr>
        <w:t>Ademais</w:t>
      </w:r>
      <w:r w:rsidR="008B071D" w:rsidRPr="00F62FC9">
        <w:rPr>
          <w:rFonts w:ascii="Calibri" w:hAnsi="Calibri" w:cs="Calibri"/>
          <w:sz w:val="24"/>
          <w:szCs w:val="24"/>
        </w:rPr>
        <w:t xml:space="preserve">, é evidente a necessidade de tratar a </w:t>
      </w:r>
      <w:r w:rsidR="00DE6D2F" w:rsidRPr="00F62FC9">
        <w:rPr>
          <w:rFonts w:ascii="Calibri" w:hAnsi="Calibri" w:cs="Calibri"/>
          <w:sz w:val="24"/>
          <w:szCs w:val="24"/>
        </w:rPr>
        <w:t>etiologia</w:t>
      </w:r>
      <w:r w:rsidR="008B071D" w:rsidRPr="00F62FC9">
        <w:rPr>
          <w:rFonts w:ascii="Calibri" w:hAnsi="Calibri" w:cs="Calibri"/>
          <w:sz w:val="24"/>
          <w:szCs w:val="24"/>
        </w:rPr>
        <w:t xml:space="preserve"> subjacente, tanto em paciente com DHA e </w:t>
      </w:r>
      <w:r w:rsidR="00AB5C4C" w:rsidRPr="00F62FC9">
        <w:rPr>
          <w:rFonts w:ascii="Calibri" w:hAnsi="Calibri" w:cs="Calibri"/>
          <w:sz w:val="24"/>
          <w:szCs w:val="24"/>
        </w:rPr>
        <w:t xml:space="preserve">quanto com </w:t>
      </w:r>
      <w:r w:rsidR="008B071D" w:rsidRPr="00F62FC9">
        <w:rPr>
          <w:rFonts w:ascii="Calibri" w:hAnsi="Calibri" w:cs="Calibri"/>
          <w:sz w:val="24"/>
          <w:szCs w:val="24"/>
        </w:rPr>
        <w:t>DH</w:t>
      </w:r>
      <w:r w:rsidR="00D75812" w:rsidRPr="00F62FC9">
        <w:rPr>
          <w:rFonts w:ascii="Calibri" w:hAnsi="Calibri" w:cs="Calibri"/>
          <w:sz w:val="24"/>
          <w:szCs w:val="24"/>
        </w:rPr>
        <w:t>C</w:t>
      </w:r>
      <w:r w:rsidR="008B071D" w:rsidRPr="00F62FC9">
        <w:rPr>
          <w:rFonts w:ascii="Calibri" w:hAnsi="Calibri" w:cs="Calibri"/>
          <w:sz w:val="24"/>
          <w:szCs w:val="24"/>
        </w:rPr>
        <w:t xml:space="preserve">. Contudo, referente </w:t>
      </w:r>
      <w:r w:rsidR="003308B5" w:rsidRPr="00F62FC9">
        <w:rPr>
          <w:rFonts w:ascii="Calibri" w:hAnsi="Calibri" w:cs="Calibri"/>
          <w:sz w:val="24"/>
          <w:szCs w:val="24"/>
        </w:rPr>
        <w:t>a</w:t>
      </w:r>
      <w:r w:rsidR="00034EA1" w:rsidRPr="00F62FC9">
        <w:rPr>
          <w:rFonts w:ascii="Calibri" w:hAnsi="Calibri" w:cs="Calibri"/>
          <w:sz w:val="24"/>
          <w:szCs w:val="24"/>
        </w:rPr>
        <w:t>o edema</w:t>
      </w:r>
      <w:r w:rsidR="004508D2" w:rsidRPr="00F62FC9">
        <w:rPr>
          <w:rFonts w:ascii="Calibri" w:hAnsi="Calibri" w:cs="Calibri"/>
          <w:sz w:val="24"/>
          <w:szCs w:val="24"/>
        </w:rPr>
        <w:t xml:space="preserve"> e </w:t>
      </w:r>
      <w:r w:rsidR="003308B5" w:rsidRPr="00F62FC9">
        <w:rPr>
          <w:rFonts w:ascii="Calibri" w:hAnsi="Calibri" w:cs="Calibri"/>
          <w:sz w:val="24"/>
          <w:szCs w:val="24"/>
        </w:rPr>
        <w:t>à</w:t>
      </w:r>
      <w:r w:rsidR="00780016" w:rsidRPr="00F62FC9">
        <w:rPr>
          <w:rFonts w:ascii="Calibri" w:hAnsi="Calibri" w:cs="Calibri"/>
          <w:sz w:val="24"/>
          <w:szCs w:val="24"/>
        </w:rPr>
        <w:t xml:space="preserve"> </w:t>
      </w:r>
      <w:r w:rsidR="00471908" w:rsidRPr="00F62FC9">
        <w:rPr>
          <w:rFonts w:ascii="Calibri" w:hAnsi="Calibri" w:cs="Calibri"/>
          <w:sz w:val="24"/>
          <w:szCs w:val="24"/>
        </w:rPr>
        <w:t>HIC</w:t>
      </w:r>
      <w:r w:rsidR="00034EA1" w:rsidRPr="00F62FC9">
        <w:rPr>
          <w:rFonts w:ascii="Calibri" w:hAnsi="Calibri" w:cs="Calibri"/>
          <w:sz w:val="24"/>
          <w:szCs w:val="24"/>
        </w:rPr>
        <w:t xml:space="preserve">, </w:t>
      </w:r>
      <w:r w:rsidR="00AE0313" w:rsidRPr="00F62FC9">
        <w:rPr>
          <w:rFonts w:ascii="Calibri" w:hAnsi="Calibri" w:cs="Calibri"/>
          <w:sz w:val="24"/>
          <w:szCs w:val="24"/>
        </w:rPr>
        <w:t>deve-se evitar</w:t>
      </w:r>
      <w:r w:rsidR="00780016" w:rsidRPr="00F62FC9">
        <w:rPr>
          <w:rFonts w:ascii="Calibri" w:hAnsi="Calibri" w:cs="Calibri"/>
          <w:sz w:val="24"/>
          <w:szCs w:val="24"/>
        </w:rPr>
        <w:t xml:space="preserve"> fatores de piora do paciente, como a agitação, tosse, </w:t>
      </w:r>
      <w:r w:rsidR="007A192A" w:rsidRPr="00F62FC9">
        <w:rPr>
          <w:rFonts w:ascii="Calibri" w:hAnsi="Calibri" w:cs="Calibri"/>
          <w:sz w:val="24"/>
          <w:szCs w:val="24"/>
        </w:rPr>
        <w:t xml:space="preserve">movimentos na cama, sucção endotraqueal e hipertensão arterial severa. </w:t>
      </w:r>
      <w:r w:rsidR="00713CBF" w:rsidRPr="00F62FC9">
        <w:rPr>
          <w:rFonts w:ascii="Calibri" w:hAnsi="Calibri" w:cs="Calibri"/>
          <w:sz w:val="24"/>
          <w:szCs w:val="24"/>
        </w:rPr>
        <w:t xml:space="preserve">A cabeceira da cama deve ser elevada em pelo menos 30º e </w:t>
      </w:r>
      <w:r w:rsidR="00790538" w:rsidRPr="00F62FC9">
        <w:rPr>
          <w:rFonts w:ascii="Calibri" w:hAnsi="Calibri" w:cs="Calibri"/>
          <w:sz w:val="24"/>
          <w:szCs w:val="24"/>
        </w:rPr>
        <w:t>o pescoço deve ficar alinhado para facilitar o retorno venoso. Alcalose respiratória (hipocapnia</w:t>
      </w:r>
      <w:r w:rsidR="00AA2711" w:rsidRPr="00F62FC9">
        <w:rPr>
          <w:rFonts w:ascii="Calibri" w:hAnsi="Calibri" w:cs="Calibri"/>
          <w:sz w:val="24"/>
          <w:szCs w:val="24"/>
        </w:rPr>
        <w:t xml:space="preserve"> com pCO</w:t>
      </w:r>
      <w:r w:rsidR="00AA2711" w:rsidRPr="00F62FC9">
        <w:rPr>
          <w:rFonts w:ascii="Calibri" w:hAnsi="Calibri" w:cs="Calibri"/>
          <w:sz w:val="24"/>
          <w:szCs w:val="24"/>
          <w:vertAlign w:val="subscript"/>
        </w:rPr>
        <w:t>2</w:t>
      </w:r>
      <w:r w:rsidR="00AA2711" w:rsidRPr="00F62FC9">
        <w:rPr>
          <w:rFonts w:ascii="Calibri" w:hAnsi="Calibri" w:cs="Calibri"/>
          <w:sz w:val="24"/>
          <w:szCs w:val="24"/>
        </w:rPr>
        <w:t xml:space="preserve"> entre 28 – 35 mmHg</w:t>
      </w:r>
      <w:r w:rsidR="00790538" w:rsidRPr="00F62FC9">
        <w:rPr>
          <w:rFonts w:ascii="Calibri" w:hAnsi="Calibri" w:cs="Calibri"/>
          <w:sz w:val="24"/>
          <w:szCs w:val="24"/>
        </w:rPr>
        <w:t xml:space="preserve">) pode </w:t>
      </w:r>
      <w:r w:rsidR="00AA2711" w:rsidRPr="00F62FC9">
        <w:rPr>
          <w:rFonts w:ascii="Calibri" w:hAnsi="Calibri" w:cs="Calibri"/>
          <w:sz w:val="24"/>
          <w:szCs w:val="24"/>
        </w:rPr>
        <w:t xml:space="preserve">ser útil por seu efeito </w:t>
      </w:r>
      <w:r w:rsidR="00810C5E" w:rsidRPr="00F62FC9">
        <w:rPr>
          <w:rFonts w:ascii="Calibri" w:hAnsi="Calibri" w:cs="Calibri"/>
          <w:sz w:val="24"/>
          <w:szCs w:val="24"/>
        </w:rPr>
        <w:t xml:space="preserve">cerebral vasoconstritor, que reduz o volume sanguíneo cerebral e, consequentemente, a PIC. </w:t>
      </w:r>
      <w:r w:rsidR="008F5F6D" w:rsidRPr="00F62FC9">
        <w:rPr>
          <w:rFonts w:ascii="Calibri" w:hAnsi="Calibri" w:cs="Calibri"/>
          <w:sz w:val="24"/>
          <w:szCs w:val="24"/>
        </w:rPr>
        <w:t xml:space="preserve">Convulsões pioram a HIC e podem ser tratadas com </w:t>
      </w:r>
      <w:r w:rsidR="00093B57" w:rsidRPr="00F62FC9">
        <w:rPr>
          <w:rFonts w:ascii="Calibri" w:hAnsi="Calibri" w:cs="Calibri"/>
          <w:sz w:val="24"/>
          <w:szCs w:val="24"/>
        </w:rPr>
        <w:t>antiepilépticos (Fenitoína)</w:t>
      </w:r>
      <w:r w:rsidR="002E191F" w:rsidRPr="00F62FC9">
        <w:rPr>
          <w:rFonts w:ascii="Calibri" w:hAnsi="Calibri" w:cs="Calibri"/>
          <w:sz w:val="24"/>
          <w:szCs w:val="24"/>
        </w:rPr>
        <w:t>. Terapia hiper</w:t>
      </w:r>
      <w:r w:rsidR="00283BF8" w:rsidRPr="00F62FC9">
        <w:rPr>
          <w:rFonts w:ascii="Calibri" w:hAnsi="Calibri" w:cs="Calibri"/>
          <w:sz w:val="24"/>
          <w:szCs w:val="24"/>
        </w:rPr>
        <w:t xml:space="preserve">osmolar </w:t>
      </w:r>
      <w:r w:rsidR="000D7BF9" w:rsidRPr="00F62FC9">
        <w:rPr>
          <w:rFonts w:ascii="Calibri" w:hAnsi="Calibri" w:cs="Calibri"/>
          <w:sz w:val="24"/>
          <w:szCs w:val="24"/>
        </w:rPr>
        <w:t xml:space="preserve">pode mover osmoticamente água intracraniana para a circulação </w:t>
      </w:r>
      <w:r w:rsidR="0072410E" w:rsidRPr="00F62FC9">
        <w:rPr>
          <w:rFonts w:ascii="Calibri" w:hAnsi="Calibri" w:cs="Calibri"/>
          <w:sz w:val="24"/>
          <w:szCs w:val="24"/>
        </w:rPr>
        <w:t>sistêmica</w:t>
      </w:r>
      <w:r w:rsidR="00977855" w:rsidRPr="00F62FC9">
        <w:rPr>
          <w:rFonts w:ascii="Calibri" w:hAnsi="Calibri" w:cs="Calibri"/>
          <w:sz w:val="24"/>
          <w:szCs w:val="24"/>
        </w:rPr>
        <w:t>; n</w:t>
      </w:r>
      <w:r w:rsidR="0072410E" w:rsidRPr="00F62FC9">
        <w:rPr>
          <w:rFonts w:ascii="Calibri" w:hAnsi="Calibri" w:cs="Calibri"/>
          <w:sz w:val="24"/>
          <w:szCs w:val="24"/>
        </w:rPr>
        <w:t>esse caso, pode-se utilizar salina hipertônica (</w:t>
      </w:r>
      <w:r w:rsidR="001B3BBB" w:rsidRPr="00F62FC9">
        <w:rPr>
          <w:rFonts w:ascii="Calibri" w:hAnsi="Calibri" w:cs="Calibri"/>
          <w:sz w:val="24"/>
          <w:szCs w:val="24"/>
        </w:rPr>
        <w:t>hipernatremia induzida de 145-155 mEq/L</w:t>
      </w:r>
      <w:r w:rsidR="00977855" w:rsidRPr="00F62FC9">
        <w:rPr>
          <w:rFonts w:ascii="Calibri" w:hAnsi="Calibri" w:cs="Calibri"/>
          <w:sz w:val="24"/>
          <w:szCs w:val="24"/>
        </w:rPr>
        <w:t xml:space="preserve">). </w:t>
      </w:r>
      <w:r w:rsidR="00EE1B29" w:rsidRPr="00F62FC9">
        <w:rPr>
          <w:rFonts w:ascii="Calibri" w:hAnsi="Calibri" w:cs="Calibri"/>
          <w:sz w:val="24"/>
          <w:szCs w:val="24"/>
        </w:rPr>
        <w:t xml:space="preserve">Em caso de resistência a essa terapia, </w:t>
      </w:r>
      <w:r w:rsidR="00492E2A" w:rsidRPr="00F62FC9">
        <w:rPr>
          <w:rFonts w:ascii="Calibri" w:hAnsi="Calibri" w:cs="Calibri"/>
          <w:sz w:val="24"/>
          <w:szCs w:val="24"/>
        </w:rPr>
        <w:t xml:space="preserve">pode-se usar barbitúricos. </w:t>
      </w:r>
      <w:r w:rsidR="0057416B" w:rsidRPr="00F62FC9">
        <w:rPr>
          <w:rFonts w:ascii="Calibri" w:hAnsi="Calibri" w:cs="Calibri"/>
          <w:sz w:val="24"/>
          <w:szCs w:val="24"/>
        </w:rPr>
        <w:t>M</w:t>
      </w:r>
      <w:r w:rsidR="001B3BBB" w:rsidRPr="00F62FC9">
        <w:rPr>
          <w:rFonts w:ascii="Calibri" w:hAnsi="Calibri" w:cs="Calibri"/>
          <w:sz w:val="24"/>
          <w:szCs w:val="24"/>
        </w:rPr>
        <w:t>anitol (</w:t>
      </w:r>
      <w:r w:rsidR="00977855" w:rsidRPr="00F62FC9">
        <w:rPr>
          <w:rFonts w:ascii="Calibri" w:hAnsi="Calibri" w:cs="Calibri"/>
          <w:sz w:val="24"/>
          <w:szCs w:val="24"/>
        </w:rPr>
        <w:t>1g/kg) para ser utilizado para forçar uma diurese osmótica.</w:t>
      </w:r>
      <w:r w:rsidR="00F472BE" w:rsidRPr="00F62FC9">
        <w:rPr>
          <w:rFonts w:ascii="Calibri" w:hAnsi="Calibri" w:cs="Calibri"/>
          <w:sz w:val="24"/>
          <w:szCs w:val="24"/>
        </w:rPr>
        <w:t xml:space="preserve"> </w:t>
      </w:r>
      <w:r w:rsidR="0057416B" w:rsidRPr="00F62FC9">
        <w:rPr>
          <w:rFonts w:ascii="Calibri" w:hAnsi="Calibri" w:cs="Calibri"/>
          <w:sz w:val="24"/>
          <w:szCs w:val="24"/>
        </w:rPr>
        <w:t>P</w:t>
      </w:r>
      <w:r w:rsidR="00F472BE" w:rsidRPr="00F62FC9">
        <w:rPr>
          <w:rFonts w:ascii="Calibri" w:hAnsi="Calibri" w:cs="Calibri"/>
          <w:sz w:val="24"/>
          <w:szCs w:val="24"/>
        </w:rPr>
        <w:t>ropofol</w:t>
      </w:r>
      <w:r w:rsidR="000078E8" w:rsidRPr="00F62FC9">
        <w:rPr>
          <w:rFonts w:ascii="Calibri" w:hAnsi="Calibri" w:cs="Calibri"/>
          <w:sz w:val="24"/>
          <w:szCs w:val="24"/>
        </w:rPr>
        <w:t xml:space="preserve"> (50 µg/kg/min)</w:t>
      </w:r>
      <w:r w:rsidR="00F472BE" w:rsidRPr="00F62FC9">
        <w:rPr>
          <w:rFonts w:ascii="Calibri" w:hAnsi="Calibri" w:cs="Calibri"/>
          <w:sz w:val="24"/>
          <w:szCs w:val="24"/>
        </w:rPr>
        <w:t xml:space="preserve">, fármaco usado para </w:t>
      </w:r>
      <w:r w:rsidR="00EE1B29" w:rsidRPr="00F62FC9">
        <w:rPr>
          <w:rFonts w:ascii="Calibri" w:hAnsi="Calibri" w:cs="Calibri"/>
          <w:sz w:val="24"/>
          <w:szCs w:val="24"/>
        </w:rPr>
        <w:t xml:space="preserve">sedação e ventilação mecânica, tem sido apontado como </w:t>
      </w:r>
      <w:r w:rsidR="00492E2A" w:rsidRPr="00F62FC9">
        <w:rPr>
          <w:rFonts w:ascii="Calibri" w:hAnsi="Calibri" w:cs="Calibri"/>
          <w:sz w:val="24"/>
          <w:szCs w:val="24"/>
        </w:rPr>
        <w:t>capaz de diminuir o metabolismo cerebral</w:t>
      </w:r>
      <w:r w:rsidR="00F21699" w:rsidRPr="00F62FC9">
        <w:rPr>
          <w:rFonts w:ascii="Calibri" w:hAnsi="Calibri" w:cs="Calibri"/>
          <w:sz w:val="24"/>
          <w:szCs w:val="24"/>
        </w:rPr>
        <w:t xml:space="preserve">, a perfusão cerebral e a PIC, além ter sido relatado por suas propriedades neuroprotetivas (mediando o tônus GABAérgico) </w:t>
      </w:r>
      <w:r w:rsidR="000078E8" w:rsidRPr="00F62FC9">
        <w:rPr>
          <w:rFonts w:ascii="Calibri" w:hAnsi="Calibri" w:cs="Calibri"/>
          <w:sz w:val="24"/>
          <w:szCs w:val="24"/>
        </w:rPr>
        <w:t>e antioxidantes</w:t>
      </w:r>
      <w:r w:rsidR="004C6B1F" w:rsidRPr="00F62FC9">
        <w:rPr>
          <w:rFonts w:ascii="Calibri" w:hAnsi="Calibri" w:cs="Calibri"/>
          <w:sz w:val="24"/>
          <w:szCs w:val="24"/>
        </w:rPr>
        <w:t>. Hipotermia leve</w:t>
      </w:r>
      <w:r w:rsidR="008D4B81" w:rsidRPr="00F62FC9">
        <w:rPr>
          <w:rFonts w:ascii="Calibri" w:hAnsi="Calibri" w:cs="Calibri"/>
          <w:sz w:val="24"/>
          <w:szCs w:val="24"/>
        </w:rPr>
        <w:t xml:space="preserve"> (32 </w:t>
      </w:r>
      <w:r w:rsidR="00CA1D3C" w:rsidRPr="00F62FC9">
        <w:rPr>
          <w:rFonts w:ascii="Calibri" w:hAnsi="Calibri" w:cs="Calibri"/>
          <w:sz w:val="24"/>
          <w:szCs w:val="24"/>
        </w:rPr>
        <w:t>–</w:t>
      </w:r>
      <w:r w:rsidR="008D4B81" w:rsidRPr="00F62FC9">
        <w:rPr>
          <w:rFonts w:ascii="Calibri" w:hAnsi="Calibri" w:cs="Calibri"/>
          <w:sz w:val="24"/>
          <w:szCs w:val="24"/>
        </w:rPr>
        <w:t xml:space="preserve"> 35</w:t>
      </w:r>
      <w:r w:rsidR="00CA1D3C" w:rsidRPr="00F62FC9">
        <w:rPr>
          <w:rFonts w:ascii="Calibri" w:hAnsi="Calibri" w:cs="Calibri"/>
          <w:sz w:val="24"/>
          <w:szCs w:val="24"/>
        </w:rPr>
        <w:t>c)</w:t>
      </w:r>
      <w:r w:rsidR="004C6B1F" w:rsidRPr="00F62FC9">
        <w:rPr>
          <w:rFonts w:ascii="Calibri" w:hAnsi="Calibri" w:cs="Calibri"/>
          <w:sz w:val="24"/>
          <w:szCs w:val="24"/>
        </w:rPr>
        <w:t xml:space="preserve"> também tem sido proposta como método terapêutico</w:t>
      </w:r>
      <w:r w:rsidR="00062B82" w:rsidRPr="00F62FC9">
        <w:rPr>
          <w:rFonts w:ascii="Calibri" w:hAnsi="Calibri" w:cs="Calibri"/>
          <w:sz w:val="24"/>
          <w:szCs w:val="24"/>
        </w:rPr>
        <w:t xml:space="preserve"> </w:t>
      </w:r>
      <w:r w:rsidR="00062B82" w:rsidRPr="00F62FC9">
        <w:rPr>
          <w:rFonts w:ascii="Calibri" w:hAnsi="Calibri" w:cs="Calibri"/>
          <w:sz w:val="24"/>
          <w:szCs w:val="24"/>
        </w:rPr>
        <w:fldChar w:fldCharType="begin" w:fldLock="1"/>
      </w:r>
      <w:r w:rsidR="003B280C" w:rsidRPr="00F62FC9">
        <w:rPr>
          <w:rFonts w:ascii="Calibri" w:hAnsi="Calibri" w:cs="Calibri"/>
          <w:sz w:val="24"/>
          <w:szCs w:val="24"/>
        </w:rPr>
        <w:instrText>ADDIN CSL_CITATION {"citationItems":[{"id":"ITEM-1","itemData":{"DOI":"10.1016/B978-0-7020-4087-0.00044-9","ISSN":"00729752","PMID":"24365344","abstract":"Fulminant hepatic failure presents with a hepatic encephalopathy and may progress to coma and often brain death from cerebral edema. This natural progression in severe cases contributes to early mortality, but outcome can be good if liver transplantation is appropriately timed and increased intracranial pressure (ICP) is managed. Neurologists and neurosurgeons have become more involved in these very challenging patients and are often asked to rapidly identify patients who are at risk of cerebral edema, to carefully select the patient population who will benefit from invasive ICP monitoring, to judge the correct time to start monitoring, to participate in treatment of cerebral edema, and to manage complications such as intracranial hemorrhage or seizures. This chapter summarizes the current multidisciplinary approach to fulminant hepatic failure and how to best bridge patients to emergency liver transplantation. © 2014 Elsevier B.V.","author":[{"dropping-particle":"","family":"Datar","given":"Sudhir","non-dropping-particle":"","parse-names":false,"suffix":""},{"dropping-particle":"","family":"Wijdicks","given":"Eelco F.M.","non-dropping-particle":"","parse-names":false,"suffix":""}],"container-title":"Handbook of Clinical Neurology","edition":"1","id":"ITEM-1","issued":{"date-parts":[["2014"]]},"page":"645-659","publisher":"Elsevier B.V.","title":"Neurologic manifestations of acute liver failure","type":"chapter","volume":"120"},"uris":["http://www.mendeley.com/documents/?uuid=7538d626-0023-4688-bf67-60bfc2a1e3a6"]},{"id":"ITEM-2","itemData":{"DOI":"10.1016/j.cld.2015.04.006","ISSN":"15578224","PMID":"26195209","abstract":"Hepatic encephalopathy (HE) is associated with cerebral edema (CE), increased intracranial pressure (ICP), and subsequent neurologic complications; it is the most important cause of morbidity and mortality in fulminant hepatic failure. The goal of therapy should be early diagnosis and treatment of HE with measures to reduce CE. A combination of clinical examination and diagnostic modalities can aid in prompt diagnosis. ICP monitoring and transcranial Doppler help diagnose and monitor response to treatment. Transfer to a transplant center and intensive care unit admission with airway management and reduction of CE with hypertonic saline, mannitol, hypothermia, and sedation are recommended as a bridge to liver transplantation.","author":[{"dropping-particle":"","family":"Kodali","given":"Sudha","non-dropping-particle":"","parse-names":false,"suffix":""},{"dropping-particle":"","family":"McGuire","given":"Brendan M.","non-dropping-particle":"","parse-names":false,"suffix":""}],"container-title":"Clinics in Liver Disease","id":"ITEM-2","issue":"3","issued":{"date-parts":[["2015"]]},"page":"565-576","publisher":"Elsevier Inc","title":"Diagnosis and Management of Hepatic Encephalopathy in Fulminant Hepatic Failure","type":"article","volume":"19"},"uris":["http://www.mendeley.com/documents/?uuid=ee5a5aa9-59f4-421f-8274-78a7e72edbae"]}],"mendeley":{"formattedCitation":"(3,5)","plainTextFormattedCitation":"(3,5)","previouslyFormattedCitation":"(Datar and Wijdicks 2014; Kodali and McGuire 2015)"},"properties":{"noteIndex":0},"schema":"https://github.com/citation-style-language/schema/raw/master/csl-citation.json"}</w:instrText>
      </w:r>
      <w:r w:rsidR="00062B82" w:rsidRPr="00F62FC9">
        <w:rPr>
          <w:rFonts w:ascii="Calibri" w:hAnsi="Calibri" w:cs="Calibri"/>
          <w:sz w:val="24"/>
          <w:szCs w:val="24"/>
        </w:rPr>
        <w:fldChar w:fldCharType="separate"/>
      </w:r>
      <w:r w:rsidR="003B280C" w:rsidRPr="00F62FC9">
        <w:rPr>
          <w:rFonts w:ascii="Calibri" w:hAnsi="Calibri" w:cs="Calibri"/>
          <w:noProof/>
          <w:sz w:val="24"/>
          <w:szCs w:val="24"/>
        </w:rPr>
        <w:t>(3,5)</w:t>
      </w:r>
      <w:r w:rsidR="00062B82" w:rsidRPr="00F62FC9">
        <w:rPr>
          <w:rFonts w:ascii="Calibri" w:hAnsi="Calibri" w:cs="Calibri"/>
          <w:sz w:val="24"/>
          <w:szCs w:val="24"/>
        </w:rPr>
        <w:fldChar w:fldCharType="end"/>
      </w:r>
      <w:r w:rsidR="000078E8" w:rsidRPr="00F62FC9">
        <w:rPr>
          <w:rFonts w:ascii="Calibri" w:hAnsi="Calibri" w:cs="Calibri"/>
          <w:sz w:val="24"/>
          <w:szCs w:val="24"/>
        </w:rPr>
        <w:t>.</w:t>
      </w:r>
    </w:p>
    <w:p w14:paraId="3F889BA1" w14:textId="01C895B6" w:rsidR="00906115" w:rsidRPr="00F62FC9" w:rsidRDefault="008F3B57" w:rsidP="000B7BA0">
      <w:pPr>
        <w:ind w:firstLine="360"/>
        <w:jc w:val="both"/>
        <w:rPr>
          <w:rFonts w:ascii="Calibri" w:hAnsi="Calibri" w:cs="Calibri"/>
          <w:sz w:val="24"/>
          <w:szCs w:val="24"/>
        </w:rPr>
      </w:pPr>
      <w:r w:rsidRPr="00F62FC9">
        <w:rPr>
          <w:rFonts w:ascii="Calibri" w:hAnsi="Calibri" w:cs="Calibri"/>
          <w:sz w:val="24"/>
          <w:szCs w:val="24"/>
        </w:rPr>
        <w:t xml:space="preserve">Além disso, </w:t>
      </w:r>
      <w:r w:rsidR="003206B8" w:rsidRPr="00F62FC9">
        <w:rPr>
          <w:rFonts w:ascii="Calibri" w:hAnsi="Calibri" w:cs="Calibri"/>
          <w:sz w:val="24"/>
          <w:szCs w:val="24"/>
        </w:rPr>
        <w:t>vários estudos sugerem que o monitoramento da PIC pode ser clinicamente útil</w:t>
      </w:r>
      <w:r w:rsidR="00B06E16" w:rsidRPr="00F62FC9">
        <w:rPr>
          <w:rFonts w:ascii="Calibri" w:hAnsi="Calibri" w:cs="Calibri"/>
          <w:sz w:val="24"/>
          <w:szCs w:val="24"/>
        </w:rPr>
        <w:t xml:space="preserve">. </w:t>
      </w:r>
      <w:r w:rsidR="00EA6E44" w:rsidRPr="00F62FC9">
        <w:rPr>
          <w:rFonts w:ascii="Calibri" w:hAnsi="Calibri" w:cs="Calibri"/>
          <w:sz w:val="24"/>
          <w:szCs w:val="24"/>
        </w:rPr>
        <w:t>Ela</w:t>
      </w:r>
      <w:r w:rsidR="004F4068" w:rsidRPr="00F62FC9">
        <w:rPr>
          <w:rFonts w:ascii="Calibri" w:hAnsi="Calibri" w:cs="Calibri"/>
          <w:sz w:val="24"/>
          <w:szCs w:val="24"/>
        </w:rPr>
        <w:t xml:space="preserve"> é indicada em todos os casos com EH Grau 4 </w:t>
      </w:r>
      <w:r w:rsidR="004F4068" w:rsidRPr="00F62FC9">
        <w:rPr>
          <w:rFonts w:ascii="Calibri" w:hAnsi="Calibri" w:cs="Calibri"/>
          <w:sz w:val="24"/>
          <w:szCs w:val="24"/>
        </w:rPr>
        <w:fldChar w:fldCharType="begin" w:fldLock="1"/>
      </w:r>
      <w:r w:rsidR="003B280C" w:rsidRPr="00F62FC9">
        <w:rPr>
          <w:rFonts w:ascii="Calibri" w:hAnsi="Calibri" w:cs="Calibri"/>
          <w:sz w:val="24"/>
          <w:szCs w:val="24"/>
        </w:rPr>
        <w:instrText>ADDIN CSL_CITATION {"citationItems":[{"id":"ITEM-1","itemData":{"DOI":"10.1016/j.cld.2015.04.006","ISSN":"15578224","PMID":"26195209","abstract":"Hepatic encephalopathy (HE) is associated with cerebral edema (CE), increased intracranial pressure (ICP), and subsequent neurologic complications; it is the most important cause of morbidity and mortality in fulminant hepatic failure. The goal of therapy should be early diagnosis and treatment of HE with measures to reduce CE. A combination of clinical examination and diagnostic modalities can aid in prompt diagnosis. ICP monitoring and transcranial Doppler help diagnose and monitor response to treatment. Transfer to a transplant center and intensive care unit admission with airway management and reduction of CE with hypertonic saline, mannitol, hypothermia, and sedation are recommended as a bridge to liver transplantation.","author":[{"dropping-particle":"","family":"Kodali","given":"Sudha","non-dropping-particle":"","parse-names":false,"suffix":""},{"dropping-particle":"","family":"McGuire","given":"Brendan M.","non-dropping-particle":"","parse-names":false,"suffix":""}],"container-title":"Clinics in Liver Disease","id":"ITEM-1","issue":"3","issued":{"date-parts":[["2015"]]},"page":"565-576","publisher":"Elsevier Inc","title":"Diagnosis and Management of Hepatic Encephalopathy in Fulminant Hepatic Failure","type":"article","volume":"19"},"uris":["http://www.mendeley.com/documents/?uuid=ee5a5aa9-59f4-421f-8274-78a7e72edbae"]}],"mendeley":{"formattedCitation":"(5)","plainTextFormattedCitation":"(5)","previouslyFormattedCitation":"(Kodali and McGuire 2015)"},"properties":{"noteIndex":0},"schema":"https://github.com/citation-style-language/schema/raw/master/csl-citation.json"}</w:instrText>
      </w:r>
      <w:r w:rsidR="004F4068" w:rsidRPr="00F62FC9">
        <w:rPr>
          <w:rFonts w:ascii="Calibri" w:hAnsi="Calibri" w:cs="Calibri"/>
          <w:sz w:val="24"/>
          <w:szCs w:val="24"/>
        </w:rPr>
        <w:fldChar w:fldCharType="separate"/>
      </w:r>
      <w:r w:rsidR="003B280C" w:rsidRPr="00F62FC9">
        <w:rPr>
          <w:rFonts w:ascii="Calibri" w:hAnsi="Calibri" w:cs="Calibri"/>
          <w:noProof/>
          <w:sz w:val="24"/>
          <w:szCs w:val="24"/>
        </w:rPr>
        <w:t>(5)</w:t>
      </w:r>
      <w:r w:rsidR="004F4068" w:rsidRPr="00F62FC9">
        <w:rPr>
          <w:rFonts w:ascii="Calibri" w:hAnsi="Calibri" w:cs="Calibri"/>
          <w:sz w:val="24"/>
          <w:szCs w:val="24"/>
        </w:rPr>
        <w:fldChar w:fldCharType="end"/>
      </w:r>
      <w:r w:rsidR="004F4068" w:rsidRPr="00F62FC9">
        <w:rPr>
          <w:rFonts w:ascii="Calibri" w:hAnsi="Calibri" w:cs="Calibri"/>
          <w:sz w:val="24"/>
          <w:szCs w:val="24"/>
        </w:rPr>
        <w:t xml:space="preserve">. </w:t>
      </w:r>
      <w:r w:rsidR="00EA6E44" w:rsidRPr="00F62FC9">
        <w:rPr>
          <w:rFonts w:ascii="Calibri" w:hAnsi="Calibri" w:cs="Calibri"/>
          <w:sz w:val="24"/>
          <w:szCs w:val="24"/>
        </w:rPr>
        <w:t>Além disso</w:t>
      </w:r>
      <w:r w:rsidR="001A5096" w:rsidRPr="00F62FC9">
        <w:rPr>
          <w:rFonts w:ascii="Calibri" w:hAnsi="Calibri" w:cs="Calibri"/>
          <w:sz w:val="24"/>
          <w:szCs w:val="24"/>
        </w:rPr>
        <w:t xml:space="preserve">, </w:t>
      </w:r>
      <w:r w:rsidR="0010168A" w:rsidRPr="00F62FC9">
        <w:rPr>
          <w:rFonts w:ascii="Calibri" w:hAnsi="Calibri" w:cs="Calibri"/>
          <w:sz w:val="24"/>
          <w:szCs w:val="24"/>
        </w:rPr>
        <w:t>na</w:t>
      </w:r>
      <w:r w:rsidR="003206B8" w:rsidRPr="00F62FC9">
        <w:rPr>
          <w:rFonts w:ascii="Calibri" w:hAnsi="Calibri" w:cs="Calibri"/>
          <w:sz w:val="24"/>
          <w:szCs w:val="24"/>
        </w:rPr>
        <w:t xml:space="preserve"> DHA</w:t>
      </w:r>
      <w:r w:rsidR="000930ED" w:rsidRPr="00F62FC9">
        <w:rPr>
          <w:rFonts w:ascii="Calibri" w:hAnsi="Calibri" w:cs="Calibri"/>
          <w:sz w:val="24"/>
          <w:szCs w:val="24"/>
        </w:rPr>
        <w:t xml:space="preserve">, cujo tratamento definitivo costuma ser o </w:t>
      </w:r>
      <w:r w:rsidR="00CA1D3C" w:rsidRPr="00F62FC9">
        <w:rPr>
          <w:rFonts w:ascii="Calibri" w:hAnsi="Calibri" w:cs="Calibri"/>
          <w:sz w:val="24"/>
          <w:szCs w:val="24"/>
        </w:rPr>
        <w:t>THO</w:t>
      </w:r>
      <w:r w:rsidR="000930ED" w:rsidRPr="00F62FC9">
        <w:rPr>
          <w:rFonts w:ascii="Calibri" w:hAnsi="Calibri" w:cs="Calibri"/>
          <w:sz w:val="24"/>
          <w:szCs w:val="24"/>
        </w:rPr>
        <w:t xml:space="preserve">, </w:t>
      </w:r>
      <w:r w:rsidR="00DC51D0" w:rsidRPr="00F62FC9">
        <w:rPr>
          <w:rFonts w:ascii="Calibri" w:hAnsi="Calibri" w:cs="Calibri"/>
          <w:sz w:val="24"/>
          <w:szCs w:val="24"/>
        </w:rPr>
        <w:t xml:space="preserve">sua função </w:t>
      </w:r>
      <w:r w:rsidR="001A5096" w:rsidRPr="00F62FC9">
        <w:rPr>
          <w:rFonts w:ascii="Calibri" w:hAnsi="Calibri" w:cs="Calibri"/>
          <w:sz w:val="24"/>
          <w:szCs w:val="24"/>
        </w:rPr>
        <w:t>pré-operatóri</w:t>
      </w:r>
      <w:r w:rsidR="00DC51D0" w:rsidRPr="00F62FC9">
        <w:rPr>
          <w:rFonts w:ascii="Calibri" w:hAnsi="Calibri" w:cs="Calibri"/>
          <w:sz w:val="24"/>
          <w:szCs w:val="24"/>
        </w:rPr>
        <w:t xml:space="preserve">a </w:t>
      </w:r>
      <w:r w:rsidR="00775D96" w:rsidRPr="00F62FC9">
        <w:rPr>
          <w:rFonts w:ascii="Calibri" w:hAnsi="Calibri" w:cs="Calibri"/>
          <w:sz w:val="24"/>
          <w:szCs w:val="24"/>
        </w:rPr>
        <w:t>e intra</w:t>
      </w:r>
      <w:r w:rsidR="00D52B5A" w:rsidRPr="00F62FC9">
        <w:rPr>
          <w:rFonts w:ascii="Calibri" w:hAnsi="Calibri" w:cs="Calibri"/>
          <w:sz w:val="24"/>
          <w:szCs w:val="24"/>
        </w:rPr>
        <w:t xml:space="preserve">operatória </w:t>
      </w:r>
      <w:r w:rsidR="00DC51D0" w:rsidRPr="00F62FC9">
        <w:rPr>
          <w:rFonts w:ascii="Calibri" w:hAnsi="Calibri" w:cs="Calibri"/>
          <w:sz w:val="24"/>
          <w:szCs w:val="24"/>
        </w:rPr>
        <w:t xml:space="preserve">estaria em </w:t>
      </w:r>
      <w:r w:rsidR="00A24CA1" w:rsidRPr="00F62FC9">
        <w:rPr>
          <w:rFonts w:ascii="Calibri" w:hAnsi="Calibri" w:cs="Calibri"/>
          <w:sz w:val="24"/>
          <w:szCs w:val="24"/>
        </w:rPr>
        <w:t xml:space="preserve">controlar a PIC para </w:t>
      </w:r>
      <w:r w:rsidR="00DC51D0" w:rsidRPr="00F62FC9">
        <w:rPr>
          <w:rFonts w:ascii="Calibri" w:hAnsi="Calibri" w:cs="Calibri"/>
          <w:sz w:val="24"/>
          <w:szCs w:val="24"/>
        </w:rPr>
        <w:t>evitar herniação de tronco encefálico</w:t>
      </w:r>
      <w:r w:rsidR="00F840A3" w:rsidRPr="00F62FC9">
        <w:rPr>
          <w:rFonts w:ascii="Calibri" w:hAnsi="Calibri" w:cs="Calibri"/>
          <w:sz w:val="24"/>
          <w:szCs w:val="24"/>
        </w:rPr>
        <w:t xml:space="preserve"> com consequente dano neurológico</w:t>
      </w:r>
      <w:r w:rsidR="0001781C" w:rsidRPr="00F62FC9">
        <w:rPr>
          <w:rFonts w:ascii="Calibri" w:hAnsi="Calibri" w:cs="Calibri"/>
          <w:sz w:val="24"/>
          <w:szCs w:val="24"/>
        </w:rPr>
        <w:t>;</w:t>
      </w:r>
      <w:r w:rsidR="00D52B5A" w:rsidRPr="00F62FC9">
        <w:rPr>
          <w:rFonts w:ascii="Calibri" w:hAnsi="Calibri" w:cs="Calibri"/>
          <w:sz w:val="24"/>
          <w:szCs w:val="24"/>
        </w:rPr>
        <w:t xml:space="preserve"> mas também poderia ser usad</w:t>
      </w:r>
      <w:r w:rsidR="00741D3A" w:rsidRPr="00F62FC9">
        <w:rPr>
          <w:rFonts w:ascii="Calibri" w:hAnsi="Calibri" w:cs="Calibri"/>
          <w:sz w:val="24"/>
          <w:szCs w:val="24"/>
        </w:rPr>
        <w:t>o</w:t>
      </w:r>
      <w:r w:rsidR="00D52B5A" w:rsidRPr="00F62FC9">
        <w:rPr>
          <w:rFonts w:ascii="Calibri" w:hAnsi="Calibri" w:cs="Calibri"/>
          <w:sz w:val="24"/>
          <w:szCs w:val="24"/>
        </w:rPr>
        <w:t xml:space="preserve"> par</w:t>
      </w:r>
      <w:r w:rsidR="00CE3951" w:rsidRPr="00F62FC9">
        <w:rPr>
          <w:rFonts w:ascii="Calibri" w:hAnsi="Calibri" w:cs="Calibri"/>
          <w:sz w:val="24"/>
          <w:szCs w:val="24"/>
        </w:rPr>
        <w:t>a classificação d</w:t>
      </w:r>
      <w:r w:rsidR="002D3F38" w:rsidRPr="00F62FC9">
        <w:rPr>
          <w:rFonts w:ascii="Calibri" w:hAnsi="Calibri" w:cs="Calibri"/>
          <w:sz w:val="24"/>
          <w:szCs w:val="24"/>
        </w:rPr>
        <w:t>os</w:t>
      </w:r>
      <w:r w:rsidR="00CE3951" w:rsidRPr="00F62FC9">
        <w:rPr>
          <w:rFonts w:ascii="Calibri" w:hAnsi="Calibri" w:cs="Calibri"/>
          <w:sz w:val="24"/>
          <w:szCs w:val="24"/>
        </w:rPr>
        <w:t xml:space="preserve"> </w:t>
      </w:r>
      <w:r w:rsidR="00A12023" w:rsidRPr="00F62FC9">
        <w:rPr>
          <w:rFonts w:ascii="Calibri" w:hAnsi="Calibri" w:cs="Calibri"/>
          <w:sz w:val="24"/>
          <w:szCs w:val="24"/>
        </w:rPr>
        <w:t>receptores</w:t>
      </w:r>
      <w:r w:rsidR="008C69F4" w:rsidRPr="00F62FC9">
        <w:rPr>
          <w:rFonts w:ascii="Calibri" w:hAnsi="Calibri" w:cs="Calibri"/>
          <w:sz w:val="24"/>
          <w:szCs w:val="24"/>
        </w:rPr>
        <w:t xml:space="preserve"> </w:t>
      </w:r>
      <w:r w:rsidR="008C69F4" w:rsidRPr="00F62FC9">
        <w:rPr>
          <w:rFonts w:ascii="Calibri" w:hAnsi="Calibri" w:cs="Calibri"/>
          <w:sz w:val="24"/>
          <w:szCs w:val="24"/>
        </w:rPr>
        <w:fldChar w:fldCharType="begin" w:fldLock="1"/>
      </w:r>
      <w:r w:rsidR="003B280C" w:rsidRPr="00F62FC9">
        <w:rPr>
          <w:rFonts w:ascii="Calibri" w:hAnsi="Calibri" w:cs="Calibri"/>
          <w:sz w:val="24"/>
          <w:szCs w:val="24"/>
        </w:rPr>
        <w:instrText>ADDIN CSL_CITATION {"citationItems":[{"id":"ITEM-1","itemData":{"DOI":"10.1002/hep.1840160102","ISSN":"02709139","author":[{"dropping-particle":"","family":"Lidofsky","given":"Steven D.","non-dropping-particle":"","parse-names":false,"suffix":""},{"dropping-particle":"","family":"Bass","given":"Nathan M.","non-dropping-particle":"","parse-names":false,"suffix":""},{"dropping-particle":"","family":"Prager","given":"Marie C","non-dropping-particle":"","parse-names":false,"suffix":""},{"dropping-particle":"","family":"Washington","given":"Denna E.","non-dropping-particle":"","parse-names":false,"suffix":""},{"dropping-particle":"","family":"Read","given":"Alexandra E.","non-dropping-particle":"","parse-names":false,"suffix":""},{"dropping-particle":"","family":"Wright","given":"Teresa L","non-dropping-particle":"","parse-names":false,"suffix":""},{"dropping-particle":"","family":"Ascher","given":"Nancy L","non-dropping-particle":"","parse-names":false,"suffix":""},{"dropping-particle":"","family":"Roberts","given":"John P.","non-dropping-particle":"","parse-names":false,"suffix":""},{"dropping-particle":"","family":"Scharschmidt","given":"Bruce F.","non-dropping-particle":"","parse-names":false,"suffix":""},{"dropping-particle":"","family":"Lake","given":"John R.","non-dropping-particle":"","parse-names":false,"suffix":""}],"container-title":"Hepatology","id":"ITEM-1","issue":"1","issued":{"date-parts":[["1992","7"]]},"page":"1-7","title":"Intracranial pressure monitoring and liver transplantation for fulminant hepatic failure","type":"article-journal","volume":"16"},"uris":["http://www.mendeley.com/documents/?uuid=e9b15b34-9ab7-44de-9b5a-bdbb839fc9b5"]}],"mendeley":{"formattedCitation":"(15)","plainTextFormattedCitation":"(15)","previouslyFormattedCitation":"(Lidofsky et al. 1992)"},"properties":{"noteIndex":0},"schema":"https://github.com/citation-style-language/schema/raw/master/csl-citation.json"}</w:instrText>
      </w:r>
      <w:r w:rsidR="008C69F4" w:rsidRPr="00F62FC9">
        <w:rPr>
          <w:rFonts w:ascii="Calibri" w:hAnsi="Calibri" w:cs="Calibri"/>
          <w:sz w:val="24"/>
          <w:szCs w:val="24"/>
        </w:rPr>
        <w:fldChar w:fldCharType="separate"/>
      </w:r>
      <w:r w:rsidR="003B280C" w:rsidRPr="00F62FC9">
        <w:rPr>
          <w:rFonts w:ascii="Calibri" w:hAnsi="Calibri" w:cs="Calibri"/>
          <w:noProof/>
          <w:sz w:val="24"/>
          <w:szCs w:val="24"/>
        </w:rPr>
        <w:t>(15)</w:t>
      </w:r>
      <w:r w:rsidR="008C69F4" w:rsidRPr="00F62FC9">
        <w:rPr>
          <w:rFonts w:ascii="Calibri" w:hAnsi="Calibri" w:cs="Calibri"/>
          <w:sz w:val="24"/>
          <w:szCs w:val="24"/>
        </w:rPr>
        <w:fldChar w:fldCharType="end"/>
      </w:r>
      <w:r w:rsidR="008C5AAC" w:rsidRPr="00F62FC9">
        <w:rPr>
          <w:rFonts w:ascii="Calibri" w:hAnsi="Calibri" w:cs="Calibri"/>
          <w:sz w:val="24"/>
          <w:szCs w:val="24"/>
        </w:rPr>
        <w:t>.</w:t>
      </w:r>
      <w:r w:rsidR="00BB4F74" w:rsidRPr="00F62FC9">
        <w:rPr>
          <w:rFonts w:ascii="Calibri" w:hAnsi="Calibri" w:cs="Calibri"/>
          <w:sz w:val="24"/>
          <w:szCs w:val="24"/>
        </w:rPr>
        <w:t xml:space="preserve"> </w:t>
      </w:r>
      <w:r w:rsidR="00756817" w:rsidRPr="00F62FC9">
        <w:rPr>
          <w:rFonts w:ascii="Calibri" w:hAnsi="Calibri" w:cs="Calibri"/>
          <w:sz w:val="24"/>
          <w:szCs w:val="24"/>
        </w:rPr>
        <w:t>Contudo, a</w:t>
      </w:r>
      <w:r w:rsidR="005C695F" w:rsidRPr="00F62FC9">
        <w:rPr>
          <w:rFonts w:ascii="Calibri" w:hAnsi="Calibri" w:cs="Calibri"/>
          <w:sz w:val="24"/>
          <w:szCs w:val="24"/>
        </w:rPr>
        <w:t>pesar d</w:t>
      </w:r>
      <w:r w:rsidR="00DB7649" w:rsidRPr="00F62FC9">
        <w:rPr>
          <w:rFonts w:ascii="Calibri" w:hAnsi="Calibri" w:cs="Calibri"/>
          <w:sz w:val="24"/>
          <w:szCs w:val="24"/>
        </w:rPr>
        <w:t>o valor da monitorização</w:t>
      </w:r>
      <w:r w:rsidR="00D52B5A" w:rsidRPr="00F62FC9">
        <w:rPr>
          <w:rFonts w:ascii="Calibri" w:hAnsi="Calibri" w:cs="Calibri"/>
          <w:sz w:val="24"/>
          <w:szCs w:val="24"/>
        </w:rPr>
        <w:t>, fo</w:t>
      </w:r>
      <w:r w:rsidR="006F05C6" w:rsidRPr="00F62FC9">
        <w:rPr>
          <w:rFonts w:ascii="Calibri" w:hAnsi="Calibri" w:cs="Calibri"/>
          <w:sz w:val="24"/>
          <w:szCs w:val="24"/>
        </w:rPr>
        <w:t xml:space="preserve">ram reladas complicações </w:t>
      </w:r>
      <w:r w:rsidR="00741D3A" w:rsidRPr="00F62FC9">
        <w:rPr>
          <w:rFonts w:ascii="Calibri" w:hAnsi="Calibri" w:cs="Calibri"/>
          <w:sz w:val="24"/>
          <w:szCs w:val="24"/>
        </w:rPr>
        <w:t xml:space="preserve">com a monitorização invasiva em vários estudos, </w:t>
      </w:r>
      <w:r w:rsidR="000C6761" w:rsidRPr="00F62FC9">
        <w:rPr>
          <w:rFonts w:ascii="Calibri" w:hAnsi="Calibri" w:cs="Calibri"/>
          <w:sz w:val="24"/>
          <w:szCs w:val="24"/>
        </w:rPr>
        <w:t xml:space="preserve">sendo a hemorragia intracraniana a mais comum delas </w:t>
      </w:r>
      <w:r w:rsidR="000C6761" w:rsidRPr="00F62FC9">
        <w:rPr>
          <w:rFonts w:ascii="Calibri" w:hAnsi="Calibri" w:cs="Calibri"/>
          <w:sz w:val="24"/>
          <w:szCs w:val="24"/>
        </w:rPr>
        <w:fldChar w:fldCharType="begin" w:fldLock="1"/>
      </w:r>
      <w:r w:rsidR="003B280C" w:rsidRPr="00F62FC9">
        <w:rPr>
          <w:rFonts w:ascii="Calibri" w:hAnsi="Calibri" w:cs="Calibri"/>
          <w:sz w:val="24"/>
          <w:szCs w:val="24"/>
        </w:rPr>
        <w:instrText>ADDIN CSL_CITATION {"citationItems":[{"id":"ITEM-1","itemData":{"DOI":"10.1002/hep.1840160102","ISSN":"02709139","author":[{"dropping-particle":"","family":"Lidofsky","given":"Steven D.","non-dropping-particle":"","parse-names":false,"suffix":""},{"dropping-particle":"","family":"Bass","given":"Nathan M.","non-dropping-particle":"","parse-names":false,"suffix":""},{"dropping-particle":"","family":"Prager","given":"Marie C","non-dropping-particle":"","parse-names":false,"suffix":""},{"dropping-particle":"","family":"Washington","given":"Denna E.","non-dropping-particle":"","parse-names":false,"suffix":""},{"dropping-particle":"","family":"Read","given":"Alexandra E.","non-dropping-particle":"","parse-names":false,"suffix":""},{"dropping-particle":"","family":"Wright","given":"Teresa L","non-dropping-particle":"","parse-names":false,"suffix":""},{"dropping-particle":"","family":"Ascher","given":"Nancy L","non-dropping-particle":"","parse-names":false,"suffix":""},{"dropping-particle":"","family":"Roberts","given":"John P.","non-dropping-particle":"","parse-names":false,"suffix":""},{"dropping-particle":"","family":"Scharschmidt","given":"Bruce F.","non-dropping-particle":"","parse-names":false,"suffix":""},{"dropping-particle":"","family":"Lake","given":"John R.","non-dropping-particle":"","parse-names":false,"suffix":""}],"container-title":"Hepatology","id":"ITEM-1","issue":"1","issued":{"date-parts":[["1992","7"]]},"page":"1-7","title":"Intracranial pressure monitoring and liver transplantation for fulminant hepatic failure","type":"article-journal","volume":"16"},"uris":["http://www.mendeley.com/documents/?uuid=e9b15b34-9ab7-44de-9b5a-bdbb839fc9b5"]}],"mendeley":{"formattedCitation":"(15)","plainTextFormattedCitation":"(15)","previouslyFormattedCitation":"(Lidofsky et al. 1992)"},"properties":{"noteIndex":0},"schema":"https://github.com/citation-style-language/schema/raw/master/csl-citation.json"}</w:instrText>
      </w:r>
      <w:r w:rsidR="000C6761" w:rsidRPr="00F62FC9">
        <w:rPr>
          <w:rFonts w:ascii="Calibri" w:hAnsi="Calibri" w:cs="Calibri"/>
          <w:sz w:val="24"/>
          <w:szCs w:val="24"/>
        </w:rPr>
        <w:fldChar w:fldCharType="separate"/>
      </w:r>
      <w:r w:rsidR="003B280C" w:rsidRPr="00F62FC9">
        <w:rPr>
          <w:rFonts w:ascii="Calibri" w:hAnsi="Calibri" w:cs="Calibri"/>
          <w:noProof/>
          <w:sz w:val="24"/>
          <w:szCs w:val="24"/>
        </w:rPr>
        <w:t>(15)</w:t>
      </w:r>
      <w:r w:rsidR="000C6761" w:rsidRPr="00F62FC9">
        <w:rPr>
          <w:rFonts w:ascii="Calibri" w:hAnsi="Calibri" w:cs="Calibri"/>
          <w:sz w:val="24"/>
          <w:szCs w:val="24"/>
        </w:rPr>
        <w:fldChar w:fldCharType="end"/>
      </w:r>
      <w:r w:rsidR="000C6761" w:rsidRPr="00F62FC9">
        <w:rPr>
          <w:rFonts w:ascii="Calibri" w:hAnsi="Calibri" w:cs="Calibri"/>
          <w:sz w:val="24"/>
          <w:szCs w:val="24"/>
        </w:rPr>
        <w:t>.</w:t>
      </w:r>
      <w:r w:rsidR="00AD786F" w:rsidRPr="00F62FC9">
        <w:rPr>
          <w:rFonts w:ascii="Calibri" w:hAnsi="Calibri" w:cs="Calibri"/>
          <w:sz w:val="24"/>
          <w:szCs w:val="24"/>
        </w:rPr>
        <w:t xml:space="preserve"> </w:t>
      </w:r>
      <w:r w:rsidR="00954486" w:rsidRPr="00F62FC9">
        <w:rPr>
          <w:rFonts w:ascii="Calibri" w:hAnsi="Calibri" w:cs="Calibri"/>
          <w:sz w:val="24"/>
          <w:szCs w:val="24"/>
        </w:rPr>
        <w:t xml:space="preserve">Blei </w:t>
      </w:r>
      <w:r w:rsidR="00D02FA3" w:rsidRPr="00F62FC9">
        <w:rPr>
          <w:rFonts w:ascii="Calibri" w:hAnsi="Calibri" w:cs="Calibri"/>
          <w:sz w:val="24"/>
          <w:szCs w:val="24"/>
        </w:rPr>
        <w:t>e colaboradores relataram que essas complicações podem ocorrer em 20% dos casos</w:t>
      </w:r>
      <w:r w:rsidR="00680407" w:rsidRPr="00F62FC9">
        <w:rPr>
          <w:rFonts w:ascii="Calibri" w:hAnsi="Calibri" w:cs="Calibri"/>
          <w:sz w:val="24"/>
          <w:szCs w:val="24"/>
        </w:rPr>
        <w:t xml:space="preserve">, com </w:t>
      </w:r>
      <w:r w:rsidR="001913E6" w:rsidRPr="00F62FC9">
        <w:rPr>
          <w:rFonts w:ascii="Calibri" w:hAnsi="Calibri" w:cs="Calibri"/>
          <w:sz w:val="24"/>
          <w:szCs w:val="24"/>
        </w:rPr>
        <w:t xml:space="preserve">hemorragia fatal sendo relatada em até </w:t>
      </w:r>
      <w:r w:rsidR="00D06B8C" w:rsidRPr="00F62FC9">
        <w:rPr>
          <w:rFonts w:ascii="Calibri" w:hAnsi="Calibri" w:cs="Calibri"/>
          <w:sz w:val="24"/>
          <w:szCs w:val="24"/>
        </w:rPr>
        <w:t>4</w:t>
      </w:r>
      <w:r w:rsidR="001913E6" w:rsidRPr="00F62FC9">
        <w:rPr>
          <w:rFonts w:ascii="Calibri" w:hAnsi="Calibri" w:cs="Calibri"/>
          <w:sz w:val="24"/>
          <w:szCs w:val="24"/>
        </w:rPr>
        <w:t>% dos casos de transdutores</w:t>
      </w:r>
      <w:r w:rsidR="00D06B8C" w:rsidRPr="00F62FC9">
        <w:rPr>
          <w:rFonts w:ascii="Calibri" w:hAnsi="Calibri" w:cs="Calibri"/>
          <w:sz w:val="24"/>
          <w:szCs w:val="24"/>
        </w:rPr>
        <w:t xml:space="preserve"> intraparenquimatosos</w:t>
      </w:r>
      <w:r w:rsidR="00D02FA3" w:rsidRPr="00F62FC9">
        <w:rPr>
          <w:rFonts w:ascii="Calibri" w:hAnsi="Calibri" w:cs="Calibri"/>
          <w:sz w:val="24"/>
          <w:szCs w:val="24"/>
        </w:rPr>
        <w:t xml:space="preserve"> </w:t>
      </w:r>
      <w:r w:rsidR="00D02FA3" w:rsidRPr="00F62FC9">
        <w:rPr>
          <w:rFonts w:ascii="Calibri" w:hAnsi="Calibri" w:cs="Calibri"/>
          <w:sz w:val="24"/>
          <w:szCs w:val="24"/>
        </w:rPr>
        <w:fldChar w:fldCharType="begin" w:fldLock="1"/>
      </w:r>
      <w:r w:rsidR="003B280C" w:rsidRPr="00F62FC9">
        <w:rPr>
          <w:rFonts w:ascii="Calibri" w:hAnsi="Calibri" w:cs="Calibri"/>
          <w:sz w:val="24"/>
          <w:szCs w:val="24"/>
        </w:rPr>
        <w:instrText>ADDIN CSL_CITATION {"citationItems":[{"id":"ITEM-1","itemData":{"DOI":"10.1016/0140-6736(93)90016-A","ISSN":"01406736","PMID":"8095592","author":[{"dropping-particle":"","family":"Blei","given":"A.T.","non-dropping-particle":"","parse-names":false,"suffix":""},{"dropping-particle":"","family":"Olafsson","given":"S.","non-dropping-particle":"","parse-names":false,"suffix":""},{"dropping-particle":"","family":"Webster","given":"S.","non-dropping-particle":"","parse-names":false,"suffix":""},{"dropping-particle":"","family":"Levy","given":"Robert","non-dropping-particle":"","parse-names":false,"suffix":""}],"container-title":"The Lancet","id":"ITEM-1","issue":"8838","issued":{"date-parts":[["1993","1"]]},"page":"157-158","title":"Complications of intracranial pressure monitoring in fulminant hepatic failure","type":"article-journal","volume":"341"},"uris":["http://www.mendeley.com/documents/?uuid=643a108c-caa1-42ba-b0d6-2fdfedf94dd7"]}],"mendeley":{"formattedCitation":"(16)","plainTextFormattedCitation":"(16)","previouslyFormattedCitation":"(Blei et al. 1993)"},"properties":{"noteIndex":0},"schema":"https://github.com/citation-style-language/schema/raw/master/csl-citation.json"}</w:instrText>
      </w:r>
      <w:r w:rsidR="00D02FA3" w:rsidRPr="00F62FC9">
        <w:rPr>
          <w:rFonts w:ascii="Calibri" w:hAnsi="Calibri" w:cs="Calibri"/>
          <w:sz w:val="24"/>
          <w:szCs w:val="24"/>
        </w:rPr>
        <w:fldChar w:fldCharType="separate"/>
      </w:r>
      <w:r w:rsidR="003B280C" w:rsidRPr="00F62FC9">
        <w:rPr>
          <w:rFonts w:ascii="Calibri" w:hAnsi="Calibri" w:cs="Calibri"/>
          <w:noProof/>
          <w:sz w:val="24"/>
          <w:szCs w:val="24"/>
        </w:rPr>
        <w:t>(16)</w:t>
      </w:r>
      <w:r w:rsidR="00D02FA3" w:rsidRPr="00F62FC9">
        <w:rPr>
          <w:rFonts w:ascii="Calibri" w:hAnsi="Calibri" w:cs="Calibri"/>
          <w:sz w:val="24"/>
          <w:szCs w:val="24"/>
        </w:rPr>
        <w:fldChar w:fldCharType="end"/>
      </w:r>
      <w:r w:rsidR="00AD786F" w:rsidRPr="00F62FC9">
        <w:rPr>
          <w:rFonts w:ascii="Calibri" w:hAnsi="Calibri" w:cs="Calibri"/>
          <w:sz w:val="24"/>
          <w:szCs w:val="24"/>
        </w:rPr>
        <w:t xml:space="preserve">; enquanto </w:t>
      </w:r>
      <w:r w:rsidR="00E95BC6" w:rsidRPr="00F62FC9">
        <w:rPr>
          <w:rFonts w:ascii="Calibri" w:hAnsi="Calibri" w:cs="Calibri"/>
          <w:sz w:val="24"/>
          <w:szCs w:val="24"/>
        </w:rPr>
        <w:t xml:space="preserve">Maloney </w:t>
      </w:r>
      <w:r w:rsidR="00E95BC6" w:rsidRPr="00F62FC9">
        <w:rPr>
          <w:rFonts w:ascii="Calibri" w:hAnsi="Calibri" w:cs="Calibri"/>
          <w:i/>
          <w:iCs/>
          <w:sz w:val="24"/>
          <w:szCs w:val="24"/>
        </w:rPr>
        <w:t xml:space="preserve">et al. </w:t>
      </w:r>
      <w:r w:rsidR="00E95BC6" w:rsidRPr="00F62FC9">
        <w:rPr>
          <w:rFonts w:ascii="Calibri" w:hAnsi="Calibri" w:cs="Calibri"/>
          <w:sz w:val="24"/>
          <w:szCs w:val="24"/>
        </w:rPr>
        <w:t xml:space="preserve">reportaram que estudos apontam uma taxa de hemorragia </w:t>
      </w:r>
      <w:r w:rsidR="00561649" w:rsidRPr="00F62FC9">
        <w:rPr>
          <w:rFonts w:ascii="Calibri" w:hAnsi="Calibri" w:cs="Calibri"/>
          <w:sz w:val="24"/>
          <w:szCs w:val="24"/>
        </w:rPr>
        <w:t>de 3,8-22% entre vários instrumentos – sendo o cateter</w:t>
      </w:r>
      <w:r w:rsidR="00DB5D92" w:rsidRPr="00F62FC9">
        <w:rPr>
          <w:rFonts w:ascii="Calibri" w:hAnsi="Calibri" w:cs="Calibri"/>
          <w:sz w:val="24"/>
          <w:szCs w:val="24"/>
        </w:rPr>
        <w:t xml:space="preserve"> epidural o mais seguro e menos preciso e os cateteres subdurais e intraparenquimatosos o</w:t>
      </w:r>
      <w:r w:rsidR="00356203" w:rsidRPr="00F62FC9">
        <w:rPr>
          <w:rFonts w:ascii="Calibri" w:hAnsi="Calibri" w:cs="Calibri"/>
          <w:sz w:val="24"/>
          <w:szCs w:val="24"/>
        </w:rPr>
        <w:t xml:space="preserve">s mais precisos, porém associados a maior taxa de hemorragia </w:t>
      </w:r>
      <w:r w:rsidR="00356203" w:rsidRPr="00F62FC9">
        <w:rPr>
          <w:rFonts w:ascii="Calibri" w:hAnsi="Calibri" w:cs="Calibri"/>
          <w:sz w:val="24"/>
          <w:szCs w:val="24"/>
        </w:rPr>
        <w:fldChar w:fldCharType="begin" w:fldLock="1"/>
      </w:r>
      <w:r w:rsidR="003B280C" w:rsidRPr="00F62FC9">
        <w:rPr>
          <w:rFonts w:ascii="Calibri" w:hAnsi="Calibri" w:cs="Calibri"/>
          <w:sz w:val="24"/>
          <w:szCs w:val="24"/>
        </w:rPr>
        <w:instrText>ADDIN CSL_CITATION {"citationItems":[{"id":"ITEM-1","itemData":{"DOI":"10.1007/s12028-016-0261-y","ISSN":"15560961","PMID":"26966022","abstract":"Acute liver failure (ALF) has been associated with cerebral edema and elevated intracranial pressure (ICP), which may be managed utilizing an ICP monitor. The most feared complication of placement is catastrophic intracranial hemorrhage in the setting of severe coagulopathy. Previous studies reported hemorrhage rates between 3.8–22 % among various devices, with epidural catheters having lower hemorrhage rates and precision relative to subdural bolts and intraparenchymal catheters. We sought to identify institutional hemorrhagic rates of ICP monitoring in ALF and its associated factors in a modern series guided by protocol implantation. Patient records treated for ALF with ICP monitoring at Mayo Clinic in Rochester, MN from 1995 to 2014 were reviewed. Protocalized since 1995, epidural (EP) ICP monitors were first used followed by intraparenchymal (IP) for stage III–IV hepatic encephalopathy. The following variables and outcomes were collected: patient demographics, ICPs and treatment methods, laboratory data, imaging studies, number of days for ICP monitoring, radiographic and symptomatic hemorrhage rates, orthotopic liver transplantation rates, and death. A total of 20 ICP monitors were placed for ALF, 7 EP, and 13 IP. International normalized ratio (INR) at placement of an EP monitor was 2.4 (1.7–3.2) with maximum of 2.7 (2.0–3.6) over the following 2.3 (1–3) days. Mean EP ICP at placement was 36.3 (11–55) and maximum of 43.1 (20–70) mm Hg. INR at placement of an IP monitor was 1.3 (&lt;0.8–3.0) with maximum value of 2.9 (1.6–5.4) over the following 4.2 (2–6) days. Mean IP ICP at placement was 9.9 (2–19) and maximum was 39.8 (11–100) mm Hg. There was one asymptomatic hemorrhage in the EP group (14.3 % hemorrhage rate) and two hemorrhages in the IP group (hemorrhage rate was 15.4 %), both of which were fatal. Overall mortality rate in the EP group was 71.4 % (5/7) with two patients receiving transplantation, and one death in the transplant group. Overall mortality in the IP group was 38.5 % (5/13) with nine liver transplantations; three of the transplanted patients died, including one of the fatal hemorrhages due to monitor placement. Intracranial hypertension is common in patients with ALF with severe hepatic encephalopathy. Monitored patients in both groups experienced elevations of ICP in the setting of intermittent coagulopathy. Severity of coagulopathy did not influence hemorrhage rate. Yet, hemorrhages related to IP monitoring can be catastrophic and…","author":[{"dropping-particle":"","family":"Maloney","given":"Patrick R","non-dropping-particle":"","parse-names":false,"suffix":""},{"dropping-particle":"","family":"Mallory","given":"Grant W","non-dropping-particle":"","parse-names":false,"suffix":""},{"dropping-particle":"","family":"Atkinson","given":"John L.D.","non-dropping-particle":"","parse-names":false,"suffix":""},{"dropping-particle":"","family":"Wijdicks","given":"Eelco F","non-dropping-particle":"","parse-names":false,"suffix":""},{"dropping-particle":"","family":"Rabinstein","given":"Alejandro A","non-dropping-particle":"","parse-names":false,"suffix":""},{"dropping-particle":"","family":"Gompel","given":"Jamie J.","non-dropping-particle":"Van","parse-names":false,"suffix":""}],"container-title":"Neurocritical Care","id":"ITEM-1","issue":"1","issued":{"date-parts":[["2016"]]},"page":"86-93","title":"Intracranial Pressure Monitoring in Acute Liver Failure: Institutional Case Series","type":"article-journal","volume":"25"},"uris":["http://www.mendeley.com/documents/?uuid=2689463f-24ab-426e-b77c-99ef0fbfd837"]}],"mendeley":{"formattedCitation":"(4)","plainTextFormattedCitation":"(4)","previouslyFormattedCitation":"(Maloney et al. 2016)"},"properties":{"noteIndex":0},"schema":"https://github.com/citation-style-language/schema/raw/master/csl-citation.json"}</w:instrText>
      </w:r>
      <w:r w:rsidR="00356203" w:rsidRPr="00F62FC9">
        <w:rPr>
          <w:rFonts w:ascii="Calibri" w:hAnsi="Calibri" w:cs="Calibri"/>
          <w:sz w:val="24"/>
          <w:szCs w:val="24"/>
        </w:rPr>
        <w:fldChar w:fldCharType="separate"/>
      </w:r>
      <w:r w:rsidR="003B280C" w:rsidRPr="00F62FC9">
        <w:rPr>
          <w:rFonts w:ascii="Calibri" w:hAnsi="Calibri" w:cs="Calibri"/>
          <w:noProof/>
          <w:sz w:val="24"/>
          <w:szCs w:val="24"/>
        </w:rPr>
        <w:t>(4)</w:t>
      </w:r>
      <w:r w:rsidR="00356203" w:rsidRPr="00F62FC9">
        <w:rPr>
          <w:rFonts w:ascii="Calibri" w:hAnsi="Calibri" w:cs="Calibri"/>
          <w:sz w:val="24"/>
          <w:szCs w:val="24"/>
        </w:rPr>
        <w:fldChar w:fldCharType="end"/>
      </w:r>
      <w:r w:rsidR="00D02FA3" w:rsidRPr="00F62FC9">
        <w:rPr>
          <w:rFonts w:ascii="Calibri" w:hAnsi="Calibri" w:cs="Calibri"/>
          <w:sz w:val="24"/>
          <w:szCs w:val="24"/>
        </w:rPr>
        <w:t>.</w:t>
      </w:r>
      <w:r w:rsidR="007D21C2" w:rsidRPr="00F62FC9">
        <w:rPr>
          <w:rFonts w:ascii="Calibri" w:hAnsi="Calibri" w:cs="Calibri"/>
          <w:sz w:val="24"/>
          <w:szCs w:val="24"/>
        </w:rPr>
        <w:t xml:space="preserve"> </w:t>
      </w:r>
      <w:r w:rsidR="001C2735" w:rsidRPr="00F62FC9">
        <w:rPr>
          <w:rFonts w:ascii="Calibri" w:hAnsi="Calibri" w:cs="Calibri"/>
          <w:sz w:val="24"/>
          <w:szCs w:val="24"/>
        </w:rPr>
        <w:t xml:space="preserve">O quadro de </w:t>
      </w:r>
      <w:r w:rsidR="007D21C2" w:rsidRPr="00F62FC9">
        <w:rPr>
          <w:rFonts w:ascii="Calibri" w:hAnsi="Calibri" w:cs="Calibri"/>
          <w:sz w:val="24"/>
          <w:szCs w:val="24"/>
        </w:rPr>
        <w:t>coagulopatia paralela</w:t>
      </w:r>
      <w:r w:rsidR="001C2735" w:rsidRPr="00F62FC9">
        <w:rPr>
          <w:rFonts w:ascii="Calibri" w:hAnsi="Calibri" w:cs="Calibri"/>
          <w:sz w:val="24"/>
          <w:szCs w:val="24"/>
        </w:rPr>
        <w:t xml:space="preserve">, aliado a eventuais iatrogenias, </w:t>
      </w:r>
      <w:r w:rsidR="00722CC3" w:rsidRPr="00F62FC9">
        <w:rPr>
          <w:rFonts w:ascii="Calibri" w:hAnsi="Calibri" w:cs="Calibri"/>
          <w:sz w:val="24"/>
          <w:szCs w:val="24"/>
        </w:rPr>
        <w:t xml:space="preserve">é responsável </w:t>
      </w:r>
      <w:r w:rsidR="00E0375F" w:rsidRPr="00F62FC9">
        <w:rPr>
          <w:rFonts w:ascii="Calibri" w:hAnsi="Calibri" w:cs="Calibri"/>
          <w:sz w:val="24"/>
          <w:szCs w:val="24"/>
        </w:rPr>
        <w:t>por essa</w:t>
      </w:r>
      <w:r w:rsidR="00722CC3" w:rsidRPr="00F62FC9">
        <w:rPr>
          <w:rFonts w:ascii="Calibri" w:hAnsi="Calibri" w:cs="Calibri"/>
          <w:sz w:val="24"/>
          <w:szCs w:val="24"/>
        </w:rPr>
        <w:t xml:space="preserve"> </w:t>
      </w:r>
      <w:r w:rsidR="001C2735" w:rsidRPr="00F62FC9">
        <w:rPr>
          <w:rFonts w:ascii="Calibri" w:hAnsi="Calibri" w:cs="Calibri"/>
          <w:sz w:val="24"/>
          <w:szCs w:val="24"/>
        </w:rPr>
        <w:t xml:space="preserve">considerável taxa </w:t>
      </w:r>
      <w:r w:rsidR="001C2735" w:rsidRPr="00F62FC9">
        <w:rPr>
          <w:rFonts w:ascii="Calibri" w:hAnsi="Calibri" w:cs="Calibri"/>
          <w:sz w:val="24"/>
          <w:szCs w:val="24"/>
        </w:rPr>
        <w:fldChar w:fldCharType="begin" w:fldLock="1"/>
      </w:r>
      <w:r w:rsidR="003B280C" w:rsidRPr="00F62FC9">
        <w:rPr>
          <w:rFonts w:ascii="Calibri" w:hAnsi="Calibri" w:cs="Calibri"/>
          <w:sz w:val="24"/>
          <w:szCs w:val="24"/>
        </w:rPr>
        <w:instrText>ADDIN CSL_CITATION {"citationItems":[{"id":"ITEM-1","itemData":{"DOI":"10.1007/s11940-014-0297-2","ISSN":"15343138","abstract":"Hepatic encephalopathy management varies depending on the acuity of liver failure. However, in patients with either acute or chronic liver failure five basic steps in management are critical: stabilization, addressing modifiable precipitating factors, lowering blood ammonia, managing elevated intracranial pressure (ICP) (if present), and managing complications of liver failure that can contribute to encephalopathy, particularly hyponatremia. Because liver failure patients are prone to a variety of other medical problems that can lead to encephalopathy (such as coagulopathy associated intracranial hemorrhage, electrolyte disarray, renal failure, hypotension, hypoglycemia, and infection), a thorough history, physical and neurologic examination is mandated in all encephalopathic liver failure patients. There should be a low threshold for brain imaging in patients with focal neurological deficits given the propensity for spontaneous intracranial hemorrhage. In patients with acute liver failure and high grade encephalopathy, identification of the etiology of acute liver failure is essential to guide treatment and antidote administration, particularly in the case of acetaminophen poisoning. Equally critical is management of elevated ICP in acute liver failure. Intracranial hypertension can be treated with hypertonic saline and/or adjustment of the dialysis bath. Placement of an intracranial monitor to guide ICP therapy is risky because of concomitant coagulopathy and remains controversial. Continuous renal replacement therapy may help lower serum ammonia, treat coexisting uremia, and improve symptoms. Liver transplantation is the definitive treatment for patients with acute liver failure and hepatic encephalopathy. In patients with chronic hepatic encephalopathy, lactulose and rifaxamin remain a mainstay of therapy. In these patients, it is essential to identify reversible causes of hepatic encephalopathy such as increased ammonia production and/or decreased clearance (eg, infection, GI bleed, constipation, hypokalemia, dehydration). Chronic hyponatremia should be managed by gradual sodium correction of no more than 8‒12 meq/L per day to avoid central myelinolysis syndrome. Free water restriction and increased dietary sodium are reasonable, cost effective treatment options. Many emerging therapies, both pharmacologic and interventional, are currently being studied to improve management of hepatic encephalopathy.","author":[{"dropping-particle":"","family":"Frontera","given":"Jennifer A","non-dropping-particle":"","parse-names":false,"suffix":""}],"container-title":"Current Treatment Options in Neurology","id":"ITEM-1","issue":"6","issued":{"date-parts":[["2014"]]},"page":"1-37","title":"Management of Hepatic Encephalopathy","type":"article","volume":"16"},"uris":["http://www.mendeley.com/documents/?uuid=b14afb16-5d0f-433d-bcef-636a2eeccd6d"]}],"mendeley":{"formattedCitation":"(12)","plainTextFormattedCitation":"(12)","previouslyFormattedCitation":"(Frontera 2014)"},"properties":{"noteIndex":0},"schema":"https://github.com/citation-style-language/schema/raw/master/csl-citation.json"}</w:instrText>
      </w:r>
      <w:r w:rsidR="001C2735" w:rsidRPr="00F62FC9">
        <w:rPr>
          <w:rFonts w:ascii="Calibri" w:hAnsi="Calibri" w:cs="Calibri"/>
          <w:sz w:val="24"/>
          <w:szCs w:val="24"/>
        </w:rPr>
        <w:fldChar w:fldCharType="separate"/>
      </w:r>
      <w:r w:rsidR="003B280C" w:rsidRPr="00F62FC9">
        <w:rPr>
          <w:rFonts w:ascii="Calibri" w:hAnsi="Calibri" w:cs="Calibri"/>
          <w:noProof/>
          <w:sz w:val="24"/>
          <w:szCs w:val="24"/>
        </w:rPr>
        <w:t>(12)</w:t>
      </w:r>
      <w:r w:rsidR="001C2735" w:rsidRPr="00F62FC9">
        <w:rPr>
          <w:rFonts w:ascii="Calibri" w:hAnsi="Calibri" w:cs="Calibri"/>
          <w:sz w:val="24"/>
          <w:szCs w:val="24"/>
        </w:rPr>
        <w:fldChar w:fldCharType="end"/>
      </w:r>
      <w:r w:rsidR="001C2735" w:rsidRPr="00F62FC9">
        <w:rPr>
          <w:rFonts w:ascii="Calibri" w:hAnsi="Calibri" w:cs="Calibri"/>
          <w:sz w:val="24"/>
          <w:szCs w:val="24"/>
        </w:rPr>
        <w:t>.</w:t>
      </w:r>
      <w:r w:rsidR="00F10D2A" w:rsidRPr="00F62FC9">
        <w:rPr>
          <w:rFonts w:ascii="Calibri" w:hAnsi="Calibri" w:cs="Calibri"/>
          <w:sz w:val="24"/>
          <w:szCs w:val="24"/>
        </w:rPr>
        <w:t xml:space="preserve"> </w:t>
      </w:r>
      <w:r w:rsidR="00A84621" w:rsidRPr="00F62FC9">
        <w:rPr>
          <w:rFonts w:ascii="Calibri" w:hAnsi="Calibri" w:cs="Calibri"/>
          <w:sz w:val="24"/>
          <w:szCs w:val="24"/>
        </w:rPr>
        <w:t>Também, a</w:t>
      </w:r>
      <w:r w:rsidR="00B43755" w:rsidRPr="00F62FC9">
        <w:rPr>
          <w:rFonts w:ascii="Calibri" w:hAnsi="Calibri" w:cs="Calibri"/>
          <w:sz w:val="24"/>
          <w:szCs w:val="24"/>
        </w:rPr>
        <w:t xml:space="preserve"> taxa de infecção </w:t>
      </w:r>
      <w:r w:rsidR="00BC7B1C" w:rsidRPr="00F62FC9">
        <w:rPr>
          <w:rFonts w:ascii="Calibri" w:hAnsi="Calibri" w:cs="Calibri"/>
          <w:sz w:val="24"/>
          <w:szCs w:val="24"/>
        </w:rPr>
        <w:t xml:space="preserve">em cateteres intraventriculares ainda chega a 10%, dependendo da duração </w:t>
      </w:r>
      <w:r w:rsidR="00BC7B1C" w:rsidRPr="00F62FC9">
        <w:rPr>
          <w:rFonts w:ascii="Calibri" w:hAnsi="Calibri" w:cs="Calibri"/>
          <w:sz w:val="24"/>
          <w:szCs w:val="24"/>
        </w:rPr>
        <w:fldChar w:fldCharType="begin" w:fldLock="1"/>
      </w:r>
      <w:r w:rsidR="003B280C" w:rsidRPr="00F62FC9">
        <w:rPr>
          <w:rFonts w:ascii="Calibri" w:hAnsi="Calibri" w:cs="Calibri"/>
          <w:sz w:val="24"/>
          <w:szCs w:val="24"/>
        </w:rPr>
        <w:instrText>ADDIN CSL_CITATION {"citationItems":[{"id":"ITEM-1","itemData":{"DOI":"10.1016/j.wneu.2021.06.050","ISSN":"18788750","author":[{"dropping-particle":"","family":"Rabelo","given":"Nicollas Nunes","non-dropping-particle":"","parse-names":false,"suffix":""},{"dropping-particle":"","family":"Silveira Chaves","given":"Pedro Henrique","non-dropping-particle":"","parse-names":false,"suffix":""},{"dropping-particle":"","family":"Gonçalves de Sena Barbosa","given":"Mateus","non-dropping-particle":"","parse-names":false,"suffix":""},{"dropping-particle":"","family":"Frigieri","given":"Gustavo","non-dropping-particle":"","parse-names":false,"suffix":""}],"container-title":"World Neurosurgery","id":"ITEM-1","issued":{"date-parts":[["2021","8"]]},"page":"231-232","publisher":"Elsevier Inc.","title":"Is It Possible to Monitor the Wave Form with Noninvasive Methods?","type":"article-journal","volume":"152"},"uris":["http://www.mendeley.com/documents/?uuid=e48083bd-4ef3-4eec-8ec8-fb216cc61a6c"]}],"mendeley":{"formattedCitation":"(17)","plainTextFormattedCitation":"(17)","previouslyFormattedCitation":"(Rabelo et al. 2021)"},"properties":{"noteIndex":0},"schema":"https://github.com/citation-style-language/schema/raw/master/csl-citation.json"}</w:instrText>
      </w:r>
      <w:r w:rsidR="00BC7B1C" w:rsidRPr="00F62FC9">
        <w:rPr>
          <w:rFonts w:ascii="Calibri" w:hAnsi="Calibri" w:cs="Calibri"/>
          <w:sz w:val="24"/>
          <w:szCs w:val="24"/>
        </w:rPr>
        <w:fldChar w:fldCharType="separate"/>
      </w:r>
      <w:r w:rsidR="003B280C" w:rsidRPr="00F62FC9">
        <w:rPr>
          <w:rFonts w:ascii="Calibri" w:hAnsi="Calibri" w:cs="Calibri"/>
          <w:noProof/>
          <w:sz w:val="24"/>
          <w:szCs w:val="24"/>
        </w:rPr>
        <w:t>(17)</w:t>
      </w:r>
      <w:r w:rsidR="00BC7B1C" w:rsidRPr="00F62FC9">
        <w:rPr>
          <w:rFonts w:ascii="Calibri" w:hAnsi="Calibri" w:cs="Calibri"/>
          <w:sz w:val="24"/>
          <w:szCs w:val="24"/>
        </w:rPr>
        <w:fldChar w:fldCharType="end"/>
      </w:r>
      <w:r w:rsidR="00BC7B1C" w:rsidRPr="00F62FC9">
        <w:rPr>
          <w:rFonts w:ascii="Calibri" w:hAnsi="Calibri" w:cs="Calibri"/>
          <w:sz w:val="24"/>
          <w:szCs w:val="24"/>
        </w:rPr>
        <w:t xml:space="preserve">. </w:t>
      </w:r>
      <w:r w:rsidR="00A32592" w:rsidRPr="00F62FC9">
        <w:rPr>
          <w:rFonts w:ascii="Calibri" w:hAnsi="Calibri" w:cs="Calibri"/>
          <w:sz w:val="24"/>
          <w:szCs w:val="24"/>
        </w:rPr>
        <w:t>Sendo assim</w:t>
      </w:r>
      <w:r w:rsidR="00F10D2A" w:rsidRPr="00F62FC9">
        <w:rPr>
          <w:rFonts w:ascii="Calibri" w:hAnsi="Calibri" w:cs="Calibri"/>
          <w:sz w:val="24"/>
          <w:szCs w:val="24"/>
        </w:rPr>
        <w:t xml:space="preserve">, o uso </w:t>
      </w:r>
      <w:r w:rsidR="00F10D2A" w:rsidRPr="00F62FC9">
        <w:rPr>
          <w:rFonts w:ascii="Calibri" w:hAnsi="Calibri" w:cs="Calibri"/>
          <w:sz w:val="24"/>
          <w:szCs w:val="24"/>
        </w:rPr>
        <w:lastRenderedPageBreak/>
        <w:t xml:space="preserve">da monitorização da PIC </w:t>
      </w:r>
      <w:r w:rsidR="00D810F9" w:rsidRPr="00F62FC9">
        <w:rPr>
          <w:rFonts w:ascii="Calibri" w:hAnsi="Calibri" w:cs="Calibri"/>
          <w:sz w:val="24"/>
          <w:szCs w:val="24"/>
        </w:rPr>
        <w:t>ainda é</w:t>
      </w:r>
      <w:r w:rsidR="00F10D2A" w:rsidRPr="00F62FC9">
        <w:rPr>
          <w:rFonts w:ascii="Calibri" w:hAnsi="Calibri" w:cs="Calibri"/>
          <w:sz w:val="24"/>
          <w:szCs w:val="24"/>
        </w:rPr>
        <w:t xml:space="preserve"> controversa, considerando</w:t>
      </w:r>
      <w:r w:rsidR="00D810F9" w:rsidRPr="00F62FC9">
        <w:rPr>
          <w:rFonts w:ascii="Calibri" w:hAnsi="Calibri" w:cs="Calibri"/>
          <w:sz w:val="24"/>
          <w:szCs w:val="24"/>
        </w:rPr>
        <w:t xml:space="preserve"> </w:t>
      </w:r>
      <w:r w:rsidR="00D005DD" w:rsidRPr="00F62FC9">
        <w:rPr>
          <w:rFonts w:ascii="Calibri" w:hAnsi="Calibri" w:cs="Calibri"/>
          <w:sz w:val="24"/>
          <w:szCs w:val="24"/>
        </w:rPr>
        <w:t xml:space="preserve">possibilidade de </w:t>
      </w:r>
      <w:r w:rsidR="00A32592" w:rsidRPr="00F62FC9">
        <w:rPr>
          <w:rFonts w:ascii="Calibri" w:hAnsi="Calibri" w:cs="Calibri"/>
          <w:sz w:val="24"/>
          <w:szCs w:val="24"/>
        </w:rPr>
        <w:t xml:space="preserve">infecção e </w:t>
      </w:r>
      <w:r w:rsidR="00D005DD" w:rsidRPr="00F62FC9">
        <w:rPr>
          <w:rFonts w:ascii="Calibri" w:hAnsi="Calibri" w:cs="Calibri"/>
          <w:sz w:val="24"/>
          <w:szCs w:val="24"/>
        </w:rPr>
        <w:t xml:space="preserve">hemorragia intrínseca à </w:t>
      </w:r>
      <w:r w:rsidR="00D810F9" w:rsidRPr="00F62FC9">
        <w:rPr>
          <w:rFonts w:ascii="Calibri" w:hAnsi="Calibri" w:cs="Calibri"/>
          <w:sz w:val="24"/>
          <w:szCs w:val="24"/>
        </w:rPr>
        <w:t>utilização de métodos</w:t>
      </w:r>
      <w:r w:rsidR="00D005DD" w:rsidRPr="00F62FC9">
        <w:rPr>
          <w:rFonts w:ascii="Calibri" w:hAnsi="Calibri" w:cs="Calibri"/>
          <w:sz w:val="24"/>
          <w:szCs w:val="24"/>
        </w:rPr>
        <w:t xml:space="preserve"> invasivos</w:t>
      </w:r>
      <w:r w:rsidR="00491623" w:rsidRPr="00F62FC9">
        <w:rPr>
          <w:rFonts w:ascii="Calibri" w:hAnsi="Calibri" w:cs="Calibri"/>
          <w:sz w:val="24"/>
          <w:szCs w:val="24"/>
        </w:rPr>
        <w:t xml:space="preserve"> </w:t>
      </w:r>
      <w:r w:rsidR="00491623" w:rsidRPr="00F62FC9">
        <w:rPr>
          <w:rFonts w:ascii="Calibri" w:hAnsi="Calibri" w:cs="Calibri"/>
          <w:sz w:val="24"/>
          <w:szCs w:val="24"/>
        </w:rPr>
        <w:fldChar w:fldCharType="begin" w:fldLock="1"/>
      </w:r>
      <w:r w:rsidR="003B280C" w:rsidRPr="00F62FC9">
        <w:rPr>
          <w:rFonts w:ascii="Calibri" w:hAnsi="Calibri" w:cs="Calibri"/>
          <w:sz w:val="24"/>
          <w:szCs w:val="24"/>
        </w:rPr>
        <w:instrText>ADDIN CSL_CITATION {"citationItems":[{"id":"ITEM-1","itemData":{"DOI":"10.1007/s12028-016-0261-y","ISSN":"15560961","PMID":"26966022","abstract":"Acute liver failure (ALF) has been associated with cerebral edema and elevated intracranial pressure (ICP), which may be managed utilizing an ICP monitor. The most feared complication of placement is catastrophic intracranial hemorrhage in the setting of severe coagulopathy. Previous studies reported hemorrhage rates between 3.8–22 % among various devices, with epidural catheters having lower hemorrhage rates and precision relative to subdural bolts and intraparenchymal catheters. We sought to identify institutional hemorrhagic rates of ICP monitoring in ALF and its associated factors in a modern series guided by protocol implantation. Patient records treated for ALF with ICP monitoring at Mayo Clinic in Rochester, MN from 1995 to 2014 were reviewed. Protocalized since 1995, epidural (EP) ICP monitors were first used followed by intraparenchymal (IP) for stage III–IV hepatic encephalopathy. The following variables and outcomes were collected: patient demographics, ICPs and treatment methods, laboratory data, imaging studies, number of days for ICP monitoring, radiographic and symptomatic hemorrhage rates, orthotopic liver transplantation rates, and death. A total of 20 ICP monitors were placed for ALF, 7 EP, and 13 IP. International normalized ratio (INR) at placement of an EP monitor was 2.4 (1.7–3.2) with maximum of 2.7 (2.0–3.6) over the following 2.3 (1–3) days. Mean EP ICP at placement was 36.3 (11–55) and maximum of 43.1 (20–70) mm Hg. INR at placement of an IP monitor was 1.3 (&lt;0.8–3.0) with maximum value of 2.9 (1.6–5.4) over the following 4.2 (2–6) days. Mean IP ICP at placement was 9.9 (2–19) and maximum was 39.8 (11–100) mm Hg. There was one asymptomatic hemorrhage in the EP group (14.3 % hemorrhage rate) and two hemorrhages in the IP group (hemorrhage rate was 15.4 %), both of which were fatal. Overall mortality rate in the EP group was 71.4 % (5/7) with two patients receiving transplantation, and one death in the transplant group. Overall mortality in the IP group was 38.5 % (5/13) with nine liver transplantations; three of the transplanted patients died, including one of the fatal hemorrhages due to monitor placement. Intracranial hypertension is common in patients with ALF with severe hepatic encephalopathy. Monitored patients in both groups experienced elevations of ICP in the setting of intermittent coagulopathy. Severity of coagulopathy did not influence hemorrhage rate. Yet, hemorrhages related to IP monitoring can be catastrophic and…","author":[{"dropping-particle":"","family":"Maloney","given":"Patrick R","non-dropping-particle":"","parse-names":false,"suffix":""},{"dropping-particle":"","family":"Mallory","given":"Grant W","non-dropping-particle":"","parse-names":false,"suffix":""},{"dropping-particle":"","family":"Atkinson","given":"John L.D.","non-dropping-particle":"","parse-names":false,"suffix":""},{"dropping-particle":"","family":"Wijdicks","given":"Eelco F","non-dropping-particle":"","parse-names":false,"suffix":""},{"dropping-particle":"","family":"Rabinstein","given":"Alejandro A","non-dropping-particle":"","parse-names":false,"suffix":""},{"dropping-particle":"","family":"Gompel","given":"Jamie J.","non-dropping-particle":"Van","parse-names":false,"suffix":""}],"container-title":"Neurocritical Care","id":"ITEM-1","issue":"1","issued":{"date-parts":[["2016"]]},"page":"86-93","title":"Intracranial Pressure Monitoring in Acute Liver Failure: Institutional Case Series","type":"article-journal","volume":"25"},"uris":["http://www.mendeley.com/documents/?uuid=2689463f-24ab-426e-b77c-99ef0fbfd837"]}],"mendeley":{"formattedCitation":"(4)","plainTextFormattedCitation":"(4)","previouslyFormattedCitation":"(Maloney et al. 2016)"},"properties":{"noteIndex":0},"schema":"https://github.com/citation-style-language/schema/raw/master/csl-citation.json"}</w:instrText>
      </w:r>
      <w:r w:rsidR="00491623" w:rsidRPr="00F62FC9">
        <w:rPr>
          <w:rFonts w:ascii="Calibri" w:hAnsi="Calibri" w:cs="Calibri"/>
          <w:sz w:val="24"/>
          <w:szCs w:val="24"/>
        </w:rPr>
        <w:fldChar w:fldCharType="separate"/>
      </w:r>
      <w:r w:rsidR="003B280C" w:rsidRPr="00F62FC9">
        <w:rPr>
          <w:rFonts w:ascii="Calibri" w:hAnsi="Calibri" w:cs="Calibri"/>
          <w:noProof/>
          <w:sz w:val="24"/>
          <w:szCs w:val="24"/>
        </w:rPr>
        <w:t>(4)</w:t>
      </w:r>
      <w:r w:rsidR="00491623" w:rsidRPr="00F62FC9">
        <w:rPr>
          <w:rFonts w:ascii="Calibri" w:hAnsi="Calibri" w:cs="Calibri"/>
          <w:sz w:val="24"/>
          <w:szCs w:val="24"/>
        </w:rPr>
        <w:fldChar w:fldCharType="end"/>
      </w:r>
      <w:r w:rsidR="00491623" w:rsidRPr="00F62FC9">
        <w:rPr>
          <w:rFonts w:ascii="Calibri" w:hAnsi="Calibri" w:cs="Calibri"/>
          <w:sz w:val="24"/>
          <w:szCs w:val="24"/>
        </w:rPr>
        <w:t xml:space="preserve"> – justificando a necessidade d</w:t>
      </w:r>
      <w:r w:rsidR="000B7BA0" w:rsidRPr="00F62FC9">
        <w:rPr>
          <w:rFonts w:ascii="Calibri" w:hAnsi="Calibri" w:cs="Calibri"/>
          <w:sz w:val="24"/>
          <w:szCs w:val="24"/>
        </w:rPr>
        <w:t xml:space="preserve">a proposição </w:t>
      </w:r>
      <w:r w:rsidR="00491623" w:rsidRPr="00F62FC9">
        <w:rPr>
          <w:rFonts w:ascii="Calibri" w:hAnsi="Calibri" w:cs="Calibri"/>
          <w:sz w:val="24"/>
          <w:szCs w:val="24"/>
        </w:rPr>
        <w:t>de métodos não invasivos</w:t>
      </w:r>
      <w:r w:rsidR="000B7BA0" w:rsidRPr="00F62FC9">
        <w:rPr>
          <w:rFonts w:ascii="Calibri" w:hAnsi="Calibri" w:cs="Calibri"/>
          <w:sz w:val="24"/>
          <w:szCs w:val="24"/>
        </w:rPr>
        <w:t xml:space="preserve"> de monitorização da PIC</w:t>
      </w:r>
      <w:r w:rsidR="00491623" w:rsidRPr="00F62FC9">
        <w:rPr>
          <w:rFonts w:ascii="Calibri" w:hAnsi="Calibri" w:cs="Calibri"/>
          <w:sz w:val="24"/>
          <w:szCs w:val="24"/>
        </w:rPr>
        <w:t>.</w:t>
      </w:r>
    </w:p>
    <w:p w14:paraId="6B5EBC6F" w14:textId="0678B340" w:rsidR="00DF5977" w:rsidRPr="00F62FC9" w:rsidRDefault="00D35536" w:rsidP="00E26FB8">
      <w:pPr>
        <w:ind w:firstLine="360"/>
        <w:jc w:val="both"/>
        <w:rPr>
          <w:rFonts w:ascii="Calibri" w:hAnsi="Calibri" w:cs="Calibri"/>
          <w:sz w:val="24"/>
          <w:szCs w:val="24"/>
        </w:rPr>
      </w:pPr>
      <w:r w:rsidRPr="00F62FC9">
        <w:rPr>
          <w:rFonts w:ascii="Calibri" w:hAnsi="Calibri" w:cs="Calibri"/>
          <w:sz w:val="24"/>
          <w:szCs w:val="24"/>
        </w:rPr>
        <w:t>A PIC</w:t>
      </w:r>
      <w:r w:rsidR="006F1881" w:rsidRPr="00F62FC9">
        <w:rPr>
          <w:rFonts w:ascii="Calibri" w:hAnsi="Calibri" w:cs="Calibri"/>
          <w:sz w:val="24"/>
          <w:szCs w:val="24"/>
        </w:rPr>
        <w:t xml:space="preserve">, por sua vez, </w:t>
      </w:r>
      <w:r w:rsidR="002F1F74" w:rsidRPr="00F62FC9">
        <w:rPr>
          <w:rFonts w:ascii="Calibri" w:hAnsi="Calibri" w:cs="Calibri"/>
          <w:sz w:val="24"/>
          <w:szCs w:val="24"/>
        </w:rPr>
        <w:t>ten</w:t>
      </w:r>
      <w:r w:rsidR="000F336A" w:rsidRPr="00F62FC9">
        <w:rPr>
          <w:rFonts w:ascii="Calibri" w:hAnsi="Calibri" w:cs="Calibri"/>
          <w:sz w:val="24"/>
          <w:szCs w:val="24"/>
        </w:rPr>
        <w:t xml:space="preserve">de a ser estabilizada por uma característica intrínseca </w:t>
      </w:r>
      <w:r w:rsidR="00375C03" w:rsidRPr="00F62FC9">
        <w:rPr>
          <w:rFonts w:ascii="Calibri" w:hAnsi="Calibri" w:cs="Calibri"/>
          <w:sz w:val="24"/>
          <w:szCs w:val="24"/>
        </w:rPr>
        <w:t>a</w:t>
      </w:r>
      <w:r w:rsidR="000F336A" w:rsidRPr="00F62FC9">
        <w:rPr>
          <w:rFonts w:ascii="Calibri" w:hAnsi="Calibri" w:cs="Calibri"/>
          <w:sz w:val="24"/>
          <w:szCs w:val="24"/>
        </w:rPr>
        <w:t>o cérebro</w:t>
      </w:r>
      <w:r w:rsidR="00375C03" w:rsidRPr="00F62FC9">
        <w:rPr>
          <w:rFonts w:ascii="Calibri" w:hAnsi="Calibri" w:cs="Calibri"/>
          <w:sz w:val="24"/>
          <w:szCs w:val="24"/>
        </w:rPr>
        <w:t>,</w:t>
      </w:r>
      <w:r w:rsidR="000F336A" w:rsidRPr="00F62FC9">
        <w:rPr>
          <w:rFonts w:ascii="Calibri" w:hAnsi="Calibri" w:cs="Calibri"/>
          <w:sz w:val="24"/>
          <w:szCs w:val="24"/>
        </w:rPr>
        <w:t xml:space="preserve"> </w:t>
      </w:r>
      <w:r w:rsidR="00375C03" w:rsidRPr="00F62FC9">
        <w:rPr>
          <w:rFonts w:ascii="Calibri" w:hAnsi="Calibri" w:cs="Calibri"/>
          <w:sz w:val="24"/>
          <w:szCs w:val="24"/>
        </w:rPr>
        <w:t xml:space="preserve">a capacidade </w:t>
      </w:r>
      <w:r w:rsidR="007C6824" w:rsidRPr="00F62FC9">
        <w:rPr>
          <w:rFonts w:ascii="Calibri" w:hAnsi="Calibri" w:cs="Calibri"/>
          <w:sz w:val="24"/>
          <w:szCs w:val="24"/>
        </w:rPr>
        <w:t>de acomodar volume intracraniano</w:t>
      </w:r>
      <w:r w:rsidR="00375C03" w:rsidRPr="00F62FC9">
        <w:rPr>
          <w:rFonts w:ascii="Calibri" w:hAnsi="Calibri" w:cs="Calibri"/>
          <w:sz w:val="24"/>
          <w:szCs w:val="24"/>
        </w:rPr>
        <w:t xml:space="preserve"> </w:t>
      </w:r>
      <w:r w:rsidR="00E17DD7" w:rsidRPr="00F62FC9">
        <w:rPr>
          <w:rFonts w:ascii="Calibri" w:hAnsi="Calibri" w:cs="Calibri"/>
          <w:sz w:val="24"/>
          <w:szCs w:val="24"/>
        </w:rPr>
        <w:t>sem alterar significativamente a pressão – chamada de complacência intracraniana (CIC)</w:t>
      </w:r>
      <w:r w:rsidR="000B4C06" w:rsidRPr="00F62FC9">
        <w:rPr>
          <w:rFonts w:ascii="Calibri" w:hAnsi="Calibri" w:cs="Calibri"/>
          <w:sz w:val="24"/>
          <w:szCs w:val="24"/>
        </w:rPr>
        <w:t>.</w:t>
      </w:r>
      <w:r w:rsidR="00AA1ED3" w:rsidRPr="00F62FC9">
        <w:rPr>
          <w:rFonts w:ascii="Calibri" w:hAnsi="Calibri" w:cs="Calibri"/>
          <w:sz w:val="24"/>
          <w:szCs w:val="24"/>
        </w:rPr>
        <w:t xml:space="preserve"> </w:t>
      </w:r>
      <w:r w:rsidR="007A3882" w:rsidRPr="00F62FC9">
        <w:rPr>
          <w:rFonts w:ascii="Calibri" w:hAnsi="Calibri" w:cs="Calibri"/>
          <w:sz w:val="24"/>
          <w:szCs w:val="24"/>
        </w:rPr>
        <w:t xml:space="preserve">Apesar da tentativa de estabilizar a PIC para </w:t>
      </w:r>
      <w:r w:rsidR="00963D0D" w:rsidRPr="00F62FC9">
        <w:rPr>
          <w:rFonts w:ascii="Calibri" w:hAnsi="Calibri" w:cs="Calibri"/>
          <w:sz w:val="24"/>
          <w:szCs w:val="24"/>
        </w:rPr>
        <w:t>almejar</w:t>
      </w:r>
      <w:r w:rsidR="007A3882" w:rsidRPr="00F62FC9">
        <w:rPr>
          <w:rFonts w:ascii="Calibri" w:hAnsi="Calibri" w:cs="Calibri"/>
          <w:sz w:val="24"/>
          <w:szCs w:val="24"/>
        </w:rPr>
        <w:t xml:space="preserve"> uma PPC</w:t>
      </w:r>
      <w:r w:rsidR="000B4C06" w:rsidRPr="00F62FC9">
        <w:rPr>
          <w:rFonts w:ascii="Calibri" w:hAnsi="Calibri" w:cs="Calibri"/>
          <w:sz w:val="24"/>
          <w:szCs w:val="24"/>
        </w:rPr>
        <w:t xml:space="preserve"> </w:t>
      </w:r>
      <w:r w:rsidR="00963D0D" w:rsidRPr="00F62FC9">
        <w:rPr>
          <w:rFonts w:ascii="Calibri" w:hAnsi="Calibri" w:cs="Calibri"/>
          <w:sz w:val="24"/>
          <w:szCs w:val="24"/>
        </w:rPr>
        <w:t xml:space="preserve">estável, a PIC ocorre em </w:t>
      </w:r>
      <w:r w:rsidR="007E446C" w:rsidRPr="00F62FC9">
        <w:rPr>
          <w:rFonts w:ascii="Calibri" w:hAnsi="Calibri" w:cs="Calibri"/>
          <w:sz w:val="24"/>
          <w:szCs w:val="24"/>
        </w:rPr>
        <w:t xml:space="preserve">ondas de </w:t>
      </w:r>
      <w:r w:rsidR="00963D0D" w:rsidRPr="00F62FC9">
        <w:rPr>
          <w:rFonts w:ascii="Calibri" w:hAnsi="Calibri" w:cs="Calibri"/>
          <w:sz w:val="24"/>
          <w:szCs w:val="24"/>
        </w:rPr>
        <w:t>pulsos</w:t>
      </w:r>
      <w:r w:rsidR="007E446C" w:rsidRPr="00F62FC9">
        <w:rPr>
          <w:rFonts w:ascii="Calibri" w:hAnsi="Calibri" w:cs="Calibri"/>
          <w:sz w:val="24"/>
          <w:szCs w:val="24"/>
        </w:rPr>
        <w:t xml:space="preserve"> (OP)</w:t>
      </w:r>
      <w:r w:rsidR="00963D0D" w:rsidRPr="00F62FC9">
        <w:rPr>
          <w:rFonts w:ascii="Calibri" w:hAnsi="Calibri" w:cs="Calibri"/>
          <w:sz w:val="24"/>
          <w:szCs w:val="24"/>
        </w:rPr>
        <w:t xml:space="preserve">. Esses pulsos ocorrem </w:t>
      </w:r>
      <w:r w:rsidR="00BB4499" w:rsidRPr="00F62FC9">
        <w:rPr>
          <w:rFonts w:ascii="Calibri" w:hAnsi="Calibri" w:cs="Calibri"/>
          <w:sz w:val="24"/>
          <w:szCs w:val="24"/>
        </w:rPr>
        <w:t>como um reflexo do ciclo cardíaco – sístole e diástole – no líquido cerebrospinal (LCE).</w:t>
      </w:r>
      <w:r w:rsidR="00F02D5F" w:rsidRPr="00F62FC9">
        <w:rPr>
          <w:rFonts w:ascii="Calibri" w:hAnsi="Calibri" w:cs="Calibri"/>
          <w:sz w:val="24"/>
          <w:szCs w:val="24"/>
        </w:rPr>
        <w:t xml:space="preserve"> Analogamente ao formato de </w:t>
      </w:r>
      <w:r w:rsidR="004A18DD" w:rsidRPr="00F62FC9">
        <w:rPr>
          <w:rFonts w:ascii="Calibri" w:hAnsi="Calibri" w:cs="Calibri"/>
          <w:sz w:val="24"/>
          <w:szCs w:val="24"/>
        </w:rPr>
        <w:t>OP</w:t>
      </w:r>
      <w:r w:rsidR="00F02D5F" w:rsidRPr="00F62FC9">
        <w:rPr>
          <w:rFonts w:ascii="Calibri" w:hAnsi="Calibri" w:cs="Calibri"/>
          <w:sz w:val="24"/>
          <w:szCs w:val="24"/>
        </w:rPr>
        <w:t xml:space="preserve"> cardíac</w:t>
      </w:r>
      <w:r w:rsidR="00D8599E" w:rsidRPr="00F62FC9">
        <w:rPr>
          <w:rFonts w:ascii="Calibri" w:hAnsi="Calibri" w:cs="Calibri"/>
          <w:sz w:val="24"/>
          <w:szCs w:val="24"/>
        </w:rPr>
        <w:t>a</w:t>
      </w:r>
      <w:r w:rsidR="00F02D5F" w:rsidRPr="00F62FC9">
        <w:rPr>
          <w:rFonts w:ascii="Calibri" w:hAnsi="Calibri" w:cs="Calibri"/>
          <w:sz w:val="24"/>
          <w:szCs w:val="24"/>
        </w:rPr>
        <w:t xml:space="preserve">, o pulso da pressão no LCE </w:t>
      </w:r>
      <w:r w:rsidR="00C61923" w:rsidRPr="00F62FC9">
        <w:rPr>
          <w:rFonts w:ascii="Calibri" w:hAnsi="Calibri" w:cs="Calibri"/>
          <w:sz w:val="24"/>
          <w:szCs w:val="24"/>
        </w:rPr>
        <w:t>apresenta os componentes P1, P2 e P3: P1 é a onda de percussão</w:t>
      </w:r>
      <w:r w:rsidR="002E558C" w:rsidRPr="00F62FC9">
        <w:rPr>
          <w:rFonts w:ascii="Calibri" w:hAnsi="Calibri" w:cs="Calibri"/>
          <w:sz w:val="24"/>
          <w:szCs w:val="24"/>
        </w:rPr>
        <w:t>, devido à pressão arterial sendo transmitida do plexo coroide para os ventrículos; P2 seria a onda de maré</w:t>
      </w:r>
      <w:r w:rsidR="00A76B5A" w:rsidRPr="00F62FC9">
        <w:rPr>
          <w:rFonts w:ascii="Calibri" w:hAnsi="Calibri" w:cs="Calibri"/>
          <w:sz w:val="24"/>
          <w:szCs w:val="24"/>
        </w:rPr>
        <w:t xml:space="preserve"> e está </w:t>
      </w:r>
      <w:r w:rsidR="00233880" w:rsidRPr="00F62FC9">
        <w:rPr>
          <w:rFonts w:ascii="Calibri" w:hAnsi="Calibri" w:cs="Calibri"/>
          <w:sz w:val="24"/>
          <w:szCs w:val="24"/>
        </w:rPr>
        <w:t xml:space="preserve">inversamente </w:t>
      </w:r>
      <w:r w:rsidR="00A76B5A" w:rsidRPr="00F62FC9">
        <w:rPr>
          <w:rFonts w:ascii="Calibri" w:hAnsi="Calibri" w:cs="Calibri"/>
          <w:sz w:val="24"/>
          <w:szCs w:val="24"/>
        </w:rPr>
        <w:t>relacionada à CIC</w:t>
      </w:r>
      <w:r w:rsidR="00233880" w:rsidRPr="00F62FC9">
        <w:rPr>
          <w:rFonts w:ascii="Calibri" w:hAnsi="Calibri" w:cs="Calibri"/>
          <w:sz w:val="24"/>
          <w:szCs w:val="24"/>
        </w:rPr>
        <w:t>; e P3 seria a onda de fechamento da incisura dicrótica</w:t>
      </w:r>
      <w:r w:rsidR="006574D3" w:rsidRPr="00F62FC9">
        <w:rPr>
          <w:rFonts w:ascii="Calibri" w:hAnsi="Calibri" w:cs="Calibri"/>
          <w:sz w:val="24"/>
          <w:szCs w:val="24"/>
        </w:rPr>
        <w:t xml:space="preserve"> (fechamento da valva aórtica durante a diástole).</w:t>
      </w:r>
      <w:r w:rsidR="00610E16" w:rsidRPr="00F62FC9">
        <w:rPr>
          <w:rFonts w:ascii="Calibri" w:hAnsi="Calibri" w:cs="Calibri"/>
          <w:sz w:val="24"/>
          <w:szCs w:val="24"/>
        </w:rPr>
        <w:t xml:space="preserve"> </w:t>
      </w:r>
      <w:r w:rsidR="0081461B" w:rsidRPr="00F62FC9">
        <w:rPr>
          <w:rFonts w:ascii="Calibri" w:hAnsi="Calibri" w:cs="Calibri"/>
          <w:sz w:val="24"/>
          <w:szCs w:val="24"/>
        </w:rPr>
        <w:t xml:space="preserve">Além </w:t>
      </w:r>
      <w:r w:rsidR="005F32B6" w:rsidRPr="00F62FC9">
        <w:rPr>
          <w:rFonts w:ascii="Calibri" w:hAnsi="Calibri" w:cs="Calibri"/>
          <w:sz w:val="24"/>
          <w:szCs w:val="24"/>
        </w:rPr>
        <w:t xml:space="preserve">da OP isolada, </w:t>
      </w:r>
      <w:r w:rsidR="00AD0F35" w:rsidRPr="00F62FC9">
        <w:rPr>
          <w:rFonts w:ascii="Calibri" w:hAnsi="Calibri" w:cs="Calibri"/>
          <w:sz w:val="24"/>
          <w:szCs w:val="24"/>
        </w:rPr>
        <w:t xml:space="preserve">o conjunto de pulsos oscila </w:t>
      </w:r>
      <w:r w:rsidR="0082664A" w:rsidRPr="00F62FC9">
        <w:rPr>
          <w:rFonts w:ascii="Calibri" w:hAnsi="Calibri" w:cs="Calibri"/>
          <w:sz w:val="24"/>
          <w:szCs w:val="24"/>
        </w:rPr>
        <w:t>secundariamente ao ciclo respiratório: quando inspiramos profundamente, a pressão intratorácica diminui</w:t>
      </w:r>
      <w:r w:rsidR="00F81B35" w:rsidRPr="00F62FC9">
        <w:rPr>
          <w:rFonts w:ascii="Calibri" w:hAnsi="Calibri" w:cs="Calibri"/>
          <w:sz w:val="24"/>
          <w:szCs w:val="24"/>
        </w:rPr>
        <w:t xml:space="preserve"> e</w:t>
      </w:r>
      <w:r w:rsidR="00D37CD4" w:rsidRPr="00F62FC9">
        <w:rPr>
          <w:rFonts w:ascii="Calibri" w:hAnsi="Calibri" w:cs="Calibri"/>
          <w:sz w:val="24"/>
          <w:szCs w:val="24"/>
        </w:rPr>
        <w:t xml:space="preserve"> </w:t>
      </w:r>
      <w:r w:rsidR="00C40774" w:rsidRPr="00F62FC9">
        <w:rPr>
          <w:rFonts w:ascii="Calibri" w:hAnsi="Calibri" w:cs="Calibri"/>
          <w:sz w:val="24"/>
          <w:szCs w:val="24"/>
        </w:rPr>
        <w:t xml:space="preserve">o retorno </w:t>
      </w:r>
      <w:r w:rsidR="00251CED" w:rsidRPr="00F62FC9">
        <w:rPr>
          <w:rFonts w:ascii="Calibri" w:hAnsi="Calibri" w:cs="Calibri"/>
          <w:sz w:val="24"/>
          <w:szCs w:val="24"/>
        </w:rPr>
        <w:t xml:space="preserve">venoso sistêmico aumenta; porém, </w:t>
      </w:r>
      <w:r w:rsidR="008963A3" w:rsidRPr="00F62FC9">
        <w:rPr>
          <w:rFonts w:ascii="Calibri" w:hAnsi="Calibri" w:cs="Calibri"/>
          <w:sz w:val="24"/>
          <w:szCs w:val="24"/>
        </w:rPr>
        <w:t>isso diminui o volume nas câmaras cardíacas esquerdas, o que gera uma pontual diminuição</w:t>
      </w:r>
      <w:r w:rsidR="00337ED6" w:rsidRPr="00F62FC9">
        <w:rPr>
          <w:rFonts w:ascii="Calibri" w:hAnsi="Calibri" w:cs="Calibri"/>
          <w:sz w:val="24"/>
          <w:szCs w:val="24"/>
        </w:rPr>
        <w:t xml:space="preserve"> de ejeção e</w:t>
      </w:r>
      <w:r w:rsidR="004708ED" w:rsidRPr="00F62FC9">
        <w:rPr>
          <w:rFonts w:ascii="Calibri" w:hAnsi="Calibri" w:cs="Calibri"/>
          <w:sz w:val="24"/>
          <w:szCs w:val="24"/>
        </w:rPr>
        <w:t xml:space="preserve"> consequente</w:t>
      </w:r>
      <w:r w:rsidR="008963A3" w:rsidRPr="00F62FC9">
        <w:rPr>
          <w:rFonts w:ascii="Calibri" w:hAnsi="Calibri" w:cs="Calibri"/>
          <w:sz w:val="24"/>
          <w:szCs w:val="24"/>
        </w:rPr>
        <w:t xml:space="preserve"> </w:t>
      </w:r>
      <w:r w:rsidR="00A473D1" w:rsidRPr="00F62FC9">
        <w:rPr>
          <w:rFonts w:ascii="Calibri" w:hAnsi="Calibri" w:cs="Calibri"/>
          <w:sz w:val="24"/>
          <w:szCs w:val="24"/>
        </w:rPr>
        <w:t xml:space="preserve">queda na </w:t>
      </w:r>
      <w:r w:rsidR="008963A3" w:rsidRPr="00F62FC9">
        <w:rPr>
          <w:rFonts w:ascii="Calibri" w:hAnsi="Calibri" w:cs="Calibri"/>
          <w:sz w:val="24"/>
          <w:szCs w:val="24"/>
        </w:rPr>
        <w:t>pressão arterial (PA).</w:t>
      </w:r>
      <w:r w:rsidR="00337ED6" w:rsidRPr="00F62FC9">
        <w:rPr>
          <w:rFonts w:ascii="Calibri" w:hAnsi="Calibri" w:cs="Calibri"/>
          <w:sz w:val="24"/>
          <w:szCs w:val="24"/>
        </w:rPr>
        <w:t xml:space="preserve"> Essa dinâmica </w:t>
      </w:r>
      <w:r w:rsidR="004708ED" w:rsidRPr="00F62FC9">
        <w:rPr>
          <w:rFonts w:ascii="Calibri" w:hAnsi="Calibri" w:cs="Calibri"/>
          <w:sz w:val="24"/>
          <w:szCs w:val="24"/>
        </w:rPr>
        <w:t xml:space="preserve">se reflete </w:t>
      </w:r>
      <w:r w:rsidR="00FD000F" w:rsidRPr="00F62FC9">
        <w:rPr>
          <w:rFonts w:ascii="Calibri" w:hAnsi="Calibri" w:cs="Calibri"/>
          <w:sz w:val="24"/>
          <w:szCs w:val="24"/>
        </w:rPr>
        <w:t>em</w:t>
      </w:r>
      <w:r w:rsidR="004708ED" w:rsidRPr="00F62FC9">
        <w:rPr>
          <w:rFonts w:ascii="Calibri" w:hAnsi="Calibri" w:cs="Calibri"/>
          <w:sz w:val="24"/>
          <w:szCs w:val="24"/>
        </w:rPr>
        <w:t xml:space="preserve"> uma tendência de aumento da PIC</w:t>
      </w:r>
      <w:r w:rsidR="00187966" w:rsidRPr="00F62FC9">
        <w:rPr>
          <w:rFonts w:ascii="Calibri" w:hAnsi="Calibri" w:cs="Calibri"/>
          <w:sz w:val="24"/>
          <w:szCs w:val="24"/>
        </w:rPr>
        <w:t xml:space="preserve"> durante a expiração e vice-vers</w:t>
      </w:r>
      <w:r w:rsidR="001A23D9" w:rsidRPr="00F62FC9">
        <w:rPr>
          <w:rFonts w:ascii="Calibri" w:hAnsi="Calibri" w:cs="Calibri"/>
          <w:sz w:val="24"/>
          <w:szCs w:val="24"/>
        </w:rPr>
        <w:t>a</w:t>
      </w:r>
      <w:r w:rsidR="00187966" w:rsidRPr="00F62FC9">
        <w:rPr>
          <w:rFonts w:ascii="Calibri" w:hAnsi="Calibri" w:cs="Calibri"/>
          <w:sz w:val="24"/>
          <w:szCs w:val="24"/>
        </w:rPr>
        <w:t>. Além disso, fatores como idade, postura, horário do dia</w:t>
      </w:r>
      <w:r w:rsidR="008C0D2C" w:rsidRPr="00F62FC9">
        <w:rPr>
          <w:rFonts w:ascii="Calibri" w:hAnsi="Calibri" w:cs="Calibri"/>
          <w:sz w:val="24"/>
          <w:szCs w:val="24"/>
        </w:rPr>
        <w:t xml:space="preserve"> e condição clínica afetam a PIC média; sendo que ela varia em um intervalo de 7 – 15mmHg em adultos</w:t>
      </w:r>
      <w:r w:rsidR="00B0312F" w:rsidRPr="00F62FC9">
        <w:rPr>
          <w:rFonts w:ascii="Calibri" w:hAnsi="Calibri" w:cs="Calibri"/>
          <w:sz w:val="24"/>
          <w:szCs w:val="24"/>
        </w:rPr>
        <w:t xml:space="preserve"> hígidos</w:t>
      </w:r>
      <w:r w:rsidR="008C0D2C" w:rsidRPr="00F62FC9">
        <w:rPr>
          <w:rFonts w:ascii="Calibri" w:hAnsi="Calibri" w:cs="Calibri"/>
          <w:sz w:val="24"/>
          <w:szCs w:val="24"/>
        </w:rPr>
        <w:t xml:space="preserve">, 3 – 6 mmHg em crianças e </w:t>
      </w:r>
      <w:r w:rsidR="001A23D9" w:rsidRPr="00F62FC9">
        <w:rPr>
          <w:rFonts w:ascii="Calibri" w:hAnsi="Calibri" w:cs="Calibri"/>
          <w:sz w:val="24"/>
          <w:szCs w:val="24"/>
        </w:rPr>
        <w:t xml:space="preserve">0,5 – 6 mmHg em infantes </w:t>
      </w:r>
      <w:r w:rsidR="001A23D9" w:rsidRPr="00F62FC9">
        <w:rPr>
          <w:rFonts w:ascii="Calibri" w:hAnsi="Calibri" w:cs="Calibri"/>
          <w:sz w:val="24"/>
          <w:szCs w:val="24"/>
        </w:rPr>
        <w:fldChar w:fldCharType="begin" w:fldLock="1"/>
      </w:r>
      <w:r w:rsidR="003B280C" w:rsidRPr="00F62FC9">
        <w:rPr>
          <w:rFonts w:ascii="Calibri" w:hAnsi="Calibri" w:cs="Calibri"/>
          <w:sz w:val="24"/>
          <w:szCs w:val="24"/>
        </w:rPr>
        <w:instrText>ADDIN CSL_CITATION {"citationItems":[{"id":"ITEM-1","itemData":{"DOI":"10.5772/intechopen.94077","abstract":"Intracranial pressure (ICP) can be analyzed for its absolute value, usually in mmHg or cmH2O, its tendency over time and the waveform of its pulse. This chapter will focus on the waveform of the ICP pulse (ICPwf), already observed since 1881, and for a long time not understood. Studies conducted in recent decades show the correlation between the ICPwf and intracranial compliance (ICC), another important clinical parameter added to the practice in the second half of the last century. ICC allows physicians early analyzing patients' neurological conditions related to disorders resulting from variations in cerebrospinal fluid (CSF), blood and intracranial tissue volumes. This chapter is an invitation to dive into the history and development of ICPwf analysis, clinical uses already adopted and others still u nder s t udy.","author":[{"dropping-particle":"","family":"Frigieri","given":"Gustavo","non-dropping-particle":"","parse-names":false,"suffix":""},{"dropping-particle":"","family":"Yukie Hayashi","given":"Cintya","non-dropping-particle":"","parse-names":false,"suffix":""},{"dropping-particle":"","family":"Nunes Rabelo","given":"Nicollas","non-dropping-particle":"","parse-names":false,"suffix":""},{"dropping-particle":"","family":"Brasil","given":"Sérgio","non-dropping-particle":"","parse-names":false,"suffix":""}],"container-title":"Advancement and New Understanding in Brain Injury","id":"ITEM-1","issued":{"date-parts":[["2021"]]},"page":"1-15","title":"Intracranial Pressure Waveform: History, Fundamentals and Applications in Brain Injuries","type":"chapter"},"uris":["http://www.mendeley.com/documents/?uuid=6ba43779-0826-4b75-850b-0c44a6194ad9"]}],"mendeley":{"formattedCitation":"(18)","plainTextFormattedCitation":"(18)","previouslyFormattedCitation":"(Frigieri et al. 2021)"},"properties":{"noteIndex":0},"schema":"https://github.com/citation-style-language/schema/raw/master/csl-citation.json"}</w:instrText>
      </w:r>
      <w:r w:rsidR="001A23D9" w:rsidRPr="00F62FC9">
        <w:rPr>
          <w:rFonts w:ascii="Calibri" w:hAnsi="Calibri" w:cs="Calibri"/>
          <w:sz w:val="24"/>
          <w:szCs w:val="24"/>
        </w:rPr>
        <w:fldChar w:fldCharType="separate"/>
      </w:r>
      <w:r w:rsidR="003B280C" w:rsidRPr="00F62FC9">
        <w:rPr>
          <w:rFonts w:ascii="Calibri" w:hAnsi="Calibri" w:cs="Calibri"/>
          <w:noProof/>
          <w:sz w:val="24"/>
          <w:szCs w:val="24"/>
        </w:rPr>
        <w:t>(18)</w:t>
      </w:r>
      <w:r w:rsidR="001A23D9" w:rsidRPr="00F62FC9">
        <w:rPr>
          <w:rFonts w:ascii="Calibri" w:hAnsi="Calibri" w:cs="Calibri"/>
          <w:sz w:val="24"/>
          <w:szCs w:val="24"/>
        </w:rPr>
        <w:fldChar w:fldCharType="end"/>
      </w:r>
      <w:r w:rsidR="001A23D9" w:rsidRPr="00F62FC9">
        <w:rPr>
          <w:rFonts w:ascii="Calibri" w:hAnsi="Calibri" w:cs="Calibri"/>
          <w:sz w:val="24"/>
          <w:szCs w:val="24"/>
        </w:rPr>
        <w:t>.</w:t>
      </w:r>
    </w:p>
    <w:p w14:paraId="52704965" w14:textId="77777777" w:rsidR="00E26FB8" w:rsidRPr="00F62FC9" w:rsidRDefault="00E26FB8" w:rsidP="00E26FB8">
      <w:pPr>
        <w:ind w:firstLine="360"/>
        <w:jc w:val="both"/>
        <w:rPr>
          <w:rFonts w:ascii="Calibri" w:hAnsi="Calibri" w:cs="Calibri"/>
          <w:sz w:val="24"/>
          <w:szCs w:val="24"/>
        </w:rPr>
      </w:pPr>
    </w:p>
    <w:p w14:paraId="68F7DC9C" w14:textId="251BC198" w:rsidR="00DF5977" w:rsidRPr="00F62FC9" w:rsidRDefault="00245415" w:rsidP="00DF5977">
      <w:pPr>
        <w:keepNext/>
        <w:ind w:firstLine="360"/>
        <w:jc w:val="both"/>
      </w:pPr>
      <w:r>
        <w:rPr>
          <w:noProof/>
        </w:rPr>
        <w:drawing>
          <wp:inline distT="0" distB="0" distL="0" distR="0" wp14:anchorId="4D9EDDC0" wp14:editId="5FE3114E">
            <wp:extent cx="4581525" cy="1666875"/>
            <wp:effectExtent l="0" t="0" r="0" b="0"/>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581525" cy="1666875"/>
                    </a:xfrm>
                    <a:prstGeom prst="rect">
                      <a:avLst/>
                    </a:prstGeom>
                    <a:noFill/>
                    <a:ln>
                      <a:noFill/>
                    </a:ln>
                  </pic:spPr>
                </pic:pic>
              </a:graphicData>
            </a:graphic>
          </wp:inline>
        </w:drawing>
      </w:r>
    </w:p>
    <w:p w14:paraId="720F3CDD" w14:textId="3EC73158" w:rsidR="0081461B" w:rsidRPr="00F62FC9" w:rsidRDefault="00DF5977" w:rsidP="00E26FB8">
      <w:pPr>
        <w:pStyle w:val="Legenda"/>
        <w:jc w:val="both"/>
        <w:rPr>
          <w:rFonts w:ascii="Calibri" w:hAnsi="Calibri" w:cs="Calibri"/>
          <w:b w:val="0"/>
          <w:bCs w:val="0"/>
        </w:rPr>
      </w:pPr>
      <w:r w:rsidRPr="00F62FC9">
        <w:rPr>
          <w:rFonts w:ascii="Calibri" w:hAnsi="Calibri" w:cs="Calibri"/>
          <w:b w:val="0"/>
          <w:bCs w:val="0"/>
        </w:rPr>
        <w:t xml:space="preserve">Figura </w:t>
      </w:r>
      <w:r w:rsidRPr="00F62FC9">
        <w:rPr>
          <w:rFonts w:ascii="Calibri" w:hAnsi="Calibri" w:cs="Calibri"/>
          <w:b w:val="0"/>
          <w:bCs w:val="0"/>
        </w:rPr>
        <w:fldChar w:fldCharType="begin"/>
      </w:r>
      <w:r w:rsidRPr="00F62FC9">
        <w:rPr>
          <w:rFonts w:ascii="Calibri" w:hAnsi="Calibri" w:cs="Calibri"/>
          <w:b w:val="0"/>
          <w:bCs w:val="0"/>
        </w:rPr>
        <w:instrText xml:space="preserve"> SEQ Figura \* ARABIC </w:instrText>
      </w:r>
      <w:r w:rsidRPr="00F62FC9">
        <w:rPr>
          <w:rFonts w:ascii="Calibri" w:hAnsi="Calibri" w:cs="Calibri"/>
          <w:b w:val="0"/>
          <w:bCs w:val="0"/>
        </w:rPr>
        <w:fldChar w:fldCharType="separate"/>
      </w:r>
      <w:r w:rsidR="009453D8">
        <w:rPr>
          <w:rFonts w:ascii="Calibri" w:hAnsi="Calibri" w:cs="Calibri"/>
          <w:b w:val="0"/>
          <w:bCs w:val="0"/>
          <w:noProof/>
        </w:rPr>
        <w:t>1</w:t>
      </w:r>
      <w:r w:rsidRPr="00F62FC9">
        <w:rPr>
          <w:rFonts w:ascii="Calibri" w:hAnsi="Calibri" w:cs="Calibri"/>
          <w:b w:val="0"/>
          <w:bCs w:val="0"/>
        </w:rPr>
        <w:fldChar w:fldCharType="end"/>
      </w:r>
      <w:r w:rsidRPr="00F62FC9">
        <w:rPr>
          <w:rFonts w:ascii="Calibri" w:hAnsi="Calibri" w:cs="Calibri"/>
          <w:b w:val="0"/>
          <w:bCs w:val="0"/>
        </w:rPr>
        <w:t xml:space="preserve"> - Morfologia de Pulso da PIC - Fonte: Frigieri et al. 2021</w:t>
      </w:r>
    </w:p>
    <w:p w14:paraId="3368C894" w14:textId="77777777" w:rsidR="00E26FB8" w:rsidRPr="00F62FC9" w:rsidRDefault="00E26FB8" w:rsidP="000B7BA0">
      <w:pPr>
        <w:ind w:firstLine="360"/>
        <w:jc w:val="both"/>
        <w:rPr>
          <w:rFonts w:ascii="Calibri" w:hAnsi="Calibri" w:cs="Calibri"/>
          <w:sz w:val="24"/>
          <w:szCs w:val="24"/>
        </w:rPr>
      </w:pPr>
    </w:p>
    <w:p w14:paraId="68639B00" w14:textId="38BC85E1" w:rsidR="00D35536" w:rsidRPr="00F62FC9" w:rsidRDefault="002B4894" w:rsidP="000B7BA0">
      <w:pPr>
        <w:ind w:firstLine="360"/>
        <w:jc w:val="both"/>
        <w:rPr>
          <w:rFonts w:ascii="Calibri" w:hAnsi="Calibri" w:cs="Calibri"/>
          <w:sz w:val="24"/>
          <w:szCs w:val="24"/>
        </w:rPr>
      </w:pPr>
      <w:r w:rsidRPr="00F62FC9">
        <w:rPr>
          <w:rFonts w:ascii="Calibri" w:hAnsi="Calibri" w:cs="Calibri"/>
          <w:sz w:val="24"/>
          <w:szCs w:val="24"/>
        </w:rPr>
        <w:t>Quando o nível de P2 supera P1, é esperada uma perda considerável de CIC. Também, v</w:t>
      </w:r>
      <w:r w:rsidR="0030206B" w:rsidRPr="00F62FC9">
        <w:rPr>
          <w:rFonts w:ascii="Calibri" w:hAnsi="Calibri" w:cs="Calibri"/>
          <w:sz w:val="24"/>
          <w:szCs w:val="24"/>
        </w:rPr>
        <w:t xml:space="preserve">ários estudos apontam que </w:t>
      </w:r>
      <w:r w:rsidR="00610E16" w:rsidRPr="00F62FC9">
        <w:rPr>
          <w:rFonts w:ascii="Calibri" w:hAnsi="Calibri" w:cs="Calibri"/>
          <w:sz w:val="24"/>
          <w:szCs w:val="24"/>
        </w:rPr>
        <w:t>um</w:t>
      </w:r>
      <w:r w:rsidR="0030206B" w:rsidRPr="00F62FC9">
        <w:rPr>
          <w:rFonts w:ascii="Calibri" w:hAnsi="Calibri" w:cs="Calibri"/>
          <w:sz w:val="24"/>
          <w:szCs w:val="24"/>
        </w:rPr>
        <w:t xml:space="preserve"> formato de </w:t>
      </w:r>
      <w:r w:rsidR="00A6033C" w:rsidRPr="00F62FC9">
        <w:rPr>
          <w:rFonts w:ascii="Calibri" w:hAnsi="Calibri" w:cs="Calibri"/>
          <w:sz w:val="24"/>
          <w:szCs w:val="24"/>
        </w:rPr>
        <w:t>OP</w:t>
      </w:r>
      <w:r w:rsidR="0030206B" w:rsidRPr="00F62FC9">
        <w:rPr>
          <w:rFonts w:ascii="Calibri" w:hAnsi="Calibri" w:cs="Calibri"/>
          <w:sz w:val="24"/>
          <w:szCs w:val="24"/>
        </w:rPr>
        <w:t xml:space="preserve"> </w:t>
      </w:r>
      <w:r w:rsidR="00BF47BA" w:rsidRPr="00F62FC9">
        <w:rPr>
          <w:rFonts w:ascii="Calibri" w:hAnsi="Calibri" w:cs="Calibri"/>
          <w:sz w:val="24"/>
          <w:szCs w:val="24"/>
        </w:rPr>
        <w:t>patológic</w:t>
      </w:r>
      <w:r w:rsidR="00A6033C" w:rsidRPr="00F62FC9">
        <w:rPr>
          <w:rFonts w:ascii="Calibri" w:hAnsi="Calibri" w:cs="Calibri"/>
          <w:sz w:val="24"/>
          <w:szCs w:val="24"/>
        </w:rPr>
        <w:t>a</w:t>
      </w:r>
      <w:r w:rsidR="00BF47BA" w:rsidRPr="00F62FC9">
        <w:rPr>
          <w:rFonts w:ascii="Calibri" w:hAnsi="Calibri" w:cs="Calibri"/>
          <w:sz w:val="24"/>
          <w:szCs w:val="24"/>
        </w:rPr>
        <w:t xml:space="preserve"> é mais sugestivo do que um aumento na PIC absoluta. </w:t>
      </w:r>
      <w:r w:rsidRPr="00F62FC9">
        <w:rPr>
          <w:rFonts w:ascii="Calibri" w:hAnsi="Calibri" w:cs="Calibri"/>
          <w:sz w:val="24"/>
          <w:szCs w:val="24"/>
        </w:rPr>
        <w:t xml:space="preserve">Por exemplo, </w:t>
      </w:r>
      <w:r w:rsidR="00E1404C" w:rsidRPr="00F62FC9">
        <w:rPr>
          <w:rFonts w:ascii="Calibri" w:hAnsi="Calibri" w:cs="Calibri"/>
          <w:sz w:val="24"/>
          <w:szCs w:val="24"/>
        </w:rPr>
        <w:t>em</w:t>
      </w:r>
      <w:r w:rsidRPr="00F62FC9">
        <w:rPr>
          <w:rFonts w:ascii="Calibri" w:hAnsi="Calibri" w:cs="Calibri"/>
          <w:sz w:val="24"/>
          <w:szCs w:val="24"/>
        </w:rPr>
        <w:t xml:space="preserve"> hidrocefalia </w:t>
      </w:r>
      <w:r w:rsidR="00E1404C" w:rsidRPr="00F62FC9">
        <w:rPr>
          <w:rFonts w:ascii="Calibri" w:hAnsi="Calibri" w:cs="Calibri"/>
          <w:sz w:val="24"/>
          <w:szCs w:val="24"/>
        </w:rPr>
        <w:t>idiopática</w:t>
      </w:r>
      <w:r w:rsidR="00D82F6C" w:rsidRPr="00F62FC9">
        <w:rPr>
          <w:rFonts w:ascii="Calibri" w:hAnsi="Calibri" w:cs="Calibri"/>
          <w:sz w:val="24"/>
          <w:szCs w:val="24"/>
        </w:rPr>
        <w:t xml:space="preserve">, </w:t>
      </w:r>
      <w:r w:rsidR="00912DB3" w:rsidRPr="00F62FC9">
        <w:rPr>
          <w:rFonts w:ascii="Calibri" w:hAnsi="Calibri" w:cs="Calibri"/>
          <w:sz w:val="24"/>
          <w:szCs w:val="24"/>
        </w:rPr>
        <w:t xml:space="preserve">em meningites, </w:t>
      </w:r>
      <w:r w:rsidR="005C27EF" w:rsidRPr="00F62FC9">
        <w:rPr>
          <w:rFonts w:ascii="Calibri" w:hAnsi="Calibri" w:cs="Calibri"/>
          <w:sz w:val="24"/>
          <w:szCs w:val="24"/>
        </w:rPr>
        <w:t xml:space="preserve">em </w:t>
      </w:r>
      <w:r w:rsidR="00403E0F" w:rsidRPr="00F62FC9">
        <w:rPr>
          <w:rFonts w:ascii="Calibri" w:hAnsi="Calibri" w:cs="Calibri"/>
          <w:sz w:val="24"/>
          <w:szCs w:val="24"/>
        </w:rPr>
        <w:t>acidentes vascular</w:t>
      </w:r>
      <w:r w:rsidR="0052504C" w:rsidRPr="00F62FC9">
        <w:rPr>
          <w:rFonts w:ascii="Calibri" w:hAnsi="Calibri" w:cs="Calibri"/>
          <w:sz w:val="24"/>
          <w:szCs w:val="24"/>
        </w:rPr>
        <w:t xml:space="preserve">es cerebrais (AVC) hemorrágicos </w:t>
      </w:r>
      <w:r w:rsidR="005C27EF" w:rsidRPr="00F62FC9">
        <w:rPr>
          <w:rFonts w:ascii="Calibri" w:hAnsi="Calibri" w:cs="Calibri"/>
          <w:sz w:val="24"/>
          <w:szCs w:val="24"/>
        </w:rPr>
        <w:t>ou</w:t>
      </w:r>
      <w:r w:rsidR="00E1404C" w:rsidRPr="00F62FC9">
        <w:rPr>
          <w:rFonts w:ascii="Calibri" w:hAnsi="Calibri" w:cs="Calibri"/>
          <w:sz w:val="24"/>
          <w:szCs w:val="24"/>
        </w:rPr>
        <w:t xml:space="preserve"> em</w:t>
      </w:r>
      <w:r w:rsidR="005C27EF" w:rsidRPr="00F62FC9">
        <w:rPr>
          <w:rFonts w:ascii="Calibri" w:hAnsi="Calibri" w:cs="Calibri"/>
          <w:sz w:val="24"/>
          <w:szCs w:val="24"/>
        </w:rPr>
        <w:t xml:space="preserve"> </w:t>
      </w:r>
      <w:r w:rsidR="00707E95" w:rsidRPr="00F62FC9">
        <w:rPr>
          <w:rFonts w:ascii="Calibri" w:hAnsi="Calibri" w:cs="Calibri"/>
          <w:sz w:val="24"/>
          <w:szCs w:val="24"/>
        </w:rPr>
        <w:t>lesões cerebrais</w:t>
      </w:r>
      <w:r w:rsidR="0052504C" w:rsidRPr="00F62FC9">
        <w:rPr>
          <w:rFonts w:ascii="Calibri" w:hAnsi="Calibri" w:cs="Calibri"/>
          <w:sz w:val="24"/>
          <w:szCs w:val="24"/>
        </w:rPr>
        <w:t xml:space="preserve"> traumáticas</w:t>
      </w:r>
      <w:r w:rsidRPr="00F62FC9">
        <w:rPr>
          <w:rFonts w:ascii="Calibri" w:hAnsi="Calibri" w:cs="Calibri"/>
          <w:sz w:val="24"/>
          <w:szCs w:val="24"/>
        </w:rPr>
        <w:t xml:space="preserve">, detecta-se </w:t>
      </w:r>
      <w:r w:rsidR="00D51654" w:rsidRPr="00F62FC9">
        <w:rPr>
          <w:rFonts w:ascii="Calibri" w:hAnsi="Calibri" w:cs="Calibri"/>
          <w:sz w:val="24"/>
          <w:szCs w:val="24"/>
        </w:rPr>
        <w:t xml:space="preserve">uma OP alterada sem </w:t>
      </w:r>
      <w:r w:rsidR="00707E95" w:rsidRPr="00F62FC9">
        <w:rPr>
          <w:rFonts w:ascii="Calibri" w:hAnsi="Calibri" w:cs="Calibri"/>
          <w:sz w:val="24"/>
          <w:szCs w:val="24"/>
        </w:rPr>
        <w:t xml:space="preserve">necessariamente </w:t>
      </w:r>
      <w:r w:rsidR="00D51654" w:rsidRPr="00F62FC9">
        <w:rPr>
          <w:rFonts w:ascii="Calibri" w:hAnsi="Calibri" w:cs="Calibri"/>
          <w:sz w:val="24"/>
          <w:szCs w:val="24"/>
        </w:rPr>
        <w:t xml:space="preserve">um aumento absoluto na PIC </w:t>
      </w:r>
      <w:r w:rsidR="00D51654" w:rsidRPr="00F62FC9">
        <w:rPr>
          <w:rFonts w:ascii="Calibri" w:hAnsi="Calibri" w:cs="Calibri"/>
          <w:sz w:val="24"/>
          <w:szCs w:val="24"/>
        </w:rPr>
        <w:fldChar w:fldCharType="begin" w:fldLock="1"/>
      </w:r>
      <w:r w:rsidR="003B280C" w:rsidRPr="00F62FC9">
        <w:rPr>
          <w:rFonts w:ascii="Calibri" w:hAnsi="Calibri" w:cs="Calibri"/>
          <w:sz w:val="24"/>
          <w:szCs w:val="24"/>
        </w:rPr>
        <w:instrText>ADDIN CSL_CITATION {"citationItems":[{"id":"ITEM-1","itemData":{"DOI":"10.1007/s00701-021-04958-1","ISBN":"0070102104","ISSN":"09420940","PMID":"34387744","abstract":"Background: The pulse waveform of intracranial pressure (ICP) is its distinctive feature almost always present in the clinical recordings. In most cases, it changes proportionally to rising ICP, and observation of these changes may be clinically useful. We introduce the higher harmonics centroid (HHC) which can be defined as the center of mass of harmonics of the ICP pulse waveform from the 2nd to 10th, where mass corresponds to amplitudes of these harmonics. We investigate the changes in HHC during ICP monitoring, including isolated episodes of ICP plateau waves. Material and methods: Recordings from 325 patients treated between 2002 and 2010 were reviewed. Twenty-six patients with ICP plateau waves were identified. In the first step, the correlation between HHC and ICP was examined for the entire monitoring period. In the second step, the above relation was calculated separately for periods of elevated ICP during plateau wave and the baseline. Results: For the values averaged over the whole monitoring period, ICP (22.3 ± 6.9 mm Hg) correlates significantly (R = 0.45, p = 0.022) with HHC (3.64 ± 0.46). During the ICP plateau waves (ICP increased from 20.9 ± 6.0 to 53.7 ± 9.7 mm Hg, p &lt; 10−16), we found a significant decrease in HHC (from 3.65 ± 0.48 to 3.21 ± 0.33, p = 10−5). Conclusions: The good correlation between HHC and ICP supports the clinical application of pressure waveform analysis in addition to the recording of ICP number only. Mean ICP may be distorted by a zero drift, but HHC remains immune to this error. Further research is required to test whether a decline in HHC with elevated ICP can be an early warning sign of intracranial hypertension, whether individual breakpoints of correlation between ICP and its centroid are of clinical importance.","author":[{"dropping-particle":"","family":"Zakrzewska","given":"Agnieszka P.","non-dropping-particle":"","parse-names":false,"suffix":""},{"dropping-particle":"","family":"Placek","given":"Michał M.","non-dropping-particle":"","parse-names":false,"suffix":""},{"dropping-particle":"","family":"Czosnyka","given":"Marek","non-dropping-particle":"","parse-names":false,"suffix":""},{"dropping-particle":"","family":"Kasprowicz","given":"Magdalena","non-dropping-particle":"","parse-names":false,"suffix":""},{"dropping-particle":"","family":"Lang","given":"Erhard W.","non-dropping-particle":"","parse-names":false,"suffix":""}],"container-title":"Acta Neurochirurgica","id":"ITEM-1","issue":"12","issued":{"date-parts":[["2021"]]},"page":"3249-3258","publisher":"Springer Vienna","title":"Intracranial pulse pressure waveform analysis using the higher harmonics centroid","type":"article-journal","volume":"163"},"uris":["http://www.mendeley.com/documents/?uuid=266c4093-4cab-4244-ac52-7bd25faed8d1"]},{"id":"ITEM-2","itemData":{"DOI":"10.5772/intechopen.94077","abstract":"Intracranial pressure (ICP) can be analyzed for its absolute value, usually in mmHg or cmH2O, its tendency over time and the waveform of its pulse. This chapter will focus on the waveform of the ICP pulse (ICPwf), already observed since 1881, and for a long time not understood. Studies conducted in recent decades show the correlation between the ICPwf and intracranial compliance (ICC), another important clinical parameter added to the practice in the second half of the last century. ICC allows physicians early analyzing patients' neurological conditions related to disorders resulting from variations in cerebrospinal fluid (CSF), blood and intracranial tissue volumes. This chapter is an invitation to dive into the history and development of ICPwf analysis, clinical uses already adopted and others still u nder s t udy.","author":[{"dropping-particle":"","family":"Frigieri","given":"Gustavo","non-dropping-particle":"","parse-names":false,"suffix":""},{"dropping-particle":"","family":"Yukie Hayashi","given":"Cintya","non-dropping-particle":"","parse-names":false,"suffix":""},{"dropping-particle":"","family":"Nunes Rabelo","given":"Nicollas","non-dropping-particle":"","parse-names":false,"suffix":""},{"dropping-particle":"","family":"Brasil","given":"Sérgio","non-dropping-particle":"","parse-names":false,"suffix":""}],"container-title":"Advancement and New Understanding in Brain Injury","id":"ITEM-2","issued":{"date-parts":[["2021"]]},"page":"1-15","title":"Intracranial Pressure Waveform: History, Fundamentals and Applications in Brain Injuries","type":"chapter"},"uris":["http://www.mendeley.com/documents/?uuid=6ba43779-0826-4b75-850b-0c44a6194ad9"]},{"id":"ITEM-3","itemData":{"DOI":"10.3390/brainsci11080971","ISSN":"20763425","abstract":"Background: Morphological alterations in intracranial pressure (ICP) pulse waveform (ICPW) secondary to intracranial hypertension (ICP &gt;20 mmHg) and a reduction in intracranial compliance (ICC) are well known indicators of neurological severity. The exclusive exploration of modifications in ICPW after either the loss of skull integrity or surgical procedures for intracranial hypertension resolution is not a common approach studied. The present study aimed to assess the morphological alterations in ICPW among neurocritical care patients with skull defects and decompressive craniectomy (DC) by comparing the variations in ICPW features according to elevations in mean ICP values. Methods: Patients requiring ICP monitoring because of acute brain injury were included. A continuous record of 10 min-length for the beat-by-beat analysis of ICPW was performed, with ICP elevation produced by means of ultrasound-guided manual internal jugular vein compression at the end of the record. ICPW features (peak amplitude ratio (P2/P1), time interval to pulse peak (TTP) and pulse amplitude) were counterweighed between baseline and compression periods. Results were distributed for three groups: Intact skull (exclusive burr hole for ICP monitoring), craniotomy/large fractures (group 2) or DC (group 3). Results: 57 patients were analyzed. A total of 21 (36%) presented no skull defects, 21 (36%) belonged to group 2, whereas 15 (26%) had DC. ICP was not significantly different between groups: ±15.11 for intact, 15.33 for group 2 and ±20.81 mmHg for group 3, with ICP-induced elevation also similar between groups (p = 0.56). Significant elevation was observed for the P2/P1 ratio for groups 1 and 2, whereas a reduction was observed in group 3 (elevation of ±0.09 for groups 1 and 2, but a reduction of 0.03 for group 3, p = 0.01), and no significant results were obtained for TTP and pulse amplitudes. Conclusion: In the present study, intracranial pressure pulse waveform analysis indicated that intracranial compliance was significantly more impaired among decompressive craniectomy patients, although ICPW indicated DC to be protective for further influences of ICP elevations over the brain. The analysis of ICPW seems to be an alternative to real-time ICC assessment.","author":[{"dropping-particle":"","family":"Brasil","given":"Sérgio","non-dropping-particle":"","parse-names":false,"suffix":""},{"dropping-particle":"","family":"Solla","given":"Davi Jorge Fontoura","non-dropping-particle":"","parse-names":false,"suffix":""},{"dropping-particle":"","family":"Nogueira","given":"Ricardo De Carvalho","non-dropping-particle":"","parse-names":false,"suffix":""},{"dropping-particle":"","family":"Teixeira","given":"Manoel Jacobsen","non-dropping-particle":"","parse-names":false,"suffix":""},{"dropping-particle":"","family":"Malbouisson","given":"Luiz Marcelo Sá","non-dropping-particle":"","parse-names":false,"suffix":""},{"dropping-particle":"","family":"Paiva","given":"Wellingson Silva","non-dropping-particle":"","parse-names":false,"suffix":""}],"container-title":"Brain Sciences","id":"ITEM-3","issue":"8","issued":{"date-parts":[["2021"]]},"title":"Intracranial compliance assessed by intracranial pressure pulse waveform","type":"article-journal","volume":"11"},"uris":["http://www.mendeley.com/documents/?uuid=181a3b87-1622-4451-8a03-4aafcbab6573"]}],"mendeley":{"formattedCitation":"(18–20)","plainTextFormattedCitation":"(18–20)","previouslyFormattedCitation":"(Zakrzewska et al. 2021; Frigieri et al. 2021; Brasil et al. 2021)"},"properties":{"noteIndex":0},"schema":"https://github.com/citation-style-language/schema/raw/master/csl-citation.json"}</w:instrText>
      </w:r>
      <w:r w:rsidR="00D51654" w:rsidRPr="00F62FC9">
        <w:rPr>
          <w:rFonts w:ascii="Calibri" w:hAnsi="Calibri" w:cs="Calibri"/>
          <w:sz w:val="24"/>
          <w:szCs w:val="24"/>
        </w:rPr>
        <w:fldChar w:fldCharType="separate"/>
      </w:r>
      <w:r w:rsidR="003B280C" w:rsidRPr="00F62FC9">
        <w:rPr>
          <w:rFonts w:ascii="Calibri" w:hAnsi="Calibri" w:cs="Calibri"/>
          <w:noProof/>
          <w:sz w:val="24"/>
          <w:szCs w:val="24"/>
        </w:rPr>
        <w:t>(18–20)</w:t>
      </w:r>
      <w:r w:rsidR="00D51654" w:rsidRPr="00F62FC9">
        <w:rPr>
          <w:rFonts w:ascii="Calibri" w:hAnsi="Calibri" w:cs="Calibri"/>
          <w:sz w:val="24"/>
          <w:szCs w:val="24"/>
        </w:rPr>
        <w:fldChar w:fldCharType="end"/>
      </w:r>
      <w:r w:rsidR="00D51654" w:rsidRPr="00F62FC9">
        <w:rPr>
          <w:rFonts w:ascii="Calibri" w:hAnsi="Calibri" w:cs="Calibri"/>
          <w:sz w:val="24"/>
          <w:szCs w:val="24"/>
        </w:rPr>
        <w:t>.</w:t>
      </w:r>
      <w:r w:rsidR="00C006DE" w:rsidRPr="00F62FC9">
        <w:rPr>
          <w:rFonts w:ascii="Calibri" w:hAnsi="Calibri" w:cs="Calibri"/>
          <w:sz w:val="24"/>
          <w:szCs w:val="24"/>
        </w:rPr>
        <w:t xml:space="preserve"> Assim, </w:t>
      </w:r>
      <w:r w:rsidR="00E42497" w:rsidRPr="00F62FC9">
        <w:rPr>
          <w:rFonts w:ascii="Calibri" w:hAnsi="Calibri" w:cs="Calibri"/>
          <w:sz w:val="24"/>
          <w:szCs w:val="24"/>
        </w:rPr>
        <w:t xml:space="preserve">o formato da OP na PIC pode servir como </w:t>
      </w:r>
      <w:r w:rsidR="00726345" w:rsidRPr="00F62FC9">
        <w:rPr>
          <w:rFonts w:ascii="Calibri" w:hAnsi="Calibri" w:cs="Calibri"/>
          <w:sz w:val="24"/>
          <w:szCs w:val="24"/>
        </w:rPr>
        <w:t>indicador precoce de descompensação</w:t>
      </w:r>
      <w:r w:rsidR="00E42497" w:rsidRPr="00F62FC9">
        <w:rPr>
          <w:rFonts w:ascii="Calibri" w:hAnsi="Calibri" w:cs="Calibri"/>
          <w:sz w:val="24"/>
          <w:szCs w:val="24"/>
        </w:rPr>
        <w:t xml:space="preserve"> </w:t>
      </w:r>
      <w:r w:rsidR="00726345" w:rsidRPr="00F62FC9">
        <w:rPr>
          <w:rFonts w:ascii="Calibri" w:hAnsi="Calibri" w:cs="Calibri"/>
          <w:sz w:val="24"/>
          <w:szCs w:val="24"/>
        </w:rPr>
        <w:t xml:space="preserve">neurológica </w:t>
      </w:r>
      <w:r w:rsidR="00BC7898" w:rsidRPr="00F62FC9">
        <w:rPr>
          <w:rFonts w:ascii="Calibri" w:hAnsi="Calibri" w:cs="Calibri"/>
          <w:sz w:val="24"/>
          <w:szCs w:val="24"/>
        </w:rPr>
        <w:t xml:space="preserve">- </w:t>
      </w:r>
      <w:r w:rsidR="00726345" w:rsidRPr="00F62FC9">
        <w:rPr>
          <w:rFonts w:ascii="Calibri" w:hAnsi="Calibri" w:cs="Calibri"/>
          <w:sz w:val="24"/>
          <w:szCs w:val="24"/>
        </w:rPr>
        <w:t xml:space="preserve">além da </w:t>
      </w:r>
      <w:r w:rsidR="005C15D9" w:rsidRPr="00F62FC9">
        <w:rPr>
          <w:rFonts w:ascii="Calibri" w:hAnsi="Calibri" w:cs="Calibri"/>
          <w:sz w:val="24"/>
          <w:szCs w:val="24"/>
        </w:rPr>
        <w:t>PIC</w:t>
      </w:r>
      <w:r w:rsidR="00CE3F5C" w:rsidRPr="00F62FC9">
        <w:rPr>
          <w:rFonts w:ascii="Calibri" w:hAnsi="Calibri" w:cs="Calibri"/>
          <w:sz w:val="24"/>
          <w:szCs w:val="24"/>
        </w:rPr>
        <w:t xml:space="preserve"> absoluta em si.</w:t>
      </w:r>
    </w:p>
    <w:p w14:paraId="69EC9FC8" w14:textId="77777777" w:rsidR="00E26FB8" w:rsidRPr="00F62FC9" w:rsidRDefault="00E26FB8" w:rsidP="000B7BA0">
      <w:pPr>
        <w:ind w:firstLine="360"/>
        <w:jc w:val="both"/>
        <w:rPr>
          <w:rFonts w:ascii="Calibri" w:hAnsi="Calibri" w:cs="Calibri"/>
          <w:sz w:val="24"/>
          <w:szCs w:val="24"/>
        </w:rPr>
      </w:pPr>
    </w:p>
    <w:p w14:paraId="5E86EE6E" w14:textId="5CA6283D" w:rsidR="00E26FB8" w:rsidRPr="00F62FC9" w:rsidRDefault="00245415" w:rsidP="00E26FB8">
      <w:pPr>
        <w:keepNext/>
        <w:ind w:firstLine="360"/>
        <w:jc w:val="both"/>
      </w:pPr>
      <w:r>
        <w:rPr>
          <w:noProof/>
        </w:rPr>
        <w:lastRenderedPageBreak/>
        <w:drawing>
          <wp:inline distT="0" distB="0" distL="0" distR="0" wp14:anchorId="65B96D25" wp14:editId="71301518">
            <wp:extent cx="4638675" cy="1219200"/>
            <wp:effectExtent l="0" t="0" r="0" b="0"/>
            <wp:docPr id="6" name="Imagem 2" descr="Diagram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Diagrama&#10;&#10;Descrição gerada automaticamente"/>
                    <pic:cNvPicPr>
                      <a:picLocks noChangeAspect="1" noChangeArrowheads="1"/>
                    </pic:cNvPicPr>
                  </pic:nvPicPr>
                  <pic:blipFill>
                    <a:blip r:embed="rId12">
                      <a:grayscl/>
                      <a:extLst>
                        <a:ext uri="{28A0092B-C50C-407E-A947-70E740481C1C}">
                          <a14:useLocalDpi xmlns:a14="http://schemas.microsoft.com/office/drawing/2010/main" val="0"/>
                        </a:ext>
                      </a:extLst>
                    </a:blip>
                    <a:srcRect/>
                    <a:stretch>
                      <a:fillRect/>
                    </a:stretch>
                  </pic:blipFill>
                  <pic:spPr bwMode="auto">
                    <a:xfrm>
                      <a:off x="0" y="0"/>
                      <a:ext cx="4638675" cy="1219200"/>
                    </a:xfrm>
                    <a:prstGeom prst="rect">
                      <a:avLst/>
                    </a:prstGeom>
                    <a:noFill/>
                    <a:ln>
                      <a:noFill/>
                    </a:ln>
                  </pic:spPr>
                </pic:pic>
              </a:graphicData>
            </a:graphic>
          </wp:inline>
        </w:drawing>
      </w:r>
    </w:p>
    <w:p w14:paraId="26FFA729" w14:textId="26E3E88E" w:rsidR="003501EF" w:rsidRPr="00F62FC9" w:rsidRDefault="00E26FB8" w:rsidP="00E26FB8">
      <w:pPr>
        <w:pStyle w:val="Legenda"/>
        <w:jc w:val="both"/>
        <w:rPr>
          <w:rFonts w:ascii="Calibri" w:hAnsi="Calibri" w:cs="Calibri"/>
          <w:b w:val="0"/>
          <w:bCs w:val="0"/>
        </w:rPr>
      </w:pPr>
      <w:r w:rsidRPr="00F62FC9">
        <w:rPr>
          <w:rFonts w:ascii="Calibri" w:hAnsi="Calibri" w:cs="Calibri"/>
          <w:b w:val="0"/>
          <w:bCs w:val="0"/>
        </w:rPr>
        <w:t xml:space="preserve">Figura </w:t>
      </w:r>
      <w:r w:rsidRPr="00F62FC9">
        <w:rPr>
          <w:rFonts w:ascii="Calibri" w:hAnsi="Calibri" w:cs="Calibri"/>
          <w:b w:val="0"/>
          <w:bCs w:val="0"/>
        </w:rPr>
        <w:fldChar w:fldCharType="begin"/>
      </w:r>
      <w:r w:rsidRPr="00F62FC9">
        <w:rPr>
          <w:rFonts w:ascii="Calibri" w:hAnsi="Calibri" w:cs="Calibri"/>
          <w:b w:val="0"/>
          <w:bCs w:val="0"/>
        </w:rPr>
        <w:instrText xml:space="preserve"> SEQ Figura \* ARABIC </w:instrText>
      </w:r>
      <w:r w:rsidRPr="00F62FC9">
        <w:rPr>
          <w:rFonts w:ascii="Calibri" w:hAnsi="Calibri" w:cs="Calibri"/>
          <w:b w:val="0"/>
          <w:bCs w:val="0"/>
        </w:rPr>
        <w:fldChar w:fldCharType="separate"/>
      </w:r>
      <w:r w:rsidR="009453D8">
        <w:rPr>
          <w:rFonts w:ascii="Calibri" w:hAnsi="Calibri" w:cs="Calibri"/>
          <w:b w:val="0"/>
          <w:bCs w:val="0"/>
          <w:noProof/>
        </w:rPr>
        <w:t>2</w:t>
      </w:r>
      <w:r w:rsidRPr="00F62FC9">
        <w:rPr>
          <w:rFonts w:ascii="Calibri" w:hAnsi="Calibri" w:cs="Calibri"/>
          <w:b w:val="0"/>
          <w:bCs w:val="0"/>
        </w:rPr>
        <w:fldChar w:fldCharType="end"/>
      </w:r>
      <w:r w:rsidRPr="00F62FC9">
        <w:rPr>
          <w:rFonts w:ascii="Calibri" w:hAnsi="Calibri" w:cs="Calibri"/>
          <w:b w:val="0"/>
          <w:bCs w:val="0"/>
        </w:rPr>
        <w:t xml:space="preserve"> - Tipos de Morfologia de OP - Fonte: Frigieri et al. 2021</w:t>
      </w:r>
    </w:p>
    <w:p w14:paraId="7AB2E8D9" w14:textId="77777777" w:rsidR="00E26FB8" w:rsidRPr="00F62FC9" w:rsidRDefault="00E26FB8" w:rsidP="007B0A17">
      <w:pPr>
        <w:ind w:firstLine="360"/>
        <w:jc w:val="both"/>
        <w:rPr>
          <w:noProof/>
        </w:rPr>
      </w:pPr>
    </w:p>
    <w:p w14:paraId="4C8E98C7" w14:textId="071CE612" w:rsidR="00DE11C2" w:rsidRPr="00F62FC9" w:rsidRDefault="007C0C96" w:rsidP="007B0A17">
      <w:pPr>
        <w:ind w:firstLine="360"/>
        <w:jc w:val="both"/>
        <w:rPr>
          <w:rFonts w:ascii="Calibri" w:hAnsi="Calibri" w:cs="Calibri"/>
          <w:sz w:val="24"/>
          <w:szCs w:val="24"/>
        </w:rPr>
      </w:pPr>
      <w:r w:rsidRPr="00F62FC9">
        <w:rPr>
          <w:rFonts w:ascii="Calibri" w:hAnsi="Calibri" w:cs="Calibri"/>
          <w:sz w:val="24"/>
          <w:szCs w:val="24"/>
        </w:rPr>
        <w:t xml:space="preserve">Ainda na dinâmica de OP </w:t>
      </w:r>
      <w:r w:rsidR="00407DCE" w:rsidRPr="00F62FC9">
        <w:rPr>
          <w:rFonts w:ascii="Calibri" w:hAnsi="Calibri" w:cs="Calibri"/>
          <w:sz w:val="24"/>
          <w:szCs w:val="24"/>
        </w:rPr>
        <w:t xml:space="preserve">da PIC, existem as “ondas lentas” de Lundberg </w:t>
      </w:r>
      <w:r w:rsidR="00D92D91" w:rsidRPr="00F62FC9">
        <w:rPr>
          <w:rFonts w:ascii="Calibri" w:hAnsi="Calibri" w:cs="Calibri"/>
          <w:i/>
          <w:iCs/>
          <w:sz w:val="24"/>
          <w:szCs w:val="24"/>
        </w:rPr>
        <w:t>et al.</w:t>
      </w:r>
      <w:r w:rsidR="00D92D91" w:rsidRPr="00F62FC9">
        <w:rPr>
          <w:rFonts w:ascii="Calibri" w:hAnsi="Calibri" w:cs="Calibri"/>
          <w:sz w:val="24"/>
          <w:szCs w:val="24"/>
        </w:rPr>
        <w:t xml:space="preserve"> (OLL), descritas tipicamente como tipo A, B e C. A</w:t>
      </w:r>
      <w:r w:rsidR="003F3CAE" w:rsidRPr="00F62FC9">
        <w:rPr>
          <w:rFonts w:ascii="Calibri" w:hAnsi="Calibri" w:cs="Calibri"/>
          <w:sz w:val="24"/>
          <w:szCs w:val="24"/>
        </w:rPr>
        <w:t>s</w:t>
      </w:r>
      <w:r w:rsidR="00D92D91" w:rsidRPr="00F62FC9">
        <w:rPr>
          <w:rFonts w:ascii="Calibri" w:hAnsi="Calibri" w:cs="Calibri"/>
          <w:sz w:val="24"/>
          <w:szCs w:val="24"/>
        </w:rPr>
        <w:t xml:space="preserve"> OLL tipo A </w:t>
      </w:r>
      <w:r w:rsidR="003F3CAE" w:rsidRPr="00F62FC9">
        <w:rPr>
          <w:rFonts w:ascii="Calibri" w:hAnsi="Calibri" w:cs="Calibri"/>
          <w:sz w:val="24"/>
          <w:szCs w:val="24"/>
        </w:rPr>
        <w:t>são</w:t>
      </w:r>
      <w:r w:rsidR="00D92D91" w:rsidRPr="00F62FC9">
        <w:rPr>
          <w:rFonts w:ascii="Calibri" w:hAnsi="Calibri" w:cs="Calibri"/>
          <w:sz w:val="24"/>
          <w:szCs w:val="24"/>
        </w:rPr>
        <w:t xml:space="preserve"> representada</w:t>
      </w:r>
      <w:r w:rsidR="003F3CAE" w:rsidRPr="00F62FC9">
        <w:rPr>
          <w:rFonts w:ascii="Calibri" w:hAnsi="Calibri" w:cs="Calibri"/>
          <w:sz w:val="24"/>
          <w:szCs w:val="24"/>
        </w:rPr>
        <w:t>s</w:t>
      </w:r>
      <w:r w:rsidR="00D92D91" w:rsidRPr="00F62FC9">
        <w:rPr>
          <w:rFonts w:ascii="Calibri" w:hAnsi="Calibri" w:cs="Calibri"/>
          <w:sz w:val="24"/>
          <w:szCs w:val="24"/>
        </w:rPr>
        <w:t xml:space="preserve"> por um platô vasogênico </w:t>
      </w:r>
      <w:r w:rsidR="00CC1FA4" w:rsidRPr="00F62FC9">
        <w:rPr>
          <w:rFonts w:ascii="Calibri" w:hAnsi="Calibri" w:cs="Calibri"/>
          <w:sz w:val="24"/>
          <w:szCs w:val="24"/>
        </w:rPr>
        <w:t xml:space="preserve">que ocorre durante </w:t>
      </w:r>
      <w:r w:rsidR="00875625" w:rsidRPr="00F62FC9">
        <w:rPr>
          <w:rFonts w:ascii="Calibri" w:hAnsi="Calibri" w:cs="Calibri"/>
          <w:sz w:val="24"/>
          <w:szCs w:val="24"/>
        </w:rPr>
        <w:t xml:space="preserve">5 a 10 minutos com uma </w:t>
      </w:r>
      <w:r w:rsidR="00CC1FA4" w:rsidRPr="00F62FC9">
        <w:rPr>
          <w:rFonts w:ascii="Calibri" w:hAnsi="Calibri" w:cs="Calibri"/>
          <w:sz w:val="24"/>
          <w:szCs w:val="24"/>
        </w:rPr>
        <w:t>PIC alta (&gt;50mmHg);</w:t>
      </w:r>
      <w:r w:rsidR="005F0174" w:rsidRPr="00F62FC9">
        <w:rPr>
          <w:rFonts w:ascii="Calibri" w:hAnsi="Calibri" w:cs="Calibri"/>
          <w:sz w:val="24"/>
          <w:szCs w:val="24"/>
        </w:rPr>
        <w:t xml:space="preserve"> e </w:t>
      </w:r>
      <w:r w:rsidR="003F3CAE" w:rsidRPr="00F62FC9">
        <w:rPr>
          <w:rFonts w:ascii="Calibri" w:hAnsi="Calibri" w:cs="Calibri"/>
          <w:sz w:val="24"/>
          <w:szCs w:val="24"/>
        </w:rPr>
        <w:t xml:space="preserve">estão </w:t>
      </w:r>
      <w:r w:rsidR="005F0174" w:rsidRPr="00F62FC9">
        <w:rPr>
          <w:rFonts w:ascii="Calibri" w:hAnsi="Calibri" w:cs="Calibri"/>
          <w:sz w:val="24"/>
          <w:szCs w:val="24"/>
        </w:rPr>
        <w:t>associada</w:t>
      </w:r>
      <w:r w:rsidR="003F3CAE" w:rsidRPr="00F62FC9">
        <w:rPr>
          <w:rFonts w:ascii="Calibri" w:hAnsi="Calibri" w:cs="Calibri"/>
          <w:sz w:val="24"/>
          <w:szCs w:val="24"/>
        </w:rPr>
        <w:t>s</w:t>
      </w:r>
      <w:r w:rsidR="005F0174" w:rsidRPr="00F62FC9">
        <w:rPr>
          <w:rFonts w:ascii="Calibri" w:hAnsi="Calibri" w:cs="Calibri"/>
          <w:sz w:val="24"/>
          <w:szCs w:val="24"/>
        </w:rPr>
        <w:t xml:space="preserve"> a um mal prognóstico. A</w:t>
      </w:r>
      <w:r w:rsidR="003F3CAE" w:rsidRPr="00F62FC9">
        <w:rPr>
          <w:rFonts w:ascii="Calibri" w:hAnsi="Calibri" w:cs="Calibri"/>
          <w:sz w:val="24"/>
          <w:szCs w:val="24"/>
        </w:rPr>
        <w:t>s</w:t>
      </w:r>
      <w:r w:rsidR="005F0174" w:rsidRPr="00F62FC9">
        <w:rPr>
          <w:rFonts w:ascii="Calibri" w:hAnsi="Calibri" w:cs="Calibri"/>
          <w:sz w:val="24"/>
          <w:szCs w:val="24"/>
        </w:rPr>
        <w:t xml:space="preserve"> OLL</w:t>
      </w:r>
      <w:r w:rsidR="00CC1FA4" w:rsidRPr="00F62FC9">
        <w:rPr>
          <w:rFonts w:ascii="Calibri" w:hAnsi="Calibri" w:cs="Calibri"/>
          <w:sz w:val="24"/>
          <w:szCs w:val="24"/>
        </w:rPr>
        <w:t xml:space="preserve"> tipo B </w:t>
      </w:r>
      <w:r w:rsidR="005F0174" w:rsidRPr="00F62FC9">
        <w:rPr>
          <w:rFonts w:ascii="Calibri" w:hAnsi="Calibri" w:cs="Calibri"/>
          <w:sz w:val="24"/>
          <w:szCs w:val="24"/>
        </w:rPr>
        <w:t>ocorre</w:t>
      </w:r>
      <w:r w:rsidR="003F3CAE" w:rsidRPr="00F62FC9">
        <w:rPr>
          <w:rFonts w:ascii="Calibri" w:hAnsi="Calibri" w:cs="Calibri"/>
          <w:sz w:val="24"/>
          <w:szCs w:val="24"/>
        </w:rPr>
        <w:t>m</w:t>
      </w:r>
      <w:r w:rsidR="005F0174" w:rsidRPr="00F62FC9">
        <w:rPr>
          <w:rFonts w:ascii="Calibri" w:hAnsi="Calibri" w:cs="Calibri"/>
          <w:sz w:val="24"/>
          <w:szCs w:val="24"/>
        </w:rPr>
        <w:t xml:space="preserve"> em </w:t>
      </w:r>
      <w:r w:rsidR="000E05D7" w:rsidRPr="00F62FC9">
        <w:rPr>
          <w:rFonts w:ascii="Calibri" w:hAnsi="Calibri" w:cs="Calibri"/>
          <w:sz w:val="24"/>
          <w:szCs w:val="24"/>
        </w:rPr>
        <w:t xml:space="preserve">picos na PIC </w:t>
      </w:r>
      <w:r w:rsidR="00CC1FA4" w:rsidRPr="00F62FC9">
        <w:rPr>
          <w:rFonts w:ascii="Calibri" w:hAnsi="Calibri" w:cs="Calibri"/>
          <w:sz w:val="24"/>
          <w:szCs w:val="24"/>
        </w:rPr>
        <w:t>de lenta</w:t>
      </w:r>
      <w:r w:rsidR="000E05D7" w:rsidRPr="00F62FC9">
        <w:rPr>
          <w:rFonts w:ascii="Calibri" w:hAnsi="Calibri" w:cs="Calibri"/>
          <w:sz w:val="24"/>
          <w:szCs w:val="24"/>
        </w:rPr>
        <w:t xml:space="preserve"> </w:t>
      </w:r>
      <w:r w:rsidR="00CC1FA4" w:rsidRPr="00F62FC9">
        <w:rPr>
          <w:rFonts w:ascii="Calibri" w:hAnsi="Calibri" w:cs="Calibri"/>
          <w:sz w:val="24"/>
          <w:szCs w:val="24"/>
        </w:rPr>
        <w:t>duração</w:t>
      </w:r>
      <w:r w:rsidR="00992909" w:rsidRPr="00F62FC9">
        <w:rPr>
          <w:rFonts w:ascii="Calibri" w:hAnsi="Calibri" w:cs="Calibri"/>
          <w:sz w:val="24"/>
          <w:szCs w:val="24"/>
        </w:rPr>
        <w:t xml:space="preserve"> a uma frequência de aproximadamente 2 por minuto; e </w:t>
      </w:r>
      <w:r w:rsidR="00DE11C2" w:rsidRPr="00F62FC9">
        <w:rPr>
          <w:rFonts w:ascii="Calibri" w:hAnsi="Calibri" w:cs="Calibri"/>
          <w:sz w:val="24"/>
          <w:szCs w:val="24"/>
        </w:rPr>
        <w:t>não apresenta</w:t>
      </w:r>
      <w:r w:rsidR="003F3CAE" w:rsidRPr="00F62FC9">
        <w:rPr>
          <w:rFonts w:ascii="Calibri" w:hAnsi="Calibri" w:cs="Calibri"/>
          <w:sz w:val="24"/>
          <w:szCs w:val="24"/>
        </w:rPr>
        <w:t>m</w:t>
      </w:r>
      <w:r w:rsidR="00DE11C2" w:rsidRPr="00F62FC9">
        <w:rPr>
          <w:rFonts w:ascii="Calibri" w:hAnsi="Calibri" w:cs="Calibri"/>
          <w:sz w:val="24"/>
          <w:szCs w:val="24"/>
        </w:rPr>
        <w:t xml:space="preserve"> um significado consolidado na literatura</w:t>
      </w:r>
      <w:r w:rsidR="00D93253" w:rsidRPr="00F62FC9">
        <w:rPr>
          <w:rFonts w:ascii="Calibri" w:hAnsi="Calibri" w:cs="Calibri"/>
          <w:sz w:val="24"/>
          <w:szCs w:val="24"/>
        </w:rPr>
        <w:t>, mas estão provavelmente associadas a um CIC diminuída</w:t>
      </w:r>
      <w:r w:rsidR="00DE11C2" w:rsidRPr="00F62FC9">
        <w:rPr>
          <w:rFonts w:ascii="Calibri" w:hAnsi="Calibri" w:cs="Calibri"/>
          <w:sz w:val="24"/>
          <w:szCs w:val="24"/>
        </w:rPr>
        <w:t>. Já a</w:t>
      </w:r>
      <w:r w:rsidR="003F3CAE" w:rsidRPr="00F62FC9">
        <w:rPr>
          <w:rFonts w:ascii="Calibri" w:hAnsi="Calibri" w:cs="Calibri"/>
          <w:sz w:val="24"/>
          <w:szCs w:val="24"/>
        </w:rPr>
        <w:t>s</w:t>
      </w:r>
      <w:r w:rsidR="00DE11C2" w:rsidRPr="00F62FC9">
        <w:rPr>
          <w:rFonts w:ascii="Calibri" w:hAnsi="Calibri" w:cs="Calibri"/>
          <w:sz w:val="24"/>
          <w:szCs w:val="24"/>
        </w:rPr>
        <w:t xml:space="preserve"> OLL tipo C</w:t>
      </w:r>
      <w:r w:rsidR="00D5086E" w:rsidRPr="00F62FC9">
        <w:rPr>
          <w:rFonts w:ascii="Calibri" w:hAnsi="Calibri" w:cs="Calibri"/>
          <w:sz w:val="24"/>
          <w:szCs w:val="24"/>
        </w:rPr>
        <w:t xml:space="preserve"> são mais frequentes, de 4 a 8 ondas por minuto, em que há uma elevação da PIC de até 30mmHg; e est</w:t>
      </w:r>
      <w:r w:rsidR="003F3CAE" w:rsidRPr="00F62FC9">
        <w:rPr>
          <w:rFonts w:ascii="Calibri" w:hAnsi="Calibri" w:cs="Calibri"/>
          <w:sz w:val="24"/>
          <w:szCs w:val="24"/>
        </w:rPr>
        <w:t xml:space="preserve">ão </w:t>
      </w:r>
      <w:r w:rsidR="000250EB" w:rsidRPr="00F62FC9">
        <w:rPr>
          <w:rFonts w:ascii="Calibri" w:hAnsi="Calibri" w:cs="Calibri"/>
          <w:sz w:val="24"/>
          <w:szCs w:val="24"/>
        </w:rPr>
        <w:t>relacionadas às derivações do ciclo respiratório supracitado</w:t>
      </w:r>
      <w:r w:rsidR="004978B5" w:rsidRPr="00F62FC9">
        <w:rPr>
          <w:rFonts w:ascii="Calibri" w:hAnsi="Calibri" w:cs="Calibri"/>
          <w:sz w:val="24"/>
          <w:szCs w:val="24"/>
        </w:rPr>
        <w:t xml:space="preserve"> </w:t>
      </w:r>
      <w:r w:rsidR="004978B5" w:rsidRPr="00F62FC9">
        <w:rPr>
          <w:rFonts w:ascii="Calibri" w:hAnsi="Calibri" w:cs="Calibri"/>
          <w:sz w:val="24"/>
          <w:szCs w:val="24"/>
        </w:rPr>
        <w:fldChar w:fldCharType="begin" w:fldLock="1"/>
      </w:r>
      <w:r w:rsidR="003B280C" w:rsidRPr="00F62FC9">
        <w:rPr>
          <w:rFonts w:ascii="Calibri" w:hAnsi="Calibri" w:cs="Calibri"/>
          <w:sz w:val="24"/>
          <w:szCs w:val="24"/>
        </w:rPr>
        <w:instrText>ADDIN CSL_CITATION {"citationItems":[{"id":"ITEM-1","itemData":{"DOI":"10.18700/jnc.160093","ISSN":"2508-1349","abstract":"Preventing secondary brain injury after neurological insults is one of the primary goals of the neurocritical care unit. Our understanding of the roles of intracranial pressure (ICP) and cerebral edema in managing patients in the neurocritical care units is still evolving. Recent clinical trials examining the monitoring and treatment of elevated ICP have influenced the way we think about intracranial hypertension. Additionally, new methods of monitoring ICP, new physiologic surrogates derived from ICP measurements, and evolving technology to measure cerebral edema are currently being studied and tested for clinical efficacy. In this article, we will discuss both traditional and novel methods of monitoring ICP and cerebral edema.","author":[{"dropping-particle":"","family":"Hirzallah","given":"Mohammad I","non-dropping-particle":"","parse-names":false,"suffix":""},{"dropping-particle":"","family":"Choi","given":"H Alex","non-dropping-particle":"","parse-names":false,"suffix":""}],"container-title":"Journal of Neurocritical Care","id":"ITEM-1","issue":"2","issued":{"date-parts":[["2016","12","9"]]},"page":"92-104","title":"The Monitoring of Brain Edema and Intracranial Hypertension","type":"article-journal","volume":"9"},"uris":["http://www.mendeley.com/documents/?uuid=9e414883-86d9-41e0-b49a-c0119cf02947"]}],"mendeley":{"formattedCitation":"(21)","plainTextFormattedCitation":"(21)","previouslyFormattedCitation":"(Hirzallah and Choi 2016)"},"properties":{"noteIndex":0},"schema":"https://github.com/citation-style-language/schema/raw/master/csl-citation.json"}</w:instrText>
      </w:r>
      <w:r w:rsidR="004978B5" w:rsidRPr="00F62FC9">
        <w:rPr>
          <w:rFonts w:ascii="Calibri" w:hAnsi="Calibri" w:cs="Calibri"/>
          <w:sz w:val="24"/>
          <w:szCs w:val="24"/>
        </w:rPr>
        <w:fldChar w:fldCharType="separate"/>
      </w:r>
      <w:r w:rsidR="003B280C" w:rsidRPr="00F62FC9">
        <w:rPr>
          <w:rFonts w:ascii="Calibri" w:hAnsi="Calibri" w:cs="Calibri"/>
          <w:noProof/>
          <w:sz w:val="24"/>
          <w:szCs w:val="24"/>
        </w:rPr>
        <w:t>(21)</w:t>
      </w:r>
      <w:r w:rsidR="004978B5" w:rsidRPr="00F62FC9">
        <w:rPr>
          <w:rFonts w:ascii="Calibri" w:hAnsi="Calibri" w:cs="Calibri"/>
          <w:sz w:val="24"/>
          <w:szCs w:val="24"/>
        </w:rPr>
        <w:fldChar w:fldCharType="end"/>
      </w:r>
      <w:r w:rsidR="000250EB" w:rsidRPr="00F62FC9">
        <w:rPr>
          <w:rFonts w:ascii="Calibri" w:hAnsi="Calibri" w:cs="Calibri"/>
          <w:sz w:val="24"/>
          <w:szCs w:val="24"/>
        </w:rPr>
        <w:t>.</w:t>
      </w:r>
    </w:p>
    <w:p w14:paraId="2B2FE163" w14:textId="77777777" w:rsidR="003768EE" w:rsidRPr="00F62FC9" w:rsidRDefault="003768EE" w:rsidP="007B0A17">
      <w:pPr>
        <w:ind w:firstLine="360"/>
        <w:jc w:val="both"/>
        <w:rPr>
          <w:rFonts w:ascii="Calibri" w:hAnsi="Calibri" w:cs="Calibri"/>
          <w:sz w:val="24"/>
          <w:szCs w:val="24"/>
        </w:rPr>
      </w:pPr>
    </w:p>
    <w:p w14:paraId="57EEFC29" w14:textId="1F6F6AF0" w:rsidR="003768EE" w:rsidRPr="00F62FC9" w:rsidRDefault="00245415" w:rsidP="003768EE">
      <w:pPr>
        <w:keepNext/>
        <w:ind w:firstLine="360"/>
        <w:jc w:val="both"/>
      </w:pPr>
      <w:r>
        <w:rPr>
          <w:rFonts w:ascii="Calibri" w:hAnsi="Calibri" w:cs="Calibri"/>
          <w:noProof/>
          <w:sz w:val="24"/>
          <w:szCs w:val="24"/>
        </w:rPr>
        <w:drawing>
          <wp:inline distT="0" distB="0" distL="0" distR="0" wp14:anchorId="7D3864F0" wp14:editId="7F73FAF4">
            <wp:extent cx="5400675" cy="1323975"/>
            <wp:effectExtent l="0" t="0" r="0" b="0"/>
            <wp:docPr id="7"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400675" cy="1323975"/>
                    </a:xfrm>
                    <a:prstGeom prst="rect">
                      <a:avLst/>
                    </a:prstGeom>
                    <a:noFill/>
                    <a:ln>
                      <a:noFill/>
                    </a:ln>
                  </pic:spPr>
                </pic:pic>
              </a:graphicData>
            </a:graphic>
          </wp:inline>
        </w:drawing>
      </w:r>
    </w:p>
    <w:p w14:paraId="30399466" w14:textId="5AA58E44" w:rsidR="003768EE" w:rsidRPr="00F62FC9" w:rsidRDefault="003768EE" w:rsidP="003768EE">
      <w:pPr>
        <w:pStyle w:val="Legenda"/>
        <w:jc w:val="both"/>
        <w:rPr>
          <w:rFonts w:asciiTheme="minorHAnsi" w:hAnsiTheme="minorHAnsi" w:cstheme="minorHAnsi"/>
          <w:b w:val="0"/>
          <w:bCs w:val="0"/>
          <w:sz w:val="24"/>
          <w:szCs w:val="24"/>
        </w:rPr>
      </w:pPr>
      <w:r w:rsidRPr="00F62FC9">
        <w:rPr>
          <w:rFonts w:asciiTheme="minorHAnsi" w:hAnsiTheme="minorHAnsi" w:cstheme="minorHAnsi"/>
          <w:b w:val="0"/>
          <w:bCs w:val="0"/>
        </w:rPr>
        <w:t xml:space="preserve">Figura </w:t>
      </w:r>
      <w:r w:rsidRPr="00F62FC9">
        <w:rPr>
          <w:rFonts w:asciiTheme="minorHAnsi" w:hAnsiTheme="minorHAnsi" w:cstheme="minorHAnsi"/>
          <w:b w:val="0"/>
          <w:bCs w:val="0"/>
        </w:rPr>
        <w:fldChar w:fldCharType="begin"/>
      </w:r>
      <w:r w:rsidRPr="00F62FC9">
        <w:rPr>
          <w:rFonts w:asciiTheme="minorHAnsi" w:hAnsiTheme="minorHAnsi" w:cstheme="minorHAnsi"/>
          <w:b w:val="0"/>
          <w:bCs w:val="0"/>
        </w:rPr>
        <w:instrText xml:space="preserve"> SEQ Figura \* ARABIC </w:instrText>
      </w:r>
      <w:r w:rsidRPr="00F62FC9">
        <w:rPr>
          <w:rFonts w:asciiTheme="minorHAnsi" w:hAnsiTheme="minorHAnsi" w:cstheme="minorHAnsi"/>
          <w:b w:val="0"/>
          <w:bCs w:val="0"/>
        </w:rPr>
        <w:fldChar w:fldCharType="separate"/>
      </w:r>
      <w:r w:rsidR="009453D8">
        <w:rPr>
          <w:rFonts w:asciiTheme="minorHAnsi" w:hAnsiTheme="minorHAnsi" w:cstheme="minorHAnsi"/>
          <w:b w:val="0"/>
          <w:bCs w:val="0"/>
          <w:noProof/>
        </w:rPr>
        <w:t>3</w:t>
      </w:r>
      <w:r w:rsidRPr="00F62FC9">
        <w:rPr>
          <w:rFonts w:asciiTheme="minorHAnsi" w:hAnsiTheme="minorHAnsi" w:cstheme="minorHAnsi"/>
          <w:b w:val="0"/>
          <w:bCs w:val="0"/>
        </w:rPr>
        <w:fldChar w:fldCharType="end"/>
      </w:r>
      <w:r w:rsidRPr="00F62FC9">
        <w:rPr>
          <w:rFonts w:asciiTheme="minorHAnsi" w:hAnsiTheme="minorHAnsi" w:cstheme="minorHAnsi"/>
          <w:b w:val="0"/>
          <w:bCs w:val="0"/>
        </w:rPr>
        <w:t xml:space="preserve"> - Tipos de</w:t>
      </w:r>
      <w:r w:rsidR="00B84B63" w:rsidRPr="00F62FC9">
        <w:rPr>
          <w:rFonts w:asciiTheme="minorHAnsi" w:hAnsiTheme="minorHAnsi" w:cstheme="minorHAnsi"/>
          <w:b w:val="0"/>
          <w:bCs w:val="0"/>
        </w:rPr>
        <w:t xml:space="preserve"> Ondas Lentas</w:t>
      </w:r>
      <w:r w:rsidRPr="00F62FC9">
        <w:rPr>
          <w:rFonts w:asciiTheme="minorHAnsi" w:hAnsiTheme="minorHAnsi" w:cstheme="minorHAnsi"/>
          <w:b w:val="0"/>
          <w:bCs w:val="0"/>
        </w:rPr>
        <w:t xml:space="preserve"> - Fonte: Frigieri et al. 2021</w:t>
      </w:r>
    </w:p>
    <w:p w14:paraId="2ECDC7C9" w14:textId="77777777" w:rsidR="00E26FB8" w:rsidRPr="00F62FC9" w:rsidRDefault="00E26FB8" w:rsidP="000B7BA0">
      <w:pPr>
        <w:ind w:firstLine="360"/>
        <w:jc w:val="both"/>
        <w:rPr>
          <w:noProof/>
        </w:rPr>
      </w:pPr>
    </w:p>
    <w:p w14:paraId="3B6D6685" w14:textId="073C491E" w:rsidR="007D2C5D" w:rsidRPr="00F62FC9" w:rsidRDefault="00BE7D25" w:rsidP="000B7BA0">
      <w:pPr>
        <w:ind w:firstLine="360"/>
        <w:jc w:val="both"/>
        <w:rPr>
          <w:rFonts w:ascii="Calibri" w:hAnsi="Calibri" w:cs="Calibri"/>
          <w:sz w:val="24"/>
          <w:szCs w:val="24"/>
        </w:rPr>
      </w:pPr>
      <w:r w:rsidRPr="00F62FC9">
        <w:rPr>
          <w:rFonts w:ascii="Calibri" w:hAnsi="Calibri" w:cs="Calibri"/>
          <w:sz w:val="24"/>
          <w:szCs w:val="24"/>
        </w:rPr>
        <w:t xml:space="preserve">Nessa linha, </w:t>
      </w:r>
      <w:r w:rsidR="00C179CE" w:rsidRPr="00F62FC9">
        <w:rPr>
          <w:rFonts w:ascii="Calibri" w:hAnsi="Calibri" w:cs="Calibri"/>
          <w:sz w:val="24"/>
          <w:szCs w:val="24"/>
        </w:rPr>
        <w:t xml:space="preserve">Mascarenhas </w:t>
      </w:r>
      <w:r w:rsidR="00C179CE" w:rsidRPr="00F62FC9">
        <w:rPr>
          <w:rFonts w:ascii="Calibri" w:hAnsi="Calibri" w:cs="Calibri"/>
          <w:i/>
          <w:iCs/>
          <w:sz w:val="24"/>
          <w:szCs w:val="24"/>
        </w:rPr>
        <w:t>et al.</w:t>
      </w:r>
      <w:r w:rsidR="00C179CE" w:rsidRPr="00F62FC9">
        <w:rPr>
          <w:rFonts w:ascii="Calibri" w:hAnsi="Calibri" w:cs="Calibri"/>
          <w:sz w:val="24"/>
          <w:szCs w:val="24"/>
        </w:rPr>
        <w:t xml:space="preserve"> </w:t>
      </w:r>
      <w:r w:rsidR="00323E9D" w:rsidRPr="00F62FC9">
        <w:rPr>
          <w:rFonts w:ascii="Calibri" w:hAnsi="Calibri" w:cs="Calibri"/>
          <w:sz w:val="24"/>
          <w:szCs w:val="24"/>
        </w:rPr>
        <w:fldChar w:fldCharType="begin" w:fldLock="1"/>
      </w:r>
      <w:r w:rsidR="003B280C" w:rsidRPr="00F62FC9">
        <w:rPr>
          <w:rFonts w:ascii="Calibri" w:hAnsi="Calibri" w:cs="Calibri"/>
          <w:sz w:val="24"/>
          <w:szCs w:val="24"/>
        </w:rPr>
        <w:instrText>ADDIN CSL_CITATION {"citationItems":[{"id":"ITEM-1","itemData":{"DOI":"10.1007/978-3-7091-0956-4","ISBN":"978-3-7091-0955-7","abstract":"Nearly 80 short papers originating from the 14th International Symposium on Intracranial Pressure and Brain Monitoring held in Tuebingen, Germany, in September 2010 present experimental as well as clinical research data related to the naming topics of the conference. The papers have undergone a peer-reviewing and are organized in the following sections: methods of brain monitoring and data analysis, methods of invasive and non-invasive ICP assessment, the role of autoregulation, the role of tissue oxygenation and near-infrared spectroscopy, hydrocephalus/IIH imaging and diagnosis, management and therapy of hydrocephalus, management and therapy of traumatic brain injury, management and therapy of subarachnoid and intracranial hemorrhage, experimental approaches to acute brain disease. The book gives a good overview on the latest research developments in the field of ICP and related brain monitoring and on management and therapy of relevant acute brain diseases.","author":[{"dropping-particle":"","family":"Mascarenhas","given":"Sérgio","non-dropping-particle":"","parse-names":false,"suffix":""},{"dropping-particle":"","family":"Vilela","given":"G. H. F.","non-dropping-particle":"","parse-names":false,"suffix":""},{"dropping-particle":"","family":"Carlotti","given":"C.","non-dropping-particle":"","parse-names":false,"suffix":""},{"dropping-particle":"","family":"Damiano","given":"L. E. G.","non-dropping-particle":"","parse-names":false,"suffix":""},{"dropping-particle":"","family":"Seluque","given":"W.","non-dropping-particle":"","parse-names":false,"suffix":""},{"dropping-particle":"","family":"Colli","given":"B.","non-dropping-particle":"","parse-names":false,"suffix":""},{"dropping-particle":"","family":"Tanaka","given":"K.","non-dropping-particle":"","parse-names":false,"suffix":""},{"dropping-particle":"","family":"Wang","given":"C. C.","non-dropping-particle":"","parse-names":false,"suffix":""},{"dropping-particle":"","family":"Nonaka","given":"K. O.","non-dropping-particle":"","parse-names":false,"suffix":""}],"id":"ITEM-1","issued":{"date-parts":[["2012"]]},"page":"3-6","title":"The New ICP Minimally Invasive Method Shows That the Monro–Kellie Doctrine Is Not Valid","type":"article-journal","volume":"114"},"uris":["http://www.mendeley.com/documents/?uuid=c2d2a334-11d2-4c61-ac49-24d6d6ad228d"]}],"mendeley":{"formattedCitation":"(22)","plainTextFormattedCitation":"(22)","previouslyFormattedCitation":"(Mascarenhas et al. 2012)"},"properties":{"noteIndex":0},"schema":"https://github.com/citation-style-language/schema/raw/master/csl-citation.json"}</w:instrText>
      </w:r>
      <w:r w:rsidR="00323E9D" w:rsidRPr="00F62FC9">
        <w:rPr>
          <w:rFonts w:ascii="Calibri" w:hAnsi="Calibri" w:cs="Calibri"/>
          <w:sz w:val="24"/>
          <w:szCs w:val="24"/>
        </w:rPr>
        <w:fldChar w:fldCharType="separate"/>
      </w:r>
      <w:r w:rsidR="003B280C" w:rsidRPr="00F62FC9">
        <w:rPr>
          <w:rFonts w:ascii="Calibri" w:hAnsi="Calibri" w:cs="Calibri"/>
          <w:noProof/>
          <w:sz w:val="24"/>
          <w:szCs w:val="24"/>
        </w:rPr>
        <w:t>(22)</w:t>
      </w:r>
      <w:r w:rsidR="00323E9D" w:rsidRPr="00F62FC9">
        <w:rPr>
          <w:rFonts w:ascii="Calibri" w:hAnsi="Calibri" w:cs="Calibri"/>
          <w:sz w:val="24"/>
          <w:szCs w:val="24"/>
        </w:rPr>
        <w:fldChar w:fldCharType="end"/>
      </w:r>
      <w:r w:rsidR="005F12BD" w:rsidRPr="00F62FC9">
        <w:rPr>
          <w:rFonts w:ascii="Calibri" w:hAnsi="Calibri" w:cs="Calibri"/>
          <w:sz w:val="24"/>
          <w:szCs w:val="24"/>
        </w:rPr>
        <w:t xml:space="preserve"> </w:t>
      </w:r>
      <w:r w:rsidR="00C179CE" w:rsidRPr="00F62FC9">
        <w:rPr>
          <w:rFonts w:ascii="Calibri" w:hAnsi="Calibri" w:cs="Calibri"/>
          <w:sz w:val="24"/>
          <w:szCs w:val="24"/>
        </w:rPr>
        <w:t>inov</w:t>
      </w:r>
      <w:r w:rsidR="00061CCA" w:rsidRPr="00F62FC9">
        <w:rPr>
          <w:rFonts w:ascii="Calibri" w:hAnsi="Calibri" w:cs="Calibri"/>
          <w:sz w:val="24"/>
          <w:szCs w:val="24"/>
        </w:rPr>
        <w:t>aram</w:t>
      </w:r>
      <w:r w:rsidR="00C179CE" w:rsidRPr="00F62FC9">
        <w:rPr>
          <w:rFonts w:ascii="Calibri" w:hAnsi="Calibri" w:cs="Calibri"/>
          <w:sz w:val="24"/>
          <w:szCs w:val="24"/>
        </w:rPr>
        <w:t xml:space="preserve"> ao questionar a </w:t>
      </w:r>
      <w:r w:rsidR="00102BF1" w:rsidRPr="00F62FC9">
        <w:rPr>
          <w:rFonts w:ascii="Calibri" w:hAnsi="Calibri" w:cs="Calibri"/>
          <w:sz w:val="24"/>
          <w:szCs w:val="24"/>
        </w:rPr>
        <w:t>Doutrina de Monro-Kellie</w:t>
      </w:r>
      <w:r w:rsidR="00B93C84" w:rsidRPr="00F62FC9">
        <w:rPr>
          <w:rFonts w:ascii="Calibri" w:hAnsi="Calibri" w:cs="Calibri"/>
          <w:sz w:val="24"/>
          <w:szCs w:val="24"/>
        </w:rPr>
        <w:t xml:space="preserve"> (DMK) de </w:t>
      </w:r>
      <w:r w:rsidR="00102BF1" w:rsidRPr="00F62FC9">
        <w:rPr>
          <w:rFonts w:ascii="Calibri" w:hAnsi="Calibri" w:cs="Calibri"/>
          <w:sz w:val="24"/>
          <w:szCs w:val="24"/>
        </w:rPr>
        <w:t>1820.</w:t>
      </w:r>
      <w:r w:rsidR="00B93C84" w:rsidRPr="00F62FC9">
        <w:rPr>
          <w:rFonts w:ascii="Calibri" w:hAnsi="Calibri" w:cs="Calibri"/>
          <w:sz w:val="24"/>
          <w:szCs w:val="24"/>
        </w:rPr>
        <w:t xml:space="preserve"> Essa doutrina, </w:t>
      </w:r>
      <w:r w:rsidR="005A3631" w:rsidRPr="00F62FC9">
        <w:rPr>
          <w:rFonts w:ascii="Calibri" w:hAnsi="Calibri" w:cs="Calibri"/>
          <w:sz w:val="24"/>
          <w:szCs w:val="24"/>
        </w:rPr>
        <w:t>elaborada por três anatomistas, definia que o crânio era preenchido principalmente por 3</w:t>
      </w:r>
      <w:r w:rsidR="004F2285" w:rsidRPr="00F62FC9">
        <w:rPr>
          <w:rFonts w:ascii="Calibri" w:hAnsi="Calibri" w:cs="Calibri"/>
          <w:sz w:val="24"/>
          <w:szCs w:val="24"/>
        </w:rPr>
        <w:t xml:space="preserve"> componentes – sangue, fluido e parênquima cerebral – e que </w:t>
      </w:r>
      <w:r w:rsidR="00E34BAB" w:rsidRPr="00F62FC9">
        <w:rPr>
          <w:rFonts w:ascii="Calibri" w:hAnsi="Calibri" w:cs="Calibri"/>
          <w:sz w:val="24"/>
          <w:szCs w:val="24"/>
        </w:rPr>
        <w:t xml:space="preserve">o aumento no volume de um desses componentes necessariamente implicaria em um aumento da PIC. </w:t>
      </w:r>
      <w:r w:rsidR="00A73CBA" w:rsidRPr="00F62FC9">
        <w:rPr>
          <w:rFonts w:ascii="Calibri" w:hAnsi="Calibri" w:cs="Calibri"/>
          <w:sz w:val="24"/>
          <w:szCs w:val="24"/>
        </w:rPr>
        <w:t xml:space="preserve">A DKM, assim, conclui que o crânio </w:t>
      </w:r>
      <w:r w:rsidR="005F12BD" w:rsidRPr="00F62FC9">
        <w:rPr>
          <w:rFonts w:ascii="Calibri" w:hAnsi="Calibri" w:cs="Calibri"/>
          <w:sz w:val="24"/>
          <w:szCs w:val="24"/>
        </w:rPr>
        <w:t>é um osso extremamente rígido que não pode ser expandido</w:t>
      </w:r>
      <w:r w:rsidR="009865CD" w:rsidRPr="00F62FC9">
        <w:rPr>
          <w:rFonts w:ascii="Calibri" w:hAnsi="Calibri" w:cs="Calibri"/>
          <w:sz w:val="24"/>
          <w:szCs w:val="24"/>
        </w:rPr>
        <w:t xml:space="preserve"> – pelo menos após o fechamento das fontanelas.</w:t>
      </w:r>
      <w:r w:rsidR="00AC55FD" w:rsidRPr="00F62FC9">
        <w:rPr>
          <w:rFonts w:ascii="Calibri" w:hAnsi="Calibri" w:cs="Calibri"/>
          <w:sz w:val="24"/>
          <w:szCs w:val="24"/>
        </w:rPr>
        <w:t xml:space="preserve"> </w:t>
      </w:r>
      <w:r w:rsidR="002207B8" w:rsidRPr="00F62FC9">
        <w:rPr>
          <w:rFonts w:ascii="Calibri" w:hAnsi="Calibri" w:cs="Calibri"/>
          <w:sz w:val="24"/>
          <w:szCs w:val="24"/>
        </w:rPr>
        <w:t>E p</w:t>
      </w:r>
      <w:r w:rsidR="002F0CFC" w:rsidRPr="00F62FC9">
        <w:rPr>
          <w:rFonts w:ascii="Calibri" w:hAnsi="Calibri" w:cs="Calibri"/>
          <w:sz w:val="24"/>
          <w:szCs w:val="24"/>
        </w:rPr>
        <w:t>ara contestar</w:t>
      </w:r>
      <w:r w:rsidR="00233643" w:rsidRPr="00F62FC9">
        <w:rPr>
          <w:rFonts w:ascii="Calibri" w:hAnsi="Calibri" w:cs="Calibri"/>
          <w:sz w:val="24"/>
          <w:szCs w:val="24"/>
        </w:rPr>
        <w:t xml:space="preserve"> a doutrina</w:t>
      </w:r>
      <w:r w:rsidR="002F0CFC" w:rsidRPr="00F62FC9">
        <w:rPr>
          <w:rFonts w:ascii="Calibri" w:hAnsi="Calibri" w:cs="Calibri"/>
          <w:sz w:val="24"/>
          <w:szCs w:val="24"/>
        </w:rPr>
        <w:t xml:space="preserve">, os autores realizaram </w:t>
      </w:r>
      <w:r w:rsidR="00AC55FD" w:rsidRPr="00F62FC9">
        <w:rPr>
          <w:rFonts w:ascii="Calibri" w:hAnsi="Calibri" w:cs="Calibri"/>
          <w:sz w:val="24"/>
          <w:szCs w:val="24"/>
        </w:rPr>
        <w:t>um experimento simples</w:t>
      </w:r>
      <w:r w:rsidR="00233643" w:rsidRPr="00F62FC9">
        <w:rPr>
          <w:rFonts w:ascii="Calibri" w:hAnsi="Calibri" w:cs="Calibri"/>
          <w:sz w:val="24"/>
          <w:szCs w:val="24"/>
        </w:rPr>
        <w:t>: n</w:t>
      </w:r>
      <w:r w:rsidR="0059305F" w:rsidRPr="00F62FC9">
        <w:rPr>
          <w:rFonts w:ascii="Calibri" w:hAnsi="Calibri" w:cs="Calibri"/>
          <w:sz w:val="24"/>
          <w:szCs w:val="24"/>
        </w:rPr>
        <w:t xml:space="preserve">o </w:t>
      </w:r>
      <w:r w:rsidR="00410932" w:rsidRPr="00F62FC9">
        <w:rPr>
          <w:rFonts w:ascii="Calibri" w:hAnsi="Calibri" w:cs="Calibri"/>
          <w:sz w:val="24"/>
          <w:szCs w:val="24"/>
        </w:rPr>
        <w:t>método</w:t>
      </w:r>
      <w:r w:rsidR="0059305F" w:rsidRPr="00F62FC9">
        <w:rPr>
          <w:rFonts w:ascii="Calibri" w:hAnsi="Calibri" w:cs="Calibri"/>
          <w:sz w:val="24"/>
          <w:szCs w:val="24"/>
        </w:rPr>
        <w:t xml:space="preserve"> “</w:t>
      </w:r>
      <w:r w:rsidR="0059305F" w:rsidRPr="00F62FC9">
        <w:rPr>
          <w:rFonts w:ascii="Calibri" w:hAnsi="Calibri" w:cs="Calibri"/>
          <w:i/>
          <w:iCs/>
          <w:sz w:val="24"/>
          <w:szCs w:val="24"/>
        </w:rPr>
        <w:t>in vitro</w:t>
      </w:r>
      <w:r w:rsidR="0059305F" w:rsidRPr="00F62FC9">
        <w:rPr>
          <w:rFonts w:ascii="Calibri" w:hAnsi="Calibri" w:cs="Calibri"/>
          <w:sz w:val="24"/>
          <w:szCs w:val="24"/>
        </w:rPr>
        <w:t xml:space="preserve">”, </w:t>
      </w:r>
      <w:r w:rsidR="00233643" w:rsidRPr="00F62FC9">
        <w:rPr>
          <w:rFonts w:ascii="Calibri" w:hAnsi="Calibri" w:cs="Calibri"/>
          <w:sz w:val="24"/>
          <w:szCs w:val="24"/>
        </w:rPr>
        <w:t>aplicaram</w:t>
      </w:r>
      <w:r w:rsidR="0059305F" w:rsidRPr="00F62FC9">
        <w:rPr>
          <w:rFonts w:ascii="Calibri" w:hAnsi="Calibri" w:cs="Calibri"/>
          <w:sz w:val="24"/>
          <w:szCs w:val="24"/>
        </w:rPr>
        <w:t xml:space="preserve"> sensores de deformação na região parietal de crânios humanos</w:t>
      </w:r>
      <w:r w:rsidR="00121055" w:rsidRPr="00F62FC9">
        <w:rPr>
          <w:rFonts w:ascii="Calibri" w:hAnsi="Calibri" w:cs="Calibri"/>
          <w:sz w:val="24"/>
          <w:szCs w:val="24"/>
        </w:rPr>
        <w:t xml:space="preserve"> e </w:t>
      </w:r>
      <w:r w:rsidR="00233643" w:rsidRPr="00F62FC9">
        <w:rPr>
          <w:rFonts w:ascii="Calibri" w:hAnsi="Calibri" w:cs="Calibri"/>
          <w:sz w:val="24"/>
          <w:szCs w:val="24"/>
        </w:rPr>
        <w:t>inflaram</w:t>
      </w:r>
      <w:r w:rsidR="00121055" w:rsidRPr="00F62FC9">
        <w:rPr>
          <w:rFonts w:ascii="Calibri" w:hAnsi="Calibri" w:cs="Calibri"/>
          <w:sz w:val="24"/>
          <w:szCs w:val="24"/>
        </w:rPr>
        <w:t xml:space="preserve"> um balão no interior do crânio até 100 mmHg, detectando uma dilatação direta</w:t>
      </w:r>
      <w:r w:rsidR="005E35A9" w:rsidRPr="00F62FC9">
        <w:rPr>
          <w:rFonts w:ascii="Calibri" w:hAnsi="Calibri" w:cs="Calibri"/>
          <w:sz w:val="24"/>
          <w:szCs w:val="24"/>
        </w:rPr>
        <w:t xml:space="preserve"> e linearmente </w:t>
      </w:r>
      <w:r w:rsidR="00121055" w:rsidRPr="00F62FC9">
        <w:rPr>
          <w:rFonts w:ascii="Calibri" w:hAnsi="Calibri" w:cs="Calibri"/>
          <w:sz w:val="24"/>
          <w:szCs w:val="24"/>
        </w:rPr>
        <w:t>proporcional à PIC; já no experimento “</w:t>
      </w:r>
      <w:r w:rsidR="00121055" w:rsidRPr="00F62FC9">
        <w:rPr>
          <w:rFonts w:ascii="Calibri" w:hAnsi="Calibri" w:cs="Calibri"/>
          <w:i/>
          <w:iCs/>
          <w:sz w:val="24"/>
          <w:szCs w:val="24"/>
        </w:rPr>
        <w:t>in vivo</w:t>
      </w:r>
      <w:r w:rsidR="00121055" w:rsidRPr="00F62FC9">
        <w:rPr>
          <w:rFonts w:ascii="Calibri" w:hAnsi="Calibri" w:cs="Calibri"/>
          <w:sz w:val="24"/>
          <w:szCs w:val="24"/>
        </w:rPr>
        <w:t xml:space="preserve">”, </w:t>
      </w:r>
      <w:r w:rsidR="00233643" w:rsidRPr="00F62FC9">
        <w:rPr>
          <w:rFonts w:ascii="Calibri" w:hAnsi="Calibri" w:cs="Calibri"/>
          <w:sz w:val="24"/>
          <w:szCs w:val="24"/>
        </w:rPr>
        <w:t>realizaram</w:t>
      </w:r>
      <w:r w:rsidR="00121055" w:rsidRPr="00F62FC9">
        <w:rPr>
          <w:rFonts w:ascii="Calibri" w:hAnsi="Calibri" w:cs="Calibri"/>
          <w:sz w:val="24"/>
          <w:szCs w:val="24"/>
        </w:rPr>
        <w:t xml:space="preserve"> </w:t>
      </w:r>
      <w:r w:rsidR="00DF1DC1" w:rsidRPr="00F62FC9">
        <w:rPr>
          <w:rFonts w:ascii="Calibri" w:hAnsi="Calibri" w:cs="Calibri"/>
          <w:sz w:val="24"/>
          <w:szCs w:val="24"/>
        </w:rPr>
        <w:t xml:space="preserve">manobras posturais em ratos </w:t>
      </w:r>
      <w:r w:rsidR="00086851" w:rsidRPr="00F62FC9">
        <w:rPr>
          <w:rFonts w:ascii="Calibri" w:hAnsi="Calibri" w:cs="Calibri"/>
          <w:sz w:val="24"/>
          <w:szCs w:val="24"/>
        </w:rPr>
        <w:t xml:space="preserve">Wilstar </w:t>
      </w:r>
      <w:r w:rsidR="00DF1DC1" w:rsidRPr="00F62FC9">
        <w:rPr>
          <w:rFonts w:ascii="Calibri" w:hAnsi="Calibri" w:cs="Calibri"/>
          <w:sz w:val="24"/>
          <w:szCs w:val="24"/>
        </w:rPr>
        <w:t>para avaliar uma variação na PIC e</w:t>
      </w:r>
      <w:r w:rsidR="008A7C91" w:rsidRPr="00F62FC9">
        <w:rPr>
          <w:rFonts w:ascii="Calibri" w:hAnsi="Calibri" w:cs="Calibri"/>
          <w:sz w:val="24"/>
          <w:szCs w:val="24"/>
        </w:rPr>
        <w:t>,</w:t>
      </w:r>
      <w:r w:rsidR="00DF1DC1" w:rsidRPr="00F62FC9">
        <w:rPr>
          <w:rFonts w:ascii="Calibri" w:hAnsi="Calibri" w:cs="Calibri"/>
          <w:sz w:val="24"/>
          <w:szCs w:val="24"/>
        </w:rPr>
        <w:t xml:space="preserve"> </w:t>
      </w:r>
      <w:r w:rsidR="008A7C91" w:rsidRPr="00F62FC9">
        <w:rPr>
          <w:rFonts w:ascii="Calibri" w:hAnsi="Calibri" w:cs="Calibri"/>
          <w:sz w:val="24"/>
          <w:szCs w:val="24"/>
        </w:rPr>
        <w:t>c</w:t>
      </w:r>
      <w:r w:rsidR="00DF1DC1" w:rsidRPr="00F62FC9">
        <w:rPr>
          <w:rFonts w:ascii="Calibri" w:hAnsi="Calibri" w:cs="Calibri"/>
          <w:sz w:val="24"/>
          <w:szCs w:val="24"/>
        </w:rPr>
        <w:t>o</w:t>
      </w:r>
      <w:r w:rsidR="008A7C91" w:rsidRPr="00F62FC9">
        <w:rPr>
          <w:rFonts w:ascii="Calibri" w:hAnsi="Calibri" w:cs="Calibri"/>
          <w:sz w:val="24"/>
          <w:szCs w:val="24"/>
        </w:rPr>
        <w:t>m o</w:t>
      </w:r>
      <w:r w:rsidR="00DF1DC1" w:rsidRPr="00F62FC9">
        <w:rPr>
          <w:rFonts w:ascii="Calibri" w:hAnsi="Calibri" w:cs="Calibri"/>
          <w:sz w:val="24"/>
          <w:szCs w:val="24"/>
        </w:rPr>
        <w:t xml:space="preserve"> mesmo sensor, minimamente invasivo</w:t>
      </w:r>
      <w:r w:rsidR="004071DA" w:rsidRPr="00F62FC9">
        <w:rPr>
          <w:rFonts w:ascii="Calibri" w:hAnsi="Calibri" w:cs="Calibri"/>
          <w:sz w:val="24"/>
          <w:szCs w:val="24"/>
        </w:rPr>
        <w:t xml:space="preserve"> e colocado externamente ao crânio, </w:t>
      </w:r>
      <w:r w:rsidR="000C6F99" w:rsidRPr="00F62FC9">
        <w:rPr>
          <w:rFonts w:ascii="Calibri" w:hAnsi="Calibri" w:cs="Calibri"/>
          <w:sz w:val="24"/>
          <w:szCs w:val="24"/>
        </w:rPr>
        <w:t>conseguiram</w:t>
      </w:r>
      <w:r w:rsidR="004071DA" w:rsidRPr="00F62FC9">
        <w:rPr>
          <w:rFonts w:ascii="Calibri" w:hAnsi="Calibri" w:cs="Calibri"/>
          <w:sz w:val="24"/>
          <w:szCs w:val="24"/>
        </w:rPr>
        <w:t xml:space="preserve"> captar variações na dilatação intracraniana </w:t>
      </w:r>
      <w:r w:rsidR="004071DA" w:rsidRPr="00F62FC9">
        <w:rPr>
          <w:rFonts w:ascii="Calibri" w:hAnsi="Calibri" w:cs="Calibri"/>
          <w:sz w:val="24"/>
          <w:szCs w:val="24"/>
        </w:rPr>
        <w:fldChar w:fldCharType="begin" w:fldLock="1"/>
      </w:r>
      <w:r w:rsidR="003B280C" w:rsidRPr="00F62FC9">
        <w:rPr>
          <w:rFonts w:ascii="Calibri" w:hAnsi="Calibri" w:cs="Calibri"/>
          <w:sz w:val="24"/>
          <w:szCs w:val="24"/>
        </w:rPr>
        <w:instrText>ADDIN CSL_CITATION {"citationItems":[{"id":"ITEM-1","itemData":{"DOI":"10.1007/978-3-7091-0956-4","ISBN":"978-3-7091-0955-7","abstract":"Nearly 80 short papers originating from the 14th International Symposium on Intracranial Pressure and Brain Monitoring held in Tuebingen, Germany, in September 2010 present experimental as well as clinical research data related to the naming topics of the conference. The papers have undergone a peer-reviewing and are organized in the following sections: methods of brain monitoring and data analysis, methods of invasive and non-invasive ICP assessment, the role of autoregulation, the role of tissue oxygenation and near-infrared spectroscopy, hydrocephalus/IIH imaging and diagnosis, management and therapy of hydrocephalus, management and therapy of traumatic brain injury, management and therapy of subarachnoid and intracranial hemorrhage, experimental approaches to acute brain disease. The book gives a good overview on the latest research developments in the field of ICP and related brain monitoring and on management and therapy of relevant acute brain diseases.","author":[{"dropping-particle":"","family":"Mascarenhas","given":"Sérgio","non-dropping-particle":"","parse-names":false,"suffix":""},{"dropping-particle":"","family":"Vilela","given":"G. H. F.","non-dropping-particle":"","parse-names":false,"suffix":""},{"dropping-particle":"","family":"Carlotti","given":"C.","non-dropping-particle":"","parse-names":false,"suffix":""},{"dropping-particle":"","family":"Damiano","given":"L. E. G.","non-dropping-particle":"","parse-names":false,"suffix":""},{"dropping-particle":"","family":"Seluque","given":"W.","non-dropping-particle":"","parse-names":false,"suffix":""},{"dropping-particle":"","family":"Colli","given":"B.","non-dropping-particle":"","parse-names":false,"suffix":""},{"dropping-particle":"","family":"Tanaka","given":"K.","non-dropping-particle":"","parse-names":false,"suffix":""},{"dropping-particle":"","family":"Wang","given":"C. C.","non-dropping-particle":"","parse-names":false,"suffix":""},{"dropping-particle":"","family":"Nonaka","given":"K. O.","non-dropping-particle":"","parse-names":false,"suffix":""}],"id":"ITEM-1","issued":{"date-parts":[["2012"]]},"page":"3-6","title":"The New ICP Minimally Invasive Method Shows That the Monro–Kellie Doctrine Is Not Valid","type":"article-journal","volume":"114"},"uris":["http://www.mendeley.com/documents/?uuid=c2d2a334-11d2-4c61-ac49-24d6d6ad228d"]}],"mendeley":{"formattedCitation":"(22)","plainTextFormattedCitation":"(22)","previouslyFormattedCitation":"(Mascarenhas et al. 2012)"},"properties":{"noteIndex":0},"schema":"https://github.com/citation-style-language/schema/raw/master/csl-citation.json"}</w:instrText>
      </w:r>
      <w:r w:rsidR="004071DA" w:rsidRPr="00F62FC9">
        <w:rPr>
          <w:rFonts w:ascii="Calibri" w:hAnsi="Calibri" w:cs="Calibri"/>
          <w:sz w:val="24"/>
          <w:szCs w:val="24"/>
        </w:rPr>
        <w:fldChar w:fldCharType="separate"/>
      </w:r>
      <w:r w:rsidR="003B280C" w:rsidRPr="00F62FC9">
        <w:rPr>
          <w:rFonts w:ascii="Calibri" w:hAnsi="Calibri" w:cs="Calibri"/>
          <w:noProof/>
          <w:sz w:val="24"/>
          <w:szCs w:val="24"/>
        </w:rPr>
        <w:t>(22)</w:t>
      </w:r>
      <w:r w:rsidR="004071DA" w:rsidRPr="00F62FC9">
        <w:rPr>
          <w:rFonts w:ascii="Calibri" w:hAnsi="Calibri" w:cs="Calibri"/>
          <w:sz w:val="24"/>
          <w:szCs w:val="24"/>
        </w:rPr>
        <w:fldChar w:fldCharType="end"/>
      </w:r>
      <w:r w:rsidR="004071DA" w:rsidRPr="00F62FC9">
        <w:rPr>
          <w:rFonts w:ascii="Calibri" w:hAnsi="Calibri" w:cs="Calibri"/>
          <w:sz w:val="24"/>
          <w:szCs w:val="24"/>
        </w:rPr>
        <w:t>.</w:t>
      </w:r>
      <w:r w:rsidR="00EF366B" w:rsidRPr="00F62FC9">
        <w:rPr>
          <w:rFonts w:ascii="Calibri" w:hAnsi="Calibri" w:cs="Calibri"/>
          <w:sz w:val="24"/>
          <w:szCs w:val="24"/>
        </w:rPr>
        <w:t xml:space="preserve"> </w:t>
      </w:r>
    </w:p>
    <w:p w14:paraId="5596191A" w14:textId="12294F36" w:rsidR="002207B8" w:rsidRPr="00F62FC9" w:rsidRDefault="0082626B" w:rsidP="000B7BA0">
      <w:pPr>
        <w:ind w:firstLine="360"/>
        <w:jc w:val="both"/>
        <w:rPr>
          <w:rFonts w:ascii="Calibri" w:hAnsi="Calibri" w:cs="Calibri"/>
          <w:sz w:val="24"/>
          <w:szCs w:val="24"/>
        </w:rPr>
      </w:pPr>
      <w:r w:rsidRPr="00F62FC9">
        <w:rPr>
          <w:rFonts w:ascii="Calibri" w:hAnsi="Calibri" w:cs="Calibri"/>
          <w:sz w:val="24"/>
          <w:szCs w:val="24"/>
        </w:rPr>
        <w:t xml:space="preserve">Posteriormente, </w:t>
      </w:r>
      <w:r w:rsidR="00A62E11" w:rsidRPr="00F62FC9">
        <w:rPr>
          <w:rFonts w:ascii="Calibri" w:hAnsi="Calibri" w:cs="Calibri"/>
          <w:sz w:val="24"/>
          <w:szCs w:val="24"/>
        </w:rPr>
        <w:t>os mesmos autores</w:t>
      </w:r>
      <w:r w:rsidR="00DB42CC" w:rsidRPr="00F62FC9">
        <w:rPr>
          <w:rFonts w:ascii="Calibri" w:hAnsi="Calibri" w:cs="Calibri"/>
          <w:sz w:val="24"/>
          <w:szCs w:val="24"/>
        </w:rPr>
        <w:t xml:space="preserve"> </w:t>
      </w:r>
      <w:r w:rsidR="00EF366B" w:rsidRPr="00F62FC9">
        <w:rPr>
          <w:rFonts w:ascii="Calibri" w:hAnsi="Calibri" w:cs="Calibri"/>
          <w:sz w:val="24"/>
          <w:szCs w:val="24"/>
        </w:rPr>
        <w:t>compararam</w:t>
      </w:r>
      <w:r w:rsidR="00DB42CC" w:rsidRPr="00F62FC9">
        <w:rPr>
          <w:rFonts w:ascii="Calibri" w:hAnsi="Calibri" w:cs="Calibri"/>
          <w:sz w:val="24"/>
          <w:szCs w:val="24"/>
        </w:rPr>
        <w:t xml:space="preserve"> </w:t>
      </w:r>
      <w:r w:rsidR="004D0042" w:rsidRPr="00F62FC9">
        <w:rPr>
          <w:rFonts w:ascii="Calibri" w:hAnsi="Calibri" w:cs="Calibri"/>
          <w:sz w:val="24"/>
          <w:szCs w:val="24"/>
        </w:rPr>
        <w:t>o padrão-ouro de monitorização</w:t>
      </w:r>
      <w:r w:rsidR="0032406E" w:rsidRPr="00F62FC9">
        <w:rPr>
          <w:rFonts w:ascii="Calibri" w:hAnsi="Calibri" w:cs="Calibri"/>
          <w:sz w:val="24"/>
          <w:szCs w:val="24"/>
        </w:rPr>
        <w:t xml:space="preserve"> invasiva</w:t>
      </w:r>
      <w:r w:rsidR="004D0042" w:rsidRPr="00F62FC9">
        <w:rPr>
          <w:rFonts w:ascii="Calibri" w:hAnsi="Calibri" w:cs="Calibri"/>
          <w:sz w:val="24"/>
          <w:szCs w:val="24"/>
        </w:rPr>
        <w:t xml:space="preserve"> da PIC</w:t>
      </w:r>
      <w:r w:rsidR="0052633F" w:rsidRPr="00F62FC9">
        <w:rPr>
          <w:rFonts w:ascii="Calibri" w:hAnsi="Calibri" w:cs="Calibri"/>
          <w:sz w:val="24"/>
          <w:szCs w:val="24"/>
        </w:rPr>
        <w:t xml:space="preserve"> </w:t>
      </w:r>
      <w:r w:rsidR="00E52C97" w:rsidRPr="00F62FC9">
        <w:rPr>
          <w:rFonts w:ascii="Calibri" w:hAnsi="Calibri" w:cs="Calibri"/>
          <w:sz w:val="24"/>
          <w:szCs w:val="24"/>
        </w:rPr>
        <w:t xml:space="preserve">(PICi) </w:t>
      </w:r>
      <w:r w:rsidR="0052633F" w:rsidRPr="00F62FC9">
        <w:rPr>
          <w:rFonts w:ascii="Calibri" w:hAnsi="Calibri" w:cs="Calibri"/>
          <w:sz w:val="24"/>
          <w:szCs w:val="24"/>
        </w:rPr>
        <w:t>-</w:t>
      </w:r>
      <w:r w:rsidR="004D0042" w:rsidRPr="00F62FC9">
        <w:rPr>
          <w:rFonts w:ascii="Calibri" w:hAnsi="Calibri" w:cs="Calibri"/>
          <w:sz w:val="24"/>
          <w:szCs w:val="24"/>
        </w:rPr>
        <w:t xml:space="preserve"> </w:t>
      </w:r>
      <w:r w:rsidR="0052633F" w:rsidRPr="00F62FC9">
        <w:rPr>
          <w:rFonts w:ascii="Calibri" w:hAnsi="Calibri" w:cs="Calibri"/>
          <w:sz w:val="24"/>
          <w:szCs w:val="24"/>
        </w:rPr>
        <w:t>o</w:t>
      </w:r>
      <w:r w:rsidR="004D0042" w:rsidRPr="00F62FC9">
        <w:rPr>
          <w:rFonts w:ascii="Calibri" w:hAnsi="Calibri" w:cs="Calibri"/>
          <w:sz w:val="24"/>
          <w:szCs w:val="24"/>
        </w:rPr>
        <w:t xml:space="preserve"> </w:t>
      </w:r>
      <w:r w:rsidR="0032406E" w:rsidRPr="00F62FC9">
        <w:rPr>
          <w:rFonts w:ascii="Calibri" w:hAnsi="Calibri" w:cs="Calibri"/>
          <w:sz w:val="24"/>
          <w:szCs w:val="24"/>
        </w:rPr>
        <w:t xml:space="preserve">cateter </w:t>
      </w:r>
      <w:r w:rsidR="00A06E4C" w:rsidRPr="00F62FC9">
        <w:rPr>
          <w:rFonts w:ascii="Calibri" w:hAnsi="Calibri" w:cs="Calibri"/>
          <w:sz w:val="24"/>
          <w:szCs w:val="24"/>
        </w:rPr>
        <w:t xml:space="preserve">intraparenquimatoso </w:t>
      </w:r>
      <w:r w:rsidR="0032406E" w:rsidRPr="00F62FC9">
        <w:rPr>
          <w:rFonts w:ascii="Calibri" w:hAnsi="Calibri" w:cs="Calibri"/>
          <w:sz w:val="24"/>
          <w:szCs w:val="24"/>
        </w:rPr>
        <w:t>de Codman</w:t>
      </w:r>
      <w:r w:rsidR="0052633F" w:rsidRPr="00F62FC9">
        <w:rPr>
          <w:rFonts w:ascii="Calibri" w:hAnsi="Calibri" w:cs="Calibri"/>
          <w:sz w:val="24"/>
          <w:szCs w:val="24"/>
        </w:rPr>
        <w:t xml:space="preserve"> -</w:t>
      </w:r>
      <w:r w:rsidR="0032406E" w:rsidRPr="00F62FC9">
        <w:rPr>
          <w:rFonts w:ascii="Calibri" w:hAnsi="Calibri" w:cs="Calibri"/>
          <w:sz w:val="24"/>
          <w:szCs w:val="24"/>
        </w:rPr>
        <w:t xml:space="preserve"> com o sensor </w:t>
      </w:r>
      <w:r w:rsidR="00260085" w:rsidRPr="00F62FC9">
        <w:rPr>
          <w:rFonts w:ascii="Calibri" w:hAnsi="Calibri" w:cs="Calibri"/>
          <w:sz w:val="24"/>
          <w:szCs w:val="24"/>
        </w:rPr>
        <w:t>minimamente invasivo (PICmi) anexado ao crânio dos ratos Wilstar</w:t>
      </w:r>
      <w:r w:rsidR="00AD2C68" w:rsidRPr="00F62FC9">
        <w:rPr>
          <w:rFonts w:ascii="Calibri" w:hAnsi="Calibri" w:cs="Calibri"/>
          <w:sz w:val="24"/>
          <w:szCs w:val="24"/>
        </w:rPr>
        <w:t>;</w:t>
      </w:r>
      <w:r w:rsidR="00260085" w:rsidRPr="00F62FC9">
        <w:rPr>
          <w:rFonts w:ascii="Calibri" w:hAnsi="Calibri" w:cs="Calibri"/>
          <w:sz w:val="24"/>
          <w:szCs w:val="24"/>
        </w:rPr>
        <w:t xml:space="preserve"> e</w:t>
      </w:r>
      <w:r w:rsidR="0052633F" w:rsidRPr="00F62FC9">
        <w:rPr>
          <w:rFonts w:ascii="Calibri" w:hAnsi="Calibri" w:cs="Calibri"/>
          <w:sz w:val="24"/>
          <w:szCs w:val="24"/>
        </w:rPr>
        <w:t xml:space="preserve">, após a infusão de solução </w:t>
      </w:r>
      <w:r w:rsidR="003736A2" w:rsidRPr="00F62FC9">
        <w:rPr>
          <w:rFonts w:ascii="Calibri" w:hAnsi="Calibri" w:cs="Calibri"/>
          <w:sz w:val="24"/>
          <w:szCs w:val="24"/>
        </w:rPr>
        <w:t xml:space="preserve">salina no canal espinal, perceberam um coeficiente de correlação de Pearson </w:t>
      </w:r>
      <w:r w:rsidR="00D37EFA" w:rsidRPr="00F62FC9">
        <w:rPr>
          <w:rFonts w:ascii="Calibri" w:hAnsi="Calibri" w:cs="Calibri"/>
          <w:sz w:val="24"/>
          <w:szCs w:val="24"/>
        </w:rPr>
        <w:t xml:space="preserve">(r) </w:t>
      </w:r>
      <w:r w:rsidR="00E43C34" w:rsidRPr="00F62FC9">
        <w:rPr>
          <w:rFonts w:ascii="Calibri" w:hAnsi="Calibri" w:cs="Calibri"/>
          <w:sz w:val="24"/>
          <w:szCs w:val="24"/>
        </w:rPr>
        <w:t xml:space="preserve">positivo </w:t>
      </w:r>
      <w:r w:rsidR="003736A2" w:rsidRPr="00F62FC9">
        <w:rPr>
          <w:rFonts w:ascii="Calibri" w:hAnsi="Calibri" w:cs="Calibri"/>
          <w:sz w:val="24"/>
          <w:szCs w:val="24"/>
        </w:rPr>
        <w:t xml:space="preserve">de 0,8 </w:t>
      </w:r>
      <w:r w:rsidR="00A214D4" w:rsidRPr="00F62FC9">
        <w:rPr>
          <w:rFonts w:ascii="Calibri" w:hAnsi="Calibri" w:cs="Calibri"/>
          <w:sz w:val="24"/>
          <w:szCs w:val="24"/>
        </w:rPr>
        <w:t>± 0,2</w:t>
      </w:r>
      <w:r w:rsidR="002866A8" w:rsidRPr="00F62FC9">
        <w:rPr>
          <w:rFonts w:ascii="Calibri" w:hAnsi="Calibri" w:cs="Calibri"/>
          <w:sz w:val="24"/>
          <w:szCs w:val="24"/>
        </w:rPr>
        <w:t xml:space="preserve"> (intervalo: 0,31 – 0,99)</w:t>
      </w:r>
      <w:r w:rsidR="00E43C34" w:rsidRPr="00F62FC9">
        <w:rPr>
          <w:rFonts w:ascii="Calibri" w:hAnsi="Calibri" w:cs="Calibri"/>
          <w:sz w:val="24"/>
          <w:szCs w:val="24"/>
        </w:rPr>
        <w:t xml:space="preserve"> </w:t>
      </w:r>
      <w:r w:rsidR="00E43C34" w:rsidRPr="00F62FC9">
        <w:rPr>
          <w:rFonts w:ascii="Calibri" w:hAnsi="Calibri" w:cs="Calibri"/>
          <w:sz w:val="24"/>
          <w:szCs w:val="24"/>
        </w:rPr>
        <w:fldChar w:fldCharType="begin" w:fldLock="1"/>
      </w:r>
      <w:r w:rsidR="003B280C" w:rsidRPr="00F62FC9">
        <w:rPr>
          <w:rFonts w:ascii="Calibri" w:hAnsi="Calibri" w:cs="Calibri"/>
          <w:sz w:val="24"/>
          <w:szCs w:val="24"/>
        </w:rPr>
        <w:instrText>ADDIN CSL_CITATION {"citationItems":[{"id":"ITEM-1","itemData":{"DOI":"10.1007/978-3-319-22533-3_19","ISBN":"9783319225333","ISSN":"21978395","PMID":"27165885","abstract":"In this chapter we present in vivo experiments with a new minimally invasive method of monitoring intracranial pressure (ICP). Strain gauge deformation sensors are externally glued onto the exposed skull. The signal from these sensors is amplified, filtered, and sent to a computer with appropriate software for analysis and data storage. Saline infusions into the spinal channel of rats were performed to produce ICP changes, and minimally invasive ICP and direct Codman intraparenchymal ICP were simultaneously acquired in six animals. The similarity between the invasive and minimally invasive methods in response to ICP increase was assessed using Pearson’s correlation coefficient. It demonstrated good agreement between the two measures &lt;r&gt; = 0.8 ± 0.2, with a range of 0.31-0.99.","author":[{"dropping-particle":"","family":"Vilela","given":"Gustavo Henrique Frigieri","non-dropping-particle":"","parse-names":false,"suffix":""},{"dropping-particle":"","family":"Cabella","given":"Brenno","non-dropping-particle":"","parse-names":false,"suffix":""},{"dropping-particle":"","family":"Mascarenhas","given":"Sérgio","non-dropping-particle":"","parse-names":false,"suffix":""},{"dropping-particle":"","family":"Czosnyka","given":"Marek","non-dropping-particle":"","parse-names":false,"suffix":""},{"dropping-particle":"","family":"Smielewski","given":"Peter","non-dropping-particle":"","parse-names":false,"suffix":""},{"dropping-particle":"","family":"Dias","given":"Celeste","non-dropping-particle":"","parse-names":false,"suffix":""},{"dropping-particle":"","family":"Cardim","given":"Danilo Augusto","non-dropping-particle":"","parse-names":false,"suffix":""},{"dropping-particle":"","family":"Mascarenhas","given":"Yvonne Maria","non-dropping-particle":"","parse-names":false,"suffix":""},{"dropping-particle":"","family":"Wang","given":"Charles Chenwei","non-dropping-particle":"","parse-names":false,"suffix":""},{"dropping-particle":"","family":"Andrade","given":"Rodrigo","non-dropping-particle":"","parse-names":false,"suffix":""},{"dropping-particle":"","family":"Tanaka","given":"Koji","non-dropping-particle":"","parse-names":false,"suffix":""},{"dropping-particle":"","family":"Lopes","given":"Luiza Silva","non-dropping-particle":"","parse-names":false,"suffix":""},{"dropping-particle":"","family":"Colli","given":"Benedicto Oscar","non-dropping-particle":"","parse-names":false,"suffix":""}],"container-title":"Acta Neurochirurgica, Supplementum","id":"ITEM-1","issued":{"date-parts":[["2016"]]},"page":"97-100","title":"Validation of a new minimally invasive intracranial pressure monitoring method by direct comparison with an invasive technique","type":"article-journal","volume":"122"},"uris":["http://www.mendeley.com/documents/?uuid=3e0db347-4c48-44a8-a26b-b6744fed74d2"]}],"mendeley":{"formattedCitation":"(23)","plainTextFormattedCitation":"(23)","previouslyFormattedCitation":"(Vilela et al. 2016a)"},"properties":{"noteIndex":0},"schema":"https://github.com/citation-style-language/schema/raw/master/csl-citation.json"}</w:instrText>
      </w:r>
      <w:r w:rsidR="00E43C34" w:rsidRPr="00F62FC9">
        <w:rPr>
          <w:rFonts w:ascii="Calibri" w:hAnsi="Calibri" w:cs="Calibri"/>
          <w:sz w:val="24"/>
          <w:szCs w:val="24"/>
        </w:rPr>
        <w:fldChar w:fldCharType="separate"/>
      </w:r>
      <w:r w:rsidR="003B280C" w:rsidRPr="00F62FC9">
        <w:rPr>
          <w:rFonts w:ascii="Calibri" w:hAnsi="Calibri" w:cs="Calibri"/>
          <w:noProof/>
          <w:sz w:val="24"/>
          <w:szCs w:val="24"/>
        </w:rPr>
        <w:t>(23)</w:t>
      </w:r>
      <w:r w:rsidR="00E43C34" w:rsidRPr="00F62FC9">
        <w:rPr>
          <w:rFonts w:ascii="Calibri" w:hAnsi="Calibri" w:cs="Calibri"/>
          <w:sz w:val="24"/>
          <w:szCs w:val="24"/>
        </w:rPr>
        <w:fldChar w:fldCharType="end"/>
      </w:r>
      <w:r w:rsidR="00E43C34" w:rsidRPr="00F62FC9">
        <w:rPr>
          <w:rFonts w:ascii="Calibri" w:hAnsi="Calibri" w:cs="Calibri"/>
          <w:sz w:val="24"/>
          <w:szCs w:val="24"/>
        </w:rPr>
        <w:t xml:space="preserve">. </w:t>
      </w:r>
      <w:r w:rsidR="00EA33F0" w:rsidRPr="00F62FC9">
        <w:rPr>
          <w:rFonts w:ascii="Calibri" w:hAnsi="Calibri" w:cs="Calibri"/>
          <w:sz w:val="24"/>
          <w:szCs w:val="24"/>
        </w:rPr>
        <w:t>L</w:t>
      </w:r>
      <w:r w:rsidR="00E43C34" w:rsidRPr="00F62FC9">
        <w:rPr>
          <w:rFonts w:ascii="Calibri" w:hAnsi="Calibri" w:cs="Calibri"/>
          <w:sz w:val="24"/>
          <w:szCs w:val="24"/>
        </w:rPr>
        <w:t>ogo após,</w:t>
      </w:r>
      <w:r w:rsidR="00970F9B" w:rsidRPr="00F62FC9">
        <w:rPr>
          <w:rFonts w:ascii="Calibri" w:hAnsi="Calibri" w:cs="Calibri"/>
          <w:sz w:val="24"/>
          <w:szCs w:val="24"/>
        </w:rPr>
        <w:t xml:space="preserve"> em outro estudo,</w:t>
      </w:r>
      <w:r w:rsidR="00E43C34" w:rsidRPr="00F62FC9">
        <w:rPr>
          <w:rFonts w:ascii="Calibri" w:hAnsi="Calibri" w:cs="Calibri"/>
          <w:sz w:val="24"/>
          <w:szCs w:val="24"/>
        </w:rPr>
        <w:t xml:space="preserve"> testaram um dispositivo </w:t>
      </w:r>
      <w:r w:rsidR="00970F9B" w:rsidRPr="00F62FC9">
        <w:rPr>
          <w:rFonts w:ascii="Calibri" w:hAnsi="Calibri" w:cs="Calibri"/>
          <w:sz w:val="24"/>
          <w:szCs w:val="24"/>
        </w:rPr>
        <w:t>não invasivo para medir a PIC (PICni)</w:t>
      </w:r>
      <w:r w:rsidR="00DF0C78" w:rsidRPr="00F62FC9">
        <w:rPr>
          <w:rFonts w:ascii="Calibri" w:hAnsi="Calibri" w:cs="Calibri"/>
          <w:sz w:val="24"/>
          <w:szCs w:val="24"/>
        </w:rPr>
        <w:t xml:space="preserve"> </w:t>
      </w:r>
      <w:r w:rsidR="009B4526" w:rsidRPr="00F62FC9">
        <w:rPr>
          <w:rFonts w:ascii="Calibri" w:hAnsi="Calibri" w:cs="Calibri"/>
          <w:sz w:val="24"/>
          <w:szCs w:val="24"/>
        </w:rPr>
        <w:t xml:space="preserve">contra o </w:t>
      </w:r>
      <w:r w:rsidR="00AD2C68" w:rsidRPr="00F62FC9">
        <w:rPr>
          <w:rFonts w:ascii="Calibri" w:hAnsi="Calibri" w:cs="Calibri"/>
          <w:sz w:val="24"/>
          <w:szCs w:val="24"/>
        </w:rPr>
        <w:t xml:space="preserve">método de </w:t>
      </w:r>
      <w:r w:rsidR="009B4526" w:rsidRPr="00F62FC9">
        <w:rPr>
          <w:rFonts w:ascii="Calibri" w:hAnsi="Calibri" w:cs="Calibri"/>
          <w:sz w:val="24"/>
          <w:szCs w:val="24"/>
        </w:rPr>
        <w:t>PICi padrão-ouro</w:t>
      </w:r>
      <w:r w:rsidR="00B708EF" w:rsidRPr="00F62FC9">
        <w:rPr>
          <w:rFonts w:ascii="Calibri" w:hAnsi="Calibri" w:cs="Calibri"/>
          <w:sz w:val="24"/>
          <w:szCs w:val="24"/>
        </w:rPr>
        <w:t xml:space="preserve">. </w:t>
      </w:r>
      <w:r w:rsidR="00E52C97" w:rsidRPr="00F62FC9">
        <w:rPr>
          <w:rFonts w:ascii="Calibri" w:hAnsi="Calibri" w:cs="Calibri"/>
          <w:sz w:val="24"/>
          <w:szCs w:val="24"/>
        </w:rPr>
        <w:t>Com o</w:t>
      </w:r>
      <w:r w:rsidR="00B708EF" w:rsidRPr="00F62FC9">
        <w:rPr>
          <w:rFonts w:ascii="Calibri" w:hAnsi="Calibri" w:cs="Calibri"/>
          <w:sz w:val="24"/>
          <w:szCs w:val="24"/>
        </w:rPr>
        <w:t xml:space="preserve"> instrumento composto por uma faixa ao redor da cabeça, </w:t>
      </w:r>
      <w:r w:rsidR="00A649A8" w:rsidRPr="00F62FC9">
        <w:rPr>
          <w:rFonts w:ascii="Calibri" w:hAnsi="Calibri" w:cs="Calibri"/>
          <w:sz w:val="24"/>
          <w:szCs w:val="24"/>
        </w:rPr>
        <w:t xml:space="preserve">encontraram um </w:t>
      </w:r>
      <w:r w:rsidR="00A649A8" w:rsidRPr="00F62FC9">
        <w:rPr>
          <w:rFonts w:ascii="Calibri" w:hAnsi="Calibri" w:cs="Calibri"/>
          <w:sz w:val="24"/>
          <w:szCs w:val="24"/>
        </w:rPr>
        <w:lastRenderedPageBreak/>
        <w:t>r = 0,8 ± 0,2 (0,28 – 0,96)</w:t>
      </w:r>
      <w:r w:rsidR="00D04E0F" w:rsidRPr="00F62FC9">
        <w:rPr>
          <w:rFonts w:ascii="Calibri" w:hAnsi="Calibri" w:cs="Calibri"/>
          <w:sz w:val="24"/>
          <w:szCs w:val="24"/>
        </w:rPr>
        <w:t xml:space="preserve"> </w:t>
      </w:r>
      <w:r w:rsidR="00D04E0F" w:rsidRPr="00F62FC9">
        <w:rPr>
          <w:rFonts w:ascii="Calibri" w:hAnsi="Calibri" w:cs="Calibri"/>
          <w:sz w:val="24"/>
          <w:szCs w:val="24"/>
        </w:rPr>
        <w:fldChar w:fldCharType="begin" w:fldLock="1"/>
      </w:r>
      <w:r w:rsidR="003B280C" w:rsidRPr="00F62FC9">
        <w:rPr>
          <w:rFonts w:ascii="Calibri" w:hAnsi="Calibri" w:cs="Calibri"/>
          <w:sz w:val="24"/>
          <w:szCs w:val="24"/>
        </w:rPr>
        <w:instrText>ADDIN CSL_CITATION {"citationItems":[{"id":"ITEM-1","itemData":{"DOI":"10.1007/978-3-319-22533-3_19","ISBN":"9783319225333","ISSN":"21978395","PMID":"27165885","abstract":"In this chapter we present in vivo experiments with a new minimally invasive method of monitoring intracranial pressure (ICP). Strain gauge deformation sensors are externally glued onto the exposed skull. The signal from these sensors is amplified, filtered, and sent to a computer with appropriate software for analysis and data storage. Saline infusions into the spinal channel of rats were performed to produce ICP changes, and minimally invasive ICP and direct Codman intraparenchymal ICP were simultaneously acquired in six animals. The similarity between the invasive and minimally invasive methods in response to ICP increase was assessed using Pearson’s correlation coefficient. It demonstrated good agreement between the two measures &lt;r&gt; = 0.8 ± 0.2, with a range of 0.31-0.99.","author":[{"dropping-particle":"","family":"Vilela","given":"Gustavo Henrique Frigieri","non-dropping-particle":"","parse-names":false,"suffix":""},{"dropping-particle":"","family":"Cabella","given":"Brenno","non-dropping-particle":"","parse-names":false,"suffix":""},{"dropping-particle":"","family":"Mascarenhas","given":"Sérgio","non-dropping-particle":"","parse-names":false,"suffix":""},{"dropping-particle":"","family":"Czosnyka","given":"Marek","non-dropping-particle":"","parse-names":false,"suffix":""},{"dropping-particle":"","family":"Smielewski","given":"Peter","non-dropping-particle":"","parse-names":false,"suffix":""},{"dropping-particle":"","family":"Dias","given":"Celeste","non-dropping-particle":"","parse-names":false,"suffix":""},{"dropping-particle":"","family":"Cardim","given":"Danilo Augusto","non-dropping-particle":"","parse-names":false,"suffix":""},{"dropping-particle":"","family":"Mascarenhas","given":"Yvonne Maria","non-dropping-particle":"","parse-names":false,"suffix":""},{"dropping-particle":"","family":"Wang","given":"Charles Chenwei","non-dropping-particle":"","parse-names":false,"suffix":""},{"dropping-particle":"","family":"Andrade","given":"Rodrigo","non-dropping-particle":"","parse-names":false,"suffix":""},{"dropping-particle":"","family":"Tanaka","given":"Koji","non-dropping-particle":"","parse-names":false,"suffix":""},{"dropping-particle":"","family":"Lopes","given":"Luiza Silva","non-dropping-particle":"","parse-names":false,"suffix":""},{"dropping-particle":"","family":"Colli","given":"Benedicto Oscar","non-dropping-particle":"","parse-names":false,"suffix":""}],"container-title":"Acta Neurochirurgica, Supplementum","id":"ITEM-1","issued":{"date-parts":[["2016"]]},"page":"97-100","title":"Validation of a new Noninvasive intracranial pressure monitoring method by direct comparison with an invasive technique","type":"article-journal","volume":"122"},"uris":["http://www.mendeley.com/documents/?uuid=eac455a0-71e0-435e-9cf4-f2dfd97c5231"]}],"mendeley":{"formattedCitation":"(24)","plainTextFormattedCitation":"(24)","previouslyFormattedCitation":"(Vilela et al. 2016b)"},"properties":{"noteIndex":0},"schema":"https://github.com/citation-style-language/schema/raw/master/csl-citation.json"}</w:instrText>
      </w:r>
      <w:r w:rsidR="00D04E0F" w:rsidRPr="00F62FC9">
        <w:rPr>
          <w:rFonts w:ascii="Calibri" w:hAnsi="Calibri" w:cs="Calibri"/>
          <w:sz w:val="24"/>
          <w:szCs w:val="24"/>
        </w:rPr>
        <w:fldChar w:fldCharType="separate"/>
      </w:r>
      <w:r w:rsidR="003B280C" w:rsidRPr="00F62FC9">
        <w:rPr>
          <w:rFonts w:ascii="Calibri" w:hAnsi="Calibri" w:cs="Calibri"/>
          <w:noProof/>
          <w:sz w:val="24"/>
          <w:szCs w:val="24"/>
        </w:rPr>
        <w:t>(24)</w:t>
      </w:r>
      <w:r w:rsidR="00D04E0F" w:rsidRPr="00F62FC9">
        <w:rPr>
          <w:rFonts w:ascii="Calibri" w:hAnsi="Calibri" w:cs="Calibri"/>
          <w:sz w:val="24"/>
          <w:szCs w:val="24"/>
        </w:rPr>
        <w:fldChar w:fldCharType="end"/>
      </w:r>
      <w:r w:rsidR="003807D4" w:rsidRPr="00F62FC9">
        <w:rPr>
          <w:rFonts w:ascii="Calibri" w:hAnsi="Calibri" w:cs="Calibri"/>
          <w:sz w:val="24"/>
          <w:szCs w:val="24"/>
        </w:rPr>
        <w:t>.</w:t>
      </w:r>
      <w:r w:rsidR="00DA5332" w:rsidRPr="00F62FC9">
        <w:rPr>
          <w:rFonts w:ascii="Calibri" w:hAnsi="Calibri" w:cs="Calibri"/>
          <w:sz w:val="24"/>
          <w:szCs w:val="24"/>
        </w:rPr>
        <w:t xml:space="preserve"> Esses estudos deram origem então ao Brain</w:t>
      </w:r>
      <w:r w:rsidR="00BD6113" w:rsidRPr="00F62FC9">
        <w:rPr>
          <w:rFonts w:ascii="Calibri" w:hAnsi="Calibri" w:cs="Calibri"/>
          <w:sz w:val="24"/>
          <w:szCs w:val="24"/>
        </w:rPr>
        <w:t>4</w:t>
      </w:r>
      <w:r w:rsidR="00DA5332" w:rsidRPr="00F62FC9">
        <w:rPr>
          <w:rFonts w:ascii="Calibri" w:hAnsi="Calibri" w:cs="Calibri"/>
          <w:sz w:val="24"/>
          <w:szCs w:val="24"/>
        </w:rPr>
        <w:t>care®</w:t>
      </w:r>
      <w:r w:rsidR="00BD6113" w:rsidRPr="00F62FC9">
        <w:rPr>
          <w:rFonts w:ascii="Calibri" w:hAnsi="Calibri" w:cs="Calibri"/>
          <w:sz w:val="24"/>
          <w:szCs w:val="24"/>
        </w:rPr>
        <w:t xml:space="preserve">, um método </w:t>
      </w:r>
      <w:r w:rsidR="005849B0" w:rsidRPr="00F62FC9">
        <w:rPr>
          <w:rFonts w:ascii="Calibri" w:hAnsi="Calibri" w:cs="Calibri"/>
          <w:sz w:val="24"/>
          <w:szCs w:val="24"/>
        </w:rPr>
        <w:t xml:space="preserve">mecânico </w:t>
      </w:r>
      <w:r w:rsidR="00AB6157" w:rsidRPr="00F62FC9">
        <w:rPr>
          <w:rFonts w:ascii="Calibri" w:hAnsi="Calibri" w:cs="Calibri"/>
          <w:sz w:val="24"/>
          <w:szCs w:val="24"/>
        </w:rPr>
        <w:t xml:space="preserve">de monitorização PICni, </w:t>
      </w:r>
      <w:r w:rsidR="00494702" w:rsidRPr="00F62FC9">
        <w:rPr>
          <w:rFonts w:ascii="Calibri" w:hAnsi="Calibri" w:cs="Calibri"/>
          <w:sz w:val="24"/>
          <w:szCs w:val="24"/>
        </w:rPr>
        <w:t xml:space="preserve">que é incapaz de medir a PIC absoluta, mas </w:t>
      </w:r>
      <w:r w:rsidR="00C61549" w:rsidRPr="00F62FC9">
        <w:rPr>
          <w:rFonts w:ascii="Calibri" w:hAnsi="Calibri" w:cs="Calibri"/>
          <w:sz w:val="24"/>
          <w:szCs w:val="24"/>
        </w:rPr>
        <w:t xml:space="preserve">que </w:t>
      </w:r>
      <w:r w:rsidR="00494702" w:rsidRPr="00F62FC9">
        <w:rPr>
          <w:rFonts w:ascii="Calibri" w:hAnsi="Calibri" w:cs="Calibri"/>
          <w:sz w:val="24"/>
          <w:szCs w:val="24"/>
        </w:rPr>
        <w:t xml:space="preserve">apresenta considerável </w:t>
      </w:r>
      <w:r w:rsidR="005849B0" w:rsidRPr="00F62FC9">
        <w:rPr>
          <w:rFonts w:ascii="Calibri" w:hAnsi="Calibri" w:cs="Calibri"/>
          <w:sz w:val="24"/>
          <w:szCs w:val="24"/>
        </w:rPr>
        <w:t xml:space="preserve">sensibilidade para avaliar formatos de OP e </w:t>
      </w:r>
      <w:r w:rsidR="00C61549" w:rsidRPr="00F62FC9">
        <w:rPr>
          <w:rFonts w:ascii="Calibri" w:hAnsi="Calibri" w:cs="Calibri"/>
          <w:sz w:val="24"/>
          <w:szCs w:val="24"/>
        </w:rPr>
        <w:t>pelo qual não incorrem os riscos intrínsecos aos métodos invasivos supracitados.</w:t>
      </w:r>
      <w:r w:rsidR="00D5248B" w:rsidRPr="00F62FC9">
        <w:rPr>
          <w:rFonts w:ascii="Calibri" w:hAnsi="Calibri" w:cs="Calibri"/>
          <w:sz w:val="24"/>
          <w:szCs w:val="24"/>
        </w:rPr>
        <w:t xml:space="preserve"> </w:t>
      </w:r>
      <w:r w:rsidR="00E95E85" w:rsidRPr="00F62FC9">
        <w:rPr>
          <w:rFonts w:ascii="Calibri" w:hAnsi="Calibri" w:cs="Calibri"/>
          <w:sz w:val="24"/>
          <w:szCs w:val="24"/>
        </w:rPr>
        <w:t>Essa tecnologia tem sido testada, desde então</w:t>
      </w:r>
      <w:r w:rsidR="00307A49" w:rsidRPr="00F62FC9">
        <w:rPr>
          <w:rFonts w:ascii="Calibri" w:hAnsi="Calibri" w:cs="Calibri"/>
          <w:sz w:val="24"/>
          <w:szCs w:val="24"/>
        </w:rPr>
        <w:t xml:space="preserve"> </w:t>
      </w:r>
      <w:r w:rsidR="00E95E85" w:rsidRPr="00F62FC9">
        <w:rPr>
          <w:rFonts w:ascii="Calibri" w:hAnsi="Calibri" w:cs="Calibri"/>
          <w:sz w:val="24"/>
          <w:szCs w:val="24"/>
        </w:rPr>
        <w:t>em diversos contexto clínicos para avaliar sua aplicabilidade no</w:t>
      </w:r>
      <w:r w:rsidR="00307A49" w:rsidRPr="00F62FC9">
        <w:rPr>
          <w:rFonts w:ascii="Calibri" w:hAnsi="Calibri" w:cs="Calibri"/>
          <w:sz w:val="24"/>
          <w:szCs w:val="24"/>
        </w:rPr>
        <w:t>s</w:t>
      </w:r>
      <w:r w:rsidR="00E95E85" w:rsidRPr="00F62FC9">
        <w:rPr>
          <w:rFonts w:ascii="Calibri" w:hAnsi="Calibri" w:cs="Calibri"/>
          <w:sz w:val="24"/>
          <w:szCs w:val="24"/>
        </w:rPr>
        <w:t xml:space="preserve"> diagnóstico</w:t>
      </w:r>
      <w:r w:rsidR="00307A49" w:rsidRPr="00F62FC9">
        <w:rPr>
          <w:rFonts w:ascii="Calibri" w:hAnsi="Calibri" w:cs="Calibri"/>
          <w:sz w:val="24"/>
          <w:szCs w:val="24"/>
        </w:rPr>
        <w:t xml:space="preserve">s </w:t>
      </w:r>
      <w:r w:rsidR="00E95E85" w:rsidRPr="00F62FC9">
        <w:rPr>
          <w:rFonts w:ascii="Calibri" w:hAnsi="Calibri" w:cs="Calibri"/>
          <w:sz w:val="24"/>
          <w:szCs w:val="24"/>
        </w:rPr>
        <w:t>e prognóstico</w:t>
      </w:r>
      <w:r w:rsidR="00307A49" w:rsidRPr="00F62FC9">
        <w:rPr>
          <w:rFonts w:ascii="Calibri" w:hAnsi="Calibri" w:cs="Calibri"/>
          <w:sz w:val="24"/>
          <w:szCs w:val="24"/>
        </w:rPr>
        <w:t>s</w:t>
      </w:r>
      <w:r w:rsidR="00E95E85" w:rsidRPr="00F62FC9">
        <w:rPr>
          <w:rFonts w:ascii="Calibri" w:hAnsi="Calibri" w:cs="Calibri"/>
          <w:sz w:val="24"/>
          <w:szCs w:val="24"/>
        </w:rPr>
        <w:t xml:space="preserve"> clínico</w:t>
      </w:r>
      <w:r w:rsidR="00307A49" w:rsidRPr="00F62FC9">
        <w:rPr>
          <w:rFonts w:ascii="Calibri" w:hAnsi="Calibri" w:cs="Calibri"/>
          <w:sz w:val="24"/>
          <w:szCs w:val="24"/>
        </w:rPr>
        <w:t>s</w:t>
      </w:r>
      <w:r w:rsidR="00E95E85" w:rsidRPr="00F62FC9">
        <w:rPr>
          <w:rFonts w:ascii="Calibri" w:hAnsi="Calibri" w:cs="Calibri"/>
          <w:sz w:val="24"/>
          <w:szCs w:val="24"/>
        </w:rPr>
        <w:t>.</w:t>
      </w:r>
    </w:p>
    <w:p w14:paraId="63E413D5" w14:textId="0D3021A0" w:rsidR="00C61549" w:rsidRPr="00F62FC9" w:rsidRDefault="00307A49" w:rsidP="000B7BA0">
      <w:pPr>
        <w:ind w:firstLine="360"/>
        <w:jc w:val="both"/>
        <w:rPr>
          <w:rFonts w:ascii="Calibri" w:hAnsi="Calibri" w:cs="Calibri"/>
          <w:sz w:val="24"/>
          <w:szCs w:val="24"/>
        </w:rPr>
      </w:pPr>
      <w:r w:rsidRPr="00F62FC9">
        <w:rPr>
          <w:rFonts w:ascii="Calibri" w:hAnsi="Calibri" w:cs="Calibri"/>
          <w:sz w:val="24"/>
          <w:szCs w:val="24"/>
        </w:rPr>
        <w:t>Para adicionar, u</w:t>
      </w:r>
      <w:r w:rsidR="00D66FB8" w:rsidRPr="00F62FC9">
        <w:rPr>
          <w:rFonts w:ascii="Calibri" w:hAnsi="Calibri" w:cs="Calibri"/>
          <w:sz w:val="24"/>
          <w:szCs w:val="24"/>
        </w:rPr>
        <w:t xml:space="preserve">ma vez que os pulsos na PIC são correlacionados intrinsecamente </w:t>
      </w:r>
      <w:r w:rsidR="004E6F95" w:rsidRPr="00F62FC9">
        <w:rPr>
          <w:rFonts w:ascii="Calibri" w:hAnsi="Calibri" w:cs="Calibri"/>
          <w:sz w:val="24"/>
          <w:szCs w:val="24"/>
        </w:rPr>
        <w:t xml:space="preserve">ao sistema cardiovascular, pode-se ainda analisar a variabilidade </w:t>
      </w:r>
      <w:r w:rsidR="00073DAF" w:rsidRPr="00F62FC9">
        <w:rPr>
          <w:rFonts w:ascii="Calibri" w:hAnsi="Calibri" w:cs="Calibri"/>
          <w:sz w:val="24"/>
          <w:szCs w:val="24"/>
        </w:rPr>
        <w:t xml:space="preserve">na PIC de modo análogo à frequência cardíaca (FC). A variabilidade na frequência cardíaca (VFC) é um indicador </w:t>
      </w:r>
      <w:r w:rsidR="009A2A6F" w:rsidRPr="00F62FC9">
        <w:rPr>
          <w:rFonts w:ascii="Calibri" w:hAnsi="Calibri" w:cs="Calibri"/>
          <w:sz w:val="24"/>
          <w:szCs w:val="24"/>
        </w:rPr>
        <w:t>cujos valores altos estão associados supostamente com melhor grau de ajuste do sistema nervoso autonômico</w:t>
      </w:r>
      <w:r w:rsidR="003C68DE" w:rsidRPr="00F62FC9">
        <w:rPr>
          <w:rFonts w:ascii="Calibri" w:hAnsi="Calibri" w:cs="Calibri"/>
          <w:sz w:val="24"/>
          <w:szCs w:val="24"/>
        </w:rPr>
        <w:t xml:space="preserve"> (SNA)</w:t>
      </w:r>
      <w:r w:rsidR="00D758B7" w:rsidRPr="00F62FC9">
        <w:rPr>
          <w:rFonts w:ascii="Calibri" w:hAnsi="Calibri" w:cs="Calibri"/>
          <w:sz w:val="24"/>
          <w:szCs w:val="24"/>
        </w:rPr>
        <w:t>. Trata-se de uma análise não invasiva e linear simples a partir das variações nas medidas dos intervalos RR (</w:t>
      </w:r>
      <w:r w:rsidR="00D758B7" w:rsidRPr="00F62FC9">
        <w:rPr>
          <w:rFonts w:ascii="Calibri" w:hAnsi="Calibri" w:cs="Calibri"/>
          <w:i/>
          <w:iCs/>
          <w:sz w:val="24"/>
          <w:szCs w:val="24"/>
        </w:rPr>
        <w:t>time domain</w:t>
      </w:r>
      <w:r w:rsidR="00D758B7" w:rsidRPr="00F62FC9">
        <w:rPr>
          <w:rFonts w:ascii="Calibri" w:hAnsi="Calibri" w:cs="Calibri"/>
          <w:sz w:val="24"/>
          <w:szCs w:val="24"/>
        </w:rPr>
        <w:t>) ou de alterações da frequência (</w:t>
      </w:r>
      <w:r w:rsidR="00D758B7" w:rsidRPr="00F62FC9">
        <w:rPr>
          <w:rFonts w:ascii="Calibri" w:hAnsi="Calibri" w:cs="Calibri"/>
          <w:i/>
          <w:iCs/>
          <w:sz w:val="24"/>
          <w:szCs w:val="24"/>
        </w:rPr>
        <w:t>frequency domain</w:t>
      </w:r>
      <w:r w:rsidR="00D758B7" w:rsidRPr="00F62FC9">
        <w:rPr>
          <w:rFonts w:ascii="Calibri" w:hAnsi="Calibri" w:cs="Calibri"/>
          <w:sz w:val="24"/>
          <w:szCs w:val="24"/>
        </w:rPr>
        <w:t xml:space="preserve">). Seus resultados já foram consistentemente correlacionados com diversas condições fisiológicas e patológicas </w:t>
      </w:r>
      <w:r w:rsidR="0072770A" w:rsidRPr="00F62FC9">
        <w:rPr>
          <w:rFonts w:ascii="Calibri" w:hAnsi="Calibri" w:cs="Calibri"/>
          <w:sz w:val="24"/>
          <w:szCs w:val="24"/>
        </w:rPr>
        <w:fldChar w:fldCharType="begin" w:fldLock="1"/>
      </w:r>
      <w:r w:rsidR="003B280C" w:rsidRPr="00F62FC9">
        <w:rPr>
          <w:rFonts w:ascii="Calibri" w:hAnsi="Calibri" w:cs="Calibri"/>
          <w:sz w:val="24"/>
          <w:szCs w:val="24"/>
        </w:rPr>
        <w:instrText>ADDIN CSL_CITATION {"citationItems":[{"id":"ITEM-1","itemData":{"DOI":"10.1590/s0102-76382009000200018","ISSN":"0102-7638","abstract":"Autonomic nervous system (ANS) plays an important role in the regulation of the physiological processes of the human organism during normal and pathological conditions. Among the techniques used in its evaluation, the heart rate variability (HRV) has arising as a simple and non-invasive measure of the autonomic impulses, representing one of the most promising quantitative markers of the autonomic balance. The HRV describes the oscillations in the interval between consecutive heart beats (RR interval), as well as the oscillations between consecutive instantaneous heart rates. It is a measure that can be used to assess the ANS modulation under physiological conditions, such as wakefulness and sleep conditions, different body positions, physical training and also pathological conditions. Changes in the HRV patterns provide a sensible and advanced indicator of health involvements. Higher HRV is a signal of good adaptation and characterizes a health person with efficient autonomic mechanisms, while lower HRV is frequently an indicator of abnormal and insufficient adaptation of the autonomic nervous system, provoking poor patient’s physiological function. Because of its importance as a marker that reflects the ANS activity on the sinus node and as a clinical instrument to assess and identify health involvements, this study reviews conceptual aspects of the HRV, measurement devices, filtering methods, indexes used in the HRV analyses, limitations in the use and clinical applications of the HRV.","author":[{"dropping-particle":"","family":"Vanderlei","given":"Luiz Carlos Marques","non-dropping-particle":"","parse-names":false,"suffix":""},{"dropping-particle":"","family":"Pastre","given":"Carlos Marcelo","non-dropping-particle":"","parse-names":false,"suffix":""},{"dropping-particle":"","family":"Hoshi","given":"Rosângela Akemi","non-dropping-particle":"","parse-names":false,"suffix":""},{"dropping-particle":"de","family":"Carvalho","given":"Tatiana Dias","non-dropping-particle":"","parse-names":false,"suffix":""},{"dropping-particle":"de","family":"Godoy","given":"Moacir Fernandes","non-dropping-particle":"","parse-names":false,"suffix":""}],"container-title":"Revista Brasileira de Cirurgia Cardiovascular","id":"ITEM-1","issue":"2","issued":{"date-parts":[["2009"]]},"page":"205-217","title":"Noções básicas de variabilidade da frequência cardíaca e sua aplicabilidade clínica","type":"article-journal","volume":"24"},"uris":["http://www.mendeley.com/documents/?uuid=2a02057c-41ed-49b3-ba1e-5952927e2e4e"]},{"id":"ITEM-2","itemData":{"DOI":"10.1016/j.bjpt.2019.02.006","ISSN":"18099246","PMID":"30852243","abstract":"Background: Heart rate variability is used as an assessment method for cardiac autonomic modulation. Since the Task Force's publication on heart rate variability in 1996, the European Heart Rhythm Association Position Paper in 2015 and a recent publication in 2017, attention has been paid to recommendations on using heart rate variability analysis methods, as well as their applications in different physiological conditions and clinical studies. This analysis has proved to be useful as a complementary tool for clinical evaluation and to assess the effect of non-pharmacological therapeutic interventions, such as physical exercise programmes, on cardiac autonomic modulation. Objective: The aim of this article is to make recommendations and to develop a checklist of normalisation procedures regarding the use of heart rate variability data collection and analysis methodology, focusing on the cardiology area and cardiac rehabilitation. Methods: Based on previous heart rate variability publications, this paper provides a description of the most common shortcomings of using the analysis methods and considers recommendations and suggestions on how to minimise these occurrences by using a specific checklist. Conclusions: This article includes recommendations and a checklist regarding the use of heart rate variability collection and analysis methods. This work could help improve reporting on clinical evaluation and therapeutic intervention results and consequently, disseminate heart rate variability knowledge.","author":[{"dropping-particle":"","family":"Catai","given":"Aparecida Maria","non-dropping-particle":"","parse-names":false,"suffix":""},{"dropping-particle":"","family":"Pastre","given":"Carlos Marcelo","non-dropping-particle":"","parse-names":false,"suffix":""},{"dropping-particle":"de","family":"Godoy","given":"Moacir Fernades","non-dropping-particle":"","parse-names":false,"suffix":""},{"dropping-particle":"da","family":"Silva","given":"Ester","non-dropping-particle":"","parse-names":false,"suffix":""},{"dropping-particle":"","family":"Takahashi","given":"Anielle Christine de Medeiros","non-dropping-particle":"","parse-names":false,"suffix":""},{"dropping-particle":"","family":"Vanderlei","given":"Luiz Carlos Marques","non-dropping-particle":"","parse-names":false,"suffix":""}],"container-title":"Brazilian Journal of Physical Therapy","id":"ITEM-2","issue":"2","issued":{"date-parts":[["2020"]]},"page":"91-102","publisher":"Associação Brasileira de Pesquisa e Pós-Graduação em Fisioterapia","title":"Heart rate variability: are you using it properly? Standardisation checklist of procedures","type":"article-journal","volume":"24"},"uris":["http://www.mendeley.com/documents/?uuid=4fc133a1-8c47-49fd-996e-0a0a17e66f3d"]}],"mendeley":{"formattedCitation":"(25,26)","plainTextFormattedCitation":"(25,26)","previouslyFormattedCitation":"(Vanderlei et al. 2009; Catai et al. 2020)"},"properties":{"noteIndex":0},"schema":"https://github.com/citation-style-language/schema/raw/master/csl-citation.json"}</w:instrText>
      </w:r>
      <w:r w:rsidR="0072770A" w:rsidRPr="00F62FC9">
        <w:rPr>
          <w:rFonts w:ascii="Calibri" w:hAnsi="Calibri" w:cs="Calibri"/>
          <w:sz w:val="24"/>
          <w:szCs w:val="24"/>
        </w:rPr>
        <w:fldChar w:fldCharType="separate"/>
      </w:r>
      <w:r w:rsidR="003B280C" w:rsidRPr="00F62FC9">
        <w:rPr>
          <w:rFonts w:ascii="Calibri" w:hAnsi="Calibri" w:cs="Calibri"/>
          <w:noProof/>
          <w:sz w:val="24"/>
          <w:szCs w:val="24"/>
        </w:rPr>
        <w:t>(25,26)</w:t>
      </w:r>
      <w:r w:rsidR="0072770A" w:rsidRPr="00F62FC9">
        <w:rPr>
          <w:rFonts w:ascii="Calibri" w:hAnsi="Calibri" w:cs="Calibri"/>
          <w:sz w:val="24"/>
          <w:szCs w:val="24"/>
        </w:rPr>
        <w:fldChar w:fldCharType="end"/>
      </w:r>
      <w:r w:rsidR="009A2A6F" w:rsidRPr="00F62FC9">
        <w:rPr>
          <w:rFonts w:ascii="Calibri" w:hAnsi="Calibri" w:cs="Calibri"/>
          <w:sz w:val="24"/>
          <w:szCs w:val="24"/>
        </w:rPr>
        <w:t xml:space="preserve">. Assim, a VFC </w:t>
      </w:r>
      <w:r w:rsidR="00B8409F" w:rsidRPr="00F62FC9">
        <w:rPr>
          <w:rFonts w:ascii="Calibri" w:hAnsi="Calibri" w:cs="Calibri"/>
          <w:sz w:val="24"/>
          <w:szCs w:val="24"/>
        </w:rPr>
        <w:t>pode</w:t>
      </w:r>
      <w:r w:rsidR="009A2A6F" w:rsidRPr="00F62FC9">
        <w:rPr>
          <w:rFonts w:ascii="Calibri" w:hAnsi="Calibri" w:cs="Calibri"/>
          <w:sz w:val="24"/>
          <w:szCs w:val="24"/>
        </w:rPr>
        <w:t xml:space="preserve"> servir para diagnóstico de saúde geral</w:t>
      </w:r>
      <w:r w:rsidR="000762B0" w:rsidRPr="00F62FC9">
        <w:rPr>
          <w:rFonts w:ascii="Calibri" w:hAnsi="Calibri" w:cs="Calibri"/>
          <w:sz w:val="24"/>
          <w:szCs w:val="24"/>
        </w:rPr>
        <w:t xml:space="preserve">, bem como potencialmente servir de fator </w:t>
      </w:r>
      <w:r w:rsidR="0055396F" w:rsidRPr="00F62FC9">
        <w:rPr>
          <w:rFonts w:ascii="Calibri" w:hAnsi="Calibri" w:cs="Calibri"/>
          <w:sz w:val="24"/>
          <w:szCs w:val="24"/>
        </w:rPr>
        <w:t xml:space="preserve">associado </w:t>
      </w:r>
      <w:r w:rsidR="009D58A4" w:rsidRPr="00F62FC9">
        <w:rPr>
          <w:rFonts w:ascii="Calibri" w:hAnsi="Calibri" w:cs="Calibri"/>
          <w:sz w:val="24"/>
          <w:szCs w:val="24"/>
        </w:rPr>
        <w:t>ao prognóstico do quadro de EH.</w:t>
      </w:r>
    </w:p>
    <w:p w14:paraId="7D43EE36" w14:textId="4B5079AC" w:rsidR="00AF601C" w:rsidRPr="00F62FC9" w:rsidRDefault="00C919A3" w:rsidP="000B7BA0">
      <w:pPr>
        <w:ind w:firstLine="360"/>
        <w:jc w:val="both"/>
        <w:rPr>
          <w:rFonts w:ascii="Calibri" w:hAnsi="Calibri" w:cs="Calibri"/>
          <w:sz w:val="24"/>
          <w:szCs w:val="24"/>
        </w:rPr>
      </w:pPr>
      <w:r w:rsidRPr="00F62FC9">
        <w:rPr>
          <w:rFonts w:ascii="Calibri" w:hAnsi="Calibri" w:cs="Calibri"/>
          <w:sz w:val="24"/>
          <w:szCs w:val="24"/>
        </w:rPr>
        <w:t>Sendo assim</w:t>
      </w:r>
      <w:r w:rsidR="00841527" w:rsidRPr="00F62FC9">
        <w:rPr>
          <w:rFonts w:ascii="Calibri" w:hAnsi="Calibri" w:cs="Calibri"/>
          <w:sz w:val="24"/>
          <w:szCs w:val="24"/>
        </w:rPr>
        <w:t>,</w:t>
      </w:r>
      <w:r w:rsidR="004D6135" w:rsidRPr="00F62FC9">
        <w:rPr>
          <w:rFonts w:ascii="Calibri" w:hAnsi="Calibri" w:cs="Calibri"/>
          <w:sz w:val="24"/>
          <w:szCs w:val="24"/>
        </w:rPr>
        <w:t xml:space="preserve"> </w:t>
      </w:r>
      <w:r w:rsidR="00584AD9" w:rsidRPr="00F62FC9">
        <w:rPr>
          <w:rFonts w:ascii="Calibri" w:hAnsi="Calibri" w:cs="Calibri"/>
          <w:sz w:val="24"/>
          <w:szCs w:val="24"/>
        </w:rPr>
        <w:t>destaca</w:t>
      </w:r>
      <w:r w:rsidR="00493B8E" w:rsidRPr="00F62FC9">
        <w:rPr>
          <w:rFonts w:ascii="Calibri" w:hAnsi="Calibri" w:cs="Calibri"/>
          <w:sz w:val="24"/>
          <w:szCs w:val="24"/>
        </w:rPr>
        <w:t xml:space="preserve">-se que o </w:t>
      </w:r>
      <w:r w:rsidR="004D6135" w:rsidRPr="00F62FC9">
        <w:rPr>
          <w:rFonts w:ascii="Calibri" w:hAnsi="Calibri" w:cs="Calibri"/>
          <w:sz w:val="24"/>
          <w:szCs w:val="24"/>
        </w:rPr>
        <w:t xml:space="preserve">quadro epidemiológico </w:t>
      </w:r>
      <w:r w:rsidR="00DB2E53" w:rsidRPr="00F62FC9">
        <w:rPr>
          <w:rFonts w:ascii="Calibri" w:hAnsi="Calibri" w:cs="Calibri"/>
          <w:sz w:val="24"/>
          <w:szCs w:val="24"/>
        </w:rPr>
        <w:t>brasileiro</w:t>
      </w:r>
      <w:r w:rsidR="005773B9" w:rsidRPr="00F62FC9">
        <w:rPr>
          <w:rFonts w:ascii="Calibri" w:hAnsi="Calibri" w:cs="Calibri"/>
          <w:sz w:val="24"/>
          <w:szCs w:val="24"/>
        </w:rPr>
        <w:t xml:space="preserve"> apresenta </w:t>
      </w:r>
      <w:r w:rsidR="004D6135" w:rsidRPr="00F62FC9">
        <w:rPr>
          <w:rFonts w:ascii="Calibri" w:hAnsi="Calibri" w:cs="Calibri"/>
          <w:sz w:val="24"/>
          <w:szCs w:val="24"/>
        </w:rPr>
        <w:t xml:space="preserve">recorrentes </w:t>
      </w:r>
      <w:r w:rsidR="00D411A6" w:rsidRPr="00F62FC9">
        <w:rPr>
          <w:rFonts w:ascii="Calibri" w:hAnsi="Calibri" w:cs="Calibri"/>
          <w:sz w:val="24"/>
          <w:szCs w:val="24"/>
        </w:rPr>
        <w:t xml:space="preserve">e crescentes </w:t>
      </w:r>
      <w:r w:rsidR="00E15D9E" w:rsidRPr="00F62FC9">
        <w:rPr>
          <w:rFonts w:ascii="Calibri" w:hAnsi="Calibri" w:cs="Calibri"/>
          <w:sz w:val="24"/>
          <w:szCs w:val="24"/>
        </w:rPr>
        <w:t>casos de DHA e DHC</w:t>
      </w:r>
      <w:r w:rsidR="005773B9" w:rsidRPr="00F62FC9">
        <w:rPr>
          <w:rFonts w:ascii="Calibri" w:hAnsi="Calibri" w:cs="Calibri"/>
          <w:sz w:val="24"/>
          <w:szCs w:val="24"/>
        </w:rPr>
        <w:t>. Esses casos</w:t>
      </w:r>
      <w:r w:rsidR="00E15D9E" w:rsidRPr="00F62FC9">
        <w:rPr>
          <w:rFonts w:ascii="Calibri" w:hAnsi="Calibri" w:cs="Calibri"/>
          <w:sz w:val="24"/>
          <w:szCs w:val="24"/>
        </w:rPr>
        <w:t xml:space="preserve"> são normalmente acompanhados por</w:t>
      </w:r>
      <w:r w:rsidR="00090DD6" w:rsidRPr="00F62FC9">
        <w:rPr>
          <w:rFonts w:ascii="Calibri" w:hAnsi="Calibri" w:cs="Calibri"/>
          <w:sz w:val="24"/>
          <w:szCs w:val="24"/>
        </w:rPr>
        <w:t xml:space="preserve"> EH</w:t>
      </w:r>
      <w:r w:rsidR="00BC3AB6" w:rsidRPr="00F62FC9">
        <w:rPr>
          <w:rFonts w:ascii="Calibri" w:hAnsi="Calibri" w:cs="Calibri"/>
          <w:sz w:val="24"/>
          <w:szCs w:val="24"/>
        </w:rPr>
        <w:t xml:space="preserve"> -</w:t>
      </w:r>
      <w:r w:rsidR="00090DD6" w:rsidRPr="00F62FC9">
        <w:rPr>
          <w:rFonts w:ascii="Calibri" w:hAnsi="Calibri" w:cs="Calibri"/>
          <w:sz w:val="24"/>
          <w:szCs w:val="24"/>
        </w:rPr>
        <w:t xml:space="preserve"> que pode se manifestar com </w:t>
      </w:r>
      <w:r w:rsidR="00A76C69" w:rsidRPr="00F62FC9">
        <w:rPr>
          <w:rFonts w:ascii="Calibri" w:hAnsi="Calibri" w:cs="Calibri"/>
          <w:sz w:val="24"/>
          <w:szCs w:val="24"/>
        </w:rPr>
        <w:t>aumento</w:t>
      </w:r>
      <w:r w:rsidR="00572025" w:rsidRPr="00F62FC9">
        <w:rPr>
          <w:rFonts w:ascii="Calibri" w:hAnsi="Calibri" w:cs="Calibri"/>
          <w:sz w:val="24"/>
          <w:szCs w:val="24"/>
        </w:rPr>
        <w:t xml:space="preserve"> na PIC e edema</w:t>
      </w:r>
      <w:r w:rsidR="00DB26E3" w:rsidRPr="00F62FC9">
        <w:rPr>
          <w:rFonts w:ascii="Calibri" w:hAnsi="Calibri" w:cs="Calibri"/>
          <w:sz w:val="24"/>
          <w:szCs w:val="24"/>
        </w:rPr>
        <w:t>.</w:t>
      </w:r>
      <w:r w:rsidR="00A76C69" w:rsidRPr="00F62FC9">
        <w:rPr>
          <w:rFonts w:ascii="Calibri" w:hAnsi="Calibri" w:cs="Calibri"/>
          <w:sz w:val="24"/>
          <w:szCs w:val="24"/>
        </w:rPr>
        <w:t xml:space="preserve"> </w:t>
      </w:r>
      <w:r w:rsidR="00DB26E3" w:rsidRPr="00F62FC9">
        <w:rPr>
          <w:rFonts w:ascii="Calibri" w:hAnsi="Calibri" w:cs="Calibri"/>
          <w:sz w:val="24"/>
          <w:szCs w:val="24"/>
        </w:rPr>
        <w:t>T</w:t>
      </w:r>
      <w:r w:rsidR="00A76C69" w:rsidRPr="00F62FC9">
        <w:rPr>
          <w:rFonts w:ascii="Calibri" w:hAnsi="Calibri" w:cs="Calibri"/>
          <w:sz w:val="24"/>
          <w:szCs w:val="24"/>
        </w:rPr>
        <w:t xml:space="preserve">ecnologias de </w:t>
      </w:r>
      <w:r w:rsidR="00BA55F2" w:rsidRPr="00F62FC9">
        <w:rPr>
          <w:rFonts w:ascii="Calibri" w:hAnsi="Calibri" w:cs="Calibri"/>
          <w:sz w:val="24"/>
          <w:szCs w:val="24"/>
        </w:rPr>
        <w:t xml:space="preserve">monitorização </w:t>
      </w:r>
      <w:r w:rsidR="00BC3AB6" w:rsidRPr="00F62FC9">
        <w:rPr>
          <w:rFonts w:ascii="Calibri" w:hAnsi="Calibri" w:cs="Calibri"/>
          <w:sz w:val="24"/>
          <w:szCs w:val="24"/>
        </w:rPr>
        <w:t xml:space="preserve">da </w:t>
      </w:r>
      <w:r w:rsidR="00A76C69" w:rsidRPr="00F62FC9">
        <w:rPr>
          <w:rFonts w:ascii="Calibri" w:hAnsi="Calibri" w:cs="Calibri"/>
          <w:sz w:val="24"/>
          <w:szCs w:val="24"/>
        </w:rPr>
        <w:t xml:space="preserve">PICni, como a Brain4Care®, </w:t>
      </w:r>
      <w:r w:rsidR="00402154" w:rsidRPr="00F62FC9">
        <w:rPr>
          <w:rFonts w:ascii="Calibri" w:hAnsi="Calibri" w:cs="Calibri"/>
          <w:sz w:val="24"/>
          <w:szCs w:val="24"/>
        </w:rPr>
        <w:t>podem servir como potenciais auxiliares</w:t>
      </w:r>
      <w:r w:rsidR="00A76C69" w:rsidRPr="00F62FC9">
        <w:rPr>
          <w:rFonts w:ascii="Calibri" w:hAnsi="Calibri" w:cs="Calibri"/>
          <w:sz w:val="24"/>
          <w:szCs w:val="24"/>
        </w:rPr>
        <w:t xml:space="preserve"> no </w:t>
      </w:r>
      <w:r w:rsidR="00957C1D" w:rsidRPr="00F62FC9">
        <w:rPr>
          <w:rFonts w:ascii="Calibri" w:hAnsi="Calibri" w:cs="Calibri"/>
          <w:sz w:val="24"/>
          <w:szCs w:val="24"/>
        </w:rPr>
        <w:t xml:space="preserve">diagnóstico e prognóstico desses pacientes. </w:t>
      </w:r>
      <w:r w:rsidR="002B19E2" w:rsidRPr="00F62FC9">
        <w:rPr>
          <w:rFonts w:ascii="Calibri" w:hAnsi="Calibri" w:cs="Calibri"/>
          <w:sz w:val="24"/>
          <w:szCs w:val="24"/>
        </w:rPr>
        <w:t>A mudança no formato de OP</w:t>
      </w:r>
      <w:r w:rsidR="00C36AF8" w:rsidRPr="00F62FC9">
        <w:rPr>
          <w:rFonts w:ascii="Calibri" w:hAnsi="Calibri" w:cs="Calibri"/>
          <w:sz w:val="24"/>
          <w:szCs w:val="24"/>
        </w:rPr>
        <w:t xml:space="preserve"> -</w:t>
      </w:r>
      <w:r w:rsidR="00BE3534" w:rsidRPr="00F62FC9">
        <w:rPr>
          <w:rFonts w:ascii="Calibri" w:hAnsi="Calibri" w:cs="Calibri"/>
          <w:sz w:val="24"/>
          <w:szCs w:val="24"/>
        </w:rPr>
        <w:t xml:space="preserve"> mais sugestiva que a PIC absoluta</w:t>
      </w:r>
      <w:r w:rsidR="00C36AF8" w:rsidRPr="00F62FC9">
        <w:rPr>
          <w:rFonts w:ascii="Calibri" w:hAnsi="Calibri" w:cs="Calibri"/>
          <w:sz w:val="24"/>
          <w:szCs w:val="24"/>
        </w:rPr>
        <w:t xml:space="preserve"> -</w:t>
      </w:r>
      <w:r w:rsidR="002B19E2" w:rsidRPr="00F62FC9">
        <w:rPr>
          <w:rFonts w:ascii="Calibri" w:hAnsi="Calibri" w:cs="Calibri"/>
          <w:sz w:val="24"/>
          <w:szCs w:val="24"/>
        </w:rPr>
        <w:t xml:space="preserve"> poderia </w:t>
      </w:r>
      <w:r w:rsidR="00A9112A" w:rsidRPr="00F62FC9">
        <w:rPr>
          <w:rFonts w:ascii="Calibri" w:hAnsi="Calibri" w:cs="Calibri"/>
          <w:sz w:val="24"/>
          <w:szCs w:val="24"/>
        </w:rPr>
        <w:t xml:space="preserve">indicar </w:t>
      </w:r>
      <w:r w:rsidR="00916048" w:rsidRPr="00F62FC9">
        <w:rPr>
          <w:rFonts w:ascii="Calibri" w:hAnsi="Calibri" w:cs="Calibri"/>
          <w:sz w:val="24"/>
          <w:szCs w:val="24"/>
        </w:rPr>
        <w:t>deterioração do quadro neurológico</w:t>
      </w:r>
      <w:r w:rsidR="0065516B" w:rsidRPr="00F62FC9">
        <w:rPr>
          <w:rFonts w:ascii="Calibri" w:hAnsi="Calibri" w:cs="Calibri"/>
          <w:sz w:val="24"/>
          <w:szCs w:val="24"/>
        </w:rPr>
        <w:t xml:space="preserve"> antes da manifestação clínica em s</w:t>
      </w:r>
      <w:r w:rsidR="00BA55F2" w:rsidRPr="00F62FC9">
        <w:rPr>
          <w:rFonts w:ascii="Calibri" w:hAnsi="Calibri" w:cs="Calibri"/>
          <w:sz w:val="24"/>
          <w:szCs w:val="24"/>
        </w:rPr>
        <w:t xml:space="preserve">i, o que </w:t>
      </w:r>
      <w:r w:rsidR="005E5A54" w:rsidRPr="00F62FC9">
        <w:rPr>
          <w:rFonts w:ascii="Calibri" w:hAnsi="Calibri" w:cs="Calibri"/>
          <w:sz w:val="24"/>
          <w:szCs w:val="24"/>
        </w:rPr>
        <w:t>indicaria</w:t>
      </w:r>
      <w:r w:rsidR="0036015D" w:rsidRPr="00F62FC9">
        <w:rPr>
          <w:rFonts w:ascii="Calibri" w:hAnsi="Calibri" w:cs="Calibri"/>
          <w:sz w:val="24"/>
          <w:szCs w:val="24"/>
        </w:rPr>
        <w:t xml:space="preserve"> </w:t>
      </w:r>
      <w:r w:rsidR="00BA55F2" w:rsidRPr="00F62FC9">
        <w:rPr>
          <w:rFonts w:ascii="Calibri" w:hAnsi="Calibri" w:cs="Calibri"/>
          <w:sz w:val="24"/>
          <w:szCs w:val="24"/>
        </w:rPr>
        <w:t xml:space="preserve">intervenção </w:t>
      </w:r>
      <w:r w:rsidR="0036015D" w:rsidRPr="00F62FC9">
        <w:rPr>
          <w:rFonts w:ascii="Calibri" w:hAnsi="Calibri" w:cs="Calibri"/>
          <w:sz w:val="24"/>
          <w:szCs w:val="24"/>
        </w:rPr>
        <w:t xml:space="preserve">médica </w:t>
      </w:r>
      <w:r w:rsidR="00BA55F2" w:rsidRPr="00F62FC9">
        <w:rPr>
          <w:rFonts w:ascii="Calibri" w:hAnsi="Calibri" w:cs="Calibri"/>
          <w:sz w:val="24"/>
          <w:szCs w:val="24"/>
        </w:rPr>
        <w:t xml:space="preserve">antes </w:t>
      </w:r>
      <w:r w:rsidR="00BB4588" w:rsidRPr="00F62FC9">
        <w:rPr>
          <w:rFonts w:ascii="Calibri" w:hAnsi="Calibri" w:cs="Calibri"/>
          <w:sz w:val="24"/>
          <w:szCs w:val="24"/>
        </w:rPr>
        <w:t>do paciente lograr pontuações mais alt</w:t>
      </w:r>
      <w:r w:rsidR="00D71D07" w:rsidRPr="00F62FC9">
        <w:rPr>
          <w:rFonts w:ascii="Calibri" w:hAnsi="Calibri" w:cs="Calibri"/>
          <w:sz w:val="24"/>
          <w:szCs w:val="24"/>
        </w:rPr>
        <w:t>a</w:t>
      </w:r>
      <w:r w:rsidR="00BB4588" w:rsidRPr="00F62FC9">
        <w:rPr>
          <w:rFonts w:ascii="Calibri" w:hAnsi="Calibri" w:cs="Calibri"/>
          <w:sz w:val="24"/>
          <w:szCs w:val="24"/>
        </w:rPr>
        <w:t xml:space="preserve">s no CWH. </w:t>
      </w:r>
      <w:r w:rsidR="00071891" w:rsidRPr="00F62FC9">
        <w:rPr>
          <w:rFonts w:ascii="Calibri" w:hAnsi="Calibri" w:cs="Calibri"/>
          <w:sz w:val="24"/>
          <w:szCs w:val="24"/>
        </w:rPr>
        <w:t>T</w:t>
      </w:r>
      <w:r w:rsidR="00BB4588" w:rsidRPr="00F62FC9">
        <w:rPr>
          <w:rFonts w:ascii="Calibri" w:hAnsi="Calibri" w:cs="Calibri"/>
          <w:sz w:val="24"/>
          <w:szCs w:val="24"/>
        </w:rPr>
        <w:t xml:space="preserve">ambém, </w:t>
      </w:r>
      <w:r w:rsidR="001355F9" w:rsidRPr="00F62FC9">
        <w:rPr>
          <w:rFonts w:ascii="Calibri" w:hAnsi="Calibri" w:cs="Calibri"/>
          <w:sz w:val="24"/>
          <w:szCs w:val="24"/>
        </w:rPr>
        <w:t xml:space="preserve">poderia permitir que </w:t>
      </w:r>
      <w:r w:rsidR="005942A3" w:rsidRPr="00F62FC9">
        <w:rPr>
          <w:rFonts w:ascii="Calibri" w:hAnsi="Calibri" w:cs="Calibri"/>
          <w:sz w:val="24"/>
          <w:szCs w:val="24"/>
        </w:rPr>
        <w:t xml:space="preserve">uma </w:t>
      </w:r>
      <w:r w:rsidR="001355F9" w:rsidRPr="00F62FC9">
        <w:rPr>
          <w:rFonts w:ascii="Calibri" w:hAnsi="Calibri" w:cs="Calibri"/>
          <w:sz w:val="24"/>
          <w:szCs w:val="24"/>
        </w:rPr>
        <w:t xml:space="preserve">EH </w:t>
      </w:r>
      <w:r w:rsidR="006D7231" w:rsidRPr="00F62FC9">
        <w:rPr>
          <w:rFonts w:ascii="Calibri" w:hAnsi="Calibri" w:cs="Calibri"/>
          <w:sz w:val="24"/>
          <w:szCs w:val="24"/>
        </w:rPr>
        <w:t>mínima</w:t>
      </w:r>
      <w:r w:rsidR="005942A3" w:rsidRPr="00F62FC9">
        <w:rPr>
          <w:rFonts w:ascii="Calibri" w:hAnsi="Calibri" w:cs="Calibri"/>
          <w:sz w:val="24"/>
          <w:szCs w:val="24"/>
        </w:rPr>
        <w:t xml:space="preserve"> </w:t>
      </w:r>
      <w:r w:rsidR="006D7231" w:rsidRPr="00F62FC9">
        <w:rPr>
          <w:rFonts w:ascii="Calibri" w:hAnsi="Calibri" w:cs="Calibri"/>
          <w:sz w:val="24"/>
          <w:szCs w:val="24"/>
        </w:rPr>
        <w:t xml:space="preserve">ou EH </w:t>
      </w:r>
      <w:r w:rsidR="00D41E57" w:rsidRPr="00F62FC9">
        <w:rPr>
          <w:rFonts w:ascii="Calibri" w:hAnsi="Calibri" w:cs="Calibri"/>
          <w:sz w:val="24"/>
          <w:szCs w:val="24"/>
        </w:rPr>
        <w:t>en</w:t>
      </w:r>
      <w:r w:rsidR="006D7231" w:rsidRPr="00F62FC9">
        <w:rPr>
          <w:rFonts w:ascii="Calibri" w:hAnsi="Calibri" w:cs="Calibri"/>
          <w:sz w:val="24"/>
          <w:szCs w:val="24"/>
        </w:rPr>
        <w:t xml:space="preserve">coberta </w:t>
      </w:r>
      <w:r w:rsidR="00F114A0" w:rsidRPr="00F62FC9">
        <w:rPr>
          <w:rFonts w:ascii="Calibri" w:hAnsi="Calibri" w:cs="Calibri"/>
          <w:sz w:val="24"/>
          <w:szCs w:val="24"/>
        </w:rPr>
        <w:t>(CWH</w:t>
      </w:r>
      <w:r w:rsidR="008B33D7" w:rsidRPr="00F62FC9">
        <w:rPr>
          <w:rFonts w:ascii="Calibri" w:hAnsi="Calibri" w:cs="Calibri"/>
          <w:sz w:val="24"/>
          <w:szCs w:val="24"/>
        </w:rPr>
        <w:t>=</w:t>
      </w:r>
      <w:r w:rsidR="00F114A0" w:rsidRPr="00F62FC9">
        <w:rPr>
          <w:rFonts w:ascii="Calibri" w:hAnsi="Calibri" w:cs="Calibri"/>
          <w:sz w:val="24"/>
          <w:szCs w:val="24"/>
        </w:rPr>
        <w:t xml:space="preserve">1) </w:t>
      </w:r>
      <w:r w:rsidR="009F5C5A" w:rsidRPr="00F62FC9">
        <w:rPr>
          <w:rFonts w:ascii="Calibri" w:hAnsi="Calibri" w:cs="Calibri"/>
          <w:sz w:val="24"/>
          <w:szCs w:val="24"/>
        </w:rPr>
        <w:t xml:space="preserve">não </w:t>
      </w:r>
      <w:r w:rsidR="006D7231" w:rsidRPr="00F62FC9">
        <w:rPr>
          <w:rFonts w:ascii="Calibri" w:hAnsi="Calibri" w:cs="Calibri"/>
          <w:sz w:val="24"/>
          <w:szCs w:val="24"/>
        </w:rPr>
        <w:t>evolua para uma EH</w:t>
      </w:r>
      <w:r w:rsidR="009F5C5A" w:rsidRPr="00F62FC9">
        <w:rPr>
          <w:rFonts w:ascii="Calibri" w:hAnsi="Calibri" w:cs="Calibri"/>
          <w:sz w:val="24"/>
          <w:szCs w:val="24"/>
        </w:rPr>
        <w:t xml:space="preserve"> aparente clinicamente</w:t>
      </w:r>
      <w:r w:rsidR="00F114A0" w:rsidRPr="00F62FC9">
        <w:rPr>
          <w:rFonts w:ascii="Calibri" w:hAnsi="Calibri" w:cs="Calibri"/>
          <w:sz w:val="24"/>
          <w:szCs w:val="24"/>
        </w:rPr>
        <w:t xml:space="preserve"> (CWH&gt;1)</w:t>
      </w:r>
      <w:r w:rsidR="0036015D" w:rsidRPr="00F62FC9">
        <w:rPr>
          <w:rFonts w:ascii="Calibri" w:hAnsi="Calibri" w:cs="Calibri"/>
          <w:sz w:val="24"/>
          <w:szCs w:val="24"/>
        </w:rPr>
        <w:t xml:space="preserve">; ou até que uma EH </w:t>
      </w:r>
      <w:r w:rsidR="008B33D7" w:rsidRPr="00F62FC9">
        <w:rPr>
          <w:rFonts w:ascii="Calibri" w:hAnsi="Calibri" w:cs="Calibri"/>
          <w:sz w:val="24"/>
          <w:szCs w:val="24"/>
        </w:rPr>
        <w:t xml:space="preserve">ausente (CWH=0) sequer </w:t>
      </w:r>
      <w:r w:rsidR="00A209D5" w:rsidRPr="00F62FC9">
        <w:rPr>
          <w:rFonts w:ascii="Calibri" w:hAnsi="Calibri" w:cs="Calibri"/>
          <w:sz w:val="24"/>
          <w:szCs w:val="24"/>
        </w:rPr>
        <w:t>se manifeste</w:t>
      </w:r>
      <w:r w:rsidR="008B33D7" w:rsidRPr="00F62FC9">
        <w:rPr>
          <w:rFonts w:ascii="Calibri" w:hAnsi="Calibri" w:cs="Calibri"/>
          <w:sz w:val="24"/>
          <w:szCs w:val="24"/>
        </w:rPr>
        <w:t>.</w:t>
      </w:r>
      <w:r w:rsidR="00962ADF" w:rsidRPr="00F62FC9">
        <w:rPr>
          <w:rFonts w:ascii="Calibri" w:hAnsi="Calibri" w:cs="Calibri"/>
          <w:sz w:val="24"/>
          <w:szCs w:val="24"/>
        </w:rPr>
        <w:t xml:space="preserve"> Além disso, pode ser que </w:t>
      </w:r>
      <w:r w:rsidR="00176F4A" w:rsidRPr="00F62FC9">
        <w:rPr>
          <w:rFonts w:ascii="Calibri" w:hAnsi="Calibri" w:cs="Calibri"/>
          <w:sz w:val="24"/>
          <w:szCs w:val="24"/>
        </w:rPr>
        <w:t xml:space="preserve">alterações fisiopatológicas no </w:t>
      </w:r>
      <w:r w:rsidR="003E5190" w:rsidRPr="00F62FC9">
        <w:rPr>
          <w:rFonts w:ascii="Calibri" w:hAnsi="Calibri" w:cs="Calibri"/>
          <w:sz w:val="24"/>
          <w:szCs w:val="24"/>
        </w:rPr>
        <w:t xml:space="preserve">espaço intracraniano ocorram </w:t>
      </w:r>
      <w:r w:rsidR="00B5152F" w:rsidRPr="00F62FC9">
        <w:rPr>
          <w:rFonts w:ascii="Calibri" w:hAnsi="Calibri" w:cs="Calibri"/>
          <w:sz w:val="24"/>
          <w:szCs w:val="24"/>
        </w:rPr>
        <w:t>antes das</w:t>
      </w:r>
      <w:r w:rsidR="003E5190" w:rsidRPr="00F62FC9">
        <w:rPr>
          <w:rFonts w:ascii="Calibri" w:hAnsi="Calibri" w:cs="Calibri"/>
          <w:sz w:val="24"/>
          <w:szCs w:val="24"/>
        </w:rPr>
        <w:t xml:space="preserve"> </w:t>
      </w:r>
      <w:r w:rsidR="00962ADF" w:rsidRPr="00F62FC9">
        <w:rPr>
          <w:rFonts w:ascii="Calibri" w:hAnsi="Calibri" w:cs="Calibri"/>
          <w:sz w:val="24"/>
          <w:szCs w:val="24"/>
        </w:rPr>
        <w:t xml:space="preserve">manifestações clínicas </w:t>
      </w:r>
      <w:r w:rsidR="00DA6C5D" w:rsidRPr="00F62FC9">
        <w:rPr>
          <w:rFonts w:ascii="Calibri" w:hAnsi="Calibri" w:cs="Calibri"/>
          <w:sz w:val="24"/>
          <w:szCs w:val="24"/>
        </w:rPr>
        <w:t>neurológicas</w:t>
      </w:r>
      <w:r w:rsidR="00B5152F" w:rsidRPr="00F62FC9">
        <w:rPr>
          <w:rFonts w:ascii="Calibri" w:hAnsi="Calibri" w:cs="Calibri"/>
          <w:sz w:val="24"/>
          <w:szCs w:val="24"/>
        </w:rPr>
        <w:t xml:space="preserve"> mínimas</w:t>
      </w:r>
      <w:r w:rsidR="00DA6C5D" w:rsidRPr="00F62FC9">
        <w:rPr>
          <w:rFonts w:ascii="Calibri" w:hAnsi="Calibri" w:cs="Calibri"/>
          <w:sz w:val="24"/>
          <w:szCs w:val="24"/>
        </w:rPr>
        <w:t xml:space="preserve">, criando espaço para novas investigações. </w:t>
      </w:r>
      <w:r w:rsidR="0067029C" w:rsidRPr="00F62FC9">
        <w:rPr>
          <w:rFonts w:ascii="Calibri" w:hAnsi="Calibri" w:cs="Calibri"/>
          <w:sz w:val="24"/>
          <w:szCs w:val="24"/>
        </w:rPr>
        <w:t>E, p</w:t>
      </w:r>
      <w:r w:rsidR="00DA6C5D" w:rsidRPr="00F62FC9">
        <w:rPr>
          <w:rFonts w:ascii="Calibri" w:hAnsi="Calibri" w:cs="Calibri"/>
          <w:sz w:val="24"/>
          <w:szCs w:val="24"/>
        </w:rPr>
        <w:t xml:space="preserve">or fim, indaga-se sobre a capacidade </w:t>
      </w:r>
      <w:r w:rsidR="00376187" w:rsidRPr="00F62FC9">
        <w:rPr>
          <w:rFonts w:ascii="Calibri" w:hAnsi="Calibri" w:cs="Calibri"/>
          <w:sz w:val="24"/>
          <w:szCs w:val="24"/>
        </w:rPr>
        <w:t>da VPIC servir como indicador de saúde geral, aos moldes da VFC.</w:t>
      </w:r>
    </w:p>
    <w:p w14:paraId="28C04C64" w14:textId="77777777" w:rsidR="000C6F99" w:rsidRPr="00F62FC9" w:rsidRDefault="000C6F99" w:rsidP="000B7BA0">
      <w:pPr>
        <w:ind w:firstLine="360"/>
        <w:jc w:val="both"/>
        <w:rPr>
          <w:rFonts w:ascii="Calibri" w:hAnsi="Calibri" w:cs="Calibri"/>
          <w:sz w:val="24"/>
          <w:szCs w:val="24"/>
        </w:rPr>
      </w:pPr>
    </w:p>
    <w:p w14:paraId="27A35E09" w14:textId="77777777" w:rsidR="000F293E" w:rsidRPr="00F62FC9" w:rsidRDefault="000F293E" w:rsidP="00043886">
      <w:pPr>
        <w:pStyle w:val="Ttulo2"/>
        <w:spacing w:line="240" w:lineRule="auto"/>
        <w:rPr>
          <w:rFonts w:ascii="Calibri" w:hAnsi="Calibri" w:cs="Calibri"/>
        </w:rPr>
      </w:pPr>
      <w:bookmarkStart w:id="5" w:name="_Toc64577930"/>
      <w:bookmarkStart w:id="6" w:name="_Toc64577974"/>
      <w:bookmarkStart w:id="7" w:name="_Toc64578290"/>
      <w:bookmarkStart w:id="8" w:name="_Toc64578446"/>
      <w:r w:rsidRPr="00F62FC9">
        <w:rPr>
          <w:rFonts w:ascii="Calibri" w:hAnsi="Calibri" w:cs="Calibri"/>
        </w:rPr>
        <w:t>Justificativas</w:t>
      </w:r>
      <w:bookmarkEnd w:id="5"/>
      <w:bookmarkEnd w:id="6"/>
      <w:bookmarkEnd w:id="7"/>
      <w:bookmarkEnd w:id="8"/>
    </w:p>
    <w:p w14:paraId="09C9577B" w14:textId="4729C41A" w:rsidR="00043886" w:rsidRPr="00F62FC9" w:rsidRDefault="00EB110F" w:rsidP="00043886">
      <w:pPr>
        <w:numPr>
          <w:ilvl w:val="0"/>
          <w:numId w:val="45"/>
        </w:numPr>
        <w:jc w:val="both"/>
        <w:rPr>
          <w:rFonts w:ascii="Calibri" w:eastAsia="Calibri" w:hAnsi="Calibri" w:cs="Calibri"/>
          <w:bCs/>
          <w:sz w:val="24"/>
          <w:szCs w:val="24"/>
        </w:rPr>
      </w:pPr>
      <w:r w:rsidRPr="00F62FC9">
        <w:rPr>
          <w:rFonts w:ascii="Calibri" w:eastAsia="Calibri" w:hAnsi="Calibri" w:cs="Calibri"/>
          <w:bCs/>
          <w:sz w:val="24"/>
          <w:szCs w:val="24"/>
        </w:rPr>
        <w:t xml:space="preserve">Testar um método </w:t>
      </w:r>
      <w:r w:rsidR="00056E4A" w:rsidRPr="00F62FC9">
        <w:rPr>
          <w:rFonts w:ascii="Calibri" w:eastAsia="Calibri" w:hAnsi="Calibri" w:cs="Calibri"/>
          <w:bCs/>
          <w:sz w:val="24"/>
          <w:szCs w:val="24"/>
        </w:rPr>
        <w:t xml:space="preserve">alternativo </w:t>
      </w:r>
      <w:r w:rsidRPr="00F62FC9">
        <w:rPr>
          <w:rFonts w:ascii="Calibri" w:eastAsia="Calibri" w:hAnsi="Calibri" w:cs="Calibri"/>
          <w:bCs/>
          <w:sz w:val="24"/>
          <w:szCs w:val="24"/>
        </w:rPr>
        <w:t xml:space="preserve">para </w:t>
      </w:r>
      <w:r w:rsidR="00056E4A" w:rsidRPr="00F62FC9">
        <w:rPr>
          <w:rFonts w:ascii="Calibri" w:eastAsia="Calibri" w:hAnsi="Calibri" w:cs="Calibri"/>
          <w:bCs/>
          <w:sz w:val="24"/>
          <w:szCs w:val="24"/>
        </w:rPr>
        <w:t xml:space="preserve">monitorização na pressão intracraniana que seja não invasivo e sem os riscos intrínsecos </w:t>
      </w:r>
      <w:r w:rsidR="00346EF8" w:rsidRPr="00F62FC9">
        <w:rPr>
          <w:rFonts w:ascii="Calibri" w:eastAsia="Calibri" w:hAnsi="Calibri" w:cs="Calibri"/>
          <w:bCs/>
          <w:sz w:val="24"/>
          <w:szCs w:val="24"/>
        </w:rPr>
        <w:t xml:space="preserve">a esse tipo de </w:t>
      </w:r>
      <w:r w:rsidR="007F11B9" w:rsidRPr="00F62FC9">
        <w:rPr>
          <w:rFonts w:ascii="Calibri" w:eastAsia="Calibri" w:hAnsi="Calibri" w:cs="Calibri"/>
          <w:bCs/>
          <w:sz w:val="24"/>
          <w:szCs w:val="24"/>
        </w:rPr>
        <w:t>instalaçã</w:t>
      </w:r>
      <w:r w:rsidR="00346EF8" w:rsidRPr="00F62FC9">
        <w:rPr>
          <w:rFonts w:ascii="Calibri" w:eastAsia="Calibri" w:hAnsi="Calibri" w:cs="Calibri"/>
          <w:bCs/>
          <w:sz w:val="24"/>
          <w:szCs w:val="24"/>
        </w:rPr>
        <w:t>o</w:t>
      </w:r>
      <w:r w:rsidR="007F11B9" w:rsidRPr="00F62FC9">
        <w:rPr>
          <w:rFonts w:ascii="Calibri" w:eastAsia="Calibri" w:hAnsi="Calibri" w:cs="Calibri"/>
          <w:bCs/>
          <w:sz w:val="24"/>
          <w:szCs w:val="24"/>
        </w:rPr>
        <w:t>;</w:t>
      </w:r>
    </w:p>
    <w:p w14:paraId="42BF6FB4" w14:textId="1A5144E9" w:rsidR="00043886" w:rsidRPr="00F62FC9" w:rsidRDefault="007F11B9" w:rsidP="00043886">
      <w:pPr>
        <w:numPr>
          <w:ilvl w:val="0"/>
          <w:numId w:val="45"/>
        </w:numPr>
        <w:jc w:val="both"/>
        <w:rPr>
          <w:rFonts w:ascii="Calibri" w:eastAsia="Calibri" w:hAnsi="Calibri" w:cs="Calibri"/>
          <w:bCs/>
          <w:sz w:val="24"/>
          <w:szCs w:val="24"/>
        </w:rPr>
      </w:pPr>
      <w:r w:rsidRPr="00F62FC9">
        <w:rPr>
          <w:rFonts w:ascii="Calibri" w:eastAsia="Calibri" w:hAnsi="Calibri" w:cs="Calibri"/>
          <w:bCs/>
          <w:sz w:val="24"/>
          <w:szCs w:val="24"/>
        </w:rPr>
        <w:t xml:space="preserve">Buscar um instrumento auxiliar de diagnóstico e prognóstico </w:t>
      </w:r>
      <w:r w:rsidR="00E94D2B" w:rsidRPr="00F62FC9">
        <w:rPr>
          <w:rFonts w:ascii="Calibri" w:eastAsia="Calibri" w:hAnsi="Calibri" w:cs="Calibri"/>
          <w:bCs/>
          <w:sz w:val="24"/>
          <w:szCs w:val="24"/>
        </w:rPr>
        <w:t>em</w:t>
      </w:r>
      <w:r w:rsidRPr="00F62FC9">
        <w:rPr>
          <w:rFonts w:ascii="Calibri" w:eastAsia="Calibri" w:hAnsi="Calibri" w:cs="Calibri"/>
          <w:bCs/>
          <w:sz w:val="24"/>
          <w:szCs w:val="24"/>
        </w:rPr>
        <w:t xml:space="preserve"> paciente</w:t>
      </w:r>
      <w:r w:rsidR="00E94D2B" w:rsidRPr="00F62FC9">
        <w:rPr>
          <w:rFonts w:ascii="Calibri" w:eastAsia="Calibri" w:hAnsi="Calibri" w:cs="Calibri"/>
          <w:bCs/>
          <w:sz w:val="24"/>
          <w:szCs w:val="24"/>
        </w:rPr>
        <w:t>s</w:t>
      </w:r>
      <w:r w:rsidRPr="00F62FC9">
        <w:rPr>
          <w:rFonts w:ascii="Calibri" w:eastAsia="Calibri" w:hAnsi="Calibri" w:cs="Calibri"/>
          <w:bCs/>
          <w:sz w:val="24"/>
          <w:szCs w:val="24"/>
        </w:rPr>
        <w:t xml:space="preserve"> com encefalopatia hepática;</w:t>
      </w:r>
    </w:p>
    <w:p w14:paraId="01B47793" w14:textId="200CC3B4" w:rsidR="0024391A" w:rsidRPr="00F62FC9" w:rsidRDefault="000103A3" w:rsidP="00043886">
      <w:pPr>
        <w:numPr>
          <w:ilvl w:val="0"/>
          <w:numId w:val="45"/>
        </w:numPr>
        <w:jc w:val="both"/>
        <w:rPr>
          <w:rFonts w:ascii="Calibri" w:eastAsia="Calibri" w:hAnsi="Calibri" w:cs="Calibri"/>
          <w:bCs/>
          <w:sz w:val="24"/>
          <w:szCs w:val="24"/>
        </w:rPr>
      </w:pPr>
      <w:r w:rsidRPr="00F62FC9">
        <w:rPr>
          <w:rFonts w:ascii="Calibri" w:eastAsia="Calibri" w:hAnsi="Calibri" w:cs="Calibri"/>
          <w:bCs/>
          <w:sz w:val="24"/>
          <w:szCs w:val="24"/>
        </w:rPr>
        <w:t xml:space="preserve">Sugerir uma melhora no protocolo de monitorização da pressão intracraniana no pré e intraoperatório do </w:t>
      </w:r>
      <w:r w:rsidR="00764FE3" w:rsidRPr="00F62FC9">
        <w:rPr>
          <w:rFonts w:ascii="Calibri" w:eastAsia="Calibri" w:hAnsi="Calibri" w:cs="Calibri"/>
          <w:bCs/>
          <w:sz w:val="24"/>
          <w:szCs w:val="24"/>
        </w:rPr>
        <w:t>transplante hepático ortotópico;</w:t>
      </w:r>
    </w:p>
    <w:p w14:paraId="327515BD" w14:textId="33E3EAAC" w:rsidR="00043886" w:rsidRPr="00F62FC9" w:rsidRDefault="00345932" w:rsidP="00764FE3">
      <w:pPr>
        <w:numPr>
          <w:ilvl w:val="0"/>
          <w:numId w:val="45"/>
        </w:numPr>
        <w:jc w:val="both"/>
        <w:rPr>
          <w:rFonts w:ascii="Calibri" w:eastAsia="Calibri" w:hAnsi="Calibri" w:cs="Calibri"/>
          <w:bCs/>
          <w:sz w:val="24"/>
          <w:szCs w:val="24"/>
        </w:rPr>
      </w:pPr>
      <w:r w:rsidRPr="00F62FC9">
        <w:rPr>
          <w:rFonts w:ascii="Calibri" w:eastAsia="Calibri" w:hAnsi="Calibri" w:cs="Calibri"/>
          <w:bCs/>
          <w:sz w:val="24"/>
          <w:szCs w:val="24"/>
        </w:rPr>
        <w:t xml:space="preserve">Utilizar a </w:t>
      </w:r>
      <w:r w:rsidR="00152DA5" w:rsidRPr="00F62FC9">
        <w:rPr>
          <w:rFonts w:ascii="Calibri" w:eastAsia="Calibri" w:hAnsi="Calibri" w:cs="Calibri"/>
          <w:bCs/>
          <w:sz w:val="24"/>
          <w:szCs w:val="24"/>
        </w:rPr>
        <w:t>base de pacientes de um grande hospital escola, referência em transplantes hepáticos</w:t>
      </w:r>
      <w:r w:rsidR="00E94D2B" w:rsidRPr="00F62FC9">
        <w:rPr>
          <w:rFonts w:ascii="Calibri" w:eastAsia="Calibri" w:hAnsi="Calibri" w:cs="Calibri"/>
          <w:bCs/>
          <w:sz w:val="24"/>
          <w:szCs w:val="24"/>
        </w:rPr>
        <w:t>, para mapear o perfil d</w:t>
      </w:r>
      <w:r w:rsidR="008479B9" w:rsidRPr="00F62FC9">
        <w:rPr>
          <w:rFonts w:ascii="Calibri" w:eastAsia="Calibri" w:hAnsi="Calibri" w:cs="Calibri"/>
          <w:bCs/>
          <w:sz w:val="24"/>
          <w:szCs w:val="24"/>
        </w:rPr>
        <w:t>as ondas de pulso da pressão intracraniana em hepatopatas.</w:t>
      </w:r>
    </w:p>
    <w:p w14:paraId="4B3FE4E2" w14:textId="77777777" w:rsidR="00043886" w:rsidRPr="00F62FC9" w:rsidRDefault="00043886" w:rsidP="00043886">
      <w:pPr>
        <w:ind w:left="360"/>
        <w:jc w:val="both"/>
        <w:rPr>
          <w:rFonts w:ascii="Calibri" w:eastAsia="Calibri" w:hAnsi="Calibri" w:cs="Calibri"/>
          <w:bCs/>
          <w:sz w:val="24"/>
          <w:szCs w:val="24"/>
        </w:rPr>
      </w:pPr>
    </w:p>
    <w:p w14:paraId="34FE2D4F" w14:textId="77777777" w:rsidR="001747D0" w:rsidRPr="00F62FC9" w:rsidRDefault="000F293E" w:rsidP="00043886">
      <w:pPr>
        <w:pStyle w:val="Ttulo2"/>
        <w:spacing w:line="240" w:lineRule="auto"/>
        <w:rPr>
          <w:rFonts w:ascii="Calibri" w:eastAsia="Calibri" w:hAnsi="Calibri" w:cs="Calibri"/>
        </w:rPr>
      </w:pPr>
      <w:bookmarkStart w:id="9" w:name="_Toc64577931"/>
      <w:bookmarkStart w:id="10" w:name="_Toc64577975"/>
      <w:bookmarkStart w:id="11" w:name="_Toc64578291"/>
      <w:bookmarkStart w:id="12" w:name="_Toc64578447"/>
      <w:r w:rsidRPr="00F62FC9">
        <w:rPr>
          <w:rFonts w:ascii="Calibri" w:eastAsia="Calibri" w:hAnsi="Calibri" w:cs="Calibri"/>
        </w:rPr>
        <w:t>Objetivo Geral</w:t>
      </w:r>
      <w:bookmarkEnd w:id="9"/>
      <w:bookmarkEnd w:id="10"/>
      <w:bookmarkEnd w:id="11"/>
      <w:bookmarkEnd w:id="12"/>
    </w:p>
    <w:p w14:paraId="4510520C" w14:textId="3C7783AA" w:rsidR="00D66AD6" w:rsidRPr="00F62FC9" w:rsidRDefault="007E3C2E" w:rsidP="00D66AD6">
      <w:pPr>
        <w:numPr>
          <w:ilvl w:val="0"/>
          <w:numId w:val="44"/>
        </w:numPr>
        <w:autoSpaceDE w:val="0"/>
        <w:autoSpaceDN w:val="0"/>
        <w:adjustRightInd w:val="0"/>
        <w:jc w:val="both"/>
        <w:rPr>
          <w:rFonts w:ascii="Calibri" w:eastAsia="Calibri" w:hAnsi="Calibri" w:cs="Calibri"/>
          <w:bCs/>
          <w:sz w:val="24"/>
          <w:szCs w:val="24"/>
        </w:rPr>
      </w:pPr>
      <w:r w:rsidRPr="00F62FC9">
        <w:rPr>
          <w:rFonts w:ascii="Calibri" w:eastAsia="Calibri" w:hAnsi="Calibri" w:cs="Calibri"/>
          <w:bCs/>
          <w:sz w:val="24"/>
          <w:szCs w:val="24"/>
        </w:rPr>
        <w:t>Utilizar um método não invasivo de monitorização da pressão intracraniana para testar o seu uso como auxiliar de diagnóstico precoce</w:t>
      </w:r>
      <w:r w:rsidR="00D66AD6" w:rsidRPr="00F62FC9">
        <w:rPr>
          <w:rFonts w:ascii="Calibri" w:eastAsia="Calibri" w:hAnsi="Calibri" w:cs="Calibri"/>
          <w:bCs/>
          <w:sz w:val="24"/>
          <w:szCs w:val="24"/>
        </w:rPr>
        <w:t xml:space="preserve"> e prognóstico</w:t>
      </w:r>
      <w:r w:rsidRPr="00F62FC9">
        <w:rPr>
          <w:rFonts w:ascii="Calibri" w:eastAsia="Calibri" w:hAnsi="Calibri" w:cs="Calibri"/>
          <w:bCs/>
          <w:sz w:val="24"/>
          <w:szCs w:val="24"/>
        </w:rPr>
        <w:t xml:space="preserve"> </w:t>
      </w:r>
      <w:r w:rsidR="009E1068" w:rsidRPr="00F62FC9">
        <w:rPr>
          <w:rFonts w:ascii="Calibri" w:eastAsia="Calibri" w:hAnsi="Calibri" w:cs="Calibri"/>
          <w:bCs/>
          <w:sz w:val="24"/>
          <w:szCs w:val="24"/>
        </w:rPr>
        <w:t>em</w:t>
      </w:r>
      <w:r w:rsidR="00D66AD6" w:rsidRPr="00F62FC9">
        <w:rPr>
          <w:rFonts w:ascii="Calibri" w:eastAsia="Calibri" w:hAnsi="Calibri" w:cs="Calibri"/>
          <w:bCs/>
          <w:sz w:val="24"/>
          <w:szCs w:val="24"/>
        </w:rPr>
        <w:t xml:space="preserve"> paciente</w:t>
      </w:r>
      <w:r w:rsidR="009E1068" w:rsidRPr="00F62FC9">
        <w:rPr>
          <w:rFonts w:ascii="Calibri" w:eastAsia="Calibri" w:hAnsi="Calibri" w:cs="Calibri"/>
          <w:bCs/>
          <w:sz w:val="24"/>
          <w:szCs w:val="24"/>
        </w:rPr>
        <w:t>s</w:t>
      </w:r>
      <w:r w:rsidR="00D66AD6" w:rsidRPr="00F62FC9">
        <w:rPr>
          <w:rFonts w:ascii="Calibri" w:eastAsia="Calibri" w:hAnsi="Calibri" w:cs="Calibri"/>
          <w:bCs/>
          <w:sz w:val="24"/>
          <w:szCs w:val="24"/>
        </w:rPr>
        <w:t xml:space="preserve"> com </w:t>
      </w:r>
      <w:r w:rsidRPr="00F62FC9">
        <w:rPr>
          <w:rFonts w:ascii="Calibri" w:eastAsia="Calibri" w:hAnsi="Calibri" w:cs="Calibri"/>
          <w:bCs/>
          <w:sz w:val="24"/>
          <w:szCs w:val="24"/>
        </w:rPr>
        <w:t>encefalopatia hepática</w:t>
      </w:r>
      <w:r w:rsidR="0067029C" w:rsidRPr="00F62FC9">
        <w:rPr>
          <w:rFonts w:ascii="Calibri" w:eastAsia="Calibri" w:hAnsi="Calibri" w:cs="Calibri"/>
          <w:bCs/>
          <w:sz w:val="24"/>
          <w:szCs w:val="24"/>
        </w:rPr>
        <w:t>.</w:t>
      </w:r>
    </w:p>
    <w:p w14:paraId="7ED43891" w14:textId="77777777" w:rsidR="00D66AD6" w:rsidRPr="00F62FC9" w:rsidRDefault="00D66AD6" w:rsidP="00D66AD6">
      <w:pPr>
        <w:autoSpaceDE w:val="0"/>
        <w:autoSpaceDN w:val="0"/>
        <w:adjustRightInd w:val="0"/>
        <w:jc w:val="both"/>
        <w:rPr>
          <w:rFonts w:ascii="Calibri" w:eastAsia="Calibri" w:hAnsi="Calibri" w:cs="Calibri"/>
          <w:bCs/>
          <w:sz w:val="24"/>
          <w:szCs w:val="24"/>
        </w:rPr>
      </w:pPr>
    </w:p>
    <w:p w14:paraId="6B44962E" w14:textId="444868D0" w:rsidR="00055F43" w:rsidRPr="00F62FC9" w:rsidRDefault="000F293E" w:rsidP="00043886">
      <w:pPr>
        <w:pStyle w:val="Ttulo2"/>
        <w:spacing w:line="240" w:lineRule="auto"/>
        <w:rPr>
          <w:rFonts w:ascii="Calibri" w:hAnsi="Calibri" w:cs="Calibri"/>
        </w:rPr>
      </w:pPr>
      <w:bookmarkStart w:id="13" w:name="_Toc64577932"/>
      <w:bookmarkStart w:id="14" w:name="_Toc64577976"/>
      <w:bookmarkStart w:id="15" w:name="_Toc64578292"/>
      <w:bookmarkStart w:id="16" w:name="_Toc64578448"/>
      <w:r w:rsidRPr="00F62FC9">
        <w:rPr>
          <w:rFonts w:ascii="Calibri" w:hAnsi="Calibri" w:cs="Calibri"/>
        </w:rPr>
        <w:lastRenderedPageBreak/>
        <w:t xml:space="preserve">Objetivos </w:t>
      </w:r>
      <w:bookmarkEnd w:id="13"/>
      <w:bookmarkEnd w:id="14"/>
      <w:bookmarkEnd w:id="15"/>
      <w:bookmarkEnd w:id="16"/>
      <w:r w:rsidR="00390CE5" w:rsidRPr="00F62FC9">
        <w:rPr>
          <w:rFonts w:ascii="Calibri" w:hAnsi="Calibri" w:cs="Calibri"/>
        </w:rPr>
        <w:t>Secundários</w:t>
      </w:r>
    </w:p>
    <w:p w14:paraId="3C804C14" w14:textId="459D5347" w:rsidR="00043886" w:rsidRPr="00F62FC9" w:rsidRDefault="007E3C2E" w:rsidP="00043886">
      <w:pPr>
        <w:numPr>
          <w:ilvl w:val="0"/>
          <w:numId w:val="43"/>
        </w:numPr>
        <w:jc w:val="both"/>
        <w:rPr>
          <w:rFonts w:ascii="Calibri" w:hAnsi="Calibri" w:cs="Calibri"/>
          <w:sz w:val="24"/>
          <w:szCs w:val="24"/>
        </w:rPr>
      </w:pPr>
      <w:r w:rsidRPr="00F62FC9">
        <w:rPr>
          <w:rFonts w:ascii="Calibri" w:hAnsi="Calibri" w:cs="Calibri"/>
          <w:sz w:val="24"/>
          <w:szCs w:val="24"/>
        </w:rPr>
        <w:t>Avaliar a relação dos pulsos oscilatórios medidos pelo método não invasivo de avaliação da pressão intracraniana com a variabilidade da frequência cardíaca</w:t>
      </w:r>
      <w:r w:rsidR="006377CB" w:rsidRPr="00F62FC9">
        <w:rPr>
          <w:rFonts w:ascii="Calibri" w:hAnsi="Calibri" w:cs="Calibri"/>
          <w:sz w:val="24"/>
          <w:szCs w:val="24"/>
        </w:rPr>
        <w:t>.</w:t>
      </w:r>
    </w:p>
    <w:p w14:paraId="0E78267F" w14:textId="77777777" w:rsidR="00BB780A" w:rsidRPr="00F62FC9" w:rsidRDefault="00BB780A" w:rsidP="00043886">
      <w:pPr>
        <w:jc w:val="both"/>
        <w:rPr>
          <w:rFonts w:ascii="Calibri" w:hAnsi="Calibri" w:cs="Calibri"/>
          <w:sz w:val="24"/>
          <w:szCs w:val="24"/>
        </w:rPr>
      </w:pPr>
    </w:p>
    <w:p w14:paraId="32699E5E" w14:textId="171C5A60" w:rsidR="009F1D45" w:rsidRPr="00F62FC9" w:rsidRDefault="00CC54DE" w:rsidP="00043886">
      <w:pPr>
        <w:pStyle w:val="Ttulo1"/>
        <w:spacing w:line="240" w:lineRule="auto"/>
        <w:rPr>
          <w:rFonts w:ascii="Calibri" w:hAnsi="Calibri" w:cs="Calibri"/>
        </w:rPr>
      </w:pPr>
      <w:r w:rsidRPr="00F62FC9">
        <w:rPr>
          <w:rFonts w:ascii="Calibri" w:hAnsi="Calibri" w:cs="Calibri"/>
        </w:rPr>
        <w:t>Material e Métodos</w:t>
      </w:r>
    </w:p>
    <w:p w14:paraId="18ED59E3" w14:textId="77777777" w:rsidR="00BF4505" w:rsidRPr="00F62FC9" w:rsidRDefault="00BF4505" w:rsidP="00043886">
      <w:pPr>
        <w:pStyle w:val="Ttulo2"/>
        <w:spacing w:line="240" w:lineRule="auto"/>
        <w:rPr>
          <w:rFonts w:ascii="Calibri" w:eastAsia="Calibri" w:hAnsi="Calibri" w:cs="Calibri"/>
        </w:rPr>
      </w:pPr>
      <w:bookmarkStart w:id="17" w:name="_Toc64577933"/>
      <w:bookmarkStart w:id="18" w:name="_Toc64577977"/>
      <w:bookmarkStart w:id="19" w:name="_Toc64578293"/>
      <w:bookmarkStart w:id="20" w:name="_Toc64578450"/>
      <w:r w:rsidRPr="00F62FC9">
        <w:rPr>
          <w:rFonts w:ascii="Calibri" w:eastAsia="Calibri" w:hAnsi="Calibri" w:cs="Calibri"/>
        </w:rPr>
        <w:t xml:space="preserve">Tipo de </w:t>
      </w:r>
      <w:r w:rsidR="000F293E" w:rsidRPr="00F62FC9">
        <w:rPr>
          <w:rFonts w:ascii="Calibri" w:eastAsia="Calibri" w:hAnsi="Calibri" w:cs="Calibri"/>
        </w:rPr>
        <w:t>E</w:t>
      </w:r>
      <w:r w:rsidRPr="00F62FC9">
        <w:rPr>
          <w:rFonts w:ascii="Calibri" w:eastAsia="Calibri" w:hAnsi="Calibri" w:cs="Calibri"/>
        </w:rPr>
        <w:t>studo</w:t>
      </w:r>
      <w:bookmarkEnd w:id="17"/>
      <w:bookmarkEnd w:id="18"/>
      <w:bookmarkEnd w:id="19"/>
      <w:bookmarkEnd w:id="20"/>
    </w:p>
    <w:p w14:paraId="6900DA26" w14:textId="4DB5FBC3" w:rsidR="00537540" w:rsidRPr="00860904" w:rsidRDefault="00537540" w:rsidP="00602552">
      <w:pPr>
        <w:pStyle w:val="Default"/>
        <w:ind w:firstLine="360"/>
        <w:jc w:val="both"/>
        <w:rPr>
          <w:rFonts w:ascii="Calibri" w:hAnsi="Calibri" w:cs="Calibri"/>
          <w:color w:val="auto"/>
        </w:rPr>
      </w:pPr>
      <w:r w:rsidRPr="00F62FC9">
        <w:rPr>
          <w:rFonts w:ascii="Calibri" w:hAnsi="Calibri" w:cs="Calibri"/>
          <w:color w:val="auto"/>
        </w:rPr>
        <w:t xml:space="preserve">Trata-se de um estudo prospectivo-analítico, </w:t>
      </w:r>
      <w:r w:rsidR="007B32BF" w:rsidRPr="00F62FC9">
        <w:rPr>
          <w:rFonts w:ascii="Calibri" w:hAnsi="Calibri" w:cs="Calibri"/>
          <w:color w:val="auto"/>
        </w:rPr>
        <w:t xml:space="preserve">em que uma ferramenta nova de diagnóstico e prognóstico será testada. Nesse cenário, </w:t>
      </w:r>
      <w:r w:rsidRPr="00F62FC9">
        <w:rPr>
          <w:rFonts w:ascii="Calibri" w:hAnsi="Calibri" w:cs="Calibri"/>
          <w:color w:val="auto"/>
        </w:rPr>
        <w:t>o pesquisador</w:t>
      </w:r>
      <w:r w:rsidR="000A5DC9" w:rsidRPr="00F62FC9">
        <w:rPr>
          <w:rFonts w:ascii="Calibri" w:hAnsi="Calibri" w:cs="Calibri"/>
          <w:color w:val="auto"/>
        </w:rPr>
        <w:t xml:space="preserve"> </w:t>
      </w:r>
      <w:r w:rsidR="002C6122" w:rsidRPr="00F62FC9">
        <w:rPr>
          <w:rFonts w:ascii="Calibri" w:hAnsi="Calibri" w:cs="Calibri"/>
          <w:color w:val="auto"/>
        </w:rPr>
        <w:t>registra</w:t>
      </w:r>
      <w:r w:rsidR="0053773F" w:rsidRPr="00F62FC9">
        <w:rPr>
          <w:rFonts w:ascii="Calibri" w:hAnsi="Calibri" w:cs="Calibri"/>
          <w:color w:val="auto"/>
        </w:rPr>
        <w:t>rá</w:t>
      </w:r>
      <w:r w:rsidR="000A5DC9" w:rsidRPr="00F62FC9">
        <w:rPr>
          <w:rFonts w:ascii="Calibri" w:hAnsi="Calibri" w:cs="Calibri"/>
          <w:color w:val="auto"/>
        </w:rPr>
        <w:t xml:space="preserve"> os casos da doença, seus atributos e a maneira como ela se relaciona com outras condições</w:t>
      </w:r>
      <w:r w:rsidR="00363EB1" w:rsidRPr="00F62FC9">
        <w:rPr>
          <w:rFonts w:ascii="Calibri" w:hAnsi="Calibri" w:cs="Calibri"/>
          <w:color w:val="auto"/>
        </w:rPr>
        <w:t xml:space="preserve">, </w:t>
      </w:r>
      <w:r w:rsidR="00026770">
        <w:rPr>
          <w:rFonts w:ascii="Calibri" w:hAnsi="Calibri" w:cs="Calibri"/>
          <w:color w:val="auto"/>
        </w:rPr>
        <w:t>e instalará</w:t>
      </w:r>
      <w:r w:rsidR="00F03903">
        <w:rPr>
          <w:rFonts w:ascii="Calibri" w:hAnsi="Calibri" w:cs="Calibri"/>
          <w:color w:val="auto"/>
        </w:rPr>
        <w:t xml:space="preserve"> </w:t>
      </w:r>
      <w:r w:rsidR="0052469B" w:rsidRPr="00F62FC9">
        <w:rPr>
          <w:rFonts w:ascii="Calibri" w:hAnsi="Calibri" w:cs="Calibri"/>
          <w:color w:val="auto"/>
        </w:rPr>
        <w:t xml:space="preserve">o </w:t>
      </w:r>
      <w:r w:rsidR="002C6122" w:rsidRPr="00F62FC9">
        <w:rPr>
          <w:rFonts w:ascii="Calibri" w:hAnsi="Calibri" w:cs="Calibri"/>
          <w:color w:val="auto"/>
        </w:rPr>
        <w:t>equipamento</w:t>
      </w:r>
      <w:r w:rsidR="00F03903">
        <w:rPr>
          <w:rFonts w:ascii="Calibri" w:hAnsi="Calibri" w:cs="Calibri"/>
          <w:color w:val="auto"/>
        </w:rPr>
        <w:t xml:space="preserve"> de registro</w:t>
      </w:r>
      <w:r w:rsidR="0096240B" w:rsidRPr="00860904">
        <w:rPr>
          <w:rFonts w:ascii="Calibri" w:hAnsi="Calibri" w:cs="Calibri"/>
          <w:color w:val="auto"/>
        </w:rPr>
        <w:t xml:space="preserve">. Essa ferramenta será </w:t>
      </w:r>
      <w:r w:rsidR="001D7282" w:rsidRPr="00860904">
        <w:rPr>
          <w:rFonts w:ascii="Calibri" w:hAnsi="Calibri" w:cs="Calibri"/>
          <w:color w:val="auto"/>
        </w:rPr>
        <w:t>aplicada</w:t>
      </w:r>
      <w:r w:rsidR="0096240B" w:rsidRPr="00860904">
        <w:rPr>
          <w:rFonts w:ascii="Calibri" w:hAnsi="Calibri" w:cs="Calibri"/>
          <w:color w:val="auto"/>
        </w:rPr>
        <w:t xml:space="preserve"> periodicamente para acompanhar a evolução dos</w:t>
      </w:r>
      <w:r w:rsidR="00363EB1" w:rsidRPr="00860904">
        <w:rPr>
          <w:rFonts w:ascii="Calibri" w:hAnsi="Calibri" w:cs="Calibri"/>
          <w:color w:val="auto"/>
        </w:rPr>
        <w:t xml:space="preserve"> </w:t>
      </w:r>
      <w:r w:rsidR="006C3E3D" w:rsidRPr="00860904">
        <w:rPr>
          <w:rFonts w:ascii="Calibri" w:hAnsi="Calibri" w:cs="Calibri"/>
          <w:color w:val="auto"/>
        </w:rPr>
        <w:t>participantes</w:t>
      </w:r>
      <w:r w:rsidR="0052469B" w:rsidRPr="00860904">
        <w:rPr>
          <w:rFonts w:ascii="Calibri" w:hAnsi="Calibri" w:cs="Calibri"/>
          <w:color w:val="auto"/>
        </w:rPr>
        <w:t>.</w:t>
      </w:r>
      <w:r w:rsidR="009B18CE" w:rsidRPr="00860904">
        <w:rPr>
          <w:rFonts w:ascii="Calibri" w:hAnsi="Calibri" w:cs="Calibri"/>
          <w:color w:val="auto"/>
        </w:rPr>
        <w:t xml:space="preserve"> Além disso, os resultados obtidos serão posteriormente comparados à normalidade descrita na literatura.</w:t>
      </w:r>
    </w:p>
    <w:p w14:paraId="2504DC16" w14:textId="77777777" w:rsidR="00540E6C" w:rsidRPr="00860904" w:rsidRDefault="00540E6C" w:rsidP="00043886">
      <w:pPr>
        <w:pStyle w:val="Default"/>
        <w:jc w:val="both"/>
        <w:rPr>
          <w:rFonts w:ascii="Calibri" w:hAnsi="Calibri" w:cs="Calibri"/>
          <w:color w:val="auto"/>
        </w:rPr>
      </w:pPr>
    </w:p>
    <w:p w14:paraId="467C0C70" w14:textId="77777777" w:rsidR="00DD244A" w:rsidRPr="00860904" w:rsidRDefault="00DD244A" w:rsidP="00043886">
      <w:pPr>
        <w:pStyle w:val="Ttulo2"/>
        <w:spacing w:line="240" w:lineRule="auto"/>
        <w:rPr>
          <w:rFonts w:ascii="Calibri" w:hAnsi="Calibri" w:cs="Calibri"/>
        </w:rPr>
      </w:pPr>
      <w:bookmarkStart w:id="21" w:name="_Toc64577934"/>
      <w:bookmarkStart w:id="22" w:name="_Toc64577978"/>
      <w:bookmarkStart w:id="23" w:name="_Toc64578294"/>
      <w:bookmarkStart w:id="24" w:name="_Toc64578451"/>
      <w:r w:rsidRPr="00860904">
        <w:rPr>
          <w:rFonts w:ascii="Calibri" w:hAnsi="Calibri" w:cs="Calibri"/>
        </w:rPr>
        <w:t>Instrumento e Procedimento para Coleta de Dados</w:t>
      </w:r>
      <w:bookmarkEnd w:id="21"/>
      <w:bookmarkEnd w:id="22"/>
      <w:bookmarkEnd w:id="23"/>
      <w:bookmarkEnd w:id="24"/>
      <w:r w:rsidRPr="00860904">
        <w:rPr>
          <w:rFonts w:ascii="Calibri" w:hAnsi="Calibri" w:cs="Calibri"/>
        </w:rPr>
        <w:t xml:space="preserve"> </w:t>
      </w:r>
    </w:p>
    <w:p w14:paraId="238073AF" w14:textId="38AE206B" w:rsidR="00B7518C" w:rsidRPr="00860904" w:rsidRDefault="00B7518C" w:rsidP="00043886">
      <w:pPr>
        <w:pStyle w:val="Default"/>
        <w:ind w:firstLine="360"/>
        <w:jc w:val="both"/>
        <w:rPr>
          <w:rFonts w:ascii="Calibri" w:hAnsi="Calibri" w:cs="Calibri"/>
        </w:rPr>
      </w:pPr>
      <w:r w:rsidRPr="00860904">
        <w:rPr>
          <w:rFonts w:ascii="Calibri" w:hAnsi="Calibri" w:cs="Calibri"/>
        </w:rPr>
        <w:t xml:space="preserve">O </w:t>
      </w:r>
      <w:r w:rsidR="0055342E">
        <w:rPr>
          <w:rFonts w:ascii="Calibri" w:hAnsi="Calibri" w:cs="Calibri"/>
        </w:rPr>
        <w:t xml:space="preserve">acesso aos pacientes </w:t>
      </w:r>
      <w:r w:rsidR="00F420B6">
        <w:rPr>
          <w:rFonts w:ascii="Calibri" w:hAnsi="Calibri" w:cs="Calibri"/>
        </w:rPr>
        <w:t xml:space="preserve">será possível em face da parceria com o Prof. Dr. Renato </w:t>
      </w:r>
      <w:r w:rsidR="004913E5">
        <w:rPr>
          <w:rFonts w:ascii="Calibri" w:hAnsi="Calibri" w:cs="Calibri"/>
        </w:rPr>
        <w:t>Ferreira da Silva</w:t>
      </w:r>
      <w:r w:rsidR="00CA3D84">
        <w:rPr>
          <w:rFonts w:ascii="Calibri" w:hAnsi="Calibri" w:cs="Calibri"/>
        </w:rPr>
        <w:t xml:space="preserve">, </w:t>
      </w:r>
      <w:r w:rsidRPr="00860904">
        <w:rPr>
          <w:rFonts w:ascii="Calibri" w:hAnsi="Calibri" w:cs="Calibri"/>
        </w:rPr>
        <w:t xml:space="preserve">chefe do serviço de transplante de fígado do </w:t>
      </w:r>
      <w:r w:rsidR="00B37902" w:rsidRPr="00860904">
        <w:rPr>
          <w:rFonts w:ascii="Calibri" w:hAnsi="Calibri" w:cs="Calibri"/>
        </w:rPr>
        <w:t>Hospital de Base de São José do Rio Preto, SP (HB).</w:t>
      </w:r>
      <w:r w:rsidR="00BF3CEC" w:rsidRPr="00860904">
        <w:rPr>
          <w:rFonts w:ascii="Calibri" w:hAnsi="Calibri" w:cs="Calibri"/>
        </w:rPr>
        <w:t xml:space="preserve"> </w:t>
      </w:r>
      <w:r w:rsidR="00085CF8" w:rsidRPr="00860904">
        <w:rPr>
          <w:rFonts w:ascii="Calibri" w:hAnsi="Calibri" w:cs="Calibri"/>
        </w:rPr>
        <w:t xml:space="preserve">Os critérios de elegibilidade dos </w:t>
      </w:r>
      <w:r w:rsidR="006C3E3D" w:rsidRPr="00860904">
        <w:rPr>
          <w:rFonts w:ascii="Calibri" w:hAnsi="Calibri" w:cs="Calibri"/>
        </w:rPr>
        <w:t>participantes</w:t>
      </w:r>
      <w:r w:rsidR="00085CF8" w:rsidRPr="00860904">
        <w:rPr>
          <w:rFonts w:ascii="Calibri" w:hAnsi="Calibri" w:cs="Calibri"/>
        </w:rPr>
        <w:t xml:space="preserve"> analisados </w:t>
      </w:r>
      <w:r w:rsidR="004B6AED" w:rsidRPr="00860904">
        <w:rPr>
          <w:rFonts w:ascii="Calibri" w:hAnsi="Calibri" w:cs="Calibri"/>
        </w:rPr>
        <w:t>incluem</w:t>
      </w:r>
      <w:r w:rsidR="00D3464A" w:rsidRPr="00860904">
        <w:rPr>
          <w:rFonts w:ascii="Calibri" w:hAnsi="Calibri" w:cs="Calibri"/>
        </w:rPr>
        <w:t>:</w:t>
      </w:r>
      <w:r w:rsidR="004B6AED" w:rsidRPr="00860904">
        <w:rPr>
          <w:rFonts w:ascii="Calibri" w:hAnsi="Calibri" w:cs="Calibri"/>
        </w:rPr>
        <w:t xml:space="preserve"> </w:t>
      </w:r>
      <w:r w:rsidR="00CD073A" w:rsidRPr="00860904">
        <w:rPr>
          <w:rFonts w:ascii="Calibri" w:hAnsi="Calibri" w:cs="Calibri"/>
        </w:rPr>
        <w:t>indivíduos</w:t>
      </w:r>
      <w:r w:rsidR="004B6AED" w:rsidRPr="00860904">
        <w:rPr>
          <w:rFonts w:ascii="Calibri" w:hAnsi="Calibri" w:cs="Calibri"/>
        </w:rPr>
        <w:t xml:space="preserve"> com DHA, DHC </w:t>
      </w:r>
      <w:r w:rsidR="00D3464A" w:rsidRPr="00860904">
        <w:rPr>
          <w:rFonts w:ascii="Calibri" w:hAnsi="Calibri" w:cs="Calibri"/>
        </w:rPr>
        <w:t>ou</w:t>
      </w:r>
      <w:r w:rsidR="004B6AED" w:rsidRPr="00860904">
        <w:rPr>
          <w:rFonts w:ascii="Calibri" w:hAnsi="Calibri" w:cs="Calibri"/>
        </w:rPr>
        <w:t xml:space="preserve"> DHCA</w:t>
      </w:r>
      <w:r w:rsidR="00F41B97" w:rsidRPr="00860904">
        <w:rPr>
          <w:rFonts w:ascii="Calibri" w:hAnsi="Calibri" w:cs="Calibri"/>
        </w:rPr>
        <w:t xml:space="preserve">; porém existem contraindicações presentes no manual do equipamento </w:t>
      </w:r>
      <w:r w:rsidR="005652A3" w:rsidRPr="00860904">
        <w:rPr>
          <w:rFonts w:ascii="Calibri" w:hAnsi="Calibri" w:cs="Calibri"/>
        </w:rPr>
        <w:t>uti</w:t>
      </w:r>
      <w:r w:rsidR="00F41B97" w:rsidRPr="00860904">
        <w:rPr>
          <w:rFonts w:ascii="Calibri" w:hAnsi="Calibri" w:cs="Calibri"/>
        </w:rPr>
        <w:t>lizado</w:t>
      </w:r>
      <w:r w:rsidR="00173B8E" w:rsidRPr="00860904">
        <w:rPr>
          <w:rFonts w:ascii="Calibri" w:hAnsi="Calibri" w:cs="Calibri"/>
        </w:rPr>
        <w:t xml:space="preserve"> desqualificadoras</w:t>
      </w:r>
      <w:r w:rsidR="004B6AED" w:rsidRPr="00860904">
        <w:rPr>
          <w:rFonts w:ascii="Calibri" w:hAnsi="Calibri" w:cs="Calibri"/>
        </w:rPr>
        <w:t xml:space="preserve">. </w:t>
      </w:r>
      <w:r w:rsidR="002B1047" w:rsidRPr="00860904">
        <w:rPr>
          <w:rFonts w:ascii="Calibri" w:hAnsi="Calibri" w:cs="Calibri"/>
        </w:rPr>
        <w:t>No momento da coleta,</w:t>
      </w:r>
      <w:r w:rsidR="007C65E2" w:rsidRPr="00860904">
        <w:rPr>
          <w:rFonts w:ascii="Calibri" w:hAnsi="Calibri" w:cs="Calibri"/>
        </w:rPr>
        <w:t xml:space="preserve"> serão aferidos os pulsos da PICni, serão coletados os dados de identificação do prontuário do </w:t>
      </w:r>
      <w:r w:rsidR="00CD073A" w:rsidRPr="00860904">
        <w:rPr>
          <w:rFonts w:ascii="Calibri" w:hAnsi="Calibri" w:cs="Calibri"/>
        </w:rPr>
        <w:t>participante</w:t>
      </w:r>
      <w:r w:rsidR="007C65E2" w:rsidRPr="00860904">
        <w:rPr>
          <w:rFonts w:ascii="Calibri" w:hAnsi="Calibri" w:cs="Calibri"/>
        </w:rPr>
        <w:t xml:space="preserve">; e ainda serão </w:t>
      </w:r>
      <w:r w:rsidR="00DB4B31" w:rsidRPr="00860904">
        <w:rPr>
          <w:rFonts w:ascii="Calibri" w:hAnsi="Calibri" w:cs="Calibri"/>
        </w:rPr>
        <w:t>tabuladas</w:t>
      </w:r>
      <w:r w:rsidR="007C65E2" w:rsidRPr="00860904">
        <w:rPr>
          <w:rFonts w:ascii="Calibri" w:hAnsi="Calibri" w:cs="Calibri"/>
        </w:rPr>
        <w:t xml:space="preserve"> </w:t>
      </w:r>
      <w:r w:rsidR="00DB4B31" w:rsidRPr="00860904">
        <w:rPr>
          <w:rFonts w:ascii="Calibri" w:hAnsi="Calibri" w:cs="Calibri"/>
        </w:rPr>
        <w:t xml:space="preserve">as exposições do </w:t>
      </w:r>
      <w:r w:rsidR="00CD073A" w:rsidRPr="00860904">
        <w:rPr>
          <w:rFonts w:ascii="Calibri" w:hAnsi="Calibri" w:cs="Calibri"/>
        </w:rPr>
        <w:t>participante</w:t>
      </w:r>
      <w:r w:rsidR="00DB4B31" w:rsidRPr="00860904">
        <w:rPr>
          <w:rFonts w:ascii="Calibri" w:hAnsi="Calibri" w:cs="Calibri"/>
        </w:rPr>
        <w:t>, conforme descrito na seção seguinte.</w:t>
      </w:r>
    </w:p>
    <w:p w14:paraId="25260DE4" w14:textId="70919AAA" w:rsidR="00E57180" w:rsidRPr="00860904" w:rsidRDefault="00DB4B31" w:rsidP="00E57180">
      <w:pPr>
        <w:pStyle w:val="Default"/>
        <w:ind w:firstLine="360"/>
        <w:jc w:val="both"/>
        <w:rPr>
          <w:rFonts w:ascii="Calibri" w:hAnsi="Calibri" w:cs="Calibri"/>
        </w:rPr>
      </w:pPr>
      <w:r w:rsidRPr="00860904">
        <w:rPr>
          <w:rFonts w:ascii="Calibri" w:hAnsi="Calibri" w:cs="Calibri"/>
        </w:rPr>
        <w:t xml:space="preserve">O </w:t>
      </w:r>
      <w:r w:rsidR="002A510D" w:rsidRPr="00860904">
        <w:rPr>
          <w:rFonts w:ascii="Calibri" w:hAnsi="Calibri" w:cs="Calibri"/>
        </w:rPr>
        <w:t xml:space="preserve">instrumento utilizado para </w:t>
      </w:r>
      <w:r w:rsidR="00DE63B0" w:rsidRPr="00860904">
        <w:rPr>
          <w:rFonts w:ascii="Calibri" w:hAnsi="Calibri" w:cs="Calibri"/>
        </w:rPr>
        <w:t>o registro dos formatos de OP da PICni será o</w:t>
      </w:r>
      <w:r w:rsidR="00616B1F" w:rsidRPr="00860904">
        <w:rPr>
          <w:rFonts w:ascii="Calibri" w:hAnsi="Calibri" w:cs="Calibri"/>
        </w:rPr>
        <w:t xml:space="preserve"> </w:t>
      </w:r>
      <w:r w:rsidR="000411A8" w:rsidRPr="00860904">
        <w:rPr>
          <w:rFonts w:ascii="Calibri" w:hAnsi="Calibri" w:cs="Calibri"/>
        </w:rPr>
        <w:t>sistema de monitoramento da pressão intracraniana não invasiva sem fio do</w:t>
      </w:r>
      <w:r w:rsidR="00DE63B0" w:rsidRPr="00860904">
        <w:rPr>
          <w:rFonts w:ascii="Calibri" w:hAnsi="Calibri" w:cs="Calibri"/>
        </w:rPr>
        <w:t xml:space="preserve"> </w:t>
      </w:r>
      <w:r w:rsidR="00B44100" w:rsidRPr="00860904">
        <w:rPr>
          <w:rFonts w:ascii="Calibri" w:hAnsi="Calibri" w:cs="Calibri"/>
        </w:rPr>
        <w:t>modelo BWS da</w:t>
      </w:r>
      <w:r w:rsidR="000411A8" w:rsidRPr="00860904">
        <w:rPr>
          <w:rFonts w:ascii="Calibri" w:hAnsi="Calibri" w:cs="Calibri"/>
        </w:rPr>
        <w:t xml:space="preserve"> empresa</w:t>
      </w:r>
      <w:r w:rsidR="00B44100" w:rsidRPr="00860904">
        <w:rPr>
          <w:rFonts w:ascii="Calibri" w:hAnsi="Calibri" w:cs="Calibri"/>
        </w:rPr>
        <w:t xml:space="preserve"> </w:t>
      </w:r>
      <w:r w:rsidR="00DE63B0" w:rsidRPr="00860904">
        <w:rPr>
          <w:rFonts w:ascii="Calibri" w:hAnsi="Calibri" w:cs="Calibri"/>
        </w:rPr>
        <w:t>Brain4Care</w:t>
      </w:r>
      <w:r w:rsidR="00B44100" w:rsidRPr="00860904">
        <w:rPr>
          <w:rFonts w:ascii="Calibri" w:hAnsi="Calibri" w:cs="Calibri"/>
        </w:rPr>
        <w:t xml:space="preserve">. </w:t>
      </w:r>
      <w:r w:rsidR="004E7D54" w:rsidRPr="00860904">
        <w:rPr>
          <w:rFonts w:ascii="Calibri" w:hAnsi="Calibri" w:cs="Calibri"/>
        </w:rPr>
        <w:t xml:space="preserve">Segundo o manual de instruções da empresa, o </w:t>
      </w:r>
      <w:r w:rsidR="00341766" w:rsidRPr="00860904">
        <w:rPr>
          <w:rFonts w:ascii="Calibri" w:hAnsi="Calibri" w:cs="Calibri"/>
        </w:rPr>
        <w:t xml:space="preserve">sistema BWS consiste em três módulos interdependentes: o módulo sensor BcSs-PICNIW-1000, o aplicativo </w:t>
      </w:r>
      <w:r w:rsidR="00F21FEC" w:rsidRPr="00860904">
        <w:rPr>
          <w:rFonts w:ascii="Calibri" w:hAnsi="Calibri" w:cs="Calibri"/>
        </w:rPr>
        <w:t xml:space="preserve">Brain4Care </w:t>
      </w:r>
      <w:r w:rsidR="00341766" w:rsidRPr="00860904">
        <w:rPr>
          <w:rFonts w:ascii="Calibri" w:hAnsi="Calibri" w:cs="Calibri"/>
        </w:rPr>
        <w:t>e o módulo receptor BcAc-DG-1000 . O módulo BcSs-PICNIW-1000 realiza o monitoramento da pressão intracraniana por meio não invasivo e transmite</w:t>
      </w:r>
      <w:r w:rsidR="00C32F10" w:rsidRPr="00860904">
        <w:rPr>
          <w:rFonts w:ascii="Calibri" w:hAnsi="Calibri" w:cs="Calibri"/>
        </w:rPr>
        <w:t>,</w:t>
      </w:r>
      <w:r w:rsidR="00341766" w:rsidRPr="00860904">
        <w:rPr>
          <w:rFonts w:ascii="Calibri" w:hAnsi="Calibri" w:cs="Calibri"/>
        </w:rPr>
        <w:t xml:space="preserve"> </w:t>
      </w:r>
      <w:r w:rsidR="00C32F10" w:rsidRPr="00860904">
        <w:rPr>
          <w:rFonts w:ascii="Calibri" w:hAnsi="Calibri" w:cs="Calibri"/>
        </w:rPr>
        <w:t>via Bluetooth</w:t>
      </w:r>
      <w:r w:rsidR="00341766" w:rsidRPr="00860904">
        <w:rPr>
          <w:rFonts w:ascii="Calibri" w:hAnsi="Calibri" w:cs="Calibri"/>
        </w:rPr>
        <w:t xml:space="preserve">, as informações ao módulo BcAc-DG-1000 e/ou aplicativo </w:t>
      </w:r>
      <w:r w:rsidR="00F21FEC" w:rsidRPr="00860904">
        <w:rPr>
          <w:rFonts w:ascii="Calibri" w:hAnsi="Calibri" w:cs="Calibri"/>
        </w:rPr>
        <w:t>Brain4Care</w:t>
      </w:r>
      <w:r w:rsidR="00341766" w:rsidRPr="00860904">
        <w:rPr>
          <w:rFonts w:ascii="Calibri" w:hAnsi="Calibri" w:cs="Calibri"/>
        </w:rPr>
        <w:t>. O BcAc-DG-1000 é um receptor que se conecta às entradas de pressão invasiva de monitores multiparamétricos e transcreve a morfologia da PIC ao monitor. O</w:t>
      </w:r>
      <w:r w:rsidR="00F21FEC" w:rsidRPr="00860904">
        <w:rPr>
          <w:rFonts w:ascii="Calibri" w:hAnsi="Calibri" w:cs="Calibri"/>
        </w:rPr>
        <w:t xml:space="preserve"> </w:t>
      </w:r>
      <w:r w:rsidR="00341766" w:rsidRPr="00860904">
        <w:rPr>
          <w:rFonts w:ascii="Calibri" w:hAnsi="Calibri" w:cs="Calibri"/>
        </w:rPr>
        <w:t xml:space="preserve">aplicativo </w:t>
      </w:r>
      <w:r w:rsidR="00F21FEC" w:rsidRPr="00860904">
        <w:rPr>
          <w:rFonts w:ascii="Calibri" w:hAnsi="Calibri" w:cs="Calibri"/>
        </w:rPr>
        <w:t xml:space="preserve">Brain4Care </w:t>
      </w:r>
      <w:r w:rsidR="00341766" w:rsidRPr="00860904">
        <w:rPr>
          <w:rFonts w:ascii="Calibri" w:hAnsi="Calibri" w:cs="Calibri"/>
        </w:rPr>
        <w:t>é um aplicativo para tablets e aparelhos celulares</w:t>
      </w:r>
      <w:r w:rsidR="008B26DF" w:rsidRPr="00860904">
        <w:rPr>
          <w:rFonts w:ascii="Calibri" w:hAnsi="Calibri" w:cs="Calibri"/>
        </w:rPr>
        <w:t xml:space="preserve"> (Android apenas)</w:t>
      </w:r>
      <w:r w:rsidR="00341766" w:rsidRPr="00860904">
        <w:rPr>
          <w:rFonts w:ascii="Calibri" w:hAnsi="Calibri" w:cs="Calibri"/>
        </w:rPr>
        <w:t xml:space="preserve"> que se conecta ao BcSs-PICNIW-1000 para receber as</w:t>
      </w:r>
      <w:r w:rsidR="00F21FEC" w:rsidRPr="00860904">
        <w:rPr>
          <w:rFonts w:ascii="Calibri" w:hAnsi="Calibri" w:cs="Calibri"/>
        </w:rPr>
        <w:t xml:space="preserve"> </w:t>
      </w:r>
      <w:r w:rsidR="00341766" w:rsidRPr="00860904">
        <w:rPr>
          <w:rFonts w:ascii="Calibri" w:hAnsi="Calibri" w:cs="Calibri"/>
        </w:rPr>
        <w:t>informações, enviá-las à nuvem e gerar o relatório.</w:t>
      </w:r>
      <w:r w:rsidR="00EF3147" w:rsidRPr="00860904">
        <w:rPr>
          <w:rFonts w:ascii="Calibri" w:hAnsi="Calibri" w:cs="Calibri"/>
        </w:rPr>
        <w:t xml:space="preserve"> O sistema oferece a monitorização da morfologia da curva de variação da PIC, portanto ele não é calibrado em valores absolutos de pressão (mmHg) e seus valores digitais de saída representam apenas dados relativos à expansão craniana.</w:t>
      </w:r>
    </w:p>
    <w:p w14:paraId="5BE45BD3" w14:textId="576A3D47" w:rsidR="00B84B63" w:rsidRPr="00860904" w:rsidRDefault="00245415" w:rsidP="00B84B63">
      <w:pPr>
        <w:pStyle w:val="Default"/>
        <w:keepNext/>
        <w:ind w:firstLine="360"/>
        <w:jc w:val="both"/>
      </w:pPr>
      <w:r w:rsidRPr="00860904">
        <w:rPr>
          <w:rFonts w:ascii="Calibri" w:hAnsi="Calibri" w:cs="Calibri"/>
          <w:noProof/>
        </w:rPr>
        <w:lastRenderedPageBreak/>
        <w:drawing>
          <wp:inline distT="0" distB="0" distL="0" distR="0" wp14:anchorId="4DF6E4D5" wp14:editId="2FFB5149">
            <wp:extent cx="4572000" cy="2667000"/>
            <wp:effectExtent l="0" t="0" r="0" b="0"/>
            <wp:docPr id="8"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14">
                      <a:grayscl/>
                      <a:extLst>
                        <a:ext uri="{28A0092B-C50C-407E-A947-70E740481C1C}">
                          <a14:useLocalDpi xmlns:a14="http://schemas.microsoft.com/office/drawing/2010/main" val="0"/>
                        </a:ext>
                      </a:extLst>
                    </a:blip>
                    <a:srcRect/>
                    <a:stretch>
                      <a:fillRect/>
                    </a:stretch>
                  </pic:blipFill>
                  <pic:spPr bwMode="auto">
                    <a:xfrm>
                      <a:off x="0" y="0"/>
                      <a:ext cx="4572000" cy="2667000"/>
                    </a:xfrm>
                    <a:prstGeom prst="rect">
                      <a:avLst/>
                    </a:prstGeom>
                    <a:noFill/>
                    <a:ln>
                      <a:noFill/>
                    </a:ln>
                  </pic:spPr>
                </pic:pic>
              </a:graphicData>
            </a:graphic>
          </wp:inline>
        </w:drawing>
      </w:r>
    </w:p>
    <w:p w14:paraId="3119DC86" w14:textId="43E23A72" w:rsidR="006D23D2" w:rsidRPr="00860904" w:rsidRDefault="00B84B63" w:rsidP="00B84B63">
      <w:pPr>
        <w:pStyle w:val="Legenda"/>
        <w:jc w:val="both"/>
        <w:rPr>
          <w:rFonts w:asciiTheme="minorHAnsi" w:hAnsiTheme="minorHAnsi" w:cstheme="minorHAnsi"/>
          <w:b w:val="0"/>
          <w:bCs w:val="0"/>
        </w:rPr>
      </w:pPr>
      <w:r w:rsidRPr="00860904">
        <w:rPr>
          <w:rFonts w:asciiTheme="minorHAnsi" w:hAnsiTheme="minorHAnsi" w:cstheme="minorHAnsi"/>
          <w:b w:val="0"/>
          <w:bCs w:val="0"/>
        </w:rPr>
        <w:t xml:space="preserve">Figura </w:t>
      </w:r>
      <w:r w:rsidRPr="00860904">
        <w:rPr>
          <w:rFonts w:asciiTheme="minorHAnsi" w:hAnsiTheme="minorHAnsi" w:cstheme="minorHAnsi"/>
          <w:b w:val="0"/>
          <w:bCs w:val="0"/>
        </w:rPr>
        <w:fldChar w:fldCharType="begin"/>
      </w:r>
      <w:r w:rsidRPr="00860904">
        <w:rPr>
          <w:rFonts w:asciiTheme="minorHAnsi" w:hAnsiTheme="minorHAnsi" w:cstheme="minorHAnsi"/>
          <w:b w:val="0"/>
          <w:bCs w:val="0"/>
        </w:rPr>
        <w:instrText xml:space="preserve"> SEQ Figura \* ARABIC </w:instrText>
      </w:r>
      <w:r w:rsidRPr="00860904">
        <w:rPr>
          <w:rFonts w:asciiTheme="minorHAnsi" w:hAnsiTheme="minorHAnsi" w:cstheme="minorHAnsi"/>
          <w:b w:val="0"/>
          <w:bCs w:val="0"/>
        </w:rPr>
        <w:fldChar w:fldCharType="separate"/>
      </w:r>
      <w:r w:rsidR="009453D8" w:rsidRPr="00860904">
        <w:rPr>
          <w:rFonts w:asciiTheme="minorHAnsi" w:hAnsiTheme="minorHAnsi" w:cstheme="minorHAnsi"/>
          <w:b w:val="0"/>
          <w:bCs w:val="0"/>
          <w:noProof/>
        </w:rPr>
        <w:t>4</w:t>
      </w:r>
      <w:r w:rsidRPr="00860904">
        <w:rPr>
          <w:rFonts w:asciiTheme="minorHAnsi" w:hAnsiTheme="minorHAnsi" w:cstheme="minorHAnsi"/>
          <w:b w:val="0"/>
          <w:bCs w:val="0"/>
        </w:rPr>
        <w:fldChar w:fldCharType="end"/>
      </w:r>
      <w:r w:rsidRPr="00860904">
        <w:rPr>
          <w:rFonts w:asciiTheme="minorHAnsi" w:hAnsiTheme="minorHAnsi" w:cstheme="minorHAnsi"/>
          <w:b w:val="0"/>
          <w:bCs w:val="0"/>
        </w:rPr>
        <w:t xml:space="preserve"> - Fonte: Manual BWS Brain4Care</w:t>
      </w:r>
    </w:p>
    <w:p w14:paraId="733D41C7" w14:textId="77777777" w:rsidR="007145CD" w:rsidRPr="00860904" w:rsidRDefault="007145CD" w:rsidP="001370EA">
      <w:pPr>
        <w:pStyle w:val="Default"/>
        <w:ind w:firstLine="360"/>
        <w:jc w:val="both"/>
        <w:rPr>
          <w:rFonts w:ascii="Calibri" w:hAnsi="Calibri" w:cs="Calibri"/>
        </w:rPr>
      </w:pPr>
    </w:p>
    <w:p w14:paraId="0604681E" w14:textId="568CD110" w:rsidR="00466CCA" w:rsidRPr="00860904" w:rsidRDefault="00466CCA" w:rsidP="001370EA">
      <w:pPr>
        <w:pStyle w:val="Default"/>
        <w:ind w:firstLine="360"/>
        <w:jc w:val="both"/>
        <w:rPr>
          <w:rFonts w:ascii="Calibri" w:hAnsi="Calibri" w:cs="Calibri"/>
        </w:rPr>
      </w:pPr>
      <w:r w:rsidRPr="00860904">
        <w:rPr>
          <w:rFonts w:ascii="Calibri" w:hAnsi="Calibri" w:cs="Calibri"/>
        </w:rPr>
        <w:t xml:space="preserve">Para utilizar o modelo </w:t>
      </w:r>
      <w:r w:rsidR="00896FB0" w:rsidRPr="00860904">
        <w:rPr>
          <w:rFonts w:ascii="Calibri" w:hAnsi="Calibri" w:cs="Calibri"/>
        </w:rPr>
        <w:t>BWS, deve-se: escolher o tamanho de banda de fixação ideal</w:t>
      </w:r>
      <w:r w:rsidR="00464A2A" w:rsidRPr="00860904">
        <w:rPr>
          <w:rFonts w:ascii="Calibri" w:hAnsi="Calibri" w:cs="Calibri"/>
        </w:rPr>
        <w:t xml:space="preserve"> (5 opções)</w:t>
      </w:r>
      <w:r w:rsidR="00896FB0" w:rsidRPr="00860904">
        <w:rPr>
          <w:rFonts w:ascii="Calibri" w:hAnsi="Calibri" w:cs="Calibri"/>
        </w:rPr>
        <w:t xml:space="preserve">; </w:t>
      </w:r>
      <w:r w:rsidR="00C4109D" w:rsidRPr="00860904">
        <w:rPr>
          <w:rFonts w:ascii="Calibri" w:hAnsi="Calibri" w:cs="Calibri"/>
        </w:rPr>
        <w:t>retirar a bateria externa</w:t>
      </w:r>
      <w:r w:rsidR="00882D3E" w:rsidRPr="00860904">
        <w:rPr>
          <w:rFonts w:ascii="Calibri" w:hAnsi="Calibri" w:cs="Calibri"/>
        </w:rPr>
        <w:t xml:space="preserve">; instalar a banda escolhida no equipamento; </w:t>
      </w:r>
      <w:r w:rsidR="008B127F" w:rsidRPr="00860904">
        <w:rPr>
          <w:rFonts w:ascii="Calibri" w:hAnsi="Calibri" w:cs="Calibri"/>
        </w:rPr>
        <w:t xml:space="preserve">posicioná-lo na cabeça e ajustar a cremalheira; </w:t>
      </w:r>
      <w:r w:rsidR="00AB392E" w:rsidRPr="00860904">
        <w:rPr>
          <w:rFonts w:ascii="Calibri" w:hAnsi="Calibri" w:cs="Calibri"/>
        </w:rPr>
        <w:t>ligar o sensor</w:t>
      </w:r>
      <w:r w:rsidR="001B1940" w:rsidRPr="00860904">
        <w:rPr>
          <w:rFonts w:ascii="Calibri" w:hAnsi="Calibri" w:cs="Calibri"/>
        </w:rPr>
        <w:t xml:space="preserve">; pareá-lo com o monitor multiparamétrico ou aplicativo; </w:t>
      </w:r>
      <w:r w:rsidR="00CD273D" w:rsidRPr="00860904">
        <w:rPr>
          <w:rFonts w:ascii="Calibri" w:hAnsi="Calibri" w:cs="Calibri"/>
        </w:rPr>
        <w:t xml:space="preserve">averiguar a tela de posicionamento correto; </w:t>
      </w:r>
      <w:r w:rsidR="001C278B" w:rsidRPr="00860904">
        <w:rPr>
          <w:rFonts w:ascii="Calibri" w:hAnsi="Calibri" w:cs="Calibri"/>
        </w:rPr>
        <w:t xml:space="preserve">e iniciar a monitorização. A tela de monitorização </w:t>
      </w:r>
      <w:r w:rsidR="005A0A0E" w:rsidRPr="00860904">
        <w:rPr>
          <w:rFonts w:ascii="Calibri" w:hAnsi="Calibri" w:cs="Calibri"/>
        </w:rPr>
        <w:t xml:space="preserve">e o </w:t>
      </w:r>
      <w:r w:rsidR="00844ED8" w:rsidRPr="00860904">
        <w:rPr>
          <w:rFonts w:ascii="Calibri" w:hAnsi="Calibri" w:cs="Calibri"/>
        </w:rPr>
        <w:t xml:space="preserve">relatório estão </w:t>
      </w:r>
      <w:r w:rsidR="005A0A0E" w:rsidRPr="00860904">
        <w:rPr>
          <w:rFonts w:ascii="Calibri" w:hAnsi="Calibri" w:cs="Calibri"/>
        </w:rPr>
        <w:t>exemplificad</w:t>
      </w:r>
      <w:r w:rsidR="00844ED8" w:rsidRPr="00860904">
        <w:rPr>
          <w:rFonts w:ascii="Calibri" w:hAnsi="Calibri" w:cs="Calibri"/>
        </w:rPr>
        <w:t>o</w:t>
      </w:r>
      <w:r w:rsidR="005A0A0E" w:rsidRPr="00860904">
        <w:rPr>
          <w:rFonts w:ascii="Calibri" w:hAnsi="Calibri" w:cs="Calibri"/>
        </w:rPr>
        <w:t>s</w:t>
      </w:r>
      <w:r w:rsidR="00DA7AFF" w:rsidRPr="00860904">
        <w:rPr>
          <w:rFonts w:ascii="Calibri" w:hAnsi="Calibri" w:cs="Calibri"/>
        </w:rPr>
        <w:t xml:space="preserve"> na</w:t>
      </w:r>
      <w:r w:rsidR="00844ED8" w:rsidRPr="00860904">
        <w:rPr>
          <w:rFonts w:ascii="Calibri" w:hAnsi="Calibri" w:cs="Calibri"/>
        </w:rPr>
        <w:t>s</w:t>
      </w:r>
      <w:r w:rsidR="00DA7AFF" w:rsidRPr="00860904">
        <w:rPr>
          <w:rFonts w:ascii="Calibri" w:hAnsi="Calibri" w:cs="Calibri"/>
        </w:rPr>
        <w:t xml:space="preserve"> image</w:t>
      </w:r>
      <w:r w:rsidR="00844ED8" w:rsidRPr="00860904">
        <w:rPr>
          <w:rFonts w:ascii="Calibri" w:hAnsi="Calibri" w:cs="Calibri"/>
        </w:rPr>
        <w:t>ns</w:t>
      </w:r>
      <w:r w:rsidR="00DA7AFF" w:rsidRPr="00860904">
        <w:rPr>
          <w:rFonts w:ascii="Calibri" w:hAnsi="Calibri" w:cs="Calibri"/>
        </w:rPr>
        <w:t xml:space="preserve"> abaixo.</w:t>
      </w:r>
    </w:p>
    <w:p w14:paraId="5EFACCB9" w14:textId="77777777" w:rsidR="007145CD" w:rsidRPr="00860904" w:rsidRDefault="007145CD" w:rsidP="001370EA">
      <w:pPr>
        <w:pStyle w:val="Default"/>
        <w:ind w:firstLine="360"/>
        <w:jc w:val="both"/>
        <w:rPr>
          <w:rFonts w:ascii="Calibri" w:hAnsi="Calibri" w:cs="Calibri"/>
        </w:rPr>
      </w:pPr>
    </w:p>
    <w:p w14:paraId="0AB0BD68" w14:textId="5D3468CE" w:rsidR="00B84B63" w:rsidRPr="00860904" w:rsidRDefault="00245415" w:rsidP="00B84B63">
      <w:pPr>
        <w:pStyle w:val="Default"/>
        <w:keepNext/>
        <w:ind w:firstLine="360"/>
        <w:jc w:val="both"/>
      </w:pPr>
      <w:r w:rsidRPr="00860904">
        <w:rPr>
          <w:rFonts w:ascii="Calibri" w:hAnsi="Calibri" w:cs="Calibri"/>
          <w:noProof/>
        </w:rPr>
        <w:drawing>
          <wp:inline distT="0" distB="0" distL="0" distR="0" wp14:anchorId="33CCBF0B" wp14:editId="38101CFA">
            <wp:extent cx="5086350" cy="2428875"/>
            <wp:effectExtent l="0" t="0" r="0" b="0"/>
            <wp:docPr id="9" name="Image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a:grayscl/>
                      <a:extLst>
                        <a:ext uri="{28A0092B-C50C-407E-A947-70E740481C1C}">
                          <a14:useLocalDpi xmlns:a14="http://schemas.microsoft.com/office/drawing/2010/main" val="0"/>
                        </a:ext>
                      </a:extLst>
                    </a:blip>
                    <a:srcRect/>
                    <a:stretch>
                      <a:fillRect/>
                    </a:stretch>
                  </pic:blipFill>
                  <pic:spPr bwMode="auto">
                    <a:xfrm>
                      <a:off x="0" y="0"/>
                      <a:ext cx="5086350" cy="2428875"/>
                    </a:xfrm>
                    <a:prstGeom prst="rect">
                      <a:avLst/>
                    </a:prstGeom>
                    <a:noFill/>
                    <a:ln>
                      <a:noFill/>
                    </a:ln>
                  </pic:spPr>
                </pic:pic>
              </a:graphicData>
            </a:graphic>
          </wp:inline>
        </w:drawing>
      </w:r>
    </w:p>
    <w:p w14:paraId="5C51C289" w14:textId="4C16340C" w:rsidR="00DA7AFF" w:rsidRPr="00860904" w:rsidRDefault="00B84B63" w:rsidP="00B84B63">
      <w:pPr>
        <w:pStyle w:val="Legenda"/>
        <w:jc w:val="both"/>
        <w:rPr>
          <w:rFonts w:asciiTheme="minorHAnsi" w:hAnsiTheme="minorHAnsi" w:cstheme="minorHAnsi"/>
          <w:b w:val="0"/>
          <w:bCs w:val="0"/>
          <w:noProof/>
        </w:rPr>
      </w:pPr>
      <w:r w:rsidRPr="00860904">
        <w:rPr>
          <w:rFonts w:asciiTheme="minorHAnsi" w:hAnsiTheme="minorHAnsi" w:cstheme="minorHAnsi"/>
          <w:b w:val="0"/>
          <w:bCs w:val="0"/>
        </w:rPr>
        <w:t xml:space="preserve">Figura </w:t>
      </w:r>
      <w:r w:rsidRPr="00860904">
        <w:rPr>
          <w:rFonts w:asciiTheme="minorHAnsi" w:hAnsiTheme="minorHAnsi" w:cstheme="minorHAnsi"/>
          <w:b w:val="0"/>
          <w:bCs w:val="0"/>
        </w:rPr>
        <w:fldChar w:fldCharType="begin"/>
      </w:r>
      <w:r w:rsidRPr="00860904">
        <w:rPr>
          <w:rFonts w:asciiTheme="minorHAnsi" w:hAnsiTheme="minorHAnsi" w:cstheme="minorHAnsi"/>
          <w:b w:val="0"/>
          <w:bCs w:val="0"/>
        </w:rPr>
        <w:instrText xml:space="preserve"> SEQ Figura \* ARABIC </w:instrText>
      </w:r>
      <w:r w:rsidRPr="00860904">
        <w:rPr>
          <w:rFonts w:asciiTheme="minorHAnsi" w:hAnsiTheme="minorHAnsi" w:cstheme="minorHAnsi"/>
          <w:b w:val="0"/>
          <w:bCs w:val="0"/>
        </w:rPr>
        <w:fldChar w:fldCharType="separate"/>
      </w:r>
      <w:r w:rsidR="009453D8" w:rsidRPr="00860904">
        <w:rPr>
          <w:rFonts w:asciiTheme="minorHAnsi" w:hAnsiTheme="minorHAnsi" w:cstheme="minorHAnsi"/>
          <w:b w:val="0"/>
          <w:bCs w:val="0"/>
          <w:noProof/>
        </w:rPr>
        <w:t>5</w:t>
      </w:r>
      <w:r w:rsidRPr="00860904">
        <w:rPr>
          <w:rFonts w:asciiTheme="minorHAnsi" w:hAnsiTheme="minorHAnsi" w:cstheme="minorHAnsi"/>
          <w:b w:val="0"/>
          <w:bCs w:val="0"/>
        </w:rPr>
        <w:fldChar w:fldCharType="end"/>
      </w:r>
      <w:r w:rsidRPr="00860904">
        <w:rPr>
          <w:rFonts w:asciiTheme="minorHAnsi" w:hAnsiTheme="minorHAnsi" w:cstheme="minorHAnsi"/>
          <w:b w:val="0"/>
          <w:bCs w:val="0"/>
        </w:rPr>
        <w:t xml:space="preserve"> - Fonte: Manual BWS Brain4Care</w:t>
      </w:r>
    </w:p>
    <w:p w14:paraId="73EA6A8B" w14:textId="45072C22" w:rsidR="00B84B63" w:rsidRPr="00860904" w:rsidRDefault="00245415" w:rsidP="00B84B63">
      <w:pPr>
        <w:pStyle w:val="Default"/>
        <w:keepNext/>
        <w:ind w:firstLine="360"/>
        <w:jc w:val="both"/>
      </w:pPr>
      <w:r w:rsidRPr="00860904">
        <w:rPr>
          <w:rFonts w:ascii="Calibri" w:hAnsi="Calibri" w:cs="Calibri"/>
          <w:noProof/>
        </w:rPr>
        <w:lastRenderedPageBreak/>
        <w:drawing>
          <wp:inline distT="0" distB="0" distL="0" distR="0" wp14:anchorId="652BE738" wp14:editId="1A12244C">
            <wp:extent cx="4867275" cy="2390775"/>
            <wp:effectExtent l="0" t="0" r="0" b="0"/>
            <wp:docPr id="10" name="Image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
                      <a:grayscl/>
                      <a:extLst>
                        <a:ext uri="{28A0092B-C50C-407E-A947-70E740481C1C}">
                          <a14:useLocalDpi xmlns:a14="http://schemas.microsoft.com/office/drawing/2010/main" val="0"/>
                        </a:ext>
                      </a:extLst>
                    </a:blip>
                    <a:srcRect/>
                    <a:stretch>
                      <a:fillRect/>
                    </a:stretch>
                  </pic:blipFill>
                  <pic:spPr bwMode="auto">
                    <a:xfrm>
                      <a:off x="0" y="0"/>
                      <a:ext cx="4867275" cy="2390775"/>
                    </a:xfrm>
                    <a:prstGeom prst="rect">
                      <a:avLst/>
                    </a:prstGeom>
                    <a:noFill/>
                    <a:ln>
                      <a:noFill/>
                    </a:ln>
                  </pic:spPr>
                </pic:pic>
              </a:graphicData>
            </a:graphic>
          </wp:inline>
        </w:drawing>
      </w:r>
    </w:p>
    <w:p w14:paraId="1880210C" w14:textId="71F43A69" w:rsidR="00E57180" w:rsidRPr="00860904" w:rsidRDefault="00B84B63" w:rsidP="00B84B63">
      <w:pPr>
        <w:pStyle w:val="Legenda"/>
        <w:jc w:val="both"/>
        <w:rPr>
          <w:rFonts w:asciiTheme="minorHAnsi" w:hAnsiTheme="minorHAnsi" w:cstheme="minorHAnsi"/>
          <w:b w:val="0"/>
          <w:bCs w:val="0"/>
          <w:noProof/>
        </w:rPr>
      </w:pPr>
      <w:r w:rsidRPr="00860904">
        <w:rPr>
          <w:rFonts w:asciiTheme="minorHAnsi" w:hAnsiTheme="minorHAnsi" w:cstheme="minorHAnsi"/>
          <w:b w:val="0"/>
          <w:bCs w:val="0"/>
        </w:rPr>
        <w:t xml:space="preserve">Figura </w:t>
      </w:r>
      <w:r w:rsidRPr="00860904">
        <w:rPr>
          <w:rFonts w:asciiTheme="minorHAnsi" w:hAnsiTheme="minorHAnsi" w:cstheme="minorHAnsi"/>
          <w:b w:val="0"/>
          <w:bCs w:val="0"/>
        </w:rPr>
        <w:fldChar w:fldCharType="begin"/>
      </w:r>
      <w:r w:rsidRPr="00860904">
        <w:rPr>
          <w:rFonts w:asciiTheme="minorHAnsi" w:hAnsiTheme="minorHAnsi" w:cstheme="minorHAnsi"/>
          <w:b w:val="0"/>
          <w:bCs w:val="0"/>
        </w:rPr>
        <w:instrText xml:space="preserve"> SEQ Figura \* ARABIC </w:instrText>
      </w:r>
      <w:r w:rsidRPr="00860904">
        <w:rPr>
          <w:rFonts w:asciiTheme="minorHAnsi" w:hAnsiTheme="minorHAnsi" w:cstheme="minorHAnsi"/>
          <w:b w:val="0"/>
          <w:bCs w:val="0"/>
        </w:rPr>
        <w:fldChar w:fldCharType="separate"/>
      </w:r>
      <w:r w:rsidR="009453D8" w:rsidRPr="00860904">
        <w:rPr>
          <w:rFonts w:asciiTheme="minorHAnsi" w:hAnsiTheme="minorHAnsi" w:cstheme="minorHAnsi"/>
          <w:b w:val="0"/>
          <w:bCs w:val="0"/>
          <w:noProof/>
        </w:rPr>
        <w:t>6</w:t>
      </w:r>
      <w:r w:rsidRPr="00860904">
        <w:rPr>
          <w:rFonts w:asciiTheme="minorHAnsi" w:hAnsiTheme="minorHAnsi" w:cstheme="minorHAnsi"/>
          <w:b w:val="0"/>
          <w:bCs w:val="0"/>
        </w:rPr>
        <w:fldChar w:fldCharType="end"/>
      </w:r>
      <w:r w:rsidRPr="00860904">
        <w:rPr>
          <w:rFonts w:asciiTheme="minorHAnsi" w:hAnsiTheme="minorHAnsi" w:cstheme="minorHAnsi"/>
          <w:b w:val="0"/>
          <w:bCs w:val="0"/>
        </w:rPr>
        <w:t xml:space="preserve"> - Fonte: Manual BWS Brain4Care</w:t>
      </w:r>
    </w:p>
    <w:p w14:paraId="12C7D6CB" w14:textId="77777777" w:rsidR="00844ED8" w:rsidRPr="00860904" w:rsidRDefault="00844ED8" w:rsidP="001370EA">
      <w:pPr>
        <w:pStyle w:val="Default"/>
        <w:ind w:firstLine="360"/>
        <w:jc w:val="both"/>
        <w:rPr>
          <w:rFonts w:ascii="Calibri" w:hAnsi="Calibri" w:cs="Calibri"/>
        </w:rPr>
      </w:pPr>
    </w:p>
    <w:p w14:paraId="47A621DD" w14:textId="61515ECB" w:rsidR="005652A3" w:rsidRPr="00860904" w:rsidRDefault="005652A3" w:rsidP="001370EA">
      <w:pPr>
        <w:pStyle w:val="Default"/>
        <w:ind w:firstLine="360"/>
        <w:jc w:val="both"/>
        <w:rPr>
          <w:rFonts w:ascii="Calibri" w:hAnsi="Calibri" w:cs="Calibri"/>
        </w:rPr>
      </w:pPr>
      <w:r w:rsidRPr="00860904">
        <w:rPr>
          <w:rFonts w:ascii="Calibri" w:hAnsi="Calibri" w:cs="Calibri"/>
        </w:rPr>
        <w:t xml:space="preserve">O uso desse equipamento é contraindicado em </w:t>
      </w:r>
      <w:r w:rsidR="00BC3483" w:rsidRPr="00860904">
        <w:rPr>
          <w:rFonts w:ascii="Calibri" w:hAnsi="Calibri" w:cs="Calibri"/>
        </w:rPr>
        <w:t>participantes</w:t>
      </w:r>
      <w:r w:rsidRPr="00860904">
        <w:rPr>
          <w:rFonts w:ascii="Calibri" w:hAnsi="Calibri" w:cs="Calibri"/>
        </w:rPr>
        <w:t xml:space="preserve"> que tenham</w:t>
      </w:r>
      <w:r w:rsidR="001370EA" w:rsidRPr="00860904">
        <w:rPr>
          <w:rFonts w:ascii="Calibri" w:hAnsi="Calibri" w:cs="Calibri"/>
        </w:rPr>
        <w:t xml:space="preserve">: realizado craniectomia descompressiva; defeitos cranianos (porção do crânio faltando); </w:t>
      </w:r>
      <w:r w:rsidR="00BC3483" w:rsidRPr="00860904">
        <w:rPr>
          <w:rFonts w:ascii="Calibri" w:hAnsi="Calibri" w:cs="Calibri"/>
        </w:rPr>
        <w:t>participantes</w:t>
      </w:r>
      <w:r w:rsidR="001370EA" w:rsidRPr="00860904">
        <w:rPr>
          <w:rFonts w:ascii="Calibri" w:hAnsi="Calibri" w:cs="Calibri"/>
        </w:rPr>
        <w:t xml:space="preserve"> com hipersensibilidade aos componentes do sensor; e demais condições </w:t>
      </w:r>
      <w:r w:rsidR="006F76F0" w:rsidRPr="00860904">
        <w:rPr>
          <w:rFonts w:ascii="Calibri" w:hAnsi="Calibri" w:cs="Calibri"/>
        </w:rPr>
        <w:t>julgadas ina</w:t>
      </w:r>
      <w:r w:rsidR="001370EA" w:rsidRPr="00860904">
        <w:rPr>
          <w:rFonts w:ascii="Calibri" w:hAnsi="Calibri" w:cs="Calibri"/>
        </w:rPr>
        <w:t xml:space="preserve">dequadas para uso </w:t>
      </w:r>
      <w:r w:rsidR="006F76F0" w:rsidRPr="00860904">
        <w:rPr>
          <w:rFonts w:ascii="Calibri" w:hAnsi="Calibri" w:cs="Calibri"/>
        </w:rPr>
        <w:t xml:space="preserve">do </w:t>
      </w:r>
      <w:r w:rsidR="001370EA" w:rsidRPr="00860904">
        <w:rPr>
          <w:rFonts w:ascii="Calibri" w:hAnsi="Calibri" w:cs="Calibri"/>
        </w:rPr>
        <w:t>dispositivo.</w:t>
      </w:r>
      <w:r w:rsidR="00CC7343" w:rsidRPr="00860904">
        <w:rPr>
          <w:rFonts w:ascii="Calibri" w:hAnsi="Calibri" w:cs="Calibri"/>
        </w:rPr>
        <w:t xml:space="preserve"> Será perguntado antes do procedimento, ao próprio participante ou ao seu familiar responsável se há história ou relatos de alguma alergia ao contato da pele com material plástico.</w:t>
      </w:r>
      <w:r w:rsidR="006A0EF8" w:rsidRPr="00860904">
        <w:rPr>
          <w:rFonts w:ascii="Calibri" w:hAnsi="Calibri" w:cs="Calibri"/>
        </w:rPr>
        <w:t xml:space="preserve"> O único contato com a pele do participante é com a cinta que fixa o sensor na circunferência da cabeça. </w:t>
      </w:r>
      <w:r w:rsidR="001851B0" w:rsidRPr="00860904">
        <w:rPr>
          <w:rFonts w:ascii="Calibri" w:hAnsi="Calibri" w:cs="Calibri"/>
        </w:rPr>
        <w:t xml:space="preserve">O procedimento é indolor e não há qualquer emissão ou injeção de substâncias químicas ou radioativas. </w:t>
      </w:r>
    </w:p>
    <w:p w14:paraId="7C90C2A7" w14:textId="1C28D628" w:rsidR="000E6229" w:rsidRPr="00860904" w:rsidRDefault="00965137" w:rsidP="000E6229">
      <w:pPr>
        <w:pStyle w:val="Default"/>
        <w:ind w:firstLine="360"/>
        <w:jc w:val="both"/>
        <w:rPr>
          <w:rFonts w:ascii="Calibri" w:hAnsi="Calibri" w:cs="Calibri"/>
        </w:rPr>
      </w:pPr>
      <w:r w:rsidRPr="00860904">
        <w:rPr>
          <w:rFonts w:ascii="Calibri" w:hAnsi="Calibri" w:cs="Calibri"/>
        </w:rPr>
        <w:t xml:space="preserve">Os </w:t>
      </w:r>
      <w:r w:rsidR="00666727" w:rsidRPr="00860904">
        <w:rPr>
          <w:rFonts w:ascii="Calibri" w:hAnsi="Calibri" w:cs="Calibri"/>
        </w:rPr>
        <w:t xml:space="preserve">participantes estarão </w:t>
      </w:r>
      <w:r w:rsidR="000E6229" w:rsidRPr="00860904">
        <w:rPr>
          <w:rFonts w:ascii="Calibri" w:hAnsi="Calibri" w:cs="Calibri"/>
        </w:rPr>
        <w:t>internados na enfermaria do oitavo andar do Hospital de Base, no setor de Transplante (TX) de Fígado. Por solicitação do médico assistente do Serviço de TX hepático, frente a um quadro clínico suspeito, será realizada a medição não invasiva da pressão intracraniana com auxílio do equipamento Brain4Care</w:t>
      </w:r>
      <w:r w:rsidR="003437D5" w:rsidRPr="00860904">
        <w:rPr>
          <w:rFonts w:ascii="Calibri" w:hAnsi="Calibri" w:cs="Calibri"/>
        </w:rPr>
        <w:t>.</w:t>
      </w:r>
    </w:p>
    <w:p w14:paraId="3EE30D03" w14:textId="77777777" w:rsidR="00602891" w:rsidRDefault="00F974AC" w:rsidP="00602891">
      <w:pPr>
        <w:pStyle w:val="Default"/>
        <w:ind w:firstLine="360"/>
        <w:jc w:val="both"/>
        <w:rPr>
          <w:rFonts w:ascii="Calibri" w:hAnsi="Calibri" w:cs="Calibri"/>
        </w:rPr>
      </w:pPr>
      <w:r w:rsidRPr="00860904">
        <w:rPr>
          <w:rFonts w:ascii="Calibri" w:hAnsi="Calibri" w:cs="Calibri"/>
        </w:rPr>
        <w:t xml:space="preserve">Além </w:t>
      </w:r>
      <w:r w:rsidR="006305A1" w:rsidRPr="00860904">
        <w:rPr>
          <w:rFonts w:ascii="Calibri" w:hAnsi="Calibri" w:cs="Calibri"/>
        </w:rPr>
        <w:t xml:space="preserve">desse equipamento, </w:t>
      </w:r>
      <w:r w:rsidR="004A413F">
        <w:rPr>
          <w:rFonts w:ascii="Calibri" w:hAnsi="Calibri" w:cs="Calibri"/>
        </w:rPr>
        <w:t>uma cinta cardíaca modelo Polar H10</w:t>
      </w:r>
      <w:r w:rsidR="00662740" w:rsidRPr="00860904">
        <w:rPr>
          <w:rFonts w:ascii="Calibri" w:hAnsi="Calibri" w:cs="Calibri"/>
        </w:rPr>
        <w:t xml:space="preserve">, via emissões infravermelhas, </w:t>
      </w:r>
      <w:r w:rsidR="00CF59B9" w:rsidRPr="00860904">
        <w:rPr>
          <w:rFonts w:ascii="Calibri" w:hAnsi="Calibri" w:cs="Calibri"/>
        </w:rPr>
        <w:t xml:space="preserve">registrará </w:t>
      </w:r>
      <w:r w:rsidR="001200DE" w:rsidRPr="00860904">
        <w:rPr>
          <w:rFonts w:ascii="Calibri" w:hAnsi="Calibri" w:cs="Calibri"/>
        </w:rPr>
        <w:t xml:space="preserve">os </w:t>
      </w:r>
      <w:r w:rsidR="00523596">
        <w:rPr>
          <w:rFonts w:ascii="Calibri" w:hAnsi="Calibri" w:cs="Calibri"/>
        </w:rPr>
        <w:t>intervalos RR</w:t>
      </w:r>
      <w:r w:rsidR="0084077D">
        <w:rPr>
          <w:rFonts w:ascii="Calibri" w:hAnsi="Calibri" w:cs="Calibri"/>
        </w:rPr>
        <w:t xml:space="preserve"> dos batimentos cardíacos, durante 15 minutos</w:t>
      </w:r>
      <w:r w:rsidR="00655CBE">
        <w:rPr>
          <w:rFonts w:ascii="Calibri" w:hAnsi="Calibri" w:cs="Calibri"/>
        </w:rPr>
        <w:t>, constituindo um tacograma, o qual será posteriormente avaliado por meio do Software Kuvis Scientific</w:t>
      </w:r>
      <w:r w:rsidR="002D182E">
        <w:rPr>
          <w:rFonts w:ascii="Calibri" w:hAnsi="Calibri" w:cs="Calibri"/>
        </w:rPr>
        <w:t>, para caracterização do estado do sistema nervoso autonômico, nos domínios do tmpo, da frequência e não</w:t>
      </w:r>
      <w:r w:rsidR="008F347B">
        <w:rPr>
          <w:rFonts w:ascii="Calibri" w:hAnsi="Calibri" w:cs="Calibri"/>
        </w:rPr>
        <w:t xml:space="preserve">-linear, concomitantemente à avaliação da PIC não invasiva. </w:t>
      </w:r>
      <w:r w:rsidR="00186A76" w:rsidRPr="00860904">
        <w:rPr>
          <w:rFonts w:ascii="Calibri" w:hAnsi="Calibri" w:cs="Calibri"/>
        </w:rPr>
        <w:t xml:space="preserve"> </w:t>
      </w:r>
      <w:bookmarkStart w:id="25" w:name="_Toc64577936"/>
      <w:bookmarkStart w:id="26" w:name="_Toc64577980"/>
      <w:bookmarkStart w:id="27" w:name="_Toc64578296"/>
      <w:bookmarkStart w:id="28" w:name="_Toc64578453"/>
    </w:p>
    <w:p w14:paraId="1987CB87" w14:textId="77777777" w:rsidR="00602891" w:rsidRDefault="00602891" w:rsidP="00602891">
      <w:pPr>
        <w:pStyle w:val="Default"/>
        <w:ind w:firstLine="360"/>
        <w:jc w:val="both"/>
        <w:rPr>
          <w:rFonts w:ascii="Calibri" w:hAnsi="Calibri" w:cs="Calibri"/>
        </w:rPr>
      </w:pPr>
    </w:p>
    <w:p w14:paraId="125411EF" w14:textId="2776F453" w:rsidR="00540E6C" w:rsidRPr="00602891" w:rsidRDefault="00663998" w:rsidP="00602891">
      <w:pPr>
        <w:pStyle w:val="Default"/>
        <w:ind w:firstLine="360"/>
        <w:jc w:val="both"/>
        <w:rPr>
          <w:rFonts w:ascii="Calibri" w:hAnsi="Calibri" w:cs="Calibri"/>
        </w:rPr>
      </w:pPr>
      <w:r w:rsidRPr="00602891">
        <w:rPr>
          <w:rFonts w:ascii="Calibri" w:hAnsi="Calibri" w:cs="Calibri"/>
        </w:rPr>
        <w:t xml:space="preserve">Apresentação e </w:t>
      </w:r>
      <w:r w:rsidR="00624183" w:rsidRPr="00602891">
        <w:rPr>
          <w:rFonts w:ascii="Calibri" w:hAnsi="Calibri" w:cs="Calibri"/>
        </w:rPr>
        <w:t>Tratamento d</w:t>
      </w:r>
      <w:r w:rsidRPr="00602891">
        <w:rPr>
          <w:rFonts w:ascii="Calibri" w:hAnsi="Calibri" w:cs="Calibri"/>
        </w:rPr>
        <w:t xml:space="preserve">os </w:t>
      </w:r>
      <w:r w:rsidR="00624183" w:rsidRPr="00602891">
        <w:rPr>
          <w:rFonts w:ascii="Calibri" w:hAnsi="Calibri" w:cs="Calibri"/>
        </w:rPr>
        <w:t>dados</w:t>
      </w:r>
      <w:bookmarkEnd w:id="25"/>
      <w:bookmarkEnd w:id="26"/>
      <w:bookmarkEnd w:id="27"/>
      <w:bookmarkEnd w:id="28"/>
      <w:r w:rsidR="00624183" w:rsidRPr="00602891">
        <w:rPr>
          <w:rFonts w:ascii="Calibri" w:hAnsi="Calibri" w:cs="Calibri"/>
        </w:rPr>
        <w:t xml:space="preserve"> </w:t>
      </w:r>
    </w:p>
    <w:p w14:paraId="02327077" w14:textId="77777777" w:rsidR="00D532F8" w:rsidRDefault="008626B3" w:rsidP="00043886">
      <w:pPr>
        <w:ind w:firstLine="360"/>
        <w:jc w:val="both"/>
        <w:rPr>
          <w:rFonts w:ascii="Calibri" w:eastAsia="Calibri" w:hAnsi="Calibri" w:cs="Calibri"/>
          <w:bCs/>
          <w:sz w:val="24"/>
          <w:szCs w:val="24"/>
        </w:rPr>
      </w:pPr>
      <w:r w:rsidRPr="00860904">
        <w:rPr>
          <w:rFonts w:ascii="Calibri" w:eastAsia="Calibri" w:hAnsi="Calibri" w:cs="Calibri"/>
          <w:bCs/>
          <w:sz w:val="24"/>
          <w:szCs w:val="24"/>
        </w:rPr>
        <w:t xml:space="preserve">Os dados </w:t>
      </w:r>
      <w:r w:rsidR="00BC743F" w:rsidRPr="00860904">
        <w:rPr>
          <w:rFonts w:ascii="Calibri" w:eastAsia="Calibri" w:hAnsi="Calibri" w:cs="Calibri"/>
          <w:bCs/>
          <w:sz w:val="24"/>
          <w:szCs w:val="24"/>
        </w:rPr>
        <w:t xml:space="preserve">descritivos dos </w:t>
      </w:r>
      <w:r w:rsidR="00E77567" w:rsidRPr="00860904">
        <w:rPr>
          <w:rFonts w:ascii="Calibri" w:eastAsia="Calibri" w:hAnsi="Calibri" w:cs="Calibri"/>
          <w:bCs/>
          <w:sz w:val="24"/>
          <w:szCs w:val="24"/>
        </w:rPr>
        <w:t>participantes</w:t>
      </w:r>
      <w:r w:rsidR="00BC743F" w:rsidRPr="00860904">
        <w:rPr>
          <w:rFonts w:ascii="Calibri" w:eastAsia="Calibri" w:hAnsi="Calibri" w:cs="Calibri"/>
          <w:bCs/>
          <w:sz w:val="24"/>
          <w:szCs w:val="24"/>
        </w:rPr>
        <w:t xml:space="preserve"> incluirão:</w:t>
      </w:r>
      <w:r w:rsidR="00BF6E15" w:rsidRPr="00860904">
        <w:rPr>
          <w:rFonts w:ascii="Calibri" w:eastAsia="Calibri" w:hAnsi="Calibri" w:cs="Calibri"/>
          <w:bCs/>
          <w:sz w:val="24"/>
          <w:szCs w:val="24"/>
        </w:rPr>
        <w:t xml:space="preserve"> número de prontuário; nome completo</w:t>
      </w:r>
      <w:r w:rsidR="00554029">
        <w:rPr>
          <w:rFonts w:ascii="Calibri" w:eastAsia="Calibri" w:hAnsi="Calibri" w:cs="Calibri"/>
          <w:bCs/>
          <w:sz w:val="24"/>
          <w:szCs w:val="24"/>
        </w:rPr>
        <w:t xml:space="preserve"> (codificado)</w:t>
      </w:r>
      <w:r w:rsidR="00BF6E15" w:rsidRPr="00860904">
        <w:rPr>
          <w:rFonts w:ascii="Calibri" w:eastAsia="Calibri" w:hAnsi="Calibri" w:cs="Calibri"/>
          <w:bCs/>
          <w:sz w:val="24"/>
          <w:szCs w:val="24"/>
        </w:rPr>
        <w:t>; idade</w:t>
      </w:r>
      <w:r w:rsidR="008B25A5" w:rsidRPr="00860904">
        <w:rPr>
          <w:rFonts w:ascii="Calibri" w:eastAsia="Calibri" w:hAnsi="Calibri" w:cs="Calibri"/>
          <w:bCs/>
          <w:sz w:val="24"/>
          <w:szCs w:val="24"/>
        </w:rPr>
        <w:t>;</w:t>
      </w:r>
      <w:r w:rsidR="00BF6E15" w:rsidRPr="00860904">
        <w:rPr>
          <w:rFonts w:ascii="Calibri" w:eastAsia="Calibri" w:hAnsi="Calibri" w:cs="Calibri"/>
          <w:bCs/>
          <w:sz w:val="24"/>
          <w:szCs w:val="24"/>
        </w:rPr>
        <w:t xml:space="preserve"> sexo</w:t>
      </w:r>
      <w:r w:rsidR="00A1527F" w:rsidRPr="00860904">
        <w:rPr>
          <w:rFonts w:ascii="Calibri" w:eastAsia="Calibri" w:hAnsi="Calibri" w:cs="Calibri"/>
          <w:bCs/>
          <w:sz w:val="24"/>
          <w:szCs w:val="24"/>
        </w:rPr>
        <w:t>; e comorbidades</w:t>
      </w:r>
      <w:r w:rsidR="00D52755" w:rsidRPr="00860904">
        <w:rPr>
          <w:rFonts w:ascii="Calibri" w:eastAsia="Calibri" w:hAnsi="Calibri" w:cs="Calibri"/>
          <w:bCs/>
          <w:sz w:val="24"/>
          <w:szCs w:val="24"/>
        </w:rPr>
        <w:t>.</w:t>
      </w:r>
      <w:r w:rsidR="00A1527F" w:rsidRPr="00860904">
        <w:rPr>
          <w:rFonts w:ascii="Calibri" w:eastAsia="Calibri" w:hAnsi="Calibri" w:cs="Calibri"/>
          <w:bCs/>
          <w:sz w:val="24"/>
          <w:szCs w:val="24"/>
        </w:rPr>
        <w:t xml:space="preserve"> </w:t>
      </w:r>
      <w:r w:rsidR="00D52755" w:rsidRPr="00860904">
        <w:rPr>
          <w:rFonts w:ascii="Calibri" w:eastAsia="Calibri" w:hAnsi="Calibri" w:cs="Calibri"/>
          <w:bCs/>
          <w:sz w:val="24"/>
          <w:szCs w:val="24"/>
        </w:rPr>
        <w:t>Referente à doença</w:t>
      </w:r>
      <w:r w:rsidR="00BB723F" w:rsidRPr="00860904">
        <w:rPr>
          <w:rFonts w:ascii="Calibri" w:eastAsia="Calibri" w:hAnsi="Calibri" w:cs="Calibri"/>
          <w:bCs/>
          <w:sz w:val="24"/>
          <w:szCs w:val="24"/>
        </w:rPr>
        <w:t>, serão registrados:</w:t>
      </w:r>
      <w:r w:rsidR="00BF6E15" w:rsidRPr="00860904">
        <w:rPr>
          <w:rFonts w:ascii="Calibri" w:eastAsia="Calibri" w:hAnsi="Calibri" w:cs="Calibri"/>
          <w:bCs/>
          <w:sz w:val="24"/>
          <w:szCs w:val="24"/>
        </w:rPr>
        <w:t xml:space="preserve"> tipo de hepatopatia (DHA, DHC ou DHCA); causa específica da hepatopatia</w:t>
      </w:r>
      <w:r w:rsidR="00A1527F" w:rsidRPr="00860904">
        <w:rPr>
          <w:rFonts w:ascii="Calibri" w:eastAsia="Calibri" w:hAnsi="Calibri" w:cs="Calibri"/>
          <w:bCs/>
          <w:sz w:val="24"/>
          <w:szCs w:val="24"/>
        </w:rPr>
        <w:t xml:space="preserve"> (se possível)</w:t>
      </w:r>
      <w:r w:rsidR="00BF6E15" w:rsidRPr="00860904">
        <w:rPr>
          <w:rFonts w:ascii="Calibri" w:eastAsia="Calibri" w:hAnsi="Calibri" w:cs="Calibri"/>
          <w:bCs/>
          <w:sz w:val="24"/>
          <w:szCs w:val="24"/>
        </w:rPr>
        <w:t xml:space="preserve">; </w:t>
      </w:r>
      <w:r w:rsidR="00FD063D" w:rsidRPr="00860904">
        <w:rPr>
          <w:rFonts w:ascii="Calibri" w:eastAsia="Calibri" w:hAnsi="Calibri" w:cs="Calibri"/>
          <w:bCs/>
          <w:sz w:val="24"/>
          <w:szCs w:val="24"/>
        </w:rPr>
        <w:t>TC</w:t>
      </w:r>
      <w:r w:rsidRPr="00860904">
        <w:rPr>
          <w:rFonts w:ascii="Calibri" w:eastAsia="Calibri" w:hAnsi="Calibri" w:cs="Calibri"/>
          <w:bCs/>
          <w:sz w:val="24"/>
          <w:szCs w:val="24"/>
        </w:rPr>
        <w:t xml:space="preserve"> </w:t>
      </w:r>
      <w:r w:rsidR="006673B3" w:rsidRPr="00860904">
        <w:rPr>
          <w:rFonts w:ascii="Calibri" w:eastAsia="Calibri" w:hAnsi="Calibri" w:cs="Calibri"/>
          <w:bCs/>
          <w:sz w:val="24"/>
          <w:szCs w:val="24"/>
        </w:rPr>
        <w:t xml:space="preserve">prévia com evidência de edema cerebral; </w:t>
      </w:r>
      <w:r w:rsidR="004874C8" w:rsidRPr="00860904">
        <w:rPr>
          <w:rFonts w:ascii="Calibri" w:eastAsia="Calibri" w:hAnsi="Calibri" w:cs="Calibri"/>
          <w:bCs/>
          <w:sz w:val="24"/>
          <w:szCs w:val="24"/>
        </w:rPr>
        <w:t xml:space="preserve">se houve monitorização da PICi; </w:t>
      </w:r>
      <w:r w:rsidR="006673B3" w:rsidRPr="00860904">
        <w:rPr>
          <w:rFonts w:ascii="Calibri" w:eastAsia="Calibri" w:hAnsi="Calibri" w:cs="Calibri"/>
          <w:bCs/>
          <w:sz w:val="24"/>
          <w:szCs w:val="24"/>
        </w:rPr>
        <w:t>PICi no momento da inserção (se houver</w:t>
      </w:r>
      <w:r w:rsidR="00BB723F" w:rsidRPr="00860904">
        <w:rPr>
          <w:rFonts w:ascii="Calibri" w:eastAsia="Calibri" w:hAnsi="Calibri" w:cs="Calibri"/>
          <w:bCs/>
          <w:sz w:val="24"/>
          <w:szCs w:val="24"/>
        </w:rPr>
        <w:t xml:space="preserve"> PICi</w:t>
      </w:r>
      <w:r w:rsidR="006673B3" w:rsidRPr="00860904">
        <w:rPr>
          <w:rFonts w:ascii="Calibri" w:eastAsia="Calibri" w:hAnsi="Calibri" w:cs="Calibri"/>
          <w:bCs/>
          <w:sz w:val="24"/>
          <w:szCs w:val="24"/>
        </w:rPr>
        <w:t xml:space="preserve">); </w:t>
      </w:r>
      <w:r w:rsidR="00D52755" w:rsidRPr="00860904">
        <w:rPr>
          <w:rFonts w:ascii="Calibri" w:eastAsia="Calibri" w:hAnsi="Calibri" w:cs="Calibri"/>
          <w:bCs/>
          <w:sz w:val="24"/>
          <w:szCs w:val="24"/>
        </w:rPr>
        <w:t>PICi máxima pós-inserção</w:t>
      </w:r>
      <w:r w:rsidR="00BB723F" w:rsidRPr="00860904">
        <w:rPr>
          <w:rFonts w:ascii="Calibri" w:eastAsia="Calibri" w:hAnsi="Calibri" w:cs="Calibri"/>
          <w:bCs/>
          <w:sz w:val="24"/>
          <w:szCs w:val="24"/>
        </w:rPr>
        <w:t xml:space="preserve"> (se houver PICi)</w:t>
      </w:r>
      <w:r w:rsidR="00D52755" w:rsidRPr="00860904">
        <w:rPr>
          <w:rFonts w:ascii="Calibri" w:eastAsia="Calibri" w:hAnsi="Calibri" w:cs="Calibri"/>
          <w:bCs/>
          <w:sz w:val="24"/>
          <w:szCs w:val="24"/>
        </w:rPr>
        <w:t xml:space="preserve">; </w:t>
      </w:r>
      <w:r w:rsidR="00032388" w:rsidRPr="00860904">
        <w:rPr>
          <w:rFonts w:ascii="Calibri" w:eastAsia="Calibri" w:hAnsi="Calibri" w:cs="Calibri"/>
          <w:bCs/>
          <w:sz w:val="24"/>
          <w:szCs w:val="24"/>
        </w:rPr>
        <w:t>dias de monitoramento (se houver PICi); ocorrência de hemorragia</w:t>
      </w:r>
      <w:r w:rsidR="00012ED0" w:rsidRPr="00860904">
        <w:rPr>
          <w:rFonts w:ascii="Calibri" w:eastAsia="Calibri" w:hAnsi="Calibri" w:cs="Calibri"/>
          <w:bCs/>
          <w:sz w:val="24"/>
          <w:szCs w:val="24"/>
        </w:rPr>
        <w:t xml:space="preserve"> (ausente/radiográfica/sintomática). </w:t>
      </w:r>
    </w:p>
    <w:p w14:paraId="047700E6" w14:textId="77777777" w:rsidR="00D532F8" w:rsidRDefault="003D2E54" w:rsidP="00043886">
      <w:pPr>
        <w:ind w:firstLine="360"/>
        <w:jc w:val="both"/>
        <w:rPr>
          <w:rFonts w:ascii="Calibri" w:eastAsia="Calibri" w:hAnsi="Calibri" w:cs="Calibri"/>
          <w:bCs/>
          <w:sz w:val="24"/>
          <w:szCs w:val="24"/>
        </w:rPr>
      </w:pPr>
      <w:r w:rsidRPr="00860904">
        <w:rPr>
          <w:rFonts w:ascii="Calibri" w:eastAsia="Calibri" w:hAnsi="Calibri" w:cs="Calibri"/>
          <w:bCs/>
          <w:sz w:val="24"/>
          <w:szCs w:val="24"/>
        </w:rPr>
        <w:t xml:space="preserve">Referente ao tratamento, será coletado: se houve THO; tratamento hiperosmolar; </w:t>
      </w:r>
      <w:r w:rsidR="005623B9" w:rsidRPr="00860904">
        <w:rPr>
          <w:rFonts w:ascii="Calibri" w:eastAsia="Calibri" w:hAnsi="Calibri" w:cs="Calibri"/>
          <w:bCs/>
          <w:sz w:val="24"/>
          <w:szCs w:val="24"/>
        </w:rPr>
        <w:t xml:space="preserve">e demais </w:t>
      </w:r>
      <w:r w:rsidR="00A1527F" w:rsidRPr="00860904">
        <w:rPr>
          <w:rFonts w:ascii="Calibri" w:eastAsia="Calibri" w:hAnsi="Calibri" w:cs="Calibri"/>
          <w:bCs/>
          <w:sz w:val="24"/>
          <w:szCs w:val="24"/>
        </w:rPr>
        <w:t xml:space="preserve">tratamentos tipicamente descritos na literatura. </w:t>
      </w:r>
      <w:r w:rsidR="00F418EA" w:rsidRPr="00860904">
        <w:rPr>
          <w:rFonts w:ascii="Calibri" w:eastAsia="Calibri" w:hAnsi="Calibri" w:cs="Calibri"/>
          <w:bCs/>
          <w:sz w:val="24"/>
          <w:szCs w:val="24"/>
        </w:rPr>
        <w:t xml:space="preserve">Sobre os exames laboratoriais dos </w:t>
      </w:r>
      <w:r w:rsidR="00E77567" w:rsidRPr="00860904">
        <w:rPr>
          <w:rFonts w:ascii="Calibri" w:eastAsia="Calibri" w:hAnsi="Calibri" w:cs="Calibri"/>
          <w:bCs/>
          <w:sz w:val="24"/>
          <w:szCs w:val="24"/>
        </w:rPr>
        <w:t>participantes</w:t>
      </w:r>
      <w:r w:rsidR="00F418EA" w:rsidRPr="00860904">
        <w:rPr>
          <w:rFonts w:ascii="Calibri" w:eastAsia="Calibri" w:hAnsi="Calibri" w:cs="Calibri"/>
          <w:bCs/>
          <w:sz w:val="24"/>
          <w:szCs w:val="24"/>
        </w:rPr>
        <w:t>, serão tabulados</w:t>
      </w:r>
      <w:r w:rsidR="0074576C" w:rsidRPr="00860904">
        <w:rPr>
          <w:rFonts w:ascii="Calibri" w:eastAsia="Calibri" w:hAnsi="Calibri" w:cs="Calibri"/>
          <w:bCs/>
          <w:sz w:val="24"/>
          <w:szCs w:val="24"/>
        </w:rPr>
        <w:t>, se houver</w:t>
      </w:r>
      <w:r w:rsidR="00F418EA" w:rsidRPr="00860904">
        <w:rPr>
          <w:rFonts w:ascii="Calibri" w:eastAsia="Calibri" w:hAnsi="Calibri" w:cs="Calibri"/>
          <w:bCs/>
          <w:sz w:val="24"/>
          <w:szCs w:val="24"/>
        </w:rPr>
        <w:t>:</w:t>
      </w:r>
      <w:r w:rsidR="008026D8" w:rsidRPr="00860904">
        <w:rPr>
          <w:rFonts w:ascii="Calibri" w:eastAsia="Calibri" w:hAnsi="Calibri" w:cs="Calibri"/>
          <w:bCs/>
          <w:sz w:val="24"/>
          <w:szCs w:val="24"/>
        </w:rPr>
        <w:t xml:space="preserve"> INR máxima; plaquetas; </w:t>
      </w:r>
      <w:r w:rsidR="00F23F9C" w:rsidRPr="00860904">
        <w:rPr>
          <w:rFonts w:ascii="Calibri" w:eastAsia="Calibri" w:hAnsi="Calibri" w:cs="Calibri"/>
          <w:bCs/>
          <w:sz w:val="24"/>
          <w:szCs w:val="24"/>
        </w:rPr>
        <w:t>aPPT</w:t>
      </w:r>
      <w:r w:rsidR="0074576C" w:rsidRPr="00860904">
        <w:rPr>
          <w:rFonts w:ascii="Calibri" w:eastAsia="Calibri" w:hAnsi="Calibri" w:cs="Calibri"/>
          <w:bCs/>
          <w:sz w:val="24"/>
          <w:szCs w:val="24"/>
        </w:rPr>
        <w:t xml:space="preserve">; </w:t>
      </w:r>
      <w:r w:rsidR="00A70A70" w:rsidRPr="00860904">
        <w:rPr>
          <w:rFonts w:ascii="Calibri" w:eastAsia="Calibri" w:hAnsi="Calibri" w:cs="Calibri"/>
          <w:bCs/>
          <w:sz w:val="24"/>
          <w:szCs w:val="24"/>
        </w:rPr>
        <w:t>e amônia sérica (mínima, máxima, média).</w:t>
      </w:r>
      <w:r w:rsidR="008026D8" w:rsidRPr="00860904">
        <w:rPr>
          <w:rFonts w:ascii="Calibri" w:eastAsia="Calibri" w:hAnsi="Calibri" w:cs="Calibri"/>
          <w:bCs/>
          <w:sz w:val="24"/>
          <w:szCs w:val="24"/>
        </w:rPr>
        <w:t xml:space="preserve"> </w:t>
      </w:r>
    </w:p>
    <w:p w14:paraId="02FF7BE2" w14:textId="64113DA6" w:rsidR="003D2E54" w:rsidRPr="00860904" w:rsidRDefault="00BC6253" w:rsidP="00043886">
      <w:pPr>
        <w:ind w:firstLine="360"/>
        <w:jc w:val="both"/>
        <w:rPr>
          <w:rFonts w:ascii="Calibri" w:eastAsia="Calibri" w:hAnsi="Calibri" w:cs="Calibri"/>
          <w:bCs/>
          <w:sz w:val="24"/>
          <w:szCs w:val="24"/>
        </w:rPr>
      </w:pPr>
      <w:r w:rsidRPr="00860904">
        <w:rPr>
          <w:rFonts w:ascii="Calibri" w:eastAsia="Calibri" w:hAnsi="Calibri" w:cs="Calibri"/>
          <w:bCs/>
          <w:sz w:val="24"/>
          <w:szCs w:val="24"/>
        </w:rPr>
        <w:lastRenderedPageBreak/>
        <w:t xml:space="preserve">Sobre o estado da hepatopatia do </w:t>
      </w:r>
      <w:r w:rsidR="00E77567" w:rsidRPr="00860904">
        <w:rPr>
          <w:rFonts w:ascii="Calibri" w:eastAsia="Calibri" w:hAnsi="Calibri" w:cs="Calibri"/>
          <w:bCs/>
          <w:sz w:val="24"/>
          <w:szCs w:val="24"/>
        </w:rPr>
        <w:t>participante</w:t>
      </w:r>
      <w:r w:rsidRPr="00860904">
        <w:rPr>
          <w:rFonts w:ascii="Calibri" w:eastAsia="Calibri" w:hAnsi="Calibri" w:cs="Calibri"/>
          <w:bCs/>
          <w:sz w:val="24"/>
          <w:szCs w:val="24"/>
        </w:rPr>
        <w:t xml:space="preserve">, será relatado: </w:t>
      </w:r>
      <w:r w:rsidR="000C74A0" w:rsidRPr="00860904">
        <w:rPr>
          <w:rFonts w:ascii="Calibri" w:eastAsia="Calibri" w:hAnsi="Calibri" w:cs="Calibri"/>
          <w:bCs/>
          <w:sz w:val="24"/>
          <w:szCs w:val="24"/>
        </w:rPr>
        <w:t xml:space="preserve">sintomas neurológicos; classificação segundo o CWH; classificação ISHEN; e ainda </w:t>
      </w:r>
      <w:r w:rsidR="004672D6" w:rsidRPr="00860904">
        <w:rPr>
          <w:rFonts w:ascii="Calibri" w:eastAsia="Calibri" w:hAnsi="Calibri" w:cs="Calibri"/>
          <w:bCs/>
          <w:sz w:val="24"/>
          <w:szCs w:val="24"/>
        </w:rPr>
        <w:t xml:space="preserve">escore neurológico </w:t>
      </w:r>
      <w:r w:rsidR="004672D6" w:rsidRPr="00860904">
        <w:rPr>
          <w:rFonts w:ascii="Calibri" w:eastAsia="Calibri" w:hAnsi="Calibri" w:cs="Calibri"/>
          <w:bCs/>
          <w:i/>
          <w:iCs/>
          <w:sz w:val="24"/>
          <w:szCs w:val="24"/>
        </w:rPr>
        <w:t>Full Outline of UnResponsiveness</w:t>
      </w:r>
      <w:r w:rsidR="004672D6" w:rsidRPr="00860904">
        <w:rPr>
          <w:rFonts w:ascii="Calibri" w:eastAsia="Calibri" w:hAnsi="Calibri" w:cs="Calibri"/>
          <w:bCs/>
          <w:sz w:val="24"/>
          <w:szCs w:val="24"/>
        </w:rPr>
        <w:t xml:space="preserve"> (FOUR)</w:t>
      </w:r>
      <w:r w:rsidR="00092ACB" w:rsidRPr="00860904">
        <w:rPr>
          <w:rFonts w:ascii="Calibri" w:eastAsia="Calibri" w:hAnsi="Calibri" w:cs="Calibri"/>
          <w:bCs/>
          <w:sz w:val="24"/>
          <w:szCs w:val="24"/>
        </w:rPr>
        <w:t>.</w:t>
      </w:r>
    </w:p>
    <w:p w14:paraId="1C5C57EC" w14:textId="5B9D7373" w:rsidR="007848A0" w:rsidRPr="00860904" w:rsidRDefault="00D52764" w:rsidP="00B2382A">
      <w:pPr>
        <w:ind w:firstLine="360"/>
        <w:jc w:val="both"/>
        <w:rPr>
          <w:rFonts w:ascii="Calibri" w:eastAsia="Calibri" w:hAnsi="Calibri" w:cs="Calibri"/>
          <w:bCs/>
          <w:sz w:val="24"/>
          <w:szCs w:val="24"/>
        </w:rPr>
      </w:pPr>
      <w:r w:rsidRPr="00860904">
        <w:rPr>
          <w:rFonts w:ascii="Calibri" w:eastAsia="Calibri" w:hAnsi="Calibri" w:cs="Calibri"/>
          <w:bCs/>
          <w:sz w:val="24"/>
          <w:szCs w:val="24"/>
        </w:rPr>
        <w:t>Assim, após a curadoria manual das morfologias</w:t>
      </w:r>
      <w:r w:rsidR="00843973" w:rsidRPr="00860904">
        <w:rPr>
          <w:rFonts w:ascii="Calibri" w:eastAsia="Calibri" w:hAnsi="Calibri" w:cs="Calibri"/>
          <w:bCs/>
          <w:sz w:val="24"/>
          <w:szCs w:val="24"/>
        </w:rPr>
        <w:t xml:space="preserve"> das OP em comparação com as OP não patológicas; as curvas de cada </w:t>
      </w:r>
      <w:r w:rsidR="00E77567" w:rsidRPr="00860904">
        <w:rPr>
          <w:rFonts w:ascii="Calibri" w:eastAsia="Calibri" w:hAnsi="Calibri" w:cs="Calibri"/>
          <w:bCs/>
          <w:sz w:val="24"/>
          <w:szCs w:val="24"/>
        </w:rPr>
        <w:t>participante</w:t>
      </w:r>
      <w:r w:rsidR="00843973" w:rsidRPr="00860904">
        <w:rPr>
          <w:rFonts w:ascii="Calibri" w:eastAsia="Calibri" w:hAnsi="Calibri" w:cs="Calibri"/>
          <w:bCs/>
          <w:sz w:val="24"/>
          <w:szCs w:val="24"/>
        </w:rPr>
        <w:t xml:space="preserve"> serão classificadas e correlacionadas com os </w:t>
      </w:r>
      <w:r w:rsidR="00E51BA8" w:rsidRPr="00860904">
        <w:rPr>
          <w:rFonts w:ascii="Calibri" w:eastAsia="Calibri" w:hAnsi="Calibri" w:cs="Calibri"/>
          <w:bCs/>
          <w:sz w:val="24"/>
          <w:szCs w:val="24"/>
        </w:rPr>
        <w:t xml:space="preserve">demais </w:t>
      </w:r>
      <w:r w:rsidR="000D004C" w:rsidRPr="00860904">
        <w:rPr>
          <w:rFonts w:ascii="Calibri" w:eastAsia="Calibri" w:hAnsi="Calibri" w:cs="Calibri"/>
          <w:bCs/>
          <w:sz w:val="24"/>
          <w:szCs w:val="24"/>
        </w:rPr>
        <w:t>achados clínicos e laboratoriais, numa tentativa de inferir sobre o</w:t>
      </w:r>
      <w:r w:rsidR="00B2382A" w:rsidRPr="00860904">
        <w:rPr>
          <w:rFonts w:ascii="Calibri" w:eastAsia="Calibri" w:hAnsi="Calibri" w:cs="Calibri"/>
          <w:bCs/>
          <w:sz w:val="24"/>
          <w:szCs w:val="24"/>
        </w:rPr>
        <w:t>s</w:t>
      </w:r>
      <w:r w:rsidR="000D004C" w:rsidRPr="00860904">
        <w:rPr>
          <w:rFonts w:ascii="Calibri" w:eastAsia="Calibri" w:hAnsi="Calibri" w:cs="Calibri"/>
          <w:bCs/>
          <w:sz w:val="24"/>
          <w:szCs w:val="24"/>
        </w:rPr>
        <w:t xml:space="preserve"> prognóstico</w:t>
      </w:r>
      <w:r w:rsidR="00B2382A" w:rsidRPr="00860904">
        <w:rPr>
          <w:rFonts w:ascii="Calibri" w:eastAsia="Calibri" w:hAnsi="Calibri" w:cs="Calibri"/>
          <w:bCs/>
          <w:sz w:val="24"/>
          <w:szCs w:val="24"/>
        </w:rPr>
        <w:t>s individuais</w:t>
      </w:r>
      <w:r w:rsidR="000D004C" w:rsidRPr="00860904">
        <w:rPr>
          <w:rFonts w:ascii="Calibri" w:eastAsia="Calibri" w:hAnsi="Calibri" w:cs="Calibri"/>
          <w:bCs/>
          <w:sz w:val="24"/>
          <w:szCs w:val="24"/>
        </w:rPr>
        <w:t>.</w:t>
      </w:r>
    </w:p>
    <w:p w14:paraId="11281B7F" w14:textId="7A769ADE" w:rsidR="00D907AF" w:rsidRDefault="000E7CA9" w:rsidP="00B2382A">
      <w:pPr>
        <w:ind w:firstLine="360"/>
        <w:jc w:val="both"/>
        <w:rPr>
          <w:rFonts w:ascii="Calibri" w:eastAsia="Calibri" w:hAnsi="Calibri" w:cs="Calibri"/>
          <w:bCs/>
          <w:sz w:val="24"/>
          <w:szCs w:val="24"/>
        </w:rPr>
      </w:pPr>
      <w:r w:rsidRPr="00860904">
        <w:rPr>
          <w:rFonts w:ascii="Calibri" w:eastAsia="Calibri" w:hAnsi="Calibri" w:cs="Calibri"/>
          <w:bCs/>
          <w:sz w:val="24"/>
          <w:szCs w:val="24"/>
        </w:rPr>
        <w:t>Além disso, utilizando a PICi (se disponível) ou o escore clínico como padrão-ouro, serão realizados os testes de diagnóstico clássicos: sensibilidade, especificidade,</w:t>
      </w:r>
      <w:r w:rsidR="008A273E" w:rsidRPr="00860904">
        <w:rPr>
          <w:rFonts w:ascii="Calibri" w:eastAsia="Calibri" w:hAnsi="Calibri" w:cs="Calibri"/>
          <w:bCs/>
          <w:sz w:val="24"/>
          <w:szCs w:val="24"/>
        </w:rPr>
        <w:t xml:space="preserve"> valor preditivo positivo (VPP) e negativo (VPN), acurácia e razão de verossimilhança (positiva e negativa).</w:t>
      </w:r>
    </w:p>
    <w:p w14:paraId="40BE3B7E" w14:textId="77777777" w:rsidR="00B60F15" w:rsidRDefault="00B60F15" w:rsidP="00B2382A">
      <w:pPr>
        <w:ind w:firstLine="360"/>
        <w:jc w:val="both"/>
        <w:rPr>
          <w:rFonts w:ascii="Calibri" w:eastAsia="Calibri" w:hAnsi="Calibri" w:cs="Calibri"/>
          <w:bCs/>
          <w:sz w:val="24"/>
          <w:szCs w:val="24"/>
        </w:rPr>
      </w:pPr>
    </w:p>
    <w:p w14:paraId="7BD94A82" w14:textId="77777777" w:rsidR="00B60F15" w:rsidRPr="00860904" w:rsidRDefault="00B60F15" w:rsidP="00B2382A">
      <w:pPr>
        <w:ind w:firstLine="360"/>
        <w:jc w:val="both"/>
        <w:rPr>
          <w:rFonts w:ascii="Calibri" w:eastAsia="Calibri" w:hAnsi="Calibri" w:cs="Calibri"/>
          <w:bCs/>
          <w:sz w:val="24"/>
          <w:szCs w:val="24"/>
        </w:rPr>
      </w:pPr>
    </w:p>
    <w:p w14:paraId="3E5EFF73" w14:textId="400D91DC" w:rsidR="00A072EB" w:rsidRPr="00860904" w:rsidRDefault="00A072EB" w:rsidP="00043886">
      <w:pPr>
        <w:pStyle w:val="Ttulo2"/>
        <w:spacing w:line="240" w:lineRule="auto"/>
        <w:rPr>
          <w:rFonts w:ascii="Calibri" w:eastAsia="Calibri" w:hAnsi="Calibri" w:cs="Calibri"/>
          <w:lang w:val="en-US"/>
        </w:rPr>
      </w:pPr>
      <w:bookmarkStart w:id="29" w:name="_Toc64577935"/>
      <w:bookmarkStart w:id="30" w:name="_Toc64577979"/>
      <w:bookmarkStart w:id="31" w:name="_Toc64578295"/>
      <w:bookmarkStart w:id="32" w:name="_Toc64578452"/>
      <w:r w:rsidRPr="00860904">
        <w:rPr>
          <w:rFonts w:ascii="Calibri" w:eastAsia="Calibri" w:hAnsi="Calibri" w:cs="Calibri"/>
          <w:lang w:val="en-US"/>
        </w:rPr>
        <w:t>Procedimentos Éticos</w:t>
      </w:r>
      <w:bookmarkEnd w:id="29"/>
      <w:bookmarkEnd w:id="30"/>
      <w:bookmarkEnd w:id="31"/>
      <w:bookmarkEnd w:id="32"/>
    </w:p>
    <w:p w14:paraId="31DAFF19" w14:textId="77777777" w:rsidR="00B60F15" w:rsidRDefault="00B60F15" w:rsidP="001F0DDF">
      <w:pPr>
        <w:pStyle w:val="Default"/>
        <w:ind w:firstLine="360"/>
        <w:jc w:val="both"/>
        <w:rPr>
          <w:rFonts w:ascii="Calibri" w:hAnsi="Calibri" w:cs="Calibri"/>
        </w:rPr>
      </w:pPr>
    </w:p>
    <w:p w14:paraId="4D2110AD" w14:textId="6E75A229" w:rsidR="001F0DDF" w:rsidRDefault="001F0DDF" w:rsidP="001F0DDF">
      <w:pPr>
        <w:pStyle w:val="Default"/>
        <w:ind w:firstLine="360"/>
        <w:jc w:val="both"/>
        <w:rPr>
          <w:rFonts w:ascii="Calibri" w:hAnsi="Calibri" w:cs="Calibri"/>
        </w:rPr>
      </w:pPr>
      <w:r w:rsidRPr="00860904">
        <w:rPr>
          <w:rFonts w:ascii="Calibri" w:hAnsi="Calibri" w:cs="Calibri"/>
        </w:rPr>
        <w:t>Aos potenciais participantes da pesquisa que estiverem plenamente conscientes, serão feitas as devidas explicações e esclarecimentos sobre o procedimento. No caso de entendimento e concordância será assinado o Termo de Consentimento Livre e Esclarecido (TCLE). Caso esses potenciais participantes não estejam em condições adequadas de entendimento todo o processo será explicado ao familiar responsável o qual, se concordar, fará a devida assinatura no TCLE.</w:t>
      </w:r>
    </w:p>
    <w:p w14:paraId="79C62C5F" w14:textId="5595DD2F" w:rsidR="00B60F15" w:rsidRDefault="00B60F15" w:rsidP="001F0DDF">
      <w:pPr>
        <w:pStyle w:val="Default"/>
        <w:ind w:firstLine="360"/>
        <w:jc w:val="both"/>
        <w:rPr>
          <w:rFonts w:ascii="Calibri" w:hAnsi="Calibri" w:cs="Calibri"/>
        </w:rPr>
      </w:pPr>
      <w:r>
        <w:rPr>
          <w:rFonts w:ascii="Calibri" w:hAnsi="Calibri" w:cs="Calibri"/>
        </w:rPr>
        <w:t>O estudo foi aprovado pe</w:t>
      </w:r>
      <w:r w:rsidR="00F0786E">
        <w:rPr>
          <w:rFonts w:ascii="Calibri" w:hAnsi="Calibri" w:cs="Calibri"/>
        </w:rPr>
        <w:t>lo Comitê de Ética em Pesquisa com Seres Humanos da Faculdade de Medicina de São José do Rio Preto (FAMERP-SP) sob o número</w:t>
      </w:r>
      <w:r w:rsidR="00870EC0">
        <w:rPr>
          <w:rFonts w:ascii="Calibri" w:hAnsi="Calibri" w:cs="Calibri"/>
        </w:rPr>
        <w:t xml:space="preserve"> CA</w:t>
      </w:r>
      <w:r w:rsidR="00562F0B">
        <w:rPr>
          <w:rFonts w:ascii="Calibri" w:hAnsi="Calibri" w:cs="Calibri"/>
        </w:rPr>
        <w:t>AE 58541022.4.0000.5415 Parecer 5.493</w:t>
      </w:r>
      <w:r w:rsidR="005D0076">
        <w:rPr>
          <w:rFonts w:ascii="Calibri" w:hAnsi="Calibri" w:cs="Calibri"/>
        </w:rPr>
        <w:t>.775</w:t>
      </w:r>
      <w:r w:rsidR="006A3C12">
        <w:rPr>
          <w:rFonts w:ascii="Calibri" w:hAnsi="Calibri" w:cs="Calibri"/>
        </w:rPr>
        <w:t xml:space="preserve"> de 28 de junho de 2022</w:t>
      </w:r>
    </w:p>
    <w:p w14:paraId="37B7E911" w14:textId="77777777" w:rsidR="00D200B5" w:rsidRDefault="00D200B5" w:rsidP="001F0DDF">
      <w:pPr>
        <w:pStyle w:val="Default"/>
        <w:ind w:firstLine="360"/>
        <w:jc w:val="both"/>
        <w:rPr>
          <w:rFonts w:ascii="Calibri" w:hAnsi="Calibri" w:cs="Calibri"/>
        </w:rPr>
      </w:pPr>
    </w:p>
    <w:p w14:paraId="57065C5B" w14:textId="77777777" w:rsidR="00D200B5" w:rsidRDefault="00D200B5" w:rsidP="001F0DDF">
      <w:pPr>
        <w:pStyle w:val="Default"/>
        <w:ind w:firstLine="360"/>
        <w:jc w:val="both"/>
        <w:rPr>
          <w:rFonts w:ascii="Calibri" w:hAnsi="Calibri" w:cs="Calibri"/>
        </w:rPr>
      </w:pPr>
    </w:p>
    <w:p w14:paraId="465DA644" w14:textId="77777777" w:rsidR="00D200B5" w:rsidRPr="00860904" w:rsidRDefault="00D200B5" w:rsidP="001F0DDF">
      <w:pPr>
        <w:pStyle w:val="Default"/>
        <w:ind w:firstLine="360"/>
        <w:jc w:val="both"/>
        <w:rPr>
          <w:rFonts w:ascii="Calibri" w:hAnsi="Calibri" w:cs="Calibri"/>
        </w:rPr>
      </w:pPr>
    </w:p>
    <w:p w14:paraId="73B9AC3A" w14:textId="5912BA3C" w:rsidR="00043886" w:rsidRPr="005F5690" w:rsidRDefault="000F293E" w:rsidP="00043886">
      <w:pPr>
        <w:pStyle w:val="Ttulo1"/>
        <w:spacing w:line="240" w:lineRule="auto"/>
        <w:rPr>
          <w:rFonts w:ascii="Calibri" w:hAnsi="Calibri" w:cs="Calibri"/>
          <w:lang w:val="en-US"/>
        </w:rPr>
      </w:pPr>
      <w:bookmarkStart w:id="33" w:name="_Toc64578300"/>
      <w:bookmarkStart w:id="34" w:name="_Toc64578457"/>
      <w:r w:rsidRPr="005F5690">
        <w:rPr>
          <w:rFonts w:ascii="Calibri" w:hAnsi="Calibri" w:cs="Calibri"/>
          <w:lang w:val="en-US"/>
        </w:rPr>
        <w:t>Referências</w:t>
      </w:r>
      <w:bookmarkEnd w:id="33"/>
      <w:bookmarkEnd w:id="34"/>
    </w:p>
    <w:p w14:paraId="2D31BFCC" w14:textId="77777777" w:rsidR="00EB07E1" w:rsidRPr="005F5690" w:rsidRDefault="00EB07E1" w:rsidP="00EB07E1">
      <w:pPr>
        <w:rPr>
          <w:lang w:val="en-US"/>
        </w:rPr>
      </w:pPr>
    </w:p>
    <w:p w14:paraId="2BAF3803" w14:textId="3E76330A" w:rsidR="003B280C" w:rsidRPr="00D200B5" w:rsidRDefault="00EB07E1" w:rsidP="003B280C">
      <w:pPr>
        <w:widowControl w:val="0"/>
        <w:autoSpaceDE w:val="0"/>
        <w:autoSpaceDN w:val="0"/>
        <w:adjustRightInd w:val="0"/>
        <w:ind w:left="640" w:hanging="640"/>
        <w:rPr>
          <w:rFonts w:ascii="Calibri" w:hAnsi="Calibri" w:cs="Calibri"/>
          <w:noProof/>
          <w:sz w:val="24"/>
          <w:szCs w:val="24"/>
          <w:lang w:val="en-US"/>
        </w:rPr>
      </w:pPr>
      <w:r w:rsidRPr="00D200B5">
        <w:rPr>
          <w:rFonts w:ascii="Calibri" w:hAnsi="Calibri" w:cs="Calibri"/>
          <w:sz w:val="24"/>
          <w:szCs w:val="24"/>
        </w:rPr>
        <w:fldChar w:fldCharType="begin" w:fldLock="1"/>
      </w:r>
      <w:r w:rsidRPr="00D200B5">
        <w:rPr>
          <w:rFonts w:ascii="Calibri" w:hAnsi="Calibri" w:cs="Calibri"/>
          <w:sz w:val="24"/>
          <w:szCs w:val="24"/>
          <w:lang w:val="en-US"/>
        </w:rPr>
        <w:instrText xml:space="preserve">ADDIN Mendeley Bibliography CSL_BIBLIOGRAPHY </w:instrText>
      </w:r>
      <w:r w:rsidRPr="00D200B5">
        <w:rPr>
          <w:rFonts w:ascii="Calibri" w:hAnsi="Calibri" w:cs="Calibri"/>
          <w:sz w:val="24"/>
          <w:szCs w:val="24"/>
        </w:rPr>
        <w:fldChar w:fldCharType="separate"/>
      </w:r>
      <w:r w:rsidR="003B280C" w:rsidRPr="00D200B5">
        <w:rPr>
          <w:rFonts w:ascii="Calibri" w:hAnsi="Calibri" w:cs="Calibri"/>
          <w:noProof/>
          <w:sz w:val="24"/>
          <w:szCs w:val="24"/>
          <w:lang w:val="en-US"/>
        </w:rPr>
        <w:t xml:space="preserve">1. </w:t>
      </w:r>
      <w:r w:rsidR="003B280C" w:rsidRPr="00D200B5">
        <w:rPr>
          <w:rFonts w:ascii="Calibri" w:hAnsi="Calibri" w:cs="Calibri"/>
          <w:noProof/>
          <w:sz w:val="24"/>
          <w:szCs w:val="24"/>
          <w:lang w:val="en-US"/>
        </w:rPr>
        <w:tab/>
        <w:t>Schulz M, Trebicka J. Acute-on-chronic liver failure: a global disease. Gut [Internet]. 2022 Jan;71(1):5–6. Available from: https://gut.bmj.com/lookup/doi/10.1136/gutjnl-2020-323973</w:t>
      </w:r>
    </w:p>
    <w:p w14:paraId="7C049F28" w14:textId="77777777" w:rsidR="003B280C" w:rsidRPr="00D200B5" w:rsidRDefault="003B280C" w:rsidP="003B280C">
      <w:pPr>
        <w:widowControl w:val="0"/>
        <w:autoSpaceDE w:val="0"/>
        <w:autoSpaceDN w:val="0"/>
        <w:adjustRightInd w:val="0"/>
        <w:ind w:left="640" w:hanging="640"/>
        <w:rPr>
          <w:rFonts w:ascii="Calibri" w:hAnsi="Calibri" w:cs="Calibri"/>
          <w:noProof/>
          <w:sz w:val="24"/>
          <w:szCs w:val="24"/>
          <w:lang w:val="en-US"/>
        </w:rPr>
      </w:pPr>
      <w:r w:rsidRPr="00D200B5">
        <w:rPr>
          <w:rFonts w:ascii="Calibri" w:hAnsi="Calibri" w:cs="Calibri"/>
          <w:noProof/>
          <w:sz w:val="24"/>
          <w:szCs w:val="24"/>
          <w:lang w:val="en-US"/>
        </w:rPr>
        <w:t xml:space="preserve">2. </w:t>
      </w:r>
      <w:r w:rsidRPr="00D200B5">
        <w:rPr>
          <w:rFonts w:ascii="Calibri" w:hAnsi="Calibri" w:cs="Calibri"/>
          <w:noProof/>
          <w:sz w:val="24"/>
          <w:szCs w:val="24"/>
          <w:lang w:val="en-US"/>
        </w:rPr>
        <w:tab/>
        <w:t>Stravitz RT, Lee WM. Acute liver failure. Lancet [Internet]. 2019;394(10201):869–81. Available from: http://dx.doi.org/10.1016/S0140-6736(19)31894-X</w:t>
      </w:r>
    </w:p>
    <w:p w14:paraId="585ABA17" w14:textId="77777777" w:rsidR="003B280C" w:rsidRPr="00D200B5" w:rsidRDefault="003B280C" w:rsidP="003B280C">
      <w:pPr>
        <w:widowControl w:val="0"/>
        <w:autoSpaceDE w:val="0"/>
        <w:autoSpaceDN w:val="0"/>
        <w:adjustRightInd w:val="0"/>
        <w:ind w:left="640" w:hanging="640"/>
        <w:rPr>
          <w:rFonts w:ascii="Calibri" w:hAnsi="Calibri" w:cs="Calibri"/>
          <w:noProof/>
          <w:sz w:val="24"/>
          <w:szCs w:val="24"/>
          <w:lang w:val="en-US"/>
        </w:rPr>
      </w:pPr>
      <w:r w:rsidRPr="00D200B5">
        <w:rPr>
          <w:rFonts w:ascii="Calibri" w:hAnsi="Calibri" w:cs="Calibri"/>
          <w:noProof/>
          <w:sz w:val="24"/>
          <w:szCs w:val="24"/>
          <w:lang w:val="en-US"/>
        </w:rPr>
        <w:t xml:space="preserve">3. </w:t>
      </w:r>
      <w:r w:rsidRPr="00D200B5">
        <w:rPr>
          <w:rFonts w:ascii="Calibri" w:hAnsi="Calibri" w:cs="Calibri"/>
          <w:noProof/>
          <w:sz w:val="24"/>
          <w:szCs w:val="24"/>
          <w:lang w:val="en-US"/>
        </w:rPr>
        <w:tab/>
        <w:t>Datar S, Wijdicks EFM. Neurologic manifestations of acute liver failure. In: Handbook of Clinical Neurology [Internet]. 1st ed. Elsevier B.V.; 2014. p. 645–59. Available from: http://dx.doi.org/10.1016/B978-0-7020-4087-0.00044-9</w:t>
      </w:r>
    </w:p>
    <w:p w14:paraId="2BA1E83D" w14:textId="77777777" w:rsidR="003B280C" w:rsidRPr="00D200B5" w:rsidRDefault="003B280C" w:rsidP="003B280C">
      <w:pPr>
        <w:widowControl w:val="0"/>
        <w:autoSpaceDE w:val="0"/>
        <w:autoSpaceDN w:val="0"/>
        <w:adjustRightInd w:val="0"/>
        <w:ind w:left="640" w:hanging="640"/>
        <w:rPr>
          <w:rFonts w:ascii="Calibri" w:hAnsi="Calibri" w:cs="Calibri"/>
          <w:noProof/>
          <w:sz w:val="24"/>
          <w:szCs w:val="24"/>
          <w:lang w:val="en-US"/>
        </w:rPr>
      </w:pPr>
      <w:r w:rsidRPr="00D200B5">
        <w:rPr>
          <w:rFonts w:ascii="Calibri" w:hAnsi="Calibri" w:cs="Calibri"/>
          <w:noProof/>
          <w:sz w:val="24"/>
          <w:szCs w:val="24"/>
          <w:lang w:val="en-US"/>
        </w:rPr>
        <w:t xml:space="preserve">4. </w:t>
      </w:r>
      <w:r w:rsidRPr="00D200B5">
        <w:rPr>
          <w:rFonts w:ascii="Calibri" w:hAnsi="Calibri" w:cs="Calibri"/>
          <w:noProof/>
          <w:sz w:val="24"/>
          <w:szCs w:val="24"/>
          <w:lang w:val="en-US"/>
        </w:rPr>
        <w:tab/>
        <w:t xml:space="preserve">Maloney PR, Mallory GW, Atkinson JLD, Wijdicks EF, Rabinstein AA, Van Gompel JJ. Intracranial Pressure Monitoring in Acute Liver Failure: Institutional Case Series. Neurocrit Care. 2016;25(1):86–93. </w:t>
      </w:r>
    </w:p>
    <w:p w14:paraId="7D572481" w14:textId="77777777" w:rsidR="003B280C" w:rsidRPr="00D200B5" w:rsidRDefault="003B280C" w:rsidP="003B280C">
      <w:pPr>
        <w:widowControl w:val="0"/>
        <w:autoSpaceDE w:val="0"/>
        <w:autoSpaceDN w:val="0"/>
        <w:adjustRightInd w:val="0"/>
        <w:ind w:left="640" w:hanging="640"/>
        <w:rPr>
          <w:rFonts w:ascii="Calibri" w:hAnsi="Calibri" w:cs="Calibri"/>
          <w:noProof/>
          <w:sz w:val="24"/>
          <w:szCs w:val="24"/>
          <w:lang w:val="en-US"/>
        </w:rPr>
      </w:pPr>
      <w:r w:rsidRPr="00D200B5">
        <w:rPr>
          <w:rFonts w:ascii="Calibri" w:hAnsi="Calibri" w:cs="Calibri"/>
          <w:noProof/>
          <w:sz w:val="24"/>
          <w:szCs w:val="24"/>
          <w:lang w:val="en-US"/>
        </w:rPr>
        <w:t xml:space="preserve">5. </w:t>
      </w:r>
      <w:r w:rsidRPr="00D200B5">
        <w:rPr>
          <w:rFonts w:ascii="Calibri" w:hAnsi="Calibri" w:cs="Calibri"/>
          <w:noProof/>
          <w:sz w:val="24"/>
          <w:szCs w:val="24"/>
          <w:lang w:val="en-US"/>
        </w:rPr>
        <w:tab/>
        <w:t>Kodali S, McGuire BM. Diagnosis and Management of Hepatic Encephalopathy in Fulminant Hepatic Failure [Internet]. Vol. 19, Clinics in Liver Disease. Elsevier Inc; 2015. p. 565–76. Available from: http://dx.doi.org/10.1016/j.cld.2015.04.006</w:t>
      </w:r>
    </w:p>
    <w:p w14:paraId="1320597C" w14:textId="77777777" w:rsidR="003B280C" w:rsidRPr="00D200B5" w:rsidRDefault="003B280C" w:rsidP="003B280C">
      <w:pPr>
        <w:widowControl w:val="0"/>
        <w:autoSpaceDE w:val="0"/>
        <w:autoSpaceDN w:val="0"/>
        <w:adjustRightInd w:val="0"/>
        <w:ind w:left="640" w:hanging="640"/>
        <w:rPr>
          <w:rFonts w:ascii="Calibri" w:hAnsi="Calibri" w:cs="Calibri"/>
          <w:noProof/>
          <w:sz w:val="24"/>
          <w:szCs w:val="24"/>
          <w:lang w:val="en-US"/>
        </w:rPr>
      </w:pPr>
      <w:r w:rsidRPr="00D200B5">
        <w:rPr>
          <w:rFonts w:ascii="Calibri" w:hAnsi="Calibri" w:cs="Calibri"/>
          <w:noProof/>
          <w:sz w:val="24"/>
          <w:szCs w:val="24"/>
          <w:lang w:val="en-US"/>
        </w:rPr>
        <w:t xml:space="preserve">6. </w:t>
      </w:r>
      <w:r w:rsidRPr="00D200B5">
        <w:rPr>
          <w:rFonts w:ascii="Calibri" w:hAnsi="Calibri" w:cs="Calibri"/>
          <w:noProof/>
          <w:sz w:val="24"/>
          <w:szCs w:val="24"/>
          <w:lang w:val="en-US"/>
        </w:rPr>
        <w:tab/>
        <w:t xml:space="preserve">Vilstrup H, Amodio P, Bajaj J, Cordoba J, Ferenci P, Mullen KD, et al. Hepatic encephalopathy in chronic liver disease: 2014 Practice Guideline by the American Association for the Study Of Liver Diseases and the European Association for the Study of the Liver. Hepatology [Internet]. 2014 </w:t>
      </w:r>
      <w:r w:rsidRPr="00D200B5">
        <w:rPr>
          <w:rFonts w:ascii="Calibri" w:hAnsi="Calibri" w:cs="Calibri"/>
          <w:noProof/>
          <w:sz w:val="24"/>
          <w:szCs w:val="24"/>
          <w:lang w:val="en-US"/>
        </w:rPr>
        <w:lastRenderedPageBreak/>
        <w:t>Aug;60(2):715–35. Available from: https://onlinelibrary.wiley.com/doi/10.1002/hep.27210</w:t>
      </w:r>
    </w:p>
    <w:p w14:paraId="5B159DD2" w14:textId="77777777" w:rsidR="003B280C" w:rsidRPr="00D200B5" w:rsidRDefault="003B280C" w:rsidP="003B280C">
      <w:pPr>
        <w:widowControl w:val="0"/>
        <w:autoSpaceDE w:val="0"/>
        <w:autoSpaceDN w:val="0"/>
        <w:adjustRightInd w:val="0"/>
        <w:ind w:left="640" w:hanging="640"/>
        <w:rPr>
          <w:rFonts w:ascii="Calibri" w:hAnsi="Calibri" w:cs="Calibri"/>
          <w:noProof/>
          <w:sz w:val="24"/>
          <w:szCs w:val="24"/>
          <w:lang w:val="en-US"/>
        </w:rPr>
      </w:pPr>
      <w:r w:rsidRPr="00D200B5">
        <w:rPr>
          <w:rFonts w:ascii="Calibri" w:hAnsi="Calibri" w:cs="Calibri"/>
          <w:noProof/>
          <w:sz w:val="24"/>
          <w:szCs w:val="24"/>
          <w:lang w:val="en-US"/>
        </w:rPr>
        <w:t xml:space="preserve">7. </w:t>
      </w:r>
      <w:r w:rsidRPr="00D200B5">
        <w:rPr>
          <w:rFonts w:ascii="Calibri" w:hAnsi="Calibri" w:cs="Calibri"/>
          <w:noProof/>
          <w:sz w:val="24"/>
          <w:szCs w:val="24"/>
          <w:lang w:val="en-US"/>
        </w:rPr>
        <w:tab/>
        <w:t xml:space="preserve">Ferenci P, Lockwood A, Mullen K, Tarter R, Weissenborn K, Blei AT. Hepatic encephalopathy - Definition, nomenclature, diagnosis, and quantification: Final report of the Working Party at the 11th World Congresses of Gastroenterology, Vienna, 1998. Hepatology. 2002;35(3):716–21. </w:t>
      </w:r>
    </w:p>
    <w:p w14:paraId="67546ED5" w14:textId="77777777" w:rsidR="003B280C" w:rsidRPr="00D200B5" w:rsidRDefault="003B280C" w:rsidP="003B280C">
      <w:pPr>
        <w:widowControl w:val="0"/>
        <w:autoSpaceDE w:val="0"/>
        <w:autoSpaceDN w:val="0"/>
        <w:adjustRightInd w:val="0"/>
        <w:ind w:left="640" w:hanging="640"/>
        <w:rPr>
          <w:rFonts w:ascii="Calibri" w:hAnsi="Calibri" w:cs="Calibri"/>
          <w:noProof/>
          <w:sz w:val="24"/>
          <w:szCs w:val="24"/>
          <w:lang w:val="en-US"/>
        </w:rPr>
      </w:pPr>
      <w:r w:rsidRPr="00D200B5">
        <w:rPr>
          <w:rFonts w:ascii="Calibri" w:hAnsi="Calibri" w:cs="Calibri"/>
          <w:noProof/>
          <w:sz w:val="24"/>
          <w:szCs w:val="24"/>
          <w:lang w:val="en-US"/>
        </w:rPr>
        <w:t xml:space="preserve">8. </w:t>
      </w:r>
      <w:r w:rsidRPr="00D200B5">
        <w:rPr>
          <w:rFonts w:ascii="Calibri" w:hAnsi="Calibri" w:cs="Calibri"/>
          <w:noProof/>
          <w:sz w:val="24"/>
          <w:szCs w:val="24"/>
          <w:lang w:val="en-US"/>
        </w:rPr>
        <w:tab/>
        <w:t xml:space="preserve">Ochoa-Sanchez R, Rose CF. Pathogenesis of Hepatic Encephalopathy in Chronic Liver Disease. Vol. 8, Journal of Clinical and Experimental Hepatology. 2018. p. 262–71. </w:t>
      </w:r>
    </w:p>
    <w:p w14:paraId="2D2CD0A6" w14:textId="77777777" w:rsidR="003B280C" w:rsidRPr="00D200B5" w:rsidRDefault="003B280C" w:rsidP="003B280C">
      <w:pPr>
        <w:widowControl w:val="0"/>
        <w:autoSpaceDE w:val="0"/>
        <w:autoSpaceDN w:val="0"/>
        <w:adjustRightInd w:val="0"/>
        <w:ind w:left="640" w:hanging="640"/>
        <w:rPr>
          <w:rFonts w:ascii="Calibri" w:hAnsi="Calibri" w:cs="Calibri"/>
          <w:noProof/>
          <w:sz w:val="24"/>
          <w:szCs w:val="24"/>
          <w:lang w:val="en-US"/>
        </w:rPr>
      </w:pPr>
      <w:r w:rsidRPr="00D200B5">
        <w:rPr>
          <w:rFonts w:ascii="Calibri" w:hAnsi="Calibri" w:cs="Calibri"/>
          <w:noProof/>
          <w:sz w:val="24"/>
          <w:szCs w:val="24"/>
          <w:lang w:val="en-US"/>
        </w:rPr>
        <w:t xml:space="preserve">9. </w:t>
      </w:r>
      <w:r w:rsidRPr="00D200B5">
        <w:rPr>
          <w:rFonts w:ascii="Calibri" w:hAnsi="Calibri" w:cs="Calibri"/>
          <w:noProof/>
          <w:sz w:val="24"/>
          <w:szCs w:val="24"/>
          <w:lang w:val="en-US"/>
        </w:rPr>
        <w:tab/>
        <w:t xml:space="preserve">Raghavan M, Marik PE. Therapy of intracranial hypertension in patients with fulminant hepatic failure. Vol. 4, Neurocritical Care. 2006. p. 179–89. </w:t>
      </w:r>
    </w:p>
    <w:p w14:paraId="2B4D4008" w14:textId="77777777" w:rsidR="003B280C" w:rsidRPr="00D200B5" w:rsidRDefault="003B280C" w:rsidP="003B280C">
      <w:pPr>
        <w:widowControl w:val="0"/>
        <w:autoSpaceDE w:val="0"/>
        <w:autoSpaceDN w:val="0"/>
        <w:adjustRightInd w:val="0"/>
        <w:ind w:left="640" w:hanging="640"/>
        <w:rPr>
          <w:rFonts w:ascii="Calibri" w:hAnsi="Calibri" w:cs="Calibri"/>
          <w:noProof/>
          <w:sz w:val="24"/>
          <w:szCs w:val="24"/>
          <w:lang w:val="en-US"/>
        </w:rPr>
      </w:pPr>
      <w:r w:rsidRPr="00D200B5">
        <w:rPr>
          <w:rFonts w:ascii="Calibri" w:hAnsi="Calibri" w:cs="Calibri"/>
          <w:noProof/>
          <w:sz w:val="24"/>
          <w:szCs w:val="24"/>
          <w:lang w:val="en-US"/>
        </w:rPr>
        <w:t xml:space="preserve">10. </w:t>
      </w:r>
      <w:r w:rsidRPr="00D200B5">
        <w:rPr>
          <w:rFonts w:ascii="Calibri" w:hAnsi="Calibri" w:cs="Calibri"/>
          <w:noProof/>
          <w:sz w:val="24"/>
          <w:szCs w:val="24"/>
          <w:lang w:val="en-US"/>
        </w:rPr>
        <w:tab/>
        <w:t xml:space="preserve">Bernal W, Hall C, Karvellas CJ, Auzinger G, Sizer E, Wendon J. Arterial ammonia and clinical risk factors for encephalopathy and intracranial hypertension in acute liver failure. Hepatology. 2007;46(6):1844–52. </w:t>
      </w:r>
    </w:p>
    <w:p w14:paraId="4D9E3092" w14:textId="77777777" w:rsidR="003B280C" w:rsidRPr="00D200B5" w:rsidRDefault="003B280C" w:rsidP="003B280C">
      <w:pPr>
        <w:widowControl w:val="0"/>
        <w:autoSpaceDE w:val="0"/>
        <w:autoSpaceDN w:val="0"/>
        <w:adjustRightInd w:val="0"/>
        <w:ind w:left="640" w:hanging="640"/>
        <w:rPr>
          <w:rFonts w:ascii="Calibri" w:hAnsi="Calibri" w:cs="Calibri"/>
          <w:noProof/>
          <w:sz w:val="24"/>
          <w:szCs w:val="24"/>
          <w:lang w:val="en-US"/>
        </w:rPr>
      </w:pPr>
      <w:r w:rsidRPr="00D200B5">
        <w:rPr>
          <w:rFonts w:ascii="Calibri" w:hAnsi="Calibri" w:cs="Calibri"/>
          <w:noProof/>
          <w:sz w:val="24"/>
          <w:szCs w:val="24"/>
          <w:lang w:val="en-US"/>
        </w:rPr>
        <w:t xml:space="preserve">11. </w:t>
      </w:r>
      <w:r w:rsidRPr="00D200B5">
        <w:rPr>
          <w:rFonts w:ascii="Calibri" w:hAnsi="Calibri" w:cs="Calibri"/>
          <w:noProof/>
          <w:sz w:val="24"/>
          <w:szCs w:val="24"/>
          <w:lang w:val="en-US"/>
        </w:rPr>
        <w:tab/>
        <w:t>Wijdicks EFM, Plevak DJ, Rakela J, Wiesner RH. Clinical and Radiologic Features of Cerebral Edema in Fulminant Hepatic Failure. Mayo Clin Proc [Internet]. 1995;70(2):119–24. Available from: http://dx.doi.org/10.4065/70.2.119</w:t>
      </w:r>
    </w:p>
    <w:p w14:paraId="48BA3DAF" w14:textId="77777777" w:rsidR="003B280C" w:rsidRPr="00D200B5" w:rsidRDefault="003B280C" w:rsidP="003B280C">
      <w:pPr>
        <w:widowControl w:val="0"/>
        <w:autoSpaceDE w:val="0"/>
        <w:autoSpaceDN w:val="0"/>
        <w:adjustRightInd w:val="0"/>
        <w:ind w:left="640" w:hanging="640"/>
        <w:rPr>
          <w:rFonts w:ascii="Calibri" w:hAnsi="Calibri" w:cs="Calibri"/>
          <w:noProof/>
          <w:sz w:val="24"/>
          <w:szCs w:val="24"/>
          <w:lang w:val="en-US"/>
        </w:rPr>
      </w:pPr>
      <w:r w:rsidRPr="00D200B5">
        <w:rPr>
          <w:rFonts w:ascii="Calibri" w:hAnsi="Calibri" w:cs="Calibri"/>
          <w:noProof/>
          <w:sz w:val="24"/>
          <w:szCs w:val="24"/>
          <w:lang w:val="en-US"/>
        </w:rPr>
        <w:t xml:space="preserve">12. </w:t>
      </w:r>
      <w:r w:rsidRPr="00D200B5">
        <w:rPr>
          <w:rFonts w:ascii="Calibri" w:hAnsi="Calibri" w:cs="Calibri"/>
          <w:noProof/>
          <w:sz w:val="24"/>
          <w:szCs w:val="24"/>
          <w:lang w:val="en-US"/>
        </w:rPr>
        <w:tab/>
        <w:t xml:space="preserve">Frontera JA. Management of Hepatic Encephalopathy. Vol. 16, Current Treatment Options in Neurology. 2014. p. 1–37. </w:t>
      </w:r>
    </w:p>
    <w:p w14:paraId="2BDD4AF3" w14:textId="77777777" w:rsidR="003B280C" w:rsidRPr="00D200B5" w:rsidRDefault="003B280C" w:rsidP="003B280C">
      <w:pPr>
        <w:widowControl w:val="0"/>
        <w:autoSpaceDE w:val="0"/>
        <w:autoSpaceDN w:val="0"/>
        <w:adjustRightInd w:val="0"/>
        <w:ind w:left="640" w:hanging="640"/>
        <w:rPr>
          <w:rFonts w:ascii="Calibri" w:hAnsi="Calibri" w:cs="Calibri"/>
          <w:noProof/>
          <w:sz w:val="24"/>
          <w:szCs w:val="24"/>
          <w:lang w:val="en-US"/>
        </w:rPr>
      </w:pPr>
      <w:r w:rsidRPr="00D200B5">
        <w:rPr>
          <w:rFonts w:ascii="Calibri" w:hAnsi="Calibri" w:cs="Calibri"/>
          <w:noProof/>
          <w:sz w:val="24"/>
          <w:szCs w:val="24"/>
          <w:lang w:val="en-US"/>
        </w:rPr>
        <w:t xml:space="preserve">13. </w:t>
      </w:r>
      <w:r w:rsidRPr="00D200B5">
        <w:rPr>
          <w:rFonts w:ascii="Calibri" w:hAnsi="Calibri" w:cs="Calibri"/>
          <w:noProof/>
          <w:sz w:val="24"/>
          <w:szCs w:val="24"/>
          <w:lang w:val="en-US"/>
        </w:rPr>
        <w:tab/>
        <w:t>Raschke RA, Curry SC, Rempe S, Gerkin R, Little E, Manch R, et al. Results of a protocol for the management of patients with fulminant liver failure*. Crit Care Med [Internet]. 2008 Aug;36(8):2244–8. Available from: http://journals.lww.com/00003246-200808000-00004</w:t>
      </w:r>
    </w:p>
    <w:p w14:paraId="63912717" w14:textId="77777777" w:rsidR="003B280C" w:rsidRPr="00D200B5" w:rsidRDefault="003B280C" w:rsidP="003B280C">
      <w:pPr>
        <w:widowControl w:val="0"/>
        <w:autoSpaceDE w:val="0"/>
        <w:autoSpaceDN w:val="0"/>
        <w:adjustRightInd w:val="0"/>
        <w:ind w:left="640" w:hanging="640"/>
        <w:rPr>
          <w:rFonts w:ascii="Calibri" w:hAnsi="Calibri" w:cs="Calibri"/>
          <w:noProof/>
          <w:sz w:val="24"/>
          <w:szCs w:val="24"/>
          <w:lang w:val="en-US"/>
        </w:rPr>
      </w:pPr>
      <w:r w:rsidRPr="00D200B5">
        <w:rPr>
          <w:rFonts w:ascii="Calibri" w:hAnsi="Calibri" w:cs="Calibri"/>
          <w:noProof/>
          <w:sz w:val="24"/>
          <w:szCs w:val="24"/>
          <w:lang w:val="en-US"/>
        </w:rPr>
        <w:t xml:space="preserve">14. </w:t>
      </w:r>
      <w:r w:rsidRPr="00D200B5">
        <w:rPr>
          <w:rFonts w:ascii="Calibri" w:hAnsi="Calibri" w:cs="Calibri"/>
          <w:noProof/>
          <w:sz w:val="24"/>
          <w:szCs w:val="24"/>
          <w:lang w:val="en-US"/>
        </w:rPr>
        <w:tab/>
        <w:t xml:space="preserve">Bajaj JS, Cordoba J, Mullen KD, Amodio P, Shawcross DL, Butterworth RF, et al. Review article: The design of clinical trials in hepatic encephalopathy - An International Society for Hepatic Encephalopathy and Nitrogen Metabolism (ISHEN) consensus statement. Aliment Pharmacol Ther. 2011;33(7):739–47. </w:t>
      </w:r>
    </w:p>
    <w:p w14:paraId="52957CE3" w14:textId="77777777" w:rsidR="003B280C" w:rsidRPr="00D200B5" w:rsidRDefault="003B280C" w:rsidP="003B280C">
      <w:pPr>
        <w:widowControl w:val="0"/>
        <w:autoSpaceDE w:val="0"/>
        <w:autoSpaceDN w:val="0"/>
        <w:adjustRightInd w:val="0"/>
        <w:ind w:left="640" w:hanging="640"/>
        <w:rPr>
          <w:rFonts w:ascii="Calibri" w:hAnsi="Calibri" w:cs="Calibri"/>
          <w:noProof/>
          <w:sz w:val="24"/>
          <w:szCs w:val="24"/>
          <w:lang w:val="en-US"/>
        </w:rPr>
      </w:pPr>
      <w:r w:rsidRPr="00D200B5">
        <w:rPr>
          <w:rFonts w:ascii="Calibri" w:hAnsi="Calibri" w:cs="Calibri"/>
          <w:noProof/>
          <w:sz w:val="24"/>
          <w:szCs w:val="24"/>
          <w:lang w:val="en-US"/>
        </w:rPr>
        <w:t xml:space="preserve">15. </w:t>
      </w:r>
      <w:r w:rsidRPr="00D200B5">
        <w:rPr>
          <w:rFonts w:ascii="Calibri" w:hAnsi="Calibri" w:cs="Calibri"/>
          <w:noProof/>
          <w:sz w:val="24"/>
          <w:szCs w:val="24"/>
          <w:lang w:val="en-US"/>
        </w:rPr>
        <w:tab/>
        <w:t>Lidofsky SD, Bass NM, Prager MC, Washington DE, Read AE, Wright TL, et al. Intracranial pressure monitoring and liver transplantation for fulminant hepatic failure. Hepatology [Internet]. 1992 Jul;16(1):1–7. Available from: https://onlinelibrary.wiley.com/doi/10.1002/hep.1840160102</w:t>
      </w:r>
    </w:p>
    <w:p w14:paraId="4BE50102" w14:textId="77777777" w:rsidR="003B280C" w:rsidRPr="00D200B5" w:rsidRDefault="003B280C" w:rsidP="003B280C">
      <w:pPr>
        <w:widowControl w:val="0"/>
        <w:autoSpaceDE w:val="0"/>
        <w:autoSpaceDN w:val="0"/>
        <w:adjustRightInd w:val="0"/>
        <w:ind w:left="640" w:hanging="640"/>
        <w:rPr>
          <w:rFonts w:ascii="Calibri" w:hAnsi="Calibri" w:cs="Calibri"/>
          <w:noProof/>
          <w:sz w:val="24"/>
          <w:szCs w:val="24"/>
          <w:lang w:val="en-US"/>
        </w:rPr>
      </w:pPr>
      <w:r w:rsidRPr="00D200B5">
        <w:rPr>
          <w:rFonts w:ascii="Calibri" w:hAnsi="Calibri" w:cs="Calibri"/>
          <w:noProof/>
          <w:sz w:val="24"/>
          <w:szCs w:val="24"/>
          <w:lang w:val="en-US"/>
        </w:rPr>
        <w:t xml:space="preserve">16. </w:t>
      </w:r>
      <w:r w:rsidRPr="00D200B5">
        <w:rPr>
          <w:rFonts w:ascii="Calibri" w:hAnsi="Calibri" w:cs="Calibri"/>
          <w:noProof/>
          <w:sz w:val="24"/>
          <w:szCs w:val="24"/>
          <w:lang w:val="en-US"/>
        </w:rPr>
        <w:tab/>
        <w:t>Blei AT, Olafsson S, Webster S, Levy R. Complications of intracranial pressure monitoring in fulminant hepatic failure. Lancet [Internet]. 1993 Jan;341(8838):157–8. Available from: https://linkinghub.elsevier.com/retrieve/pii/014067369390458S</w:t>
      </w:r>
    </w:p>
    <w:p w14:paraId="2B647CD3" w14:textId="77777777" w:rsidR="003B280C" w:rsidRPr="00D200B5" w:rsidRDefault="003B280C" w:rsidP="003B280C">
      <w:pPr>
        <w:widowControl w:val="0"/>
        <w:autoSpaceDE w:val="0"/>
        <w:autoSpaceDN w:val="0"/>
        <w:adjustRightInd w:val="0"/>
        <w:ind w:left="640" w:hanging="640"/>
        <w:rPr>
          <w:rFonts w:ascii="Calibri" w:hAnsi="Calibri" w:cs="Calibri"/>
          <w:noProof/>
          <w:sz w:val="24"/>
          <w:szCs w:val="24"/>
          <w:lang w:val="en-US"/>
        </w:rPr>
      </w:pPr>
      <w:r w:rsidRPr="00D200B5">
        <w:rPr>
          <w:rFonts w:ascii="Calibri" w:hAnsi="Calibri" w:cs="Calibri"/>
          <w:noProof/>
          <w:sz w:val="24"/>
          <w:szCs w:val="24"/>
          <w:lang w:val="en-US"/>
        </w:rPr>
        <w:t xml:space="preserve">17. </w:t>
      </w:r>
      <w:r w:rsidRPr="00D200B5">
        <w:rPr>
          <w:rFonts w:ascii="Calibri" w:hAnsi="Calibri" w:cs="Calibri"/>
          <w:noProof/>
          <w:sz w:val="24"/>
          <w:szCs w:val="24"/>
          <w:lang w:val="en-US"/>
        </w:rPr>
        <w:tab/>
        <w:t>Rabelo NN, Silveira Chaves PH, Gonçalves de Sena Barbosa M, Frigieri G. Is It Possible to Monitor the Wave Form with Noninvasive Methods? World Neurosurg [Internet]. 2021 Aug;152:231–2. Available from: https://doi.org/10.1016/j.wneu.2021.06.050</w:t>
      </w:r>
    </w:p>
    <w:p w14:paraId="49156EFD" w14:textId="77777777" w:rsidR="003B280C" w:rsidRPr="00D200B5" w:rsidRDefault="003B280C" w:rsidP="003B280C">
      <w:pPr>
        <w:widowControl w:val="0"/>
        <w:autoSpaceDE w:val="0"/>
        <w:autoSpaceDN w:val="0"/>
        <w:adjustRightInd w:val="0"/>
        <w:ind w:left="640" w:hanging="640"/>
        <w:rPr>
          <w:rFonts w:ascii="Calibri" w:hAnsi="Calibri" w:cs="Calibri"/>
          <w:noProof/>
          <w:sz w:val="24"/>
          <w:szCs w:val="24"/>
          <w:lang w:val="en-US"/>
        </w:rPr>
      </w:pPr>
      <w:r w:rsidRPr="00D200B5">
        <w:rPr>
          <w:rFonts w:ascii="Calibri" w:hAnsi="Calibri" w:cs="Calibri"/>
          <w:noProof/>
          <w:sz w:val="24"/>
          <w:szCs w:val="24"/>
          <w:lang w:val="en-US"/>
        </w:rPr>
        <w:t xml:space="preserve">18. </w:t>
      </w:r>
      <w:r w:rsidRPr="00D200B5">
        <w:rPr>
          <w:rFonts w:ascii="Calibri" w:hAnsi="Calibri" w:cs="Calibri"/>
          <w:noProof/>
          <w:sz w:val="24"/>
          <w:szCs w:val="24"/>
          <w:lang w:val="en-US"/>
        </w:rPr>
        <w:tab/>
        <w:t xml:space="preserve">Frigieri G, Yukie Hayashi C, Nunes Rabelo N, Brasil S. Intracranial Pressure Waveform: History, Fundamentals and Applications in Brain Injuries. In: Advancement and New Understanding in Brain Injury. 2021. p. 1–15. </w:t>
      </w:r>
    </w:p>
    <w:p w14:paraId="564FAC90" w14:textId="77777777" w:rsidR="003B280C" w:rsidRPr="00D200B5" w:rsidRDefault="003B280C" w:rsidP="003B280C">
      <w:pPr>
        <w:widowControl w:val="0"/>
        <w:autoSpaceDE w:val="0"/>
        <w:autoSpaceDN w:val="0"/>
        <w:adjustRightInd w:val="0"/>
        <w:ind w:left="640" w:hanging="640"/>
        <w:rPr>
          <w:rFonts w:ascii="Calibri" w:hAnsi="Calibri" w:cs="Calibri"/>
          <w:noProof/>
          <w:sz w:val="24"/>
          <w:szCs w:val="24"/>
          <w:lang w:val="en-US"/>
        </w:rPr>
      </w:pPr>
      <w:r w:rsidRPr="00D200B5">
        <w:rPr>
          <w:rFonts w:ascii="Calibri" w:hAnsi="Calibri" w:cs="Calibri"/>
          <w:noProof/>
          <w:sz w:val="24"/>
          <w:szCs w:val="24"/>
          <w:lang w:val="en-US"/>
        </w:rPr>
        <w:t xml:space="preserve">19. </w:t>
      </w:r>
      <w:r w:rsidRPr="00D200B5">
        <w:rPr>
          <w:rFonts w:ascii="Calibri" w:hAnsi="Calibri" w:cs="Calibri"/>
          <w:noProof/>
          <w:sz w:val="24"/>
          <w:szCs w:val="24"/>
          <w:lang w:val="en-US"/>
        </w:rPr>
        <w:tab/>
        <w:t>Zakrzewska AP, Placek MM, Czosnyka M, Kasprowicz M, Lang EW. Intracranial pulse pressure waveform analysis using the higher harmonics centroid. Acta Neurochir (Wien) [Internet]. 2021;163(12):3249–58. Available from: https://doi.org/10.1007/s00701-021-04958-1</w:t>
      </w:r>
    </w:p>
    <w:p w14:paraId="499BE32F" w14:textId="77777777" w:rsidR="003B280C" w:rsidRPr="00D200B5" w:rsidRDefault="003B280C" w:rsidP="003B280C">
      <w:pPr>
        <w:widowControl w:val="0"/>
        <w:autoSpaceDE w:val="0"/>
        <w:autoSpaceDN w:val="0"/>
        <w:adjustRightInd w:val="0"/>
        <w:ind w:left="640" w:hanging="640"/>
        <w:rPr>
          <w:rFonts w:ascii="Calibri" w:hAnsi="Calibri" w:cs="Calibri"/>
          <w:noProof/>
          <w:sz w:val="24"/>
          <w:szCs w:val="24"/>
          <w:lang w:val="en-US"/>
        </w:rPr>
      </w:pPr>
      <w:r w:rsidRPr="00D200B5">
        <w:rPr>
          <w:rFonts w:ascii="Calibri" w:hAnsi="Calibri" w:cs="Calibri"/>
          <w:noProof/>
          <w:sz w:val="24"/>
          <w:szCs w:val="24"/>
        </w:rPr>
        <w:t xml:space="preserve">20. </w:t>
      </w:r>
      <w:r w:rsidRPr="00D200B5">
        <w:rPr>
          <w:rFonts w:ascii="Calibri" w:hAnsi="Calibri" w:cs="Calibri"/>
          <w:noProof/>
          <w:sz w:val="24"/>
          <w:szCs w:val="24"/>
        </w:rPr>
        <w:tab/>
        <w:t xml:space="preserve">Brasil S, Solla DJF, Nogueira RDC, Teixeira MJ, Malbouisson LMS, Paiva WS. </w:t>
      </w:r>
      <w:r w:rsidRPr="00D200B5">
        <w:rPr>
          <w:rFonts w:ascii="Calibri" w:hAnsi="Calibri" w:cs="Calibri"/>
          <w:noProof/>
          <w:sz w:val="24"/>
          <w:szCs w:val="24"/>
          <w:lang w:val="en-US"/>
        </w:rPr>
        <w:lastRenderedPageBreak/>
        <w:t xml:space="preserve">Intracranial compliance assessed by intracranial pressure pulse waveform. Brain Sci. 2021;11(8). </w:t>
      </w:r>
    </w:p>
    <w:p w14:paraId="7C6757DD" w14:textId="77777777" w:rsidR="003B280C" w:rsidRPr="00D200B5" w:rsidRDefault="003B280C" w:rsidP="003B280C">
      <w:pPr>
        <w:widowControl w:val="0"/>
        <w:autoSpaceDE w:val="0"/>
        <w:autoSpaceDN w:val="0"/>
        <w:adjustRightInd w:val="0"/>
        <w:ind w:left="640" w:hanging="640"/>
        <w:rPr>
          <w:rFonts w:ascii="Calibri" w:hAnsi="Calibri" w:cs="Calibri"/>
          <w:noProof/>
          <w:sz w:val="24"/>
          <w:szCs w:val="24"/>
          <w:lang w:val="en-US"/>
        </w:rPr>
      </w:pPr>
      <w:r w:rsidRPr="00D200B5">
        <w:rPr>
          <w:rFonts w:ascii="Calibri" w:hAnsi="Calibri" w:cs="Calibri"/>
          <w:noProof/>
          <w:sz w:val="24"/>
          <w:szCs w:val="24"/>
          <w:lang w:val="en-US"/>
        </w:rPr>
        <w:t xml:space="preserve">21. </w:t>
      </w:r>
      <w:r w:rsidRPr="00D200B5">
        <w:rPr>
          <w:rFonts w:ascii="Calibri" w:hAnsi="Calibri" w:cs="Calibri"/>
          <w:noProof/>
          <w:sz w:val="24"/>
          <w:szCs w:val="24"/>
          <w:lang w:val="en-US"/>
        </w:rPr>
        <w:tab/>
        <w:t>Hirzallah MI, Choi HA. The Monitoring of Brain Edema and Intracranial Hypertension. J Neurocritical Care [Internet]. 2016 Dec 9;9(2):92–104. Available from: http://e-jnc.org/journal/view.php?doi=10.18700/jnc.160093</w:t>
      </w:r>
    </w:p>
    <w:p w14:paraId="23A2B8AA" w14:textId="77777777" w:rsidR="003B280C" w:rsidRPr="00D200B5" w:rsidRDefault="003B280C" w:rsidP="003B280C">
      <w:pPr>
        <w:widowControl w:val="0"/>
        <w:autoSpaceDE w:val="0"/>
        <w:autoSpaceDN w:val="0"/>
        <w:adjustRightInd w:val="0"/>
        <w:ind w:left="640" w:hanging="640"/>
        <w:rPr>
          <w:rFonts w:ascii="Calibri" w:hAnsi="Calibri" w:cs="Calibri"/>
          <w:noProof/>
          <w:sz w:val="24"/>
          <w:szCs w:val="24"/>
          <w:lang w:val="en-US"/>
        </w:rPr>
      </w:pPr>
      <w:r w:rsidRPr="00D200B5">
        <w:rPr>
          <w:rFonts w:ascii="Calibri" w:hAnsi="Calibri" w:cs="Calibri"/>
          <w:noProof/>
          <w:sz w:val="24"/>
          <w:szCs w:val="24"/>
        </w:rPr>
        <w:t xml:space="preserve">22. </w:t>
      </w:r>
      <w:r w:rsidRPr="00D200B5">
        <w:rPr>
          <w:rFonts w:ascii="Calibri" w:hAnsi="Calibri" w:cs="Calibri"/>
          <w:noProof/>
          <w:sz w:val="24"/>
          <w:szCs w:val="24"/>
        </w:rPr>
        <w:tab/>
        <w:t xml:space="preserve">Mascarenhas S, Vilela GHF, Carlotti C, Damiano LEG, Seluque W, Colli B, et al. </w:t>
      </w:r>
      <w:r w:rsidRPr="00D200B5">
        <w:rPr>
          <w:rFonts w:ascii="Calibri" w:hAnsi="Calibri" w:cs="Calibri"/>
          <w:noProof/>
          <w:sz w:val="24"/>
          <w:szCs w:val="24"/>
          <w:lang w:val="en-US"/>
        </w:rPr>
        <w:t>The New ICP Minimally Invasive Method Shows That the Monro–Kellie Doctrine Is Not Valid. 2012;114:3–6. Available from: http://www.springerlink.com/index/10.1007/978-3-7091-0956-4</w:t>
      </w:r>
    </w:p>
    <w:p w14:paraId="34932381" w14:textId="77777777" w:rsidR="003B280C" w:rsidRPr="00D200B5" w:rsidRDefault="003B280C" w:rsidP="003B280C">
      <w:pPr>
        <w:widowControl w:val="0"/>
        <w:autoSpaceDE w:val="0"/>
        <w:autoSpaceDN w:val="0"/>
        <w:adjustRightInd w:val="0"/>
        <w:ind w:left="640" w:hanging="640"/>
        <w:rPr>
          <w:rFonts w:ascii="Calibri" w:hAnsi="Calibri" w:cs="Calibri"/>
          <w:noProof/>
          <w:sz w:val="24"/>
          <w:szCs w:val="24"/>
        </w:rPr>
      </w:pPr>
      <w:r w:rsidRPr="00D200B5">
        <w:rPr>
          <w:rFonts w:ascii="Calibri" w:hAnsi="Calibri" w:cs="Calibri"/>
          <w:noProof/>
          <w:sz w:val="24"/>
          <w:szCs w:val="24"/>
          <w:lang w:val="en-US"/>
        </w:rPr>
        <w:t xml:space="preserve">23. </w:t>
      </w:r>
      <w:r w:rsidRPr="00D200B5">
        <w:rPr>
          <w:rFonts w:ascii="Calibri" w:hAnsi="Calibri" w:cs="Calibri"/>
          <w:noProof/>
          <w:sz w:val="24"/>
          <w:szCs w:val="24"/>
          <w:lang w:val="en-US"/>
        </w:rPr>
        <w:tab/>
        <w:t xml:space="preserve">Vilela GHF, Cabella B, Mascarenhas S, Czosnyka M, Smielewski P, Dias C, et al. Validation of a new minimally invasive intracranial pressure monitoring method by direct comparison with an invasive technique. </w:t>
      </w:r>
      <w:r w:rsidRPr="00D200B5">
        <w:rPr>
          <w:rFonts w:ascii="Calibri" w:hAnsi="Calibri" w:cs="Calibri"/>
          <w:noProof/>
          <w:sz w:val="24"/>
          <w:szCs w:val="24"/>
        </w:rPr>
        <w:t xml:space="preserve">Acta Neurochir Suppl. 2016;122:97–100. </w:t>
      </w:r>
    </w:p>
    <w:p w14:paraId="0BC5EC39" w14:textId="77777777" w:rsidR="003B280C" w:rsidRPr="00D200B5" w:rsidRDefault="003B280C" w:rsidP="003B280C">
      <w:pPr>
        <w:widowControl w:val="0"/>
        <w:autoSpaceDE w:val="0"/>
        <w:autoSpaceDN w:val="0"/>
        <w:adjustRightInd w:val="0"/>
        <w:ind w:left="640" w:hanging="640"/>
        <w:rPr>
          <w:rFonts w:ascii="Calibri" w:hAnsi="Calibri" w:cs="Calibri"/>
          <w:noProof/>
          <w:sz w:val="24"/>
          <w:szCs w:val="24"/>
        </w:rPr>
      </w:pPr>
      <w:r w:rsidRPr="00D200B5">
        <w:rPr>
          <w:rFonts w:ascii="Calibri" w:hAnsi="Calibri" w:cs="Calibri"/>
          <w:noProof/>
          <w:sz w:val="24"/>
          <w:szCs w:val="24"/>
        </w:rPr>
        <w:t xml:space="preserve">24. </w:t>
      </w:r>
      <w:r w:rsidRPr="00D200B5">
        <w:rPr>
          <w:rFonts w:ascii="Calibri" w:hAnsi="Calibri" w:cs="Calibri"/>
          <w:noProof/>
          <w:sz w:val="24"/>
          <w:szCs w:val="24"/>
        </w:rPr>
        <w:tab/>
        <w:t xml:space="preserve">Vilela GHF, Cabella B, Mascarenhas S, Czosnyka M, Smielewski P, Dias C, et al. </w:t>
      </w:r>
      <w:r w:rsidRPr="00D200B5">
        <w:rPr>
          <w:rFonts w:ascii="Calibri" w:hAnsi="Calibri" w:cs="Calibri"/>
          <w:noProof/>
          <w:sz w:val="24"/>
          <w:szCs w:val="24"/>
          <w:lang w:val="en-US"/>
        </w:rPr>
        <w:t xml:space="preserve">Validation of a new Noninvasive intracranial pressure monitoring method by direct comparison with an invasive technique. </w:t>
      </w:r>
      <w:r w:rsidRPr="00D200B5">
        <w:rPr>
          <w:rFonts w:ascii="Calibri" w:hAnsi="Calibri" w:cs="Calibri"/>
          <w:noProof/>
          <w:sz w:val="24"/>
          <w:szCs w:val="24"/>
        </w:rPr>
        <w:t xml:space="preserve">Acta Neurochir Suppl. 2016;122:97–100. </w:t>
      </w:r>
    </w:p>
    <w:p w14:paraId="430410D0" w14:textId="77777777" w:rsidR="003B280C" w:rsidRPr="00D200B5" w:rsidRDefault="003B280C" w:rsidP="003B280C">
      <w:pPr>
        <w:widowControl w:val="0"/>
        <w:autoSpaceDE w:val="0"/>
        <w:autoSpaceDN w:val="0"/>
        <w:adjustRightInd w:val="0"/>
        <w:ind w:left="640" w:hanging="640"/>
        <w:rPr>
          <w:rFonts w:ascii="Calibri" w:hAnsi="Calibri" w:cs="Calibri"/>
          <w:noProof/>
          <w:sz w:val="24"/>
          <w:szCs w:val="24"/>
        </w:rPr>
      </w:pPr>
      <w:r w:rsidRPr="00D200B5">
        <w:rPr>
          <w:rFonts w:ascii="Calibri" w:hAnsi="Calibri" w:cs="Calibri"/>
          <w:noProof/>
          <w:sz w:val="24"/>
          <w:szCs w:val="24"/>
        </w:rPr>
        <w:t xml:space="preserve">25. </w:t>
      </w:r>
      <w:r w:rsidRPr="00D200B5">
        <w:rPr>
          <w:rFonts w:ascii="Calibri" w:hAnsi="Calibri" w:cs="Calibri"/>
          <w:noProof/>
          <w:sz w:val="24"/>
          <w:szCs w:val="24"/>
        </w:rPr>
        <w:tab/>
        <w:t xml:space="preserve">Vanderlei LCM, Pastre CM, Hoshi RA, Carvalho TD de, Godoy MF de. Noções básicas de variabilidade da frequência cardíaca e sua aplicabilidade clínica. Rev Bras Cir Cardiovasc. 2009;24(2):205–17. </w:t>
      </w:r>
    </w:p>
    <w:p w14:paraId="0E05C7B1" w14:textId="77777777" w:rsidR="003B280C" w:rsidRPr="00D200B5" w:rsidRDefault="003B280C" w:rsidP="003B280C">
      <w:pPr>
        <w:widowControl w:val="0"/>
        <w:autoSpaceDE w:val="0"/>
        <w:autoSpaceDN w:val="0"/>
        <w:adjustRightInd w:val="0"/>
        <w:ind w:left="640" w:hanging="640"/>
        <w:rPr>
          <w:rFonts w:ascii="Calibri" w:hAnsi="Calibri" w:cs="Calibri"/>
          <w:noProof/>
          <w:sz w:val="24"/>
          <w:szCs w:val="24"/>
          <w:lang w:val="en-US"/>
        </w:rPr>
      </w:pPr>
      <w:r w:rsidRPr="00D200B5">
        <w:rPr>
          <w:rFonts w:ascii="Calibri" w:hAnsi="Calibri" w:cs="Calibri"/>
          <w:noProof/>
          <w:sz w:val="24"/>
          <w:szCs w:val="24"/>
        </w:rPr>
        <w:t xml:space="preserve">26. </w:t>
      </w:r>
      <w:r w:rsidRPr="00D200B5">
        <w:rPr>
          <w:rFonts w:ascii="Calibri" w:hAnsi="Calibri" w:cs="Calibri"/>
          <w:noProof/>
          <w:sz w:val="24"/>
          <w:szCs w:val="24"/>
        </w:rPr>
        <w:tab/>
        <w:t xml:space="preserve">Catai AM, Pastre CM, Godoy MF de, Silva E da, Takahashi AC de M, Vanderlei LCM. </w:t>
      </w:r>
      <w:r w:rsidRPr="00D200B5">
        <w:rPr>
          <w:rFonts w:ascii="Calibri" w:hAnsi="Calibri" w:cs="Calibri"/>
          <w:noProof/>
          <w:sz w:val="24"/>
          <w:szCs w:val="24"/>
          <w:lang w:val="en-US"/>
        </w:rPr>
        <w:t>Heart rate variability: are you using it properly? Standardisation checklist of procedures. Brazilian J Phys Ther [Internet]. 2020;24(2):91–102. Available from: https://doi.org/10.1016/j.bjpt.2019.02.006</w:t>
      </w:r>
    </w:p>
    <w:p w14:paraId="1CDDF069" w14:textId="1D65B40E" w:rsidR="00EB07E1" w:rsidRPr="003B280C" w:rsidRDefault="00EB07E1" w:rsidP="00043886">
      <w:pPr>
        <w:rPr>
          <w:rFonts w:ascii="Calibri" w:hAnsi="Calibri" w:cs="Calibri"/>
          <w:sz w:val="24"/>
          <w:szCs w:val="24"/>
        </w:rPr>
      </w:pPr>
      <w:r w:rsidRPr="00D200B5">
        <w:rPr>
          <w:rFonts w:ascii="Calibri" w:hAnsi="Calibri" w:cs="Calibri"/>
          <w:sz w:val="24"/>
          <w:szCs w:val="24"/>
        </w:rPr>
        <w:fldChar w:fldCharType="end"/>
      </w:r>
    </w:p>
    <w:sectPr w:rsidR="00EB07E1" w:rsidRPr="003B280C" w:rsidSect="004D45D4">
      <w:headerReference w:type="even" r:id="rId17"/>
      <w:headerReference w:type="default" r:id="rId18"/>
      <w:pgSz w:w="11906" w:h="16838" w:code="9"/>
      <w:pgMar w:top="1417" w:right="1701" w:bottom="1417"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8B3D01" w14:textId="77777777" w:rsidR="005C5EE1" w:rsidRDefault="005C5EE1">
      <w:r>
        <w:separator/>
      </w:r>
    </w:p>
  </w:endnote>
  <w:endnote w:type="continuationSeparator" w:id="0">
    <w:p w14:paraId="137237E2" w14:textId="77777777" w:rsidR="005C5EE1" w:rsidRDefault="005C5E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DD452A" w14:textId="77777777" w:rsidR="005C5EE1" w:rsidRDefault="005C5EE1">
      <w:r>
        <w:separator/>
      </w:r>
    </w:p>
  </w:footnote>
  <w:footnote w:type="continuationSeparator" w:id="0">
    <w:p w14:paraId="35043C34" w14:textId="77777777" w:rsidR="005C5EE1" w:rsidRDefault="005C5EE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D97D48" w14:textId="77777777" w:rsidR="00AC7C65" w:rsidRDefault="00AC7C65" w:rsidP="0060684E">
    <w:pPr>
      <w:pStyle w:val="Cabealho"/>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35A80F18" w14:textId="77777777" w:rsidR="00AC7C65" w:rsidRDefault="00AC7C65" w:rsidP="00EC11B9">
    <w:pPr>
      <w:pStyle w:val="Cabealho"/>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539907" w14:textId="77777777" w:rsidR="00AC7C65" w:rsidRDefault="00AC7C65" w:rsidP="0060684E">
    <w:pPr>
      <w:pStyle w:val="Cabealho"/>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4A0662">
      <w:rPr>
        <w:rStyle w:val="Nmerodepgina"/>
        <w:noProof/>
      </w:rPr>
      <w:t>10</w:t>
    </w:r>
    <w:r>
      <w:rPr>
        <w:rStyle w:val="Nmerodepgina"/>
      </w:rPr>
      <w:fldChar w:fldCharType="end"/>
    </w:r>
  </w:p>
  <w:p w14:paraId="33227A42" w14:textId="77777777" w:rsidR="00AC7C65" w:rsidRDefault="00AC7C65" w:rsidP="00EC11B9">
    <w:pPr>
      <w:pStyle w:val="Cabealho"/>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84" type="#_x0000_t75" style="width:12pt;height:12pt" o:bullet="t">
        <v:imagedata r:id="rId1" o:title="mso54"/>
      </v:shape>
    </w:pict>
  </w:numPicBullet>
  <w:abstractNum w:abstractNumId="0" w15:restartNumberingAfterBreak="0">
    <w:nsid w:val="FFFFFF7C"/>
    <w:multiLevelType w:val="singleLevel"/>
    <w:tmpl w:val="2010489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A74EB3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75AB46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D88EC4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6BC3CE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D245AB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52AFF8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8E685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8EAF83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50E4F7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6F7D5F"/>
    <w:multiLevelType w:val="multilevel"/>
    <w:tmpl w:val="B830B9E0"/>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50"/>
        </w:tabs>
        <w:ind w:left="750" w:hanging="39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1" w15:restartNumberingAfterBreak="0">
    <w:nsid w:val="039E7ED4"/>
    <w:multiLevelType w:val="multilevel"/>
    <w:tmpl w:val="C7489200"/>
    <w:lvl w:ilvl="0">
      <w:start w:val="1"/>
      <w:numFmt w:val="decimal"/>
      <w:lvlText w:val="%1"/>
      <w:lvlJc w:val="left"/>
      <w:pPr>
        <w:ind w:left="525" w:hanging="525"/>
      </w:pPr>
      <w:rPr>
        <w:rFonts w:hint="default"/>
      </w:rPr>
    </w:lvl>
    <w:lvl w:ilvl="1">
      <w:start w:val="1"/>
      <w:numFmt w:val="decimal"/>
      <w:lvlText w:val="%1.%2"/>
      <w:lvlJc w:val="left"/>
      <w:pPr>
        <w:ind w:left="879" w:hanging="525"/>
      </w:pPr>
      <w:rPr>
        <w:rFonts w:hint="default"/>
      </w:rPr>
    </w:lvl>
    <w:lvl w:ilvl="2">
      <w:start w:val="3"/>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632" w:hanging="1800"/>
      </w:pPr>
      <w:rPr>
        <w:rFonts w:hint="default"/>
      </w:rPr>
    </w:lvl>
  </w:abstractNum>
  <w:abstractNum w:abstractNumId="12" w15:restartNumberingAfterBreak="0">
    <w:nsid w:val="0BC37008"/>
    <w:multiLevelType w:val="hybridMultilevel"/>
    <w:tmpl w:val="4894C292"/>
    <w:lvl w:ilvl="0" w:tplc="04160001">
      <w:start w:val="1"/>
      <w:numFmt w:val="bullet"/>
      <w:lvlText w:val=""/>
      <w:lvlJc w:val="left"/>
      <w:pPr>
        <w:ind w:left="360" w:hanging="360"/>
      </w:pPr>
      <w:rPr>
        <w:rFonts w:ascii="Symbol" w:hAnsi="Symbol"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13" w15:restartNumberingAfterBreak="0">
    <w:nsid w:val="0DC612D1"/>
    <w:multiLevelType w:val="hybridMultilevel"/>
    <w:tmpl w:val="9E547724"/>
    <w:lvl w:ilvl="0" w:tplc="16227A0A">
      <w:start w:val="1"/>
      <w:numFmt w:val="decimal"/>
      <w:lvlText w:val="%1."/>
      <w:lvlJc w:val="left"/>
      <w:pPr>
        <w:ind w:left="720" w:hanging="360"/>
      </w:pPr>
      <w:rPr>
        <w:b w:val="0"/>
        <w:b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15:restartNumberingAfterBreak="0">
    <w:nsid w:val="102F1B5F"/>
    <w:multiLevelType w:val="hybridMultilevel"/>
    <w:tmpl w:val="9A5055F6"/>
    <w:lvl w:ilvl="0" w:tplc="04160007">
      <w:start w:val="1"/>
      <w:numFmt w:val="bullet"/>
      <w:lvlText w:val=""/>
      <w:lvlPicBulletId w:val="0"/>
      <w:lvlJc w:val="left"/>
      <w:pPr>
        <w:tabs>
          <w:tab w:val="num" w:pos="1485"/>
        </w:tabs>
        <w:ind w:left="1485" w:hanging="360"/>
      </w:pPr>
      <w:rPr>
        <w:rFonts w:ascii="Symbol" w:hAnsi="Symbol" w:hint="default"/>
      </w:rPr>
    </w:lvl>
    <w:lvl w:ilvl="1" w:tplc="04160003" w:tentative="1">
      <w:start w:val="1"/>
      <w:numFmt w:val="bullet"/>
      <w:lvlText w:val="o"/>
      <w:lvlJc w:val="left"/>
      <w:pPr>
        <w:tabs>
          <w:tab w:val="num" w:pos="2205"/>
        </w:tabs>
        <w:ind w:left="2205" w:hanging="360"/>
      </w:pPr>
      <w:rPr>
        <w:rFonts w:ascii="Courier New" w:hAnsi="Courier New" w:cs="Courier New" w:hint="default"/>
      </w:rPr>
    </w:lvl>
    <w:lvl w:ilvl="2" w:tplc="04160005" w:tentative="1">
      <w:start w:val="1"/>
      <w:numFmt w:val="bullet"/>
      <w:lvlText w:val=""/>
      <w:lvlJc w:val="left"/>
      <w:pPr>
        <w:tabs>
          <w:tab w:val="num" w:pos="2925"/>
        </w:tabs>
        <w:ind w:left="2925" w:hanging="360"/>
      </w:pPr>
      <w:rPr>
        <w:rFonts w:ascii="Wingdings" w:hAnsi="Wingdings" w:hint="default"/>
      </w:rPr>
    </w:lvl>
    <w:lvl w:ilvl="3" w:tplc="04160001" w:tentative="1">
      <w:start w:val="1"/>
      <w:numFmt w:val="bullet"/>
      <w:lvlText w:val=""/>
      <w:lvlJc w:val="left"/>
      <w:pPr>
        <w:tabs>
          <w:tab w:val="num" w:pos="3645"/>
        </w:tabs>
        <w:ind w:left="3645" w:hanging="360"/>
      </w:pPr>
      <w:rPr>
        <w:rFonts w:ascii="Symbol" w:hAnsi="Symbol" w:hint="default"/>
      </w:rPr>
    </w:lvl>
    <w:lvl w:ilvl="4" w:tplc="04160003" w:tentative="1">
      <w:start w:val="1"/>
      <w:numFmt w:val="bullet"/>
      <w:lvlText w:val="o"/>
      <w:lvlJc w:val="left"/>
      <w:pPr>
        <w:tabs>
          <w:tab w:val="num" w:pos="4365"/>
        </w:tabs>
        <w:ind w:left="4365" w:hanging="360"/>
      </w:pPr>
      <w:rPr>
        <w:rFonts w:ascii="Courier New" w:hAnsi="Courier New" w:cs="Courier New" w:hint="default"/>
      </w:rPr>
    </w:lvl>
    <w:lvl w:ilvl="5" w:tplc="04160005" w:tentative="1">
      <w:start w:val="1"/>
      <w:numFmt w:val="bullet"/>
      <w:lvlText w:val=""/>
      <w:lvlJc w:val="left"/>
      <w:pPr>
        <w:tabs>
          <w:tab w:val="num" w:pos="5085"/>
        </w:tabs>
        <w:ind w:left="5085" w:hanging="360"/>
      </w:pPr>
      <w:rPr>
        <w:rFonts w:ascii="Wingdings" w:hAnsi="Wingdings" w:hint="default"/>
      </w:rPr>
    </w:lvl>
    <w:lvl w:ilvl="6" w:tplc="04160001" w:tentative="1">
      <w:start w:val="1"/>
      <w:numFmt w:val="bullet"/>
      <w:lvlText w:val=""/>
      <w:lvlJc w:val="left"/>
      <w:pPr>
        <w:tabs>
          <w:tab w:val="num" w:pos="5805"/>
        </w:tabs>
        <w:ind w:left="5805" w:hanging="360"/>
      </w:pPr>
      <w:rPr>
        <w:rFonts w:ascii="Symbol" w:hAnsi="Symbol" w:hint="default"/>
      </w:rPr>
    </w:lvl>
    <w:lvl w:ilvl="7" w:tplc="04160003" w:tentative="1">
      <w:start w:val="1"/>
      <w:numFmt w:val="bullet"/>
      <w:lvlText w:val="o"/>
      <w:lvlJc w:val="left"/>
      <w:pPr>
        <w:tabs>
          <w:tab w:val="num" w:pos="6525"/>
        </w:tabs>
        <w:ind w:left="6525" w:hanging="360"/>
      </w:pPr>
      <w:rPr>
        <w:rFonts w:ascii="Courier New" w:hAnsi="Courier New" w:cs="Courier New" w:hint="default"/>
      </w:rPr>
    </w:lvl>
    <w:lvl w:ilvl="8" w:tplc="04160005" w:tentative="1">
      <w:start w:val="1"/>
      <w:numFmt w:val="bullet"/>
      <w:lvlText w:val=""/>
      <w:lvlJc w:val="left"/>
      <w:pPr>
        <w:tabs>
          <w:tab w:val="num" w:pos="7245"/>
        </w:tabs>
        <w:ind w:left="7245" w:hanging="360"/>
      </w:pPr>
      <w:rPr>
        <w:rFonts w:ascii="Wingdings" w:hAnsi="Wingdings" w:hint="default"/>
      </w:rPr>
    </w:lvl>
  </w:abstractNum>
  <w:abstractNum w:abstractNumId="15" w15:restartNumberingAfterBreak="0">
    <w:nsid w:val="1300275A"/>
    <w:multiLevelType w:val="multilevel"/>
    <w:tmpl w:val="B830B9E0"/>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50"/>
        </w:tabs>
        <w:ind w:left="750" w:hanging="39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6" w15:restartNumberingAfterBreak="0">
    <w:nsid w:val="13A66C0C"/>
    <w:multiLevelType w:val="hybridMultilevel"/>
    <w:tmpl w:val="CFDE2762"/>
    <w:lvl w:ilvl="0" w:tplc="04160001">
      <w:start w:val="1"/>
      <w:numFmt w:val="bullet"/>
      <w:lvlText w:val=""/>
      <w:lvlJc w:val="left"/>
      <w:pPr>
        <w:tabs>
          <w:tab w:val="num" w:pos="360"/>
        </w:tabs>
        <w:ind w:left="360" w:hanging="360"/>
      </w:pPr>
      <w:rPr>
        <w:rFonts w:ascii="Symbol" w:hAnsi="Symbol" w:hint="default"/>
      </w:rPr>
    </w:lvl>
    <w:lvl w:ilvl="1" w:tplc="04160003" w:tentative="1">
      <w:start w:val="1"/>
      <w:numFmt w:val="bullet"/>
      <w:lvlText w:val="o"/>
      <w:lvlJc w:val="left"/>
      <w:pPr>
        <w:tabs>
          <w:tab w:val="num" w:pos="1080"/>
        </w:tabs>
        <w:ind w:left="1080" w:hanging="360"/>
      </w:pPr>
      <w:rPr>
        <w:rFonts w:ascii="Courier New" w:hAnsi="Courier New" w:cs="Courier New" w:hint="default"/>
      </w:rPr>
    </w:lvl>
    <w:lvl w:ilvl="2" w:tplc="04160005" w:tentative="1">
      <w:start w:val="1"/>
      <w:numFmt w:val="bullet"/>
      <w:lvlText w:val=""/>
      <w:lvlJc w:val="left"/>
      <w:pPr>
        <w:tabs>
          <w:tab w:val="num" w:pos="1800"/>
        </w:tabs>
        <w:ind w:left="1800" w:hanging="360"/>
      </w:pPr>
      <w:rPr>
        <w:rFonts w:ascii="Wingdings" w:hAnsi="Wingdings" w:hint="default"/>
      </w:rPr>
    </w:lvl>
    <w:lvl w:ilvl="3" w:tplc="04160001" w:tentative="1">
      <w:start w:val="1"/>
      <w:numFmt w:val="bullet"/>
      <w:lvlText w:val=""/>
      <w:lvlJc w:val="left"/>
      <w:pPr>
        <w:tabs>
          <w:tab w:val="num" w:pos="2520"/>
        </w:tabs>
        <w:ind w:left="2520" w:hanging="360"/>
      </w:pPr>
      <w:rPr>
        <w:rFonts w:ascii="Symbol" w:hAnsi="Symbol" w:hint="default"/>
      </w:rPr>
    </w:lvl>
    <w:lvl w:ilvl="4" w:tplc="04160003" w:tentative="1">
      <w:start w:val="1"/>
      <w:numFmt w:val="bullet"/>
      <w:lvlText w:val="o"/>
      <w:lvlJc w:val="left"/>
      <w:pPr>
        <w:tabs>
          <w:tab w:val="num" w:pos="3240"/>
        </w:tabs>
        <w:ind w:left="3240" w:hanging="360"/>
      </w:pPr>
      <w:rPr>
        <w:rFonts w:ascii="Courier New" w:hAnsi="Courier New" w:cs="Courier New" w:hint="default"/>
      </w:rPr>
    </w:lvl>
    <w:lvl w:ilvl="5" w:tplc="04160005" w:tentative="1">
      <w:start w:val="1"/>
      <w:numFmt w:val="bullet"/>
      <w:lvlText w:val=""/>
      <w:lvlJc w:val="left"/>
      <w:pPr>
        <w:tabs>
          <w:tab w:val="num" w:pos="3960"/>
        </w:tabs>
        <w:ind w:left="3960" w:hanging="360"/>
      </w:pPr>
      <w:rPr>
        <w:rFonts w:ascii="Wingdings" w:hAnsi="Wingdings" w:hint="default"/>
      </w:rPr>
    </w:lvl>
    <w:lvl w:ilvl="6" w:tplc="04160001" w:tentative="1">
      <w:start w:val="1"/>
      <w:numFmt w:val="bullet"/>
      <w:lvlText w:val=""/>
      <w:lvlJc w:val="left"/>
      <w:pPr>
        <w:tabs>
          <w:tab w:val="num" w:pos="4680"/>
        </w:tabs>
        <w:ind w:left="4680" w:hanging="360"/>
      </w:pPr>
      <w:rPr>
        <w:rFonts w:ascii="Symbol" w:hAnsi="Symbol" w:hint="default"/>
      </w:rPr>
    </w:lvl>
    <w:lvl w:ilvl="7" w:tplc="04160003" w:tentative="1">
      <w:start w:val="1"/>
      <w:numFmt w:val="bullet"/>
      <w:lvlText w:val="o"/>
      <w:lvlJc w:val="left"/>
      <w:pPr>
        <w:tabs>
          <w:tab w:val="num" w:pos="5400"/>
        </w:tabs>
        <w:ind w:left="5400" w:hanging="360"/>
      </w:pPr>
      <w:rPr>
        <w:rFonts w:ascii="Courier New" w:hAnsi="Courier New" w:cs="Courier New" w:hint="default"/>
      </w:rPr>
    </w:lvl>
    <w:lvl w:ilvl="8" w:tplc="0416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1AD10CD5"/>
    <w:multiLevelType w:val="multilevel"/>
    <w:tmpl w:val="DA2ECAD6"/>
    <w:lvl w:ilvl="0">
      <w:start w:val="1"/>
      <w:numFmt w:val="decimal"/>
      <w:lvlText w:val="%1."/>
      <w:lvlJc w:val="left"/>
      <w:pPr>
        <w:tabs>
          <w:tab w:val="num" w:pos="360"/>
        </w:tabs>
        <w:ind w:left="360" w:hanging="360"/>
      </w:pPr>
      <w:rPr>
        <w:rFonts w:hint="default"/>
        <w:b/>
        <w:i w:val="0"/>
        <w:color w:val="auto"/>
      </w:rPr>
    </w:lvl>
    <w:lvl w:ilvl="1">
      <w:start w:val="1"/>
      <w:numFmt w:val="decimal"/>
      <w:lvlText w:val="%1.%2."/>
      <w:lvlJc w:val="left"/>
      <w:pPr>
        <w:tabs>
          <w:tab w:val="num" w:pos="792"/>
        </w:tabs>
        <w:ind w:left="792" w:hanging="432"/>
      </w:pPr>
      <w:rPr>
        <w:rFonts w:hint="default"/>
        <w:b/>
        <w:i w:val="0"/>
      </w:rPr>
    </w:lvl>
    <w:lvl w:ilvl="2">
      <w:start w:val="1"/>
      <w:numFmt w:val="decimal"/>
      <w:lvlText w:val="%1.%2."/>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8" w15:restartNumberingAfterBreak="0">
    <w:nsid w:val="1CBA471A"/>
    <w:multiLevelType w:val="hybridMultilevel"/>
    <w:tmpl w:val="C776992C"/>
    <w:lvl w:ilvl="0" w:tplc="04160007">
      <w:start w:val="1"/>
      <w:numFmt w:val="bullet"/>
      <w:lvlText w:val=""/>
      <w:lvlPicBulletId w:val="0"/>
      <w:lvlJc w:val="left"/>
      <w:pPr>
        <w:tabs>
          <w:tab w:val="num" w:pos="1353"/>
        </w:tabs>
        <w:ind w:left="1353" w:hanging="360"/>
      </w:pPr>
      <w:rPr>
        <w:rFonts w:ascii="Symbol" w:hAnsi="Symbol" w:hint="default"/>
      </w:rPr>
    </w:lvl>
    <w:lvl w:ilvl="1" w:tplc="04160003" w:tentative="1">
      <w:start w:val="1"/>
      <w:numFmt w:val="bullet"/>
      <w:lvlText w:val="o"/>
      <w:lvlJc w:val="left"/>
      <w:pPr>
        <w:tabs>
          <w:tab w:val="num" w:pos="2073"/>
        </w:tabs>
        <w:ind w:left="2073" w:hanging="360"/>
      </w:pPr>
      <w:rPr>
        <w:rFonts w:ascii="Courier New" w:hAnsi="Courier New" w:cs="Courier New" w:hint="default"/>
      </w:rPr>
    </w:lvl>
    <w:lvl w:ilvl="2" w:tplc="04160005" w:tentative="1">
      <w:start w:val="1"/>
      <w:numFmt w:val="bullet"/>
      <w:lvlText w:val=""/>
      <w:lvlJc w:val="left"/>
      <w:pPr>
        <w:tabs>
          <w:tab w:val="num" w:pos="2793"/>
        </w:tabs>
        <w:ind w:left="2793" w:hanging="360"/>
      </w:pPr>
      <w:rPr>
        <w:rFonts w:ascii="Wingdings" w:hAnsi="Wingdings" w:hint="default"/>
      </w:rPr>
    </w:lvl>
    <w:lvl w:ilvl="3" w:tplc="04160001" w:tentative="1">
      <w:start w:val="1"/>
      <w:numFmt w:val="bullet"/>
      <w:lvlText w:val=""/>
      <w:lvlJc w:val="left"/>
      <w:pPr>
        <w:tabs>
          <w:tab w:val="num" w:pos="3513"/>
        </w:tabs>
        <w:ind w:left="3513" w:hanging="360"/>
      </w:pPr>
      <w:rPr>
        <w:rFonts w:ascii="Symbol" w:hAnsi="Symbol" w:hint="default"/>
      </w:rPr>
    </w:lvl>
    <w:lvl w:ilvl="4" w:tplc="04160003" w:tentative="1">
      <w:start w:val="1"/>
      <w:numFmt w:val="bullet"/>
      <w:lvlText w:val="o"/>
      <w:lvlJc w:val="left"/>
      <w:pPr>
        <w:tabs>
          <w:tab w:val="num" w:pos="4233"/>
        </w:tabs>
        <w:ind w:left="4233" w:hanging="360"/>
      </w:pPr>
      <w:rPr>
        <w:rFonts w:ascii="Courier New" w:hAnsi="Courier New" w:cs="Courier New" w:hint="default"/>
      </w:rPr>
    </w:lvl>
    <w:lvl w:ilvl="5" w:tplc="04160005" w:tentative="1">
      <w:start w:val="1"/>
      <w:numFmt w:val="bullet"/>
      <w:lvlText w:val=""/>
      <w:lvlJc w:val="left"/>
      <w:pPr>
        <w:tabs>
          <w:tab w:val="num" w:pos="4953"/>
        </w:tabs>
        <w:ind w:left="4953" w:hanging="360"/>
      </w:pPr>
      <w:rPr>
        <w:rFonts w:ascii="Wingdings" w:hAnsi="Wingdings" w:hint="default"/>
      </w:rPr>
    </w:lvl>
    <w:lvl w:ilvl="6" w:tplc="04160001" w:tentative="1">
      <w:start w:val="1"/>
      <w:numFmt w:val="bullet"/>
      <w:lvlText w:val=""/>
      <w:lvlJc w:val="left"/>
      <w:pPr>
        <w:tabs>
          <w:tab w:val="num" w:pos="5673"/>
        </w:tabs>
        <w:ind w:left="5673" w:hanging="360"/>
      </w:pPr>
      <w:rPr>
        <w:rFonts w:ascii="Symbol" w:hAnsi="Symbol" w:hint="default"/>
      </w:rPr>
    </w:lvl>
    <w:lvl w:ilvl="7" w:tplc="04160003" w:tentative="1">
      <w:start w:val="1"/>
      <w:numFmt w:val="bullet"/>
      <w:lvlText w:val="o"/>
      <w:lvlJc w:val="left"/>
      <w:pPr>
        <w:tabs>
          <w:tab w:val="num" w:pos="6393"/>
        </w:tabs>
        <w:ind w:left="6393" w:hanging="360"/>
      </w:pPr>
      <w:rPr>
        <w:rFonts w:ascii="Courier New" w:hAnsi="Courier New" w:cs="Courier New" w:hint="default"/>
      </w:rPr>
    </w:lvl>
    <w:lvl w:ilvl="8" w:tplc="04160005" w:tentative="1">
      <w:start w:val="1"/>
      <w:numFmt w:val="bullet"/>
      <w:lvlText w:val=""/>
      <w:lvlJc w:val="left"/>
      <w:pPr>
        <w:tabs>
          <w:tab w:val="num" w:pos="7113"/>
        </w:tabs>
        <w:ind w:left="7113" w:hanging="360"/>
      </w:pPr>
      <w:rPr>
        <w:rFonts w:ascii="Wingdings" w:hAnsi="Wingdings" w:hint="default"/>
      </w:rPr>
    </w:lvl>
  </w:abstractNum>
  <w:abstractNum w:abstractNumId="19" w15:restartNumberingAfterBreak="0">
    <w:nsid w:val="1F4D140C"/>
    <w:multiLevelType w:val="hybridMultilevel"/>
    <w:tmpl w:val="366660D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0" w15:restartNumberingAfterBreak="0">
    <w:nsid w:val="221D6507"/>
    <w:multiLevelType w:val="hybridMultilevel"/>
    <w:tmpl w:val="2168171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15:restartNumberingAfterBreak="0">
    <w:nsid w:val="26222840"/>
    <w:multiLevelType w:val="multilevel"/>
    <w:tmpl w:val="9BCED3BE"/>
    <w:lvl w:ilvl="0">
      <w:start w:val="3"/>
      <w:numFmt w:val="decimal"/>
      <w:lvlText w:val="%1"/>
      <w:lvlJc w:val="left"/>
      <w:pPr>
        <w:tabs>
          <w:tab w:val="num" w:pos="480"/>
        </w:tabs>
        <w:ind w:left="480" w:hanging="480"/>
      </w:pPr>
      <w:rPr>
        <w:rFonts w:hint="default"/>
      </w:rPr>
    </w:lvl>
    <w:lvl w:ilvl="1">
      <w:start w:val="4"/>
      <w:numFmt w:val="decimal"/>
      <w:lvlText w:val="%1.%2"/>
      <w:lvlJc w:val="left"/>
      <w:pPr>
        <w:tabs>
          <w:tab w:val="num" w:pos="795"/>
        </w:tabs>
        <w:ind w:left="795" w:hanging="480"/>
      </w:pPr>
      <w:rPr>
        <w:rFonts w:hint="default"/>
      </w:rPr>
    </w:lvl>
    <w:lvl w:ilvl="2">
      <w:start w:val="1"/>
      <w:numFmt w:val="decimal"/>
      <w:lvlText w:val="%1.%2.%3"/>
      <w:lvlJc w:val="left"/>
      <w:pPr>
        <w:tabs>
          <w:tab w:val="num" w:pos="1350"/>
        </w:tabs>
        <w:ind w:left="1350" w:hanging="720"/>
      </w:pPr>
      <w:rPr>
        <w:rFonts w:hint="default"/>
      </w:rPr>
    </w:lvl>
    <w:lvl w:ilvl="3">
      <w:start w:val="1"/>
      <w:numFmt w:val="decimal"/>
      <w:lvlText w:val="%1.%2.%3.%4"/>
      <w:lvlJc w:val="left"/>
      <w:pPr>
        <w:tabs>
          <w:tab w:val="num" w:pos="2025"/>
        </w:tabs>
        <w:ind w:left="2025" w:hanging="1080"/>
      </w:pPr>
      <w:rPr>
        <w:rFonts w:hint="default"/>
      </w:rPr>
    </w:lvl>
    <w:lvl w:ilvl="4">
      <w:start w:val="1"/>
      <w:numFmt w:val="decimal"/>
      <w:lvlText w:val="%1.%2.%3.%4.%5"/>
      <w:lvlJc w:val="left"/>
      <w:pPr>
        <w:tabs>
          <w:tab w:val="num" w:pos="2340"/>
        </w:tabs>
        <w:ind w:left="2340" w:hanging="1080"/>
      </w:pPr>
      <w:rPr>
        <w:rFonts w:hint="default"/>
      </w:rPr>
    </w:lvl>
    <w:lvl w:ilvl="5">
      <w:start w:val="1"/>
      <w:numFmt w:val="decimal"/>
      <w:lvlText w:val="%1.%2.%3.%4.%5.%6"/>
      <w:lvlJc w:val="left"/>
      <w:pPr>
        <w:tabs>
          <w:tab w:val="num" w:pos="3015"/>
        </w:tabs>
        <w:ind w:left="3015" w:hanging="1440"/>
      </w:pPr>
      <w:rPr>
        <w:rFonts w:hint="default"/>
      </w:rPr>
    </w:lvl>
    <w:lvl w:ilvl="6">
      <w:start w:val="1"/>
      <w:numFmt w:val="decimal"/>
      <w:lvlText w:val="%1.%2.%3.%4.%5.%6.%7"/>
      <w:lvlJc w:val="left"/>
      <w:pPr>
        <w:tabs>
          <w:tab w:val="num" w:pos="3330"/>
        </w:tabs>
        <w:ind w:left="3330" w:hanging="1440"/>
      </w:pPr>
      <w:rPr>
        <w:rFonts w:hint="default"/>
      </w:rPr>
    </w:lvl>
    <w:lvl w:ilvl="7">
      <w:start w:val="1"/>
      <w:numFmt w:val="decimal"/>
      <w:lvlText w:val="%1.%2.%3.%4.%5.%6.%7.%8"/>
      <w:lvlJc w:val="left"/>
      <w:pPr>
        <w:tabs>
          <w:tab w:val="num" w:pos="4005"/>
        </w:tabs>
        <w:ind w:left="4005" w:hanging="1800"/>
      </w:pPr>
      <w:rPr>
        <w:rFonts w:hint="default"/>
      </w:rPr>
    </w:lvl>
    <w:lvl w:ilvl="8">
      <w:start w:val="1"/>
      <w:numFmt w:val="decimal"/>
      <w:lvlText w:val="%1.%2.%3.%4.%5.%6.%7.%8.%9"/>
      <w:lvlJc w:val="left"/>
      <w:pPr>
        <w:tabs>
          <w:tab w:val="num" w:pos="4320"/>
        </w:tabs>
        <w:ind w:left="4320" w:hanging="1800"/>
      </w:pPr>
      <w:rPr>
        <w:rFonts w:hint="default"/>
      </w:rPr>
    </w:lvl>
  </w:abstractNum>
  <w:abstractNum w:abstractNumId="22" w15:restartNumberingAfterBreak="0">
    <w:nsid w:val="2999065A"/>
    <w:multiLevelType w:val="hybridMultilevel"/>
    <w:tmpl w:val="931659C2"/>
    <w:lvl w:ilvl="0" w:tplc="04160001">
      <w:start w:val="1"/>
      <w:numFmt w:val="bullet"/>
      <w:lvlText w:val=""/>
      <w:lvlJc w:val="left"/>
      <w:pPr>
        <w:ind w:left="1080" w:hanging="360"/>
      </w:pPr>
      <w:rPr>
        <w:rFonts w:ascii="Symbol" w:hAnsi="Symbol"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23" w15:restartNumberingAfterBreak="0">
    <w:nsid w:val="2D95752B"/>
    <w:multiLevelType w:val="multilevel"/>
    <w:tmpl w:val="596CFE34"/>
    <w:lvl w:ilvl="0">
      <w:start w:val="1"/>
      <w:numFmt w:val="decimal"/>
      <w:pStyle w:val="Ttulo"/>
      <w:lvlText w:val="%1."/>
      <w:lvlJc w:val="left"/>
      <w:pPr>
        <w:ind w:left="360" w:hanging="360"/>
      </w:pPr>
      <w:rPr>
        <w:rFonts w:hint="default"/>
      </w:rPr>
    </w:lvl>
    <w:lvl w:ilvl="1">
      <w:start w:val="1"/>
      <w:numFmt w:val="decimal"/>
      <w:pStyle w:val="Ttulo2"/>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4" w15:restartNumberingAfterBreak="0">
    <w:nsid w:val="2DC76ECD"/>
    <w:multiLevelType w:val="hybridMultilevel"/>
    <w:tmpl w:val="13CE456C"/>
    <w:lvl w:ilvl="0" w:tplc="04160001">
      <w:start w:val="1"/>
      <w:numFmt w:val="bullet"/>
      <w:lvlText w:val=""/>
      <w:lvlJc w:val="left"/>
      <w:pPr>
        <w:ind w:left="1428" w:hanging="360"/>
      </w:pPr>
      <w:rPr>
        <w:rFonts w:ascii="Symbol" w:hAnsi="Symbol" w:hint="default"/>
      </w:rPr>
    </w:lvl>
    <w:lvl w:ilvl="1" w:tplc="04160003" w:tentative="1">
      <w:start w:val="1"/>
      <w:numFmt w:val="bullet"/>
      <w:lvlText w:val="o"/>
      <w:lvlJc w:val="left"/>
      <w:pPr>
        <w:ind w:left="2148" w:hanging="360"/>
      </w:pPr>
      <w:rPr>
        <w:rFonts w:ascii="Courier New" w:hAnsi="Courier New" w:cs="Courier New" w:hint="default"/>
      </w:rPr>
    </w:lvl>
    <w:lvl w:ilvl="2" w:tplc="04160005" w:tentative="1">
      <w:start w:val="1"/>
      <w:numFmt w:val="bullet"/>
      <w:lvlText w:val=""/>
      <w:lvlJc w:val="left"/>
      <w:pPr>
        <w:ind w:left="2868" w:hanging="360"/>
      </w:pPr>
      <w:rPr>
        <w:rFonts w:ascii="Wingdings" w:hAnsi="Wingdings" w:hint="default"/>
      </w:rPr>
    </w:lvl>
    <w:lvl w:ilvl="3" w:tplc="04160001" w:tentative="1">
      <w:start w:val="1"/>
      <w:numFmt w:val="bullet"/>
      <w:lvlText w:val=""/>
      <w:lvlJc w:val="left"/>
      <w:pPr>
        <w:ind w:left="3588" w:hanging="360"/>
      </w:pPr>
      <w:rPr>
        <w:rFonts w:ascii="Symbol" w:hAnsi="Symbol" w:hint="default"/>
      </w:rPr>
    </w:lvl>
    <w:lvl w:ilvl="4" w:tplc="04160003" w:tentative="1">
      <w:start w:val="1"/>
      <w:numFmt w:val="bullet"/>
      <w:lvlText w:val="o"/>
      <w:lvlJc w:val="left"/>
      <w:pPr>
        <w:ind w:left="4308" w:hanging="360"/>
      </w:pPr>
      <w:rPr>
        <w:rFonts w:ascii="Courier New" w:hAnsi="Courier New" w:cs="Courier New" w:hint="default"/>
      </w:rPr>
    </w:lvl>
    <w:lvl w:ilvl="5" w:tplc="04160005" w:tentative="1">
      <w:start w:val="1"/>
      <w:numFmt w:val="bullet"/>
      <w:lvlText w:val=""/>
      <w:lvlJc w:val="left"/>
      <w:pPr>
        <w:ind w:left="5028" w:hanging="360"/>
      </w:pPr>
      <w:rPr>
        <w:rFonts w:ascii="Wingdings" w:hAnsi="Wingdings" w:hint="default"/>
      </w:rPr>
    </w:lvl>
    <w:lvl w:ilvl="6" w:tplc="04160001" w:tentative="1">
      <w:start w:val="1"/>
      <w:numFmt w:val="bullet"/>
      <w:lvlText w:val=""/>
      <w:lvlJc w:val="left"/>
      <w:pPr>
        <w:ind w:left="5748" w:hanging="360"/>
      </w:pPr>
      <w:rPr>
        <w:rFonts w:ascii="Symbol" w:hAnsi="Symbol" w:hint="default"/>
      </w:rPr>
    </w:lvl>
    <w:lvl w:ilvl="7" w:tplc="04160003" w:tentative="1">
      <w:start w:val="1"/>
      <w:numFmt w:val="bullet"/>
      <w:lvlText w:val="o"/>
      <w:lvlJc w:val="left"/>
      <w:pPr>
        <w:ind w:left="6468" w:hanging="360"/>
      </w:pPr>
      <w:rPr>
        <w:rFonts w:ascii="Courier New" w:hAnsi="Courier New" w:cs="Courier New" w:hint="default"/>
      </w:rPr>
    </w:lvl>
    <w:lvl w:ilvl="8" w:tplc="04160005" w:tentative="1">
      <w:start w:val="1"/>
      <w:numFmt w:val="bullet"/>
      <w:lvlText w:val=""/>
      <w:lvlJc w:val="left"/>
      <w:pPr>
        <w:ind w:left="7188" w:hanging="360"/>
      </w:pPr>
      <w:rPr>
        <w:rFonts w:ascii="Wingdings" w:hAnsi="Wingdings" w:hint="default"/>
      </w:rPr>
    </w:lvl>
  </w:abstractNum>
  <w:abstractNum w:abstractNumId="25" w15:restartNumberingAfterBreak="0">
    <w:nsid w:val="34E61BEB"/>
    <w:multiLevelType w:val="hybridMultilevel"/>
    <w:tmpl w:val="8CFE6E22"/>
    <w:lvl w:ilvl="0" w:tplc="04160001">
      <w:start w:val="1"/>
      <w:numFmt w:val="bullet"/>
      <w:lvlText w:val=""/>
      <w:lvlJc w:val="left"/>
      <w:pPr>
        <w:ind w:left="1428" w:hanging="360"/>
      </w:pPr>
      <w:rPr>
        <w:rFonts w:ascii="Symbol" w:hAnsi="Symbol" w:hint="default"/>
      </w:rPr>
    </w:lvl>
    <w:lvl w:ilvl="1" w:tplc="04160003" w:tentative="1">
      <w:start w:val="1"/>
      <w:numFmt w:val="bullet"/>
      <w:lvlText w:val="o"/>
      <w:lvlJc w:val="left"/>
      <w:pPr>
        <w:ind w:left="2148" w:hanging="360"/>
      </w:pPr>
      <w:rPr>
        <w:rFonts w:ascii="Courier New" w:hAnsi="Courier New" w:cs="Courier New" w:hint="default"/>
      </w:rPr>
    </w:lvl>
    <w:lvl w:ilvl="2" w:tplc="04160005" w:tentative="1">
      <w:start w:val="1"/>
      <w:numFmt w:val="bullet"/>
      <w:lvlText w:val=""/>
      <w:lvlJc w:val="left"/>
      <w:pPr>
        <w:ind w:left="2868" w:hanging="360"/>
      </w:pPr>
      <w:rPr>
        <w:rFonts w:ascii="Wingdings" w:hAnsi="Wingdings" w:hint="default"/>
      </w:rPr>
    </w:lvl>
    <w:lvl w:ilvl="3" w:tplc="04160001" w:tentative="1">
      <w:start w:val="1"/>
      <w:numFmt w:val="bullet"/>
      <w:lvlText w:val=""/>
      <w:lvlJc w:val="left"/>
      <w:pPr>
        <w:ind w:left="3588" w:hanging="360"/>
      </w:pPr>
      <w:rPr>
        <w:rFonts w:ascii="Symbol" w:hAnsi="Symbol" w:hint="default"/>
      </w:rPr>
    </w:lvl>
    <w:lvl w:ilvl="4" w:tplc="04160003" w:tentative="1">
      <w:start w:val="1"/>
      <w:numFmt w:val="bullet"/>
      <w:lvlText w:val="o"/>
      <w:lvlJc w:val="left"/>
      <w:pPr>
        <w:ind w:left="4308" w:hanging="360"/>
      </w:pPr>
      <w:rPr>
        <w:rFonts w:ascii="Courier New" w:hAnsi="Courier New" w:cs="Courier New" w:hint="default"/>
      </w:rPr>
    </w:lvl>
    <w:lvl w:ilvl="5" w:tplc="04160005" w:tentative="1">
      <w:start w:val="1"/>
      <w:numFmt w:val="bullet"/>
      <w:lvlText w:val=""/>
      <w:lvlJc w:val="left"/>
      <w:pPr>
        <w:ind w:left="5028" w:hanging="360"/>
      </w:pPr>
      <w:rPr>
        <w:rFonts w:ascii="Wingdings" w:hAnsi="Wingdings" w:hint="default"/>
      </w:rPr>
    </w:lvl>
    <w:lvl w:ilvl="6" w:tplc="04160001" w:tentative="1">
      <w:start w:val="1"/>
      <w:numFmt w:val="bullet"/>
      <w:lvlText w:val=""/>
      <w:lvlJc w:val="left"/>
      <w:pPr>
        <w:ind w:left="5748" w:hanging="360"/>
      </w:pPr>
      <w:rPr>
        <w:rFonts w:ascii="Symbol" w:hAnsi="Symbol" w:hint="default"/>
      </w:rPr>
    </w:lvl>
    <w:lvl w:ilvl="7" w:tplc="04160003" w:tentative="1">
      <w:start w:val="1"/>
      <w:numFmt w:val="bullet"/>
      <w:lvlText w:val="o"/>
      <w:lvlJc w:val="left"/>
      <w:pPr>
        <w:ind w:left="6468" w:hanging="360"/>
      </w:pPr>
      <w:rPr>
        <w:rFonts w:ascii="Courier New" w:hAnsi="Courier New" w:cs="Courier New" w:hint="default"/>
      </w:rPr>
    </w:lvl>
    <w:lvl w:ilvl="8" w:tplc="04160005" w:tentative="1">
      <w:start w:val="1"/>
      <w:numFmt w:val="bullet"/>
      <w:lvlText w:val=""/>
      <w:lvlJc w:val="left"/>
      <w:pPr>
        <w:ind w:left="7188" w:hanging="360"/>
      </w:pPr>
      <w:rPr>
        <w:rFonts w:ascii="Wingdings" w:hAnsi="Wingdings" w:hint="default"/>
      </w:rPr>
    </w:lvl>
  </w:abstractNum>
  <w:abstractNum w:abstractNumId="26" w15:restartNumberingAfterBreak="0">
    <w:nsid w:val="35ED0B20"/>
    <w:multiLevelType w:val="hybridMultilevel"/>
    <w:tmpl w:val="E1065D98"/>
    <w:lvl w:ilvl="0" w:tplc="04160001">
      <w:start w:val="1"/>
      <w:numFmt w:val="bullet"/>
      <w:lvlText w:val=""/>
      <w:lvlJc w:val="left"/>
      <w:pPr>
        <w:ind w:left="1080" w:hanging="360"/>
      </w:pPr>
      <w:rPr>
        <w:rFonts w:ascii="Symbol" w:hAnsi="Symbol"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27" w15:restartNumberingAfterBreak="0">
    <w:nsid w:val="3AB03D1F"/>
    <w:multiLevelType w:val="hybridMultilevel"/>
    <w:tmpl w:val="5E647E3A"/>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8" w15:restartNumberingAfterBreak="0">
    <w:nsid w:val="3E1441D9"/>
    <w:multiLevelType w:val="multilevel"/>
    <w:tmpl w:val="ED14B402"/>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9" w15:restartNumberingAfterBreak="0">
    <w:nsid w:val="3F903171"/>
    <w:multiLevelType w:val="hybridMultilevel"/>
    <w:tmpl w:val="E1F06B30"/>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0" w15:restartNumberingAfterBreak="0">
    <w:nsid w:val="42BF6077"/>
    <w:multiLevelType w:val="hybridMultilevel"/>
    <w:tmpl w:val="41B08F5E"/>
    <w:lvl w:ilvl="0" w:tplc="04160001">
      <w:start w:val="1"/>
      <w:numFmt w:val="bullet"/>
      <w:lvlText w:val=""/>
      <w:lvlJc w:val="left"/>
      <w:pPr>
        <w:ind w:left="1080" w:hanging="360"/>
      </w:pPr>
      <w:rPr>
        <w:rFonts w:ascii="Symbol" w:hAnsi="Symbol"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31" w15:restartNumberingAfterBreak="0">
    <w:nsid w:val="43136D12"/>
    <w:multiLevelType w:val="hybridMultilevel"/>
    <w:tmpl w:val="17F0C892"/>
    <w:lvl w:ilvl="0" w:tplc="04160001">
      <w:start w:val="1"/>
      <w:numFmt w:val="bullet"/>
      <w:lvlText w:val=""/>
      <w:lvlJc w:val="left"/>
      <w:pPr>
        <w:ind w:left="360" w:hanging="360"/>
      </w:pPr>
      <w:rPr>
        <w:rFonts w:ascii="Symbol" w:hAnsi="Symbol"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32" w15:restartNumberingAfterBreak="0">
    <w:nsid w:val="4512050F"/>
    <w:multiLevelType w:val="hybridMultilevel"/>
    <w:tmpl w:val="3A4243CA"/>
    <w:lvl w:ilvl="0" w:tplc="04160001">
      <w:start w:val="1"/>
      <w:numFmt w:val="bullet"/>
      <w:lvlText w:val=""/>
      <w:lvlJc w:val="left"/>
      <w:pPr>
        <w:tabs>
          <w:tab w:val="num" w:pos="1425"/>
        </w:tabs>
        <w:ind w:left="1425" w:hanging="360"/>
      </w:pPr>
      <w:rPr>
        <w:rFonts w:ascii="Symbol" w:hAnsi="Symbol" w:hint="default"/>
      </w:rPr>
    </w:lvl>
    <w:lvl w:ilvl="1" w:tplc="04160003" w:tentative="1">
      <w:start w:val="1"/>
      <w:numFmt w:val="bullet"/>
      <w:lvlText w:val="o"/>
      <w:lvlJc w:val="left"/>
      <w:pPr>
        <w:tabs>
          <w:tab w:val="num" w:pos="2145"/>
        </w:tabs>
        <w:ind w:left="2145" w:hanging="360"/>
      </w:pPr>
      <w:rPr>
        <w:rFonts w:ascii="Courier New" w:hAnsi="Courier New" w:cs="Courier New" w:hint="default"/>
      </w:rPr>
    </w:lvl>
    <w:lvl w:ilvl="2" w:tplc="04160005" w:tentative="1">
      <w:start w:val="1"/>
      <w:numFmt w:val="bullet"/>
      <w:lvlText w:val=""/>
      <w:lvlJc w:val="left"/>
      <w:pPr>
        <w:tabs>
          <w:tab w:val="num" w:pos="2865"/>
        </w:tabs>
        <w:ind w:left="2865" w:hanging="360"/>
      </w:pPr>
      <w:rPr>
        <w:rFonts w:ascii="Wingdings" w:hAnsi="Wingdings" w:hint="default"/>
      </w:rPr>
    </w:lvl>
    <w:lvl w:ilvl="3" w:tplc="04160001" w:tentative="1">
      <w:start w:val="1"/>
      <w:numFmt w:val="bullet"/>
      <w:lvlText w:val=""/>
      <w:lvlJc w:val="left"/>
      <w:pPr>
        <w:tabs>
          <w:tab w:val="num" w:pos="3585"/>
        </w:tabs>
        <w:ind w:left="3585" w:hanging="360"/>
      </w:pPr>
      <w:rPr>
        <w:rFonts w:ascii="Symbol" w:hAnsi="Symbol" w:hint="default"/>
      </w:rPr>
    </w:lvl>
    <w:lvl w:ilvl="4" w:tplc="04160003" w:tentative="1">
      <w:start w:val="1"/>
      <w:numFmt w:val="bullet"/>
      <w:lvlText w:val="o"/>
      <w:lvlJc w:val="left"/>
      <w:pPr>
        <w:tabs>
          <w:tab w:val="num" w:pos="4305"/>
        </w:tabs>
        <w:ind w:left="4305" w:hanging="360"/>
      </w:pPr>
      <w:rPr>
        <w:rFonts w:ascii="Courier New" w:hAnsi="Courier New" w:cs="Courier New" w:hint="default"/>
      </w:rPr>
    </w:lvl>
    <w:lvl w:ilvl="5" w:tplc="04160005" w:tentative="1">
      <w:start w:val="1"/>
      <w:numFmt w:val="bullet"/>
      <w:lvlText w:val=""/>
      <w:lvlJc w:val="left"/>
      <w:pPr>
        <w:tabs>
          <w:tab w:val="num" w:pos="5025"/>
        </w:tabs>
        <w:ind w:left="5025" w:hanging="360"/>
      </w:pPr>
      <w:rPr>
        <w:rFonts w:ascii="Wingdings" w:hAnsi="Wingdings" w:hint="default"/>
      </w:rPr>
    </w:lvl>
    <w:lvl w:ilvl="6" w:tplc="04160001" w:tentative="1">
      <w:start w:val="1"/>
      <w:numFmt w:val="bullet"/>
      <w:lvlText w:val=""/>
      <w:lvlJc w:val="left"/>
      <w:pPr>
        <w:tabs>
          <w:tab w:val="num" w:pos="5745"/>
        </w:tabs>
        <w:ind w:left="5745" w:hanging="360"/>
      </w:pPr>
      <w:rPr>
        <w:rFonts w:ascii="Symbol" w:hAnsi="Symbol" w:hint="default"/>
      </w:rPr>
    </w:lvl>
    <w:lvl w:ilvl="7" w:tplc="04160003" w:tentative="1">
      <w:start w:val="1"/>
      <w:numFmt w:val="bullet"/>
      <w:lvlText w:val="o"/>
      <w:lvlJc w:val="left"/>
      <w:pPr>
        <w:tabs>
          <w:tab w:val="num" w:pos="6465"/>
        </w:tabs>
        <w:ind w:left="6465" w:hanging="360"/>
      </w:pPr>
      <w:rPr>
        <w:rFonts w:ascii="Courier New" w:hAnsi="Courier New" w:cs="Courier New" w:hint="default"/>
      </w:rPr>
    </w:lvl>
    <w:lvl w:ilvl="8" w:tplc="04160005" w:tentative="1">
      <w:start w:val="1"/>
      <w:numFmt w:val="bullet"/>
      <w:lvlText w:val=""/>
      <w:lvlJc w:val="left"/>
      <w:pPr>
        <w:tabs>
          <w:tab w:val="num" w:pos="7185"/>
        </w:tabs>
        <w:ind w:left="7185" w:hanging="360"/>
      </w:pPr>
      <w:rPr>
        <w:rFonts w:ascii="Wingdings" w:hAnsi="Wingdings" w:hint="default"/>
      </w:rPr>
    </w:lvl>
  </w:abstractNum>
  <w:abstractNum w:abstractNumId="33" w15:restartNumberingAfterBreak="0">
    <w:nsid w:val="46ED2EFF"/>
    <w:multiLevelType w:val="multilevel"/>
    <w:tmpl w:val="ED207FC0"/>
    <w:lvl w:ilvl="0">
      <w:start w:val="1"/>
      <w:numFmt w:val="decimal"/>
      <w:lvlText w:val="%1"/>
      <w:lvlJc w:val="left"/>
      <w:pPr>
        <w:tabs>
          <w:tab w:val="num" w:pos="465"/>
        </w:tabs>
        <w:ind w:left="465" w:hanging="465"/>
      </w:pPr>
      <w:rPr>
        <w:rFonts w:hint="default"/>
      </w:rPr>
    </w:lvl>
    <w:lvl w:ilvl="1">
      <w:start w:val="2"/>
      <w:numFmt w:val="decimal"/>
      <w:lvlText w:val="%1.%2"/>
      <w:lvlJc w:val="left"/>
      <w:pPr>
        <w:tabs>
          <w:tab w:val="num" w:pos="780"/>
        </w:tabs>
        <w:ind w:left="780" w:hanging="465"/>
      </w:pPr>
      <w:rPr>
        <w:rFonts w:hint="default"/>
      </w:rPr>
    </w:lvl>
    <w:lvl w:ilvl="2">
      <w:start w:val="1"/>
      <w:numFmt w:val="decimal"/>
      <w:lvlText w:val="%1.%2.%3"/>
      <w:lvlJc w:val="left"/>
      <w:pPr>
        <w:tabs>
          <w:tab w:val="num" w:pos="1350"/>
        </w:tabs>
        <w:ind w:left="1350" w:hanging="720"/>
      </w:pPr>
      <w:rPr>
        <w:rFonts w:hint="default"/>
      </w:rPr>
    </w:lvl>
    <w:lvl w:ilvl="3">
      <w:start w:val="1"/>
      <w:numFmt w:val="decimal"/>
      <w:lvlText w:val="%1.%2.%3.%4"/>
      <w:lvlJc w:val="left"/>
      <w:pPr>
        <w:tabs>
          <w:tab w:val="num" w:pos="2025"/>
        </w:tabs>
        <w:ind w:left="2025" w:hanging="1080"/>
      </w:pPr>
      <w:rPr>
        <w:rFonts w:hint="default"/>
      </w:rPr>
    </w:lvl>
    <w:lvl w:ilvl="4">
      <w:start w:val="1"/>
      <w:numFmt w:val="decimal"/>
      <w:lvlText w:val="%1.%2.%3.%4.%5"/>
      <w:lvlJc w:val="left"/>
      <w:pPr>
        <w:tabs>
          <w:tab w:val="num" w:pos="2340"/>
        </w:tabs>
        <w:ind w:left="2340" w:hanging="1080"/>
      </w:pPr>
      <w:rPr>
        <w:rFonts w:hint="default"/>
      </w:rPr>
    </w:lvl>
    <w:lvl w:ilvl="5">
      <w:start w:val="1"/>
      <w:numFmt w:val="decimal"/>
      <w:lvlText w:val="%1.%2.%3.%4.%5.%6"/>
      <w:lvlJc w:val="left"/>
      <w:pPr>
        <w:tabs>
          <w:tab w:val="num" w:pos="3015"/>
        </w:tabs>
        <w:ind w:left="3015" w:hanging="1440"/>
      </w:pPr>
      <w:rPr>
        <w:rFonts w:hint="default"/>
      </w:rPr>
    </w:lvl>
    <w:lvl w:ilvl="6">
      <w:start w:val="1"/>
      <w:numFmt w:val="decimal"/>
      <w:lvlText w:val="%1.%2.%3.%4.%5.%6.%7"/>
      <w:lvlJc w:val="left"/>
      <w:pPr>
        <w:tabs>
          <w:tab w:val="num" w:pos="3330"/>
        </w:tabs>
        <w:ind w:left="3330" w:hanging="1440"/>
      </w:pPr>
      <w:rPr>
        <w:rFonts w:hint="default"/>
      </w:rPr>
    </w:lvl>
    <w:lvl w:ilvl="7">
      <w:start w:val="1"/>
      <w:numFmt w:val="decimal"/>
      <w:lvlText w:val="%1.%2.%3.%4.%5.%6.%7.%8"/>
      <w:lvlJc w:val="left"/>
      <w:pPr>
        <w:tabs>
          <w:tab w:val="num" w:pos="4005"/>
        </w:tabs>
        <w:ind w:left="4005" w:hanging="1800"/>
      </w:pPr>
      <w:rPr>
        <w:rFonts w:hint="default"/>
      </w:rPr>
    </w:lvl>
    <w:lvl w:ilvl="8">
      <w:start w:val="1"/>
      <w:numFmt w:val="decimal"/>
      <w:lvlText w:val="%1.%2.%3.%4.%5.%6.%7.%8.%9"/>
      <w:lvlJc w:val="left"/>
      <w:pPr>
        <w:tabs>
          <w:tab w:val="num" w:pos="4320"/>
        </w:tabs>
        <w:ind w:left="4320" w:hanging="1800"/>
      </w:pPr>
      <w:rPr>
        <w:rFonts w:hint="default"/>
      </w:rPr>
    </w:lvl>
  </w:abstractNum>
  <w:abstractNum w:abstractNumId="34" w15:restartNumberingAfterBreak="0">
    <w:nsid w:val="471658F2"/>
    <w:multiLevelType w:val="hybridMultilevel"/>
    <w:tmpl w:val="FEDE58A0"/>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5" w15:restartNumberingAfterBreak="0">
    <w:nsid w:val="4745576D"/>
    <w:multiLevelType w:val="hybridMultilevel"/>
    <w:tmpl w:val="6AE2D1F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6" w15:restartNumberingAfterBreak="0">
    <w:nsid w:val="51F3225C"/>
    <w:multiLevelType w:val="hybridMultilevel"/>
    <w:tmpl w:val="F8CAE06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7" w15:restartNumberingAfterBreak="0">
    <w:nsid w:val="5300759A"/>
    <w:multiLevelType w:val="multilevel"/>
    <w:tmpl w:val="E6747CC4"/>
    <w:lvl w:ilvl="0">
      <w:start w:val="3"/>
      <w:numFmt w:val="decimal"/>
      <w:lvlText w:val="%1"/>
      <w:lvlJc w:val="left"/>
      <w:pPr>
        <w:ind w:left="360" w:hanging="360"/>
      </w:pPr>
      <w:rPr>
        <w:rFonts w:hint="default"/>
      </w:rPr>
    </w:lvl>
    <w:lvl w:ilvl="1">
      <w:start w:val="4"/>
      <w:numFmt w:val="decimal"/>
      <w:lvlText w:val="%1.%2"/>
      <w:lvlJc w:val="left"/>
      <w:pPr>
        <w:ind w:left="675" w:hanging="360"/>
      </w:pPr>
      <w:rPr>
        <w:rFonts w:hint="default"/>
      </w:rPr>
    </w:lvl>
    <w:lvl w:ilvl="2">
      <w:start w:val="1"/>
      <w:numFmt w:val="decimal"/>
      <w:lvlText w:val="%1.%2.%3"/>
      <w:lvlJc w:val="left"/>
      <w:pPr>
        <w:ind w:left="1350" w:hanging="720"/>
      </w:pPr>
      <w:rPr>
        <w:rFonts w:hint="default"/>
      </w:rPr>
    </w:lvl>
    <w:lvl w:ilvl="3">
      <w:start w:val="1"/>
      <w:numFmt w:val="decimal"/>
      <w:lvlText w:val="%1.%2.%3.%4"/>
      <w:lvlJc w:val="left"/>
      <w:pPr>
        <w:ind w:left="2025" w:hanging="1080"/>
      </w:pPr>
      <w:rPr>
        <w:rFonts w:hint="default"/>
      </w:rPr>
    </w:lvl>
    <w:lvl w:ilvl="4">
      <w:start w:val="1"/>
      <w:numFmt w:val="decimal"/>
      <w:lvlText w:val="%1.%2.%3.%4.%5"/>
      <w:lvlJc w:val="left"/>
      <w:pPr>
        <w:ind w:left="2340" w:hanging="1080"/>
      </w:pPr>
      <w:rPr>
        <w:rFonts w:hint="default"/>
      </w:rPr>
    </w:lvl>
    <w:lvl w:ilvl="5">
      <w:start w:val="1"/>
      <w:numFmt w:val="decimal"/>
      <w:lvlText w:val="%1.%2.%3.%4.%5.%6"/>
      <w:lvlJc w:val="left"/>
      <w:pPr>
        <w:ind w:left="3015" w:hanging="1440"/>
      </w:pPr>
      <w:rPr>
        <w:rFonts w:hint="default"/>
      </w:rPr>
    </w:lvl>
    <w:lvl w:ilvl="6">
      <w:start w:val="1"/>
      <w:numFmt w:val="decimal"/>
      <w:lvlText w:val="%1.%2.%3.%4.%5.%6.%7"/>
      <w:lvlJc w:val="left"/>
      <w:pPr>
        <w:ind w:left="3330" w:hanging="1440"/>
      </w:pPr>
      <w:rPr>
        <w:rFonts w:hint="default"/>
      </w:rPr>
    </w:lvl>
    <w:lvl w:ilvl="7">
      <w:start w:val="1"/>
      <w:numFmt w:val="decimal"/>
      <w:lvlText w:val="%1.%2.%3.%4.%5.%6.%7.%8"/>
      <w:lvlJc w:val="left"/>
      <w:pPr>
        <w:ind w:left="4005" w:hanging="1800"/>
      </w:pPr>
      <w:rPr>
        <w:rFonts w:hint="default"/>
      </w:rPr>
    </w:lvl>
    <w:lvl w:ilvl="8">
      <w:start w:val="1"/>
      <w:numFmt w:val="decimal"/>
      <w:lvlText w:val="%1.%2.%3.%4.%5.%6.%7.%8.%9"/>
      <w:lvlJc w:val="left"/>
      <w:pPr>
        <w:ind w:left="4320" w:hanging="1800"/>
      </w:pPr>
      <w:rPr>
        <w:rFonts w:hint="default"/>
      </w:rPr>
    </w:lvl>
  </w:abstractNum>
  <w:abstractNum w:abstractNumId="38" w15:restartNumberingAfterBreak="0">
    <w:nsid w:val="55C51F32"/>
    <w:multiLevelType w:val="hybridMultilevel"/>
    <w:tmpl w:val="EC84200E"/>
    <w:lvl w:ilvl="0" w:tplc="04160001">
      <w:start w:val="1"/>
      <w:numFmt w:val="bullet"/>
      <w:lvlText w:val=""/>
      <w:lvlJc w:val="left"/>
      <w:pPr>
        <w:ind w:left="1080" w:hanging="360"/>
      </w:pPr>
      <w:rPr>
        <w:rFonts w:ascii="Symbol" w:hAnsi="Symbol"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39" w15:restartNumberingAfterBreak="0">
    <w:nsid w:val="5D7D57DE"/>
    <w:multiLevelType w:val="hybridMultilevel"/>
    <w:tmpl w:val="37F2C138"/>
    <w:lvl w:ilvl="0" w:tplc="0416000F">
      <w:start w:val="1"/>
      <w:numFmt w:val="decimal"/>
      <w:lvlText w:val="%1."/>
      <w:lvlJc w:val="left"/>
      <w:pPr>
        <w:tabs>
          <w:tab w:val="num" w:pos="660"/>
        </w:tabs>
        <w:ind w:left="660" w:hanging="360"/>
      </w:pPr>
    </w:lvl>
    <w:lvl w:ilvl="1" w:tplc="04160019" w:tentative="1">
      <w:start w:val="1"/>
      <w:numFmt w:val="lowerLetter"/>
      <w:lvlText w:val="%2."/>
      <w:lvlJc w:val="left"/>
      <w:pPr>
        <w:tabs>
          <w:tab w:val="num" w:pos="1380"/>
        </w:tabs>
        <w:ind w:left="1380" w:hanging="360"/>
      </w:pPr>
    </w:lvl>
    <w:lvl w:ilvl="2" w:tplc="0416001B" w:tentative="1">
      <w:start w:val="1"/>
      <w:numFmt w:val="lowerRoman"/>
      <w:lvlText w:val="%3."/>
      <w:lvlJc w:val="right"/>
      <w:pPr>
        <w:tabs>
          <w:tab w:val="num" w:pos="2100"/>
        </w:tabs>
        <w:ind w:left="2100" w:hanging="180"/>
      </w:pPr>
    </w:lvl>
    <w:lvl w:ilvl="3" w:tplc="0416000F" w:tentative="1">
      <w:start w:val="1"/>
      <w:numFmt w:val="decimal"/>
      <w:lvlText w:val="%4."/>
      <w:lvlJc w:val="left"/>
      <w:pPr>
        <w:tabs>
          <w:tab w:val="num" w:pos="2820"/>
        </w:tabs>
        <w:ind w:left="2820" w:hanging="360"/>
      </w:pPr>
    </w:lvl>
    <w:lvl w:ilvl="4" w:tplc="04160019" w:tentative="1">
      <w:start w:val="1"/>
      <w:numFmt w:val="lowerLetter"/>
      <w:lvlText w:val="%5."/>
      <w:lvlJc w:val="left"/>
      <w:pPr>
        <w:tabs>
          <w:tab w:val="num" w:pos="3540"/>
        </w:tabs>
        <w:ind w:left="3540" w:hanging="360"/>
      </w:pPr>
    </w:lvl>
    <w:lvl w:ilvl="5" w:tplc="0416001B" w:tentative="1">
      <w:start w:val="1"/>
      <w:numFmt w:val="lowerRoman"/>
      <w:lvlText w:val="%6."/>
      <w:lvlJc w:val="right"/>
      <w:pPr>
        <w:tabs>
          <w:tab w:val="num" w:pos="4260"/>
        </w:tabs>
        <w:ind w:left="4260" w:hanging="180"/>
      </w:pPr>
    </w:lvl>
    <w:lvl w:ilvl="6" w:tplc="0416000F" w:tentative="1">
      <w:start w:val="1"/>
      <w:numFmt w:val="decimal"/>
      <w:lvlText w:val="%7."/>
      <w:lvlJc w:val="left"/>
      <w:pPr>
        <w:tabs>
          <w:tab w:val="num" w:pos="4980"/>
        </w:tabs>
        <w:ind w:left="4980" w:hanging="360"/>
      </w:pPr>
    </w:lvl>
    <w:lvl w:ilvl="7" w:tplc="04160019" w:tentative="1">
      <w:start w:val="1"/>
      <w:numFmt w:val="lowerLetter"/>
      <w:lvlText w:val="%8."/>
      <w:lvlJc w:val="left"/>
      <w:pPr>
        <w:tabs>
          <w:tab w:val="num" w:pos="5700"/>
        </w:tabs>
        <w:ind w:left="5700" w:hanging="360"/>
      </w:pPr>
    </w:lvl>
    <w:lvl w:ilvl="8" w:tplc="0416001B" w:tentative="1">
      <w:start w:val="1"/>
      <w:numFmt w:val="lowerRoman"/>
      <w:lvlText w:val="%9."/>
      <w:lvlJc w:val="right"/>
      <w:pPr>
        <w:tabs>
          <w:tab w:val="num" w:pos="6420"/>
        </w:tabs>
        <w:ind w:left="6420" w:hanging="180"/>
      </w:pPr>
    </w:lvl>
  </w:abstractNum>
  <w:abstractNum w:abstractNumId="40" w15:restartNumberingAfterBreak="0">
    <w:nsid w:val="5D8B5C49"/>
    <w:multiLevelType w:val="hybridMultilevel"/>
    <w:tmpl w:val="47E23DFA"/>
    <w:lvl w:ilvl="0" w:tplc="0416000D">
      <w:start w:val="1"/>
      <w:numFmt w:val="bullet"/>
      <w:lvlText w:val=""/>
      <w:lvlJc w:val="left"/>
      <w:pPr>
        <w:ind w:left="1211" w:hanging="360"/>
      </w:pPr>
      <w:rPr>
        <w:rFonts w:ascii="Wingdings" w:hAnsi="Wingdings" w:hint="default"/>
      </w:rPr>
    </w:lvl>
    <w:lvl w:ilvl="1" w:tplc="04160003" w:tentative="1">
      <w:start w:val="1"/>
      <w:numFmt w:val="bullet"/>
      <w:lvlText w:val="o"/>
      <w:lvlJc w:val="left"/>
      <w:pPr>
        <w:ind w:left="1931" w:hanging="360"/>
      </w:pPr>
      <w:rPr>
        <w:rFonts w:ascii="Courier New" w:hAnsi="Courier New" w:cs="Courier New" w:hint="default"/>
      </w:rPr>
    </w:lvl>
    <w:lvl w:ilvl="2" w:tplc="04160005" w:tentative="1">
      <w:start w:val="1"/>
      <w:numFmt w:val="bullet"/>
      <w:lvlText w:val=""/>
      <w:lvlJc w:val="left"/>
      <w:pPr>
        <w:ind w:left="2651" w:hanging="360"/>
      </w:pPr>
      <w:rPr>
        <w:rFonts w:ascii="Wingdings" w:hAnsi="Wingdings" w:hint="default"/>
      </w:rPr>
    </w:lvl>
    <w:lvl w:ilvl="3" w:tplc="04160001" w:tentative="1">
      <w:start w:val="1"/>
      <w:numFmt w:val="bullet"/>
      <w:lvlText w:val=""/>
      <w:lvlJc w:val="left"/>
      <w:pPr>
        <w:ind w:left="3371" w:hanging="360"/>
      </w:pPr>
      <w:rPr>
        <w:rFonts w:ascii="Symbol" w:hAnsi="Symbol" w:hint="default"/>
      </w:rPr>
    </w:lvl>
    <w:lvl w:ilvl="4" w:tplc="04160003" w:tentative="1">
      <w:start w:val="1"/>
      <w:numFmt w:val="bullet"/>
      <w:lvlText w:val="o"/>
      <w:lvlJc w:val="left"/>
      <w:pPr>
        <w:ind w:left="4091" w:hanging="360"/>
      </w:pPr>
      <w:rPr>
        <w:rFonts w:ascii="Courier New" w:hAnsi="Courier New" w:cs="Courier New" w:hint="default"/>
      </w:rPr>
    </w:lvl>
    <w:lvl w:ilvl="5" w:tplc="04160005" w:tentative="1">
      <w:start w:val="1"/>
      <w:numFmt w:val="bullet"/>
      <w:lvlText w:val=""/>
      <w:lvlJc w:val="left"/>
      <w:pPr>
        <w:ind w:left="4811" w:hanging="360"/>
      </w:pPr>
      <w:rPr>
        <w:rFonts w:ascii="Wingdings" w:hAnsi="Wingdings" w:hint="default"/>
      </w:rPr>
    </w:lvl>
    <w:lvl w:ilvl="6" w:tplc="04160001" w:tentative="1">
      <w:start w:val="1"/>
      <w:numFmt w:val="bullet"/>
      <w:lvlText w:val=""/>
      <w:lvlJc w:val="left"/>
      <w:pPr>
        <w:ind w:left="5531" w:hanging="360"/>
      </w:pPr>
      <w:rPr>
        <w:rFonts w:ascii="Symbol" w:hAnsi="Symbol" w:hint="default"/>
      </w:rPr>
    </w:lvl>
    <w:lvl w:ilvl="7" w:tplc="04160003" w:tentative="1">
      <w:start w:val="1"/>
      <w:numFmt w:val="bullet"/>
      <w:lvlText w:val="o"/>
      <w:lvlJc w:val="left"/>
      <w:pPr>
        <w:ind w:left="6251" w:hanging="360"/>
      </w:pPr>
      <w:rPr>
        <w:rFonts w:ascii="Courier New" w:hAnsi="Courier New" w:cs="Courier New" w:hint="default"/>
      </w:rPr>
    </w:lvl>
    <w:lvl w:ilvl="8" w:tplc="04160005" w:tentative="1">
      <w:start w:val="1"/>
      <w:numFmt w:val="bullet"/>
      <w:lvlText w:val=""/>
      <w:lvlJc w:val="left"/>
      <w:pPr>
        <w:ind w:left="6971" w:hanging="360"/>
      </w:pPr>
      <w:rPr>
        <w:rFonts w:ascii="Wingdings" w:hAnsi="Wingdings" w:hint="default"/>
      </w:rPr>
    </w:lvl>
  </w:abstractNum>
  <w:abstractNum w:abstractNumId="41" w15:restartNumberingAfterBreak="0">
    <w:nsid w:val="5D8D287F"/>
    <w:multiLevelType w:val="hybridMultilevel"/>
    <w:tmpl w:val="A14A2A18"/>
    <w:lvl w:ilvl="0" w:tplc="04160001">
      <w:start w:val="1"/>
      <w:numFmt w:val="bullet"/>
      <w:lvlText w:val=""/>
      <w:lvlJc w:val="left"/>
      <w:pPr>
        <w:ind w:left="360" w:hanging="360"/>
      </w:pPr>
      <w:rPr>
        <w:rFonts w:ascii="Symbol" w:hAnsi="Symbol"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42" w15:restartNumberingAfterBreak="0">
    <w:nsid w:val="63C263F7"/>
    <w:multiLevelType w:val="hybridMultilevel"/>
    <w:tmpl w:val="BEE61932"/>
    <w:lvl w:ilvl="0" w:tplc="946456C2">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3" w15:restartNumberingAfterBreak="0">
    <w:nsid w:val="68264FBA"/>
    <w:multiLevelType w:val="hybridMultilevel"/>
    <w:tmpl w:val="9104C3B8"/>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4" w15:restartNumberingAfterBreak="0">
    <w:nsid w:val="727832CF"/>
    <w:multiLevelType w:val="singleLevel"/>
    <w:tmpl w:val="04160007"/>
    <w:lvl w:ilvl="0">
      <w:start w:val="1"/>
      <w:numFmt w:val="bullet"/>
      <w:lvlText w:val=""/>
      <w:lvlJc w:val="left"/>
      <w:pPr>
        <w:tabs>
          <w:tab w:val="num" w:pos="360"/>
        </w:tabs>
        <w:ind w:left="360" w:hanging="360"/>
      </w:pPr>
      <w:rPr>
        <w:rFonts w:ascii="Wingdings" w:hAnsi="Wingdings" w:hint="default"/>
        <w:sz w:val="16"/>
      </w:rPr>
    </w:lvl>
  </w:abstractNum>
  <w:abstractNum w:abstractNumId="45" w15:restartNumberingAfterBreak="0">
    <w:nsid w:val="73EC0249"/>
    <w:multiLevelType w:val="multilevel"/>
    <w:tmpl w:val="B830B9E0"/>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50"/>
        </w:tabs>
        <w:ind w:left="750" w:hanging="39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46" w15:restartNumberingAfterBreak="0">
    <w:nsid w:val="7DBC72F1"/>
    <w:multiLevelType w:val="hybridMultilevel"/>
    <w:tmpl w:val="C74E947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7" w15:restartNumberingAfterBreak="0">
    <w:nsid w:val="7F715642"/>
    <w:multiLevelType w:val="hybridMultilevel"/>
    <w:tmpl w:val="EE049E2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8" w15:restartNumberingAfterBreak="0">
    <w:nsid w:val="7FB52691"/>
    <w:multiLevelType w:val="multilevel"/>
    <w:tmpl w:val="89503C8E"/>
    <w:lvl w:ilvl="0">
      <w:start w:val="1"/>
      <w:numFmt w:val="decimal"/>
      <w:lvlText w:val="%1."/>
      <w:lvlJc w:val="left"/>
      <w:pPr>
        <w:ind w:left="390" w:hanging="390"/>
      </w:pPr>
      <w:rPr>
        <w:rFonts w:hint="default"/>
      </w:rPr>
    </w:lvl>
    <w:lvl w:ilvl="1">
      <w:start w:val="1"/>
      <w:numFmt w:val="decimal"/>
      <w:lvlText w:val="%1.%2."/>
      <w:lvlJc w:val="left"/>
      <w:pPr>
        <w:ind w:left="855" w:hanging="720"/>
      </w:pPr>
      <w:rPr>
        <w:rFonts w:hint="default"/>
      </w:rPr>
    </w:lvl>
    <w:lvl w:ilvl="2">
      <w:start w:val="1"/>
      <w:numFmt w:val="decimal"/>
      <w:lvlText w:val="%1.%2.%3."/>
      <w:lvlJc w:val="left"/>
      <w:pPr>
        <w:ind w:left="990" w:hanging="720"/>
      </w:pPr>
      <w:rPr>
        <w:rFonts w:hint="default"/>
      </w:rPr>
    </w:lvl>
    <w:lvl w:ilvl="3">
      <w:start w:val="1"/>
      <w:numFmt w:val="decimal"/>
      <w:lvlText w:val="%1.%2.%3.%4."/>
      <w:lvlJc w:val="left"/>
      <w:pPr>
        <w:ind w:left="1485" w:hanging="1080"/>
      </w:pPr>
      <w:rPr>
        <w:rFonts w:hint="default"/>
      </w:rPr>
    </w:lvl>
    <w:lvl w:ilvl="4">
      <w:start w:val="1"/>
      <w:numFmt w:val="decimal"/>
      <w:lvlText w:val="%1.%2.%3.%4.%5."/>
      <w:lvlJc w:val="left"/>
      <w:pPr>
        <w:ind w:left="1620" w:hanging="1080"/>
      </w:pPr>
      <w:rPr>
        <w:rFonts w:hint="default"/>
      </w:rPr>
    </w:lvl>
    <w:lvl w:ilvl="5">
      <w:start w:val="1"/>
      <w:numFmt w:val="decimal"/>
      <w:lvlText w:val="%1.%2.%3.%4.%5.%6."/>
      <w:lvlJc w:val="left"/>
      <w:pPr>
        <w:ind w:left="2115" w:hanging="1440"/>
      </w:pPr>
      <w:rPr>
        <w:rFonts w:hint="default"/>
      </w:rPr>
    </w:lvl>
    <w:lvl w:ilvl="6">
      <w:start w:val="1"/>
      <w:numFmt w:val="decimal"/>
      <w:lvlText w:val="%1.%2.%3.%4.%5.%6.%7."/>
      <w:lvlJc w:val="left"/>
      <w:pPr>
        <w:ind w:left="2250" w:hanging="1440"/>
      </w:pPr>
      <w:rPr>
        <w:rFonts w:hint="default"/>
      </w:rPr>
    </w:lvl>
    <w:lvl w:ilvl="7">
      <w:start w:val="1"/>
      <w:numFmt w:val="decimal"/>
      <w:lvlText w:val="%1.%2.%3.%4.%5.%6.%7.%8."/>
      <w:lvlJc w:val="left"/>
      <w:pPr>
        <w:ind w:left="2745" w:hanging="1800"/>
      </w:pPr>
      <w:rPr>
        <w:rFonts w:hint="default"/>
      </w:rPr>
    </w:lvl>
    <w:lvl w:ilvl="8">
      <w:start w:val="1"/>
      <w:numFmt w:val="decimal"/>
      <w:lvlText w:val="%1.%2.%3.%4.%5.%6.%7.%8.%9."/>
      <w:lvlJc w:val="left"/>
      <w:pPr>
        <w:ind w:left="3240" w:hanging="2160"/>
      </w:pPr>
      <w:rPr>
        <w:rFonts w:hint="default"/>
      </w:rPr>
    </w:lvl>
  </w:abstractNum>
  <w:abstractNum w:abstractNumId="49" w15:restartNumberingAfterBreak="0">
    <w:nsid w:val="7FBB70ED"/>
    <w:multiLevelType w:val="hybridMultilevel"/>
    <w:tmpl w:val="FE60380E"/>
    <w:lvl w:ilvl="0" w:tplc="D5F6F920">
      <w:numFmt w:val="bullet"/>
      <w:lvlText w:val="-"/>
      <w:lvlJc w:val="left"/>
      <w:pPr>
        <w:ind w:left="720" w:hanging="360"/>
      </w:pPr>
      <w:rPr>
        <w:rFonts w:ascii="Times New Roman" w:eastAsia="Calibri" w:hAnsi="Times New Roman"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16cid:durableId="1116292700">
    <w:abstractNumId w:val="33"/>
  </w:num>
  <w:num w:numId="2" w16cid:durableId="747114208">
    <w:abstractNumId w:val="45"/>
  </w:num>
  <w:num w:numId="3" w16cid:durableId="890266610">
    <w:abstractNumId w:val="40"/>
  </w:num>
  <w:num w:numId="4" w16cid:durableId="1363357209">
    <w:abstractNumId w:val="18"/>
  </w:num>
  <w:num w:numId="5" w16cid:durableId="1053037461">
    <w:abstractNumId w:val="14"/>
  </w:num>
  <w:num w:numId="6" w16cid:durableId="1841193458">
    <w:abstractNumId w:val="21"/>
  </w:num>
  <w:num w:numId="7" w16cid:durableId="604338625">
    <w:abstractNumId w:val="16"/>
  </w:num>
  <w:num w:numId="8" w16cid:durableId="1873419318">
    <w:abstractNumId w:val="32"/>
  </w:num>
  <w:num w:numId="9" w16cid:durableId="1216308840">
    <w:abstractNumId w:val="25"/>
  </w:num>
  <w:num w:numId="10" w16cid:durableId="215824139">
    <w:abstractNumId w:val="24"/>
  </w:num>
  <w:num w:numId="11" w16cid:durableId="967390621">
    <w:abstractNumId w:val="39"/>
  </w:num>
  <w:num w:numId="12" w16cid:durableId="414402270">
    <w:abstractNumId w:val="46"/>
  </w:num>
  <w:num w:numId="13" w16cid:durableId="965426023">
    <w:abstractNumId w:val="9"/>
  </w:num>
  <w:num w:numId="14" w16cid:durableId="723791449">
    <w:abstractNumId w:val="7"/>
  </w:num>
  <w:num w:numId="15" w16cid:durableId="1526481868">
    <w:abstractNumId w:val="6"/>
  </w:num>
  <w:num w:numId="16" w16cid:durableId="1751196022">
    <w:abstractNumId w:val="5"/>
  </w:num>
  <w:num w:numId="17" w16cid:durableId="506293802">
    <w:abstractNumId w:val="4"/>
  </w:num>
  <w:num w:numId="18" w16cid:durableId="1946116086">
    <w:abstractNumId w:val="8"/>
  </w:num>
  <w:num w:numId="19" w16cid:durableId="1449854049">
    <w:abstractNumId w:val="3"/>
  </w:num>
  <w:num w:numId="20" w16cid:durableId="1710036073">
    <w:abstractNumId w:val="2"/>
  </w:num>
  <w:num w:numId="21" w16cid:durableId="38746696">
    <w:abstractNumId w:val="1"/>
  </w:num>
  <w:num w:numId="22" w16cid:durableId="98643724">
    <w:abstractNumId w:val="0"/>
  </w:num>
  <w:num w:numId="23" w16cid:durableId="1175800023">
    <w:abstractNumId w:val="10"/>
  </w:num>
  <w:num w:numId="24" w16cid:durableId="1896967058">
    <w:abstractNumId w:val="11"/>
  </w:num>
  <w:num w:numId="25" w16cid:durableId="1671447097">
    <w:abstractNumId w:val="28"/>
  </w:num>
  <w:num w:numId="26" w16cid:durableId="261955122">
    <w:abstractNumId w:val="37"/>
  </w:num>
  <w:num w:numId="27" w16cid:durableId="1657803065">
    <w:abstractNumId w:val="44"/>
  </w:num>
  <w:num w:numId="28" w16cid:durableId="596989307">
    <w:abstractNumId w:val="17"/>
  </w:num>
  <w:num w:numId="29" w16cid:durableId="1741055486">
    <w:abstractNumId w:val="20"/>
  </w:num>
  <w:num w:numId="30" w16cid:durableId="1150169866">
    <w:abstractNumId w:val="29"/>
  </w:num>
  <w:num w:numId="31" w16cid:durableId="101807716">
    <w:abstractNumId w:val="15"/>
  </w:num>
  <w:num w:numId="32" w16cid:durableId="1515533430">
    <w:abstractNumId w:val="48"/>
  </w:num>
  <w:num w:numId="33" w16cid:durableId="2016225907">
    <w:abstractNumId w:val="27"/>
  </w:num>
  <w:num w:numId="34" w16cid:durableId="236596689">
    <w:abstractNumId w:val="34"/>
  </w:num>
  <w:num w:numId="35" w16cid:durableId="1896888438">
    <w:abstractNumId w:val="43"/>
  </w:num>
  <w:num w:numId="36" w16cid:durableId="1767117315">
    <w:abstractNumId w:val="13"/>
  </w:num>
  <w:num w:numId="37" w16cid:durableId="793134136">
    <w:abstractNumId w:val="49"/>
  </w:num>
  <w:num w:numId="38" w16cid:durableId="2078475807">
    <w:abstractNumId w:val="47"/>
  </w:num>
  <w:num w:numId="39" w16cid:durableId="1875649309">
    <w:abstractNumId w:val="36"/>
  </w:num>
  <w:num w:numId="40" w16cid:durableId="1338925620">
    <w:abstractNumId w:val="19"/>
  </w:num>
  <w:num w:numId="41" w16cid:durableId="848443257">
    <w:abstractNumId w:val="23"/>
  </w:num>
  <w:num w:numId="42" w16cid:durableId="1392775108">
    <w:abstractNumId w:val="35"/>
  </w:num>
  <w:num w:numId="43" w16cid:durableId="695928545">
    <w:abstractNumId w:val="41"/>
  </w:num>
  <w:num w:numId="44" w16cid:durableId="1814105109">
    <w:abstractNumId w:val="12"/>
  </w:num>
  <w:num w:numId="45" w16cid:durableId="2015835546">
    <w:abstractNumId w:val="31"/>
  </w:num>
  <w:num w:numId="46" w16cid:durableId="476382855">
    <w:abstractNumId w:val="30"/>
  </w:num>
  <w:num w:numId="47" w16cid:durableId="535890181">
    <w:abstractNumId w:val="26"/>
  </w:num>
  <w:num w:numId="48" w16cid:durableId="1447963053">
    <w:abstractNumId w:val="22"/>
  </w:num>
  <w:num w:numId="49" w16cid:durableId="881747924">
    <w:abstractNumId w:val="38"/>
  </w:num>
  <w:num w:numId="50" w16cid:durableId="1584950911">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4183"/>
    <w:rsid w:val="0000009A"/>
    <w:rsid w:val="0000125F"/>
    <w:rsid w:val="00001939"/>
    <w:rsid w:val="00001C91"/>
    <w:rsid w:val="000022ED"/>
    <w:rsid w:val="00003BA3"/>
    <w:rsid w:val="00004AC6"/>
    <w:rsid w:val="00004C8C"/>
    <w:rsid w:val="000078E8"/>
    <w:rsid w:val="00007BCC"/>
    <w:rsid w:val="00007C45"/>
    <w:rsid w:val="000103A3"/>
    <w:rsid w:val="0001165C"/>
    <w:rsid w:val="00011729"/>
    <w:rsid w:val="00012ED0"/>
    <w:rsid w:val="00016D91"/>
    <w:rsid w:val="0001781C"/>
    <w:rsid w:val="00021104"/>
    <w:rsid w:val="00023217"/>
    <w:rsid w:val="00025091"/>
    <w:rsid w:val="000250EB"/>
    <w:rsid w:val="00026770"/>
    <w:rsid w:val="0002688D"/>
    <w:rsid w:val="000278F1"/>
    <w:rsid w:val="00031649"/>
    <w:rsid w:val="00032076"/>
    <w:rsid w:val="00032388"/>
    <w:rsid w:val="00034EA1"/>
    <w:rsid w:val="00035AC2"/>
    <w:rsid w:val="00036848"/>
    <w:rsid w:val="000401B6"/>
    <w:rsid w:val="00040BBA"/>
    <w:rsid w:val="000411A8"/>
    <w:rsid w:val="0004182E"/>
    <w:rsid w:val="000418A9"/>
    <w:rsid w:val="00042D0B"/>
    <w:rsid w:val="00043886"/>
    <w:rsid w:val="00044E46"/>
    <w:rsid w:val="0004508F"/>
    <w:rsid w:val="00045578"/>
    <w:rsid w:val="00050045"/>
    <w:rsid w:val="00050394"/>
    <w:rsid w:val="000515D3"/>
    <w:rsid w:val="000532B0"/>
    <w:rsid w:val="00053537"/>
    <w:rsid w:val="00055F43"/>
    <w:rsid w:val="00056E4A"/>
    <w:rsid w:val="00057A03"/>
    <w:rsid w:val="00060E42"/>
    <w:rsid w:val="000613F8"/>
    <w:rsid w:val="0006155D"/>
    <w:rsid w:val="0006161C"/>
    <w:rsid w:val="00061CCA"/>
    <w:rsid w:val="00062B82"/>
    <w:rsid w:val="00064900"/>
    <w:rsid w:val="00065866"/>
    <w:rsid w:val="00065997"/>
    <w:rsid w:val="00065BFB"/>
    <w:rsid w:val="00065DA6"/>
    <w:rsid w:val="00065FBA"/>
    <w:rsid w:val="00066067"/>
    <w:rsid w:val="000677ED"/>
    <w:rsid w:val="00070C5F"/>
    <w:rsid w:val="00071891"/>
    <w:rsid w:val="00072892"/>
    <w:rsid w:val="00073462"/>
    <w:rsid w:val="00073DAF"/>
    <w:rsid w:val="0007463A"/>
    <w:rsid w:val="000755EA"/>
    <w:rsid w:val="000762B0"/>
    <w:rsid w:val="00076891"/>
    <w:rsid w:val="00076E88"/>
    <w:rsid w:val="00077400"/>
    <w:rsid w:val="0007782E"/>
    <w:rsid w:val="00077DE5"/>
    <w:rsid w:val="00077F7E"/>
    <w:rsid w:val="000800E9"/>
    <w:rsid w:val="00080DA0"/>
    <w:rsid w:val="00081749"/>
    <w:rsid w:val="000828E7"/>
    <w:rsid w:val="00082B3B"/>
    <w:rsid w:val="00083DB5"/>
    <w:rsid w:val="00085CF8"/>
    <w:rsid w:val="00086851"/>
    <w:rsid w:val="00087667"/>
    <w:rsid w:val="00090DD6"/>
    <w:rsid w:val="00091E6B"/>
    <w:rsid w:val="00092811"/>
    <w:rsid w:val="00092ACB"/>
    <w:rsid w:val="000930ED"/>
    <w:rsid w:val="00093B57"/>
    <w:rsid w:val="00094A6B"/>
    <w:rsid w:val="000951A7"/>
    <w:rsid w:val="00095F59"/>
    <w:rsid w:val="000A1008"/>
    <w:rsid w:val="000A1747"/>
    <w:rsid w:val="000A4B25"/>
    <w:rsid w:val="000A5DC9"/>
    <w:rsid w:val="000A5F8B"/>
    <w:rsid w:val="000B0239"/>
    <w:rsid w:val="000B0A9F"/>
    <w:rsid w:val="000B0E00"/>
    <w:rsid w:val="000B20E2"/>
    <w:rsid w:val="000B38DC"/>
    <w:rsid w:val="000B44A2"/>
    <w:rsid w:val="000B4C06"/>
    <w:rsid w:val="000B5C18"/>
    <w:rsid w:val="000B6992"/>
    <w:rsid w:val="000B7BA0"/>
    <w:rsid w:val="000C2CD8"/>
    <w:rsid w:val="000C3597"/>
    <w:rsid w:val="000C436C"/>
    <w:rsid w:val="000C5965"/>
    <w:rsid w:val="000C5E57"/>
    <w:rsid w:val="000C5F84"/>
    <w:rsid w:val="000C6761"/>
    <w:rsid w:val="000C6D82"/>
    <w:rsid w:val="000C6F99"/>
    <w:rsid w:val="000C74A0"/>
    <w:rsid w:val="000D004C"/>
    <w:rsid w:val="000D0A45"/>
    <w:rsid w:val="000D4252"/>
    <w:rsid w:val="000D4828"/>
    <w:rsid w:val="000D4C98"/>
    <w:rsid w:val="000D6A2B"/>
    <w:rsid w:val="000D7BF9"/>
    <w:rsid w:val="000E05D7"/>
    <w:rsid w:val="000E172F"/>
    <w:rsid w:val="000E1E95"/>
    <w:rsid w:val="000E6229"/>
    <w:rsid w:val="000E679A"/>
    <w:rsid w:val="000E7CA9"/>
    <w:rsid w:val="000F091F"/>
    <w:rsid w:val="000F0AB8"/>
    <w:rsid w:val="000F0B77"/>
    <w:rsid w:val="000F1119"/>
    <w:rsid w:val="000F1612"/>
    <w:rsid w:val="000F293E"/>
    <w:rsid w:val="000F336A"/>
    <w:rsid w:val="000F4FE8"/>
    <w:rsid w:val="000F537B"/>
    <w:rsid w:val="000F605C"/>
    <w:rsid w:val="000F7EF7"/>
    <w:rsid w:val="001010B6"/>
    <w:rsid w:val="0010168A"/>
    <w:rsid w:val="00102BF1"/>
    <w:rsid w:val="001033F2"/>
    <w:rsid w:val="00103AB2"/>
    <w:rsid w:val="00103EC7"/>
    <w:rsid w:val="00104795"/>
    <w:rsid w:val="001061AB"/>
    <w:rsid w:val="001074D5"/>
    <w:rsid w:val="00110D80"/>
    <w:rsid w:val="00110DA7"/>
    <w:rsid w:val="00112C02"/>
    <w:rsid w:val="0011412D"/>
    <w:rsid w:val="00114488"/>
    <w:rsid w:val="00114F9D"/>
    <w:rsid w:val="001151E8"/>
    <w:rsid w:val="00117F2B"/>
    <w:rsid w:val="001200DE"/>
    <w:rsid w:val="00121055"/>
    <w:rsid w:val="0012269D"/>
    <w:rsid w:val="001242F9"/>
    <w:rsid w:val="00124A96"/>
    <w:rsid w:val="00124BC3"/>
    <w:rsid w:val="00125A83"/>
    <w:rsid w:val="0013060D"/>
    <w:rsid w:val="001312CB"/>
    <w:rsid w:val="0013166A"/>
    <w:rsid w:val="001329F4"/>
    <w:rsid w:val="00134306"/>
    <w:rsid w:val="001346C3"/>
    <w:rsid w:val="00135575"/>
    <w:rsid w:val="001355F9"/>
    <w:rsid w:val="00136D67"/>
    <w:rsid w:val="001370EA"/>
    <w:rsid w:val="00140AF9"/>
    <w:rsid w:val="0014111B"/>
    <w:rsid w:val="00141AE1"/>
    <w:rsid w:val="00141FE7"/>
    <w:rsid w:val="0014283C"/>
    <w:rsid w:val="0014785D"/>
    <w:rsid w:val="001502F4"/>
    <w:rsid w:val="0015126C"/>
    <w:rsid w:val="00152066"/>
    <w:rsid w:val="00152A7D"/>
    <w:rsid w:val="00152DA5"/>
    <w:rsid w:val="00157DC5"/>
    <w:rsid w:val="00160387"/>
    <w:rsid w:val="0016207A"/>
    <w:rsid w:val="00163155"/>
    <w:rsid w:val="00163A0B"/>
    <w:rsid w:val="00163DF8"/>
    <w:rsid w:val="0016509B"/>
    <w:rsid w:val="001652F5"/>
    <w:rsid w:val="00166EFC"/>
    <w:rsid w:val="00167BAB"/>
    <w:rsid w:val="0017025D"/>
    <w:rsid w:val="00171475"/>
    <w:rsid w:val="001718AF"/>
    <w:rsid w:val="00172B7B"/>
    <w:rsid w:val="00173297"/>
    <w:rsid w:val="00173B8E"/>
    <w:rsid w:val="00173BFB"/>
    <w:rsid w:val="00174555"/>
    <w:rsid w:val="001747D0"/>
    <w:rsid w:val="00174E47"/>
    <w:rsid w:val="00174FE7"/>
    <w:rsid w:val="0017530A"/>
    <w:rsid w:val="00176E7C"/>
    <w:rsid w:val="00176F4A"/>
    <w:rsid w:val="00177990"/>
    <w:rsid w:val="00180FAF"/>
    <w:rsid w:val="00182AF4"/>
    <w:rsid w:val="00184E24"/>
    <w:rsid w:val="001851B0"/>
    <w:rsid w:val="00186895"/>
    <w:rsid w:val="00186964"/>
    <w:rsid w:val="00186A76"/>
    <w:rsid w:val="00187966"/>
    <w:rsid w:val="00187B34"/>
    <w:rsid w:val="00187C93"/>
    <w:rsid w:val="001907EB"/>
    <w:rsid w:val="0019139E"/>
    <w:rsid w:val="001913E6"/>
    <w:rsid w:val="0019198D"/>
    <w:rsid w:val="00193D19"/>
    <w:rsid w:val="00194633"/>
    <w:rsid w:val="00194AB1"/>
    <w:rsid w:val="0019680F"/>
    <w:rsid w:val="001A1EA9"/>
    <w:rsid w:val="001A23D9"/>
    <w:rsid w:val="001A289C"/>
    <w:rsid w:val="001A4330"/>
    <w:rsid w:val="001A47D4"/>
    <w:rsid w:val="001A4A75"/>
    <w:rsid w:val="001A5096"/>
    <w:rsid w:val="001A534A"/>
    <w:rsid w:val="001A5E5D"/>
    <w:rsid w:val="001A63BB"/>
    <w:rsid w:val="001A6ECF"/>
    <w:rsid w:val="001B080D"/>
    <w:rsid w:val="001B0F7E"/>
    <w:rsid w:val="001B1940"/>
    <w:rsid w:val="001B38E2"/>
    <w:rsid w:val="001B3BBB"/>
    <w:rsid w:val="001B4606"/>
    <w:rsid w:val="001B5DF8"/>
    <w:rsid w:val="001B6516"/>
    <w:rsid w:val="001C15E4"/>
    <w:rsid w:val="001C2735"/>
    <w:rsid w:val="001C278B"/>
    <w:rsid w:val="001C2D55"/>
    <w:rsid w:val="001C3DF9"/>
    <w:rsid w:val="001C4493"/>
    <w:rsid w:val="001C4B01"/>
    <w:rsid w:val="001C4B45"/>
    <w:rsid w:val="001C54E2"/>
    <w:rsid w:val="001C6C36"/>
    <w:rsid w:val="001D03BD"/>
    <w:rsid w:val="001D4028"/>
    <w:rsid w:val="001D6A99"/>
    <w:rsid w:val="001D7282"/>
    <w:rsid w:val="001E03D9"/>
    <w:rsid w:val="001E0536"/>
    <w:rsid w:val="001E05D7"/>
    <w:rsid w:val="001E33F6"/>
    <w:rsid w:val="001E42D3"/>
    <w:rsid w:val="001E7C09"/>
    <w:rsid w:val="001F0DDF"/>
    <w:rsid w:val="001F1AFC"/>
    <w:rsid w:val="001F224F"/>
    <w:rsid w:val="001F4546"/>
    <w:rsid w:val="001F6C47"/>
    <w:rsid w:val="001F7BC8"/>
    <w:rsid w:val="00200106"/>
    <w:rsid w:val="00201133"/>
    <w:rsid w:val="00202CEB"/>
    <w:rsid w:val="0020361D"/>
    <w:rsid w:val="002057C4"/>
    <w:rsid w:val="002059F2"/>
    <w:rsid w:val="00205DB5"/>
    <w:rsid w:val="00206174"/>
    <w:rsid w:val="002076FE"/>
    <w:rsid w:val="00211FAA"/>
    <w:rsid w:val="00214135"/>
    <w:rsid w:val="00216970"/>
    <w:rsid w:val="00216BAE"/>
    <w:rsid w:val="00217521"/>
    <w:rsid w:val="002179C1"/>
    <w:rsid w:val="00217EB5"/>
    <w:rsid w:val="002207B8"/>
    <w:rsid w:val="0022313D"/>
    <w:rsid w:val="00223C05"/>
    <w:rsid w:val="00225FE8"/>
    <w:rsid w:val="002273D2"/>
    <w:rsid w:val="00230E56"/>
    <w:rsid w:val="002311A3"/>
    <w:rsid w:val="002316D5"/>
    <w:rsid w:val="00231BB3"/>
    <w:rsid w:val="00232C45"/>
    <w:rsid w:val="00233643"/>
    <w:rsid w:val="002336B6"/>
    <w:rsid w:val="00233880"/>
    <w:rsid w:val="002344BF"/>
    <w:rsid w:val="00236807"/>
    <w:rsid w:val="00236949"/>
    <w:rsid w:val="002369DC"/>
    <w:rsid w:val="002405F2"/>
    <w:rsid w:val="00241AE1"/>
    <w:rsid w:val="00242E4F"/>
    <w:rsid w:val="0024391A"/>
    <w:rsid w:val="00243CA9"/>
    <w:rsid w:val="00245415"/>
    <w:rsid w:val="00250035"/>
    <w:rsid w:val="00251CED"/>
    <w:rsid w:val="00253903"/>
    <w:rsid w:val="00253BB9"/>
    <w:rsid w:val="002541D9"/>
    <w:rsid w:val="00255246"/>
    <w:rsid w:val="00256BDC"/>
    <w:rsid w:val="00260085"/>
    <w:rsid w:val="00261D73"/>
    <w:rsid w:val="00261E50"/>
    <w:rsid w:val="002638DA"/>
    <w:rsid w:val="00265DC6"/>
    <w:rsid w:val="00266D0C"/>
    <w:rsid w:val="00270637"/>
    <w:rsid w:val="00272135"/>
    <w:rsid w:val="00272DE9"/>
    <w:rsid w:val="00273B36"/>
    <w:rsid w:val="002817F9"/>
    <w:rsid w:val="00283BF8"/>
    <w:rsid w:val="00283F62"/>
    <w:rsid w:val="002850A2"/>
    <w:rsid w:val="00285603"/>
    <w:rsid w:val="00285D7A"/>
    <w:rsid w:val="002866A8"/>
    <w:rsid w:val="002870BB"/>
    <w:rsid w:val="00287984"/>
    <w:rsid w:val="0029510B"/>
    <w:rsid w:val="002A0501"/>
    <w:rsid w:val="002A1426"/>
    <w:rsid w:val="002A1DD2"/>
    <w:rsid w:val="002A4287"/>
    <w:rsid w:val="002A4A71"/>
    <w:rsid w:val="002A510D"/>
    <w:rsid w:val="002A5DE7"/>
    <w:rsid w:val="002A7AA8"/>
    <w:rsid w:val="002B0A0A"/>
    <w:rsid w:val="002B0A17"/>
    <w:rsid w:val="002B1047"/>
    <w:rsid w:val="002B19E2"/>
    <w:rsid w:val="002B206D"/>
    <w:rsid w:val="002B3052"/>
    <w:rsid w:val="002B4894"/>
    <w:rsid w:val="002B7ADB"/>
    <w:rsid w:val="002C0A80"/>
    <w:rsid w:val="002C137A"/>
    <w:rsid w:val="002C25C5"/>
    <w:rsid w:val="002C3323"/>
    <w:rsid w:val="002C33AD"/>
    <w:rsid w:val="002C4E15"/>
    <w:rsid w:val="002C50C5"/>
    <w:rsid w:val="002C54F8"/>
    <w:rsid w:val="002C5D01"/>
    <w:rsid w:val="002C6122"/>
    <w:rsid w:val="002C7859"/>
    <w:rsid w:val="002D182E"/>
    <w:rsid w:val="002D1F6B"/>
    <w:rsid w:val="002D23D5"/>
    <w:rsid w:val="002D32E8"/>
    <w:rsid w:val="002D3F38"/>
    <w:rsid w:val="002D4584"/>
    <w:rsid w:val="002D4999"/>
    <w:rsid w:val="002D6CCA"/>
    <w:rsid w:val="002D6FE7"/>
    <w:rsid w:val="002D7DB5"/>
    <w:rsid w:val="002E191F"/>
    <w:rsid w:val="002E2CE4"/>
    <w:rsid w:val="002E558C"/>
    <w:rsid w:val="002E6A2C"/>
    <w:rsid w:val="002E6D7E"/>
    <w:rsid w:val="002F0304"/>
    <w:rsid w:val="002F0356"/>
    <w:rsid w:val="002F0CFC"/>
    <w:rsid w:val="002F1F74"/>
    <w:rsid w:val="002F319D"/>
    <w:rsid w:val="002F3B88"/>
    <w:rsid w:val="002F78A7"/>
    <w:rsid w:val="0030001D"/>
    <w:rsid w:val="003000FD"/>
    <w:rsid w:val="00300D35"/>
    <w:rsid w:val="0030206B"/>
    <w:rsid w:val="00303D37"/>
    <w:rsid w:val="00307A49"/>
    <w:rsid w:val="00311831"/>
    <w:rsid w:val="0031609D"/>
    <w:rsid w:val="00317B87"/>
    <w:rsid w:val="00317D0E"/>
    <w:rsid w:val="003206B8"/>
    <w:rsid w:val="003215F1"/>
    <w:rsid w:val="00323E9D"/>
    <w:rsid w:val="0032406E"/>
    <w:rsid w:val="00325C1D"/>
    <w:rsid w:val="00327A9E"/>
    <w:rsid w:val="00327EAA"/>
    <w:rsid w:val="003308B5"/>
    <w:rsid w:val="003337E5"/>
    <w:rsid w:val="00333973"/>
    <w:rsid w:val="00333F1E"/>
    <w:rsid w:val="00334721"/>
    <w:rsid w:val="00334AB9"/>
    <w:rsid w:val="00337ED6"/>
    <w:rsid w:val="00341766"/>
    <w:rsid w:val="00341F00"/>
    <w:rsid w:val="003422C2"/>
    <w:rsid w:val="003429B5"/>
    <w:rsid w:val="003437D5"/>
    <w:rsid w:val="00345882"/>
    <w:rsid w:val="00345932"/>
    <w:rsid w:val="00346443"/>
    <w:rsid w:val="00346ACF"/>
    <w:rsid w:val="00346D14"/>
    <w:rsid w:val="00346EF8"/>
    <w:rsid w:val="00347540"/>
    <w:rsid w:val="003501EF"/>
    <w:rsid w:val="00350669"/>
    <w:rsid w:val="00350780"/>
    <w:rsid w:val="00350FA4"/>
    <w:rsid w:val="00352104"/>
    <w:rsid w:val="0035217B"/>
    <w:rsid w:val="00352235"/>
    <w:rsid w:val="00353645"/>
    <w:rsid w:val="003560AA"/>
    <w:rsid w:val="00356203"/>
    <w:rsid w:val="00356CA6"/>
    <w:rsid w:val="0036015D"/>
    <w:rsid w:val="00360197"/>
    <w:rsid w:val="003634C0"/>
    <w:rsid w:val="00363EB1"/>
    <w:rsid w:val="0036502F"/>
    <w:rsid w:val="00365A62"/>
    <w:rsid w:val="00366F2F"/>
    <w:rsid w:val="0036774B"/>
    <w:rsid w:val="003706E7"/>
    <w:rsid w:val="003719E3"/>
    <w:rsid w:val="00372ACC"/>
    <w:rsid w:val="003736A2"/>
    <w:rsid w:val="0037497C"/>
    <w:rsid w:val="00375C03"/>
    <w:rsid w:val="00376054"/>
    <w:rsid w:val="00376187"/>
    <w:rsid w:val="003768EE"/>
    <w:rsid w:val="00376DF2"/>
    <w:rsid w:val="00376E63"/>
    <w:rsid w:val="00377C55"/>
    <w:rsid w:val="003807D4"/>
    <w:rsid w:val="00380CEB"/>
    <w:rsid w:val="00381373"/>
    <w:rsid w:val="003817B8"/>
    <w:rsid w:val="00381DB9"/>
    <w:rsid w:val="00384A71"/>
    <w:rsid w:val="00384DA9"/>
    <w:rsid w:val="0038516B"/>
    <w:rsid w:val="00390CE5"/>
    <w:rsid w:val="00393646"/>
    <w:rsid w:val="0039406F"/>
    <w:rsid w:val="003A0540"/>
    <w:rsid w:val="003A0DB9"/>
    <w:rsid w:val="003A26D4"/>
    <w:rsid w:val="003A288C"/>
    <w:rsid w:val="003A2FDD"/>
    <w:rsid w:val="003A6558"/>
    <w:rsid w:val="003A793B"/>
    <w:rsid w:val="003B1B4B"/>
    <w:rsid w:val="003B234E"/>
    <w:rsid w:val="003B280C"/>
    <w:rsid w:val="003B5292"/>
    <w:rsid w:val="003B55F8"/>
    <w:rsid w:val="003B6004"/>
    <w:rsid w:val="003B77BE"/>
    <w:rsid w:val="003C2A1F"/>
    <w:rsid w:val="003C316F"/>
    <w:rsid w:val="003C482E"/>
    <w:rsid w:val="003C519C"/>
    <w:rsid w:val="003C672B"/>
    <w:rsid w:val="003C68DE"/>
    <w:rsid w:val="003C69A9"/>
    <w:rsid w:val="003D0FF9"/>
    <w:rsid w:val="003D1465"/>
    <w:rsid w:val="003D14D8"/>
    <w:rsid w:val="003D14E4"/>
    <w:rsid w:val="003D1E91"/>
    <w:rsid w:val="003D2AA7"/>
    <w:rsid w:val="003D2E54"/>
    <w:rsid w:val="003D377F"/>
    <w:rsid w:val="003D3DA7"/>
    <w:rsid w:val="003D3FC7"/>
    <w:rsid w:val="003D4EC8"/>
    <w:rsid w:val="003D6415"/>
    <w:rsid w:val="003E0204"/>
    <w:rsid w:val="003E12B9"/>
    <w:rsid w:val="003E2E11"/>
    <w:rsid w:val="003E35F2"/>
    <w:rsid w:val="003E395F"/>
    <w:rsid w:val="003E3A71"/>
    <w:rsid w:val="003E3D15"/>
    <w:rsid w:val="003E5190"/>
    <w:rsid w:val="003F11BB"/>
    <w:rsid w:val="003F2EBD"/>
    <w:rsid w:val="003F3CAE"/>
    <w:rsid w:val="003F447F"/>
    <w:rsid w:val="003F4FDC"/>
    <w:rsid w:val="003F7CB5"/>
    <w:rsid w:val="0040036F"/>
    <w:rsid w:val="00402154"/>
    <w:rsid w:val="00403E0F"/>
    <w:rsid w:val="00406730"/>
    <w:rsid w:val="004071DA"/>
    <w:rsid w:val="00407DCE"/>
    <w:rsid w:val="0041078E"/>
    <w:rsid w:val="00410932"/>
    <w:rsid w:val="004112DB"/>
    <w:rsid w:val="004117EA"/>
    <w:rsid w:val="004140B2"/>
    <w:rsid w:val="00415780"/>
    <w:rsid w:val="00416BC5"/>
    <w:rsid w:val="0042109D"/>
    <w:rsid w:val="00421E8D"/>
    <w:rsid w:val="004237AC"/>
    <w:rsid w:val="004241A1"/>
    <w:rsid w:val="004246EA"/>
    <w:rsid w:val="0042576A"/>
    <w:rsid w:val="00425970"/>
    <w:rsid w:val="00426436"/>
    <w:rsid w:val="004274F5"/>
    <w:rsid w:val="00430B8C"/>
    <w:rsid w:val="00430E4A"/>
    <w:rsid w:val="0043447D"/>
    <w:rsid w:val="00434684"/>
    <w:rsid w:val="00437EAA"/>
    <w:rsid w:val="0044150D"/>
    <w:rsid w:val="0044348C"/>
    <w:rsid w:val="00443554"/>
    <w:rsid w:val="00445EE3"/>
    <w:rsid w:val="004463FB"/>
    <w:rsid w:val="0044751D"/>
    <w:rsid w:val="004505F6"/>
    <w:rsid w:val="004508D2"/>
    <w:rsid w:val="00451821"/>
    <w:rsid w:val="00451ACB"/>
    <w:rsid w:val="00453AF7"/>
    <w:rsid w:val="00456F70"/>
    <w:rsid w:val="00457647"/>
    <w:rsid w:val="00461945"/>
    <w:rsid w:val="00461BD5"/>
    <w:rsid w:val="00462A50"/>
    <w:rsid w:val="00463515"/>
    <w:rsid w:val="0046381E"/>
    <w:rsid w:val="00463ADD"/>
    <w:rsid w:val="004646BE"/>
    <w:rsid w:val="00464A2A"/>
    <w:rsid w:val="00465AA4"/>
    <w:rsid w:val="004667E0"/>
    <w:rsid w:val="00466CCA"/>
    <w:rsid w:val="004672D6"/>
    <w:rsid w:val="004708A2"/>
    <w:rsid w:val="004708ED"/>
    <w:rsid w:val="00471691"/>
    <w:rsid w:val="00471701"/>
    <w:rsid w:val="00471908"/>
    <w:rsid w:val="0047374F"/>
    <w:rsid w:val="00474390"/>
    <w:rsid w:val="004747FA"/>
    <w:rsid w:val="00475210"/>
    <w:rsid w:val="00475E75"/>
    <w:rsid w:val="00476DB2"/>
    <w:rsid w:val="00476E42"/>
    <w:rsid w:val="00480820"/>
    <w:rsid w:val="00481244"/>
    <w:rsid w:val="004834C4"/>
    <w:rsid w:val="00484981"/>
    <w:rsid w:val="004855E2"/>
    <w:rsid w:val="0048688E"/>
    <w:rsid w:val="004874C8"/>
    <w:rsid w:val="004913E5"/>
    <w:rsid w:val="00491623"/>
    <w:rsid w:val="00492E2A"/>
    <w:rsid w:val="00493B15"/>
    <w:rsid w:val="00493B8E"/>
    <w:rsid w:val="00494702"/>
    <w:rsid w:val="0049520C"/>
    <w:rsid w:val="00495F61"/>
    <w:rsid w:val="004978B5"/>
    <w:rsid w:val="004A0662"/>
    <w:rsid w:val="004A18DD"/>
    <w:rsid w:val="004A2DB3"/>
    <w:rsid w:val="004A413F"/>
    <w:rsid w:val="004B25FB"/>
    <w:rsid w:val="004B39A5"/>
    <w:rsid w:val="004B3D4C"/>
    <w:rsid w:val="004B5B23"/>
    <w:rsid w:val="004B6798"/>
    <w:rsid w:val="004B6AED"/>
    <w:rsid w:val="004B79B9"/>
    <w:rsid w:val="004B7ECA"/>
    <w:rsid w:val="004C02D1"/>
    <w:rsid w:val="004C1818"/>
    <w:rsid w:val="004C2C49"/>
    <w:rsid w:val="004C3D74"/>
    <w:rsid w:val="004C3FDE"/>
    <w:rsid w:val="004C5497"/>
    <w:rsid w:val="004C6B1F"/>
    <w:rsid w:val="004C6DAA"/>
    <w:rsid w:val="004D0042"/>
    <w:rsid w:val="004D2CD6"/>
    <w:rsid w:val="004D2F86"/>
    <w:rsid w:val="004D2FFE"/>
    <w:rsid w:val="004D443E"/>
    <w:rsid w:val="004D45D4"/>
    <w:rsid w:val="004D6135"/>
    <w:rsid w:val="004E0B7E"/>
    <w:rsid w:val="004E2444"/>
    <w:rsid w:val="004E50D6"/>
    <w:rsid w:val="004E59AF"/>
    <w:rsid w:val="004E6F95"/>
    <w:rsid w:val="004E7D54"/>
    <w:rsid w:val="004F062B"/>
    <w:rsid w:val="004F078D"/>
    <w:rsid w:val="004F2285"/>
    <w:rsid w:val="004F4068"/>
    <w:rsid w:val="004F4D55"/>
    <w:rsid w:val="004F79B3"/>
    <w:rsid w:val="004F7ABD"/>
    <w:rsid w:val="00500904"/>
    <w:rsid w:val="005013A3"/>
    <w:rsid w:val="00502C6C"/>
    <w:rsid w:val="00503C75"/>
    <w:rsid w:val="00503DDD"/>
    <w:rsid w:val="005042D5"/>
    <w:rsid w:val="00507887"/>
    <w:rsid w:val="005142B7"/>
    <w:rsid w:val="00514AAB"/>
    <w:rsid w:val="00516076"/>
    <w:rsid w:val="005163AE"/>
    <w:rsid w:val="00516D76"/>
    <w:rsid w:val="00517FCA"/>
    <w:rsid w:val="005214C5"/>
    <w:rsid w:val="005224F0"/>
    <w:rsid w:val="00522A4B"/>
    <w:rsid w:val="00523596"/>
    <w:rsid w:val="00523693"/>
    <w:rsid w:val="0052469B"/>
    <w:rsid w:val="00524EB6"/>
    <w:rsid w:val="0052504C"/>
    <w:rsid w:val="0052633F"/>
    <w:rsid w:val="005300EB"/>
    <w:rsid w:val="0053122A"/>
    <w:rsid w:val="0053274E"/>
    <w:rsid w:val="005356BE"/>
    <w:rsid w:val="00536363"/>
    <w:rsid w:val="005371AE"/>
    <w:rsid w:val="00537540"/>
    <w:rsid w:val="0053773F"/>
    <w:rsid w:val="0054005E"/>
    <w:rsid w:val="00540750"/>
    <w:rsid w:val="00540E6C"/>
    <w:rsid w:val="00541600"/>
    <w:rsid w:val="00542BBB"/>
    <w:rsid w:val="0054396E"/>
    <w:rsid w:val="00544B15"/>
    <w:rsid w:val="005453E6"/>
    <w:rsid w:val="0054571D"/>
    <w:rsid w:val="0054776A"/>
    <w:rsid w:val="00547F91"/>
    <w:rsid w:val="00552CEB"/>
    <w:rsid w:val="0055342E"/>
    <w:rsid w:val="0055396F"/>
    <w:rsid w:val="00554029"/>
    <w:rsid w:val="00555423"/>
    <w:rsid w:val="0055588B"/>
    <w:rsid w:val="00556F03"/>
    <w:rsid w:val="00561649"/>
    <w:rsid w:val="005623B9"/>
    <w:rsid w:val="00562E26"/>
    <w:rsid w:val="00562F0B"/>
    <w:rsid w:val="00564E9D"/>
    <w:rsid w:val="005652A3"/>
    <w:rsid w:val="00565545"/>
    <w:rsid w:val="00565F0A"/>
    <w:rsid w:val="00567665"/>
    <w:rsid w:val="00570C53"/>
    <w:rsid w:val="00570ED8"/>
    <w:rsid w:val="00572025"/>
    <w:rsid w:val="0057223D"/>
    <w:rsid w:val="00572DF1"/>
    <w:rsid w:val="0057416B"/>
    <w:rsid w:val="005742DA"/>
    <w:rsid w:val="005745F7"/>
    <w:rsid w:val="00576FC3"/>
    <w:rsid w:val="005773B9"/>
    <w:rsid w:val="00577EC5"/>
    <w:rsid w:val="00581E55"/>
    <w:rsid w:val="00583C4D"/>
    <w:rsid w:val="005849B0"/>
    <w:rsid w:val="00584AD9"/>
    <w:rsid w:val="005853D3"/>
    <w:rsid w:val="005857BA"/>
    <w:rsid w:val="00586907"/>
    <w:rsid w:val="00590208"/>
    <w:rsid w:val="00590384"/>
    <w:rsid w:val="0059305F"/>
    <w:rsid w:val="005942A3"/>
    <w:rsid w:val="005942F0"/>
    <w:rsid w:val="0059498E"/>
    <w:rsid w:val="00594EEA"/>
    <w:rsid w:val="0059530A"/>
    <w:rsid w:val="00595B94"/>
    <w:rsid w:val="00596218"/>
    <w:rsid w:val="00596DE8"/>
    <w:rsid w:val="00597FAA"/>
    <w:rsid w:val="005A0A0E"/>
    <w:rsid w:val="005A1E13"/>
    <w:rsid w:val="005A3631"/>
    <w:rsid w:val="005A40B5"/>
    <w:rsid w:val="005A4774"/>
    <w:rsid w:val="005A48A5"/>
    <w:rsid w:val="005B2864"/>
    <w:rsid w:val="005B3F9F"/>
    <w:rsid w:val="005C15D9"/>
    <w:rsid w:val="005C27EF"/>
    <w:rsid w:val="005C4514"/>
    <w:rsid w:val="005C45A0"/>
    <w:rsid w:val="005C4CBF"/>
    <w:rsid w:val="005C5EE1"/>
    <w:rsid w:val="005C695F"/>
    <w:rsid w:val="005C6C5F"/>
    <w:rsid w:val="005C714F"/>
    <w:rsid w:val="005C7D68"/>
    <w:rsid w:val="005C7E11"/>
    <w:rsid w:val="005C7F20"/>
    <w:rsid w:val="005D0076"/>
    <w:rsid w:val="005D0899"/>
    <w:rsid w:val="005D1E30"/>
    <w:rsid w:val="005D45D9"/>
    <w:rsid w:val="005D6282"/>
    <w:rsid w:val="005E20EC"/>
    <w:rsid w:val="005E2EE2"/>
    <w:rsid w:val="005E2F82"/>
    <w:rsid w:val="005E35A9"/>
    <w:rsid w:val="005E3D7B"/>
    <w:rsid w:val="005E4093"/>
    <w:rsid w:val="005E444D"/>
    <w:rsid w:val="005E5A54"/>
    <w:rsid w:val="005E6C14"/>
    <w:rsid w:val="005F0174"/>
    <w:rsid w:val="005F12BD"/>
    <w:rsid w:val="005F132C"/>
    <w:rsid w:val="005F1B66"/>
    <w:rsid w:val="005F23AB"/>
    <w:rsid w:val="005F32B6"/>
    <w:rsid w:val="005F42FA"/>
    <w:rsid w:val="005F4F32"/>
    <w:rsid w:val="005F5690"/>
    <w:rsid w:val="0060015D"/>
    <w:rsid w:val="006011F1"/>
    <w:rsid w:val="00602552"/>
    <w:rsid w:val="00602891"/>
    <w:rsid w:val="00603445"/>
    <w:rsid w:val="00604550"/>
    <w:rsid w:val="0060684E"/>
    <w:rsid w:val="00607CE6"/>
    <w:rsid w:val="00610D73"/>
    <w:rsid w:val="00610E16"/>
    <w:rsid w:val="0061105A"/>
    <w:rsid w:val="006117DB"/>
    <w:rsid w:val="00616B1F"/>
    <w:rsid w:val="006177DB"/>
    <w:rsid w:val="0062099C"/>
    <w:rsid w:val="0062413B"/>
    <w:rsid w:val="00624183"/>
    <w:rsid w:val="00625E5A"/>
    <w:rsid w:val="00627BF8"/>
    <w:rsid w:val="006305A1"/>
    <w:rsid w:val="006310C0"/>
    <w:rsid w:val="00633D1A"/>
    <w:rsid w:val="00636F54"/>
    <w:rsid w:val="00637359"/>
    <w:rsid w:val="006377CB"/>
    <w:rsid w:val="00640968"/>
    <w:rsid w:val="006479F4"/>
    <w:rsid w:val="00650788"/>
    <w:rsid w:val="00652E1E"/>
    <w:rsid w:val="00653618"/>
    <w:rsid w:val="00653B99"/>
    <w:rsid w:val="00654EF5"/>
    <w:rsid w:val="0065516B"/>
    <w:rsid w:val="00655CBE"/>
    <w:rsid w:val="006574D3"/>
    <w:rsid w:val="0066065E"/>
    <w:rsid w:val="0066101A"/>
    <w:rsid w:val="00662740"/>
    <w:rsid w:val="006631BB"/>
    <w:rsid w:val="00663701"/>
    <w:rsid w:val="00663998"/>
    <w:rsid w:val="00664ADF"/>
    <w:rsid w:val="00664E74"/>
    <w:rsid w:val="00666727"/>
    <w:rsid w:val="006673B3"/>
    <w:rsid w:val="00667C8A"/>
    <w:rsid w:val="0067029C"/>
    <w:rsid w:val="00670FB7"/>
    <w:rsid w:val="006716E0"/>
    <w:rsid w:val="00672BD2"/>
    <w:rsid w:val="00672E86"/>
    <w:rsid w:val="00673768"/>
    <w:rsid w:val="0067377A"/>
    <w:rsid w:val="00674DB5"/>
    <w:rsid w:val="006760D2"/>
    <w:rsid w:val="00676B05"/>
    <w:rsid w:val="00680407"/>
    <w:rsid w:val="00681989"/>
    <w:rsid w:val="00681D8B"/>
    <w:rsid w:val="0068213B"/>
    <w:rsid w:val="006865F4"/>
    <w:rsid w:val="00686791"/>
    <w:rsid w:val="00690C08"/>
    <w:rsid w:val="00692497"/>
    <w:rsid w:val="00692D47"/>
    <w:rsid w:val="006942D0"/>
    <w:rsid w:val="00695A66"/>
    <w:rsid w:val="006A0EF8"/>
    <w:rsid w:val="006A1ED6"/>
    <w:rsid w:val="006A1FFB"/>
    <w:rsid w:val="006A2638"/>
    <w:rsid w:val="006A3C12"/>
    <w:rsid w:val="006A5A88"/>
    <w:rsid w:val="006A6783"/>
    <w:rsid w:val="006B4958"/>
    <w:rsid w:val="006B5DD5"/>
    <w:rsid w:val="006C1B57"/>
    <w:rsid w:val="006C1FDA"/>
    <w:rsid w:val="006C29EA"/>
    <w:rsid w:val="006C30CD"/>
    <w:rsid w:val="006C3E3D"/>
    <w:rsid w:val="006C557F"/>
    <w:rsid w:val="006C7B63"/>
    <w:rsid w:val="006D021E"/>
    <w:rsid w:val="006D23D2"/>
    <w:rsid w:val="006D3979"/>
    <w:rsid w:val="006D6DE4"/>
    <w:rsid w:val="006D7231"/>
    <w:rsid w:val="006E0CCA"/>
    <w:rsid w:val="006E3F4E"/>
    <w:rsid w:val="006E67A9"/>
    <w:rsid w:val="006E7436"/>
    <w:rsid w:val="006F05C6"/>
    <w:rsid w:val="006F15F5"/>
    <w:rsid w:val="006F1881"/>
    <w:rsid w:val="006F1A5F"/>
    <w:rsid w:val="006F3605"/>
    <w:rsid w:val="006F55A1"/>
    <w:rsid w:val="006F5F42"/>
    <w:rsid w:val="006F60C8"/>
    <w:rsid w:val="006F76F0"/>
    <w:rsid w:val="006F7EA8"/>
    <w:rsid w:val="00700188"/>
    <w:rsid w:val="007006AF"/>
    <w:rsid w:val="007020EB"/>
    <w:rsid w:val="00702B06"/>
    <w:rsid w:val="00704904"/>
    <w:rsid w:val="00704CDE"/>
    <w:rsid w:val="00705468"/>
    <w:rsid w:val="0070593A"/>
    <w:rsid w:val="00706AC0"/>
    <w:rsid w:val="00707E95"/>
    <w:rsid w:val="007105D9"/>
    <w:rsid w:val="00710EE6"/>
    <w:rsid w:val="007126A5"/>
    <w:rsid w:val="0071328E"/>
    <w:rsid w:val="00713CBF"/>
    <w:rsid w:val="007144C9"/>
    <w:rsid w:val="007145CD"/>
    <w:rsid w:val="007163D5"/>
    <w:rsid w:val="00717591"/>
    <w:rsid w:val="00717779"/>
    <w:rsid w:val="007178AE"/>
    <w:rsid w:val="00720508"/>
    <w:rsid w:val="00720714"/>
    <w:rsid w:val="00720FA2"/>
    <w:rsid w:val="00722402"/>
    <w:rsid w:val="00722CC3"/>
    <w:rsid w:val="0072410E"/>
    <w:rsid w:val="0072423B"/>
    <w:rsid w:val="00724B08"/>
    <w:rsid w:val="00726345"/>
    <w:rsid w:val="0072770A"/>
    <w:rsid w:val="00727900"/>
    <w:rsid w:val="00731E28"/>
    <w:rsid w:val="0073249A"/>
    <w:rsid w:val="00733917"/>
    <w:rsid w:val="00733ED1"/>
    <w:rsid w:val="0073586E"/>
    <w:rsid w:val="00736A5F"/>
    <w:rsid w:val="00737AE1"/>
    <w:rsid w:val="00737F01"/>
    <w:rsid w:val="00741D3A"/>
    <w:rsid w:val="007425B2"/>
    <w:rsid w:val="00743B57"/>
    <w:rsid w:val="00744ABD"/>
    <w:rsid w:val="0074576C"/>
    <w:rsid w:val="00745B39"/>
    <w:rsid w:val="0074693F"/>
    <w:rsid w:val="00747034"/>
    <w:rsid w:val="00751601"/>
    <w:rsid w:val="0075346C"/>
    <w:rsid w:val="00754973"/>
    <w:rsid w:val="00754C0C"/>
    <w:rsid w:val="00755442"/>
    <w:rsid w:val="00756106"/>
    <w:rsid w:val="00756734"/>
    <w:rsid w:val="00756817"/>
    <w:rsid w:val="007568E7"/>
    <w:rsid w:val="00756D53"/>
    <w:rsid w:val="007572F0"/>
    <w:rsid w:val="007607BE"/>
    <w:rsid w:val="00761962"/>
    <w:rsid w:val="00763B2D"/>
    <w:rsid w:val="00763B9A"/>
    <w:rsid w:val="00764FE3"/>
    <w:rsid w:val="007668E4"/>
    <w:rsid w:val="0077025E"/>
    <w:rsid w:val="00770C84"/>
    <w:rsid w:val="0077160B"/>
    <w:rsid w:val="007716A5"/>
    <w:rsid w:val="00775D96"/>
    <w:rsid w:val="007766F5"/>
    <w:rsid w:val="00777578"/>
    <w:rsid w:val="00780016"/>
    <w:rsid w:val="007821DA"/>
    <w:rsid w:val="007822D3"/>
    <w:rsid w:val="007848A0"/>
    <w:rsid w:val="00784D2C"/>
    <w:rsid w:val="0078610C"/>
    <w:rsid w:val="007863C1"/>
    <w:rsid w:val="007864ED"/>
    <w:rsid w:val="00790538"/>
    <w:rsid w:val="007974F4"/>
    <w:rsid w:val="007A1414"/>
    <w:rsid w:val="007A192A"/>
    <w:rsid w:val="007A2DB1"/>
    <w:rsid w:val="007A30F5"/>
    <w:rsid w:val="007A32CD"/>
    <w:rsid w:val="007A3865"/>
    <w:rsid w:val="007A3882"/>
    <w:rsid w:val="007A52A2"/>
    <w:rsid w:val="007A52A8"/>
    <w:rsid w:val="007A6D82"/>
    <w:rsid w:val="007B082E"/>
    <w:rsid w:val="007B0A17"/>
    <w:rsid w:val="007B12F6"/>
    <w:rsid w:val="007B1D14"/>
    <w:rsid w:val="007B30D1"/>
    <w:rsid w:val="007B32BF"/>
    <w:rsid w:val="007B63D9"/>
    <w:rsid w:val="007B73CF"/>
    <w:rsid w:val="007C00A5"/>
    <w:rsid w:val="007C0C96"/>
    <w:rsid w:val="007C3F48"/>
    <w:rsid w:val="007C49D4"/>
    <w:rsid w:val="007C65E2"/>
    <w:rsid w:val="007C6824"/>
    <w:rsid w:val="007C6E23"/>
    <w:rsid w:val="007C727A"/>
    <w:rsid w:val="007C79EC"/>
    <w:rsid w:val="007D0EFD"/>
    <w:rsid w:val="007D1678"/>
    <w:rsid w:val="007D21C2"/>
    <w:rsid w:val="007D23ED"/>
    <w:rsid w:val="007D2C5D"/>
    <w:rsid w:val="007D346B"/>
    <w:rsid w:val="007D5767"/>
    <w:rsid w:val="007D62B2"/>
    <w:rsid w:val="007D75BA"/>
    <w:rsid w:val="007D7AB5"/>
    <w:rsid w:val="007E18D4"/>
    <w:rsid w:val="007E2437"/>
    <w:rsid w:val="007E3702"/>
    <w:rsid w:val="007E3716"/>
    <w:rsid w:val="007E3C2E"/>
    <w:rsid w:val="007E3DEC"/>
    <w:rsid w:val="007E4270"/>
    <w:rsid w:val="007E446C"/>
    <w:rsid w:val="007E5825"/>
    <w:rsid w:val="007E6B19"/>
    <w:rsid w:val="007E7E9A"/>
    <w:rsid w:val="007F0939"/>
    <w:rsid w:val="007F11B9"/>
    <w:rsid w:val="007F3E00"/>
    <w:rsid w:val="007F49B0"/>
    <w:rsid w:val="007F5089"/>
    <w:rsid w:val="007F6F6E"/>
    <w:rsid w:val="007F7991"/>
    <w:rsid w:val="00801999"/>
    <w:rsid w:val="00801A7C"/>
    <w:rsid w:val="00801C33"/>
    <w:rsid w:val="008026D8"/>
    <w:rsid w:val="00803EC9"/>
    <w:rsid w:val="00804EB2"/>
    <w:rsid w:val="008050C1"/>
    <w:rsid w:val="008056E0"/>
    <w:rsid w:val="00807C36"/>
    <w:rsid w:val="00810C5E"/>
    <w:rsid w:val="00811BB3"/>
    <w:rsid w:val="0081206D"/>
    <w:rsid w:val="00812BD3"/>
    <w:rsid w:val="008131D0"/>
    <w:rsid w:val="00813C86"/>
    <w:rsid w:val="00813D5C"/>
    <w:rsid w:val="0081461B"/>
    <w:rsid w:val="008148A8"/>
    <w:rsid w:val="00815023"/>
    <w:rsid w:val="00815B7D"/>
    <w:rsid w:val="00815BC6"/>
    <w:rsid w:val="00815CF2"/>
    <w:rsid w:val="0081691A"/>
    <w:rsid w:val="00820398"/>
    <w:rsid w:val="008218E1"/>
    <w:rsid w:val="00821B5D"/>
    <w:rsid w:val="00823889"/>
    <w:rsid w:val="00823FD9"/>
    <w:rsid w:val="00824B0C"/>
    <w:rsid w:val="00825789"/>
    <w:rsid w:val="0082626B"/>
    <w:rsid w:val="00826615"/>
    <w:rsid w:val="0082664A"/>
    <w:rsid w:val="00826E28"/>
    <w:rsid w:val="00827637"/>
    <w:rsid w:val="008310C3"/>
    <w:rsid w:val="00832081"/>
    <w:rsid w:val="0083393E"/>
    <w:rsid w:val="00833AFF"/>
    <w:rsid w:val="0083488B"/>
    <w:rsid w:val="00835B89"/>
    <w:rsid w:val="00836E80"/>
    <w:rsid w:val="00837A12"/>
    <w:rsid w:val="0084077D"/>
    <w:rsid w:val="008413F7"/>
    <w:rsid w:val="00841527"/>
    <w:rsid w:val="00841BC3"/>
    <w:rsid w:val="00841C9B"/>
    <w:rsid w:val="00843973"/>
    <w:rsid w:val="00844ED8"/>
    <w:rsid w:val="00844FDE"/>
    <w:rsid w:val="00846357"/>
    <w:rsid w:val="008479B9"/>
    <w:rsid w:val="00847AF1"/>
    <w:rsid w:val="00850AB8"/>
    <w:rsid w:val="008523BF"/>
    <w:rsid w:val="00852E86"/>
    <w:rsid w:val="008531C8"/>
    <w:rsid w:val="008538CE"/>
    <w:rsid w:val="00853C33"/>
    <w:rsid w:val="00855887"/>
    <w:rsid w:val="00855E4D"/>
    <w:rsid w:val="0085715F"/>
    <w:rsid w:val="00857B6D"/>
    <w:rsid w:val="00860904"/>
    <w:rsid w:val="00860F9B"/>
    <w:rsid w:val="008626B3"/>
    <w:rsid w:val="008628AA"/>
    <w:rsid w:val="00863D1D"/>
    <w:rsid w:val="00866B39"/>
    <w:rsid w:val="00870EC0"/>
    <w:rsid w:val="008728C9"/>
    <w:rsid w:val="00873C88"/>
    <w:rsid w:val="00875625"/>
    <w:rsid w:val="00875787"/>
    <w:rsid w:val="008758C0"/>
    <w:rsid w:val="00875B0D"/>
    <w:rsid w:val="008761DA"/>
    <w:rsid w:val="00881409"/>
    <w:rsid w:val="00881707"/>
    <w:rsid w:val="00882D3E"/>
    <w:rsid w:val="0088304D"/>
    <w:rsid w:val="00883139"/>
    <w:rsid w:val="00883712"/>
    <w:rsid w:val="00884989"/>
    <w:rsid w:val="0088598A"/>
    <w:rsid w:val="00886DEB"/>
    <w:rsid w:val="0088741D"/>
    <w:rsid w:val="00887D99"/>
    <w:rsid w:val="00890573"/>
    <w:rsid w:val="00894B15"/>
    <w:rsid w:val="00895E77"/>
    <w:rsid w:val="00895F65"/>
    <w:rsid w:val="008963A3"/>
    <w:rsid w:val="00896A60"/>
    <w:rsid w:val="00896FB0"/>
    <w:rsid w:val="008A18F8"/>
    <w:rsid w:val="008A273E"/>
    <w:rsid w:val="008A2D7F"/>
    <w:rsid w:val="008A3D6E"/>
    <w:rsid w:val="008A4C1F"/>
    <w:rsid w:val="008A5344"/>
    <w:rsid w:val="008A5B4A"/>
    <w:rsid w:val="008A706B"/>
    <w:rsid w:val="008A7C91"/>
    <w:rsid w:val="008A7E66"/>
    <w:rsid w:val="008B071D"/>
    <w:rsid w:val="008B1046"/>
    <w:rsid w:val="008B127F"/>
    <w:rsid w:val="008B25A5"/>
    <w:rsid w:val="008B26DF"/>
    <w:rsid w:val="008B2C90"/>
    <w:rsid w:val="008B2EF1"/>
    <w:rsid w:val="008B31E0"/>
    <w:rsid w:val="008B32D7"/>
    <w:rsid w:val="008B33D7"/>
    <w:rsid w:val="008B55E9"/>
    <w:rsid w:val="008B5B48"/>
    <w:rsid w:val="008B6355"/>
    <w:rsid w:val="008B7074"/>
    <w:rsid w:val="008B7320"/>
    <w:rsid w:val="008C0156"/>
    <w:rsid w:val="008C0D2C"/>
    <w:rsid w:val="008C1341"/>
    <w:rsid w:val="008C25B8"/>
    <w:rsid w:val="008C3BBF"/>
    <w:rsid w:val="008C3E92"/>
    <w:rsid w:val="008C4C97"/>
    <w:rsid w:val="008C55BE"/>
    <w:rsid w:val="008C5997"/>
    <w:rsid w:val="008C5AAC"/>
    <w:rsid w:val="008C69F4"/>
    <w:rsid w:val="008C6A54"/>
    <w:rsid w:val="008C7EDB"/>
    <w:rsid w:val="008D0939"/>
    <w:rsid w:val="008D19BB"/>
    <w:rsid w:val="008D1DCB"/>
    <w:rsid w:val="008D34CB"/>
    <w:rsid w:val="008D418E"/>
    <w:rsid w:val="008D4B81"/>
    <w:rsid w:val="008D5594"/>
    <w:rsid w:val="008D6DFD"/>
    <w:rsid w:val="008E0D9B"/>
    <w:rsid w:val="008E2068"/>
    <w:rsid w:val="008E309B"/>
    <w:rsid w:val="008E6822"/>
    <w:rsid w:val="008E6FCF"/>
    <w:rsid w:val="008E73EE"/>
    <w:rsid w:val="008E75FD"/>
    <w:rsid w:val="008F347B"/>
    <w:rsid w:val="008F3B57"/>
    <w:rsid w:val="008F3B98"/>
    <w:rsid w:val="008F4F5B"/>
    <w:rsid w:val="008F5F6D"/>
    <w:rsid w:val="008F60F6"/>
    <w:rsid w:val="008F7C1B"/>
    <w:rsid w:val="00900D0F"/>
    <w:rsid w:val="0090138B"/>
    <w:rsid w:val="00902100"/>
    <w:rsid w:val="009028D4"/>
    <w:rsid w:val="00906115"/>
    <w:rsid w:val="00906632"/>
    <w:rsid w:val="00906D44"/>
    <w:rsid w:val="0090702E"/>
    <w:rsid w:val="00910C2C"/>
    <w:rsid w:val="00911382"/>
    <w:rsid w:val="00911C63"/>
    <w:rsid w:val="00912DB3"/>
    <w:rsid w:val="009135BF"/>
    <w:rsid w:val="00913A93"/>
    <w:rsid w:val="00914C30"/>
    <w:rsid w:val="00914D22"/>
    <w:rsid w:val="0091552E"/>
    <w:rsid w:val="00916048"/>
    <w:rsid w:val="00916F95"/>
    <w:rsid w:val="00917E6A"/>
    <w:rsid w:val="00920414"/>
    <w:rsid w:val="0092285D"/>
    <w:rsid w:val="00924A56"/>
    <w:rsid w:val="0093118A"/>
    <w:rsid w:val="00931703"/>
    <w:rsid w:val="009325BE"/>
    <w:rsid w:val="00934035"/>
    <w:rsid w:val="009366B1"/>
    <w:rsid w:val="00936FB1"/>
    <w:rsid w:val="009453D8"/>
    <w:rsid w:val="0095052E"/>
    <w:rsid w:val="0095162D"/>
    <w:rsid w:val="00952A1C"/>
    <w:rsid w:val="0095322E"/>
    <w:rsid w:val="009533B7"/>
    <w:rsid w:val="00954486"/>
    <w:rsid w:val="009562D4"/>
    <w:rsid w:val="00957C1D"/>
    <w:rsid w:val="00960275"/>
    <w:rsid w:val="00961AD1"/>
    <w:rsid w:val="0096240B"/>
    <w:rsid w:val="00962ADF"/>
    <w:rsid w:val="00962CB2"/>
    <w:rsid w:val="00963D0D"/>
    <w:rsid w:val="00965137"/>
    <w:rsid w:val="009655A0"/>
    <w:rsid w:val="00965A62"/>
    <w:rsid w:val="009660E5"/>
    <w:rsid w:val="00970319"/>
    <w:rsid w:val="00970F9B"/>
    <w:rsid w:val="009734B9"/>
    <w:rsid w:val="00973C6D"/>
    <w:rsid w:val="00974150"/>
    <w:rsid w:val="009747B4"/>
    <w:rsid w:val="00974EEE"/>
    <w:rsid w:val="0097581A"/>
    <w:rsid w:val="00975D8C"/>
    <w:rsid w:val="00976710"/>
    <w:rsid w:val="0097760D"/>
    <w:rsid w:val="00977855"/>
    <w:rsid w:val="00984D74"/>
    <w:rsid w:val="009863A4"/>
    <w:rsid w:val="009865CD"/>
    <w:rsid w:val="0098684B"/>
    <w:rsid w:val="00986B88"/>
    <w:rsid w:val="00990258"/>
    <w:rsid w:val="0099248C"/>
    <w:rsid w:val="00992518"/>
    <w:rsid w:val="009928B1"/>
    <w:rsid w:val="00992909"/>
    <w:rsid w:val="00993135"/>
    <w:rsid w:val="00993655"/>
    <w:rsid w:val="00994660"/>
    <w:rsid w:val="00994748"/>
    <w:rsid w:val="00995F94"/>
    <w:rsid w:val="00997B08"/>
    <w:rsid w:val="009A2A6F"/>
    <w:rsid w:val="009A4B56"/>
    <w:rsid w:val="009A6646"/>
    <w:rsid w:val="009A6823"/>
    <w:rsid w:val="009B00BE"/>
    <w:rsid w:val="009B0D37"/>
    <w:rsid w:val="009B17AF"/>
    <w:rsid w:val="009B18CE"/>
    <w:rsid w:val="009B22B7"/>
    <w:rsid w:val="009B33E8"/>
    <w:rsid w:val="009B3957"/>
    <w:rsid w:val="009B4526"/>
    <w:rsid w:val="009B6503"/>
    <w:rsid w:val="009B69E5"/>
    <w:rsid w:val="009C0898"/>
    <w:rsid w:val="009C528A"/>
    <w:rsid w:val="009C63B7"/>
    <w:rsid w:val="009D3E93"/>
    <w:rsid w:val="009D4F51"/>
    <w:rsid w:val="009D5704"/>
    <w:rsid w:val="009D58A4"/>
    <w:rsid w:val="009D62D7"/>
    <w:rsid w:val="009E1068"/>
    <w:rsid w:val="009E43D4"/>
    <w:rsid w:val="009E7E29"/>
    <w:rsid w:val="009F1D45"/>
    <w:rsid w:val="009F3C2B"/>
    <w:rsid w:val="009F460D"/>
    <w:rsid w:val="009F5B3C"/>
    <w:rsid w:val="009F5C5A"/>
    <w:rsid w:val="009F71B1"/>
    <w:rsid w:val="009F74CE"/>
    <w:rsid w:val="00A0115D"/>
    <w:rsid w:val="00A034A8"/>
    <w:rsid w:val="00A0363A"/>
    <w:rsid w:val="00A03D95"/>
    <w:rsid w:val="00A04118"/>
    <w:rsid w:val="00A05827"/>
    <w:rsid w:val="00A064DC"/>
    <w:rsid w:val="00A065FB"/>
    <w:rsid w:val="00A06782"/>
    <w:rsid w:val="00A06DC0"/>
    <w:rsid w:val="00A06E4C"/>
    <w:rsid w:val="00A072EB"/>
    <w:rsid w:val="00A076B4"/>
    <w:rsid w:val="00A07AE8"/>
    <w:rsid w:val="00A11283"/>
    <w:rsid w:val="00A12023"/>
    <w:rsid w:val="00A13F5E"/>
    <w:rsid w:val="00A141CB"/>
    <w:rsid w:val="00A147C2"/>
    <w:rsid w:val="00A1527F"/>
    <w:rsid w:val="00A16E41"/>
    <w:rsid w:val="00A200B1"/>
    <w:rsid w:val="00A20723"/>
    <w:rsid w:val="00A209D5"/>
    <w:rsid w:val="00A21311"/>
    <w:rsid w:val="00A214D4"/>
    <w:rsid w:val="00A234EC"/>
    <w:rsid w:val="00A2391F"/>
    <w:rsid w:val="00A24CA1"/>
    <w:rsid w:val="00A24FC3"/>
    <w:rsid w:val="00A25FBF"/>
    <w:rsid w:val="00A2693B"/>
    <w:rsid w:val="00A27970"/>
    <w:rsid w:val="00A32592"/>
    <w:rsid w:val="00A339BD"/>
    <w:rsid w:val="00A34F7A"/>
    <w:rsid w:val="00A37123"/>
    <w:rsid w:val="00A37E13"/>
    <w:rsid w:val="00A42007"/>
    <w:rsid w:val="00A43A4A"/>
    <w:rsid w:val="00A45498"/>
    <w:rsid w:val="00A46E96"/>
    <w:rsid w:val="00A46EF2"/>
    <w:rsid w:val="00A473D1"/>
    <w:rsid w:val="00A53215"/>
    <w:rsid w:val="00A53BD1"/>
    <w:rsid w:val="00A55682"/>
    <w:rsid w:val="00A5574A"/>
    <w:rsid w:val="00A56178"/>
    <w:rsid w:val="00A57F9D"/>
    <w:rsid w:val="00A6033C"/>
    <w:rsid w:val="00A611C2"/>
    <w:rsid w:val="00A61BD4"/>
    <w:rsid w:val="00A62E11"/>
    <w:rsid w:val="00A63A78"/>
    <w:rsid w:val="00A649A8"/>
    <w:rsid w:val="00A70A70"/>
    <w:rsid w:val="00A7136E"/>
    <w:rsid w:val="00A728A8"/>
    <w:rsid w:val="00A73CBA"/>
    <w:rsid w:val="00A74E35"/>
    <w:rsid w:val="00A76B5A"/>
    <w:rsid w:val="00A76C69"/>
    <w:rsid w:val="00A77213"/>
    <w:rsid w:val="00A81062"/>
    <w:rsid w:val="00A82188"/>
    <w:rsid w:val="00A8318F"/>
    <w:rsid w:val="00A83EAC"/>
    <w:rsid w:val="00A8405B"/>
    <w:rsid w:val="00A84621"/>
    <w:rsid w:val="00A849C7"/>
    <w:rsid w:val="00A86256"/>
    <w:rsid w:val="00A8630C"/>
    <w:rsid w:val="00A864C2"/>
    <w:rsid w:val="00A86C6C"/>
    <w:rsid w:val="00A87F96"/>
    <w:rsid w:val="00A9112A"/>
    <w:rsid w:val="00A91314"/>
    <w:rsid w:val="00A91D64"/>
    <w:rsid w:val="00A931F4"/>
    <w:rsid w:val="00A93B70"/>
    <w:rsid w:val="00A95D4B"/>
    <w:rsid w:val="00A96068"/>
    <w:rsid w:val="00A96394"/>
    <w:rsid w:val="00AA085F"/>
    <w:rsid w:val="00AA0CB7"/>
    <w:rsid w:val="00AA0DFB"/>
    <w:rsid w:val="00AA1650"/>
    <w:rsid w:val="00AA1ED3"/>
    <w:rsid w:val="00AA26A7"/>
    <w:rsid w:val="00AA2711"/>
    <w:rsid w:val="00AA379B"/>
    <w:rsid w:val="00AA3C76"/>
    <w:rsid w:val="00AA568B"/>
    <w:rsid w:val="00AA60BF"/>
    <w:rsid w:val="00AA6820"/>
    <w:rsid w:val="00AA70D4"/>
    <w:rsid w:val="00AB0483"/>
    <w:rsid w:val="00AB21C7"/>
    <w:rsid w:val="00AB2D4B"/>
    <w:rsid w:val="00AB392E"/>
    <w:rsid w:val="00AB57FB"/>
    <w:rsid w:val="00AB5C4C"/>
    <w:rsid w:val="00AB6045"/>
    <w:rsid w:val="00AB6157"/>
    <w:rsid w:val="00AB6A5B"/>
    <w:rsid w:val="00AB6B85"/>
    <w:rsid w:val="00AB6E1A"/>
    <w:rsid w:val="00AB79B4"/>
    <w:rsid w:val="00AC20E8"/>
    <w:rsid w:val="00AC28CA"/>
    <w:rsid w:val="00AC55FD"/>
    <w:rsid w:val="00AC58EB"/>
    <w:rsid w:val="00AC590C"/>
    <w:rsid w:val="00AC65E6"/>
    <w:rsid w:val="00AC6742"/>
    <w:rsid w:val="00AC76B7"/>
    <w:rsid w:val="00AC7C65"/>
    <w:rsid w:val="00AD00E3"/>
    <w:rsid w:val="00AD0F35"/>
    <w:rsid w:val="00AD15A6"/>
    <w:rsid w:val="00AD1AF7"/>
    <w:rsid w:val="00AD2C68"/>
    <w:rsid w:val="00AD55B7"/>
    <w:rsid w:val="00AD6511"/>
    <w:rsid w:val="00AD6E74"/>
    <w:rsid w:val="00AD6F09"/>
    <w:rsid w:val="00AD7471"/>
    <w:rsid w:val="00AD786F"/>
    <w:rsid w:val="00AE0313"/>
    <w:rsid w:val="00AE05BB"/>
    <w:rsid w:val="00AE15C9"/>
    <w:rsid w:val="00AE201D"/>
    <w:rsid w:val="00AE4781"/>
    <w:rsid w:val="00AE564D"/>
    <w:rsid w:val="00AE6A4D"/>
    <w:rsid w:val="00AE6EB8"/>
    <w:rsid w:val="00AE702E"/>
    <w:rsid w:val="00AE7D78"/>
    <w:rsid w:val="00AF0D21"/>
    <w:rsid w:val="00AF115B"/>
    <w:rsid w:val="00AF601C"/>
    <w:rsid w:val="00AF77EB"/>
    <w:rsid w:val="00AF7F58"/>
    <w:rsid w:val="00B0228D"/>
    <w:rsid w:val="00B0312F"/>
    <w:rsid w:val="00B057BD"/>
    <w:rsid w:val="00B06E16"/>
    <w:rsid w:val="00B07BC4"/>
    <w:rsid w:val="00B10325"/>
    <w:rsid w:val="00B14880"/>
    <w:rsid w:val="00B15636"/>
    <w:rsid w:val="00B15B22"/>
    <w:rsid w:val="00B20E3F"/>
    <w:rsid w:val="00B21313"/>
    <w:rsid w:val="00B21683"/>
    <w:rsid w:val="00B22CEE"/>
    <w:rsid w:val="00B2382A"/>
    <w:rsid w:val="00B250B5"/>
    <w:rsid w:val="00B2702C"/>
    <w:rsid w:val="00B30E52"/>
    <w:rsid w:val="00B31109"/>
    <w:rsid w:val="00B32E5D"/>
    <w:rsid w:val="00B33FFF"/>
    <w:rsid w:val="00B342B8"/>
    <w:rsid w:val="00B343E7"/>
    <w:rsid w:val="00B36552"/>
    <w:rsid w:val="00B370F3"/>
    <w:rsid w:val="00B37902"/>
    <w:rsid w:val="00B41929"/>
    <w:rsid w:val="00B43755"/>
    <w:rsid w:val="00B44100"/>
    <w:rsid w:val="00B447AC"/>
    <w:rsid w:val="00B451B4"/>
    <w:rsid w:val="00B45E56"/>
    <w:rsid w:val="00B50EB1"/>
    <w:rsid w:val="00B5152F"/>
    <w:rsid w:val="00B51A20"/>
    <w:rsid w:val="00B51BE6"/>
    <w:rsid w:val="00B52C25"/>
    <w:rsid w:val="00B53C0B"/>
    <w:rsid w:val="00B5502C"/>
    <w:rsid w:val="00B55236"/>
    <w:rsid w:val="00B57838"/>
    <w:rsid w:val="00B60168"/>
    <w:rsid w:val="00B60F15"/>
    <w:rsid w:val="00B65A03"/>
    <w:rsid w:val="00B6671C"/>
    <w:rsid w:val="00B672BA"/>
    <w:rsid w:val="00B708EF"/>
    <w:rsid w:val="00B7163E"/>
    <w:rsid w:val="00B71E50"/>
    <w:rsid w:val="00B745EF"/>
    <w:rsid w:val="00B7518C"/>
    <w:rsid w:val="00B75C3B"/>
    <w:rsid w:val="00B76676"/>
    <w:rsid w:val="00B76936"/>
    <w:rsid w:val="00B76C15"/>
    <w:rsid w:val="00B81583"/>
    <w:rsid w:val="00B831E7"/>
    <w:rsid w:val="00B837A2"/>
    <w:rsid w:val="00B83866"/>
    <w:rsid w:val="00B8409F"/>
    <w:rsid w:val="00B84B63"/>
    <w:rsid w:val="00B87430"/>
    <w:rsid w:val="00B87639"/>
    <w:rsid w:val="00B9097C"/>
    <w:rsid w:val="00B90E6D"/>
    <w:rsid w:val="00B91555"/>
    <w:rsid w:val="00B915E9"/>
    <w:rsid w:val="00B91BA5"/>
    <w:rsid w:val="00B91D40"/>
    <w:rsid w:val="00B92A37"/>
    <w:rsid w:val="00B93505"/>
    <w:rsid w:val="00B939C8"/>
    <w:rsid w:val="00B93C84"/>
    <w:rsid w:val="00B93CB5"/>
    <w:rsid w:val="00B953D6"/>
    <w:rsid w:val="00B974F8"/>
    <w:rsid w:val="00BA178B"/>
    <w:rsid w:val="00BA225A"/>
    <w:rsid w:val="00BA55F2"/>
    <w:rsid w:val="00BA5AA6"/>
    <w:rsid w:val="00BA7BBD"/>
    <w:rsid w:val="00BB07C3"/>
    <w:rsid w:val="00BB4499"/>
    <w:rsid w:val="00BB4588"/>
    <w:rsid w:val="00BB48E5"/>
    <w:rsid w:val="00BB4F74"/>
    <w:rsid w:val="00BB61CF"/>
    <w:rsid w:val="00BB67D3"/>
    <w:rsid w:val="00BB723F"/>
    <w:rsid w:val="00BB780A"/>
    <w:rsid w:val="00BB7A89"/>
    <w:rsid w:val="00BC163C"/>
    <w:rsid w:val="00BC2269"/>
    <w:rsid w:val="00BC2BE2"/>
    <w:rsid w:val="00BC3483"/>
    <w:rsid w:val="00BC3AB6"/>
    <w:rsid w:val="00BC5360"/>
    <w:rsid w:val="00BC5A95"/>
    <w:rsid w:val="00BC5FAB"/>
    <w:rsid w:val="00BC6253"/>
    <w:rsid w:val="00BC743F"/>
    <w:rsid w:val="00BC7447"/>
    <w:rsid w:val="00BC7898"/>
    <w:rsid w:val="00BC7B1C"/>
    <w:rsid w:val="00BC7FD8"/>
    <w:rsid w:val="00BD1C38"/>
    <w:rsid w:val="00BD3A65"/>
    <w:rsid w:val="00BD4330"/>
    <w:rsid w:val="00BD494C"/>
    <w:rsid w:val="00BD4EFA"/>
    <w:rsid w:val="00BD58DE"/>
    <w:rsid w:val="00BD6113"/>
    <w:rsid w:val="00BD68A8"/>
    <w:rsid w:val="00BD7643"/>
    <w:rsid w:val="00BD7715"/>
    <w:rsid w:val="00BE000E"/>
    <w:rsid w:val="00BE084F"/>
    <w:rsid w:val="00BE0E0F"/>
    <w:rsid w:val="00BE1598"/>
    <w:rsid w:val="00BE2753"/>
    <w:rsid w:val="00BE2EFC"/>
    <w:rsid w:val="00BE3226"/>
    <w:rsid w:val="00BE3534"/>
    <w:rsid w:val="00BE7D25"/>
    <w:rsid w:val="00BF0029"/>
    <w:rsid w:val="00BF09B1"/>
    <w:rsid w:val="00BF32C3"/>
    <w:rsid w:val="00BF3380"/>
    <w:rsid w:val="00BF3CEC"/>
    <w:rsid w:val="00BF4505"/>
    <w:rsid w:val="00BF47BA"/>
    <w:rsid w:val="00BF679A"/>
    <w:rsid w:val="00BF687E"/>
    <w:rsid w:val="00BF6E15"/>
    <w:rsid w:val="00C006DE"/>
    <w:rsid w:val="00C00FB0"/>
    <w:rsid w:val="00C03B72"/>
    <w:rsid w:val="00C043E4"/>
    <w:rsid w:val="00C045AE"/>
    <w:rsid w:val="00C0511E"/>
    <w:rsid w:val="00C10159"/>
    <w:rsid w:val="00C10423"/>
    <w:rsid w:val="00C11DEC"/>
    <w:rsid w:val="00C1285F"/>
    <w:rsid w:val="00C12917"/>
    <w:rsid w:val="00C13553"/>
    <w:rsid w:val="00C14847"/>
    <w:rsid w:val="00C14DC5"/>
    <w:rsid w:val="00C179CE"/>
    <w:rsid w:val="00C17A60"/>
    <w:rsid w:val="00C2037C"/>
    <w:rsid w:val="00C23EF5"/>
    <w:rsid w:val="00C24FD3"/>
    <w:rsid w:val="00C2607F"/>
    <w:rsid w:val="00C27EE0"/>
    <w:rsid w:val="00C30BAA"/>
    <w:rsid w:val="00C318AD"/>
    <w:rsid w:val="00C32F10"/>
    <w:rsid w:val="00C35743"/>
    <w:rsid w:val="00C358FB"/>
    <w:rsid w:val="00C36AF8"/>
    <w:rsid w:val="00C36DD7"/>
    <w:rsid w:val="00C3761A"/>
    <w:rsid w:val="00C37744"/>
    <w:rsid w:val="00C40774"/>
    <w:rsid w:val="00C4109D"/>
    <w:rsid w:val="00C426F4"/>
    <w:rsid w:val="00C465B9"/>
    <w:rsid w:val="00C51B6B"/>
    <w:rsid w:val="00C56411"/>
    <w:rsid w:val="00C60E4D"/>
    <w:rsid w:val="00C61549"/>
    <w:rsid w:val="00C61923"/>
    <w:rsid w:val="00C62779"/>
    <w:rsid w:val="00C62E1F"/>
    <w:rsid w:val="00C650B5"/>
    <w:rsid w:val="00C65857"/>
    <w:rsid w:val="00C67F60"/>
    <w:rsid w:val="00C70D99"/>
    <w:rsid w:val="00C71AE6"/>
    <w:rsid w:val="00C723BB"/>
    <w:rsid w:val="00C724CF"/>
    <w:rsid w:val="00C75506"/>
    <w:rsid w:val="00C7555F"/>
    <w:rsid w:val="00C826C3"/>
    <w:rsid w:val="00C82966"/>
    <w:rsid w:val="00C83631"/>
    <w:rsid w:val="00C84AF7"/>
    <w:rsid w:val="00C85208"/>
    <w:rsid w:val="00C919A3"/>
    <w:rsid w:val="00C9285C"/>
    <w:rsid w:val="00C92946"/>
    <w:rsid w:val="00C92C21"/>
    <w:rsid w:val="00C92CA5"/>
    <w:rsid w:val="00C9747F"/>
    <w:rsid w:val="00CA1D3C"/>
    <w:rsid w:val="00CA32D6"/>
    <w:rsid w:val="00CA3D84"/>
    <w:rsid w:val="00CA45C7"/>
    <w:rsid w:val="00CA500B"/>
    <w:rsid w:val="00CB032B"/>
    <w:rsid w:val="00CB23B4"/>
    <w:rsid w:val="00CB29DC"/>
    <w:rsid w:val="00CB2A04"/>
    <w:rsid w:val="00CB2A26"/>
    <w:rsid w:val="00CB7147"/>
    <w:rsid w:val="00CC1C43"/>
    <w:rsid w:val="00CC1FA4"/>
    <w:rsid w:val="00CC3CF3"/>
    <w:rsid w:val="00CC5288"/>
    <w:rsid w:val="00CC54DE"/>
    <w:rsid w:val="00CC6529"/>
    <w:rsid w:val="00CC6F0D"/>
    <w:rsid w:val="00CC7343"/>
    <w:rsid w:val="00CD073A"/>
    <w:rsid w:val="00CD25B5"/>
    <w:rsid w:val="00CD273D"/>
    <w:rsid w:val="00CD37D3"/>
    <w:rsid w:val="00CD54F3"/>
    <w:rsid w:val="00CD7948"/>
    <w:rsid w:val="00CE213A"/>
    <w:rsid w:val="00CE228B"/>
    <w:rsid w:val="00CE33D8"/>
    <w:rsid w:val="00CE3951"/>
    <w:rsid w:val="00CE3F5C"/>
    <w:rsid w:val="00CE3FA6"/>
    <w:rsid w:val="00CE422A"/>
    <w:rsid w:val="00CE46C0"/>
    <w:rsid w:val="00CE67A6"/>
    <w:rsid w:val="00CE6B9A"/>
    <w:rsid w:val="00CE722E"/>
    <w:rsid w:val="00CF02A7"/>
    <w:rsid w:val="00CF27BD"/>
    <w:rsid w:val="00CF2FDE"/>
    <w:rsid w:val="00CF3613"/>
    <w:rsid w:val="00CF370D"/>
    <w:rsid w:val="00CF59B9"/>
    <w:rsid w:val="00CF611B"/>
    <w:rsid w:val="00CF6494"/>
    <w:rsid w:val="00CF7789"/>
    <w:rsid w:val="00CF798A"/>
    <w:rsid w:val="00CF7CCA"/>
    <w:rsid w:val="00D005DD"/>
    <w:rsid w:val="00D01C95"/>
    <w:rsid w:val="00D02FA3"/>
    <w:rsid w:val="00D04E0F"/>
    <w:rsid w:val="00D0590B"/>
    <w:rsid w:val="00D06B8C"/>
    <w:rsid w:val="00D07C22"/>
    <w:rsid w:val="00D10D31"/>
    <w:rsid w:val="00D121DD"/>
    <w:rsid w:val="00D13422"/>
    <w:rsid w:val="00D15EBD"/>
    <w:rsid w:val="00D1695F"/>
    <w:rsid w:val="00D16E74"/>
    <w:rsid w:val="00D200B5"/>
    <w:rsid w:val="00D20E98"/>
    <w:rsid w:val="00D26432"/>
    <w:rsid w:val="00D2651E"/>
    <w:rsid w:val="00D309C3"/>
    <w:rsid w:val="00D3153A"/>
    <w:rsid w:val="00D32582"/>
    <w:rsid w:val="00D32D17"/>
    <w:rsid w:val="00D33A62"/>
    <w:rsid w:val="00D3464A"/>
    <w:rsid w:val="00D347C7"/>
    <w:rsid w:val="00D35536"/>
    <w:rsid w:val="00D35600"/>
    <w:rsid w:val="00D36323"/>
    <w:rsid w:val="00D37CD4"/>
    <w:rsid w:val="00D37EFA"/>
    <w:rsid w:val="00D407A7"/>
    <w:rsid w:val="00D40C10"/>
    <w:rsid w:val="00D41175"/>
    <w:rsid w:val="00D411A6"/>
    <w:rsid w:val="00D41E57"/>
    <w:rsid w:val="00D436B6"/>
    <w:rsid w:val="00D46BC5"/>
    <w:rsid w:val="00D46BD8"/>
    <w:rsid w:val="00D5086E"/>
    <w:rsid w:val="00D51654"/>
    <w:rsid w:val="00D5248B"/>
    <w:rsid w:val="00D52755"/>
    <w:rsid w:val="00D52764"/>
    <w:rsid w:val="00D52B5A"/>
    <w:rsid w:val="00D532F8"/>
    <w:rsid w:val="00D53697"/>
    <w:rsid w:val="00D54254"/>
    <w:rsid w:val="00D55021"/>
    <w:rsid w:val="00D5527F"/>
    <w:rsid w:val="00D57B61"/>
    <w:rsid w:val="00D60645"/>
    <w:rsid w:val="00D6126D"/>
    <w:rsid w:val="00D61B88"/>
    <w:rsid w:val="00D61CB5"/>
    <w:rsid w:val="00D62761"/>
    <w:rsid w:val="00D6375E"/>
    <w:rsid w:val="00D63B2C"/>
    <w:rsid w:val="00D651D2"/>
    <w:rsid w:val="00D65A93"/>
    <w:rsid w:val="00D66AD6"/>
    <w:rsid w:val="00D66CAD"/>
    <w:rsid w:val="00D66FB8"/>
    <w:rsid w:val="00D7122C"/>
    <w:rsid w:val="00D71D07"/>
    <w:rsid w:val="00D75182"/>
    <w:rsid w:val="00D75812"/>
    <w:rsid w:val="00D758B7"/>
    <w:rsid w:val="00D75A68"/>
    <w:rsid w:val="00D76087"/>
    <w:rsid w:val="00D7660C"/>
    <w:rsid w:val="00D810F9"/>
    <w:rsid w:val="00D81D84"/>
    <w:rsid w:val="00D82F6C"/>
    <w:rsid w:val="00D8423B"/>
    <w:rsid w:val="00D84664"/>
    <w:rsid w:val="00D8599E"/>
    <w:rsid w:val="00D86C75"/>
    <w:rsid w:val="00D86D52"/>
    <w:rsid w:val="00D907AF"/>
    <w:rsid w:val="00D90D99"/>
    <w:rsid w:val="00D90F7A"/>
    <w:rsid w:val="00D92D91"/>
    <w:rsid w:val="00D93253"/>
    <w:rsid w:val="00D93D98"/>
    <w:rsid w:val="00D9451C"/>
    <w:rsid w:val="00D97007"/>
    <w:rsid w:val="00DA0810"/>
    <w:rsid w:val="00DA0FAF"/>
    <w:rsid w:val="00DA2514"/>
    <w:rsid w:val="00DA4713"/>
    <w:rsid w:val="00DA5332"/>
    <w:rsid w:val="00DA5D8D"/>
    <w:rsid w:val="00DA5ECE"/>
    <w:rsid w:val="00DA6C5D"/>
    <w:rsid w:val="00DA6EE4"/>
    <w:rsid w:val="00DA7AFF"/>
    <w:rsid w:val="00DA7FD2"/>
    <w:rsid w:val="00DB26E3"/>
    <w:rsid w:val="00DB2E53"/>
    <w:rsid w:val="00DB36B0"/>
    <w:rsid w:val="00DB42CC"/>
    <w:rsid w:val="00DB4B31"/>
    <w:rsid w:val="00DB5D92"/>
    <w:rsid w:val="00DB63A3"/>
    <w:rsid w:val="00DB703B"/>
    <w:rsid w:val="00DB741E"/>
    <w:rsid w:val="00DB7649"/>
    <w:rsid w:val="00DC1862"/>
    <w:rsid w:val="00DC2E85"/>
    <w:rsid w:val="00DC3969"/>
    <w:rsid w:val="00DC51D0"/>
    <w:rsid w:val="00DC54C7"/>
    <w:rsid w:val="00DC5EBD"/>
    <w:rsid w:val="00DD016D"/>
    <w:rsid w:val="00DD0790"/>
    <w:rsid w:val="00DD10A2"/>
    <w:rsid w:val="00DD1932"/>
    <w:rsid w:val="00DD1ECA"/>
    <w:rsid w:val="00DD244A"/>
    <w:rsid w:val="00DD3498"/>
    <w:rsid w:val="00DD3A9B"/>
    <w:rsid w:val="00DD523C"/>
    <w:rsid w:val="00DD63DB"/>
    <w:rsid w:val="00DD6F14"/>
    <w:rsid w:val="00DD705F"/>
    <w:rsid w:val="00DE0AF6"/>
    <w:rsid w:val="00DE11C2"/>
    <w:rsid w:val="00DE2D4B"/>
    <w:rsid w:val="00DE338A"/>
    <w:rsid w:val="00DE4921"/>
    <w:rsid w:val="00DE5105"/>
    <w:rsid w:val="00DE63B0"/>
    <w:rsid w:val="00DE6D2F"/>
    <w:rsid w:val="00DF0C78"/>
    <w:rsid w:val="00DF1DC1"/>
    <w:rsid w:val="00DF5977"/>
    <w:rsid w:val="00DF6EE7"/>
    <w:rsid w:val="00DF7B65"/>
    <w:rsid w:val="00E0375F"/>
    <w:rsid w:val="00E043C0"/>
    <w:rsid w:val="00E048D8"/>
    <w:rsid w:val="00E05F36"/>
    <w:rsid w:val="00E077C1"/>
    <w:rsid w:val="00E1404C"/>
    <w:rsid w:val="00E14301"/>
    <w:rsid w:val="00E1490B"/>
    <w:rsid w:val="00E155C2"/>
    <w:rsid w:val="00E15D9E"/>
    <w:rsid w:val="00E17DD7"/>
    <w:rsid w:val="00E21FE5"/>
    <w:rsid w:val="00E230C3"/>
    <w:rsid w:val="00E239B1"/>
    <w:rsid w:val="00E2642C"/>
    <w:rsid w:val="00E26934"/>
    <w:rsid w:val="00E26FB8"/>
    <w:rsid w:val="00E27FF2"/>
    <w:rsid w:val="00E31CA3"/>
    <w:rsid w:val="00E31E14"/>
    <w:rsid w:val="00E3360E"/>
    <w:rsid w:val="00E34BAB"/>
    <w:rsid w:val="00E35490"/>
    <w:rsid w:val="00E36B56"/>
    <w:rsid w:val="00E401B2"/>
    <w:rsid w:val="00E40AE0"/>
    <w:rsid w:val="00E41628"/>
    <w:rsid w:val="00E42497"/>
    <w:rsid w:val="00E426EA"/>
    <w:rsid w:val="00E4356F"/>
    <w:rsid w:val="00E43C34"/>
    <w:rsid w:val="00E4495D"/>
    <w:rsid w:val="00E44DDB"/>
    <w:rsid w:val="00E45EDC"/>
    <w:rsid w:val="00E462FE"/>
    <w:rsid w:val="00E502B3"/>
    <w:rsid w:val="00E5085C"/>
    <w:rsid w:val="00E51BA8"/>
    <w:rsid w:val="00E52A7D"/>
    <w:rsid w:val="00E52C97"/>
    <w:rsid w:val="00E57180"/>
    <w:rsid w:val="00E57282"/>
    <w:rsid w:val="00E576A6"/>
    <w:rsid w:val="00E5796B"/>
    <w:rsid w:val="00E60451"/>
    <w:rsid w:val="00E61614"/>
    <w:rsid w:val="00E61C74"/>
    <w:rsid w:val="00E62ADA"/>
    <w:rsid w:val="00E63801"/>
    <w:rsid w:val="00E70D5D"/>
    <w:rsid w:val="00E70D81"/>
    <w:rsid w:val="00E71D1A"/>
    <w:rsid w:val="00E7229D"/>
    <w:rsid w:val="00E7291C"/>
    <w:rsid w:val="00E73323"/>
    <w:rsid w:val="00E73F17"/>
    <w:rsid w:val="00E741EC"/>
    <w:rsid w:val="00E752EC"/>
    <w:rsid w:val="00E753EF"/>
    <w:rsid w:val="00E76C55"/>
    <w:rsid w:val="00E77217"/>
    <w:rsid w:val="00E77567"/>
    <w:rsid w:val="00E82BC2"/>
    <w:rsid w:val="00E83137"/>
    <w:rsid w:val="00E85A61"/>
    <w:rsid w:val="00E86405"/>
    <w:rsid w:val="00E8650E"/>
    <w:rsid w:val="00E90F48"/>
    <w:rsid w:val="00E91965"/>
    <w:rsid w:val="00E94885"/>
    <w:rsid w:val="00E94D2B"/>
    <w:rsid w:val="00E95366"/>
    <w:rsid w:val="00E9566B"/>
    <w:rsid w:val="00E95BC6"/>
    <w:rsid w:val="00E95E85"/>
    <w:rsid w:val="00E9646B"/>
    <w:rsid w:val="00E96A14"/>
    <w:rsid w:val="00EA0EC6"/>
    <w:rsid w:val="00EA131E"/>
    <w:rsid w:val="00EA33F0"/>
    <w:rsid w:val="00EA43F5"/>
    <w:rsid w:val="00EA4C8D"/>
    <w:rsid w:val="00EA6041"/>
    <w:rsid w:val="00EA6DE8"/>
    <w:rsid w:val="00EA6E44"/>
    <w:rsid w:val="00EB07E1"/>
    <w:rsid w:val="00EB110F"/>
    <w:rsid w:val="00EB1718"/>
    <w:rsid w:val="00EB54D0"/>
    <w:rsid w:val="00EB6F1B"/>
    <w:rsid w:val="00EB743F"/>
    <w:rsid w:val="00EC11B9"/>
    <w:rsid w:val="00EC13B4"/>
    <w:rsid w:val="00EC326C"/>
    <w:rsid w:val="00EC3E6D"/>
    <w:rsid w:val="00EC4C98"/>
    <w:rsid w:val="00EC5B9A"/>
    <w:rsid w:val="00EC73A1"/>
    <w:rsid w:val="00EC7F45"/>
    <w:rsid w:val="00ED1609"/>
    <w:rsid w:val="00ED33A2"/>
    <w:rsid w:val="00ED5B1C"/>
    <w:rsid w:val="00ED60EE"/>
    <w:rsid w:val="00ED6A19"/>
    <w:rsid w:val="00ED7755"/>
    <w:rsid w:val="00EE125B"/>
    <w:rsid w:val="00EE18CE"/>
    <w:rsid w:val="00EE1B29"/>
    <w:rsid w:val="00EE2B97"/>
    <w:rsid w:val="00EE6D83"/>
    <w:rsid w:val="00EF0AFC"/>
    <w:rsid w:val="00EF10B6"/>
    <w:rsid w:val="00EF1470"/>
    <w:rsid w:val="00EF1518"/>
    <w:rsid w:val="00EF1CCF"/>
    <w:rsid w:val="00EF20B1"/>
    <w:rsid w:val="00EF2B2F"/>
    <w:rsid w:val="00EF3147"/>
    <w:rsid w:val="00EF319E"/>
    <w:rsid w:val="00EF366B"/>
    <w:rsid w:val="00EF57DA"/>
    <w:rsid w:val="00EF7328"/>
    <w:rsid w:val="00EF73EF"/>
    <w:rsid w:val="00F00F49"/>
    <w:rsid w:val="00F01471"/>
    <w:rsid w:val="00F01C68"/>
    <w:rsid w:val="00F02402"/>
    <w:rsid w:val="00F02416"/>
    <w:rsid w:val="00F02D5F"/>
    <w:rsid w:val="00F033F2"/>
    <w:rsid w:val="00F0373E"/>
    <w:rsid w:val="00F03903"/>
    <w:rsid w:val="00F05C07"/>
    <w:rsid w:val="00F065FF"/>
    <w:rsid w:val="00F07021"/>
    <w:rsid w:val="00F0786E"/>
    <w:rsid w:val="00F10D2A"/>
    <w:rsid w:val="00F10DB3"/>
    <w:rsid w:val="00F114A0"/>
    <w:rsid w:val="00F1398B"/>
    <w:rsid w:val="00F139C1"/>
    <w:rsid w:val="00F14517"/>
    <w:rsid w:val="00F1694E"/>
    <w:rsid w:val="00F17682"/>
    <w:rsid w:val="00F1780A"/>
    <w:rsid w:val="00F21699"/>
    <w:rsid w:val="00F21FEC"/>
    <w:rsid w:val="00F22D2B"/>
    <w:rsid w:val="00F2321F"/>
    <w:rsid w:val="00F23F9C"/>
    <w:rsid w:val="00F24D2C"/>
    <w:rsid w:val="00F2727A"/>
    <w:rsid w:val="00F272CD"/>
    <w:rsid w:val="00F32C7D"/>
    <w:rsid w:val="00F335FB"/>
    <w:rsid w:val="00F3384A"/>
    <w:rsid w:val="00F34005"/>
    <w:rsid w:val="00F34BA9"/>
    <w:rsid w:val="00F35F1F"/>
    <w:rsid w:val="00F37123"/>
    <w:rsid w:val="00F40099"/>
    <w:rsid w:val="00F4152B"/>
    <w:rsid w:val="00F418EA"/>
    <w:rsid w:val="00F41B97"/>
    <w:rsid w:val="00F420B6"/>
    <w:rsid w:val="00F4267A"/>
    <w:rsid w:val="00F42DA7"/>
    <w:rsid w:val="00F42E30"/>
    <w:rsid w:val="00F434F4"/>
    <w:rsid w:val="00F459A2"/>
    <w:rsid w:val="00F45BAA"/>
    <w:rsid w:val="00F472BE"/>
    <w:rsid w:val="00F47839"/>
    <w:rsid w:val="00F51608"/>
    <w:rsid w:val="00F51C5E"/>
    <w:rsid w:val="00F538E6"/>
    <w:rsid w:val="00F53D27"/>
    <w:rsid w:val="00F568F3"/>
    <w:rsid w:val="00F573D2"/>
    <w:rsid w:val="00F574EB"/>
    <w:rsid w:val="00F6022D"/>
    <w:rsid w:val="00F60D74"/>
    <w:rsid w:val="00F628DC"/>
    <w:rsid w:val="00F62FC9"/>
    <w:rsid w:val="00F63499"/>
    <w:rsid w:val="00F676E3"/>
    <w:rsid w:val="00F71C8B"/>
    <w:rsid w:val="00F73A1B"/>
    <w:rsid w:val="00F748B9"/>
    <w:rsid w:val="00F75067"/>
    <w:rsid w:val="00F7539E"/>
    <w:rsid w:val="00F76150"/>
    <w:rsid w:val="00F765EC"/>
    <w:rsid w:val="00F76695"/>
    <w:rsid w:val="00F80958"/>
    <w:rsid w:val="00F810D8"/>
    <w:rsid w:val="00F818D5"/>
    <w:rsid w:val="00F81B35"/>
    <w:rsid w:val="00F8203F"/>
    <w:rsid w:val="00F829A2"/>
    <w:rsid w:val="00F82D0D"/>
    <w:rsid w:val="00F83300"/>
    <w:rsid w:val="00F840A3"/>
    <w:rsid w:val="00F8496D"/>
    <w:rsid w:val="00F8546B"/>
    <w:rsid w:val="00F86F05"/>
    <w:rsid w:val="00F8705D"/>
    <w:rsid w:val="00F919AA"/>
    <w:rsid w:val="00F9391F"/>
    <w:rsid w:val="00F94AF8"/>
    <w:rsid w:val="00F96707"/>
    <w:rsid w:val="00F974AC"/>
    <w:rsid w:val="00FA267D"/>
    <w:rsid w:val="00FA2E77"/>
    <w:rsid w:val="00FA3373"/>
    <w:rsid w:val="00FA3D76"/>
    <w:rsid w:val="00FA7F6C"/>
    <w:rsid w:val="00FB13FF"/>
    <w:rsid w:val="00FB3C29"/>
    <w:rsid w:val="00FB3DDC"/>
    <w:rsid w:val="00FB752A"/>
    <w:rsid w:val="00FC192F"/>
    <w:rsid w:val="00FC263C"/>
    <w:rsid w:val="00FC2B87"/>
    <w:rsid w:val="00FC3F91"/>
    <w:rsid w:val="00FC4D90"/>
    <w:rsid w:val="00FC7B51"/>
    <w:rsid w:val="00FD000F"/>
    <w:rsid w:val="00FD063D"/>
    <w:rsid w:val="00FD0730"/>
    <w:rsid w:val="00FD095B"/>
    <w:rsid w:val="00FD109C"/>
    <w:rsid w:val="00FD4262"/>
    <w:rsid w:val="00FD5741"/>
    <w:rsid w:val="00FE0088"/>
    <w:rsid w:val="00FE2C2E"/>
    <w:rsid w:val="00FE3267"/>
    <w:rsid w:val="00FE4BB4"/>
    <w:rsid w:val="00FE5256"/>
    <w:rsid w:val="00FE54ED"/>
    <w:rsid w:val="00FE7859"/>
    <w:rsid w:val="00FF0BDE"/>
    <w:rsid w:val="00FF0D3E"/>
    <w:rsid w:val="00FF1D49"/>
    <w:rsid w:val="00FF26A2"/>
    <w:rsid w:val="00FF27D8"/>
    <w:rsid w:val="00FF3648"/>
    <w:rsid w:val="00FF3AEF"/>
    <w:rsid w:val="00FF41AC"/>
    <w:rsid w:val="00FF54AF"/>
    <w:rsid w:val="00FF5777"/>
    <w:rsid w:val="00FF6913"/>
    <w:rsid w:val="00FF7C1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F2D93F"/>
  <w15:chartTrackingRefBased/>
  <w15:docId w15:val="{24E3A762-135F-40E1-9005-029A186C3E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4183"/>
    <w:rPr>
      <w:rFonts w:ascii="Times New Roman" w:eastAsia="Times New Roman" w:hAnsi="Times New Roman"/>
    </w:rPr>
  </w:style>
  <w:style w:type="paragraph" w:styleId="Ttulo1">
    <w:name w:val="heading 1"/>
    <w:basedOn w:val="Ttulo"/>
    <w:next w:val="Normal"/>
    <w:link w:val="Ttulo1Char"/>
    <w:qFormat/>
    <w:rsid w:val="00B65A03"/>
    <w:pPr>
      <w:outlineLvl w:val="0"/>
    </w:pPr>
  </w:style>
  <w:style w:type="paragraph" w:styleId="Ttulo2">
    <w:name w:val="heading 2"/>
    <w:basedOn w:val="Ttulo1"/>
    <w:next w:val="Normal"/>
    <w:link w:val="Ttulo2Char"/>
    <w:uiPriority w:val="9"/>
    <w:qFormat/>
    <w:rsid w:val="00D61B88"/>
    <w:pPr>
      <w:numPr>
        <w:ilvl w:val="1"/>
      </w:numPr>
      <w:outlineLvl w:val="1"/>
    </w:pPr>
  </w:style>
  <w:style w:type="paragraph" w:styleId="Ttulo3">
    <w:name w:val="heading 3"/>
    <w:basedOn w:val="Normal"/>
    <w:next w:val="Normal"/>
    <w:link w:val="Ttulo3Char"/>
    <w:uiPriority w:val="9"/>
    <w:qFormat/>
    <w:rsid w:val="00A11283"/>
    <w:pPr>
      <w:keepNext/>
      <w:spacing w:before="240" w:after="60"/>
      <w:outlineLvl w:val="2"/>
    </w:pPr>
    <w:rPr>
      <w:rFonts w:ascii="Cambria" w:hAnsi="Cambria"/>
      <w:b/>
      <w:bCs/>
      <w:sz w:val="26"/>
      <w:szCs w:val="26"/>
      <w:lang w:val="x-none" w:eastAsia="x-none"/>
    </w:rPr>
  </w:style>
  <w:style w:type="paragraph" w:styleId="Ttulo5">
    <w:name w:val="heading 5"/>
    <w:basedOn w:val="Normal"/>
    <w:next w:val="Normal"/>
    <w:link w:val="Ttulo5Char"/>
    <w:uiPriority w:val="9"/>
    <w:semiHidden/>
    <w:unhideWhenUsed/>
    <w:qFormat/>
    <w:rsid w:val="0061105A"/>
    <w:pPr>
      <w:spacing w:before="240" w:after="60"/>
      <w:outlineLvl w:val="4"/>
    </w:pPr>
    <w:rPr>
      <w:rFonts w:ascii="Calibri" w:hAnsi="Calibri"/>
      <w:b/>
      <w:bCs/>
      <w:i/>
      <w:iCs/>
      <w:sz w:val="26"/>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rsid w:val="00B65A03"/>
    <w:rPr>
      <w:rFonts w:ascii="Times New Roman" w:eastAsia="Times New Roman" w:hAnsi="Times New Roman"/>
      <w:b/>
      <w:color w:val="000000"/>
      <w:sz w:val="24"/>
      <w:szCs w:val="24"/>
    </w:rPr>
  </w:style>
  <w:style w:type="paragraph" w:styleId="NormalWeb">
    <w:name w:val="Normal (Web)"/>
    <w:basedOn w:val="Normal"/>
    <w:uiPriority w:val="99"/>
    <w:rsid w:val="00624183"/>
    <w:pPr>
      <w:spacing w:before="100" w:beforeAutospacing="1" w:after="100" w:afterAutospacing="1"/>
    </w:pPr>
    <w:rPr>
      <w:sz w:val="24"/>
      <w:szCs w:val="24"/>
    </w:rPr>
  </w:style>
  <w:style w:type="paragraph" w:customStyle="1" w:styleId="EstiloEstilo2010pt">
    <w:name w:val="Estilo Estilo20 + 10 pt"/>
    <w:basedOn w:val="Normal"/>
    <w:rsid w:val="00624183"/>
    <w:pPr>
      <w:spacing w:before="360" w:after="360" w:line="360" w:lineRule="auto"/>
      <w:ind w:left="284"/>
      <w:jc w:val="both"/>
    </w:pPr>
    <w:rPr>
      <w:b/>
      <w:bCs/>
      <w:szCs w:val="24"/>
    </w:rPr>
  </w:style>
  <w:style w:type="paragraph" w:styleId="Ttulo">
    <w:name w:val="Title"/>
    <w:basedOn w:val="Normal"/>
    <w:link w:val="TtuloChar"/>
    <w:qFormat/>
    <w:rsid w:val="00C27EE0"/>
    <w:pPr>
      <w:numPr>
        <w:numId w:val="41"/>
      </w:numPr>
      <w:spacing w:line="360" w:lineRule="auto"/>
      <w:jc w:val="both"/>
    </w:pPr>
    <w:rPr>
      <w:b/>
      <w:color w:val="000000"/>
      <w:sz w:val="24"/>
      <w:szCs w:val="24"/>
    </w:rPr>
  </w:style>
  <w:style w:type="paragraph" w:styleId="Cabealho">
    <w:name w:val="header"/>
    <w:basedOn w:val="Normal"/>
    <w:rsid w:val="00EC11B9"/>
    <w:pPr>
      <w:tabs>
        <w:tab w:val="center" w:pos="4252"/>
        <w:tab w:val="right" w:pos="8504"/>
      </w:tabs>
    </w:pPr>
  </w:style>
  <w:style w:type="character" w:styleId="Nmerodepgina">
    <w:name w:val="page number"/>
    <w:basedOn w:val="Fontepargpadro"/>
    <w:rsid w:val="00EC11B9"/>
  </w:style>
  <w:style w:type="character" w:styleId="Hyperlink">
    <w:name w:val="Hyperlink"/>
    <w:uiPriority w:val="99"/>
    <w:unhideWhenUsed/>
    <w:rsid w:val="008413F7"/>
    <w:rPr>
      <w:color w:val="0000FF"/>
      <w:u w:val="single"/>
    </w:rPr>
  </w:style>
  <w:style w:type="character" w:customStyle="1" w:styleId="Ttulo3Char">
    <w:name w:val="Título 3 Char"/>
    <w:link w:val="Ttulo3"/>
    <w:uiPriority w:val="9"/>
    <w:rsid w:val="00A11283"/>
    <w:rPr>
      <w:rFonts w:ascii="Cambria" w:eastAsia="Times New Roman" w:hAnsi="Cambria"/>
      <w:b/>
      <w:bCs/>
      <w:sz w:val="26"/>
      <w:szCs w:val="26"/>
    </w:rPr>
  </w:style>
  <w:style w:type="paragraph" w:styleId="Corpodetexto2">
    <w:name w:val="Body Text 2"/>
    <w:basedOn w:val="Normal"/>
    <w:link w:val="Corpodetexto2Char"/>
    <w:rsid w:val="00A11283"/>
    <w:pPr>
      <w:spacing w:after="120" w:line="480" w:lineRule="auto"/>
    </w:pPr>
    <w:rPr>
      <w:sz w:val="24"/>
      <w:szCs w:val="24"/>
      <w:lang w:val="x-none" w:eastAsia="x-none"/>
    </w:rPr>
  </w:style>
  <w:style w:type="character" w:customStyle="1" w:styleId="Corpodetexto2Char">
    <w:name w:val="Corpo de texto 2 Char"/>
    <w:link w:val="Corpodetexto2"/>
    <w:rsid w:val="00A11283"/>
    <w:rPr>
      <w:rFonts w:ascii="Times New Roman" w:eastAsia="Times New Roman" w:hAnsi="Times New Roman"/>
      <w:sz w:val="24"/>
      <w:szCs w:val="24"/>
    </w:rPr>
  </w:style>
  <w:style w:type="paragraph" w:styleId="Corpodetexto">
    <w:name w:val="Body Text"/>
    <w:basedOn w:val="Normal"/>
    <w:link w:val="CorpodetextoChar"/>
    <w:uiPriority w:val="99"/>
    <w:semiHidden/>
    <w:unhideWhenUsed/>
    <w:rsid w:val="00A11283"/>
    <w:pPr>
      <w:spacing w:after="120"/>
    </w:pPr>
    <w:rPr>
      <w:lang w:val="x-none" w:eastAsia="x-none"/>
    </w:rPr>
  </w:style>
  <w:style w:type="character" w:customStyle="1" w:styleId="CorpodetextoChar">
    <w:name w:val="Corpo de texto Char"/>
    <w:link w:val="Corpodetexto"/>
    <w:uiPriority w:val="99"/>
    <w:semiHidden/>
    <w:rsid w:val="00A11283"/>
    <w:rPr>
      <w:rFonts w:ascii="Times New Roman" w:eastAsia="Times New Roman" w:hAnsi="Times New Roman"/>
    </w:rPr>
  </w:style>
  <w:style w:type="character" w:customStyle="1" w:styleId="apple-style-span">
    <w:name w:val="apple-style-span"/>
    <w:basedOn w:val="Fontepargpadro"/>
    <w:rsid w:val="00A11283"/>
  </w:style>
  <w:style w:type="character" w:customStyle="1" w:styleId="Ttulo2Char">
    <w:name w:val="Título 2 Char"/>
    <w:link w:val="Ttulo2"/>
    <w:uiPriority w:val="9"/>
    <w:rsid w:val="00D61B88"/>
    <w:rPr>
      <w:rFonts w:ascii="Times New Roman" w:eastAsia="Times New Roman" w:hAnsi="Times New Roman"/>
      <w:b/>
      <w:color w:val="000000"/>
      <w:sz w:val="24"/>
      <w:szCs w:val="24"/>
    </w:rPr>
  </w:style>
  <w:style w:type="paragraph" w:styleId="Recuodecorpodetexto">
    <w:name w:val="Body Text Indent"/>
    <w:basedOn w:val="Normal"/>
    <w:link w:val="RecuodecorpodetextoChar"/>
    <w:uiPriority w:val="99"/>
    <w:semiHidden/>
    <w:unhideWhenUsed/>
    <w:rsid w:val="009C528A"/>
    <w:pPr>
      <w:spacing w:after="120"/>
      <w:ind w:left="283"/>
    </w:pPr>
    <w:rPr>
      <w:lang w:val="x-none" w:eastAsia="x-none"/>
    </w:rPr>
  </w:style>
  <w:style w:type="character" w:customStyle="1" w:styleId="RecuodecorpodetextoChar">
    <w:name w:val="Recuo de corpo de texto Char"/>
    <w:link w:val="Recuodecorpodetexto"/>
    <w:uiPriority w:val="99"/>
    <w:semiHidden/>
    <w:rsid w:val="009C528A"/>
    <w:rPr>
      <w:rFonts w:ascii="Times New Roman" w:eastAsia="Times New Roman" w:hAnsi="Times New Roman"/>
    </w:rPr>
  </w:style>
  <w:style w:type="paragraph" w:customStyle="1" w:styleId="PargrafodaLista1">
    <w:name w:val="Parágrafo da Lista1"/>
    <w:basedOn w:val="Normal"/>
    <w:rsid w:val="00F40099"/>
    <w:pPr>
      <w:spacing w:after="200" w:line="276" w:lineRule="auto"/>
      <w:ind w:left="720"/>
    </w:pPr>
    <w:rPr>
      <w:rFonts w:ascii="Calibri" w:hAnsi="Calibri" w:cs="Calibri"/>
      <w:sz w:val="22"/>
      <w:szCs w:val="22"/>
      <w:lang w:eastAsia="en-US"/>
    </w:rPr>
  </w:style>
  <w:style w:type="paragraph" w:styleId="Subttulo">
    <w:name w:val="Subtitle"/>
    <w:basedOn w:val="Normal"/>
    <w:next w:val="Normal"/>
    <w:link w:val="SubttuloChar"/>
    <w:qFormat/>
    <w:rsid w:val="00BF09B1"/>
    <w:pPr>
      <w:numPr>
        <w:ilvl w:val="1"/>
      </w:numPr>
      <w:jc w:val="both"/>
    </w:pPr>
    <w:rPr>
      <w:rFonts w:ascii="Cambria" w:hAnsi="Cambria"/>
      <w:i/>
      <w:iCs/>
      <w:color w:val="4F81BD"/>
      <w:spacing w:val="15"/>
      <w:sz w:val="24"/>
      <w:szCs w:val="24"/>
      <w:lang w:val="x-none" w:eastAsia="en-US"/>
    </w:rPr>
  </w:style>
  <w:style w:type="character" w:customStyle="1" w:styleId="SubttuloChar">
    <w:name w:val="Subtítulo Char"/>
    <w:link w:val="Subttulo"/>
    <w:rsid w:val="00BF09B1"/>
    <w:rPr>
      <w:rFonts w:ascii="Cambria" w:eastAsia="Times New Roman" w:hAnsi="Cambria"/>
      <w:i/>
      <w:iCs/>
      <w:color w:val="4F81BD"/>
      <w:spacing w:val="15"/>
      <w:sz w:val="24"/>
      <w:szCs w:val="24"/>
      <w:lang w:eastAsia="en-US"/>
    </w:rPr>
  </w:style>
  <w:style w:type="character" w:customStyle="1" w:styleId="TtuloChar">
    <w:name w:val="Título Char"/>
    <w:link w:val="Ttulo"/>
    <w:rsid w:val="00C27EE0"/>
    <w:rPr>
      <w:rFonts w:ascii="Times New Roman" w:eastAsia="Times New Roman" w:hAnsi="Times New Roman"/>
      <w:b/>
      <w:color w:val="000000"/>
      <w:sz w:val="24"/>
      <w:szCs w:val="24"/>
    </w:rPr>
  </w:style>
  <w:style w:type="character" w:styleId="nfase">
    <w:name w:val="Emphasis"/>
    <w:qFormat/>
    <w:rsid w:val="00BF09B1"/>
    <w:rPr>
      <w:i/>
      <w:iCs/>
    </w:rPr>
  </w:style>
  <w:style w:type="character" w:customStyle="1" w:styleId="apple-converted-space">
    <w:name w:val="apple-converted-space"/>
    <w:basedOn w:val="Fontepargpadro"/>
    <w:rsid w:val="00217EB5"/>
  </w:style>
  <w:style w:type="paragraph" w:customStyle="1" w:styleId="Default">
    <w:name w:val="Default"/>
    <w:rsid w:val="009F1D45"/>
    <w:pPr>
      <w:autoSpaceDE w:val="0"/>
      <w:autoSpaceDN w:val="0"/>
      <w:adjustRightInd w:val="0"/>
    </w:pPr>
    <w:rPr>
      <w:rFonts w:ascii="Times New Roman" w:hAnsi="Times New Roman"/>
      <w:color w:val="000000"/>
      <w:sz w:val="24"/>
      <w:szCs w:val="24"/>
    </w:rPr>
  </w:style>
  <w:style w:type="character" w:customStyle="1" w:styleId="Ttulo5Char">
    <w:name w:val="Título 5 Char"/>
    <w:link w:val="Ttulo5"/>
    <w:uiPriority w:val="9"/>
    <w:semiHidden/>
    <w:rsid w:val="0061105A"/>
    <w:rPr>
      <w:rFonts w:ascii="Calibri" w:eastAsia="Times New Roman" w:hAnsi="Calibri" w:cs="Times New Roman"/>
      <w:b/>
      <w:bCs/>
      <w:i/>
      <w:iCs/>
      <w:sz w:val="26"/>
      <w:szCs w:val="26"/>
    </w:rPr>
  </w:style>
  <w:style w:type="table" w:styleId="Tabelacomgrade">
    <w:name w:val="Table Grid"/>
    <w:basedOn w:val="Tabelanormal"/>
    <w:uiPriority w:val="59"/>
    <w:rsid w:val="00C10423"/>
    <w:rPr>
      <w:rFonts w:ascii="Times New Roman" w:eastAsia="Trebuchet MS" w:hAnsi="Times New Roman"/>
      <w:sz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odaLista">
    <w:name w:val="List Paragraph"/>
    <w:basedOn w:val="Normal"/>
    <w:uiPriority w:val="34"/>
    <w:qFormat/>
    <w:rsid w:val="00202CEB"/>
    <w:pPr>
      <w:ind w:left="708"/>
    </w:pPr>
  </w:style>
  <w:style w:type="character" w:styleId="Forte">
    <w:name w:val="Strong"/>
    <w:uiPriority w:val="22"/>
    <w:qFormat/>
    <w:rsid w:val="005853D3"/>
    <w:rPr>
      <w:b/>
      <w:bCs/>
    </w:rPr>
  </w:style>
  <w:style w:type="paragraph" w:styleId="CabealhodoSumrio">
    <w:name w:val="TOC Heading"/>
    <w:basedOn w:val="Ttulo1"/>
    <w:next w:val="Normal"/>
    <w:uiPriority w:val="39"/>
    <w:unhideWhenUsed/>
    <w:qFormat/>
    <w:rsid w:val="00B65A03"/>
    <w:pPr>
      <w:keepNext/>
      <w:keepLines/>
      <w:numPr>
        <w:numId w:val="0"/>
      </w:numPr>
      <w:spacing w:before="240" w:line="259" w:lineRule="auto"/>
      <w:jc w:val="left"/>
      <w:outlineLvl w:val="9"/>
    </w:pPr>
    <w:rPr>
      <w:rFonts w:ascii="Calibri Light" w:hAnsi="Calibri Light"/>
      <w:b w:val="0"/>
      <w:color w:val="2F5496"/>
      <w:sz w:val="32"/>
      <w:szCs w:val="32"/>
    </w:rPr>
  </w:style>
  <w:style w:type="paragraph" w:styleId="Sumrio1">
    <w:name w:val="toc 1"/>
    <w:basedOn w:val="Normal"/>
    <w:next w:val="Normal"/>
    <w:autoRedefine/>
    <w:uiPriority w:val="39"/>
    <w:unhideWhenUsed/>
    <w:rsid w:val="00B65A03"/>
  </w:style>
  <w:style w:type="paragraph" w:styleId="Sumrio2">
    <w:name w:val="toc 2"/>
    <w:basedOn w:val="Normal"/>
    <w:next w:val="Normal"/>
    <w:autoRedefine/>
    <w:uiPriority w:val="39"/>
    <w:unhideWhenUsed/>
    <w:rsid w:val="00D61B88"/>
    <w:pPr>
      <w:ind w:left="200"/>
    </w:pPr>
  </w:style>
  <w:style w:type="paragraph" w:styleId="Textodenotaderodap">
    <w:name w:val="footnote text"/>
    <w:basedOn w:val="Normal"/>
    <w:link w:val="TextodenotaderodapChar"/>
    <w:uiPriority w:val="99"/>
    <w:semiHidden/>
    <w:unhideWhenUsed/>
    <w:rsid w:val="00565545"/>
  </w:style>
  <w:style w:type="character" w:customStyle="1" w:styleId="TextodenotaderodapChar">
    <w:name w:val="Texto de nota de rodapé Char"/>
    <w:link w:val="Textodenotaderodap"/>
    <w:uiPriority w:val="99"/>
    <w:semiHidden/>
    <w:rsid w:val="00565545"/>
    <w:rPr>
      <w:rFonts w:ascii="Times New Roman" w:eastAsia="Times New Roman" w:hAnsi="Times New Roman"/>
    </w:rPr>
  </w:style>
  <w:style w:type="character" w:styleId="Refdenotaderodap">
    <w:name w:val="footnote reference"/>
    <w:uiPriority w:val="99"/>
    <w:semiHidden/>
    <w:unhideWhenUsed/>
    <w:rsid w:val="00565545"/>
    <w:rPr>
      <w:vertAlign w:val="superscript"/>
    </w:rPr>
  </w:style>
  <w:style w:type="paragraph" w:styleId="Legenda">
    <w:name w:val="caption"/>
    <w:basedOn w:val="Normal"/>
    <w:next w:val="Normal"/>
    <w:uiPriority w:val="35"/>
    <w:unhideWhenUsed/>
    <w:qFormat/>
    <w:rsid w:val="00236949"/>
    <w:rPr>
      <w:b/>
      <w:bCs/>
    </w:rPr>
  </w:style>
  <w:style w:type="paragraph" w:styleId="Reviso">
    <w:name w:val="Revision"/>
    <w:hidden/>
    <w:uiPriority w:val="99"/>
    <w:semiHidden/>
    <w:rsid w:val="003C672B"/>
    <w:rPr>
      <w:rFonts w:ascii="Times New Roman" w:eastAsia="Times New Roman" w:hAnsi="Times New Roman"/>
    </w:rPr>
  </w:style>
  <w:style w:type="character" w:styleId="MenoPendente">
    <w:name w:val="Unresolved Mention"/>
    <w:basedOn w:val="Fontepargpadro"/>
    <w:uiPriority w:val="99"/>
    <w:semiHidden/>
    <w:unhideWhenUsed/>
    <w:rsid w:val="0075610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514633">
      <w:bodyDiv w:val="1"/>
      <w:marLeft w:val="0"/>
      <w:marRight w:val="0"/>
      <w:marTop w:val="0"/>
      <w:marBottom w:val="0"/>
      <w:divBdr>
        <w:top w:val="none" w:sz="0" w:space="0" w:color="auto"/>
        <w:left w:val="none" w:sz="0" w:space="0" w:color="auto"/>
        <w:bottom w:val="none" w:sz="0" w:space="0" w:color="auto"/>
        <w:right w:val="none" w:sz="0" w:space="0" w:color="auto"/>
      </w:divBdr>
    </w:div>
    <w:div w:id="209077633">
      <w:bodyDiv w:val="1"/>
      <w:marLeft w:val="0"/>
      <w:marRight w:val="0"/>
      <w:marTop w:val="0"/>
      <w:marBottom w:val="0"/>
      <w:divBdr>
        <w:top w:val="none" w:sz="0" w:space="0" w:color="auto"/>
        <w:left w:val="none" w:sz="0" w:space="0" w:color="auto"/>
        <w:bottom w:val="none" w:sz="0" w:space="0" w:color="auto"/>
        <w:right w:val="none" w:sz="0" w:space="0" w:color="auto"/>
      </w:divBdr>
    </w:div>
    <w:div w:id="214511451">
      <w:bodyDiv w:val="1"/>
      <w:marLeft w:val="0"/>
      <w:marRight w:val="0"/>
      <w:marTop w:val="0"/>
      <w:marBottom w:val="0"/>
      <w:divBdr>
        <w:top w:val="none" w:sz="0" w:space="0" w:color="auto"/>
        <w:left w:val="none" w:sz="0" w:space="0" w:color="auto"/>
        <w:bottom w:val="none" w:sz="0" w:space="0" w:color="auto"/>
        <w:right w:val="none" w:sz="0" w:space="0" w:color="auto"/>
      </w:divBdr>
    </w:div>
    <w:div w:id="680426466">
      <w:bodyDiv w:val="1"/>
      <w:marLeft w:val="0"/>
      <w:marRight w:val="0"/>
      <w:marTop w:val="0"/>
      <w:marBottom w:val="0"/>
      <w:divBdr>
        <w:top w:val="none" w:sz="0" w:space="0" w:color="auto"/>
        <w:left w:val="none" w:sz="0" w:space="0" w:color="auto"/>
        <w:bottom w:val="none" w:sz="0" w:space="0" w:color="auto"/>
        <w:right w:val="none" w:sz="0" w:space="0" w:color="auto"/>
      </w:divBdr>
    </w:div>
    <w:div w:id="714427902">
      <w:bodyDiv w:val="1"/>
      <w:marLeft w:val="0"/>
      <w:marRight w:val="0"/>
      <w:marTop w:val="0"/>
      <w:marBottom w:val="0"/>
      <w:divBdr>
        <w:top w:val="none" w:sz="0" w:space="0" w:color="auto"/>
        <w:left w:val="none" w:sz="0" w:space="0" w:color="auto"/>
        <w:bottom w:val="none" w:sz="0" w:space="0" w:color="auto"/>
        <w:right w:val="none" w:sz="0" w:space="0" w:color="auto"/>
      </w:divBdr>
    </w:div>
    <w:div w:id="780153287">
      <w:bodyDiv w:val="1"/>
      <w:marLeft w:val="0"/>
      <w:marRight w:val="0"/>
      <w:marTop w:val="0"/>
      <w:marBottom w:val="0"/>
      <w:divBdr>
        <w:top w:val="none" w:sz="0" w:space="0" w:color="auto"/>
        <w:left w:val="none" w:sz="0" w:space="0" w:color="auto"/>
        <w:bottom w:val="none" w:sz="0" w:space="0" w:color="auto"/>
        <w:right w:val="none" w:sz="0" w:space="0" w:color="auto"/>
      </w:divBdr>
      <w:divsChild>
        <w:div w:id="925727253">
          <w:marLeft w:val="0"/>
          <w:marRight w:val="0"/>
          <w:marTop w:val="0"/>
          <w:marBottom w:val="0"/>
          <w:divBdr>
            <w:top w:val="none" w:sz="0" w:space="0" w:color="auto"/>
            <w:left w:val="none" w:sz="0" w:space="0" w:color="auto"/>
            <w:bottom w:val="none" w:sz="0" w:space="0" w:color="auto"/>
            <w:right w:val="none" w:sz="0" w:space="0" w:color="auto"/>
          </w:divBdr>
          <w:divsChild>
            <w:div w:id="1853228394">
              <w:marLeft w:val="0"/>
              <w:marRight w:val="0"/>
              <w:marTop w:val="0"/>
              <w:marBottom w:val="0"/>
              <w:divBdr>
                <w:top w:val="none" w:sz="0" w:space="0" w:color="auto"/>
                <w:left w:val="none" w:sz="0" w:space="0" w:color="auto"/>
                <w:bottom w:val="single" w:sz="6" w:space="0" w:color="8D8D8D"/>
                <w:right w:val="none" w:sz="0" w:space="0" w:color="auto"/>
              </w:divBdr>
            </w:div>
          </w:divsChild>
        </w:div>
      </w:divsChild>
    </w:div>
    <w:div w:id="1000231699">
      <w:bodyDiv w:val="1"/>
      <w:marLeft w:val="0"/>
      <w:marRight w:val="0"/>
      <w:marTop w:val="0"/>
      <w:marBottom w:val="0"/>
      <w:divBdr>
        <w:top w:val="none" w:sz="0" w:space="0" w:color="auto"/>
        <w:left w:val="none" w:sz="0" w:space="0" w:color="auto"/>
        <w:bottom w:val="none" w:sz="0" w:space="0" w:color="auto"/>
        <w:right w:val="none" w:sz="0" w:space="0" w:color="auto"/>
      </w:divBdr>
    </w:div>
    <w:div w:id="1147672687">
      <w:bodyDiv w:val="1"/>
      <w:marLeft w:val="0"/>
      <w:marRight w:val="0"/>
      <w:marTop w:val="0"/>
      <w:marBottom w:val="0"/>
      <w:divBdr>
        <w:top w:val="none" w:sz="0" w:space="0" w:color="auto"/>
        <w:left w:val="none" w:sz="0" w:space="0" w:color="auto"/>
        <w:bottom w:val="none" w:sz="0" w:space="0" w:color="auto"/>
        <w:right w:val="none" w:sz="0" w:space="0" w:color="auto"/>
      </w:divBdr>
    </w:div>
    <w:div w:id="1169439820">
      <w:bodyDiv w:val="1"/>
      <w:marLeft w:val="0"/>
      <w:marRight w:val="0"/>
      <w:marTop w:val="0"/>
      <w:marBottom w:val="0"/>
      <w:divBdr>
        <w:top w:val="none" w:sz="0" w:space="0" w:color="auto"/>
        <w:left w:val="none" w:sz="0" w:space="0" w:color="auto"/>
        <w:bottom w:val="none" w:sz="0" w:space="0" w:color="auto"/>
        <w:right w:val="none" w:sz="0" w:space="0" w:color="auto"/>
      </w:divBdr>
    </w:div>
    <w:div w:id="1668820907">
      <w:bodyDiv w:val="1"/>
      <w:marLeft w:val="0"/>
      <w:marRight w:val="0"/>
      <w:marTop w:val="0"/>
      <w:marBottom w:val="0"/>
      <w:divBdr>
        <w:top w:val="none" w:sz="0" w:space="0" w:color="auto"/>
        <w:left w:val="none" w:sz="0" w:space="0" w:color="auto"/>
        <w:bottom w:val="none" w:sz="0" w:space="0" w:color="auto"/>
        <w:right w:val="none" w:sz="0" w:space="0" w:color="auto"/>
      </w:divBdr>
    </w:div>
    <w:div w:id="1873379015">
      <w:bodyDiv w:val="1"/>
      <w:marLeft w:val="0"/>
      <w:marRight w:val="0"/>
      <w:marTop w:val="0"/>
      <w:marBottom w:val="0"/>
      <w:divBdr>
        <w:top w:val="none" w:sz="0" w:space="0" w:color="auto"/>
        <w:left w:val="none" w:sz="0" w:space="0" w:color="auto"/>
        <w:bottom w:val="none" w:sz="0" w:space="0" w:color="auto"/>
        <w:right w:val="none" w:sz="0" w:space="0" w:color="auto"/>
      </w:divBdr>
      <w:divsChild>
        <w:div w:id="665012669">
          <w:marLeft w:val="0"/>
          <w:marRight w:val="0"/>
          <w:marTop w:val="0"/>
          <w:marBottom w:val="0"/>
          <w:divBdr>
            <w:top w:val="none" w:sz="0" w:space="0" w:color="auto"/>
            <w:left w:val="none" w:sz="0" w:space="0" w:color="auto"/>
            <w:bottom w:val="none" w:sz="0" w:space="0" w:color="auto"/>
            <w:right w:val="none" w:sz="0" w:space="0" w:color="auto"/>
          </w:divBdr>
          <w:divsChild>
            <w:div w:id="1712421384">
              <w:marLeft w:val="0"/>
              <w:marRight w:val="0"/>
              <w:marTop w:val="0"/>
              <w:marBottom w:val="0"/>
              <w:divBdr>
                <w:top w:val="none" w:sz="0" w:space="0" w:color="auto"/>
                <w:left w:val="none" w:sz="0" w:space="0" w:color="auto"/>
                <w:bottom w:val="single" w:sz="6" w:space="0" w:color="8D8D8D"/>
                <w:right w:val="none" w:sz="0" w:space="0" w:color="auto"/>
              </w:divBdr>
            </w:div>
          </w:divsChild>
        </w:div>
      </w:divsChild>
    </w:div>
    <w:div w:id="1894926712">
      <w:bodyDiv w:val="1"/>
      <w:marLeft w:val="0"/>
      <w:marRight w:val="0"/>
      <w:marTop w:val="0"/>
      <w:marBottom w:val="0"/>
      <w:divBdr>
        <w:top w:val="none" w:sz="0" w:space="0" w:color="auto"/>
        <w:left w:val="none" w:sz="0" w:space="0" w:color="auto"/>
        <w:bottom w:val="none" w:sz="0" w:space="0" w:color="auto"/>
        <w:right w:val="none" w:sz="0" w:space="0" w:color="auto"/>
      </w:divBdr>
    </w:div>
    <w:div w:id="1960188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6.pn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10.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png"/><Relationship Id="rId5" Type="http://schemas.openxmlformats.org/officeDocument/2006/relationships/webSettings" Target="webSettings.xml"/><Relationship Id="rId15" Type="http://schemas.openxmlformats.org/officeDocument/2006/relationships/image" Target="media/image9.png"/><Relationship Id="rId10" Type="http://schemas.openxmlformats.org/officeDocument/2006/relationships/image" Target="media/image4.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image" Target="media/image8.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B0550E-DA92-4505-A37D-61A32A6923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15</Pages>
  <Words>28430</Words>
  <Characters>153527</Characters>
  <Application>Microsoft Office Word</Application>
  <DocSecurity>0</DocSecurity>
  <Lines>1279</Lines>
  <Paragraphs>363</Paragraphs>
  <ScaleCrop>false</ScaleCrop>
  <HeadingPairs>
    <vt:vector size="2" baseType="variant">
      <vt:variant>
        <vt:lpstr>Título</vt:lpstr>
      </vt:variant>
      <vt:variant>
        <vt:i4>1</vt:i4>
      </vt:variant>
    </vt:vector>
  </HeadingPairs>
  <TitlesOfParts>
    <vt:vector size="1" baseType="lpstr">
      <vt:lpstr>Faculdade de Medicina de São José do Rio Preto</vt:lpstr>
    </vt:vector>
  </TitlesOfParts>
  <Company>a</Company>
  <LinksUpToDate>false</LinksUpToDate>
  <CharactersWithSpaces>181594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Faculdade de Medicina de São José do Rio Preto</dc:title>
  <dc:subject/>
  <dc:creator>a</dc:creator>
  <cp:keywords/>
  <cp:lastModifiedBy>Moacir Godoy</cp:lastModifiedBy>
  <cp:revision>9</cp:revision>
  <cp:lastPrinted>2022-06-22T18:48:00Z</cp:lastPrinted>
  <dcterms:created xsi:type="dcterms:W3CDTF">2023-02-01T19:07:00Z</dcterms:created>
  <dcterms:modified xsi:type="dcterms:W3CDTF">2023-02-01T19:18:00Z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 6th edition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8th edition</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dd2f9280-ab8c-3f6b-9770-92e227ac005d</vt:lpwstr>
  </property>
  <property fmtid="{D5CDD505-2E9C-101B-9397-08002B2CF9AE}" pid="24" name="Mendeley Citation Style_1">
    <vt:lpwstr>http://www.zotero.org/styles/vancouver</vt:lpwstr>
  </property>
</Properties>
</file>