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80"/>
        <w:jc w:val="center"/>
        <w:rPr/>
      </w:pPr>
      <w:r>
        <w:rPr>
          <w:b/>
          <w:bCs/>
        </w:rPr>
        <w:t>UNIVERSIDADE FEDERAL DE MATO GROSSO DO SUL</w:t>
      </w:r>
    </w:p>
    <w:p>
      <w:pPr>
        <w:pStyle w:val="Normal"/>
        <w:spacing w:before="0" w:after="80"/>
        <w:jc w:val="center"/>
        <w:rPr/>
      </w:pPr>
      <w:r>
        <w:rPr>
          <w:sz w:val="20"/>
          <w:szCs w:val="20"/>
        </w:rPr>
        <w:t>Programa de Pós-Graduação em Saúde e Desenvolvimento da Região Centro-Oeste</w:t>
      </w:r>
    </w:p>
    <w:p>
      <w:pPr>
        <w:pStyle w:val="Normal"/>
        <w:spacing w:before="400" w:after="200"/>
        <w:rPr/>
      </w:pPr>
      <w:r>
        <w:rPr/>
      </w:r>
    </w:p>
    <w:p>
      <w:pPr>
        <w:pStyle w:val="Normal"/>
        <w:spacing w:before="400" w:after="200"/>
        <w:rPr/>
      </w:pPr>
      <w:r>
        <w:rPr/>
      </w:r>
    </w:p>
    <w:p>
      <w:pPr>
        <w:pStyle w:val="Normal"/>
        <w:spacing w:before="400" w:after="200"/>
        <w:rPr/>
      </w:pPr>
      <w:r>
        <w:rPr/>
      </w:r>
    </w:p>
    <w:p>
      <w:pPr>
        <w:pStyle w:val="Normal"/>
        <w:spacing w:before="400" w:after="200"/>
        <w:rPr/>
      </w:pPr>
      <w:r>
        <w:rPr/>
      </w:r>
    </w:p>
    <w:p>
      <w:pPr>
        <w:pStyle w:val="Normal"/>
        <w:spacing w:before="400" w:after="200"/>
        <w:rPr/>
      </w:pPr>
      <w:r>
        <w:rPr/>
      </w:r>
    </w:p>
    <w:p>
      <w:pPr>
        <w:pStyle w:val="Normal"/>
        <w:spacing w:before="400" w:after="200"/>
        <w:jc w:val="center"/>
        <w:rPr/>
      </w:pPr>
      <w:r>
        <w:rPr>
          <w:b/>
          <w:bCs/>
          <w:sz w:val="28"/>
          <w:szCs w:val="28"/>
        </w:rPr>
        <w:t>IMPLANTAÇÃO INTRADISCAL DE CÉLULAS-TRONCO MESENQUIMAIS AUTÓLOGAS DERIVADAS DE TECIDO ADIPOSO ASSOCIADAS AO PLASMA RICO EM PLAQUETAS NA DOR LOMBAR CRÔNICA DISCOGÊNICA: ENSAIO CLÍNICO RANDOMIZADO CONTROLADO</w:t>
      </w:r>
    </w:p>
    <w:p>
      <w:pPr>
        <w:pStyle w:val="Normal"/>
        <w:spacing w:before="600" w:after="100"/>
        <w:rPr/>
      </w:pPr>
      <w:r>
        <w:rPr/>
      </w:r>
    </w:p>
    <w:p>
      <w:pPr>
        <w:pStyle w:val="Normal"/>
        <w:spacing w:before="600" w:after="100"/>
        <w:rPr/>
      </w:pPr>
      <w:r>
        <w:rPr/>
      </w:r>
    </w:p>
    <w:p>
      <w:pPr>
        <w:pStyle w:val="Normal"/>
        <w:spacing w:before="600" w:after="100"/>
        <w:rPr/>
      </w:pPr>
      <w:r>
        <w:rPr/>
      </w:r>
    </w:p>
    <w:p>
      <w:pPr>
        <w:pStyle w:val="Normal"/>
        <w:spacing w:before="600" w:after="100"/>
        <w:rPr/>
      </w:pPr>
      <w:r>
        <w:rPr/>
      </w:r>
    </w:p>
    <w:p>
      <w:pPr>
        <w:pStyle w:val="Normal"/>
        <w:spacing w:before="600" w:after="100"/>
        <w:rPr/>
      </w:pPr>
      <w:r>
        <w:rPr/>
      </w:r>
    </w:p>
    <w:p>
      <w:pPr>
        <w:pStyle w:val="Normal"/>
        <w:spacing w:before="0" w:after="80"/>
        <w:jc w:val="center"/>
        <w:rPr/>
      </w:pPr>
      <w:r>
        <w:rPr>
          <w:b/>
          <w:bCs/>
        </w:rPr>
        <w:t xml:space="preserve">Pesquisador: </w:t>
      </w:r>
      <w:r>
        <w:rPr/>
        <w:t>Rafael Nascimento</w:t>
      </w:r>
    </w:p>
    <w:p>
      <w:pPr>
        <w:pStyle w:val="Normal"/>
        <w:spacing w:before="0" w:after="80"/>
        <w:jc w:val="center"/>
        <w:rPr/>
      </w:pPr>
      <w:r>
        <w:rPr>
          <w:b/>
          <w:bCs/>
        </w:rPr>
        <w:t xml:space="preserve">Orientador: </w:t>
      </w:r>
      <w:r>
        <w:rPr/>
        <w:t>Prof. Dr. Rodrigo Juliano Oliveira</w:t>
      </w:r>
    </w:p>
    <w:p>
      <w:pPr>
        <w:pStyle w:val="Normal"/>
        <w:spacing w:before="0" w:after="80"/>
        <w:jc w:val="center"/>
        <w:rPr/>
      </w:pPr>
      <w:r>
        <w:rPr>
          <w:b/>
          <w:bCs/>
        </w:rPr>
        <w:t xml:space="preserve">Linha de Pesquisa: </w:t>
      </w:r>
      <w:r>
        <w:rPr/>
        <w:t>IX — Cultivo celular, terapia celular e engenharia tecidual</w:t>
      </w:r>
    </w:p>
    <w:p>
      <w:pPr>
        <w:pStyle w:val="Normal"/>
        <w:spacing w:before="0" w:after="80"/>
        <w:jc w:val="center"/>
        <w:rPr/>
      </w:pPr>
      <w:r>
        <w:rPr>
          <w:b/>
          <w:bCs/>
        </w:rPr>
        <w:t xml:space="preserve">Objetivo ODS: </w:t>
      </w:r>
      <w:r>
        <w:rPr/>
        <w:t>3 — Saúde e Bem-Estar</w:t>
      </w:r>
    </w:p>
    <w:p>
      <w:pPr>
        <w:pStyle w:val="Normal"/>
        <w:spacing w:before="0" w:after="80"/>
        <w:rPr/>
      </w:pPr>
      <w:r>
        <w:rPr/>
      </w:r>
    </w:p>
    <w:p>
      <w:pPr>
        <w:pStyle w:val="Normal"/>
        <w:spacing w:before="0" w:after="80"/>
        <w:rPr/>
      </w:pPr>
      <w:r>
        <w:rPr/>
      </w:r>
    </w:p>
    <w:p>
      <w:pPr>
        <w:pStyle w:val="Normal"/>
        <w:spacing w:before="400" w:after="80"/>
        <w:rPr/>
      </w:pPr>
      <w:r>
        <w:rPr/>
      </w:r>
    </w:p>
    <w:p>
      <w:pPr>
        <w:pStyle w:val="Normal"/>
        <w:jc w:val="center"/>
        <w:rPr/>
      </w:pPr>
      <w:r>
        <w:rPr>
          <w:b/>
          <w:bCs/>
        </w:rPr>
        <w:t>Campo Grande</w:t>
        <w:br/>
        <w:t>2026</w:t>
        <w:br/>
        <w:t>CAAE 99202226.4.0000.0320 · Versão de 14/07/2026 (resposta ao Parecer Consubstanciado nº 8.554.273)</w:t>
      </w:r>
    </w:p>
    <w:p>
      <w:pPr>
        <w:pStyle w:val="Heading1"/>
        <w:rPr>
          <w:color w:val="auto"/>
        </w:rPr>
      </w:pPr>
      <w:r>
        <w:rPr>
          <w:color w:val="auto"/>
        </w:rPr>
        <w:t>RESUMO</w:t>
      </w:r>
    </w:p>
    <w:p>
      <w:pPr>
        <w:pStyle w:val="Normal"/>
        <w:spacing w:lineRule="auto" w:line="360" w:before="80" w:after="80"/>
        <w:jc w:val="both"/>
        <w:rPr/>
      </w:pPr>
      <w:r>
        <w:rPr/>
        <w:t>A dor lombar crônica (DLC) é uma condição debilitante com prevalência global e a degeneração do disco intervertebral (DDI) é considerada uma das suas principais causas. As terapias convencionais para DLC, como o tratamento farmacológico e a fisioterapia, frequentemente não são suficientes para aliviar a dor de forma eficaz e duradoura. A terapia com células-tronco mesenquimais (MSCs) emergiu como opção potencial para o tratamento da degeneração discal, com evidências de segurança e sinais preliminares de eficácia em estudos de fase inicial.</w:t>
      </w:r>
    </w:p>
    <w:p>
      <w:pPr>
        <w:pStyle w:val="Normal"/>
        <w:spacing w:lineRule="auto" w:line="360" w:before="80" w:after="80"/>
        <w:jc w:val="both"/>
        <w:rPr/>
      </w:pPr>
      <w:r>
        <w:rPr/>
        <w:t>Este estudo visa investigar a segurança, a tolerabilidade e gerar sinal exploratório de eficácia da implantação intradiscal de MSCs derivadas de tecido adiposo autólogo (MSCs-TA) combinadas com plasma rico em plaquetas pobre em leucócitos (LP-PRP) em pacientes com DLC crônica de origem discogênica. Trata-se de ensaio clínico randomizado controlado (ECR) de fase I, aberto, unicêntrico (n=30; 15 por grupo), com delineamento aditivo: o grupo intervenção recebe o tratamento conservador habitual (best supportive care) acrescido da terapia celular, enquanto o grupo controle mantém apenas o tratamento conservador habitual — cuidado mantido pela rede de origem do participante, não provido nem custeado pelo estudo. Os participantes serão acompanhados por 12 meses com avaliações clínicas, laboratoriais e de imagem em intervalos padronizados. O desfecho primário é segurança e tolerabilidade. Os desfechos secundários exploratórios incluem EVA, ODI, SF-36 e conteúdo hídrico do disco por RNM com mapeamento DWI/ADC. Os resultados fornecerão dados adicionais de segurança em população brasileira e em desenho controlado e os parâmetros de variabilidade necessários para o dimensionamento de um futuro ECR de fase II/III multicêntrico.</w:t>
      </w:r>
    </w:p>
    <w:p>
      <w:pPr>
        <w:pStyle w:val="Normal"/>
        <w:spacing w:before="120" w:after="60"/>
        <w:rPr/>
      </w:pPr>
      <w:r>
        <w:rPr/>
      </w:r>
    </w:p>
    <w:p>
      <w:pPr>
        <w:pStyle w:val="Normal"/>
        <w:spacing w:lineRule="auto" w:line="360" w:before="80" w:after="80"/>
        <w:jc w:val="both"/>
        <w:rPr/>
      </w:pPr>
      <w:r>
        <w:rPr>
          <w:i/>
          <w:iCs/>
        </w:rPr>
        <w:t>Palavras-chave: células-tronco mesenquimais; dor lombar crônica; degeneração discal; plasma rico em plaquetas; ensaio clínico randomizado; terapia celular intradiscal.</w:t>
      </w:r>
    </w:p>
    <w:p>
      <w:pPr>
        <w:pStyle w:val="Normal"/>
        <w:rPr/>
      </w:pPr>
      <w:r>
        <w:rPr/>
      </w:r>
      <w:r>
        <w:br w:type="page"/>
      </w:r>
    </w:p>
    <w:p>
      <w:pPr>
        <w:pStyle w:val="Heading1"/>
        <w:spacing w:before="0" w:after="160"/>
        <w:rPr>
          <w:color w:val="auto"/>
        </w:rPr>
      </w:pPr>
      <w:r>
        <w:rPr>
          <w:color w:val="auto"/>
        </w:rPr>
        <w:t>1. INTRODUÇÃO</w:t>
      </w:r>
    </w:p>
    <w:p>
      <w:pPr>
        <w:pStyle w:val="Normal"/>
        <w:spacing w:lineRule="auto" w:line="360" w:before="80" w:after="80"/>
        <w:jc w:val="both"/>
        <w:rPr/>
      </w:pPr>
      <w:r>
        <w:rPr/>
        <w:t>A dor lombar crônica (DLC) é uma das principais causas de incapacidade e tem enorme impacto social e econômico nos pacientes e em seus familiares. O custo real da dor lombar é difícil de estimar porque é influenciado por muitos fatores, mas estima-se que seja tão alto quanto US$ 500 bilhões (DAGENAIS et al., 2010). Aproximadamente 80% dos adultos experimentam DLC em algum momento de suas vidas, com uma prevalência variando de 15 a 45%, e a prevalência de DLC crônica aumenta com a idade devido ao envelhecimento da população global, mudanças no estilo de vida e estresses ocupacionais (DAGENAIS et al., 2010; RICHARDSON et al., 2016).</w:t>
      </w:r>
    </w:p>
    <w:p>
      <w:pPr>
        <w:pStyle w:val="Normal"/>
        <w:spacing w:lineRule="auto" w:line="360" w:before="80" w:after="80"/>
        <w:jc w:val="both"/>
        <w:rPr/>
      </w:pPr>
      <w:r>
        <w:rPr/>
        <w:t>A degeneração do disco intervertebral (DDI) é caracterizada pela degradação progressiva e irreversível do disco devido a causas multifatoriais. Embora nem todos os pacientes com evidência radiológica de DDI tenham DLC, a DDI é considerada uma das suas principais causas (SERIGANO et al., 2010; SMITH et al., 2011). As doenças discais degenerativas (DDD), decorrentes da DDI, compreendem uma série de doenças espinhais dolorosas que incluem dor lombar discogênica e hérnia de disco lombar (BATTIÉ et al., 2019).</w:t>
      </w:r>
    </w:p>
    <w:p>
      <w:pPr>
        <w:pStyle w:val="Normal"/>
        <w:spacing w:lineRule="auto" w:line="360" w:before="80" w:after="80"/>
        <w:jc w:val="both"/>
        <w:rPr/>
      </w:pPr>
      <w:r>
        <w:rPr/>
        <w:t>A degeneração do DDI é caracterizada pelo declínio progressivo na hidratação do núcleo pulposo (NP) devido à perda de moléculas da matriz extracelular (MEC) como o agrecano e colágeno (DAGENAIS et al., 2010; HAN et al., 2015). Essa diminuição da hidratação resulta em perda de tensão mecânica nas fibras de colágeno do ânulo fibroso, forças anormais de carga axial e instabilidade segmentar (PENNICOOKE et al., 2016). Eventualmente, a degeneração pode resultar em anormalidades em outras partes do disco e desenvolver condições graves como hérnia de disco, espondilolistese, estenose do canal vertebral ou síndrome da articulação facetária (ANTONIOU et al., 1996; MARTIN et al., 2002).</w:t>
      </w:r>
    </w:p>
    <w:p>
      <w:pPr>
        <w:pStyle w:val="Normal"/>
        <w:spacing w:lineRule="auto" w:line="360" w:before="80" w:after="80"/>
        <w:jc w:val="both"/>
        <w:rPr/>
      </w:pPr>
      <w:r>
        <w:rPr/>
        <w:t>Os procedimentos cirúrgicos existentes para corrigir hérnia de disco ou estenose espinhal causada pela DDI não abordam o aumento anormal nos níveis de citocinas pró-inflamatórias do disco degenerado nem a perda de células nativas funcionais dentro do DIV (HAUFE; MORK, 2006). As pesquisas atuais estão focadas no desenvolvimento de terapias baseadas em células-tronco para inibir a produção de citocinas, estimular o anabolismo da matriz e repovoar as células nativas (SUGIMOTO; ETO, 2017).</w:t>
      </w:r>
    </w:p>
    <w:p>
      <w:pPr>
        <w:pStyle w:val="Normal"/>
        <w:spacing w:lineRule="auto" w:line="360" w:before="80" w:after="80"/>
        <w:jc w:val="both"/>
        <w:rPr/>
      </w:pPr>
      <w:r>
        <w:rPr/>
        <w:t>As células-tronco mesenquimais (MSCs) são antecipadas como fonte ideal de células para a regeneração do DDI devido às suas funções imunomoduladoras e à capacidade de diferenciação em cartilagem. Um ensaio clínico demonstrou melhora nos escores de dor e incapacidade, bem como aumento do conteúdo de água no disco 12 meses após a implantação de MSCs (OROZCO et al., 2011). MSCs isoladas de medula óssea e tecido adiposo são capazes de se diferenciar em fenótipo semelhante ao NP (SAKAI et al., 2005; SOBAJIMA et al., 2008).</w:t>
      </w:r>
    </w:p>
    <w:p>
      <w:pPr>
        <w:pStyle w:val="Normal"/>
        <w:spacing w:lineRule="auto" w:line="360" w:before="80" w:after="80"/>
        <w:jc w:val="both"/>
        <w:rPr/>
      </w:pPr>
      <w:r>
        <w:rPr/>
        <w:t>Estudos clínicos mais recentes reforçam que a terapia intradiscal com MSCs permanece biologicamente promissora, porém ainda sem eficácia clínica definitivamente comprovada. No estudo RESPINE, ensaio multicêntrico randomizado controlado por sham, a administração intradiscal de MSCs alogênicas de medula óssea em pacientes com DLC associada à degeneração discal não atingiu o desfecho primário de melhora em VAS/ODI, embora o procedimento tenha se mostrado seguro (PERS et al., 2024). De forma semelhante, o estudo DREAM, ensaio de fase IIB randomizado, duplo-cego e controlado por sham com MSCs autólogas de medula óssea em degeneração moderada a avançada multinível, observou boa tolerabilidade, sem eventos adversos graves atribuíveis, e melhora estrutural (aumento do índice de altura discal), porém sem superioridade clínica significativa sobre o sham no seguimento de 6 meses — observando-se, inclusive, que parte do ganho estrutural poderia decorrer do próprio volume injetado, e não apenas de regeneração (VADALÀ et al., 2025). O maior ensaio controlado até o momento (BEALL et al., 2025; n=404, 49 centros, 36 meses) não demonstrou superioridade robusta no desfecho composto primário global de sucesso do tratamento, ainda que tenha demonstrado redução significativa da dor lombar em subgrupo pré-especificado de pacientes com menor duração de sintomas. Uma revisão sistemática recente, abrangendo treze ensaios clínicos de qualidade metodológica baixa a moderada, concluiu que os modelos pré-clínicos demonstram regeneração consistente, mas que os estudos em humanos mostram melhora apenas modesta de dor e incapacidade, sem prova imagiológica convincente de reparo biológico, com segurança de curto a médio prazo aceitável (FERRAZ et al., 2025). No conjunto, esses achados indicam que a tradução clínica da regeneração discal por MSCs permanece limitada por heterogeneidade fenotípica, seleção do disco-alvo, estágio degenerativo, fonte celular, dose, veículo biológico e tempo de seguimento.</w:t>
      </w:r>
    </w:p>
    <w:p>
      <w:pPr>
        <w:pStyle w:val="Normal"/>
        <w:spacing w:lineRule="auto" w:line="360" w:before="80" w:after="80"/>
        <w:jc w:val="both"/>
        <w:rPr/>
      </w:pPr>
      <w:r>
        <w:rPr/>
        <w:t>Frente ao exposto, o objetivo desta pesquisa é investigar a segurança, a tolerabilidade e gerar sinal exploratório de eficácia da implantação intradiscal de MSCs-TA combinadas com LP-PRP em pacientes com DLC de origem discogênica, em um ensaio clínico randomizado controlado de fase I com delineamento aditivo.</w:t>
      </w:r>
    </w:p>
    <w:p>
      <w:pPr>
        <w:pStyle w:val="Normal"/>
        <w:rPr/>
      </w:pPr>
      <w:r>
        <w:rPr/>
      </w:r>
      <w:r>
        <w:br w:type="page"/>
      </w:r>
    </w:p>
    <w:p>
      <w:pPr>
        <w:pStyle w:val="Heading1"/>
        <w:spacing w:before="0" w:after="160"/>
        <w:rPr>
          <w:color w:val="auto"/>
        </w:rPr>
      </w:pPr>
      <w:r>
        <w:rPr>
          <w:color w:val="auto"/>
        </w:rPr>
        <w:t>2. REVISÃO DE LITERATURA</w:t>
      </w:r>
    </w:p>
    <w:p>
      <w:pPr>
        <w:pStyle w:val="Heading2"/>
        <w:rPr>
          <w:color w:val="auto"/>
        </w:rPr>
      </w:pPr>
      <w:r>
        <w:rPr>
          <w:color w:val="auto"/>
        </w:rPr>
        <w:t>2.1. Discopatia Degenerativa: Etiologia, Epidemiologia e Aspectos Clínicos</w:t>
      </w:r>
    </w:p>
    <w:p>
      <w:pPr>
        <w:pStyle w:val="Normal"/>
        <w:spacing w:lineRule="auto" w:line="360" w:before="80" w:after="80"/>
        <w:jc w:val="both"/>
        <w:rPr/>
      </w:pPr>
      <w:r>
        <w:rPr/>
        <w:t>A história clínica e o exame físico podem ser sugestivos, mas não diagnósticos, de patologia do disco intervertebral. Imagens avançadas são necessárias para confirmação mais precisa (BOGDUK, 2012; PFIRRMANN et al., 2001). A ressonância nuclear magnética (RNM) é a melhor modalidade de imagem não invasiva para definir a patologia do disco e graduar a gravidade da degeneração (PFIRRMANN et al., 2001; PENG et al., 2006). Embora controversa, a discografia provocativa pode ser empregada para visualizar a doença intradiscal e determinar se o disco é o gerador de dor (BOGDUK et al., 2013; DERBY et al., 2012).</w:t>
      </w:r>
    </w:p>
    <w:p>
      <w:pPr>
        <w:pStyle w:val="Normal"/>
        <w:spacing w:lineRule="auto" w:line="360" w:before="80" w:after="80"/>
        <w:jc w:val="both"/>
        <w:rPr/>
      </w:pPr>
      <w:r>
        <w:rPr/>
        <w:t>Três estados patológicos relacionados do disco podem ser descritos: (1) a disrupção interna do disco (DID), centrada em fissuras dolorosas do ânulo; (2) a Doença Degenerativa do Disco (DDD), na qual a degeneração nuclear predomina e compromete a integridade mecânica do disco; e (3) a hérnia de disco, onde a dor radicular aguda é mais comum (BOGDUK, 2012; LONGO et al., 2012).</w:t>
      </w:r>
    </w:p>
    <w:p>
      <w:pPr>
        <w:pStyle w:val="Heading2"/>
        <w:rPr>
          <w:color w:val="auto"/>
        </w:rPr>
      </w:pPr>
      <w:r>
        <w:rPr>
          <w:color w:val="auto"/>
        </w:rPr>
        <w:t>2.2. Tratamentos Existentes</w:t>
      </w:r>
    </w:p>
    <w:p>
      <w:pPr>
        <w:pStyle w:val="Normal"/>
        <w:spacing w:lineRule="auto" w:line="360" w:before="80" w:after="80"/>
        <w:jc w:val="both"/>
        <w:rPr/>
      </w:pPr>
      <w:r>
        <w:rPr/>
        <w:t>O conhecimento das modalidades de tratamento disponíveis para dor lombar discogênica é importante para melhorar os resultados dos pacientes e mitigar riscos. As terapias intervencionistas devem idealmente cumprir três objetivos: declínio da dor nociceptiva primária, desaceleração do metabolismo catabólico dentro do disco e restauração parcial do tecido discal (DEPALMA, 2012; PETERSOHN, 2012). As modalidades cirúrgicas são consideradas último recurso para comprometimento neurológico ou dor intratável, servindo principalmente para reduzir dor por processo essencialmente destrutivo (MADIGAN et al., 2009; HERKOWITZ; SIDHU, 1995).</w:t>
      </w:r>
    </w:p>
    <w:p>
      <w:pPr>
        <w:pStyle w:val="Heading2"/>
        <w:rPr>
          <w:color w:val="auto"/>
        </w:rPr>
      </w:pPr>
      <w:r>
        <w:rPr>
          <w:color w:val="auto"/>
        </w:rPr>
        <w:t>2.3. Células-Tronco Mesenquimais (MSCs)</w:t>
      </w:r>
    </w:p>
    <w:p>
      <w:pPr>
        <w:pStyle w:val="Normal"/>
        <w:spacing w:lineRule="auto" w:line="360" w:before="80" w:after="80"/>
        <w:jc w:val="both"/>
        <w:rPr/>
      </w:pPr>
      <w:r>
        <w:rPr/>
        <w:t>A célula-tronco é um tipo especial de célula capaz de se renovar e dar origem a tipos celulares especializados (BUNCH, 2001). As MSCs são classificadas como multipotentes e não hematopoiéticas (FRIEDENSTEIN et al., 1987) e se destacam para as terapias celulares (SCHWINDT et al., 2005). MSCs autólogas podem ser isoladas de tecido adiposo abdominal subcutâneo e cultivadas por 3 semanas ou mais, obtendo-se entre 4,7 × 10⁷ a 5,4 × 10⁷ células por frasco, com viabilidade acima de 87%.</w:t>
      </w:r>
    </w:p>
    <w:p>
      <w:pPr>
        <w:pStyle w:val="Normal"/>
        <w:spacing w:lineRule="auto" w:line="360" w:before="80" w:after="80"/>
        <w:jc w:val="both"/>
        <w:rPr/>
      </w:pPr>
      <w:r>
        <w:rPr/>
        <w:t>As MSCs-TA na passagem 3 devem apresentar alta expressão dos marcadores de superfície mesenquimais CD73, CD44 e CD29 (&gt; 90% da população total) e morfologia fibroblastoide típica. Estudos pré-clínicos demonstraram que MSCs implantadas em DIV de modelos animais aumentaram a produção de MEC e a hidratação do disco (FENG et al., 2011; HIYAMA et al., 2008; SAKAI et al., 2005).</w:t>
      </w:r>
    </w:p>
    <w:p>
      <w:pPr>
        <w:pStyle w:val="Heading2"/>
        <w:rPr>
          <w:color w:val="auto"/>
        </w:rPr>
      </w:pPr>
      <w:r>
        <w:rPr>
          <w:color w:val="auto"/>
        </w:rPr>
        <w:t>2.4. Plasma Rico em Plaquetas (PRP) como Scaffold para MSCs</w:t>
      </w:r>
    </w:p>
    <w:p>
      <w:pPr>
        <w:pStyle w:val="Normal"/>
        <w:spacing w:lineRule="auto" w:line="360" w:before="80" w:after="80"/>
        <w:jc w:val="both"/>
        <w:rPr/>
      </w:pPr>
      <w:r>
        <w:rPr/>
        <w:t>A implantação combinada de MSCs com transportadores celulares como o ácido hialurônico (HA) e o plasma rico em plaquetas (PRP) foi sugerida para reduzir o risco de formação de osteófitos por extravasamento celular (VADALA et al., 2012). O PRP pobre em leucócitos (LP-PRP) está associado a menor resposta inflamatória intradiscal e pode atuar como scaffold para ancoragem das MSCs, além de fornecer fatores de crescimento que potencializam a diferenciação celular (CHANG et al., 2020; PENG et al., 2023). O uso do PRP combinado com MSCs foi relatado com sucesso por Chang et al. (2020), e os parâmetros de concentração e ativação foram padronizados conforme a literatura mais recente.</w:t>
      </w:r>
    </w:p>
    <w:p>
      <w:pPr>
        <w:pStyle w:val="Normal"/>
        <w:rPr/>
      </w:pPr>
      <w:r>
        <w:rPr/>
      </w:r>
      <w:r>
        <w:br w:type="page"/>
      </w:r>
    </w:p>
    <w:p>
      <w:pPr>
        <w:pStyle w:val="Heading1"/>
        <w:spacing w:before="0" w:after="160"/>
        <w:rPr>
          <w:color w:val="auto"/>
        </w:rPr>
      </w:pPr>
      <w:r>
        <w:rPr>
          <w:color w:val="auto"/>
        </w:rPr>
        <w:t>3. OBJETIVOS</w:t>
      </w:r>
    </w:p>
    <w:p>
      <w:pPr>
        <w:pStyle w:val="Heading2"/>
        <w:rPr>
          <w:color w:val="auto"/>
        </w:rPr>
      </w:pPr>
      <w:r>
        <w:rPr>
          <w:color w:val="auto"/>
        </w:rPr>
        <w:t>3.1. Objetivo Geral</w:t>
      </w:r>
    </w:p>
    <w:p>
      <w:pPr>
        <w:pStyle w:val="Normal"/>
        <w:spacing w:lineRule="auto" w:line="360" w:before="80" w:after="80"/>
        <w:jc w:val="both"/>
        <w:rPr/>
      </w:pPr>
      <w:r>
        <w:rPr/>
        <w:t>Avaliar a segurança, a tolerabilidade e gerar sinal exploratório de eficácia da implantação intradiscal de células-tronco mesenquimais autólogas derivadas de tecido adiposo (MSCs-TA) combinadas com plasma rico em plaquetas pobre em leucócitos (LP-PRP) em pacientes com dor lombar crônica de origem discogênica, por meio de ensaio clínico randomizado controlado de fase I com delineamento aditivo.</w:t>
      </w:r>
    </w:p>
    <w:p>
      <w:pPr>
        <w:pStyle w:val="Heading2"/>
        <w:rPr>
          <w:color w:val="auto"/>
        </w:rPr>
      </w:pPr>
      <w:r>
        <w:rPr>
          <w:color w:val="auto"/>
        </w:rPr>
        <w:t>3.2. Objetivos Específicos</w:t>
      </w:r>
    </w:p>
    <w:p>
      <w:pPr>
        <w:pStyle w:val="ListParagraph"/>
        <w:numPr>
          <w:ilvl w:val="0"/>
          <w:numId w:val="4"/>
        </w:numPr>
        <w:spacing w:lineRule="auto" w:line="319" w:before="60" w:after="60"/>
        <w:rPr/>
      </w:pPr>
      <w:r>
        <w:rPr/>
        <w:t>Identificar e caracterizar as MSCs-TA por citometria de fluxo (CD73, CD44, CD29 positivos; CD45 negativo) e confirmar capacidade de diferenciação adipogênica, condrogênica e osteogênica in vitro;</w:t>
      </w:r>
    </w:p>
    <w:p>
      <w:pPr>
        <w:pStyle w:val="ListParagraph"/>
        <w:numPr>
          <w:ilvl w:val="0"/>
          <w:numId w:val="5"/>
        </w:numPr>
        <w:spacing w:lineRule="auto" w:line="319" w:before="60" w:after="60"/>
        <w:rPr/>
      </w:pPr>
      <w:r>
        <w:rPr/>
        <w:t>Padronizar e controlar a qualidade do LP-PRP utilizado como scaffold celular, incluindo confirmação de concentração plaquetária, ausência de contaminação leucocitária e viabilidade;</w:t>
      </w:r>
    </w:p>
    <w:p>
      <w:pPr>
        <w:pStyle w:val="ListParagraph"/>
        <w:numPr>
          <w:ilvl w:val="0"/>
          <w:numId w:val="6"/>
        </w:numPr>
        <w:spacing w:lineRule="auto" w:line="319" w:before="60" w:after="60"/>
        <w:rPr/>
      </w:pPr>
      <w:r>
        <w:rPr/>
        <w:t>Avaliar a incidência de eventos adversos (EA) e eventos adversos graves (EAG) atribuíveis ao tratamento ao longo de 12 meses de acompanhamento — desfecho primário;</w:t>
      </w:r>
    </w:p>
    <w:p>
      <w:pPr>
        <w:pStyle w:val="ListParagraph"/>
        <w:numPr>
          <w:ilvl w:val="0"/>
          <w:numId w:val="7"/>
        </w:numPr>
        <w:spacing w:lineRule="auto" w:line="319" w:before="60" w:after="60"/>
        <w:rPr/>
      </w:pPr>
      <w:r>
        <w:rPr/>
        <w:t>Gerar sinal exploratório de eficácia por meio da avaliação das alterações em EVA, ODI e SF-36 desde o baseline até 12 meses pós-intervenção;</w:t>
      </w:r>
    </w:p>
    <w:p>
      <w:pPr>
        <w:pStyle w:val="ListParagraph"/>
        <w:numPr>
          <w:ilvl w:val="0"/>
          <w:numId w:val="8"/>
        </w:numPr>
        <w:spacing w:lineRule="auto" w:line="319" w:before="60" w:after="60"/>
        <w:rPr/>
      </w:pPr>
      <w:r>
        <w:rPr/>
        <w:t>Avaliar o processo de regeneração do disco intervertebral por meio de imagem quantitativa (coeficiente de difusão aparente — ADC, do inglês apparent diffusion coefficient; CDA em português) por RNM com mapeamento DWI em baseline, 6 e 12 meses;</w:t>
      </w:r>
    </w:p>
    <w:p>
      <w:pPr>
        <w:pStyle w:val="ListParagraph"/>
        <w:numPr>
          <w:ilvl w:val="0"/>
          <w:numId w:val="9"/>
        </w:numPr>
        <w:spacing w:lineRule="auto" w:line="319" w:before="60" w:after="60"/>
        <w:rPr/>
      </w:pPr>
      <w:r>
        <w:rPr/>
        <w:t>Estimar os parâmetros de variabilidade (média e desvio-padrão) dos desfechos contínuos para o dimensionamento amostral de um futuro ECR de fase II/III multicêntrico.</w:t>
      </w:r>
    </w:p>
    <w:p>
      <w:pPr>
        <w:pStyle w:val="Normal"/>
        <w:rPr/>
      </w:pPr>
      <w:r>
        <w:rPr/>
      </w:r>
      <w:r>
        <w:br w:type="page"/>
      </w:r>
    </w:p>
    <w:p>
      <w:pPr>
        <w:pStyle w:val="Heading1"/>
        <w:spacing w:before="0" w:after="160"/>
        <w:rPr>
          <w:color w:val="auto"/>
        </w:rPr>
      </w:pPr>
      <w:r>
        <w:rPr>
          <w:color w:val="auto"/>
        </w:rPr>
        <w:t>4. METODOLOGIA</w:t>
      </w:r>
    </w:p>
    <w:p>
      <w:pPr>
        <w:pStyle w:val="Heading2"/>
        <w:rPr>
          <w:color w:val="auto"/>
        </w:rPr>
      </w:pPr>
      <w:r>
        <w:rPr>
          <w:color w:val="auto"/>
        </w:rPr>
        <w:t>4.1. Consentimento e Aprovação Ética</w:t>
      </w:r>
    </w:p>
    <w:p>
      <w:pPr>
        <w:pStyle w:val="Normal"/>
        <w:spacing w:lineRule="auto" w:line="360" w:before="80" w:after="80"/>
        <w:jc w:val="both"/>
        <w:rPr/>
      </w:pPr>
      <w:r>
        <w:rPr/>
        <w:t>O projeto será submetido ao Comitê de Ética em Pesquisa do Hospital Universitário Maria Aparecida Pedrossian — HUMAP-UFMS/Ebserh, integrante do Sistema CEP/CONEP antes de qualquer contato com participantes. O início do recrutamento somente ocorrerá após aprovação formal do CEP e registro prospectivo do estudo no Registro Brasileiro de Ensaios Clínicos (ReBEC) e, preferencialmente, no ClinicalTrials.gov.</w:t>
      </w:r>
    </w:p>
    <w:p>
      <w:pPr>
        <w:pStyle w:val="Normal"/>
        <w:spacing w:lineRule="auto" w:line="360" w:before="80" w:after="80"/>
        <w:jc w:val="both"/>
        <w:rPr/>
      </w:pPr>
      <w:r>
        <w:rPr/>
        <w:t>Os pacientes serão convidados por profissional sem vínculo de cuidado com os participantes — designado especificamente para essa função — durante atendimento no Ambulatório da Dor do HUMAP/UFMS. O pesquisador principal assumirá funções de investigador apenas após a assinatura do Termo de Consentimento Livre e Esclarecido (TCLE).</w:t>
      </w:r>
    </w:p>
    <w:p>
      <w:pPr>
        <w:pStyle w:val="Heading2"/>
        <w:rPr>
          <w:color w:val="auto"/>
        </w:rPr>
      </w:pPr>
      <w:r>
        <w:rPr>
          <w:color w:val="auto"/>
        </w:rPr>
        <w:t>4.2. Critérios de Inclusão</w:t>
      </w:r>
    </w:p>
    <w:p>
      <w:pPr>
        <w:pStyle w:val="Normal"/>
        <w:spacing w:lineRule="auto" w:line="360" w:before="80" w:after="80"/>
        <w:jc w:val="both"/>
        <w:rPr/>
      </w:pPr>
      <w:r>
        <w:rPr/>
        <w:t>Os critérios de inclusão para participação no estudo clínico serão:</w:t>
      </w:r>
    </w:p>
    <w:p>
      <w:pPr>
        <w:pStyle w:val="ListParagraph"/>
        <w:numPr>
          <w:ilvl w:val="0"/>
          <w:numId w:val="10"/>
        </w:numPr>
        <w:spacing w:lineRule="auto" w:line="319" w:before="60" w:after="60"/>
        <w:rPr/>
      </w:pPr>
      <w:r>
        <w:rPr/>
        <w:t>Ambos os sexos; idade entre 19 e 70 anos;</w:t>
      </w:r>
    </w:p>
    <w:p>
      <w:pPr>
        <w:pStyle w:val="ListParagraph"/>
        <w:numPr>
          <w:ilvl w:val="0"/>
          <w:numId w:val="11"/>
        </w:numPr>
        <w:spacing w:lineRule="auto" w:line="319" w:before="60" w:after="60"/>
        <w:rPr/>
      </w:pPr>
      <w:r>
        <w:rPr/>
        <w:t>Sintomas de dor lombar crônica discogênica axial por pelo menos 3 meses, com intensidade mínima de 4/10 na escala EVA;</w:t>
      </w:r>
    </w:p>
    <w:p>
      <w:pPr>
        <w:pStyle w:val="ListParagraph"/>
        <w:numPr>
          <w:ilvl w:val="0"/>
          <w:numId w:val="12"/>
        </w:numPr>
        <w:spacing w:lineRule="auto" w:line="319" w:before="60" w:after="60"/>
        <w:rPr/>
      </w:pPr>
      <w:r>
        <w:rPr/>
        <w:t>Nível de incapacidade ≥ 30% no ODI;</w:t>
      </w:r>
    </w:p>
    <w:p>
      <w:pPr>
        <w:pStyle w:val="ListParagraph"/>
        <w:numPr>
          <w:ilvl w:val="0"/>
          <w:numId w:val="13"/>
        </w:numPr>
        <w:spacing w:lineRule="auto" w:line="319" w:before="60" w:after="60"/>
        <w:rPr/>
      </w:pPr>
      <w:r>
        <w:rPr/>
        <w:t>Falha em responder a tratamentos convencionais incluindo medicação, reabilitação física intensiva e infiltração anestésica local nas articulações facetárias ou ramos mediais;</w:t>
      </w:r>
    </w:p>
    <w:p>
      <w:pPr>
        <w:pStyle w:val="ListParagraph"/>
        <w:numPr>
          <w:ilvl w:val="0"/>
          <w:numId w:val="14"/>
        </w:numPr>
        <w:spacing w:lineRule="auto" w:line="319" w:before="60" w:after="60"/>
        <w:rPr/>
      </w:pPr>
      <w:r>
        <w:rPr/>
        <w:t>Grau moderado de degeneração do disco intervertebral (grau III–IV de Pfirrmann em um ou dois níveis, baseado em RNM ponderada em T2);</w:t>
      </w:r>
    </w:p>
    <w:p>
      <w:pPr>
        <w:pStyle w:val="ListParagraph"/>
        <w:numPr>
          <w:ilvl w:val="0"/>
          <w:numId w:val="15"/>
        </w:numPr>
        <w:spacing w:lineRule="auto" w:line="319" w:before="60" w:after="60"/>
        <w:rPr/>
      </w:pPr>
      <w:r>
        <w:rPr/>
        <w:t>O subtipo de alteração de Modic da placa terminal (0, 1 ou 2) será registrado como variável pré-especificada no baseline. Pacientes com Modic tipo 1 (fenótipo inflamatório) são elegíveis, pois a terapia celular tem mecanismo imunomodulador potencialmente relevante nesse subtipo; o subtipo será analisado como covariável e em subanálise exploratória (Seção 4.6.4). Apenas o Modic tipo 3 (esclerótico) é critério de exclusão, por representar disco com baixíssima plausibilidade de resposta regenerativa;</w:t>
      </w:r>
    </w:p>
    <w:p>
      <w:pPr>
        <w:pStyle w:val="ListParagraph"/>
        <w:numPr>
          <w:ilvl w:val="0"/>
          <w:numId w:val="16"/>
        </w:numPr>
        <w:spacing w:lineRule="auto" w:line="319" w:before="60" w:after="60"/>
        <w:rPr/>
      </w:pPr>
      <w:r>
        <w:rPr/>
        <w:t>Estabilidade terapêutica documentada de no mínimo 6 semanas antes da randomização (ver Seção 4.5.2);</w:t>
      </w:r>
    </w:p>
    <w:p>
      <w:pPr>
        <w:pStyle w:val="ListParagraph"/>
        <w:numPr>
          <w:ilvl w:val="0"/>
          <w:numId w:val="17"/>
        </w:numPr>
        <w:spacing w:lineRule="auto" w:line="319" w:before="60" w:after="60"/>
        <w:rPr/>
      </w:pPr>
      <w:r>
        <w:rPr/>
        <w:t>Discografia provocativa positiva (ver Seção 4.9).</w:t>
      </w:r>
    </w:p>
    <w:p>
      <w:pPr>
        <w:pStyle w:val="Normal"/>
        <w:spacing w:before="160" w:after="80"/>
        <w:rPr/>
      </w:pPr>
      <w:r>
        <w:rPr/>
      </w:r>
    </w:p>
    <w:p>
      <w:pPr>
        <w:pStyle w:val="Heading2"/>
        <w:rPr>
          <w:color w:val="auto"/>
        </w:rPr>
      </w:pPr>
      <w:r>
        <w:rPr>
          <w:color w:val="auto"/>
        </w:rPr>
        <w:t>4.3. Critérios de Exclusão</w:t>
      </w:r>
    </w:p>
    <w:p>
      <w:pPr>
        <w:pStyle w:val="Normal"/>
        <w:spacing w:lineRule="auto" w:line="360" w:before="80" w:after="80"/>
        <w:jc w:val="both"/>
        <w:rPr/>
      </w:pPr>
      <w:r>
        <w:rPr/>
        <w:t>Os critérios de exclusão consistem em:</w:t>
      </w:r>
    </w:p>
    <w:p>
      <w:pPr>
        <w:pStyle w:val="ListParagraph"/>
        <w:numPr>
          <w:ilvl w:val="0"/>
          <w:numId w:val="18"/>
        </w:numPr>
        <w:spacing w:lineRule="auto" w:line="319" w:before="60" w:after="60"/>
        <w:rPr/>
      </w:pPr>
      <w:r>
        <w:rPr/>
        <w:t>Gravidez ou amamentação;</w:t>
      </w:r>
    </w:p>
    <w:p>
      <w:pPr>
        <w:pStyle w:val="ListParagraph"/>
        <w:numPr>
          <w:ilvl w:val="0"/>
          <w:numId w:val="19"/>
        </w:numPr>
        <w:spacing w:lineRule="auto" w:line="319" w:before="60" w:after="60"/>
        <w:rPr/>
      </w:pPr>
      <w:r>
        <w:rPr/>
        <w:t>Histórico prévio de cirurgia na área lombo-sacral;</w:t>
      </w:r>
    </w:p>
    <w:p>
      <w:pPr>
        <w:pStyle w:val="ListParagraph"/>
        <w:numPr>
          <w:ilvl w:val="0"/>
          <w:numId w:val="20"/>
        </w:numPr>
        <w:spacing w:lineRule="auto" w:line="319" w:before="60" w:after="60"/>
        <w:rPr/>
      </w:pPr>
      <w:r>
        <w:rPr/>
        <w:t>Hérnia de disco grave ou estenose que requer cirurgia;</w:t>
      </w:r>
    </w:p>
    <w:p>
      <w:pPr>
        <w:pStyle w:val="ListParagraph"/>
        <w:numPr>
          <w:ilvl w:val="0"/>
          <w:numId w:val="21"/>
        </w:numPr>
        <w:spacing w:lineRule="auto" w:line="319" w:before="60" w:after="60"/>
        <w:rPr/>
      </w:pPr>
      <w:r>
        <w:rPr/>
        <w:t>Alteração de Modic tipo 3;</w:t>
      </w:r>
    </w:p>
    <w:p>
      <w:pPr>
        <w:pStyle w:val="ListParagraph"/>
        <w:numPr>
          <w:ilvl w:val="0"/>
          <w:numId w:val="22"/>
        </w:numPr>
        <w:spacing w:lineRule="auto" w:line="319" w:before="60" w:after="60"/>
        <w:rPr/>
      </w:pPr>
      <w:r>
        <w:rPr/>
        <w:t>Evidência de infecção espinhal em RNM;</w:t>
      </w:r>
    </w:p>
    <w:p>
      <w:pPr>
        <w:pStyle w:val="ListParagraph"/>
        <w:numPr>
          <w:ilvl w:val="0"/>
          <w:numId w:val="23"/>
        </w:numPr>
        <w:spacing w:lineRule="auto" w:line="319" w:before="60" w:after="60"/>
        <w:rPr/>
      </w:pPr>
      <w:r>
        <w:rPr/>
        <w:t>Colapso do espaço do disco &gt; 50%;</w:t>
      </w:r>
    </w:p>
    <w:p>
      <w:pPr>
        <w:pStyle w:val="ListParagraph"/>
        <w:numPr>
          <w:ilvl w:val="0"/>
          <w:numId w:val="24"/>
        </w:numPr>
        <w:spacing w:lineRule="auto" w:line="319" w:before="60" w:after="60"/>
        <w:rPr/>
      </w:pPr>
      <w:r>
        <w:rPr/>
        <w:t>Hipertensão não controlada apesar de medicação otimizada;</w:t>
      </w:r>
    </w:p>
    <w:p>
      <w:pPr>
        <w:pStyle w:val="ListParagraph"/>
        <w:numPr>
          <w:ilvl w:val="0"/>
          <w:numId w:val="25"/>
        </w:numPr>
        <w:spacing w:lineRule="auto" w:line="319" w:before="60" w:after="60"/>
        <w:rPr/>
      </w:pPr>
      <w:r>
        <w:rPr/>
        <w:t>Diabetes não controlada apesar de medicação otimizada;</w:t>
      </w:r>
    </w:p>
    <w:p>
      <w:pPr>
        <w:pStyle w:val="ListParagraph"/>
        <w:numPr>
          <w:ilvl w:val="0"/>
          <w:numId w:val="26"/>
        </w:numPr>
        <w:spacing w:lineRule="auto" w:line="319" w:before="60" w:after="60"/>
        <w:rPr/>
      </w:pPr>
      <w:r>
        <w:rPr/>
        <w:t>Outras doenças sistêmicas graves como câncer, doença autoimune, doença do sangue, doença renal ou hepática;</w:t>
      </w:r>
    </w:p>
    <w:p>
      <w:pPr>
        <w:pStyle w:val="ListParagraph"/>
        <w:numPr>
          <w:ilvl w:val="0"/>
          <w:numId w:val="27"/>
        </w:numPr>
        <w:spacing w:lineRule="auto" w:line="319" w:before="60" w:after="60"/>
        <w:rPr/>
      </w:pPr>
      <w:r>
        <w:rPr/>
        <w:t>Alergia ou hipersensibilidade conhecida ao meio de contraste iodado, a antibióticos utilizados na profilaxia, a anestésicos locais, ao PRP ou a qualquer componente do protocolo;</w:t>
      </w:r>
    </w:p>
    <w:p>
      <w:pPr>
        <w:pStyle w:val="ListParagraph"/>
        <w:numPr>
          <w:ilvl w:val="0"/>
          <w:numId w:val="28"/>
        </w:numPr>
        <w:spacing w:lineRule="auto" w:line="319" w:before="60" w:after="60"/>
        <w:rPr/>
      </w:pPr>
      <w:r>
        <w:rPr/>
        <w:t>Instabilidade terapêutica documentada nas 6 semanas anteriores à randomização.</w:t>
      </w:r>
    </w:p>
    <w:p>
      <w:pPr>
        <w:pStyle w:val="Heading2"/>
        <w:rPr>
          <w:color w:val="auto"/>
        </w:rPr>
      </w:pPr>
      <w:r>
        <w:rPr>
          <w:color w:val="auto"/>
        </w:rPr>
        <w:t>4.4. Riscos</w:t>
      </w:r>
    </w:p>
    <w:p>
      <w:pPr>
        <w:pStyle w:val="Normal"/>
        <w:spacing w:lineRule="auto" w:line="360" w:before="80" w:after="80"/>
        <w:jc w:val="both"/>
        <w:rPr/>
      </w:pPr>
      <w:r>
        <w:rPr/>
        <w:t>O paciente será informado sobre os riscos inerentes aos procedimentos, incluindo: risco de infecção devido a injeções intervertebrais (mitigado por antibioticoprofilaxia sistêmica e intradiscal padronizada); possível reação alérgica ao contraste; risco de sangramento no pós-operatório; e potencial aumento transitório da dor após o procedimento. Esses riscos serão monitorados sistematicamente conforme o Plano Formal de Segurança (Seção 4.10). Em relação ao uso de MSCs-TA, a literatura consultada não relatou riscos adicionais significativos além dos inerentes ao procedimento de implantação, dado que o material biológico utilizado é autólogo.</w:t>
      </w:r>
    </w:p>
    <w:p>
      <w:pPr>
        <w:pStyle w:val="Heading2"/>
        <w:rPr>
          <w:color w:val="auto"/>
        </w:rPr>
      </w:pPr>
      <w:r>
        <w:rPr>
          <w:color w:val="auto"/>
        </w:rPr>
        <w:t>4.5. Natureza, Casuística e Desenho do Estudo</w:t>
      </w:r>
    </w:p>
    <w:p>
      <w:pPr>
        <w:pStyle w:val="Normal"/>
        <w:spacing w:lineRule="auto" w:line="360" w:before="80" w:after="80"/>
        <w:jc w:val="both"/>
        <w:rPr/>
      </w:pPr>
      <w:r>
        <w:rPr/>
        <w:t>Será realizado um ensaio clínico randomizado controlado (ECR) de fase I, aberto, unicêntrico, com período de acompanhamento de 12 meses, conduzido no CeTroGen/HUMAP/UFMS. O recrutamento será realizado exclusivamente no Ambulatório da Dor do HUMAP/UFMS ao longo de 18 meses. O estudo adota delineamento aditivo clássico: o grupo intervenção recebe o tratamento conservador habitual (best supportive care) acrescido da terapia celular, garantindo base terapêutica equivalente entre os grupos e isolamento do efeito incremental da intervenção.</w:t>
      </w:r>
    </w:p>
    <w:p>
      <w:pPr>
        <w:pStyle w:val="Normal"/>
        <w:spacing w:before="80" w:after="40"/>
        <w:rPr/>
      </w:pPr>
      <w:r>
        <w:rPr/>
      </w:r>
    </w:p>
    <w:tbl>
      <w:tblPr>
        <w:tblW w:w="8504" w:type="dxa"/>
        <w:jc w:val="left"/>
        <w:tblInd w:w="0" w:type="dxa"/>
        <w:tblLayout w:type="fixed"/>
        <w:tblCellMar>
          <w:top w:w="120" w:type="dxa"/>
          <w:left w:w="160" w:type="dxa"/>
          <w:bottom w:w="120" w:type="dxa"/>
          <w:right w:w="160" w:type="dxa"/>
        </w:tblCellMar>
        <w:tblLook w:val="04a0" w:noHBand="0" w:noVBand="1" w:firstColumn="1" w:lastRow="0" w:lastColumn="0" w:firstRow="1"/>
      </w:tblPr>
      <w:tblGrid>
        <w:gridCol w:w="8504"/>
      </w:tblGrid>
      <w:tr>
        <w:trPr/>
        <w:tc>
          <w:tcPr>
            <w:tcW w:w="8504" w:type="dxa"/>
            <w:tcBorders>
              <w:top w:val="single" w:sz="2" w:space="0" w:color="808080"/>
              <w:left w:val="single" w:sz="2" w:space="0" w:color="808080"/>
              <w:bottom w:val="single" w:sz="2" w:space="0" w:color="808080"/>
              <w:right w:val="single" w:sz="2" w:space="0" w:color="808080"/>
            </w:tcBorders>
            <w:shd w:color="auto" w:fill="FFFFFF" w:val="clear"/>
          </w:tcPr>
          <w:p>
            <w:pPr>
              <w:pStyle w:val="Normal"/>
              <w:rPr/>
            </w:pPr>
            <w:r>
              <w:rPr>
                <w:b/>
                <w:bCs/>
                <w:sz w:val="20"/>
                <w:szCs w:val="20"/>
              </w:rPr>
              <w:t xml:space="preserve">Posicionamento do estudo: </w:t>
            </w:r>
            <w:r>
              <w:rPr>
                <w:sz w:val="20"/>
                <w:szCs w:val="20"/>
              </w:rPr>
              <w:t>Este é um estudo de fase I com componente exploratório de eficácia. Sua contribuição primária é estabelecer o perfil de segurança e tolerabilidade da implantação intradiscal de MSCs-TA + LP-PRP. Sua contribuição secundária é gerar os parâmetros de variabilidade (média e desvio-padrão de EVA, ODI e ADC) necessários para o dimensionamento amostral de um futuro ECR de fase II/III multicêntrico. Os dados de eficácia não serão utilizados para conclusões confirmatórias de superioridade.</w:t>
            </w:r>
          </w:p>
        </w:tc>
      </w:tr>
    </w:tbl>
    <w:p>
      <w:pPr>
        <w:pStyle w:val="Normal"/>
        <w:spacing w:before="160" w:after="80"/>
        <w:rPr/>
      </w:pPr>
      <w:r>
        <w:rPr/>
      </w:r>
    </w:p>
    <w:p>
      <w:pPr>
        <w:pStyle w:val="Heading3"/>
        <w:rPr>
          <w:color w:val="auto"/>
        </w:rPr>
      </w:pPr>
      <w:r>
        <w:rPr>
          <w:color w:val="auto"/>
        </w:rPr>
        <w:t>4.5.1. Funil de Recrutamento — Fonte Única Institucional: HUMAP-UFMS</w:t>
      </w:r>
    </w:p>
    <w:p>
      <w:pPr>
        <w:pStyle w:val="Normal"/>
        <w:spacing w:lineRule="auto" w:line="360" w:before="80" w:after="80"/>
        <w:jc w:val="both"/>
        <w:rPr/>
      </w:pPr>
      <w:r>
        <w:rPr/>
        <w:t>O funil foi calculado a partir do fluxo real esperado do Ambulatório de Clínica da Dor do HUMAP/UFMS, estimando-se aproximadamente 10 pacientes com potencial de elegibilidade por mês ao longo de 18 meses de triagem ativa, considerando o fluxo do Ambulatório da Dor acrescido dos encaminhamentos internos do próprio HUMAP-UFMS (neurocirurgia, ortopedia e reabilitação):</w:t>
      </w:r>
    </w:p>
    <w:p>
      <w:pPr>
        <w:pStyle w:val="Normal"/>
        <w:spacing w:before="60" w:after="40"/>
        <w:rPr/>
      </w:pPr>
      <w:r>
        <w:rPr/>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2550"/>
        <w:gridCol w:w="1050"/>
        <w:gridCol w:w="798"/>
        <w:gridCol w:w="4105"/>
      </w:tblGrid>
      <w:tr>
        <w:trPr>
          <w:tblHeader w:val="true"/>
        </w:trPr>
        <w:tc>
          <w:tcPr>
            <w:tcW w:w="2550"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Etapa</w:t>
            </w:r>
          </w:p>
        </w:tc>
        <w:tc>
          <w:tcPr>
            <w:tcW w:w="1050"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N Estimado</w:t>
            </w:r>
          </w:p>
        </w:tc>
        <w:tc>
          <w:tcPr>
            <w:tcW w:w="798"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Perda</w:t>
            </w:r>
          </w:p>
        </w:tc>
        <w:tc>
          <w:tcPr>
            <w:tcW w:w="4105"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Base do Cálculo</w:t>
            </w:r>
          </w:p>
        </w:tc>
      </w:tr>
      <w:tr>
        <w:trPr/>
        <w:tc>
          <w:tcPr>
            <w:tcW w:w="255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Triagem ativa (18 meses — fonte única)</w:t>
            </w:r>
          </w:p>
        </w:tc>
        <w:tc>
          <w:tcPr>
            <w:tcW w:w="105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~180</w:t>
            </w:r>
          </w:p>
        </w:tc>
        <w:tc>
          <w:tcPr>
            <w:tcW w:w="79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w:t>
            </w:r>
          </w:p>
        </w:tc>
        <w:tc>
          <w:tcPr>
            <w:tcW w:w="410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~10 pacientes/mês (Amb. da Dor + encaminhamentos internos HUMAP) com potencial de elegibilidade</w:t>
            </w:r>
          </w:p>
        </w:tc>
      </w:tr>
      <w:tr>
        <w:trPr/>
        <w:tc>
          <w:tcPr>
            <w:tcW w:w="255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Atendem critérios clínicos iniciais</w:t>
            </w:r>
          </w:p>
        </w:tc>
        <w:tc>
          <w:tcPr>
            <w:tcW w:w="105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~90</w:t>
            </w:r>
          </w:p>
        </w:tc>
        <w:tc>
          <w:tcPr>
            <w:tcW w:w="79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50%</w:t>
            </w:r>
          </w:p>
        </w:tc>
        <w:tc>
          <w:tcPr>
            <w:tcW w:w="410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Critérios de inclusão/exclusão clínicos</w:t>
            </w:r>
          </w:p>
        </w:tc>
      </w:tr>
      <w:tr>
        <w:trPr/>
        <w:tc>
          <w:tcPr>
            <w:tcW w:w="255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Completam estabilização terapêutica (6 sem.)</w:t>
            </w:r>
          </w:p>
        </w:tc>
        <w:tc>
          <w:tcPr>
            <w:tcW w:w="105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~72</w:t>
            </w:r>
          </w:p>
        </w:tc>
        <w:tc>
          <w:tcPr>
            <w:tcW w:w="79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20%</w:t>
            </w:r>
          </w:p>
        </w:tc>
        <w:tc>
          <w:tcPr>
            <w:tcW w:w="410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Instabilidade medicamentosa ou desistência prévia</w:t>
            </w:r>
          </w:p>
        </w:tc>
      </w:tr>
      <w:tr>
        <w:trPr/>
        <w:tc>
          <w:tcPr>
            <w:tcW w:w="255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Discografia positiva</w:t>
            </w:r>
          </w:p>
        </w:tc>
        <w:tc>
          <w:tcPr>
            <w:tcW w:w="105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~43</w:t>
            </w:r>
          </w:p>
        </w:tc>
        <w:tc>
          <w:tcPr>
            <w:tcW w:w="79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40%</w:t>
            </w:r>
          </w:p>
        </w:tc>
        <w:tc>
          <w:tcPr>
            <w:tcW w:w="410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Taxa esperada de positividade em DLC discogênica</w:t>
            </w:r>
          </w:p>
        </w:tc>
      </w:tr>
      <w:tr>
        <w:trPr/>
        <w:tc>
          <w:tcPr>
            <w:tcW w:w="255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Aceitam participar e assinam TCLE</w:t>
            </w:r>
          </w:p>
        </w:tc>
        <w:tc>
          <w:tcPr>
            <w:tcW w:w="105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~34</w:t>
            </w:r>
          </w:p>
        </w:tc>
        <w:tc>
          <w:tcPr>
            <w:tcW w:w="79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20%</w:t>
            </w:r>
          </w:p>
        </w:tc>
        <w:tc>
          <w:tcPr>
            <w:tcW w:w="410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Taxa de recusa típica em estudos invasivos</w:t>
            </w:r>
          </w:p>
        </w:tc>
      </w:tr>
      <w:tr>
        <w:trPr/>
        <w:tc>
          <w:tcPr>
            <w:tcW w:w="255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b/>
                <w:bCs/>
                <w:sz w:val="18"/>
                <w:szCs w:val="18"/>
              </w:rPr>
              <w:t>Randomizados (meta final)</w:t>
            </w:r>
          </w:p>
        </w:tc>
        <w:tc>
          <w:tcPr>
            <w:tcW w:w="105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b/>
                <w:bCs/>
                <w:sz w:val="18"/>
                <w:szCs w:val="18"/>
              </w:rPr>
              <w:t>~30</w:t>
            </w:r>
          </w:p>
        </w:tc>
        <w:tc>
          <w:tcPr>
            <w:tcW w:w="79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w:t>
            </w:r>
          </w:p>
        </w:tc>
        <w:tc>
          <w:tcPr>
            <w:tcW w:w="410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Meta conservadora e matematicamente factível</w:t>
            </w:r>
          </w:p>
        </w:tc>
      </w:tr>
      <w:tr>
        <w:trPr/>
        <w:tc>
          <w:tcPr>
            <w:tcW w:w="255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Completam 12 meses</w:t>
            </w:r>
          </w:p>
        </w:tc>
        <w:tc>
          <w:tcPr>
            <w:tcW w:w="105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~24</w:t>
            </w:r>
          </w:p>
        </w:tc>
        <w:tc>
          <w:tcPr>
            <w:tcW w:w="79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20%</w:t>
            </w:r>
          </w:p>
        </w:tc>
        <w:tc>
          <w:tcPr>
            <w:tcW w:w="410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Dropout estimado — análise ITT preserva todos os randomizados</w:t>
            </w:r>
          </w:p>
        </w:tc>
      </w:tr>
    </w:tbl>
    <w:p>
      <w:pPr>
        <w:pStyle w:val="Normal"/>
        <w:spacing w:before="120" w:after="60"/>
        <w:rPr/>
      </w:pPr>
      <w:r>
        <w:rPr/>
      </w:r>
    </w:p>
    <w:p>
      <w:pPr>
        <w:pStyle w:val="Heading3"/>
        <w:rPr>
          <w:color w:val="auto"/>
        </w:rPr>
      </w:pPr>
      <w:r>
        <w:rPr>
          <w:color w:val="auto"/>
        </w:rPr>
        <w:t>4.5.2. Estabilização Terapêutica Pré-Randomização</w:t>
      </w:r>
    </w:p>
    <w:p>
      <w:pPr>
        <w:pStyle w:val="Normal"/>
        <w:spacing w:lineRule="auto" w:line="360" w:before="80" w:after="80"/>
        <w:jc w:val="both"/>
        <w:rPr/>
      </w:pPr>
      <w:r>
        <w:rPr/>
        <w:t>Todos os participantes deverão apresentar estabilidade terapêutica documentada de no mínimo 6 semanas antes da randomização:</w:t>
      </w:r>
    </w:p>
    <w:p>
      <w:pPr>
        <w:pStyle w:val="Normal"/>
        <w:spacing w:before="60" w:after="40"/>
        <w:rPr/>
      </w:pPr>
      <w:r>
        <w:rPr/>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2870"/>
        <w:gridCol w:w="5633"/>
      </w:tblGrid>
      <w:tr>
        <w:trPr>
          <w:tblHeader w:val="true"/>
        </w:trPr>
        <w:tc>
          <w:tcPr>
            <w:tcW w:w="2870"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Critério</w:t>
            </w:r>
          </w:p>
        </w:tc>
        <w:tc>
          <w:tcPr>
            <w:tcW w:w="5633"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Definição Operacional</w:t>
            </w:r>
          </w:p>
        </w:tc>
      </w:tr>
      <w:tr>
        <w:trPr/>
        <w:tc>
          <w:tcPr>
            <w:tcW w:w="287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Farmacoterapia estável</w:t>
            </w:r>
          </w:p>
        </w:tc>
        <w:tc>
          <w:tcPr>
            <w:tcW w:w="56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Sem mudança de classe, dose ou frequência medicamentosa nos últimos 42 dias</w:t>
            </w:r>
          </w:p>
        </w:tc>
      </w:tr>
      <w:tr>
        <w:trPr/>
        <w:tc>
          <w:tcPr>
            <w:tcW w:w="287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Tratamento conservador habitual estável</w:t>
            </w:r>
          </w:p>
        </w:tc>
        <w:tc>
          <w:tcPr>
            <w:tcW w:w="56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Manutenção do tratamento conservador habitual do participante (que pode incluir fisioterapia, conforme sua prática e rede de origem) sem alteração de modalidade ou intensidade nos últimos 42 dias. A fisioterapia não é exigida nem provida pelo estudo, sendo registrada como co-intervenção para fins de monitoramento.</w:t>
            </w:r>
          </w:p>
        </w:tc>
      </w:tr>
      <w:tr>
        <w:trPr/>
        <w:tc>
          <w:tcPr>
            <w:tcW w:w="287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EVA basal estável</w:t>
            </w:r>
          </w:p>
        </w:tc>
        <w:tc>
          <w:tcPr>
            <w:tcW w:w="56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Variação ≤ 1,5 ponto entre duas avaliações com 2 semanas de intervalo no período pré-randomização</w:t>
            </w:r>
          </w:p>
        </w:tc>
      </w:tr>
    </w:tbl>
    <w:p>
      <w:pPr>
        <w:pStyle w:val="Normal"/>
        <w:spacing w:before="160" w:after="80"/>
        <w:rPr/>
      </w:pPr>
      <w:r>
        <w:rPr/>
      </w:r>
    </w:p>
    <w:p>
      <w:pPr>
        <w:pStyle w:val="Heading3"/>
        <w:rPr>
          <w:color w:val="auto"/>
        </w:rPr>
      </w:pPr>
      <w:r>
        <w:rPr>
          <w:color w:val="auto"/>
        </w:rPr>
        <w:t>4.5.3. Grupos de Estudo</w:t>
      </w:r>
    </w:p>
    <w:p>
      <w:pPr>
        <w:pStyle w:val="Normal"/>
        <w:spacing w:before="60" w:after="40"/>
        <w:rPr/>
      </w:pPr>
      <w:r>
        <w:rPr/>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1964"/>
        <w:gridCol w:w="3270"/>
        <w:gridCol w:w="3270"/>
      </w:tblGrid>
      <w:tr>
        <w:trPr>
          <w:tblHeader w:val="true"/>
        </w:trPr>
        <w:tc>
          <w:tcPr>
            <w:tcW w:w="1964"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r>
          </w:p>
        </w:tc>
        <w:tc>
          <w:tcPr>
            <w:tcW w:w="3270"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Grupo Controle (n = 15)</w:t>
            </w:r>
          </w:p>
        </w:tc>
        <w:tc>
          <w:tcPr>
            <w:tcW w:w="3270"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Grupo Intervenção (n = 15)</w:t>
            </w:r>
          </w:p>
        </w:tc>
      </w:tr>
      <w:tr>
        <w:trPr/>
        <w:tc>
          <w:tcPr>
            <w:tcW w:w="1964"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Tratamento base</w:t>
            </w:r>
          </w:p>
        </w:tc>
        <w:tc>
          <w:tcPr>
            <w:tcW w:w="327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Tratamento conservador usual (best supportive care: farmacoterapia estável e, quando aplicável, fisioterapia), mantido pela rede de origem do participante, sem custeio pelo estudo</w:t>
            </w:r>
          </w:p>
        </w:tc>
        <w:tc>
          <w:tcPr>
            <w:tcW w:w="327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Tratamento conservador usual (best supportive care: farmacoterapia estável e, quando aplicável, fisioterapia), mantido pela rede de origem do participante, sem custeio pelo estudo — idêntico ao controle</w:t>
            </w:r>
          </w:p>
        </w:tc>
      </w:tr>
      <w:tr>
        <w:trPr/>
        <w:tc>
          <w:tcPr>
            <w:tcW w:w="1964"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Intervenção adicional</w:t>
            </w:r>
          </w:p>
        </w:tc>
        <w:tc>
          <w:tcPr>
            <w:tcW w:w="327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Nenhuma</w:t>
            </w:r>
          </w:p>
        </w:tc>
        <w:tc>
          <w:tcPr>
            <w:tcW w:w="327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Implantação intradiscal única de MSCs-TA + LP-PRP padronizado</w:t>
            </w:r>
          </w:p>
        </w:tc>
      </w:tr>
      <w:tr>
        <w:trPr/>
        <w:tc>
          <w:tcPr>
            <w:tcW w:w="1964"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Medicação de resgate</w:t>
            </w:r>
          </w:p>
        </w:tc>
        <w:tc>
          <w:tcPr>
            <w:tcW w:w="327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Permitida com registro sistemático</w:t>
            </w:r>
          </w:p>
        </w:tc>
        <w:tc>
          <w:tcPr>
            <w:tcW w:w="327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Permitida com registro sistemático</w:t>
            </w:r>
          </w:p>
        </w:tc>
      </w:tr>
      <w:tr>
        <w:trPr/>
        <w:tc>
          <w:tcPr>
            <w:tcW w:w="1964"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Acompanhamento</w:t>
            </w:r>
          </w:p>
        </w:tc>
        <w:tc>
          <w:tcPr>
            <w:tcW w:w="327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1 sem., 1, 3, 6, 9 e 12 meses</w:t>
            </w:r>
          </w:p>
        </w:tc>
        <w:tc>
          <w:tcPr>
            <w:tcW w:w="327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1 sem., 1, 3, 6, 9 e 12 meses</w:t>
            </w:r>
          </w:p>
        </w:tc>
      </w:tr>
      <w:tr>
        <w:trPr/>
        <w:tc>
          <w:tcPr>
            <w:tcW w:w="1964"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Avaliação de segurança</w:t>
            </w:r>
          </w:p>
        </w:tc>
        <w:tc>
          <w:tcPr>
            <w:tcW w:w="327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Exame físico, neurológico e laboratorial</w:t>
            </w:r>
          </w:p>
        </w:tc>
        <w:tc>
          <w:tcPr>
            <w:tcW w:w="327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Exame físico, neurológico, laboratorial + monitoramento de EA específicos</w:t>
            </w:r>
          </w:p>
        </w:tc>
      </w:tr>
    </w:tbl>
    <w:p>
      <w:pPr>
        <w:pStyle w:val="Normal"/>
        <w:spacing w:before="100" w:after="60"/>
        <w:rPr/>
      </w:pPr>
      <w:r>
        <w:rPr/>
        <w:t>O tratamento conservador usual (best supportive care) constitui o cuidado-padrão a que o participante já tem direito, mantido de forma equivalente em ambos os braços e não provido nem custeado pelo estudo. Toda co-intervenção terapêutica concomitante — incluindo modalidade, frequência e intensidade de fisioterapia, bem como ajustes de farmacoterapia — será registrada sistematicamente em cada visita de seguimento e analisada quanto ao equilíbrio entre os grupos, tanto na linha de base quanto longitudinalmente. Eventual desbalanço será reportado e considerado na interpretação dos desfechos.</w:t>
      </w:r>
    </w:p>
    <w:p>
      <w:pPr>
        <w:pStyle w:val="Normal"/>
        <w:spacing w:before="100" w:after="60"/>
        <w:rPr/>
      </w:pPr>
      <w:r>
        <w:rPr/>
      </w:r>
    </w:p>
    <w:tbl>
      <w:tblPr>
        <w:tblW w:w="8504" w:type="dxa"/>
        <w:jc w:val="left"/>
        <w:tblInd w:w="0" w:type="dxa"/>
        <w:tblLayout w:type="fixed"/>
        <w:tblCellMar>
          <w:top w:w="120" w:type="dxa"/>
          <w:left w:w="160" w:type="dxa"/>
          <w:bottom w:w="120" w:type="dxa"/>
          <w:right w:w="160" w:type="dxa"/>
        </w:tblCellMar>
        <w:tblLook w:val="04a0" w:noHBand="0" w:noVBand="1" w:firstColumn="1" w:lastRow="0" w:lastColumn="0" w:firstRow="1"/>
      </w:tblPr>
      <w:tblGrid>
        <w:gridCol w:w="8504"/>
      </w:tblGrid>
      <w:tr>
        <w:trPr/>
        <w:tc>
          <w:tcPr>
            <w:tcW w:w="8504" w:type="dxa"/>
            <w:tcBorders>
              <w:top w:val="single" w:sz="2" w:space="0" w:color="808080"/>
              <w:left w:val="single" w:sz="2" w:space="0" w:color="808080"/>
              <w:bottom w:val="single" w:sz="2" w:space="0" w:color="808080"/>
              <w:right w:val="single" w:sz="2" w:space="0" w:color="808080"/>
            </w:tcBorders>
            <w:shd w:color="auto" w:fill="FFFFFF" w:val="clear"/>
          </w:tcPr>
          <w:p>
            <w:pPr>
              <w:pStyle w:val="Normal"/>
              <w:rPr/>
            </w:pPr>
            <w:r>
              <w:rPr>
                <w:b/>
                <w:bCs/>
                <w:sz w:val="20"/>
                <w:szCs w:val="20"/>
              </w:rPr>
              <w:t xml:space="preserve">Limitação metodológica declarada: </w:t>
            </w:r>
            <w:r>
              <w:rPr>
                <w:sz w:val="20"/>
                <w:szCs w:val="20"/>
              </w:rPr>
              <w:t>O estudo não inclui procedimento sham no grupo controle por decisão ética deliberada: um sham exigiria submeter participantes-controle a uma punção terapêutica simulada adicional, sem finalidade diagnóstica ou benefício terapêutico direto, associada aos riscos inerentes à instrumentação discal — incluindo a aceleração da degeneração do disco puncionado descrita na literatura (Carragee et al., 2009). Diferentemente da discografia diagnóstica pré-randomização, que tem finalidade de seleção do disco sintomático, essa punção adicional não traria benefício ao participante-controle; o risco a ele imposto não se justifica pelo ganho metodológico, motivo pelo qual o sham é recusado. Os resultados de eficácia deverão ser interpretados como sinal exploratório preliminar, dado o forte efeito placebo contextual em estudos de dor crônica com intervenções invasivas — fenômeno evidenciado por ensaios recentes controlados por sham, nos quais a terapia celular não demonstrou superioridade clínica significativa sobre o sham (Pers et al., 2024; Vadalà et al., 2025). Essa limitação será declarada explicitamente na discussão do manuscrito.</w:t>
            </w:r>
          </w:p>
        </w:tc>
      </w:tr>
    </w:tbl>
    <w:p>
      <w:pPr>
        <w:pStyle w:val="Normal"/>
        <w:spacing w:before="160" w:after="80"/>
        <w:rPr/>
      </w:pPr>
      <w:r>
        <w:rPr/>
      </w:r>
    </w:p>
    <w:p>
      <w:pPr>
        <w:pStyle w:val="Heading3"/>
        <w:rPr>
          <w:color w:val="auto"/>
        </w:rPr>
      </w:pPr>
      <w:r>
        <w:rPr>
          <w:color w:val="auto"/>
        </w:rPr>
        <w:t>4.5.4. Randomização</w:t>
      </w:r>
    </w:p>
    <w:p>
      <w:pPr>
        <w:pStyle w:val="Normal"/>
        <w:spacing w:lineRule="auto" w:line="360" w:before="80" w:after="80"/>
        <w:jc w:val="both"/>
        <w:rPr/>
      </w:pPr>
      <w:r>
        <w:rPr/>
        <w:t>Randomização estratificada por grau de degeneração discal (Pfirrmann III vs. IV), em blocos permutados de tamanho variável (por exemplo, 4 e 6), gerada por software (R, função blockrand), com ocultação por envelopes opacos, selados, sequenciais e numerados, sob custódia de pesquisador independente não envolvido no recrutamento. O uso de blocos de tamanho variável reduz a previsibilidade da próxima alocação, mitigação especialmente relevante em estudo aberto.</w:t>
      </w:r>
    </w:p>
    <w:p>
      <w:pPr>
        <w:pStyle w:val="Normal"/>
        <w:spacing w:before="160" w:after="80"/>
        <w:rPr/>
      </w:pPr>
      <w:r>
        <w:rPr/>
      </w:r>
    </w:p>
    <w:p>
      <w:pPr>
        <w:pStyle w:val="Heading3"/>
        <w:rPr>
          <w:color w:val="auto"/>
        </w:rPr>
      </w:pPr>
      <w:r>
        <w:rPr>
          <w:color w:val="auto"/>
        </w:rPr>
        <w:t>4.5.5. Cegamento e Controle de Viés</w:t>
      </w:r>
    </w:p>
    <w:p>
      <w:pPr>
        <w:pStyle w:val="ListParagraph"/>
        <w:numPr>
          <w:ilvl w:val="0"/>
          <w:numId w:val="29"/>
        </w:numPr>
        <w:spacing w:lineRule="auto" w:line="319" w:before="60" w:after="60"/>
        <w:rPr/>
      </w:pPr>
      <w:r>
        <w:rPr/>
        <w:t>Avaliador de desfechos independente aplicará EVA, ODI e SF-36 sem conhecimento da alocação em todos os momentos de avaliação;</w:t>
      </w:r>
    </w:p>
    <w:p>
      <w:pPr>
        <w:pStyle w:val="ListParagraph"/>
        <w:numPr>
          <w:ilvl w:val="0"/>
          <w:numId w:val="30"/>
        </w:numPr>
        <w:spacing w:lineRule="auto" w:line="319" w:before="60" w:after="60"/>
        <w:rPr/>
      </w:pPr>
      <w:r>
        <w:rPr/>
        <w:t>Radiologista cego para o grupo do paciente interpretará todas as imagens de RNM;</w:t>
      </w:r>
    </w:p>
    <w:p>
      <w:pPr>
        <w:pStyle w:val="ListParagraph"/>
        <w:numPr>
          <w:ilvl w:val="0"/>
          <w:numId w:val="31"/>
        </w:numPr>
        <w:spacing w:lineRule="auto" w:line="319" w:before="60" w:after="60"/>
        <w:rPr/>
      </w:pPr>
      <w:r>
        <w:rPr/>
        <w:t>Bioestatístico independente conduzirá a análise com código de alocação revelado apenas após conclusão da análise primária;</w:t>
      </w:r>
    </w:p>
    <w:p>
      <w:pPr>
        <w:pStyle w:val="ListParagraph"/>
        <w:numPr>
          <w:ilvl w:val="0"/>
          <w:numId w:val="32"/>
        </w:numPr>
        <w:spacing w:lineRule="auto" w:line="319" w:before="60" w:after="60"/>
        <w:rPr/>
      </w:pPr>
      <w:r>
        <w:rPr/>
        <w:t>Uso de medicação de resgate registrado sistematicamente e controlado como covariável na análise estatística.</w:t>
      </w:r>
    </w:p>
    <w:p>
      <w:pPr>
        <w:pStyle w:val="Normal"/>
        <w:spacing w:before="160" w:after="80"/>
        <w:rPr/>
      </w:pPr>
      <w:r>
        <w:rPr/>
      </w:r>
    </w:p>
    <w:p>
      <w:pPr>
        <w:pStyle w:val="Heading3"/>
        <w:rPr>
          <w:color w:val="auto"/>
        </w:rPr>
      </w:pPr>
      <w:r>
        <w:rPr>
          <w:color w:val="auto"/>
        </w:rPr>
        <w:t>4.5.6. Registro do Estudo Clínico</w:t>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2836"/>
        <w:gridCol w:w="1959"/>
        <w:gridCol w:w="3709"/>
      </w:tblGrid>
      <w:tr>
        <w:trPr>
          <w:tblHeader w:val="true"/>
        </w:trPr>
        <w:tc>
          <w:tcPr>
            <w:tcW w:w="2836"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Plataforma</w:t>
            </w:r>
          </w:p>
        </w:tc>
        <w:tc>
          <w:tcPr>
            <w:tcW w:w="1959"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Obrigatoriedade</w:t>
            </w:r>
          </w:p>
        </w:tc>
        <w:tc>
          <w:tcPr>
            <w:tcW w:w="3709"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Momento</w:t>
            </w:r>
          </w:p>
        </w:tc>
      </w:tr>
      <w:tr>
        <w:trPr/>
        <w:tc>
          <w:tcPr>
            <w:tcW w:w="283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ReBEC (Registro Brasileiro de Ensaios Clínicos)</w:t>
            </w:r>
          </w:p>
        </w:tc>
        <w:tc>
          <w:tcPr>
            <w:tcW w:w="195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Obrigatória</w:t>
            </w:r>
          </w:p>
        </w:tc>
        <w:tc>
          <w:tcPr>
            <w:tcW w:w="370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Após aprovação ética e antes do início do recrutamento; registro prospectivo obrigatório para ensaio clínico</w:t>
            </w:r>
          </w:p>
        </w:tc>
      </w:tr>
      <w:tr>
        <w:trPr/>
        <w:tc>
          <w:tcPr>
            <w:tcW w:w="283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ClinicalTrials.gov (NIH/EUA)</w:t>
            </w:r>
          </w:p>
        </w:tc>
        <w:tc>
          <w:tcPr>
            <w:tcW w:w="195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Fortemente recomendada</w:t>
            </w:r>
          </w:p>
        </w:tc>
        <w:tc>
          <w:tcPr>
            <w:tcW w:w="370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Simultâneo ao ReBEC — requisito ICMJE para publicação</w:t>
            </w:r>
          </w:p>
        </w:tc>
      </w:tr>
    </w:tbl>
    <w:p>
      <w:pPr>
        <w:pStyle w:val="Normal"/>
        <w:spacing w:before="200" w:after="80"/>
        <w:rPr/>
      </w:pPr>
      <w:r>
        <w:rPr/>
      </w:r>
    </w:p>
    <w:p>
      <w:pPr>
        <w:pStyle w:val="Heading2"/>
        <w:rPr>
          <w:color w:val="auto"/>
        </w:rPr>
      </w:pPr>
      <w:r>
        <w:rPr>
          <w:color w:val="auto"/>
        </w:rPr>
        <w:t>4.6. Desfechos — Primário, Secundários Exploratórios e MCID</w:t>
      </w:r>
    </w:p>
    <w:p>
      <w:pPr>
        <w:pStyle w:val="Heading3"/>
        <w:rPr>
          <w:color w:val="auto"/>
        </w:rPr>
      </w:pPr>
      <w:r>
        <w:rPr>
          <w:color w:val="auto"/>
        </w:rPr>
        <w:t>4.6.1. Desfecho Primário — Segurança e Tolerabilidade</w:t>
      </w:r>
    </w:p>
    <w:p>
      <w:pPr>
        <w:pStyle w:val="Normal"/>
        <w:spacing w:lineRule="auto" w:line="360" w:before="80" w:after="80"/>
        <w:jc w:val="both"/>
        <w:rPr/>
      </w:pPr>
      <w:r>
        <w:rPr/>
        <w:t>O desfecho primário único e formal deste estudo é a segurança e tolerabilidade da implantação intradiscal de MSCs-TA + LP-PRP, avaliada pela incidência de EA e EAG atribuíveis ao tratamento ao longo de 12 meses de acompanhamento. Adicionalmente, está pré-especificada uma análise de segurança aos 6 meses de seguimento do último participante randomizado, com denominador completo (n=30), conduzida sem encerramento do seguimento do ensaio. Essa análise dos 6 meses constitui um recorte temporal pré-definido do mesmo desfecho primário de segurança — destinada a fins acadêmicos da dissertação de mestrado — e não substitui nem antecipa o desfecho primário formal do ensaio, que permanece a incidência de EA/EAG ao longo de 12 meses.</w:t>
      </w:r>
    </w:p>
    <w:p>
      <w:pPr>
        <w:pStyle w:val="Normal"/>
        <w:spacing w:before="60" w:after="40"/>
        <w:rPr/>
      </w:pPr>
      <w:r>
        <w:rPr/>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1915"/>
        <w:gridCol w:w="4222"/>
        <w:gridCol w:w="2367"/>
      </w:tblGrid>
      <w:tr>
        <w:trPr>
          <w:tblHeader w:val="true"/>
        </w:trPr>
        <w:tc>
          <w:tcPr>
            <w:tcW w:w="1915"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Parâmetro</w:t>
            </w:r>
          </w:p>
        </w:tc>
        <w:tc>
          <w:tcPr>
            <w:tcW w:w="4222"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Definição</w:t>
            </w:r>
          </w:p>
        </w:tc>
        <w:tc>
          <w:tcPr>
            <w:tcW w:w="2367"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Poder Estatístico</w:t>
            </w:r>
          </w:p>
        </w:tc>
      </w:tr>
      <w:tr>
        <w:trPr/>
        <w:tc>
          <w:tcPr>
            <w:tcW w:w="191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Incidência de EA</w:t>
            </w:r>
          </w:p>
        </w:tc>
        <w:tc>
          <w:tcPr>
            <w:tcW w:w="422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Qualquer ocorrência médica desfavorável atribuível ao tratamento</w:t>
            </w:r>
          </w:p>
        </w:tc>
        <w:tc>
          <w:tcPr>
            <w:tcW w:w="236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Adequado para detecção inicial de eventos frequentes; não exclui eventos raros</w:t>
            </w:r>
          </w:p>
        </w:tc>
      </w:tr>
      <w:tr>
        <w:trPr/>
        <w:tc>
          <w:tcPr>
            <w:tcW w:w="191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Incidência de EAG</w:t>
            </w:r>
          </w:p>
        </w:tc>
        <w:tc>
          <w:tcPr>
            <w:tcW w:w="422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EA com hospitalização, incapacidade, risco de vida ou óbito</w:t>
            </w:r>
          </w:p>
        </w:tc>
        <w:tc>
          <w:tcPr>
            <w:tcW w:w="236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Adequado para detecção inicial de eventos frequentes; não exclui eventos raros</w:t>
            </w:r>
          </w:p>
        </w:tc>
      </w:tr>
    </w:tbl>
    <w:p>
      <w:pPr>
        <w:pStyle w:val="Normal"/>
        <w:spacing w:before="100" w:after="60"/>
        <w:rPr/>
      </w:pPr>
      <w:r>
        <w:rPr/>
      </w:r>
    </w:p>
    <w:tbl>
      <w:tblPr>
        <w:tblW w:w="8504" w:type="dxa"/>
        <w:jc w:val="left"/>
        <w:tblInd w:w="0" w:type="dxa"/>
        <w:tblLayout w:type="fixed"/>
        <w:tblCellMar>
          <w:top w:w="120" w:type="dxa"/>
          <w:left w:w="160" w:type="dxa"/>
          <w:bottom w:w="120" w:type="dxa"/>
          <w:right w:w="160" w:type="dxa"/>
        </w:tblCellMar>
        <w:tblLook w:val="04a0" w:noHBand="0" w:noVBand="1" w:firstColumn="1" w:lastRow="0" w:lastColumn="0" w:firstRow="1"/>
      </w:tblPr>
      <w:tblGrid>
        <w:gridCol w:w="8504"/>
      </w:tblGrid>
      <w:tr>
        <w:trPr/>
        <w:tc>
          <w:tcPr>
            <w:tcW w:w="8504" w:type="dxa"/>
            <w:tcBorders>
              <w:top w:val="single" w:sz="2" w:space="0" w:color="808080"/>
              <w:left w:val="single" w:sz="2" w:space="0" w:color="808080"/>
              <w:bottom w:val="single" w:sz="2" w:space="0" w:color="808080"/>
              <w:right w:val="single" w:sz="2" w:space="0" w:color="808080"/>
            </w:tcBorders>
            <w:shd w:color="auto" w:fill="FFFFFF" w:val="clear"/>
          </w:tcPr>
          <w:p>
            <w:pPr>
              <w:pStyle w:val="Normal"/>
              <w:rPr/>
            </w:pPr>
            <w:r>
              <w:rPr>
                <w:b/>
                <w:bCs/>
                <w:sz w:val="20"/>
                <w:szCs w:val="20"/>
              </w:rPr>
              <w:t xml:space="preserve">Justificativa do desfecho primário único: </w:t>
            </w:r>
            <w:r>
              <w:rPr>
                <w:sz w:val="20"/>
                <w:szCs w:val="20"/>
              </w:rPr>
              <w:t>Com n=15 por grupo, o poder estatístico para desfechos contínuos como EVA é de aproximadamente 55% — insuficiente para conclusão confirmatória. Concentrar o desfecho primário em segurança é a única escolha metodologicamente honesta e defensável para este tamanho amostral. Essa é também a estrutura adotada pelos estudos seminais da área (Kumar et al., 2017; Orozco et al., 2011), que foram publicados em periódicos de alto impacto com n ainda menor. Reforça essa opção o fato de que ensaios recentes de grande porte e rigor metodológico — incluindo estudos controlados por sham e o maior ECR publicado até o momento (Pers et al., 2024; Vadalà et al., 2025; Beall et al., 2025) — não demonstraram eficácia clínica confirmatória consistente, evidenciando a inconsistência entre sinal radiológico e benefício clínico no campo. Diante disso, este estudo deliberadamente não pretende provar eficácia: os desfechos de EVA, ODI, SF-36 e ADC serão interpretados exclusivamente como exploratórios, destinados à geração de hipótese e ao dimensionamento amostral de um futuro ensaio confirmatório.</w:t>
            </w:r>
          </w:p>
        </w:tc>
      </w:tr>
    </w:tbl>
    <w:p>
      <w:pPr>
        <w:pStyle w:val="Normal"/>
        <w:spacing w:before="160" w:after="80"/>
        <w:rPr/>
      </w:pPr>
      <w:r>
        <w:rPr/>
      </w:r>
    </w:p>
    <w:p>
      <w:pPr>
        <w:pStyle w:val="Heading3"/>
        <w:rPr>
          <w:color w:val="auto"/>
        </w:rPr>
      </w:pPr>
      <w:r>
        <w:rPr>
          <w:color w:val="auto"/>
        </w:rPr>
        <w:t>4.6.2. Desfechos Secundários Exploratórios</w:t>
      </w:r>
    </w:p>
    <w:p>
      <w:pPr>
        <w:pStyle w:val="Normal"/>
        <w:spacing w:lineRule="auto" w:line="360" w:before="80" w:after="80"/>
        <w:jc w:val="both"/>
        <w:rPr/>
      </w:pPr>
      <w:r>
        <w:rPr/>
        <w:t>Os desfechos secundários têm caráter exclusivamente exploratório e gerador de hipótese. Seus resultados serão utilizados para estimar parâmetros de variabilidade para o dimensionamento do futuro ECR de fase II/III e para identificar tendências de sinal terapêutico. Nenhuma conclusão confirmatória de eficácia será extraída desses dados.</w:t>
      </w:r>
    </w:p>
    <w:p>
      <w:pPr>
        <w:pStyle w:val="Normal"/>
        <w:spacing w:before="60" w:after="40"/>
        <w:rPr/>
      </w:pPr>
      <w:r>
        <w:rPr/>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1733"/>
        <w:gridCol w:w="1558"/>
        <w:gridCol w:w="1882"/>
        <w:gridCol w:w="3330"/>
      </w:tblGrid>
      <w:tr>
        <w:trPr>
          <w:tblHeader w:val="true"/>
        </w:trPr>
        <w:tc>
          <w:tcPr>
            <w:tcW w:w="1733"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Desfecho</w:t>
            </w:r>
          </w:p>
        </w:tc>
        <w:tc>
          <w:tcPr>
            <w:tcW w:w="1558"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Instrumento</w:t>
            </w:r>
          </w:p>
        </w:tc>
        <w:tc>
          <w:tcPr>
            <w:tcW w:w="1882"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Momentos</w:t>
            </w:r>
          </w:p>
        </w:tc>
        <w:tc>
          <w:tcPr>
            <w:tcW w:w="3330"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Uso dos Dados</w:t>
            </w:r>
          </w:p>
        </w:tc>
      </w:tr>
      <w:tr>
        <w:trPr/>
        <w:tc>
          <w:tcPr>
            <w:tcW w:w="17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Intensidade da dor</w:t>
            </w:r>
          </w:p>
        </w:tc>
        <w:tc>
          <w:tcPr>
            <w:tcW w:w="155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EVA (0–10)</w:t>
            </w:r>
          </w:p>
        </w:tc>
        <w:tc>
          <w:tcPr>
            <w:tcW w:w="188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Baseline, 1, 3, 6, 9 e 12 meses</w:t>
            </w:r>
          </w:p>
        </w:tc>
        <w:tc>
          <w:tcPr>
            <w:tcW w:w="333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Estimar média e DP para cálculo amostral fase III</w:t>
            </w:r>
          </w:p>
        </w:tc>
      </w:tr>
      <w:tr>
        <w:trPr/>
        <w:tc>
          <w:tcPr>
            <w:tcW w:w="17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Incapacidade funcional</w:t>
            </w:r>
          </w:p>
        </w:tc>
        <w:tc>
          <w:tcPr>
            <w:tcW w:w="155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ODI</w:t>
            </w:r>
          </w:p>
        </w:tc>
        <w:tc>
          <w:tcPr>
            <w:tcW w:w="188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Baseline, 1, 3, 6, 9 e 12 meses</w:t>
            </w:r>
          </w:p>
        </w:tc>
        <w:tc>
          <w:tcPr>
            <w:tcW w:w="333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Estimar média e DP para cálculo amostral fase III</w:t>
            </w:r>
          </w:p>
        </w:tc>
      </w:tr>
      <w:tr>
        <w:trPr/>
        <w:tc>
          <w:tcPr>
            <w:tcW w:w="17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Qualidade de vida</w:t>
            </w:r>
          </w:p>
        </w:tc>
        <w:tc>
          <w:tcPr>
            <w:tcW w:w="155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SF-36</w:t>
            </w:r>
          </w:p>
        </w:tc>
        <w:tc>
          <w:tcPr>
            <w:tcW w:w="188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Baseline, 1, 3, 6, 9 e 12 meses</w:t>
            </w:r>
          </w:p>
        </w:tc>
        <w:tc>
          <w:tcPr>
            <w:tcW w:w="333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Caracterização da população do estudo</w:t>
            </w:r>
          </w:p>
        </w:tc>
      </w:tr>
      <w:tr>
        <w:trPr/>
        <w:tc>
          <w:tcPr>
            <w:tcW w:w="17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Medicação de resgate</w:t>
            </w:r>
          </w:p>
        </w:tc>
        <w:tc>
          <w:tcPr>
            <w:tcW w:w="155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Registro sistemático</w:t>
            </w:r>
          </w:p>
        </w:tc>
        <w:tc>
          <w:tcPr>
            <w:tcW w:w="188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Contínuo</w:t>
            </w:r>
          </w:p>
        </w:tc>
        <w:tc>
          <w:tcPr>
            <w:tcW w:w="333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Covariável e desfecho de suporte</w:t>
            </w:r>
          </w:p>
        </w:tc>
      </w:tr>
      <w:tr>
        <w:trPr/>
        <w:tc>
          <w:tcPr>
            <w:tcW w:w="17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Altura do disco</w:t>
            </w:r>
          </w:p>
        </w:tc>
        <w:tc>
          <w:tcPr>
            <w:tcW w:w="155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Raio-X coluna lombar</w:t>
            </w:r>
          </w:p>
        </w:tc>
        <w:tc>
          <w:tcPr>
            <w:tcW w:w="188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Baseline, 6 e 12 meses</w:t>
            </w:r>
          </w:p>
        </w:tc>
        <w:tc>
          <w:tcPr>
            <w:tcW w:w="333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Sinal radiológico exploratório</w:t>
            </w:r>
          </w:p>
        </w:tc>
      </w:tr>
      <w:tr>
        <w:trPr/>
        <w:tc>
          <w:tcPr>
            <w:tcW w:w="17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Conteúdo hídrico — ADC</w:t>
            </w:r>
          </w:p>
        </w:tc>
        <w:tc>
          <w:tcPr>
            <w:tcW w:w="155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RNM com mapeamento DWI</w:t>
            </w:r>
          </w:p>
        </w:tc>
        <w:tc>
          <w:tcPr>
            <w:tcW w:w="188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Baseline, 6 e 12 meses</w:t>
            </w:r>
          </w:p>
        </w:tc>
        <w:tc>
          <w:tcPr>
            <w:tcW w:w="333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Correlação clínico-radiológica exploratória</w:t>
            </w:r>
          </w:p>
        </w:tc>
      </w:tr>
    </w:tbl>
    <w:p>
      <w:pPr>
        <w:pStyle w:val="Normal"/>
        <w:spacing w:before="160" w:after="80"/>
        <w:rPr/>
      </w:pPr>
      <w:r>
        <w:rPr/>
      </w:r>
    </w:p>
    <w:p>
      <w:pPr>
        <w:pStyle w:val="Heading3"/>
        <w:rPr>
          <w:color w:val="auto"/>
        </w:rPr>
      </w:pPr>
      <w:r>
        <w:rPr>
          <w:color w:val="auto"/>
        </w:rPr>
        <w:t>4.6.3. Critérios Formais de Relevância Clínica — MCID</w:t>
      </w:r>
    </w:p>
    <w:p>
      <w:pPr>
        <w:pStyle w:val="Normal"/>
        <w:spacing w:lineRule="auto" w:line="360" w:before="80" w:after="80"/>
        <w:jc w:val="both"/>
        <w:rPr/>
      </w:pPr>
      <w:r>
        <w:rPr/>
        <w:t>Mesmo sendo exploratórios, os desfechos contínuos serão interpretados à luz do MCID definido a priori. Apenas mudanças que atinjam ou superem o MCID serão descritas como clinicamente relevantes no manuscrito:</w:t>
      </w:r>
    </w:p>
    <w:p>
      <w:pPr>
        <w:pStyle w:val="Normal"/>
        <w:spacing w:before="60" w:after="40"/>
        <w:rPr/>
      </w:pPr>
      <w:r>
        <w:rPr/>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1733"/>
        <w:gridCol w:w="1899"/>
        <w:gridCol w:w="2096"/>
        <w:gridCol w:w="2775"/>
      </w:tblGrid>
      <w:tr>
        <w:trPr>
          <w:tblHeader w:val="true"/>
        </w:trPr>
        <w:tc>
          <w:tcPr>
            <w:tcW w:w="1733"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Instrumento</w:t>
            </w:r>
          </w:p>
        </w:tc>
        <w:tc>
          <w:tcPr>
            <w:tcW w:w="1899"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MCID Adotado</w:t>
            </w:r>
          </w:p>
        </w:tc>
        <w:tc>
          <w:tcPr>
            <w:tcW w:w="2096"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Referência</w:t>
            </w:r>
          </w:p>
        </w:tc>
        <w:tc>
          <w:tcPr>
            <w:tcW w:w="2775"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Critério Alternativo</w:t>
            </w:r>
          </w:p>
        </w:tc>
      </w:tr>
      <w:tr>
        <w:trPr/>
        <w:tc>
          <w:tcPr>
            <w:tcW w:w="17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EVA</w:t>
            </w:r>
          </w:p>
        </w:tc>
        <w:tc>
          <w:tcPr>
            <w:tcW w:w="18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Redução ≥ 2,0 pontos</w:t>
            </w:r>
          </w:p>
        </w:tc>
        <w:tc>
          <w:tcPr>
            <w:tcW w:w="209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Farrar et al., 2001</w:t>
            </w:r>
          </w:p>
        </w:tc>
        <w:tc>
          <w:tcPr>
            <w:tcW w:w="277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OU ≥ 30% de redução em relação ao baseline</w:t>
            </w:r>
          </w:p>
        </w:tc>
      </w:tr>
      <w:tr>
        <w:trPr/>
        <w:tc>
          <w:tcPr>
            <w:tcW w:w="17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ODI</w:t>
            </w:r>
          </w:p>
        </w:tc>
        <w:tc>
          <w:tcPr>
            <w:tcW w:w="18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Redução ≥ 10 pontos percentuais</w:t>
            </w:r>
          </w:p>
        </w:tc>
        <w:tc>
          <w:tcPr>
            <w:tcW w:w="209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Ostelo &amp; de Vet, 2005</w:t>
            </w:r>
          </w:p>
        </w:tc>
        <w:tc>
          <w:tcPr>
            <w:tcW w:w="277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OU melhora de 1 categoria funcional</w:t>
            </w:r>
          </w:p>
        </w:tc>
      </w:tr>
      <w:tr>
        <w:trPr/>
        <w:tc>
          <w:tcPr>
            <w:tcW w:w="17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SF-36 — dor corporal</w:t>
            </w:r>
          </w:p>
        </w:tc>
        <w:tc>
          <w:tcPr>
            <w:tcW w:w="18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Aumento ≥ 10 pontos</w:t>
            </w:r>
          </w:p>
        </w:tc>
        <w:tc>
          <w:tcPr>
            <w:tcW w:w="209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Ware et al., 1993</w:t>
            </w:r>
          </w:p>
        </w:tc>
        <w:tc>
          <w:tcPr>
            <w:tcW w:w="277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w:t>
            </w:r>
          </w:p>
        </w:tc>
      </w:tr>
    </w:tbl>
    <w:p>
      <w:pPr>
        <w:pStyle w:val="Normal"/>
        <w:spacing w:before="160" w:after="80"/>
        <w:rPr/>
      </w:pPr>
      <w:r>
        <w:rPr/>
      </w:r>
    </w:p>
    <w:p>
      <w:pPr>
        <w:pStyle w:val="Heading3"/>
        <w:rPr>
          <w:color w:val="auto"/>
        </w:rPr>
      </w:pPr>
      <w:r>
        <w:rPr>
          <w:color w:val="auto"/>
        </w:rPr>
        <w:t>4.6.4. Análises Exploratórias Adicionais</w:t>
      </w:r>
    </w:p>
    <w:p>
      <w:pPr>
        <w:pStyle w:val="Normal"/>
        <w:spacing w:lineRule="auto" w:line="360" w:before="80" w:after="80"/>
        <w:jc w:val="both"/>
        <w:rPr/>
      </w:pPr>
      <w:r>
        <w:rPr/>
        <w:t>As seguintes análises têm caráter exclusivamente gerador de hipótese, sem ajuste formal para multiplicidade, declarado explicitamente no protocolo e no manuscrito:</w:t>
      </w:r>
    </w:p>
    <w:p>
      <w:pPr>
        <w:pStyle w:val="Normal"/>
        <w:spacing w:before="60" w:after="40"/>
        <w:rPr/>
      </w:pPr>
      <w:r>
        <w:rPr/>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2636"/>
        <w:gridCol w:w="1922"/>
        <w:gridCol w:w="3946"/>
      </w:tblGrid>
      <w:tr>
        <w:trPr>
          <w:tblHeader w:val="true"/>
        </w:trPr>
        <w:tc>
          <w:tcPr>
            <w:tcW w:w="2636"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Análise</w:t>
            </w:r>
          </w:p>
        </w:tc>
        <w:tc>
          <w:tcPr>
            <w:tcW w:w="1922"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Método</w:t>
            </w:r>
          </w:p>
        </w:tc>
        <w:tc>
          <w:tcPr>
            <w:tcW w:w="3946"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Objetivo</w:t>
            </w:r>
          </w:p>
        </w:tc>
      </w:tr>
      <w:tr>
        <w:trPr/>
        <w:tc>
          <w:tcPr>
            <w:tcW w:w="263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Variação ADC — baseline vs. 12 meses</w:t>
            </w:r>
          </w:p>
        </w:tc>
        <w:tc>
          <w:tcPr>
            <w:tcW w:w="192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Mann-Whitney entre grupos</w:t>
            </w:r>
          </w:p>
        </w:tc>
        <w:tc>
          <w:tcPr>
            <w:tcW w:w="394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Avaliar sinal de regeneração radiológica objetiva</w:t>
            </w:r>
          </w:p>
        </w:tc>
      </w:tr>
      <w:tr>
        <w:trPr/>
        <w:tc>
          <w:tcPr>
            <w:tcW w:w="263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Correlação ΔADC × ΔEVA (12 meses)</w:t>
            </w:r>
          </w:p>
        </w:tc>
        <w:tc>
          <w:tcPr>
            <w:tcW w:w="192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Spearman</w:t>
            </w:r>
          </w:p>
        </w:tc>
        <w:tc>
          <w:tcPr>
            <w:tcW w:w="394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Hipótese para correlação clínico-radiológica</w:t>
            </w:r>
          </w:p>
        </w:tc>
      </w:tr>
      <w:tr>
        <w:trPr/>
        <w:tc>
          <w:tcPr>
            <w:tcW w:w="263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Correlação ΔADC × ΔODI (12 meses)</w:t>
            </w:r>
          </w:p>
        </w:tc>
        <w:tc>
          <w:tcPr>
            <w:tcW w:w="192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Spearman</w:t>
            </w:r>
          </w:p>
        </w:tc>
        <w:tc>
          <w:tcPr>
            <w:tcW w:w="394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Hipótese para correlação funcional-radiológica</w:t>
            </w:r>
          </w:p>
        </w:tc>
      </w:tr>
      <w:tr>
        <w:trPr/>
        <w:tc>
          <w:tcPr>
            <w:tcW w:w="263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Subanálise Pfirrmann III vs. IV</w:t>
            </w:r>
          </w:p>
        </w:tc>
        <w:tc>
          <w:tcPr>
            <w:tcW w:w="192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Análise estratificada descritiva</w:t>
            </w:r>
          </w:p>
        </w:tc>
        <w:tc>
          <w:tcPr>
            <w:tcW w:w="394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Identificar subpopulação candidata a fase III</w:t>
            </w:r>
          </w:p>
        </w:tc>
      </w:tr>
      <w:tr>
        <w:trPr/>
        <w:tc>
          <w:tcPr>
            <w:tcW w:w="2636" w:type="dxa"/>
            <w:tcBorders>
              <w:top w:val="single" w:sz="2" w:space="0" w:color="CCCCCC"/>
              <w:left w:val="single" w:sz="2" w:space="0" w:color="CCCCCC"/>
              <w:bottom w:val="single" w:sz="2" w:space="0" w:color="CCCCCC"/>
              <w:right w:val="single" w:sz="2" w:space="0" w:color="CCCCCC"/>
            </w:tcBorders>
            <w:tcMar>
              <w:top w:w="70" w:type="dxa"/>
              <w:bottom w:w="70" w:type="dxa"/>
            </w:tcMar>
            <w:vAlign w:val="center"/>
          </w:tcPr>
          <w:p>
            <w:pPr>
              <w:pStyle w:val="Normal"/>
              <w:rPr>
                <w:sz w:val="18"/>
                <w:szCs w:val="18"/>
              </w:rPr>
            </w:pPr>
            <w:r>
              <w:rPr>
                <w:sz w:val="18"/>
                <w:szCs w:val="18"/>
              </w:rPr>
              <w:t>Subanálise por subtipo Modic (0/1/2)</w:t>
            </w:r>
          </w:p>
        </w:tc>
        <w:tc>
          <w:tcPr>
            <w:tcW w:w="1922" w:type="dxa"/>
            <w:tcBorders>
              <w:top w:val="single" w:sz="2" w:space="0" w:color="CCCCCC"/>
              <w:left w:val="single" w:sz="2" w:space="0" w:color="CCCCCC"/>
              <w:bottom w:val="single" w:sz="2" w:space="0" w:color="CCCCCC"/>
              <w:right w:val="single" w:sz="2" w:space="0" w:color="CCCCCC"/>
            </w:tcBorders>
            <w:tcMar>
              <w:top w:w="70" w:type="dxa"/>
              <w:bottom w:w="70" w:type="dxa"/>
            </w:tcMar>
            <w:vAlign w:val="center"/>
          </w:tcPr>
          <w:p>
            <w:pPr>
              <w:pStyle w:val="Normal"/>
              <w:rPr>
                <w:sz w:val="18"/>
                <w:szCs w:val="18"/>
              </w:rPr>
            </w:pPr>
            <w:r>
              <w:rPr>
                <w:sz w:val="18"/>
                <w:szCs w:val="18"/>
              </w:rPr>
              <w:t>Análise estratificada descritiva</w:t>
            </w:r>
          </w:p>
        </w:tc>
        <w:tc>
          <w:tcPr>
            <w:tcW w:w="3946" w:type="dxa"/>
            <w:tcBorders>
              <w:top w:val="single" w:sz="2" w:space="0" w:color="CCCCCC"/>
              <w:left w:val="single" w:sz="2" w:space="0" w:color="CCCCCC"/>
              <w:bottom w:val="single" w:sz="2" w:space="0" w:color="CCCCCC"/>
              <w:right w:val="single" w:sz="2" w:space="0" w:color="CCCCCC"/>
            </w:tcBorders>
            <w:tcMar>
              <w:top w:w="70" w:type="dxa"/>
              <w:bottom w:w="70" w:type="dxa"/>
            </w:tcMar>
            <w:vAlign w:val="center"/>
          </w:tcPr>
          <w:p>
            <w:pPr>
              <w:pStyle w:val="Normal"/>
              <w:rPr>
                <w:sz w:val="18"/>
                <w:szCs w:val="18"/>
              </w:rPr>
            </w:pPr>
            <w:r>
              <w:rPr>
                <w:sz w:val="18"/>
                <w:szCs w:val="18"/>
              </w:rPr>
              <w:t>Explorar se o fenótipo inflamatório (Modic 1) responde diferentemente — hipótese para enriquecimento da fase III</w:t>
            </w:r>
          </w:p>
        </w:tc>
      </w:tr>
    </w:tbl>
    <w:p>
      <w:pPr>
        <w:pStyle w:val="Normal"/>
        <w:spacing w:before="160" w:after="80"/>
        <w:rPr/>
      </w:pPr>
      <w:r>
        <w:rPr/>
      </w:r>
    </w:p>
    <w:p>
      <w:pPr>
        <w:pStyle w:val="Heading3"/>
        <w:rPr>
          <w:color w:val="auto"/>
        </w:rPr>
      </w:pPr>
      <w:r>
        <w:rPr>
          <w:color w:val="auto"/>
        </w:rPr>
        <w:t>4.6.5. Cálculo Amostral</w:t>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4255"/>
        <w:gridCol w:w="4248"/>
      </w:tblGrid>
      <w:tr>
        <w:trPr>
          <w:tblHeader w:val="true"/>
        </w:trPr>
        <w:tc>
          <w:tcPr>
            <w:tcW w:w="4255"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Parâmetro</w:t>
            </w:r>
          </w:p>
        </w:tc>
        <w:tc>
          <w:tcPr>
            <w:tcW w:w="4248"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Valor</w:t>
            </w:r>
          </w:p>
        </w:tc>
      </w:tr>
      <w:tr>
        <w:trPr/>
        <w:tc>
          <w:tcPr>
            <w:tcW w:w="425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Desfecho dimensionador</w:t>
            </w:r>
          </w:p>
        </w:tc>
        <w:tc>
          <w:tcPr>
            <w:tcW w:w="424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EVA — componente exploratório mais conservador</w:t>
            </w:r>
          </w:p>
        </w:tc>
      </w:tr>
      <w:tr>
        <w:trPr/>
        <w:tc>
          <w:tcPr>
            <w:tcW w:w="425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Diferença clinicamente relevante (Δ = MCID)</w:t>
            </w:r>
          </w:p>
        </w:tc>
        <w:tc>
          <w:tcPr>
            <w:tcW w:w="424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2,0 pontos na EVA</w:t>
            </w:r>
          </w:p>
        </w:tc>
      </w:tr>
      <w:tr>
        <w:trPr/>
        <w:tc>
          <w:tcPr>
            <w:tcW w:w="425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Desvio-padrão estimado (σ)</w:t>
            </w:r>
          </w:p>
        </w:tc>
        <w:tc>
          <w:tcPr>
            <w:tcW w:w="424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2,5 pontos (Kumar et al., 2017)</w:t>
            </w:r>
          </w:p>
        </w:tc>
      </w:tr>
      <w:tr>
        <w:trPr/>
        <w:tc>
          <w:tcPr>
            <w:tcW w:w="425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Nível de significância (α)</w:t>
            </w:r>
          </w:p>
        </w:tc>
        <w:tc>
          <w:tcPr>
            <w:tcW w:w="424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0,05 — bicaudal</w:t>
            </w:r>
          </w:p>
        </w:tc>
      </w:tr>
      <w:tr>
        <w:trPr/>
        <w:tc>
          <w:tcPr>
            <w:tcW w:w="425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Poder estatístico calculado</w:t>
            </w:r>
          </w:p>
        </w:tc>
        <w:tc>
          <w:tcPr>
            <w:tcW w:w="424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~55% — declarado como exploratório</w:t>
            </w:r>
          </w:p>
        </w:tc>
      </w:tr>
      <w:tr>
        <w:trPr/>
        <w:tc>
          <w:tcPr>
            <w:tcW w:w="425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b/>
                <w:bCs/>
                <w:sz w:val="18"/>
                <w:szCs w:val="18"/>
              </w:rPr>
              <w:t>N final por grupo</w:t>
            </w:r>
          </w:p>
        </w:tc>
        <w:tc>
          <w:tcPr>
            <w:tcW w:w="424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b/>
                <w:bCs/>
                <w:sz w:val="18"/>
                <w:szCs w:val="18"/>
              </w:rPr>
              <w:t>15 participantes</w:t>
            </w:r>
          </w:p>
        </w:tc>
      </w:tr>
      <w:tr>
        <w:trPr/>
        <w:tc>
          <w:tcPr>
            <w:tcW w:w="425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b/>
                <w:bCs/>
                <w:sz w:val="18"/>
                <w:szCs w:val="18"/>
              </w:rPr>
              <w:t>N total</w:t>
            </w:r>
          </w:p>
        </w:tc>
        <w:tc>
          <w:tcPr>
            <w:tcW w:w="424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b/>
                <w:bCs/>
                <w:sz w:val="18"/>
                <w:szCs w:val="18"/>
              </w:rPr>
              <w:t>30 participantes</w:t>
            </w:r>
          </w:p>
        </w:tc>
      </w:tr>
    </w:tbl>
    <w:p>
      <w:pPr>
        <w:pStyle w:val="Normal"/>
        <w:spacing w:before="100" w:after="60"/>
        <w:rPr/>
      </w:pPr>
      <w:r>
        <w:rPr/>
      </w:r>
    </w:p>
    <w:tbl>
      <w:tblPr>
        <w:tblW w:w="8504" w:type="dxa"/>
        <w:jc w:val="left"/>
        <w:tblInd w:w="0" w:type="dxa"/>
        <w:tblLayout w:type="fixed"/>
        <w:tblCellMar>
          <w:top w:w="120" w:type="dxa"/>
          <w:left w:w="160" w:type="dxa"/>
          <w:bottom w:w="120" w:type="dxa"/>
          <w:right w:w="160" w:type="dxa"/>
        </w:tblCellMar>
        <w:tblLook w:val="04a0" w:noHBand="0" w:noVBand="1" w:firstColumn="1" w:lastRow="0" w:lastColumn="0" w:firstRow="1"/>
      </w:tblPr>
      <w:tblGrid>
        <w:gridCol w:w="8504"/>
      </w:tblGrid>
      <w:tr>
        <w:trPr/>
        <w:tc>
          <w:tcPr>
            <w:tcW w:w="8504" w:type="dxa"/>
            <w:tcBorders>
              <w:top w:val="single" w:sz="2" w:space="0" w:color="808080"/>
              <w:left w:val="single" w:sz="2" w:space="0" w:color="808080"/>
              <w:bottom w:val="single" w:sz="2" w:space="0" w:color="808080"/>
              <w:right w:val="single" w:sz="2" w:space="0" w:color="808080"/>
            </w:tcBorders>
            <w:shd w:color="auto" w:fill="FFFFFF" w:val="clear"/>
          </w:tcPr>
          <w:p>
            <w:pPr>
              <w:pStyle w:val="Normal"/>
              <w:rPr/>
            </w:pPr>
            <w:r>
              <w:rPr>
                <w:b/>
                <w:bCs/>
                <w:sz w:val="20"/>
                <w:szCs w:val="20"/>
              </w:rPr>
              <w:t xml:space="preserve">Justificativa do n=30: </w:t>
            </w:r>
            <w:r>
              <w:rPr>
                <w:sz w:val="20"/>
                <w:szCs w:val="20"/>
              </w:rPr>
              <w:t>O n=30 é o máximo factível para 18 meses de recrutamento no HUMAP-UFMS (Ambulatório da Dor e encaminhamentos internos de neurocirurgia, ortopedia e reabilitação), conforme demonstrado pelo funil corrigido. O n=30 é adequado para avaliação inicial de segurança e tolerabilidade, permitindo detectar eventos adversos frequentes. Entretanto, o estudo não possui poder para excluir eventos raros ou infrequentes, o que será explicitamente reconhecido como limitação no manuscrito. O desfecho exploratório de eficácia tem poder de ~55%, suficiente para gerar sinal e estimar parâmetros de variabilidade para o dimensionamento do futuro ECR de fase II/III.</w:t>
            </w:r>
          </w:p>
        </w:tc>
      </w:tr>
    </w:tbl>
    <w:p>
      <w:pPr>
        <w:pStyle w:val="Normal"/>
        <w:spacing w:before="160" w:after="80"/>
        <w:rPr/>
      </w:pPr>
      <w:r>
        <w:rPr/>
      </w:r>
    </w:p>
    <w:p>
      <w:pPr>
        <w:pStyle w:val="Heading3"/>
        <w:rPr>
          <w:color w:val="auto"/>
        </w:rPr>
      </w:pPr>
      <w:r>
        <w:rPr>
          <w:color w:val="auto"/>
        </w:rPr>
        <w:t>4.6.6. Análise Estatística</w:t>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3317"/>
        <w:gridCol w:w="5186"/>
      </w:tblGrid>
      <w:tr>
        <w:trPr>
          <w:tblHeader w:val="true"/>
        </w:trPr>
        <w:tc>
          <w:tcPr>
            <w:tcW w:w="3317"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Desfecho / Análise</w:t>
            </w:r>
          </w:p>
        </w:tc>
        <w:tc>
          <w:tcPr>
            <w:tcW w:w="5186"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Método</w:t>
            </w:r>
          </w:p>
        </w:tc>
      </w:tr>
      <w:tr>
        <w:trPr/>
        <w:tc>
          <w:tcPr>
            <w:tcW w:w="331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Incidência de EA/EAG (primário)</w:t>
            </w:r>
          </w:p>
        </w:tc>
        <w:tc>
          <w:tcPr>
            <w:tcW w:w="518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Teste exato de Fisher como principal (adequado ao n pequeno); qui-quadrado apenas se atendidos os pressupostos de frequência esperada. Proporções com IC 95%</w:t>
            </w:r>
          </w:p>
        </w:tc>
      </w:tr>
      <w:tr>
        <w:trPr/>
        <w:tc>
          <w:tcPr>
            <w:tcW w:w="331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EVA, ODI, SF-36 (exploratório — múltiplos tempos)</w:t>
            </w:r>
          </w:p>
        </w:tc>
        <w:tc>
          <w:tcPr>
            <w:tcW w:w="518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MMRM — modelo linear de efeitos mistos para medidas repetidas</w:t>
            </w:r>
          </w:p>
        </w:tc>
      </w:tr>
      <w:tr>
        <w:trPr/>
        <w:tc>
          <w:tcPr>
            <w:tcW w:w="331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Avaliação do MCID</w:t>
            </w:r>
          </w:p>
        </w:tc>
        <w:tc>
          <w:tcPr>
            <w:tcW w:w="518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Proporção de respondedores por grupo (atingiram ou não o MCID)</w:t>
            </w:r>
          </w:p>
        </w:tc>
      </w:tr>
      <w:tr>
        <w:trPr/>
        <w:tc>
          <w:tcPr>
            <w:tcW w:w="331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Medicação de resgate</w:t>
            </w:r>
          </w:p>
        </w:tc>
        <w:tc>
          <w:tcPr>
            <w:tcW w:w="518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Comparação de proporções e doses médias entre grupos</w:t>
            </w:r>
          </w:p>
        </w:tc>
      </w:tr>
      <w:tr>
        <w:trPr/>
        <w:tc>
          <w:tcPr>
            <w:tcW w:w="331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ADC e correlações (exploratório)</w:t>
            </w:r>
          </w:p>
        </w:tc>
        <w:tc>
          <w:tcPr>
            <w:tcW w:w="518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Mann-Whitney + correlação de Spearman</w:t>
            </w:r>
          </w:p>
        </w:tc>
      </w:tr>
      <w:tr>
        <w:trPr/>
        <w:tc>
          <w:tcPr>
            <w:tcW w:w="331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Subanálise Pfirrmann (exploratório)</w:t>
            </w:r>
          </w:p>
        </w:tc>
        <w:tc>
          <w:tcPr>
            <w:tcW w:w="518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Análise estratificada descritiva — sem teste de interação formal</w:t>
            </w:r>
          </w:p>
        </w:tc>
      </w:tr>
      <w:tr>
        <w:trPr/>
        <w:tc>
          <w:tcPr>
            <w:tcW w:w="331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Dados faltantes</w:t>
            </w:r>
          </w:p>
        </w:tc>
        <w:tc>
          <w:tcPr>
            <w:tcW w:w="518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Imputação múltipla — Missing At Random (MAR)</w:t>
            </w:r>
          </w:p>
        </w:tc>
      </w:tr>
      <w:tr>
        <w:trPr/>
        <w:tc>
          <w:tcPr>
            <w:tcW w:w="331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Análise principal</w:t>
            </w:r>
          </w:p>
        </w:tc>
        <w:tc>
          <w:tcPr>
            <w:tcW w:w="518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Intenção de tratar (ITT); análise por protocolo (PP) como sensibilidade</w:t>
            </w:r>
          </w:p>
        </w:tc>
      </w:tr>
      <w:tr>
        <w:trPr/>
        <w:tc>
          <w:tcPr>
            <w:tcW w:w="331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Significância</w:t>
            </w:r>
          </w:p>
        </w:tc>
        <w:tc>
          <w:tcPr>
            <w:tcW w:w="518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 &lt; 0,05 para primário; exploratórios sem ajuste para multiplicidade</w:t>
            </w:r>
          </w:p>
        </w:tc>
      </w:tr>
    </w:tbl>
    <w:p>
      <w:pPr>
        <w:pStyle w:val="Normal"/>
        <w:spacing w:before="200" w:after="80"/>
        <w:rPr/>
      </w:pPr>
      <w:r>
        <w:rPr/>
      </w:r>
    </w:p>
    <w:p>
      <w:pPr>
        <w:pStyle w:val="Heading2"/>
        <w:rPr>
          <w:color w:val="auto"/>
        </w:rPr>
      </w:pPr>
      <w:r>
        <w:rPr>
          <w:color w:val="auto"/>
        </w:rPr>
        <w:t>4.7. Padronização das Células-Tronco Mesenquimais (MSCs-TA)</w:t>
      </w:r>
    </w:p>
    <w:p>
      <w:pPr>
        <w:pStyle w:val="Heading3"/>
        <w:rPr>
          <w:color w:val="auto"/>
        </w:rPr>
      </w:pPr>
      <w:r>
        <w:rPr>
          <w:color w:val="auto"/>
        </w:rPr>
        <w:t>4.7.1. Isolamento e Expansão</w:t>
      </w:r>
    </w:p>
    <w:p>
      <w:pPr>
        <w:pStyle w:val="Normal"/>
        <w:spacing w:lineRule="auto" w:line="360" w:before="80" w:after="80"/>
        <w:jc w:val="both"/>
        <w:rPr/>
      </w:pPr>
      <w:r>
        <w:rPr/>
        <w:t>Tecido adiposo abdominal subcutâneo será coletado via lipoaspiração (150 mL) realizada 3 semanas antes do transplante por cirurgião plástico parceiro, em sala de operação sob anestesia local. A amostra será transportada para o CeTroGen sob condições assépticas. O lipoaspirado será processado em ambiente estéril: lavagem com PBS livre de Ca²⁺ e Mg²⁺, dissociação enzimática com Colagenase Tipo A1, centrifugação, plaqueamento e incubação a 37°C em atmosfera de 5% de CO₂. O meio será trocado a cada 2–3 dias até confluência de 80–90%.</w:t>
      </w:r>
    </w:p>
    <w:p>
      <w:pPr>
        <w:pStyle w:val="Normal"/>
        <w:spacing w:before="120" w:after="60"/>
        <w:rPr/>
      </w:pPr>
      <w:r>
        <w:rPr/>
      </w:r>
    </w:p>
    <w:p>
      <w:pPr>
        <w:pStyle w:val="Heading3"/>
        <w:rPr>
          <w:color w:val="auto"/>
        </w:rPr>
      </w:pPr>
      <w:r>
        <w:rPr>
          <w:color w:val="auto"/>
        </w:rPr>
        <w:t>4.7.2. Parâmetros de Produção e Liberação</w:t>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2387"/>
        <w:gridCol w:w="2825"/>
        <w:gridCol w:w="3292"/>
      </w:tblGrid>
      <w:tr>
        <w:trPr>
          <w:tblHeader w:val="true"/>
        </w:trPr>
        <w:tc>
          <w:tcPr>
            <w:tcW w:w="2387"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Parâmetro</w:t>
            </w:r>
          </w:p>
        </w:tc>
        <w:tc>
          <w:tcPr>
            <w:tcW w:w="2825"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Especificação</w:t>
            </w:r>
          </w:p>
        </w:tc>
        <w:tc>
          <w:tcPr>
            <w:tcW w:w="3292"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Verificação</w:t>
            </w:r>
          </w:p>
        </w:tc>
      </w:tr>
      <w:tr>
        <w:trPr/>
        <w:tc>
          <w:tcPr>
            <w:tcW w:w="238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Passagem máxima</w:t>
            </w:r>
          </w:p>
        </w:tc>
        <w:tc>
          <w:tcPr>
            <w:tcW w:w="282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P3 — máximo absoluto</w:t>
            </w:r>
          </w:p>
        </w:tc>
        <w:tc>
          <w:tcPr>
            <w:tcW w:w="329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Registro de passagens no protocolo laboratorial</w:t>
            </w:r>
          </w:p>
        </w:tc>
      </w:tr>
      <w:tr>
        <w:trPr/>
        <w:tc>
          <w:tcPr>
            <w:tcW w:w="238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Viabilidade mínima final</w:t>
            </w:r>
          </w:p>
        </w:tc>
        <w:tc>
          <w:tcPr>
            <w:tcW w:w="282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 xml:space="preserve">≥ 87%</w:t>
            </w:r>
          </w:p>
        </w:tc>
        <w:tc>
          <w:tcPr>
            <w:tcW w:w="329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Exclusão por azul de tripano antes do transplante</w:t>
            </w:r>
          </w:p>
        </w:tc>
      </w:tr>
      <w:tr>
        <w:trPr/>
        <w:tc>
          <w:tcPr>
            <w:tcW w:w="238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Dose por disco</w:t>
            </w:r>
          </w:p>
        </w:tc>
        <w:tc>
          <w:tcPr>
            <w:tcW w:w="282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4,0 × 10⁷ células em 1,0 mL de solução fisiológica</w:t>
            </w:r>
          </w:p>
        </w:tc>
        <w:tc>
          <w:tcPr>
            <w:tcW w:w="329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Contagem em câmara de Neubauer ou contador automático</w:t>
            </w:r>
          </w:p>
        </w:tc>
      </w:tr>
      <w:tr>
        <w:trPr/>
        <w:tc>
          <w:tcPr>
            <w:tcW w:w="238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N máximo de discos/paciente</w:t>
            </w:r>
          </w:p>
        </w:tc>
        <w:tc>
          <w:tcPr>
            <w:tcW w:w="282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2 discos sintomáticos</w:t>
            </w:r>
          </w:p>
        </w:tc>
        <w:tc>
          <w:tcPr>
            <w:tcW w:w="329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Critério clínico-radiológico pré-definido</w:t>
            </w:r>
          </w:p>
        </w:tc>
      </w:tr>
      <w:tr>
        <w:trPr/>
        <w:tc>
          <w:tcPr>
            <w:tcW w:w="238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Morfologia esperada</w:t>
            </w:r>
          </w:p>
        </w:tc>
        <w:tc>
          <w:tcPr>
            <w:tcW w:w="282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Fibroblastoide — forma de fuso</w:t>
            </w:r>
          </w:p>
        </w:tc>
        <w:tc>
          <w:tcPr>
            <w:tcW w:w="329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Microscopia óptica antes do transplante</w:t>
            </w:r>
          </w:p>
        </w:tc>
      </w:tr>
      <w:tr>
        <w:trPr/>
        <w:tc>
          <w:tcPr>
            <w:tcW w:w="238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Temperatura de transporte</w:t>
            </w:r>
          </w:p>
        </w:tc>
        <w:tc>
          <w:tcPr>
            <w:tcW w:w="282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4°C em caixa térmica validada</w:t>
            </w:r>
          </w:p>
        </w:tc>
        <w:tc>
          <w:tcPr>
            <w:tcW w:w="329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Termômetro com registro contínuo</w:t>
            </w:r>
          </w:p>
        </w:tc>
      </w:tr>
      <w:tr>
        <w:trPr/>
        <w:tc>
          <w:tcPr>
            <w:tcW w:w="238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Tempo máximo pós-liberação</w:t>
            </w:r>
          </w:p>
        </w:tc>
        <w:tc>
          <w:tcPr>
            <w:tcW w:w="2825"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4 horas</w:t>
            </w:r>
          </w:p>
        </w:tc>
        <w:tc>
          <w:tcPr>
            <w:tcW w:w="3292"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Registro de horário no formulário de rastreabilidade</w:t>
            </w:r>
          </w:p>
        </w:tc>
      </w:tr>
    </w:tbl>
    <w:p>
      <w:pPr>
        <w:pStyle w:val="Normal"/>
        <w:spacing w:before="160" w:after="80"/>
        <w:rPr/>
      </w:pPr>
      <w:r>
        <w:rPr/>
      </w:r>
    </w:p>
    <w:p>
      <w:pPr>
        <w:pStyle w:val="Heading3"/>
        <w:rPr>
          <w:color w:val="auto"/>
        </w:rPr>
      </w:pPr>
      <w:r>
        <w:rPr>
          <w:color w:val="auto"/>
        </w:rPr>
        <w:t>4.7.3. Caracterização Imunofenotípica — Citometria de Fluxo</w:t>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2666"/>
        <w:gridCol w:w="2359"/>
        <w:gridCol w:w="3479"/>
      </w:tblGrid>
      <w:tr>
        <w:trPr>
          <w:tblHeader w:val="true"/>
        </w:trPr>
        <w:tc>
          <w:tcPr>
            <w:tcW w:w="2666"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Marcador</w:t>
            </w:r>
          </w:p>
        </w:tc>
        <w:tc>
          <w:tcPr>
            <w:tcW w:w="2359"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Resultado Esperado</w:t>
            </w:r>
          </w:p>
        </w:tc>
        <w:tc>
          <w:tcPr>
            <w:tcW w:w="3479"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Limiar de Aprovação</w:t>
            </w:r>
          </w:p>
        </w:tc>
      </w:tr>
      <w:tr>
        <w:trPr/>
        <w:tc>
          <w:tcPr>
            <w:tcW w:w="266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CD73 (mesenquimal positivo)</w:t>
            </w:r>
          </w:p>
        </w:tc>
        <w:tc>
          <w:tcPr>
            <w:tcW w:w="235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Positivo</w:t>
            </w:r>
          </w:p>
        </w:tc>
        <w:tc>
          <w:tcPr>
            <w:tcW w:w="347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&gt; 90% da população total</w:t>
            </w:r>
          </w:p>
        </w:tc>
      </w:tr>
      <w:tr>
        <w:trPr/>
        <w:tc>
          <w:tcPr>
            <w:tcW w:w="266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CD44 (mesenquimal positivo)</w:t>
            </w:r>
          </w:p>
        </w:tc>
        <w:tc>
          <w:tcPr>
            <w:tcW w:w="235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Positivo</w:t>
            </w:r>
          </w:p>
        </w:tc>
        <w:tc>
          <w:tcPr>
            <w:tcW w:w="347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&gt; 90% da população total</w:t>
            </w:r>
          </w:p>
        </w:tc>
      </w:tr>
      <w:tr>
        <w:trPr/>
        <w:tc>
          <w:tcPr>
            <w:tcW w:w="266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CD29 (mesenquimal positivo)</w:t>
            </w:r>
          </w:p>
        </w:tc>
        <w:tc>
          <w:tcPr>
            <w:tcW w:w="235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Positivo</w:t>
            </w:r>
          </w:p>
        </w:tc>
        <w:tc>
          <w:tcPr>
            <w:tcW w:w="347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&gt; 90% da população total</w:t>
            </w:r>
          </w:p>
        </w:tc>
      </w:tr>
      <w:tr>
        <w:trPr/>
        <w:tc>
          <w:tcPr>
            <w:tcW w:w="266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CD45 (hematopoiético negativo)</w:t>
            </w:r>
          </w:p>
        </w:tc>
        <w:tc>
          <w:tcPr>
            <w:tcW w:w="235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Negativo</w:t>
            </w:r>
          </w:p>
        </w:tc>
        <w:tc>
          <w:tcPr>
            <w:tcW w:w="347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&lt; 2% da população total</w:t>
            </w:r>
          </w:p>
        </w:tc>
      </w:tr>
      <w:tr>
        <w:trPr/>
        <w:tc>
          <w:tcPr>
            <w:tcW w:w="266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Receptor TGF-β tipo III</w:t>
            </w:r>
          </w:p>
        </w:tc>
        <w:tc>
          <w:tcPr>
            <w:tcW w:w="235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Positivo</w:t>
            </w:r>
          </w:p>
        </w:tc>
        <w:tc>
          <w:tcPr>
            <w:tcW w:w="347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Expressão documentada</w:t>
            </w:r>
          </w:p>
        </w:tc>
      </w:tr>
    </w:tbl>
    <w:p>
      <w:pPr>
        <w:pStyle w:val="Normal"/>
        <w:spacing w:before="160" w:after="80"/>
        <w:rPr/>
      </w:pPr>
      <w:r>
        <w:rPr/>
      </w:r>
    </w:p>
    <w:p>
      <w:pPr>
        <w:pStyle w:val="Heading3"/>
        <w:rPr>
          <w:color w:val="auto"/>
        </w:rPr>
      </w:pPr>
      <w:r>
        <w:rPr>
          <w:color w:val="auto"/>
        </w:rPr>
        <w:t>4.7.4. Controle de Qualidade — Critérios de Liberação</w:t>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2387"/>
        <w:gridCol w:w="2829"/>
        <w:gridCol w:w="3288"/>
      </w:tblGrid>
      <w:tr>
        <w:trPr>
          <w:tblHeader w:val="true"/>
        </w:trPr>
        <w:tc>
          <w:tcPr>
            <w:tcW w:w="2387"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Parâmetro</w:t>
            </w:r>
          </w:p>
        </w:tc>
        <w:tc>
          <w:tcPr>
            <w:tcW w:w="2829"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Método</w:t>
            </w:r>
          </w:p>
        </w:tc>
        <w:tc>
          <w:tcPr>
            <w:tcW w:w="3288"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Critério de Aprovação</w:t>
            </w:r>
          </w:p>
        </w:tc>
      </w:tr>
      <w:tr>
        <w:trPr/>
        <w:tc>
          <w:tcPr>
            <w:tcW w:w="238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Contaminação microbiológica</w:t>
            </w:r>
          </w:p>
        </w:tc>
        <w:tc>
          <w:tcPr>
            <w:tcW w:w="282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Cultura estéril da suspensão final</w:t>
            </w:r>
          </w:p>
        </w:tc>
        <w:tc>
          <w:tcPr>
            <w:tcW w:w="328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Negativo — 48–72h antes do transplante</w:t>
            </w:r>
          </w:p>
        </w:tc>
      </w:tr>
      <w:tr>
        <w:trPr/>
        <w:tc>
          <w:tcPr>
            <w:tcW w:w="238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Micoplasma</w:t>
            </w:r>
          </w:p>
        </w:tc>
        <w:tc>
          <w:tcPr>
            <w:tcW w:w="282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PCR para micoplasma</w:t>
            </w:r>
          </w:p>
        </w:tc>
        <w:tc>
          <w:tcPr>
            <w:tcW w:w="328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Negativo</w:t>
            </w:r>
          </w:p>
        </w:tc>
      </w:tr>
      <w:tr>
        <w:trPr/>
        <w:tc>
          <w:tcPr>
            <w:tcW w:w="238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Endotoxinas</w:t>
            </w:r>
          </w:p>
        </w:tc>
        <w:tc>
          <w:tcPr>
            <w:tcW w:w="282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Teste LAL</w:t>
            </w:r>
          </w:p>
        </w:tc>
        <w:tc>
          <w:tcPr>
            <w:tcW w:w="328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 xml:space="preserve">≤ 5 EU/mL</w:t>
            </w:r>
          </w:p>
        </w:tc>
      </w:tr>
      <w:tr>
        <w:trPr/>
        <w:tc>
          <w:tcPr>
            <w:tcW w:w="238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Estabilidade genética</w:t>
            </w:r>
          </w:p>
        </w:tc>
        <w:tc>
          <w:tcPr>
            <w:tcW w:w="282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Cariótipo convencional na P3</w:t>
            </w:r>
          </w:p>
        </w:tc>
        <w:tc>
          <w:tcPr>
            <w:tcW w:w="328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Normal — sem aberrações clonais</w:t>
            </w:r>
          </w:p>
        </w:tc>
      </w:tr>
      <w:tr>
        <w:trPr/>
        <w:tc>
          <w:tcPr>
            <w:tcW w:w="238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Viabilidade final</w:t>
            </w:r>
          </w:p>
        </w:tc>
        <w:tc>
          <w:tcPr>
            <w:tcW w:w="282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Exclusão por azul de tripano</w:t>
            </w:r>
          </w:p>
        </w:tc>
        <w:tc>
          <w:tcPr>
            <w:tcW w:w="328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 xml:space="preserve">≥ 87%</w:t>
            </w:r>
          </w:p>
        </w:tc>
      </w:tr>
    </w:tbl>
    <w:p>
      <w:pPr>
        <w:pStyle w:val="Normal"/>
        <w:spacing w:before="100" w:after="60"/>
        <w:rPr/>
      </w:pPr>
      <w:r>
        <w:rPr/>
      </w:r>
    </w:p>
    <w:tbl>
      <w:tblPr>
        <w:tblW w:w="8504" w:type="dxa"/>
        <w:jc w:val="left"/>
        <w:tblInd w:w="0" w:type="dxa"/>
        <w:tblLayout w:type="fixed"/>
        <w:tblCellMar>
          <w:top w:w="120" w:type="dxa"/>
          <w:left w:w="160" w:type="dxa"/>
          <w:bottom w:w="120" w:type="dxa"/>
          <w:right w:w="160" w:type="dxa"/>
        </w:tblCellMar>
        <w:tblLook w:val="04a0" w:noHBand="0" w:noVBand="1" w:firstColumn="1" w:lastRow="0" w:lastColumn="0" w:firstRow="1"/>
      </w:tblPr>
      <w:tblGrid>
        <w:gridCol w:w="8504"/>
      </w:tblGrid>
      <w:tr>
        <w:trPr/>
        <w:tc>
          <w:tcPr>
            <w:tcW w:w="8504" w:type="dxa"/>
            <w:tcBorders>
              <w:top w:val="single" w:sz="2" w:space="0" w:color="808080"/>
              <w:left w:val="single" w:sz="2" w:space="0" w:color="808080"/>
              <w:bottom w:val="single" w:sz="2" w:space="0" w:color="808080"/>
              <w:right w:val="single" w:sz="2" w:space="0" w:color="808080"/>
            </w:tcBorders>
            <w:shd w:color="auto" w:fill="FFFFFF" w:val="clear"/>
          </w:tcPr>
          <w:p>
            <w:pPr>
              <w:pStyle w:val="Normal"/>
              <w:rPr/>
            </w:pPr>
            <w:r>
              <w:rPr>
                <w:b/>
                <w:bCs/>
                <w:sz w:val="20"/>
                <w:szCs w:val="20"/>
              </w:rPr>
              <w:t xml:space="preserve">Critério de liberação obrigatório: </w:t>
            </w:r>
            <w:r>
              <w:rPr>
                <w:sz w:val="20"/>
                <w:szCs w:val="20"/>
              </w:rPr>
              <w:t>Nenhum produto celular será liberado para transplante sem aprovação em todos os critérios listados. Falha em qualquer parâmetro implica suspensão do procedimento, comunicação ao paciente e registro como ocorrência de processo.</w:t>
            </w:r>
          </w:p>
        </w:tc>
      </w:tr>
    </w:tbl>
    <w:p>
      <w:pPr>
        <w:pStyle w:val="Normal"/>
        <w:spacing w:before="200" w:after="80"/>
        <w:rPr/>
      </w:pPr>
      <w:r>
        <w:rPr/>
      </w:r>
    </w:p>
    <w:p>
      <w:pPr>
        <w:pStyle w:val="Heading2"/>
        <w:rPr>
          <w:color w:val="auto"/>
        </w:rPr>
      </w:pPr>
      <w:r>
        <w:rPr>
          <w:color w:val="auto"/>
        </w:rPr>
        <w:t>4.8. Padronização do Plasma Rico em Plaquetas (LP-PRP)</w:t>
      </w:r>
    </w:p>
    <w:p>
      <w:pPr>
        <w:pStyle w:val="Heading3"/>
        <w:rPr>
          <w:color w:val="auto"/>
        </w:rPr>
      </w:pPr>
      <w:r>
        <w:rPr>
          <w:color w:val="auto"/>
        </w:rPr>
        <w:t>4.8.1. Especificações</w:t>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2118"/>
        <w:gridCol w:w="2833"/>
        <w:gridCol w:w="3553"/>
      </w:tblGrid>
      <w:tr>
        <w:trPr>
          <w:tblHeader w:val="true"/>
        </w:trPr>
        <w:tc>
          <w:tcPr>
            <w:tcW w:w="2118"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Parâmetro</w:t>
            </w:r>
          </w:p>
        </w:tc>
        <w:tc>
          <w:tcPr>
            <w:tcW w:w="2833"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Especificação</w:t>
            </w:r>
          </w:p>
        </w:tc>
        <w:tc>
          <w:tcPr>
            <w:tcW w:w="3553"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Justificativa</w:t>
            </w:r>
          </w:p>
        </w:tc>
      </w:tr>
      <w:tr>
        <w:trPr/>
        <w:tc>
          <w:tcPr>
            <w:tcW w:w="211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Tipo</w:t>
            </w:r>
          </w:p>
        </w:tc>
        <w:tc>
          <w:tcPr>
            <w:tcW w:w="28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Pobre em leucócitos (LP-PRP), definido operacionalmente por concentração plaquetária 3–5× acima do basal e redução leucocitária significativa (preferencialmente &lt; 10% da contagem basal do sangue total, ou conforme limiar validado no CeTroGen)</w:t>
            </w:r>
          </w:p>
        </w:tc>
        <w:tc>
          <w:tcPr>
            <w:tcW w:w="355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Menor resposta inflamatória intradiscal (Chang et al., 2020)</w:t>
            </w:r>
          </w:p>
        </w:tc>
      </w:tr>
      <w:tr>
        <w:trPr/>
        <w:tc>
          <w:tcPr>
            <w:tcW w:w="211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Concentração plaquetária alvo</w:t>
            </w:r>
          </w:p>
        </w:tc>
        <w:tc>
          <w:tcPr>
            <w:tcW w:w="28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3 a 5× acima do baseline</w:t>
            </w:r>
          </w:p>
        </w:tc>
        <w:tc>
          <w:tcPr>
            <w:tcW w:w="355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Janela terapêutica com evidência de eficácia (Peng et al., 2023)</w:t>
            </w:r>
          </w:p>
        </w:tc>
      </w:tr>
      <w:tr>
        <w:trPr/>
        <w:tc>
          <w:tcPr>
            <w:tcW w:w="211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Volume por disco</w:t>
            </w:r>
          </w:p>
        </w:tc>
        <w:tc>
          <w:tcPr>
            <w:tcW w:w="28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1,0 mL</w:t>
            </w:r>
          </w:p>
        </w:tc>
        <w:tc>
          <w:tcPr>
            <w:tcW w:w="355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Padronizado — Kumar et al. (2017)</w:t>
            </w:r>
          </w:p>
        </w:tc>
      </w:tr>
      <w:tr>
        <w:trPr/>
        <w:tc>
          <w:tcPr>
            <w:tcW w:w="211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Ativação</w:t>
            </w:r>
          </w:p>
        </w:tc>
        <w:tc>
          <w:tcPr>
            <w:tcW w:w="28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Gluconato de cálcio 10% — 0,3 mL/6 mL de PRP</w:t>
            </w:r>
          </w:p>
        </w:tc>
        <w:tc>
          <w:tcPr>
            <w:tcW w:w="355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lang w:val="en-US"/>
              </w:rPr>
            </w:pPr>
            <w:r>
              <w:rPr>
                <w:sz w:val="18"/>
                <w:szCs w:val="18"/>
                <w:lang w:val="en-US"/>
              </w:rPr>
              <w:t>Protocolo CeTroGen (Schweich-Adami et al., 2021a)</w:t>
            </w:r>
          </w:p>
        </w:tc>
      </w:tr>
      <w:tr>
        <w:trPr/>
        <w:tc>
          <w:tcPr>
            <w:tcW w:w="211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Anticoagulante</w:t>
            </w:r>
          </w:p>
        </w:tc>
        <w:tc>
          <w:tcPr>
            <w:tcW w:w="28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Citrato de sódio 3,2%</w:t>
            </w:r>
          </w:p>
        </w:tc>
        <w:tc>
          <w:tcPr>
            <w:tcW w:w="355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Preservação plaquetária</w:t>
            </w:r>
          </w:p>
        </w:tc>
      </w:tr>
      <w:tr>
        <w:trPr/>
        <w:tc>
          <w:tcPr>
            <w:tcW w:w="211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Tempo máximo pós-ativação</w:t>
            </w:r>
          </w:p>
        </w:tc>
        <w:tc>
          <w:tcPr>
            <w:tcW w:w="283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30 minutos</w:t>
            </w:r>
          </w:p>
        </w:tc>
        <w:tc>
          <w:tcPr>
            <w:tcW w:w="3553"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Viabilidade dos fatores de crescimento</w:t>
            </w:r>
          </w:p>
        </w:tc>
      </w:tr>
    </w:tbl>
    <w:p>
      <w:pPr>
        <w:pStyle w:val="Normal"/>
        <w:spacing w:before="160" w:after="80"/>
        <w:rPr/>
      </w:pPr>
      <w:r>
        <w:rPr/>
      </w:r>
    </w:p>
    <w:p>
      <w:pPr>
        <w:pStyle w:val="Heading3"/>
        <w:rPr>
          <w:color w:val="auto"/>
        </w:rPr>
      </w:pPr>
      <w:r>
        <w:rPr>
          <w:color w:val="auto"/>
        </w:rPr>
        <w:t>4.8.2. Protocolo de Preparo</w:t>
      </w:r>
    </w:p>
    <w:p>
      <w:pPr>
        <w:pStyle w:val="ListParagraph"/>
        <w:numPr>
          <w:ilvl w:val="0"/>
          <w:numId w:val="33"/>
        </w:numPr>
        <w:spacing w:lineRule="auto" w:line="319" w:before="60" w:after="60"/>
        <w:rPr/>
      </w:pPr>
      <w:r>
        <w:rPr/>
        <w:t>Coletar 18 mL de sangue periférico em tubos com citrato de sódio 3,2%;</w:t>
      </w:r>
    </w:p>
    <w:p>
      <w:pPr>
        <w:pStyle w:val="ListParagraph"/>
        <w:numPr>
          <w:ilvl w:val="0"/>
          <w:numId w:val="34"/>
        </w:numPr>
        <w:spacing w:lineRule="auto" w:line="319" w:before="60" w:after="60"/>
        <w:rPr/>
      </w:pPr>
      <w:r>
        <w:rPr/>
        <w:t>Centrifugação 1ª etapa: 1.500 rpm × 10 minutos (força centrífuga relativa correspondente — RCF/g — a ser especificada conforme o raio do rotor da centrífuga do CeTroGen; aproximadamente 250–400 g) — separação do plasma;</w:t>
      </w:r>
    </w:p>
    <w:p>
      <w:pPr>
        <w:pStyle w:val="ListParagraph"/>
        <w:numPr>
          <w:ilvl w:val="0"/>
          <w:numId w:val="35"/>
        </w:numPr>
        <w:spacing w:lineRule="auto" w:line="319" w:before="60" w:after="60"/>
        <w:rPr/>
      </w:pPr>
      <w:r>
        <w:rPr/>
        <w:t>Centrifugação 2ª etapa: 2.000 rpm × 15 minutos (RCF/g a ser especificada conforme o raio do rotor; aproximadamente 400–700 g) — concentração plaquetária;</w:t>
      </w:r>
    </w:p>
    <w:p>
      <w:pPr>
        <w:pStyle w:val="ListParagraph"/>
        <w:numPr>
          <w:ilvl w:val="0"/>
          <w:numId w:val="36"/>
        </w:numPr>
        <w:spacing w:lineRule="auto" w:line="319" w:before="60" w:after="60"/>
        <w:rPr/>
      </w:pPr>
      <w:r>
        <w:rPr/>
        <w:t>Descartar 2/3 superiores; aspirar PRP (camada inferior + pellet adjacente);</w:t>
      </w:r>
    </w:p>
    <w:p>
      <w:pPr>
        <w:pStyle w:val="ListParagraph"/>
        <w:numPr>
          <w:ilvl w:val="0"/>
          <w:numId w:val="37"/>
        </w:numPr>
        <w:spacing w:lineRule="auto" w:line="319" w:before="60" w:after="60"/>
        <w:rPr/>
      </w:pPr>
      <w:r>
        <w:rPr/>
        <w:t>Adicionar 0,3 mL de gluconato de cálcio 10% para ativação; homogeneizar; aguardar 5 minutos antes do uso.</w:t>
      </w:r>
    </w:p>
    <w:p>
      <w:pPr>
        <w:pStyle w:val="Normal"/>
        <w:spacing w:before="160" w:after="80"/>
        <w:rPr/>
      </w:pPr>
      <w:r>
        <w:rPr/>
      </w:r>
    </w:p>
    <w:p>
      <w:pPr>
        <w:pStyle w:val="Heading3"/>
        <w:rPr>
          <w:color w:val="auto"/>
        </w:rPr>
      </w:pPr>
      <w:r>
        <w:rPr>
          <w:color w:val="auto"/>
        </w:rPr>
        <w:t>4.8.3. Controle de Qualidade do LP-PRP</w:t>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2376"/>
        <w:gridCol w:w="2840"/>
        <w:gridCol w:w="3288"/>
      </w:tblGrid>
      <w:tr>
        <w:trPr>
          <w:tblHeader w:val="true"/>
        </w:trPr>
        <w:tc>
          <w:tcPr>
            <w:tcW w:w="2376"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Parâmetro</w:t>
            </w:r>
          </w:p>
        </w:tc>
        <w:tc>
          <w:tcPr>
            <w:tcW w:w="2840"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Método</w:t>
            </w:r>
          </w:p>
        </w:tc>
        <w:tc>
          <w:tcPr>
            <w:tcW w:w="3288"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Critério</w:t>
            </w:r>
          </w:p>
        </w:tc>
      </w:tr>
      <w:tr>
        <w:trPr/>
        <w:tc>
          <w:tcPr>
            <w:tcW w:w="237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Contagem plaquetária final</w:t>
            </w:r>
          </w:p>
        </w:tc>
        <w:tc>
          <w:tcPr>
            <w:tcW w:w="284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Hemograma automatizado da amostra final</w:t>
            </w:r>
          </w:p>
        </w:tc>
        <w:tc>
          <w:tcPr>
            <w:tcW w:w="328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3 a 5× a contagem basal do paciente</w:t>
            </w:r>
          </w:p>
        </w:tc>
      </w:tr>
      <w:tr>
        <w:trPr/>
        <w:tc>
          <w:tcPr>
            <w:tcW w:w="237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Confirmação LP-PRP</w:t>
            </w:r>
          </w:p>
        </w:tc>
        <w:tc>
          <w:tcPr>
            <w:tcW w:w="284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Hemograma automatizado</w:t>
            </w:r>
          </w:p>
        </w:tc>
        <w:tc>
          <w:tcPr>
            <w:tcW w:w="328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Redução leucocitária significativa em relação ao sangue total — preferencialmente leucócitos &lt; 10% da contagem basal do sangue total, ou conforme limiar validado no protocolo laboratorial do CeTroGen</w:t>
            </w:r>
          </w:p>
        </w:tc>
      </w:tr>
      <w:tr>
        <w:trPr/>
        <w:tc>
          <w:tcPr>
            <w:tcW w:w="237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Morfologia plaquetária</w:t>
            </w:r>
          </w:p>
        </w:tc>
        <w:tc>
          <w:tcPr>
            <w:tcW w:w="2840"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Inspeção visual macroscópica</w:t>
            </w:r>
          </w:p>
        </w:tc>
        <w:tc>
          <w:tcPr>
            <w:tcW w:w="3288"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Ausência de agregados ou lise visível</w:t>
            </w:r>
          </w:p>
        </w:tc>
      </w:tr>
    </w:tbl>
    <w:p>
      <w:pPr>
        <w:pStyle w:val="Normal"/>
        <w:spacing w:before="200" w:after="80"/>
        <w:rPr/>
      </w:pPr>
      <w:r>
        <w:rPr/>
      </w:r>
    </w:p>
    <w:p>
      <w:pPr>
        <w:pStyle w:val="Heading2"/>
        <w:rPr>
          <w:color w:val="auto"/>
        </w:rPr>
      </w:pPr>
      <w:r>
        <w:rPr>
          <w:color w:val="auto"/>
        </w:rPr>
        <w:t>4.9. Protocolo Padronizado de Discografia</w:t>
      </w:r>
    </w:p>
    <w:p>
      <w:pPr>
        <w:pStyle w:val="Normal"/>
        <w:spacing w:lineRule="auto" w:line="360" w:before="80" w:after="80"/>
        <w:jc w:val="both"/>
        <w:rPr/>
      </w:pPr>
      <w:r>
        <w:rPr/>
        <w:t>A seleção rigorosa do disco sintomático é um determinante crítico do efeito terapêutico em estudos de terapia intradiscal. Esse ponto é exemplificado pelo ensaio DREAM (Vadalà et al., 2025), no qual nenhum nível sintomático foi confirmado por discografia provocativa: os próprios autores apontam que a ausência dessa seleção pode explicar a falta de benefício clínico observada em parte dos casos, apesar de melhora estrutural. A fenotipagem imprecisa permite que o sinal terapêutico seja obscurecido por fontes de dor não discogênica, como artropatia facetária ou disfunção miofascial (Ferraz et al., 2025). Por essa razão, este protocolo adota a discografia provocativa com critérios da International Spine Intervention Society (ISIS/SIS) para reduzir a heterogeneidade fenotípica e assegurar que apenas discos efetivamente sintomáticos sejam tratados. Cabe distinguir essa indicação do procedimento sham recusado no desenho: a punção do disco-controle tem finalidade diagnóstica — reduzir o falso-positivo e proteger o participante de tratamento mal direcionado — e não constitui intervenção sem benefício potencial para o participante.</w:t>
      </w:r>
    </w:p>
    <w:p>
      <w:pPr>
        <w:pStyle w:val="Heading3"/>
        <w:rPr>
          <w:color w:val="auto"/>
        </w:rPr>
      </w:pPr>
      <w:r>
        <w:rPr>
          <w:color w:val="auto"/>
        </w:rPr>
        <w:t>4.9.1. Antibioticoprofilaxia</w:t>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2849"/>
        <w:gridCol w:w="5654"/>
      </w:tblGrid>
      <w:tr>
        <w:trPr>
          <w:tblHeader w:val="true"/>
        </w:trPr>
        <w:tc>
          <w:tcPr>
            <w:tcW w:w="2849"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Parâmetro</w:t>
            </w:r>
          </w:p>
        </w:tc>
        <w:tc>
          <w:tcPr>
            <w:tcW w:w="5654"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Especificação</w:t>
            </w:r>
          </w:p>
        </w:tc>
      </w:tr>
      <w:tr>
        <w:trPr/>
        <w:tc>
          <w:tcPr>
            <w:tcW w:w="284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Antibiótico sistêmico</w:t>
            </w:r>
          </w:p>
        </w:tc>
        <w:tc>
          <w:tcPr>
            <w:tcW w:w="5654"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Cefazolina 1g IV — 30 a 60 min antes do procedimento</w:t>
            </w:r>
          </w:p>
        </w:tc>
      </w:tr>
      <w:tr>
        <w:trPr/>
        <w:tc>
          <w:tcPr>
            <w:tcW w:w="284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Alternativa (alergia a beta-lactâmicos)</w:t>
            </w:r>
          </w:p>
        </w:tc>
        <w:tc>
          <w:tcPr>
            <w:tcW w:w="5654"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Clindamicina 600 mg IV — 30 min antes</w:t>
            </w:r>
          </w:p>
        </w:tc>
      </w:tr>
      <w:tr>
        <w:trPr/>
        <w:tc>
          <w:tcPr>
            <w:tcW w:w="284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Antibiótico intradiscal</w:t>
            </w:r>
          </w:p>
        </w:tc>
        <w:tc>
          <w:tcPr>
            <w:tcW w:w="5654"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Cefazolina adicionada ao Omnipaque 300, em concentração final de 1–10 mg/mL no volume injetado (Klessig et al., 2003; SIS Factfinders, 2024). Em alergia a beta-lactâmicos: gentamicina intradiscal</w:t>
            </w:r>
          </w:p>
        </w:tc>
      </w:tr>
    </w:tbl>
    <w:p>
      <w:pPr>
        <w:pStyle w:val="Normal"/>
        <w:spacing w:before="160" w:after="80"/>
        <w:rPr/>
      </w:pPr>
      <w:r>
        <w:rPr/>
        <w:t>A escolha do antibiótico intradiscal recai sobre a cefazolina por ser, ao lado da gentamicina, um dos agentes com eficácia documentada na presença de contraste iodado (iohexol/Omnipaque), sem perda de atividade contra a flora cutânea típica (Klessig et al., 2003). A cefuroxima foi preterida por ausência de dados de eficácia intradiscal nesse contexto e por evidência de baixa penetração discal (Boscardin et al., 1992). A cefazolina intradiscal mantém coerência com o esquema sistêmico adotado; em pacientes alérgicos a beta-lactâmicos, substitui-se por gentamicina intradiscal, em coerência com a clindamicina IV prevista. Reconhece-se que a evidência global de antibioticoprofilaxia em discografia é de baixa qualidade, sem ensaios randomizados, não havendo demonstração conclusiva de redução de discite sobre a técnica estéril isolada (Sharma et al., 2009; SIS Factfinders, 2024); a profilaxia é mantida por consenso de prática diante da morbidade da discite.</w:t>
      </w:r>
    </w:p>
    <w:p>
      <w:pPr>
        <w:pStyle w:val="Heading3"/>
        <w:rPr>
          <w:color w:val="auto"/>
        </w:rPr>
      </w:pPr>
      <w:r>
        <w:rPr>
          <w:color w:val="auto"/>
        </w:rPr>
        <w:t>4.9.2. Técnica e Critérios de Positividade</w:t>
      </w:r>
    </w:p>
    <w:p>
      <w:pPr>
        <w:pStyle w:val="ListParagraph"/>
        <w:numPr>
          <w:ilvl w:val="0"/>
          <w:numId w:val="38"/>
        </w:numPr>
        <w:spacing w:lineRule="auto" w:line="319" w:before="60" w:after="60"/>
        <w:rPr/>
      </w:pPr>
      <w:r>
        <w:rPr/>
        <w:t>Posição: decúbito ventral em mesa radiotransparente;</w:t>
      </w:r>
    </w:p>
    <w:p>
      <w:pPr>
        <w:pStyle w:val="ListParagraph"/>
        <w:numPr>
          <w:ilvl w:val="0"/>
          <w:numId w:val="39"/>
        </w:numPr>
        <w:spacing w:lineRule="auto" w:line="319" w:before="60" w:after="60"/>
        <w:rPr/>
      </w:pPr>
      <w:r>
        <w:rPr/>
        <w:t>Localização: fluoroscopia com Arco-C — confirmação anteroposterior e lateral antes da punção;</w:t>
      </w:r>
    </w:p>
    <w:p>
      <w:pPr>
        <w:pStyle w:val="ListParagraph"/>
        <w:numPr>
          <w:ilvl w:val="0"/>
          <w:numId w:val="40"/>
        </w:numPr>
        <w:spacing w:lineRule="auto" w:line="319" w:before="60" w:after="60"/>
        <w:rPr/>
      </w:pPr>
      <w:r>
        <w:rPr/>
        <w:t>Agulha: espinhal 25G, abordagem póstero-lateral oblíqua padrão;</w:t>
      </w:r>
    </w:p>
    <w:p>
      <w:pPr>
        <w:pStyle w:val="ListParagraph"/>
        <w:numPr>
          <w:ilvl w:val="0"/>
          <w:numId w:val="41"/>
        </w:numPr>
        <w:spacing w:lineRule="auto" w:line="319" w:before="60" w:after="60"/>
        <w:rPr/>
      </w:pPr>
      <w:r>
        <w:rPr/>
        <w:t>Disco-controle negativo: preferencialmente ao menos um disco morfologicamente preservado será testado antes dos discos-alvo, sempre que tecnicamente viável e eticamente justificável, com justificativa documentada nos casos em que não for realizado;</w:t>
      </w:r>
    </w:p>
    <w:p>
      <w:pPr>
        <w:pStyle w:val="ListParagraph"/>
        <w:numPr>
          <w:ilvl w:val="0"/>
          <w:numId w:val="42"/>
        </w:numPr>
        <w:spacing w:lineRule="auto" w:line="319" w:before="60" w:after="60"/>
        <w:rPr/>
      </w:pPr>
      <w:r>
        <w:rPr/>
        <w:t>Volume máximo: 2,0 mL de contraste por disco, sob baixa pressão controlada manualmente;</w:t>
      </w:r>
    </w:p>
    <w:p>
      <w:pPr>
        <w:pStyle w:val="ListParagraph"/>
        <w:numPr>
          <w:ilvl w:val="0"/>
          <w:numId w:val="43"/>
        </w:numPr>
        <w:spacing w:lineRule="auto" w:line="319" w:before="60" w:after="60"/>
        <w:rPr/>
      </w:pPr>
      <w:r>
        <w:rPr/>
        <w:t>Pressão máxima: ≤ 50 psi acima da pressão de abertura — Derby et al. (2012);</w:t>
      </w:r>
    </w:p>
    <w:p>
      <w:pPr>
        <w:pStyle w:val="ListParagraph"/>
        <w:numPr>
          <w:ilvl w:val="0"/>
          <w:numId w:val="44"/>
        </w:numPr>
        <w:spacing w:lineRule="auto" w:line="319" w:before="60" w:after="60"/>
        <w:rPr/>
      </w:pPr>
      <w:r>
        <w:rPr/>
        <w:t>Positividade: reprodução exata da dor habitual com EVA ≥ 6/10 em pressão ≤ 50 psi acima da abertura, em conformidade com os critérios operacionais da International Spine Intervention Society (ISIS/SIS) para minimização de falso-positivos, incluindo disco-controle negativo sempre que tecnicamente viável e eticamente justificável, com justificativa documentada nos casos em que não for realizado;</w:t>
      </w:r>
    </w:p>
    <w:p>
      <w:pPr>
        <w:pStyle w:val="ListParagraph"/>
        <w:numPr>
          <w:ilvl w:val="0"/>
          <w:numId w:val="45"/>
        </w:numPr>
        <w:spacing w:lineRule="auto" w:line="319" w:before="60" w:after="60"/>
        <w:rPr/>
      </w:pPr>
      <w:r>
        <w:rPr/>
        <w:t>TC pós-discografia imediata para documentação de fissuras e padrão de distribuição do contraste (classificação de Adams I–V).</w:t>
      </w:r>
    </w:p>
    <w:p>
      <w:pPr>
        <w:pStyle w:val="Normal"/>
        <w:spacing w:before="200" w:after="80"/>
        <w:rPr/>
      </w:pPr>
      <w:r>
        <w:rPr/>
      </w:r>
    </w:p>
    <w:p>
      <w:pPr>
        <w:pStyle w:val="Heading2"/>
        <w:rPr>
          <w:color w:val="auto"/>
        </w:rPr>
      </w:pPr>
      <w:r>
        <w:rPr>
          <w:color w:val="auto"/>
        </w:rPr>
        <w:t>4.10. Plano Formal de Segurança</w:t>
      </w:r>
    </w:p>
    <w:p>
      <w:pPr>
        <w:pStyle w:val="Heading3"/>
        <w:rPr>
          <w:color w:val="auto"/>
        </w:rPr>
      </w:pPr>
      <w:r>
        <w:rPr>
          <w:color w:val="auto"/>
        </w:rPr>
        <w:t>4.10.1. Eventos Adversos Monitorados</w:t>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2399"/>
        <w:gridCol w:w="799"/>
        <w:gridCol w:w="5306"/>
      </w:tblGrid>
      <w:tr>
        <w:trPr>
          <w:tblHeader w:val="true"/>
        </w:trPr>
        <w:tc>
          <w:tcPr>
            <w:tcW w:w="2399"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Evento</w:t>
            </w:r>
          </w:p>
        </w:tc>
        <w:tc>
          <w:tcPr>
            <w:tcW w:w="799"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Class.</w:t>
            </w:r>
          </w:p>
        </w:tc>
        <w:tc>
          <w:tcPr>
            <w:tcW w:w="5306"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Critério de Identificação</w:t>
            </w:r>
          </w:p>
        </w:tc>
      </w:tr>
      <w:tr>
        <w:trPr/>
        <w:tc>
          <w:tcPr>
            <w:tcW w:w="23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Discite</w:t>
            </w:r>
          </w:p>
        </w:tc>
        <w:tc>
          <w:tcPr>
            <w:tcW w:w="7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EAG</w:t>
            </w:r>
          </w:p>
        </w:tc>
        <w:tc>
          <w:tcPr>
            <w:tcW w:w="530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Febre + PCR/VHS elevados + sinal clínico ou radiológico de infecção espinhal</w:t>
            </w:r>
          </w:p>
        </w:tc>
      </w:tr>
      <w:tr>
        <w:trPr/>
        <w:tc>
          <w:tcPr>
            <w:tcW w:w="23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Piora neurológica</w:t>
            </w:r>
          </w:p>
        </w:tc>
        <w:tc>
          <w:tcPr>
            <w:tcW w:w="7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EAG</w:t>
            </w:r>
          </w:p>
        </w:tc>
        <w:tc>
          <w:tcPr>
            <w:tcW w:w="530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Novo déficit motor, sensitivo ou esfincteriano não presente no baseline</w:t>
            </w:r>
          </w:p>
        </w:tc>
      </w:tr>
      <w:tr>
        <w:trPr/>
        <w:tc>
          <w:tcPr>
            <w:tcW w:w="23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Osteofitose ectópica</w:t>
            </w:r>
          </w:p>
        </w:tc>
        <w:tc>
          <w:tcPr>
            <w:tcW w:w="7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EA</w:t>
            </w:r>
          </w:p>
        </w:tc>
        <w:tc>
          <w:tcPr>
            <w:tcW w:w="530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Formação de osteófito novo em RNM de acompanhamento</w:t>
            </w:r>
          </w:p>
        </w:tc>
      </w:tr>
      <w:tr>
        <w:trPr/>
        <w:tc>
          <w:tcPr>
            <w:tcW w:w="23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Aumento persistente da dor</w:t>
            </w:r>
          </w:p>
        </w:tc>
        <w:tc>
          <w:tcPr>
            <w:tcW w:w="7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EA</w:t>
            </w:r>
          </w:p>
        </w:tc>
        <w:tc>
          <w:tcPr>
            <w:tcW w:w="530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Elevação ≥ 2 pontos na EVA por mais de 4 semanas sem causa alternativa</w:t>
            </w:r>
          </w:p>
        </w:tc>
      </w:tr>
      <w:tr>
        <w:trPr/>
        <w:tc>
          <w:tcPr>
            <w:tcW w:w="23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Reação inflamatória local</w:t>
            </w:r>
          </w:p>
        </w:tc>
        <w:tc>
          <w:tcPr>
            <w:tcW w:w="7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EA</w:t>
            </w:r>
          </w:p>
        </w:tc>
        <w:tc>
          <w:tcPr>
            <w:tcW w:w="530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Sinais paravertebrais sem critérios de infecção</w:t>
            </w:r>
          </w:p>
        </w:tc>
      </w:tr>
      <w:tr>
        <w:trPr/>
        <w:tc>
          <w:tcPr>
            <w:tcW w:w="23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Necessidade de cirurgia</w:t>
            </w:r>
          </w:p>
        </w:tc>
        <w:tc>
          <w:tcPr>
            <w:tcW w:w="7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EAG</w:t>
            </w:r>
          </w:p>
        </w:tc>
        <w:tc>
          <w:tcPr>
            <w:tcW w:w="530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Indicação cirúrgica atribuível ao procedimento ou progressão</w:t>
            </w:r>
          </w:p>
        </w:tc>
      </w:tr>
      <w:tr>
        <w:trPr/>
        <w:tc>
          <w:tcPr>
            <w:tcW w:w="23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Reação alérgica sistêmica</w:t>
            </w:r>
          </w:p>
        </w:tc>
        <w:tc>
          <w:tcPr>
            <w:tcW w:w="7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EAG</w:t>
            </w:r>
          </w:p>
        </w:tc>
        <w:tc>
          <w:tcPr>
            <w:tcW w:w="530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Reação anafilática ou anafilactoide pós-procedimento</w:t>
            </w:r>
          </w:p>
        </w:tc>
      </w:tr>
      <w:tr>
        <w:trPr/>
        <w:tc>
          <w:tcPr>
            <w:tcW w:w="23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Extravasamento celular</w:t>
            </w:r>
          </w:p>
        </w:tc>
        <w:tc>
          <w:tcPr>
            <w:tcW w:w="799"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EA</w:t>
            </w:r>
          </w:p>
        </w:tc>
        <w:tc>
          <w:tcPr>
            <w:tcW w:w="530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Evidência radiológica de deposição fora do espaço intradiscal</w:t>
            </w:r>
          </w:p>
        </w:tc>
      </w:tr>
    </w:tbl>
    <w:p>
      <w:pPr>
        <w:pStyle w:val="Normal"/>
        <w:spacing w:before="160" w:after="80"/>
        <w:rPr/>
      </w:pPr>
      <w:r>
        <w:rPr/>
      </w:r>
    </w:p>
    <w:p>
      <w:pPr>
        <w:pStyle w:val="Heading3"/>
        <w:rPr>
          <w:color w:val="auto"/>
        </w:rPr>
      </w:pPr>
      <w:r>
        <w:rPr>
          <w:color w:val="auto"/>
        </w:rPr>
        <w:t>4.10.2. Critérios de Notificação</w:t>
      </w:r>
    </w:p>
    <w:p>
      <w:pPr>
        <w:pStyle w:val="ListParagraph"/>
        <w:numPr>
          <w:ilvl w:val="0"/>
          <w:numId w:val="46"/>
        </w:numPr>
        <w:spacing w:lineRule="auto" w:line="319" w:before="60" w:after="60"/>
        <w:rPr/>
      </w:pPr>
      <w:r>
        <w:rPr/>
        <w:t>EA: notificação ao pesquisador principal em até 24 horas do conhecimento;</w:t>
      </w:r>
    </w:p>
    <w:p>
      <w:pPr>
        <w:pStyle w:val="ListParagraph"/>
        <w:numPr>
          <w:ilvl w:val="0"/>
          <w:numId w:val="47"/>
        </w:numPr>
        <w:spacing w:lineRule="auto" w:line="319" w:before="60" w:after="60"/>
        <w:rPr/>
      </w:pPr>
      <w:r>
        <w:rPr/>
        <w:t>EAG: notificação ao CEP/CONEP em até 72 horas — Resolução CNS 466/2012 e normativas ANVISA;</w:t>
      </w:r>
    </w:p>
    <w:p>
      <w:pPr>
        <w:pStyle w:val="ListParagraph"/>
        <w:numPr>
          <w:ilvl w:val="0"/>
          <w:numId w:val="48"/>
        </w:numPr>
        <w:spacing w:lineRule="auto" w:line="319" w:before="60" w:after="60"/>
        <w:rPr/>
      </w:pPr>
      <w:r>
        <w:rPr/>
        <w:t>Todos os EA/EAG registrados em formulário padronizado com data, descrição, intensidade, causalidade provável e desfecho.</w:t>
      </w:r>
    </w:p>
    <w:p>
      <w:pPr>
        <w:pStyle w:val="Normal"/>
        <w:spacing w:before="160" w:after="80"/>
        <w:rPr/>
      </w:pPr>
      <w:r>
        <w:rPr/>
      </w:r>
    </w:p>
    <w:p>
      <w:pPr>
        <w:pStyle w:val="Heading3"/>
        <w:rPr>
          <w:color w:val="auto"/>
        </w:rPr>
      </w:pPr>
      <w:r>
        <w:rPr>
          <w:color w:val="auto"/>
        </w:rPr>
        <w:t>4.10.3. Comitê Independente de Monitoramento de Segurança (DSMB)</w:t>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2387"/>
        <w:gridCol w:w="6116"/>
      </w:tblGrid>
      <w:tr>
        <w:trPr>
          <w:tblHeader w:val="true"/>
        </w:trPr>
        <w:tc>
          <w:tcPr>
            <w:tcW w:w="2387"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Membro</w:t>
            </w:r>
          </w:p>
        </w:tc>
        <w:tc>
          <w:tcPr>
            <w:tcW w:w="6116" w:type="dxa"/>
            <w:tcBorders>
              <w:top w:val="single" w:sz="2" w:space="0" w:color="808080"/>
              <w:left w:val="single" w:sz="2" w:space="0" w:color="808080"/>
              <w:bottom w:val="single" w:sz="2" w:space="0" w:color="808080"/>
              <w:right w:val="single" w:sz="2" w:space="0" w:color="808080"/>
            </w:tcBorders>
            <w:shd w:color="auto" w:fill="FFFFFF" w:val="clear"/>
            <w:vAlign w:val="center"/>
          </w:tcPr>
          <w:p>
            <w:pPr>
              <w:pStyle w:val="Normal"/>
              <w:jc w:val="center"/>
              <w:rPr/>
            </w:pPr>
            <w:r>
              <w:rPr>
                <w:b/>
                <w:bCs/>
                <w:sz w:val="18"/>
                <w:szCs w:val="18"/>
              </w:rPr>
              <w:t>Perfil Requerido</w:t>
            </w:r>
          </w:p>
        </w:tc>
      </w:tr>
      <w:tr>
        <w:trPr/>
        <w:tc>
          <w:tcPr>
            <w:tcW w:w="238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Membro 1 — Clínico</w:t>
            </w:r>
          </w:p>
        </w:tc>
        <w:tc>
          <w:tcPr>
            <w:tcW w:w="611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Médico especialista em coluna vertebral ou neurocirurgia</w:t>
            </w:r>
          </w:p>
        </w:tc>
      </w:tr>
      <w:tr>
        <w:trPr/>
        <w:tc>
          <w:tcPr>
            <w:tcW w:w="238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Membro 2 — Biológico</w:t>
            </w:r>
          </w:p>
        </w:tc>
        <w:tc>
          <w:tcPr>
            <w:tcW w:w="611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Especialista em terapia celular ou biologia molecular</w:t>
            </w:r>
          </w:p>
        </w:tc>
      </w:tr>
      <w:tr>
        <w:trPr/>
        <w:tc>
          <w:tcPr>
            <w:tcW w:w="2387"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Membro 3 — Estatístico</w:t>
            </w:r>
          </w:p>
        </w:tc>
        <w:tc>
          <w:tcPr>
            <w:tcW w:w="6116" w:type="dxa"/>
            <w:tcBorders>
              <w:top w:val="single" w:sz="2" w:space="0" w:color="CCCCCC"/>
              <w:left w:val="single" w:sz="2" w:space="0" w:color="CCCCCC"/>
              <w:bottom w:val="single" w:sz="2" w:space="0" w:color="CCCCCC"/>
              <w:right w:val="single" w:sz="2" w:space="0" w:color="CCCCCC"/>
            </w:tcBorders>
            <w:shd w:color="auto" w:fill="FFFFFF" w:val="clear"/>
            <w:tcMar>
              <w:top w:w="70" w:type="dxa"/>
              <w:bottom w:w="70" w:type="dxa"/>
            </w:tcMar>
            <w:vAlign w:val="center"/>
          </w:tcPr>
          <w:p>
            <w:pPr>
              <w:pStyle w:val="Normal"/>
              <w:rPr/>
            </w:pPr>
            <w:r>
              <w:rPr>
                <w:sz w:val="18"/>
                <w:szCs w:val="18"/>
              </w:rPr>
              <w:t>Bioestatístico — análise interina e critérios de parada</w:t>
            </w:r>
          </w:p>
        </w:tc>
      </w:tr>
    </w:tbl>
    <w:p>
      <w:pPr>
        <w:pStyle w:val="Normal"/>
        <w:spacing w:before="160" w:after="80"/>
        <w:rPr/>
      </w:pPr>
      <w:r>
        <w:rPr/>
      </w:r>
    </w:p>
    <w:p>
      <w:pPr>
        <w:pStyle w:val="Heading3"/>
        <w:rPr>
          <w:color w:val="auto"/>
        </w:rPr>
      </w:pPr>
      <w:r>
        <w:rPr>
          <w:color w:val="auto"/>
        </w:rPr>
        <w:t>4.10.4. Critérios de Parada do Estudo</w:t>
      </w:r>
    </w:p>
    <w:p>
      <w:pPr>
        <w:pStyle w:val="ListParagraph"/>
        <w:numPr>
          <w:ilvl w:val="0"/>
          <w:numId w:val="49"/>
        </w:numPr>
        <w:spacing w:lineRule="auto" w:line="319" w:before="60" w:after="60"/>
        <w:rPr/>
      </w:pPr>
      <w:r>
        <w:rPr/>
        <w:t>2 ou mais EAGs atribuíveis ao procedimento de implantação;</w:t>
      </w:r>
    </w:p>
    <w:p>
      <w:pPr>
        <w:pStyle w:val="ListParagraph"/>
        <w:numPr>
          <w:ilvl w:val="0"/>
          <w:numId w:val="50"/>
        </w:numPr>
        <w:spacing w:lineRule="auto" w:line="319" w:before="60" w:after="60"/>
        <w:rPr/>
      </w:pPr>
      <w:r>
        <w:rPr/>
        <w:t>Osteofitose ectópica em 3 ou mais participantes do grupo intervenção;</w:t>
      </w:r>
    </w:p>
    <w:p>
      <w:pPr>
        <w:pStyle w:val="ListParagraph"/>
        <w:numPr>
          <w:ilvl w:val="0"/>
          <w:numId w:val="51"/>
        </w:numPr>
        <w:spacing w:lineRule="auto" w:line="319" w:before="60" w:after="60"/>
        <w:rPr/>
      </w:pPr>
      <w:r>
        <w:rPr/>
        <w:t>Piora neurológica nova em 2 ou mais participantes;</w:t>
      </w:r>
    </w:p>
    <w:p>
      <w:pPr>
        <w:pStyle w:val="ListParagraph"/>
        <w:numPr>
          <w:ilvl w:val="0"/>
          <w:numId w:val="52"/>
        </w:numPr>
        <w:spacing w:lineRule="auto" w:line="319" w:before="60" w:after="60"/>
        <w:rPr/>
      </w:pPr>
      <w:r>
        <w:rPr/>
        <w:t>Sinal de dano identificado pelo DSMB na análise interina de segurança, programada para quando 15 participantes tiverem sido randomizados e completado pelo menos 1 mês de seguimento, ou quando 8 participantes do grupo intervenção tiverem sido expostos à terapia celular e completado a avaliação de 1 mês — o que ocorrer primeiro.</w:t>
      </w:r>
    </w:p>
    <w:p>
      <w:pPr>
        <w:pStyle w:val="Normal"/>
        <w:spacing w:before="200" w:after="80"/>
        <w:rPr/>
      </w:pPr>
      <w:r>
        <w:rPr/>
      </w:r>
    </w:p>
    <w:p>
      <w:pPr>
        <w:pStyle w:val="Heading2"/>
        <w:rPr>
          <w:color w:val="auto"/>
        </w:rPr>
      </w:pPr>
      <w:r>
        <w:rPr>
          <w:color w:val="auto"/>
        </w:rPr>
        <w:t>4.11. Aquisição de Imagens por Ressonância Magnética</w:t>
      </w:r>
    </w:p>
    <w:p>
      <w:pPr>
        <w:pStyle w:val="Normal"/>
        <w:spacing w:lineRule="auto" w:line="360" w:before="80" w:after="80"/>
        <w:jc w:val="both"/>
        <w:rPr/>
      </w:pPr>
      <w:r>
        <w:rPr/>
        <w:t>As imagens de RNM da coluna lombar serão obtidas em clínica parceira mediante Acordo de Cooperação Técnica (ACT) formalizado entre a UFMS e a instituição parceira. O ACT incluirá protocolo de aquisição padronizado, prazos de entrega de laudos, custeio e cláusula de confidencialidade dos dados. Um radiologista parceiro será incluído como colaborador formal no protocolo submetido ao CEP.</w:t>
      </w:r>
    </w:p>
    <w:p>
      <w:pPr>
        <w:pStyle w:val="Normal"/>
        <w:spacing w:lineRule="auto" w:line="360" w:before="80" w:after="80"/>
        <w:jc w:val="both"/>
        <w:rPr/>
      </w:pPr>
      <w:r>
        <w:rPr/>
        <w:t>Para avaliação da DDI, serão realizadas imagens ponderadas em T2 no plano sagital e imagens por difusão ponderada (DWI) no plano axial. Parâmetros T2: TR 3200 ms; TE 121,3 ms; NEX 2; espessura 3 mm; intervalo 0,33 mm. DWI: TR 13.000 ms; TE 65,3 ms; TI 180 ms; espessura 3,5 mm; valor b 500 s/mm²; NEX 12. O ADC será derivado das imagens DWI e calculado com ROI elipsoidal (50 mm²) posicionada no centro do NP, avaliada em baseline, 6 e 12 meses.</w:t>
      </w:r>
    </w:p>
    <w:p>
      <w:pPr>
        <w:pStyle w:val="Normal"/>
        <w:spacing w:before="200" w:after="80"/>
        <w:rPr/>
      </w:pPr>
      <w:r>
        <w:rPr/>
      </w:r>
    </w:p>
    <w:p>
      <w:pPr>
        <w:pStyle w:val="Heading2"/>
        <w:rPr>
          <w:color w:val="auto"/>
        </w:rPr>
      </w:pPr>
      <w:r>
        <w:rPr>
          <w:color w:val="auto"/>
        </w:rPr>
        <w:t>4.12. Reabilitação Pós-Cirúrgica</w:t>
      </w:r>
    </w:p>
    <w:p>
      <w:pPr>
        <w:pStyle w:val="Normal"/>
        <w:spacing w:lineRule="auto" w:line="360" w:before="80" w:after="80"/>
        <w:jc w:val="both"/>
        <w:rPr/>
      </w:pPr>
      <w:r>
        <w:rPr/>
        <w:t>No pós-operatório imediato, os pacientes do grupo intervenção receberão acompanhamento especializado e orientações sobre atividades de vida diária (AVD) na Clínica Escola Integrada INISA/UFMS. Será prescrita medicação analgésica de resgate conforme necessidade por até 3 dias. Restrição de atividade física por 2 semanas. O acompanhamento continuado será realizado nos intervalos padronizados de 1 semana e 1, 3, 6, 9 e 12 meses.</w:t>
      </w:r>
    </w:p>
    <w:p>
      <w:pPr>
        <w:pStyle w:val="Normal"/>
        <w:spacing w:before="200" w:after="80"/>
        <w:rPr/>
      </w:pPr>
      <w:r>
        <w:rPr/>
      </w:r>
    </w:p>
    <w:p>
      <w:pPr>
        <w:pStyle w:val="Heading2"/>
        <w:rPr>
          <w:color w:val="auto"/>
        </w:rPr>
      </w:pPr>
      <w:r>
        <w:rPr>
          <w:color w:val="auto"/>
        </w:rPr>
        <w:t>4.13. Alinhamento CONSORT</w:t>
      </w:r>
    </w:p>
    <w:p>
      <w:pPr>
        <w:pStyle w:val="Normal"/>
        <w:spacing w:lineRule="auto" w:line="360" w:before="80" w:after="80"/>
        <w:jc w:val="both"/>
        <w:rPr/>
      </w:pPr>
      <w:r>
        <w:rPr/>
        <w:t>O manuscrito resultante deste estudo seguirá integralmente o checklist CONSORT 2010. Os seguintes elementos serão preparados desde o início do estudo:</w:t>
      </w:r>
    </w:p>
    <w:p>
      <w:pPr>
        <w:pStyle w:val="ListParagraph"/>
        <w:numPr>
          <w:ilvl w:val="0"/>
          <w:numId w:val="53"/>
        </w:numPr>
        <w:spacing w:lineRule="auto" w:line="319" w:before="60" w:after="60"/>
        <w:rPr/>
      </w:pPr>
      <w:r>
        <w:rPr/>
        <w:t>Fluxograma CONSORT documentando: triados → estabilizados → elegíveis pós-discografia → randomizados → completaram → analisados (ITT), com motivos de exclusão em cada etapa;</w:t>
      </w:r>
    </w:p>
    <w:p>
      <w:pPr>
        <w:pStyle w:val="ListParagraph"/>
        <w:numPr>
          <w:ilvl w:val="0"/>
          <w:numId w:val="54"/>
        </w:numPr>
        <w:spacing w:lineRule="auto" w:line="319" w:before="60" w:after="60"/>
        <w:rPr/>
      </w:pPr>
      <w:r>
        <w:rPr/>
        <w:t>Declaração explícita do método de randomização e ocultação da alocação;</w:t>
      </w:r>
    </w:p>
    <w:p>
      <w:pPr>
        <w:pStyle w:val="ListParagraph"/>
        <w:numPr>
          <w:ilvl w:val="0"/>
          <w:numId w:val="55"/>
        </w:numPr>
        <w:spacing w:lineRule="auto" w:line="319" w:before="60" w:after="60"/>
        <w:rPr/>
      </w:pPr>
      <w:r>
        <w:rPr/>
        <w:t>Descrição do cegamento dos avaliadores de desfecho e do bioestatístico;</w:t>
      </w:r>
    </w:p>
    <w:p>
      <w:pPr>
        <w:pStyle w:val="ListParagraph"/>
        <w:numPr>
          <w:ilvl w:val="0"/>
          <w:numId w:val="56"/>
        </w:numPr>
        <w:spacing w:lineRule="auto" w:line="319" w:before="60" w:after="60"/>
        <w:rPr/>
      </w:pPr>
      <w:r>
        <w:rPr/>
        <w:t>Análise por intenção de tratar (ITT) como análise principal; análise por protocolo (PP) como análise de sensibilidade;</w:t>
      </w:r>
    </w:p>
    <w:p>
      <w:pPr>
        <w:pStyle w:val="ListParagraph"/>
        <w:numPr>
          <w:ilvl w:val="0"/>
          <w:numId w:val="57"/>
        </w:numPr>
        <w:spacing w:lineRule="auto" w:line="319" w:before="60" w:after="60"/>
        <w:rPr/>
      </w:pPr>
      <w:r>
        <w:rPr/>
        <w:t>Registro prospectivo no ReBEC e ClinicalTrials.gov antes do início do recrutamento.</w:t>
      </w:r>
    </w:p>
    <w:p>
      <w:pPr>
        <w:pStyle w:val="Heading2"/>
        <w:rPr>
          <w:color w:val="auto"/>
        </w:rPr>
      </w:pPr>
      <w:r>
        <w:rPr>
          <w:color w:val="auto"/>
        </w:rPr>
        <w:t>4.14. Alinhamento SPIRIT</w:t>
      </w:r>
    </w:p>
    <w:p>
      <w:pPr>
        <w:pStyle w:val="Normal"/>
        <w:spacing w:lineRule="auto" w:line="276" w:before="60" w:after="80"/>
        <w:jc w:val="both"/>
        <w:rPr/>
      </w:pPr>
      <w:r>
        <w:rPr/>
        <w:t>Enquanto o checklist CONSORT 2010 orientará o manuscrito de resultados, este protocolo é estruturado conforme o checklist SPIRIT 2013 (Standard Protocol Items: Recommendations for Interventional Trials), contemplando: informações administrativas e registro do ensaio; justificativa e objetivos; desenho do estudo; população e critérios de elegibilidade; intervenções e cointervenções permitidas; desfechos primário e secundários; cronograma de avaliações; cálculo amostral; geração da sequência de alocação, mecanismo de ocultação e implementação; cegamento; métodos de coleta, manejo e análise dos dados; monitoramento de segurança (DSMB) e critérios de parada; aspectos éticos e processo de consentimento; confidencialidade e proteção de dados (LGPD); declaração de conflitos de interesse; e plano de disseminação e acesso aos dados. A versão do protocolo destinada à publicação será acompanhada da figura SPIRIT de cronograma de inscrição, intervenções e avaliações, e do checklist SPIRIT preenchido como material suplementar.</w:t>
      </w:r>
    </w:p>
    <w:p>
      <w:pPr>
        <w:pStyle w:val="Normal"/>
        <w:rPr/>
      </w:pPr>
      <w:r>
        <w:rPr/>
      </w:r>
      <w:r>
        <w:br w:type="page"/>
      </w:r>
    </w:p>
    <w:p>
      <w:pPr>
        <w:pStyle w:val="Heading1"/>
        <w:spacing w:before="0" w:after="160"/>
        <w:rPr>
          <w:color w:val="auto"/>
        </w:rPr>
      </w:pPr>
      <w:r>
        <w:rPr>
          <w:color w:val="auto"/>
        </w:rPr>
        <w:t>5. CRONOGRAMA</w:t>
      </w:r>
    </w:p>
    <w:p>
      <w:pPr>
        <w:pStyle w:val="Normal"/>
        <w:spacing w:lineRule="auto" w:line="360" w:before="80" w:after="80"/>
        <w:jc w:val="both"/>
        <w:rPr/>
      </w:pPr>
      <w:r>
        <w:rPr/>
        <w:t>O ensaio clínico tem duração total prevista de 42 meses (junho de 2026 a novembro de 2029), abrangendo 18 meses de recrutamento e 12 meses de seguimento por participante. O desfecho primário formal do ensaio é a incidência de eventos adversos (EA) e eventos adversos graves (EAG) atribuíveis ao tratamento ao longo de 12 meses de seguimento. Para fins acadêmicos da dissertação de mestrado, será realizada uma análise de segurança pré-especificada aos 6 meses de seguimento do último participante randomizado (mês 30; novembro de 2028), com denominador completo (n=30) e sem encerramento do seguimento do ensaio. Essa análise pré-especificada aos 6 meses não substitui o desfecho primário do ensaio (12 meses); constitui um recorte temporal pré-definido do mesmo endpoint de segurança, alcançável dentro do prazo regulamentar do mestrado e análogo, em escopo, ao desenho dos estudos seminais de fase I da área (Kumar et al., 2017; Orozco et al., 2011). O seguimento completo de 12 meses prossegue normalmente e alimenta o manuscrito final do ensaio, incluindo o desfecho primário consolidado e os desfechos exploratórios de eficácia e sinal radiológico (ADC). O Comitê Independente de Monitoramento de Segurança (DSMB) atua exclusivamente como instância de vigilância e critérios de parada, não como fonte do resultado da dissertação, preservando a separação entre monitoramento e inferência.</w:t>
      </w:r>
    </w:p>
    <w:p>
      <w:pPr>
        <w:pStyle w:val="Normal"/>
        <w:spacing w:before="60" w:after="60"/>
        <w:jc w:val="both"/>
        <w:rPr/>
      </w:pPr>
      <w:r>
        <w:rPr>
          <w:i/>
          <w:sz w:val="18"/>
          <w:szCs w:val="18"/>
        </w:rPr>
        <w:t>Cronograma de marcos com datas-calendário idênticas ao documento CRONOGRAMA anexo (duração total 42 meses; jun/2026–nov/2029). As datas posteriores à submissão são estimativas ancoradas em prazo de tramitação ética de aproximadamente quatro meses.</w:t>
      </w:r>
    </w:p>
    <w:tbl>
      <w:tblPr>
        <w:tblW w:w="8504" w:type="dxa"/>
        <w:jc w:val="left"/>
        <w:tblInd w:w="0" w:type="dxa"/>
        <w:tblLayout w:type="fixed"/>
        <w:tblCellMar>
          <w:top w:w="80" w:type="dxa"/>
          <w:left w:w="120" w:type="dxa"/>
          <w:bottom w:w="80" w:type="dxa"/>
          <w:right w:w="120" w:type="dxa"/>
        </w:tblCellMar>
        <w:tblLook w:val="04a0" w:noHBand="0" w:noVBand="1" w:firstColumn="1" w:lastRow="0" w:lastColumn="0" w:firstRow="1"/>
      </w:tblPr>
      <w:tblGrid>
        <w:gridCol w:w="5000"/>
        <w:gridCol w:w="1752"/>
        <w:gridCol w:w="1752"/>
      </w:tblGrid>
      <w:tr>
        <w:trPr/>
        <w:tc>
          <w:tcPr>
            <w:tcW w:w="5000" w:type="dxa"/>
            <w:tcBorders>
              <w:top w:val="single" w:sz="4" w:space="0" w:color="CCCCCC"/>
              <w:left w:val="single" w:sz="4" w:space="0" w:color="CCCCCC"/>
              <w:bottom w:val="single" w:sz="4" w:space="0" w:color="CCCCCC"/>
              <w:right w:val="single" w:sz="4" w:space="0" w:color="CCCCCC"/>
            </w:tcBorders>
            <w:shd w:color="auto" w:fill="FFFFFF" w:val="clear"/>
            <w:vAlign w:val="center"/>
          </w:tcPr>
          <w:p>
            <w:pPr>
              <w:pStyle w:val="Normal"/>
              <w:spacing w:before="20" w:after="20"/>
              <w:rPr>
                <w:b/>
                <w:sz w:val="18"/>
                <w:szCs w:val="18"/>
              </w:rPr>
            </w:pPr>
            <w:r>
              <w:rPr>
                <w:b/>
                <w:sz w:val="18"/>
                <w:szCs w:val="18"/>
              </w:rPr>
              <w:t>Identificação da etapa</w:t>
            </w:r>
          </w:p>
        </w:tc>
        <w:tc>
          <w:tcPr>
            <w:tcW w:w="1752" w:type="dxa"/>
            <w:tcBorders>
              <w:top w:val="single" w:sz="4" w:space="0" w:color="CCCCCC"/>
              <w:left w:val="single" w:sz="4" w:space="0" w:color="CCCCCC"/>
              <w:bottom w:val="single" w:sz="4" w:space="0" w:color="CCCCCC"/>
              <w:right w:val="single" w:sz="4" w:space="0" w:color="CCCCCC"/>
            </w:tcBorders>
            <w:shd w:color="auto" w:fill="FFFFFF" w:val="clear"/>
            <w:vAlign w:val="center"/>
          </w:tcPr>
          <w:p>
            <w:pPr>
              <w:pStyle w:val="Normal"/>
              <w:spacing w:before="20" w:after="20"/>
              <w:rPr>
                <w:b/>
                <w:sz w:val="18"/>
                <w:szCs w:val="18"/>
              </w:rPr>
            </w:pPr>
            <w:r>
              <w:rPr>
                <w:b/>
                <w:sz w:val="18"/>
                <w:szCs w:val="18"/>
              </w:rPr>
              <w:t>Início</w:t>
            </w:r>
          </w:p>
        </w:tc>
        <w:tc>
          <w:tcPr>
            <w:tcW w:w="1752" w:type="dxa"/>
            <w:tcBorders>
              <w:top w:val="single" w:sz="4" w:space="0" w:color="CCCCCC"/>
              <w:left w:val="single" w:sz="4" w:space="0" w:color="CCCCCC"/>
              <w:bottom w:val="single" w:sz="4" w:space="0" w:color="CCCCCC"/>
              <w:right w:val="single" w:sz="4" w:space="0" w:color="CCCCCC"/>
            </w:tcBorders>
            <w:shd w:color="auto" w:fill="FFFFFF" w:val="clear"/>
            <w:vAlign w:val="center"/>
          </w:tcPr>
          <w:p>
            <w:pPr>
              <w:pStyle w:val="Normal"/>
              <w:spacing w:before="20" w:after="20"/>
              <w:rPr>
                <w:b/>
                <w:sz w:val="18"/>
                <w:szCs w:val="18"/>
              </w:rPr>
            </w:pPr>
            <w:r>
              <w:rPr>
                <w:b/>
                <w:sz w:val="18"/>
                <w:szCs w:val="18"/>
              </w:rPr>
              <w:t>Término</w:t>
            </w:r>
          </w:p>
        </w:tc>
      </w:tr>
      <w:tr>
        <w:trPr/>
        <w:tc>
          <w:tcPr>
            <w:tcW w:w="5000"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Submissão ao CEP (com anuências, TCLE, CRF, Manual Operacional e SAP preliminar)</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1 (jun/2026)</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1 (jun/2026)</w:t>
            </w:r>
          </w:p>
        </w:tc>
      </w:tr>
      <w:tr>
        <w:trPr/>
        <w:tc>
          <w:tcPr>
            <w:tcW w:w="5000"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Tramitação e aprovação CEP/CONEP + registro ReBEC/ClinicalTrials.gov</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1 (jun/2026)</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4 (set/2026)</w:t>
            </w:r>
          </w:p>
        </w:tc>
      </w:tr>
      <w:tr>
        <w:trPr/>
        <w:tc>
          <w:tcPr>
            <w:tcW w:w="5000"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Validação operacional do fluxo celular no CeTroGen (lote-teste) — após aprovação ética</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5 (out/2026)</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6 (nov/2026)</w:t>
            </w:r>
          </w:p>
        </w:tc>
      </w:tr>
      <w:tr>
        <w:trPr/>
        <w:tc>
          <w:tcPr>
            <w:tcW w:w="5000"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Travamento dos POPs e dos critérios de liberação</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6 (nov/2026)</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6 (nov/2026)</w:t>
            </w:r>
          </w:p>
        </w:tc>
      </w:tr>
      <w:tr>
        <w:trPr/>
        <w:tc>
          <w:tcPr>
            <w:tcW w:w="5000"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Treinamento da equipe clínica e laboratorial</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6 (nov/2026)</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6 (nov/2026)</w:t>
            </w:r>
          </w:p>
        </w:tc>
      </w:tr>
      <w:tr>
        <w:trPr/>
        <w:tc>
          <w:tcPr>
            <w:tcW w:w="5000"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Recrutamento e randomização dos 30 participantes (15/grupo)</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7 (dez/2026)</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24 (mai/2028)</w:t>
            </w:r>
          </w:p>
        </w:tc>
      </w:tr>
      <w:tr>
        <w:trPr/>
        <w:tc>
          <w:tcPr>
            <w:tcW w:w="5000"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Seguimento dos participantes</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7 (dez/2026)</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36 (mai/2029)</w:t>
            </w:r>
          </w:p>
        </w:tc>
      </w:tr>
      <w:tr>
        <w:trPr/>
        <w:tc>
          <w:tcPr>
            <w:tcW w:w="5000"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Análise de segurança pré-especificada aos 6 meses (denominador completo) — produto da dissertação; não encerra o seguimento</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30 (nov/2028)</w:t>
            </w:r>
          </w:p>
        </w:tc>
      </w:tr>
      <w:tr>
        <w:trPr/>
        <w:tc>
          <w:tcPr>
            <w:tcW w:w="5000"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Coleta, limpeza e controle de qualidade dos dados</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7 (dez/2026)</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36 (mai/2029)</w:t>
            </w:r>
          </w:p>
        </w:tc>
      </w:tr>
      <w:tr>
        <w:trPr/>
        <w:tc>
          <w:tcPr>
            <w:tcW w:w="5000"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Assinatura do SAP definitivo (antes da abertura do banco)</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36 (mai/2029)</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36 (mai/2029)</w:t>
            </w:r>
          </w:p>
        </w:tc>
      </w:tr>
      <w:tr>
        <w:trPr/>
        <w:tc>
          <w:tcPr>
            <w:tcW w:w="5000"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Análise estatística</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37 (jun/2029)</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38 (jul/2029)</w:t>
            </w:r>
          </w:p>
        </w:tc>
      </w:tr>
      <w:tr>
        <w:trPr/>
        <w:tc>
          <w:tcPr>
            <w:tcW w:w="5000"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Redação e submissão de manuscritos</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39 (ago/2029)</w:t>
            </w:r>
          </w:p>
        </w:tc>
        <w:tc>
          <w:tcPr>
            <w:tcW w:w="1752" w:type="dxa"/>
            <w:tcBorders>
              <w:top w:val="single" w:sz="4" w:space="0" w:color="CCCCCC"/>
              <w:left w:val="single" w:sz="4" w:space="0" w:color="CCCCCC"/>
              <w:bottom w:val="single" w:sz="4" w:space="0" w:color="CCCCCC"/>
              <w:right w:val="single" w:sz="4" w:space="0" w:color="CCCCCC"/>
            </w:tcBorders>
            <w:vAlign w:val="center"/>
          </w:tcPr>
          <w:p>
            <w:pPr>
              <w:pStyle w:val="Normal"/>
              <w:spacing w:before="20" w:after="20"/>
              <w:rPr>
                <w:sz w:val="18"/>
                <w:szCs w:val="18"/>
              </w:rPr>
            </w:pPr>
            <w:r>
              <w:rPr>
                <w:sz w:val="18"/>
                <w:szCs w:val="18"/>
              </w:rPr>
              <w:t>Mês 42 (nov/2029)</w:t>
            </w:r>
          </w:p>
        </w:tc>
      </w:tr>
    </w:tbl>
    <w:p>
      <w:pPr>
        <w:pStyle w:val="Normal"/>
        <w:rPr/>
      </w:pPr>
      <w:r>
        <w:rPr/>
      </w:r>
      <w:r>
        <w:br w:type="page"/>
      </w:r>
    </w:p>
    <w:p>
      <w:pPr>
        <w:pStyle w:val="Heading1"/>
        <w:spacing w:before="0" w:after="160"/>
        <w:rPr>
          <w:color w:val="auto"/>
        </w:rPr>
      </w:pPr>
      <w:r>
        <w:rPr>
          <w:color w:val="auto"/>
        </w:rPr>
        <w:t>6. RELEVÂNCIA E VIABILIDADE ECONÔMICA</w:t>
      </w:r>
    </w:p>
    <w:p>
      <w:pPr>
        <w:pStyle w:val="Normal"/>
        <w:spacing w:lineRule="auto" w:line="360" w:before="80" w:after="80"/>
        <w:jc w:val="both"/>
        <w:rPr/>
      </w:pPr>
      <w:r>
        <w:rPr/>
        <w:t>Este estudo poderá contribuir para a avaliação de uma estratégia terapêutica investigacional para a doença degenerativa discal, baseada na implantação intradiscal de MSCs-TA associadas ao LP-PRP. Como ensaio clínico de fase I em desenho controlado, seus resultados poderão fornecer dados adicionais de segurança de 12 meses em população brasileira, bem como parâmetros de variabilidade clínica e radiológica úteis para o planejamento de estudos confirmatórios futuros. Os resultados poderão ter impacto em três dimensões:</w:t>
      </w:r>
    </w:p>
    <w:p>
      <w:pPr>
        <w:pStyle w:val="ListParagraph"/>
        <w:numPr>
          <w:ilvl w:val="0"/>
          <w:numId w:val="58"/>
        </w:numPr>
        <w:spacing w:lineRule="auto" w:line="319" w:before="60" w:after="60"/>
        <w:rPr/>
      </w:pPr>
      <w:r>
        <w:rPr/>
        <w:t>Científica: fornecerá dados adicionais de segurança de 12 meses com MSCs-TA + LP-PRP em ECR com grupo controle, contribuindo para uma lacuna metodológica ainda presente na literatura;</w:t>
      </w:r>
    </w:p>
    <w:p>
      <w:pPr>
        <w:pStyle w:val="ListParagraph"/>
        <w:numPr>
          <w:ilvl w:val="0"/>
          <w:numId w:val="59"/>
        </w:numPr>
        <w:spacing w:lineRule="auto" w:line="319" w:before="60" w:after="60"/>
        <w:rPr/>
      </w:pPr>
      <w:r>
        <w:rPr/>
        <w:t>Translacional: os parâmetros de variabilidade estimados (média e DP de EVA, ODI e ADC) são insumos essenciais para o dimensionamento de um futuro ECR de fase II/III multicêntrico com poder adequado para conclusões definitivas de eficácia;</w:t>
      </w:r>
    </w:p>
    <w:p>
      <w:pPr>
        <w:pStyle w:val="ListParagraph"/>
        <w:numPr>
          <w:ilvl w:val="0"/>
          <w:numId w:val="60"/>
        </w:numPr>
        <w:spacing w:lineRule="auto" w:line="319" w:before="60" w:after="60"/>
        <w:rPr/>
      </w:pPr>
      <w:r>
        <w:rPr/>
        <w:t>Social: o projeto será desenvolvido em hospital público (HUMAP/UFMS), com potencial de beneficiar pacientes de baixa renda acometidos por DLC discogênica — uma das principais causas de afastamento do trabalho no Brasil.</w:t>
      </w:r>
    </w:p>
    <w:p>
      <w:pPr>
        <w:pStyle w:val="Normal"/>
        <w:spacing w:lineRule="auto" w:line="360" w:before="80" w:after="80"/>
        <w:jc w:val="both"/>
        <w:rPr/>
      </w:pPr>
      <w:r>
        <w:rPr/>
        <w:t>O CeTroGen já possui financiamento parcial e expertise comprovada para produção e transplante de MSCs. O proponente é responsável pelo Ambulatório da Dor do HUMAP/UFMS. O projeto será submetido a editais de fomento da Fundect/MS, CNPq Universal e MS/Decit para cobertura dos itens de custo não contemplados pelo financiamento atual.</w:t>
      </w:r>
    </w:p>
    <w:p>
      <w:pPr>
        <w:pStyle w:val="Normal"/>
        <w:spacing w:before="120" w:after="60"/>
        <w:jc w:val="both"/>
        <w:rPr/>
      </w:pPr>
      <w:r>
        <w:rPr/>
        <w:t>Salvaguarda contra conflito de interesse: o pesquisador responsável declara seu vínculo de direção técnica com a instituição coparticipante. Para preservar a independência científica, os dados exploratórios de eficácia gerados neste estudo não serão utilizados para promoção comercial da terapia na clínica coparticipante nem em material de captação de pacientes enquanto não houver confirmação de eficácia por ensaio confirmatório de fase II/III. As funções de randomização, cegamento do avaliador de desfechos, análise estatística e decisão de publicação permanecem sob responsabilidade de pessoal independente do proponente.</w:t>
      </w:r>
    </w:p>
    <w:p>
      <w:pPr>
        <w:pStyle w:val="Normal"/>
        <w:spacing w:before="120" w:after="60"/>
        <w:jc w:val="both"/>
        <w:rPr/>
      </w:pPr>
      <w:r>
        <w:rPr/>
        <w:t>Declaração de escopo das conclusões: a conclusão principal deste estudo restringe-se à segurança e à tolerabilidade da intervenção. Por se tratar de ensaio de fase I, aberto, sem grupo sham e com poder estatístico insuficiente para os desfechos contínuos, nenhuma alegação de eficácia será formulada a partir dos seus resultados. Os achados em EVA, ODI, SF-36 e ADC têm caráter exclusivamente exploratório e gerador de hipótese, destinados a estimar parâmetros de variabilidade e a orientar o dimensionamento de um futuro ensaio confirmatório de fase II/III. Essa delimitação será mantida de forma explícita em todas as comunicações, apresentações e publicações decorrentes do estudo.</w:t>
      </w:r>
    </w:p>
    <w:tbl>
      <w:tblPr>
        <w:tblW w:w="8504" w:type="dxa"/>
        <w:jc w:val="left"/>
        <w:tblInd w:w="0" w:type="dxa"/>
        <w:tblLayout w:type="fixed"/>
        <w:tblCellMar>
          <w:top w:w="120" w:type="dxa"/>
          <w:left w:w="160" w:type="dxa"/>
          <w:bottom w:w="120" w:type="dxa"/>
          <w:right w:w="160" w:type="dxa"/>
        </w:tblCellMar>
        <w:tblLook w:val="04a0" w:noHBand="0" w:noVBand="1" w:firstColumn="1" w:lastRow="0" w:lastColumn="0" w:firstRow="1"/>
      </w:tblPr>
      <w:tblGrid>
        <w:gridCol w:w="8504"/>
      </w:tblGrid>
      <w:tr>
        <w:trPr/>
        <w:tc>
          <w:tcPr>
            <w:tcW w:w="8504" w:type="dxa"/>
            <w:tcBorders>
              <w:top w:val="single" w:sz="2" w:space="0" w:color="808080"/>
              <w:left w:val="single" w:sz="2" w:space="0" w:color="808080"/>
              <w:bottom w:val="single" w:sz="2" w:space="0" w:color="808080"/>
              <w:right w:val="single" w:sz="2" w:space="0" w:color="808080"/>
            </w:tcBorders>
            <w:shd w:color="auto" w:fill="FFFFFF" w:val="clear"/>
          </w:tcPr>
          <w:p>
            <w:pPr>
              <w:pStyle w:val="Normal"/>
              <w:rPr/>
            </w:pPr>
            <w:r>
              <w:rPr>
                <w:b/>
                <w:bCs/>
                <w:sz w:val="20"/>
                <w:szCs w:val="20"/>
              </w:rPr>
              <w:t xml:space="preserve">Plano de disseminação científica: </w:t>
            </w:r>
            <w:r>
              <w:rPr>
                <w:sz w:val="20"/>
                <w:szCs w:val="20"/>
              </w:rPr>
              <w:t>os resultados serão submetidos à publicação em periódico científico revisado por pares, independentemente da direção ou magnitude dos achados, respeitando o escopo primário de segurança/tolerabilidade e a natureza exploratória dos desfechos de eficácia.</w:t>
            </w:r>
          </w:p>
        </w:tc>
      </w:tr>
    </w:tbl>
    <w:p>
      <w:pPr>
        <w:pStyle w:val="Normal"/>
        <w:rPr/>
      </w:pPr>
      <w:r>
        <w:rPr/>
      </w:r>
      <w:r>
        <w:br w:type="page"/>
      </w:r>
    </w:p>
    <w:p>
      <w:pPr>
        <w:pStyle w:val="Heading1"/>
        <w:spacing w:before="0" w:after="160"/>
        <w:rPr>
          <w:color w:val="auto"/>
        </w:rPr>
      </w:pPr>
      <w:r>
        <w:rPr>
          <w:color w:val="auto"/>
        </w:rPr>
        <w:t>7. REFERÊNCIAS</w:t>
      </w:r>
    </w:p>
    <w:p>
      <w:pPr>
        <w:pStyle w:val="Normal"/>
        <w:spacing w:lineRule="auto" w:line="319" w:before="60" w:after="60"/>
        <w:ind w:hanging="720" w:left="720"/>
        <w:jc w:val="both"/>
        <w:rPr>
          <w:lang w:val="en-US"/>
        </w:rPr>
      </w:pPr>
      <w:r>
        <w:rPr>
          <w:sz w:val="20"/>
          <w:szCs w:val="20"/>
        </w:rPr>
        <w:t xml:space="preserve">AHN, J. et al. </w:t>
      </w:r>
      <w:r>
        <w:rPr>
          <w:sz w:val="20"/>
          <w:szCs w:val="20"/>
          <w:lang w:val="en-US"/>
        </w:rPr>
        <w:t>Transplantation of human Wharton's jelly-derived mesenchymal stem cells highly expressing TGF</w:t>
      </w:r>
      <w:r>
        <w:rPr>
          <w:sz w:val="20"/>
          <w:szCs w:val="20"/>
        </w:rPr>
        <w:t>β</w:t>
      </w:r>
      <w:r>
        <w:rPr>
          <w:sz w:val="20"/>
          <w:szCs w:val="20"/>
          <w:lang w:val="en-US"/>
        </w:rPr>
        <w:t xml:space="preserve"> receptors in a rabbit model of disc degeneration. Stem Cell Research &amp; Therapy, v. 6, p. 190, 2015.</w:t>
      </w:r>
    </w:p>
    <w:p>
      <w:pPr>
        <w:pStyle w:val="Normal"/>
        <w:spacing w:lineRule="auto" w:line="319" w:before="60" w:after="60"/>
        <w:ind w:hanging="720" w:left="720"/>
        <w:jc w:val="both"/>
        <w:rPr>
          <w:lang w:val="en-US"/>
        </w:rPr>
      </w:pPr>
      <w:r>
        <w:rPr>
          <w:sz w:val="20"/>
          <w:szCs w:val="20"/>
          <w:lang w:val="en-US"/>
        </w:rPr>
        <w:t>AMIRDELFAN, K. et al. Allogeneic mesenchymal precursor cells treatment for chronic low back pain associated with degenerative disc disease: a prospective randomized, placebo-controlled 36-month study of safety and efficacy. The Spine Journal, v. 21, n. 2, p. 212–230, 2021.</w:t>
      </w:r>
    </w:p>
    <w:p>
      <w:pPr>
        <w:pStyle w:val="Normal"/>
        <w:spacing w:lineRule="auto" w:line="319" w:before="60" w:after="60"/>
        <w:ind w:hanging="720" w:left="720"/>
        <w:jc w:val="both"/>
        <w:rPr>
          <w:lang w:val="en-US"/>
        </w:rPr>
      </w:pPr>
      <w:r>
        <w:rPr>
          <w:sz w:val="20"/>
          <w:szCs w:val="20"/>
          <w:lang w:val="en-US"/>
        </w:rPr>
        <w:t>ANTONIOU, J. et al. The human lumbar intervertebral disc: evidence for changes in the biosynthesis and denaturation of the extracellular matrix with growth, maturation, ageing, and degeneration. Journal of Clinical Investigation, v. 98, p. 996–1003, 1996.</w:t>
      </w:r>
    </w:p>
    <w:p>
      <w:pPr>
        <w:pStyle w:val="Normal"/>
        <w:spacing w:lineRule="auto" w:line="319" w:before="60" w:after="60"/>
        <w:ind w:hanging="720" w:left="720"/>
        <w:jc w:val="both"/>
        <w:rPr>
          <w:lang w:val="en-US"/>
        </w:rPr>
      </w:pPr>
      <w:r>
        <w:rPr>
          <w:sz w:val="20"/>
          <w:szCs w:val="20"/>
          <w:lang w:val="en-US"/>
        </w:rPr>
        <w:t>BATTIÉ, M. C.; JOSHI, A. B.; GIBBONS, L. E. Degenerative disc disease: What is in a name? Spine (Phila Pa 1976), v. 44, n. 21, p. 1523–1529, 2019.</w:t>
      </w:r>
    </w:p>
    <w:p>
      <w:pPr>
        <w:pStyle w:val="Normal"/>
        <w:spacing w:lineRule="auto" w:line="319" w:before="60" w:after="60"/>
        <w:ind w:hanging="720" w:left="720"/>
        <w:jc w:val="both"/>
        <w:rPr>
          <w:lang w:val="en-US"/>
        </w:rPr>
      </w:pPr>
      <w:r>
        <w:rPr>
          <w:sz w:val="20"/>
          <w:szCs w:val="20"/>
          <w:lang w:val="en-US"/>
        </w:rPr>
        <w:t>BEALL, D. P. et al. Efficacy and safety of allogeneic mesenchymal precursor cells with and without hyaluronic acid for treatment of chronic low back pain: a prospective, randomized, double blind, concurrent-controlled 36-month study. The Spine Journal, v. 25, n. 9, p. 1997–2013, 2025.</w:t>
      </w:r>
    </w:p>
    <w:p>
      <w:pPr>
        <w:pStyle w:val="Normal"/>
        <w:spacing w:lineRule="auto" w:line="319" w:before="60" w:after="60"/>
        <w:ind w:hanging="720" w:left="720"/>
        <w:jc w:val="both"/>
        <w:rPr/>
      </w:pPr>
      <w:r>
        <w:rPr>
          <w:sz w:val="20"/>
          <w:szCs w:val="20"/>
          <w:lang w:val="en-US"/>
        </w:rPr>
        <w:t xml:space="preserve">BOGDUK, N. Clinical and Radiological Anatomy of the Lumbar Spine. </w:t>
      </w:r>
      <w:r>
        <w:rPr>
          <w:sz w:val="20"/>
          <w:szCs w:val="20"/>
        </w:rPr>
        <w:t>5. ed. Elsevier Churchill Livingstone, 2012.</w:t>
      </w:r>
    </w:p>
    <w:p>
      <w:pPr>
        <w:pStyle w:val="Normal"/>
        <w:spacing w:lineRule="auto" w:line="319" w:before="60" w:after="60"/>
        <w:ind w:hanging="720" w:left="720"/>
        <w:jc w:val="both"/>
        <w:rPr>
          <w:lang w:val="en-US"/>
        </w:rPr>
      </w:pPr>
      <w:r>
        <w:rPr>
          <w:sz w:val="20"/>
          <w:szCs w:val="20"/>
          <w:lang w:val="en-US"/>
        </w:rPr>
        <w:t>BOGDUK, N.; APRILL, C.; DERBY, R. Lumbar discogenic pain: state-of-the-art review. Pain Medicine, v. 14, n. 6, p. 813–836, 2013.</w:t>
      </w:r>
    </w:p>
    <w:p>
      <w:pPr>
        <w:pStyle w:val="Normal"/>
        <w:spacing w:lineRule="auto" w:line="319" w:before="60" w:after="60"/>
        <w:ind w:hanging="720" w:left="720"/>
        <w:jc w:val="both"/>
        <w:rPr>
          <w:lang w:val="en-US"/>
        </w:rPr>
      </w:pPr>
      <w:r>
        <w:rPr>
          <w:sz w:val="20"/>
          <w:szCs w:val="20"/>
          <w:lang w:val="en-US"/>
        </w:rPr>
        <w:t>BUNCH, T. W. Stem Cells: Scientific Progress and Future Research Directions. NIH/Department of Health and Human Services, Washington, 2001.</w:t>
      </w:r>
    </w:p>
    <w:p>
      <w:pPr>
        <w:pStyle w:val="Normal"/>
        <w:spacing w:lineRule="auto" w:line="319" w:before="60" w:after="60"/>
        <w:ind w:hanging="720" w:left="720"/>
        <w:jc w:val="both"/>
        <w:rPr>
          <w:lang w:val="en-US"/>
        </w:rPr>
      </w:pPr>
      <w:r>
        <w:rPr>
          <w:sz w:val="20"/>
          <w:szCs w:val="20"/>
          <w:lang w:val="en-US"/>
        </w:rPr>
        <w:t>BURASTERO, G. et al. The association of human mesenchymal stem cells with BMP-7 improves bone regeneration of critical-size segmental bone defects in athymic rats. Bone, v. 47, n. 1, p. 117–126, 2010.</w:t>
      </w:r>
    </w:p>
    <w:p>
      <w:pPr>
        <w:pStyle w:val="Normal"/>
        <w:spacing w:lineRule="auto" w:line="319" w:before="60" w:after="60"/>
        <w:ind w:hanging="720" w:left="720"/>
        <w:jc w:val="both"/>
        <w:rPr>
          <w:lang w:val="en-US"/>
        </w:rPr>
      </w:pPr>
      <w:r>
        <w:rPr>
          <w:sz w:val="20"/>
          <w:szCs w:val="20"/>
          <w:lang w:val="en-US"/>
        </w:rPr>
        <w:t>BOSCARDIN, J. B. et al. Human intradiscal levels with cefazolin. Spine, v. 17, n. 6 Suppl, p. S145–S148, 1992.</w:t>
      </w:r>
    </w:p>
    <w:p>
      <w:pPr>
        <w:pStyle w:val="Normal"/>
        <w:spacing w:lineRule="auto" w:line="319" w:before="60" w:after="60"/>
        <w:ind w:hanging="720" w:left="720"/>
        <w:jc w:val="both"/>
        <w:rPr>
          <w:lang w:val="en-US"/>
        </w:rPr>
      </w:pPr>
      <w:r>
        <w:rPr>
          <w:sz w:val="20"/>
          <w:szCs w:val="20"/>
          <w:lang w:val="en-US"/>
        </w:rPr>
        <w:t>CAO, C. et al. Bone marrow mesenchymal stem cells slow intervertebral disc degeneration through the NF-</w:t>
      </w:r>
      <w:r>
        <w:rPr>
          <w:sz w:val="20"/>
          <w:szCs w:val="20"/>
        </w:rPr>
        <w:t>κ</w:t>
      </w:r>
      <w:r>
        <w:rPr>
          <w:sz w:val="20"/>
          <w:szCs w:val="20"/>
          <w:lang w:val="en-US"/>
        </w:rPr>
        <w:t>B pathway. Spine Journal, v. 15, n. 3, p. 530–538, 2015.</w:t>
      </w:r>
    </w:p>
    <w:p>
      <w:pPr>
        <w:pStyle w:val="Normal"/>
        <w:spacing w:lineRule="auto" w:line="319" w:before="60" w:after="60"/>
        <w:ind w:hanging="720" w:left="720"/>
        <w:jc w:val="both"/>
        <w:rPr>
          <w:lang w:val="en-US"/>
        </w:rPr>
      </w:pPr>
      <w:r>
        <w:rPr>
          <w:sz w:val="20"/>
          <w:szCs w:val="20"/>
          <w:lang w:val="en-US"/>
        </w:rPr>
        <w:t>CARRAGEE, E. J. et al. Does discography cause accelerated progression of degeneration changes in the lumbar disc? Spine, v. 34, n. 21, p. 2338–2345, 2009.</w:t>
      </w:r>
    </w:p>
    <w:p>
      <w:pPr>
        <w:pStyle w:val="Normal"/>
        <w:spacing w:lineRule="auto" w:line="319" w:before="60" w:after="60"/>
        <w:ind w:hanging="720" w:left="720"/>
        <w:jc w:val="both"/>
        <w:rPr>
          <w:lang w:val="en-US"/>
        </w:rPr>
      </w:pPr>
      <w:r>
        <w:rPr>
          <w:sz w:val="20"/>
          <w:szCs w:val="20"/>
          <w:lang w:val="en-US"/>
        </w:rPr>
        <w:t>CARRAGEE, E. J. Persistent low back pain. New England Journal of Medicine, v. 352, n. 18, p. 1891–1898, 2005.</w:t>
      </w:r>
    </w:p>
    <w:p>
      <w:pPr>
        <w:pStyle w:val="Normal"/>
        <w:spacing w:lineRule="auto" w:line="319" w:before="60" w:after="60"/>
        <w:ind w:hanging="720" w:left="720"/>
        <w:jc w:val="both"/>
        <w:rPr>
          <w:lang w:val="en-US"/>
        </w:rPr>
      </w:pPr>
      <w:r>
        <w:rPr>
          <w:sz w:val="20"/>
          <w:szCs w:val="20"/>
          <w:lang w:val="en-US"/>
        </w:rPr>
        <w:t>CENTENO, C. et al. Treatment of lumbar degenerative disc disease-associated radicular pain with culture-expanded autologous mesenchymal stem cells: a pilot study. Journal of Translational Medicine, v. 15, n. 1, p. 197, 2017.</w:t>
      </w:r>
    </w:p>
    <w:p>
      <w:pPr>
        <w:pStyle w:val="Normal"/>
        <w:spacing w:lineRule="auto" w:line="319" w:before="60" w:after="60"/>
        <w:ind w:hanging="720" w:left="720"/>
        <w:jc w:val="both"/>
        <w:rPr>
          <w:lang w:val="en-US"/>
        </w:rPr>
      </w:pPr>
      <w:r>
        <w:rPr>
          <w:sz w:val="20"/>
          <w:szCs w:val="20"/>
          <w:lang w:val="en-US"/>
        </w:rPr>
        <w:t>CHAN, A.-W. et al. SPIRIT 2013 Statement: defining standard protocol items for clinical trials. Annals of Internal Medicine, v. 158, n. 3, p. 200–207, 2013.</w:t>
      </w:r>
    </w:p>
    <w:p>
      <w:pPr>
        <w:pStyle w:val="Normal"/>
        <w:spacing w:lineRule="auto" w:line="319" w:before="60" w:after="60"/>
        <w:ind w:hanging="720" w:left="720"/>
        <w:jc w:val="both"/>
        <w:rPr>
          <w:lang w:val="en-US"/>
        </w:rPr>
      </w:pPr>
      <w:r>
        <w:rPr>
          <w:sz w:val="20"/>
          <w:szCs w:val="20"/>
          <w:lang w:val="en-US"/>
        </w:rPr>
        <w:t>CHANG, Y. et al. Effect of Platelet-Rich Plasma on Intervertebral Disc Degeneration In Vivo and In Vitro. Oxidative Medicine and Cellular Longevity, v. 2020, p. 8893819, 2020.</w:t>
      </w:r>
    </w:p>
    <w:p>
      <w:pPr>
        <w:pStyle w:val="Normal"/>
        <w:spacing w:lineRule="auto" w:line="319" w:before="60" w:after="60"/>
        <w:ind w:hanging="720" w:left="720"/>
        <w:jc w:val="both"/>
        <w:rPr>
          <w:lang w:val="en-US"/>
        </w:rPr>
      </w:pPr>
      <w:r>
        <w:rPr>
          <w:sz w:val="20"/>
          <w:szCs w:val="20"/>
          <w:lang w:val="en-US"/>
        </w:rPr>
        <w:t>DAGENAIS, S.; TRICCO, A. C.; HALDERMAN, S. Synthesis of recommendations for the assessment and management of low back pain. Spine Journal, v. 10, n. 6, p. 514–529, 2010.</w:t>
      </w:r>
    </w:p>
    <w:p>
      <w:pPr>
        <w:pStyle w:val="Normal"/>
        <w:spacing w:lineRule="auto" w:line="319" w:before="60" w:after="60"/>
        <w:ind w:hanging="720" w:left="720"/>
        <w:jc w:val="both"/>
        <w:rPr>
          <w:lang w:val="en-US"/>
        </w:rPr>
      </w:pPr>
      <w:r>
        <w:rPr>
          <w:sz w:val="20"/>
          <w:szCs w:val="20"/>
          <w:lang w:val="en-US"/>
        </w:rPr>
        <w:t>DEPALMA, M. Biologic treatments for discogenic low back pain. SpineLine, v. 13, p. 19–23, 2012.</w:t>
      </w:r>
    </w:p>
    <w:p>
      <w:pPr>
        <w:pStyle w:val="Normal"/>
        <w:spacing w:lineRule="auto" w:line="319" w:before="60" w:after="60"/>
        <w:ind w:hanging="720" w:left="720"/>
        <w:jc w:val="both"/>
        <w:rPr>
          <w:lang w:val="en-US"/>
        </w:rPr>
      </w:pPr>
      <w:r>
        <w:rPr>
          <w:sz w:val="20"/>
          <w:szCs w:val="20"/>
          <w:lang w:val="en-US"/>
        </w:rPr>
        <w:t>DERBY, R. et al. Comparison of four different analgesic discogram protocols. Pain Medicine, v. 13, n. 12, p. 1547–1553, 2012.</w:t>
      </w:r>
    </w:p>
    <w:p>
      <w:pPr>
        <w:pStyle w:val="Normal"/>
        <w:spacing w:lineRule="auto" w:line="319" w:before="60" w:after="60"/>
        <w:ind w:hanging="720" w:left="720"/>
        <w:jc w:val="both"/>
        <w:rPr>
          <w:lang w:val="en-US"/>
        </w:rPr>
      </w:pPr>
      <w:r>
        <w:rPr>
          <w:sz w:val="20"/>
          <w:szCs w:val="20"/>
          <w:lang w:val="en-US"/>
        </w:rPr>
        <w:t>FARRAR, J. T. et al. Clinical importance of changes in chronic pain intensity measured on an 11-point numerical pain rating scale. Pain, v. 94, n. 2, p. 149–158, 2001.</w:t>
      </w:r>
    </w:p>
    <w:p>
      <w:pPr>
        <w:pStyle w:val="Normal"/>
        <w:spacing w:lineRule="auto" w:line="319" w:before="60" w:after="60"/>
        <w:ind w:hanging="720" w:left="720"/>
        <w:jc w:val="both"/>
        <w:rPr>
          <w:lang w:val="en-US"/>
        </w:rPr>
      </w:pPr>
      <w:r>
        <w:rPr>
          <w:sz w:val="20"/>
          <w:szCs w:val="20"/>
          <w:lang w:val="en-US"/>
        </w:rPr>
        <w:t>FENG, G. et al. Transplantation of mesenchymal stem cells and nucleus pulposus cells in a degenerative disc model in rabbits. Journal of Neurosurgery: Spine, v. 14, p. 322–329, 2011.</w:t>
      </w:r>
    </w:p>
    <w:p>
      <w:pPr>
        <w:pStyle w:val="Normal"/>
        <w:spacing w:lineRule="auto" w:line="319" w:before="60" w:after="60"/>
        <w:ind w:hanging="720" w:left="720"/>
        <w:jc w:val="both"/>
        <w:rPr>
          <w:lang w:val="en-US"/>
        </w:rPr>
      </w:pPr>
      <w:r>
        <w:rPr>
          <w:sz w:val="20"/>
          <w:szCs w:val="20"/>
          <w:lang w:val="en-US"/>
        </w:rPr>
        <w:t>FERRAZ, V. R. et al. Stem Cell Therapy for Degenerative Disc Disease: A Systematic Review of Preclinical Evidence, Clinical Translation, and Future Directions. North American Spine Society Journal (NASSJ), 2025. DOI: 10.1016/j.xnsj.2025.100841.</w:t>
      </w:r>
    </w:p>
    <w:p>
      <w:pPr>
        <w:pStyle w:val="Normal"/>
        <w:spacing w:lineRule="auto" w:line="319" w:before="60" w:after="60"/>
        <w:ind w:hanging="720" w:left="720"/>
        <w:jc w:val="both"/>
        <w:rPr>
          <w:lang w:val="en-US"/>
        </w:rPr>
      </w:pPr>
      <w:r>
        <w:rPr>
          <w:sz w:val="20"/>
          <w:szCs w:val="20"/>
          <w:lang w:val="en-US"/>
        </w:rPr>
        <w:t>FRIEDENSTEIN, A. J.; CHALAKHYAN, R. K.; GERASIMOV, U. V. Bone marrow osteogenic stem cells: in vitro cultivation and transplantation in diffusion chambers. Cell and Tissue Kinetics, v. 20, n. 3, p. 263–272, 1987.</w:t>
      </w:r>
    </w:p>
    <w:p>
      <w:pPr>
        <w:pStyle w:val="Normal"/>
        <w:spacing w:lineRule="auto" w:line="319" w:before="60" w:after="60"/>
        <w:ind w:hanging="720" w:left="720"/>
        <w:jc w:val="both"/>
        <w:rPr>
          <w:lang w:val="en-US"/>
        </w:rPr>
      </w:pPr>
      <w:r>
        <w:rPr>
          <w:sz w:val="20"/>
          <w:szCs w:val="20"/>
          <w:lang w:val="en-US"/>
        </w:rPr>
        <w:t>HAN, I. et al. Biological approaches to treating intervertebral disk degeneration: devising stem cell therapies. Cell Transplantation, v. 24, p. 2197–2208, 2015.</w:t>
      </w:r>
    </w:p>
    <w:p>
      <w:pPr>
        <w:pStyle w:val="Normal"/>
        <w:spacing w:lineRule="auto" w:line="319" w:before="60" w:after="60"/>
        <w:ind w:hanging="720" w:left="720"/>
        <w:jc w:val="both"/>
        <w:rPr/>
      </w:pPr>
      <w:r>
        <w:rPr>
          <w:sz w:val="20"/>
          <w:szCs w:val="20"/>
          <w:lang w:val="en-US"/>
        </w:rPr>
        <w:t xml:space="preserve">HAUFE, S. M.; MORK, A. R. Intradiscal injection of hematopoietic stem cells in an attempt to rejuvenate the intervertebral disc. </w:t>
      </w:r>
      <w:r>
        <w:rPr>
          <w:sz w:val="20"/>
          <w:szCs w:val="20"/>
        </w:rPr>
        <w:t>Stem Cells and Development, v. 15, n. 1, p. 136–137, 2006.</w:t>
      </w:r>
    </w:p>
    <w:p>
      <w:pPr>
        <w:pStyle w:val="Normal"/>
        <w:spacing w:lineRule="auto" w:line="319" w:before="60" w:after="60"/>
        <w:ind w:hanging="720" w:left="720"/>
        <w:jc w:val="both"/>
        <w:rPr>
          <w:lang w:val="en-US"/>
        </w:rPr>
      </w:pPr>
      <w:r>
        <w:rPr>
          <w:sz w:val="20"/>
          <w:szCs w:val="20"/>
          <w:lang w:val="en-US"/>
        </w:rPr>
        <w:t>HERKOWITZ, H. N.; SIDHU, K. S. Lumbar spine fusion in the treatment of degenerative conditions. Journal of the American Academy of Orthopaedic Surgeons, v. 3, p. 123–135, 1995.</w:t>
      </w:r>
    </w:p>
    <w:p>
      <w:pPr>
        <w:pStyle w:val="Normal"/>
        <w:spacing w:lineRule="auto" w:line="319" w:before="60" w:after="60"/>
        <w:ind w:hanging="720" w:left="720"/>
        <w:jc w:val="both"/>
        <w:rPr>
          <w:lang w:val="en-US"/>
        </w:rPr>
      </w:pPr>
      <w:r>
        <w:rPr>
          <w:sz w:val="20"/>
          <w:szCs w:val="20"/>
          <w:lang w:val="en-US"/>
        </w:rPr>
        <w:t>HIYAMA, A. et al. Transplantation of mesenchymal stem cells in a canine disc degeneration model. Journal of Orthopaedic Research, v. 26, p. 589–600, 2008.</w:t>
      </w:r>
    </w:p>
    <w:p>
      <w:pPr>
        <w:pStyle w:val="Normal"/>
        <w:spacing w:lineRule="auto" w:line="319" w:before="60" w:after="60"/>
        <w:ind w:hanging="720" w:left="720"/>
        <w:jc w:val="both"/>
        <w:rPr>
          <w:lang w:val="en-US"/>
        </w:rPr>
      </w:pPr>
      <w:r>
        <w:rPr>
          <w:sz w:val="20"/>
          <w:szCs w:val="20"/>
          <w:lang w:val="en-US"/>
        </w:rPr>
        <w:t>INTERNATIONAL SPINE INTERVENTION SOCIETY (ISIS/SIS). Lumbar disc stimulation (provocation discography). In: Practice Guidelines for Spinal Diagnostic and Treatment Procedures. 2. ed. San Francisco: International Spine Intervention Society, 2013.</w:t>
      </w:r>
    </w:p>
    <w:p>
      <w:pPr>
        <w:pStyle w:val="Normal"/>
        <w:spacing w:lineRule="auto" w:line="319" w:before="60" w:after="60"/>
        <w:ind w:hanging="720" w:left="720"/>
        <w:jc w:val="both"/>
        <w:rPr>
          <w:lang w:val="en-US"/>
        </w:rPr>
      </w:pPr>
      <w:r>
        <w:rPr>
          <w:sz w:val="20"/>
          <w:szCs w:val="20"/>
          <w:lang w:val="en-US"/>
        </w:rPr>
        <w:t>KLESSIG, H. T.; SHOWSH, S. A.; SEKORSKI, A. The use of intradiscal antibiotics for discography: an in vitro study of gentamicin, cefazolin, and clindamycin. Spine, v. 28, n. 15, p. 1735–1738, 2003.</w:t>
      </w:r>
    </w:p>
    <w:p>
      <w:pPr>
        <w:pStyle w:val="Normal"/>
        <w:spacing w:lineRule="auto" w:line="319" w:before="60" w:after="60"/>
        <w:ind w:hanging="720" w:left="720"/>
        <w:jc w:val="both"/>
        <w:rPr>
          <w:lang w:val="en-US"/>
        </w:rPr>
      </w:pPr>
      <w:r>
        <w:rPr>
          <w:sz w:val="20"/>
          <w:szCs w:val="20"/>
          <w:lang w:val="en-US"/>
        </w:rPr>
        <w:t>KUMAR, H. et al. Safety and tolerability of intradiscal implantation of combined autologous adipose-derived mesenchymal stem cells and hyaluronic acid in patients with chronic discogenic low back pain: 1-year follow-up of a phase I study. Stem Cell Research &amp; Therapy, v. 8, p. 262, 2017.</w:t>
      </w:r>
    </w:p>
    <w:p>
      <w:pPr>
        <w:pStyle w:val="Normal"/>
        <w:spacing w:lineRule="auto" w:line="319" w:before="60" w:after="60"/>
        <w:ind w:hanging="720" w:left="720"/>
        <w:jc w:val="both"/>
        <w:rPr>
          <w:lang w:val="en-US"/>
        </w:rPr>
      </w:pPr>
      <w:r>
        <w:rPr>
          <w:sz w:val="20"/>
          <w:szCs w:val="20"/>
          <w:lang w:val="en-US"/>
        </w:rPr>
        <w:t>LONGO, U. G. et al. Mesenchymal stem cell for prevention and management of intervertebral disc degeneration. Stem Cells International, 2012.</w:t>
      </w:r>
    </w:p>
    <w:p>
      <w:pPr>
        <w:pStyle w:val="Normal"/>
        <w:spacing w:lineRule="auto" w:line="319" w:before="60" w:after="60"/>
        <w:ind w:hanging="720" w:left="720"/>
        <w:jc w:val="both"/>
        <w:rPr>
          <w:lang w:val="en-US"/>
        </w:rPr>
      </w:pPr>
      <w:r>
        <w:rPr>
          <w:sz w:val="20"/>
          <w:szCs w:val="20"/>
          <w:lang w:val="en-US"/>
        </w:rPr>
        <w:t>LUDESCHER, B. et al. T2- and diffusion-maps reveal diurnal changes of intervertebral disc composition: an in vivo MRI study at 1.5 Tesla. Journal of Magnetic Resonance Imaging, v. 28, p. 252–257, 2008.</w:t>
      </w:r>
    </w:p>
    <w:p>
      <w:pPr>
        <w:pStyle w:val="Normal"/>
        <w:spacing w:lineRule="auto" w:line="319" w:before="60" w:after="60"/>
        <w:ind w:hanging="720" w:left="720"/>
        <w:jc w:val="both"/>
        <w:rPr>
          <w:lang w:val="en-US"/>
        </w:rPr>
      </w:pPr>
      <w:r>
        <w:rPr>
          <w:sz w:val="20"/>
          <w:szCs w:val="20"/>
          <w:lang w:val="en-US"/>
        </w:rPr>
        <w:t>MADIGAN, L. et al. Management of symptomatic lumbar degenerative disk disease. Journal of the American Academy of Orthopaedic Surgeons, v. 17, p. 102–111, 2009.</w:t>
      </w:r>
    </w:p>
    <w:p>
      <w:pPr>
        <w:pStyle w:val="Normal"/>
        <w:spacing w:lineRule="auto" w:line="319" w:before="60" w:after="60"/>
        <w:ind w:hanging="720" w:left="720"/>
        <w:jc w:val="both"/>
        <w:rPr>
          <w:lang w:val="en-US"/>
        </w:rPr>
      </w:pPr>
      <w:r>
        <w:rPr>
          <w:sz w:val="20"/>
          <w:szCs w:val="20"/>
          <w:lang w:val="en-US"/>
        </w:rPr>
        <w:t>MARTIN, M. D.; BOXELL, C. M.; MALONE, D. G. Pathophysiology of lumbar disc degeneration. Neurosurgical Focus, v. 13, E1, 2002.</w:t>
      </w:r>
    </w:p>
    <w:p>
      <w:pPr>
        <w:pStyle w:val="Normal"/>
        <w:spacing w:lineRule="auto" w:line="319" w:before="60" w:after="60"/>
        <w:ind w:hanging="720" w:left="720"/>
        <w:jc w:val="both"/>
        <w:rPr>
          <w:lang w:val="en-US"/>
        </w:rPr>
      </w:pPr>
      <w:r>
        <w:rPr>
          <w:sz w:val="20"/>
          <w:szCs w:val="20"/>
          <w:lang w:val="en-US"/>
        </w:rPr>
        <w:t>MODIC, M. T. et al. Degenerative disk disease: assessment of changes in vertebral body marrow with MR imaging. Radiology, v. 166, n. 1, p. 193–199, 1988.</w:t>
      </w:r>
    </w:p>
    <w:p>
      <w:pPr>
        <w:pStyle w:val="Normal"/>
        <w:spacing w:lineRule="auto" w:line="319" w:before="60" w:after="60"/>
        <w:ind w:hanging="720" w:left="720"/>
        <w:jc w:val="both"/>
        <w:rPr>
          <w:lang w:val="en-US"/>
        </w:rPr>
      </w:pPr>
      <w:r>
        <w:rPr>
          <w:sz w:val="20"/>
          <w:szCs w:val="20"/>
          <w:lang w:val="en-US"/>
        </w:rPr>
        <w:t>OROZCO, L. et al. Intervertebral disc repair by autologous mesenchymal bone marrow cells: a pilot study. Transplantation, v. 92, p. 822–828, 2011.</w:t>
      </w:r>
    </w:p>
    <w:p>
      <w:pPr>
        <w:pStyle w:val="Normal"/>
        <w:spacing w:lineRule="auto" w:line="319" w:before="60" w:after="60"/>
        <w:ind w:hanging="720" w:left="720"/>
        <w:jc w:val="both"/>
        <w:rPr>
          <w:lang w:val="en-US"/>
        </w:rPr>
      </w:pPr>
      <w:r>
        <w:rPr>
          <w:sz w:val="20"/>
          <w:szCs w:val="20"/>
          <w:lang w:val="en-US"/>
        </w:rPr>
        <w:t>OSTELO, R. W.; DE VET, H. C. Clinically important outcomes in low back pain. Best Practice &amp; Research Clinical Rheumatology, v. 19, n. 4, p. 593–607, 2005.</w:t>
      </w:r>
    </w:p>
    <w:p>
      <w:pPr>
        <w:pStyle w:val="Normal"/>
        <w:spacing w:lineRule="auto" w:line="319" w:before="60" w:after="60"/>
        <w:ind w:hanging="720" w:left="720"/>
        <w:jc w:val="both"/>
        <w:rPr>
          <w:lang w:val="en-US"/>
        </w:rPr>
      </w:pPr>
      <w:r>
        <w:rPr>
          <w:sz w:val="20"/>
          <w:szCs w:val="20"/>
          <w:lang w:val="en-US"/>
        </w:rPr>
        <w:t>PENG, B. et al. Efficacy of intradiscal injection of platelet-rich plasma in the treatment of discogenic low back pain. Medicine (Baltimore), v. 102, n. 10, e33112, 2023.</w:t>
      </w:r>
    </w:p>
    <w:p>
      <w:pPr>
        <w:pStyle w:val="Normal"/>
        <w:spacing w:lineRule="auto" w:line="319" w:before="60" w:after="60"/>
        <w:ind w:hanging="720" w:left="720"/>
        <w:jc w:val="both"/>
        <w:rPr>
          <w:lang w:val="en-US"/>
        </w:rPr>
      </w:pPr>
      <w:r>
        <w:rPr>
          <w:sz w:val="20"/>
          <w:szCs w:val="20"/>
          <w:lang w:val="en-US"/>
        </w:rPr>
        <w:t>PENG, B. et al. The pathogenesis of discogenic low back pain. Journal of Bone &amp; Joint Surgery (British), v. 87, n. 1, p. 62–67, 2005.</w:t>
      </w:r>
    </w:p>
    <w:p>
      <w:pPr>
        <w:pStyle w:val="Normal"/>
        <w:spacing w:lineRule="auto" w:line="319" w:before="60" w:after="60"/>
        <w:ind w:hanging="720" w:left="720"/>
        <w:jc w:val="both"/>
        <w:rPr>
          <w:lang w:val="en-US"/>
        </w:rPr>
      </w:pPr>
      <w:r>
        <w:rPr>
          <w:sz w:val="20"/>
          <w:szCs w:val="20"/>
          <w:lang w:val="en-US"/>
        </w:rPr>
        <w:t>PENNICOOKE, B. et al. Biological treatment approaches for degenerative disc disease: a review of clinical trials and future directions. Cureus, v. 8, e892, 2016.</w:t>
      </w:r>
    </w:p>
    <w:p>
      <w:pPr>
        <w:pStyle w:val="Normal"/>
        <w:spacing w:lineRule="auto" w:line="319" w:before="60" w:after="60"/>
        <w:ind w:hanging="720" w:left="720"/>
        <w:jc w:val="both"/>
        <w:rPr>
          <w:lang w:val="en-US"/>
        </w:rPr>
      </w:pPr>
      <w:r>
        <w:rPr>
          <w:sz w:val="20"/>
          <w:szCs w:val="20"/>
          <w:lang w:val="en-US"/>
        </w:rPr>
        <w:t>PERS, Y. M. et al. Allogenic bone marrow-derived mesenchymal stromal cell-based therapy for patients with chronic low back pain: a prospective, multicentre, randomised placebo controlled trial (RESPINE study). Annals of the Rheumatic Diseases, v. 83, n. 11, p. 1572–1583, 2024.</w:t>
      </w:r>
    </w:p>
    <w:p>
      <w:pPr>
        <w:pStyle w:val="Normal"/>
        <w:spacing w:lineRule="auto" w:line="319" w:before="60" w:after="60"/>
        <w:ind w:hanging="720" w:left="720"/>
        <w:jc w:val="both"/>
        <w:rPr>
          <w:lang w:val="en-US"/>
        </w:rPr>
      </w:pPr>
      <w:r>
        <w:rPr>
          <w:sz w:val="20"/>
          <w:szCs w:val="20"/>
          <w:lang w:val="en-US"/>
        </w:rPr>
        <w:t>PFIRRMANN, C. W. A. et al. Magnetic resonance classification of lumbar intervertebral disc degeneration. Spine, v. 26, n. 17, p. 1873–1878, 2001.</w:t>
      </w:r>
    </w:p>
    <w:p>
      <w:pPr>
        <w:pStyle w:val="Normal"/>
        <w:spacing w:lineRule="auto" w:line="319" w:before="60" w:after="60"/>
        <w:ind w:hanging="720" w:left="720"/>
        <w:jc w:val="both"/>
        <w:rPr>
          <w:lang w:val="en-US"/>
        </w:rPr>
      </w:pPr>
      <w:r>
        <w:rPr>
          <w:sz w:val="20"/>
          <w:szCs w:val="20"/>
          <w:lang w:val="en-US"/>
        </w:rPr>
        <w:t>RICHARDSON, S. M. et al. Mesenchymal stem cells in regenerative medicine: focus on articular cartilage and intervertebral disc degeneration. Methods, v. 99, p. 69–80, 2016.</w:t>
      </w:r>
    </w:p>
    <w:p>
      <w:pPr>
        <w:pStyle w:val="Normal"/>
        <w:spacing w:lineRule="auto" w:line="319" w:before="60" w:after="60"/>
        <w:ind w:hanging="720" w:left="720"/>
        <w:jc w:val="both"/>
        <w:rPr>
          <w:lang w:val="en-US"/>
        </w:rPr>
      </w:pPr>
      <w:r>
        <w:rPr>
          <w:sz w:val="20"/>
          <w:szCs w:val="20"/>
          <w:lang w:val="en-US"/>
        </w:rPr>
        <w:t>SAKAI, D. et al. Differentiation of mesenchymal stem cells transplanted to a rabbit degenerative disc model. Spine (Phila Pa 1976), v. 30, p. 2379–2387, 2005.</w:t>
      </w:r>
    </w:p>
    <w:p>
      <w:pPr>
        <w:pStyle w:val="Normal"/>
        <w:spacing w:lineRule="auto" w:line="319" w:before="60" w:after="60"/>
        <w:ind w:hanging="720" w:left="720"/>
        <w:jc w:val="both"/>
        <w:rPr>
          <w:lang w:val="en-US"/>
        </w:rPr>
      </w:pPr>
      <w:r>
        <w:rPr>
          <w:sz w:val="20"/>
          <w:szCs w:val="20"/>
          <w:lang w:val="en-US"/>
        </w:rPr>
        <w:t>SCHULZ, K. F.; ALTMAN, D. G.; MOHER, D.; CONSORT Group. CONSORT 2010 Statement: updated guidelines for reporting parallel group randomised trials. BMJ, v. 340, c332, 2010.</w:t>
      </w:r>
    </w:p>
    <w:p>
      <w:pPr>
        <w:pStyle w:val="Normal"/>
        <w:spacing w:lineRule="auto" w:line="319" w:before="60" w:after="60"/>
        <w:ind w:hanging="720" w:left="720"/>
        <w:jc w:val="both"/>
        <w:rPr/>
      </w:pPr>
      <w:r>
        <w:rPr>
          <w:sz w:val="20"/>
          <w:szCs w:val="20"/>
          <w:lang w:val="en-US"/>
        </w:rPr>
        <w:t xml:space="preserve">SCHWEICH-ADAMI, L. C. et al. </w:t>
      </w:r>
      <w:r>
        <w:rPr>
          <w:sz w:val="20"/>
          <w:szCs w:val="20"/>
        </w:rPr>
        <w:t>Efeitos das células-tronco mesenquimais no tratamento da osteoartrite de joelho: um relato de caso no SUS. Revista Brasileira de Ortopedia, p. 1–4, 2021a.</w:t>
      </w:r>
    </w:p>
    <w:p>
      <w:pPr>
        <w:pStyle w:val="Normal"/>
        <w:spacing w:lineRule="auto" w:line="319" w:before="60" w:after="60"/>
        <w:ind w:hanging="720" w:left="720"/>
        <w:jc w:val="both"/>
        <w:rPr/>
      </w:pPr>
      <w:r>
        <w:rPr>
          <w:sz w:val="20"/>
          <w:szCs w:val="20"/>
        </w:rPr>
        <w:t xml:space="preserve">SCHWEICH-ADAMI, L. C. et al. </w:t>
      </w:r>
      <w:r>
        <w:rPr>
          <w:sz w:val="20"/>
          <w:szCs w:val="20"/>
          <w:lang w:val="en-US"/>
        </w:rPr>
        <w:t xml:space="preserve">The enzymatic disaggregation by trypsin does not alter cell quality and genomic stability of adipose-derived stem cells. </w:t>
      </w:r>
      <w:r>
        <w:rPr>
          <w:sz w:val="20"/>
          <w:szCs w:val="20"/>
        </w:rPr>
        <w:t>Cell and Tissue Banking, p. 1–12, 2021b.</w:t>
      </w:r>
    </w:p>
    <w:p>
      <w:pPr>
        <w:pStyle w:val="Normal"/>
        <w:spacing w:lineRule="auto" w:line="319" w:before="60" w:after="60"/>
        <w:ind w:hanging="720" w:left="720"/>
        <w:jc w:val="both"/>
        <w:rPr/>
      </w:pPr>
      <w:r>
        <w:rPr>
          <w:sz w:val="20"/>
          <w:szCs w:val="20"/>
        </w:rPr>
        <w:t>SCHWINDT, T. T.; BARNABÉ, G. F.; MELLO, L. E. A. M. Proliferar ou diferenciar? Perspectivas de destino das células-tronco. Jornal Brasileiro de Neurocirurgia, v. 16, n. 1, p. 13–19, 2005.</w:t>
      </w:r>
    </w:p>
    <w:p>
      <w:pPr>
        <w:pStyle w:val="Normal"/>
        <w:spacing w:lineRule="auto" w:line="319" w:before="60" w:after="60"/>
        <w:ind w:hanging="720" w:left="720"/>
        <w:jc w:val="both"/>
        <w:rPr>
          <w:lang w:val="en-US"/>
        </w:rPr>
      </w:pPr>
      <w:r>
        <w:rPr>
          <w:sz w:val="20"/>
          <w:szCs w:val="20"/>
          <w:lang w:val="en-US"/>
        </w:rPr>
        <w:t>SHARMA, S. K. et al. The prevention of discitis during discography. The Spine Journal, v. 9, n. 11, p. 936–943, 2009.</w:t>
      </w:r>
    </w:p>
    <w:p>
      <w:pPr>
        <w:pStyle w:val="Normal"/>
        <w:spacing w:lineRule="auto" w:line="319" w:before="60" w:after="60"/>
        <w:ind w:hanging="720" w:left="720"/>
        <w:jc w:val="both"/>
        <w:rPr>
          <w:lang w:val="en-US"/>
        </w:rPr>
      </w:pPr>
      <w:r>
        <w:rPr>
          <w:sz w:val="20"/>
          <w:szCs w:val="20"/>
          <w:lang w:val="en-US"/>
        </w:rPr>
        <w:t>SERIGANO, K. et al. Effect of cell number on mesenchymal stem cell transplantation in a canine disc degeneration model. Journal of Orthopaedic Research, v. 28, p. 1267–1275, 2010.</w:t>
      </w:r>
    </w:p>
    <w:p>
      <w:pPr>
        <w:pStyle w:val="Normal"/>
        <w:spacing w:lineRule="auto" w:line="319" w:before="60" w:after="60"/>
        <w:ind w:hanging="720" w:left="720"/>
        <w:jc w:val="both"/>
        <w:rPr>
          <w:lang w:val="en-US"/>
        </w:rPr>
      </w:pPr>
      <w:r>
        <w:rPr>
          <w:sz w:val="20"/>
          <w:szCs w:val="20"/>
          <w:lang w:val="en-US"/>
        </w:rPr>
        <w:t>SMITH, L. J. et al. Degeneration and regeneration of the intervertebral disc: lessons from development. Disease Models &amp; Mechanisms, v. 4, p. 31–41, 2011.</w:t>
      </w:r>
    </w:p>
    <w:p>
      <w:pPr>
        <w:pStyle w:val="Normal"/>
        <w:spacing w:lineRule="auto" w:line="319" w:before="60" w:after="60"/>
        <w:ind w:hanging="720" w:left="720"/>
        <w:jc w:val="both"/>
        <w:rPr>
          <w:lang w:val="en-US"/>
        </w:rPr>
      </w:pPr>
      <w:r>
        <w:rPr>
          <w:sz w:val="20"/>
          <w:szCs w:val="20"/>
          <w:lang w:val="en-US"/>
        </w:rPr>
        <w:t>SOBAJIMA, S. et al. Feasibility of a stem cell therapy for intervertebral disc degeneration. Spine Journal, v. 8, p. 888–896, 2008.</w:t>
      </w:r>
    </w:p>
    <w:p>
      <w:pPr>
        <w:pStyle w:val="Normal"/>
        <w:spacing w:lineRule="auto" w:line="319" w:before="60" w:after="60"/>
        <w:ind w:hanging="720" w:left="720"/>
        <w:jc w:val="both"/>
        <w:rPr>
          <w:lang w:val="en-US"/>
        </w:rPr>
      </w:pPr>
      <w:r>
        <w:rPr>
          <w:sz w:val="20"/>
          <w:szCs w:val="20"/>
          <w:lang w:val="en-US"/>
        </w:rPr>
        <w:t>SUGIMOTO, N.; ETO, K. Platelet production from induced pluripotent stem cells. Journal of Thrombosis and Haemostasis, v. 15, n. 9, p. 1717–1727, 2017.</w:t>
      </w:r>
    </w:p>
    <w:p>
      <w:pPr>
        <w:pStyle w:val="Normal"/>
        <w:spacing w:lineRule="auto" w:line="319" w:before="60" w:after="60"/>
        <w:ind w:hanging="720" w:left="720"/>
        <w:jc w:val="both"/>
        <w:rPr>
          <w:lang w:val="en-US"/>
        </w:rPr>
      </w:pPr>
      <w:r>
        <w:rPr>
          <w:sz w:val="20"/>
          <w:szCs w:val="20"/>
          <w:lang w:val="en-US"/>
        </w:rPr>
        <w:t>VADALÀ, G. et al. Intradiscal Mesenchymal Stromal Cell Therapy for the Treatment of Low Back Pain Due to Moderate-to-Advanced Multilevel Disc Degeneration: A Preliminary Report of a Double-Blind, Phase IIB Randomized Clinical Trial (DREAM Study). JOR Spine, v. 8, e70086, 2025. DOI: 10.1002/jsp2.70086.</w:t>
      </w:r>
    </w:p>
    <w:p>
      <w:pPr>
        <w:pStyle w:val="Normal"/>
        <w:spacing w:lineRule="auto" w:line="319" w:before="60" w:after="60"/>
        <w:ind w:hanging="720" w:left="720"/>
        <w:jc w:val="both"/>
        <w:rPr>
          <w:lang w:val="en-US"/>
        </w:rPr>
      </w:pPr>
      <w:r>
        <w:rPr>
          <w:sz w:val="20"/>
          <w:szCs w:val="20"/>
          <w:lang w:val="en-US"/>
        </w:rPr>
        <w:t>VADALA, G. et al. Mesenchymal stem cells injection in degenerated intervertebral disc: cell leakage may induce osteophyte formation. Journal of Tissue Engineering and Regenerative Medicine, v. 6, p. 348–355, 2012.</w:t>
      </w:r>
    </w:p>
    <w:p>
      <w:pPr>
        <w:pStyle w:val="Normal"/>
        <w:spacing w:lineRule="auto" w:line="319" w:before="60" w:after="60"/>
        <w:ind w:hanging="720" w:left="720"/>
        <w:jc w:val="both"/>
        <w:rPr>
          <w:lang w:val="en-US"/>
        </w:rPr>
      </w:pPr>
      <w:r>
        <w:rPr>
          <w:sz w:val="20"/>
          <w:szCs w:val="20"/>
          <w:lang w:val="en-US"/>
        </w:rPr>
        <w:t>WARE, J. E. et al. SF-36 Health Survey: Manual and Interpretation Guide. Boston: The Health Institute, New England Medical Center, 1993.</w:t>
      </w:r>
    </w:p>
    <w:p>
      <w:pPr>
        <w:pStyle w:val="Normal"/>
        <w:spacing w:lineRule="auto" w:line="319" w:before="60" w:after="60"/>
        <w:ind w:hanging="720" w:left="720"/>
        <w:jc w:val="both"/>
        <w:rPr>
          <w:lang w:val="en-US"/>
        </w:rPr>
      </w:pPr>
      <w:r>
        <w:rPr>
          <w:sz w:val="20"/>
          <w:szCs w:val="20"/>
          <w:lang w:val="en-US"/>
        </w:rPr>
        <w:t>YOSHIKAWA, T. et al. Disc regeneration therapy using marrow mesenchymal cell transplantation. Spine, v. 35, n. 11, p. E475–480, 2010.</w:t>
      </w:r>
    </w:p>
    <w:p>
      <w:pPr>
        <w:pStyle w:val="Normal"/>
        <w:spacing w:lineRule="auto" w:line="319" w:before="60" w:after="60"/>
        <w:ind w:hanging="720" w:left="720"/>
        <w:jc w:val="both"/>
        <w:rPr>
          <w:lang w:val="en-US"/>
        </w:rPr>
      </w:pPr>
      <w:r>
        <w:rPr>
          <w:sz w:val="20"/>
          <w:szCs w:val="20"/>
          <w:lang w:val="en-US"/>
        </w:rPr>
        <w:t>ZHANG, W. et al. Application of stem cells in the repair of intervertebral disc degeneration. Stem Cell Research &amp; Therapy, v. 13, p. 70, 2022.</w:t>
      </w:r>
    </w:p>
    <w:sectPr>
      <w:type w:val="nextPage"/>
      <w:pgSz w:w="11906" w:h="16838"/>
      <w:pgMar w:left="1701" w:right="1701" w:gutter="0" w:header="0" w:top="1701" w:footer="0" w:bottom="170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2"/>
    <w:lvlOverride w:ilvl="0">
      <w:startOverride w:val="1"/>
    </w:lvlOverride>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num>
  <w:num w:numId="28">
    <w:abstractNumId w:val="2"/>
  </w:num>
  <w:num w:numId="29">
    <w:abstractNumId w:val="2"/>
  </w:num>
  <w:num w:numId="30">
    <w:abstractNumId w:val="2"/>
  </w:num>
  <w:num w:numId="31">
    <w:abstractNumId w:val="2"/>
  </w:num>
  <w:num w:numId="32">
    <w:abstractNumId w:val="2"/>
  </w:num>
  <w:num w:numId="33">
    <w:abstractNumId w:val="2"/>
  </w:num>
  <w:num w:numId="34">
    <w:abstractNumId w:val="2"/>
  </w:num>
  <w:num w:numId="35">
    <w:abstractNumId w:val="2"/>
  </w:num>
  <w:num w:numId="36">
    <w:abstractNumId w:val="2"/>
  </w:num>
  <w:num w:numId="37">
    <w:abstractNumId w:val="2"/>
  </w:num>
  <w:num w:numId="38">
    <w:abstractNumId w:val="2"/>
  </w:num>
  <w:num w:numId="39">
    <w:abstractNumId w:val="2"/>
  </w:num>
  <w:num w:numId="40">
    <w:abstractNumId w:val="2"/>
  </w:num>
  <w:num w:numId="41">
    <w:abstractNumId w:val="2"/>
  </w:num>
  <w:num w:numId="42">
    <w:abstractNumId w:val="2"/>
  </w:num>
  <w:num w:numId="43">
    <w:abstractNumId w:val="2"/>
  </w:num>
  <w:num w:numId="44">
    <w:abstractNumId w:val="2"/>
  </w:num>
  <w:num w:numId="45">
    <w:abstractNumId w:val="2"/>
  </w:num>
  <w:num w:numId="46">
    <w:abstractNumId w:val="2"/>
  </w:num>
  <w:num w:numId="47">
    <w:abstractNumId w:val="2"/>
  </w:num>
  <w:num w:numId="48">
    <w:abstractNumId w:val="2"/>
  </w:num>
  <w:num w:numId="49">
    <w:abstractNumId w:val="2"/>
  </w:num>
  <w:num w:numId="50">
    <w:abstractNumId w:val="2"/>
  </w:num>
  <w:num w:numId="51">
    <w:abstractNumId w:val="2"/>
  </w:num>
  <w:num w:numId="52">
    <w:abstractNumId w:val="2"/>
  </w:num>
  <w:num w:numId="53">
    <w:abstractNumId w:val="2"/>
  </w:num>
  <w:num w:numId="54">
    <w:abstractNumId w:val="2"/>
  </w:num>
  <w:num w:numId="55">
    <w:abstractNumId w:val="2"/>
  </w:num>
  <w:num w:numId="56">
    <w:abstractNumId w:val="2"/>
  </w:num>
  <w:num w:numId="57">
    <w:abstractNumId w:val="2"/>
  </w:num>
  <w:num w:numId="58">
    <w:abstractNumId w:val="2"/>
  </w:num>
  <w:num w:numId="59">
    <w:abstractNumId w:val="2"/>
  </w:num>
  <w:num w:numId="60">
    <w:abstractNumId w:val="2"/>
  </w:num>
</w:numbering>
</file>

<file path=word/settings.xml><?xml version="1.0" encoding="utf-8"?>
<w:settings xmlns:w="http://schemas.openxmlformats.org/wordprocessingml/2006/main">
  <w:zoom w:percent="8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pt-BR" w:eastAsia="pt-B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Arial" w:hAnsi="Arial" w:eastAsia="Arial" w:cs="Arial"/>
      <w:color w:val="auto"/>
      <w:kern w:val="0"/>
      <w:sz w:val="22"/>
      <w:szCs w:val="22"/>
      <w:lang w:val="pt-BR" w:eastAsia="pt-BR" w:bidi="ar-SA"/>
    </w:rPr>
  </w:style>
  <w:style w:type="paragraph" w:styleId="Heading1">
    <w:name w:val="Heading 1"/>
    <w:uiPriority w:val="9"/>
    <w:qFormat/>
    <w:pPr>
      <w:widowControl/>
      <w:suppressAutoHyphens w:val="true"/>
      <w:bidi w:val="0"/>
      <w:spacing w:before="480" w:after="160"/>
      <w:jc w:val="left"/>
      <w:outlineLvl w:val="0"/>
    </w:pPr>
    <w:rPr>
      <w:rFonts w:ascii="Arial" w:hAnsi="Arial" w:eastAsia="Arial" w:cs="Arial"/>
      <w:b/>
      <w:bCs/>
      <w:color w:val="1F3864"/>
      <w:kern w:val="0"/>
      <w:sz w:val="28"/>
      <w:szCs w:val="28"/>
      <w:lang w:val="pt-BR" w:eastAsia="pt-BR" w:bidi="ar-SA"/>
    </w:rPr>
  </w:style>
  <w:style w:type="paragraph" w:styleId="Heading2">
    <w:name w:val="Heading 2"/>
    <w:uiPriority w:val="9"/>
    <w:unhideWhenUsed/>
    <w:qFormat/>
    <w:pPr>
      <w:widowControl/>
      <w:suppressAutoHyphens w:val="true"/>
      <w:bidi w:val="0"/>
      <w:spacing w:before="320" w:after="120"/>
      <w:jc w:val="left"/>
      <w:outlineLvl w:val="1"/>
    </w:pPr>
    <w:rPr>
      <w:rFonts w:ascii="Arial" w:hAnsi="Arial" w:eastAsia="Arial" w:cs="Arial"/>
      <w:b/>
      <w:bCs/>
      <w:color w:val="2E5D9E"/>
      <w:kern w:val="0"/>
      <w:sz w:val="24"/>
      <w:szCs w:val="24"/>
      <w:lang w:val="pt-BR" w:eastAsia="pt-BR" w:bidi="ar-SA"/>
    </w:rPr>
  </w:style>
  <w:style w:type="paragraph" w:styleId="Heading3">
    <w:name w:val="Heading 3"/>
    <w:uiPriority w:val="9"/>
    <w:unhideWhenUsed/>
    <w:qFormat/>
    <w:pPr>
      <w:widowControl/>
      <w:suppressAutoHyphens w:val="true"/>
      <w:bidi w:val="0"/>
      <w:spacing w:before="240" w:after="80"/>
      <w:jc w:val="left"/>
      <w:outlineLvl w:val="2"/>
    </w:pPr>
    <w:rPr>
      <w:rFonts w:ascii="Arial" w:hAnsi="Arial" w:eastAsia="Arial" w:cs="Arial"/>
      <w:b/>
      <w:bCs/>
      <w:color w:val="2E5D9E"/>
      <w:kern w:val="0"/>
      <w:sz w:val="22"/>
      <w:szCs w:val="22"/>
      <w:lang w:val="pt-BR" w:eastAsia="pt-BR" w:bidi="ar-SA"/>
    </w:rPr>
  </w:style>
  <w:style w:type="paragraph" w:styleId="Heading4">
    <w:name w:val="Heading 4"/>
    <w:uiPriority w:val="9"/>
    <w:semiHidden/>
    <w:unhideWhenUsed/>
    <w:qFormat/>
    <w:pPr>
      <w:widowControl/>
      <w:suppressAutoHyphens w:val="true"/>
      <w:bidi w:val="0"/>
      <w:spacing w:before="0" w:after="0"/>
      <w:jc w:val="left"/>
      <w:outlineLvl w:val="3"/>
    </w:pPr>
    <w:rPr>
      <w:rFonts w:ascii="Arial" w:hAnsi="Arial" w:eastAsia="Arial" w:cs="Arial"/>
      <w:i/>
      <w:iCs/>
      <w:color w:val="2E74B5"/>
      <w:kern w:val="0"/>
      <w:sz w:val="22"/>
      <w:szCs w:val="22"/>
      <w:lang w:val="pt-BR" w:eastAsia="pt-BR" w:bidi="ar-SA"/>
    </w:rPr>
  </w:style>
  <w:style w:type="paragraph" w:styleId="Heading5">
    <w:name w:val="Heading 5"/>
    <w:uiPriority w:val="9"/>
    <w:semiHidden/>
    <w:unhideWhenUsed/>
    <w:qFormat/>
    <w:pPr>
      <w:widowControl/>
      <w:suppressAutoHyphens w:val="true"/>
      <w:bidi w:val="0"/>
      <w:spacing w:before="0" w:after="0"/>
      <w:jc w:val="left"/>
      <w:outlineLvl w:val="4"/>
    </w:pPr>
    <w:rPr>
      <w:rFonts w:ascii="Arial" w:hAnsi="Arial" w:eastAsia="Arial" w:cs="Arial"/>
      <w:color w:val="2E74B5"/>
      <w:kern w:val="0"/>
      <w:sz w:val="22"/>
      <w:szCs w:val="22"/>
      <w:lang w:val="pt-BR" w:eastAsia="pt-BR" w:bidi="ar-SA"/>
    </w:rPr>
  </w:style>
  <w:style w:type="paragraph" w:styleId="Heading6">
    <w:name w:val="Heading 6"/>
    <w:uiPriority w:val="9"/>
    <w:semiHidden/>
    <w:unhideWhenUsed/>
    <w:qFormat/>
    <w:pPr>
      <w:widowControl/>
      <w:suppressAutoHyphens w:val="true"/>
      <w:bidi w:val="0"/>
      <w:spacing w:before="0" w:after="0"/>
      <w:jc w:val="left"/>
      <w:outlineLvl w:val="5"/>
    </w:pPr>
    <w:rPr>
      <w:rFonts w:ascii="Arial" w:hAnsi="Arial" w:eastAsia="Arial" w:cs="Arial"/>
      <w:color w:val="1F4D78"/>
      <w:kern w:val="0"/>
      <w:sz w:val="22"/>
      <w:szCs w:val="22"/>
      <w:lang w:val="pt-BR" w:eastAsia="pt-BR"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TextodenotaderodapChar" w:customStyle="1">
    <w:name w:val="Texto de nota de rodapé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TextodenotadefimChar" w:customStyle="1">
    <w:name w:val="Texto de nota de fim Char"/>
    <w:link w:val="EndnoteText"/>
    <w:uiPriority w:val="99"/>
    <w:semiHidden/>
    <w:unhideWhenUsed/>
    <w:qFormat/>
    <w:rPr>
      <w:sz w:val="20"/>
      <w:szCs w:val="20"/>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uiPriority w:val="10"/>
    <w:qFormat/>
    <w:pPr>
      <w:widowControl/>
      <w:suppressAutoHyphens w:val="true"/>
      <w:bidi w:val="0"/>
      <w:spacing w:before="0" w:after="0"/>
      <w:jc w:val="left"/>
    </w:pPr>
    <w:rPr>
      <w:rFonts w:ascii="Arial" w:hAnsi="Arial" w:eastAsia="Arial" w:cs="Arial"/>
      <w:color w:val="auto"/>
      <w:kern w:val="0"/>
      <w:sz w:val="56"/>
      <w:szCs w:val="56"/>
      <w:lang w:val="pt-BR" w:eastAsia="pt-BR" w:bidi="ar-SA"/>
    </w:rPr>
  </w:style>
  <w:style w:type="paragraph" w:styleId="Forte1" w:customStyle="1">
    <w:name w:val="Forte1"/>
    <w:qFormat/>
    <w:pPr>
      <w:widowControl/>
      <w:suppressAutoHyphens w:val="true"/>
      <w:bidi w:val="0"/>
      <w:spacing w:before="0" w:after="0"/>
      <w:jc w:val="left"/>
    </w:pPr>
    <w:rPr>
      <w:rFonts w:ascii="Arial" w:hAnsi="Arial" w:eastAsia="Arial" w:cs="Arial"/>
      <w:b/>
      <w:bCs/>
      <w:color w:val="auto"/>
      <w:kern w:val="0"/>
      <w:sz w:val="22"/>
      <w:szCs w:val="22"/>
      <w:lang w:val="pt-BR" w:eastAsia="pt-BR" w:bidi="ar-SA"/>
    </w:rPr>
  </w:style>
  <w:style w:type="paragraph" w:styleId="ListParagraph">
    <w:name w:val="List Paragraph"/>
    <w:qFormat/>
    <w:pPr>
      <w:widowControl/>
      <w:suppressAutoHyphens w:val="true"/>
      <w:bidi w:val="0"/>
      <w:spacing w:before="0" w:after="0"/>
      <w:jc w:val="left"/>
    </w:pPr>
    <w:rPr>
      <w:rFonts w:ascii="Arial" w:hAnsi="Arial" w:eastAsia="Arial" w:cs="Arial"/>
      <w:color w:val="auto"/>
      <w:kern w:val="0"/>
      <w:sz w:val="22"/>
      <w:szCs w:val="22"/>
      <w:lang w:val="pt-BR" w:eastAsia="pt-BR" w:bidi="ar-SA"/>
    </w:rPr>
  </w:style>
  <w:style w:type="paragraph" w:styleId="FootnoteText">
    <w:name w:val="Footnote Text"/>
    <w:link w:val="TextodenotaderodapChar"/>
    <w:uiPriority w:val="99"/>
    <w:semiHidden/>
    <w:unhideWhenUsed/>
    <w:pPr>
      <w:widowControl/>
      <w:suppressAutoHyphens w:val="true"/>
      <w:bidi w:val="0"/>
      <w:spacing w:before="0" w:after="0"/>
      <w:jc w:val="left"/>
    </w:pPr>
    <w:rPr>
      <w:rFonts w:ascii="Arial" w:hAnsi="Arial" w:eastAsia="Arial" w:cs="Arial"/>
      <w:color w:val="auto"/>
      <w:kern w:val="0"/>
      <w:sz w:val="20"/>
      <w:szCs w:val="20"/>
      <w:lang w:val="pt-BR" w:eastAsia="pt-BR" w:bidi="ar-SA"/>
    </w:rPr>
  </w:style>
  <w:style w:type="paragraph" w:styleId="EndnoteText">
    <w:name w:val="Endnote Text"/>
    <w:link w:val="TextodenotadefimChar"/>
    <w:uiPriority w:val="99"/>
    <w:semiHidden/>
    <w:unhideWhenUsed/>
    <w:pPr>
      <w:widowControl/>
      <w:suppressAutoHyphens w:val="true"/>
      <w:bidi w:val="0"/>
      <w:spacing w:before="0" w:after="0"/>
      <w:jc w:val="left"/>
    </w:pPr>
    <w:rPr>
      <w:rFonts w:ascii="Arial" w:hAnsi="Arial" w:eastAsia="Arial" w:cs="Arial"/>
      <w:color w:val="auto"/>
      <w:kern w:val="0"/>
      <w:sz w:val="20"/>
      <w:szCs w:val="20"/>
      <w:lang w:val="pt-BR" w:eastAsia="pt-BR" w:bidi="ar-SA"/>
    </w:rPr>
  </w:style>
  <w:style w:type="numbering" w:styleId="NoList" w:default="1">
    <w:name w:val="No List"/>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o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TotalTime>
  <Application>LibreOffice/24.2.7.2$Linux_X86_64 LibreOffice_project/420$Build-2</Application>
  <AppVersion>15.0000</AppVersion>
  <Pages>22</Pages>
  <Words>826</Words>
  <Characters>4396</Characters>
  <CharactersWithSpaces>5171</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2026-05-14T20:21:00Z</dcterms:created>
  <dc:creator>Un-named</dc:creator>
  <dc:description/>
  <dc:language>en-US</dc:language>
  <cp:lastModifiedBy/>
  <dcterms:modified xsi:type="dcterms:W3CDTF">2026-07-15T02:39:28Z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