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1BBD6" w14:textId="1D63C8C2" w:rsidR="00DC34E6" w:rsidRDefault="00DC34E6">
      <w:pPr>
        <w:pBdr>
          <w:top w:val="nil"/>
          <w:left w:val="nil"/>
          <w:bottom w:val="nil"/>
          <w:right w:val="nil"/>
          <w:between w:val="nil"/>
        </w:pBdr>
        <w:spacing w:line="360" w:lineRule="auto"/>
        <w:ind w:left="0" w:hanging="2"/>
        <w:jc w:val="both"/>
        <w:rPr>
          <w:rFonts w:ascii="Arial" w:eastAsia="Arial" w:hAnsi="Arial" w:cs="Arial"/>
          <w:color w:val="000000"/>
        </w:rPr>
      </w:pPr>
    </w:p>
    <w:p w14:paraId="0E9FD1D1" w14:textId="77777777" w:rsidR="00DC34E6" w:rsidRDefault="00DC34E6">
      <w:pPr>
        <w:pBdr>
          <w:top w:val="nil"/>
          <w:left w:val="nil"/>
          <w:bottom w:val="nil"/>
          <w:right w:val="nil"/>
          <w:between w:val="nil"/>
        </w:pBdr>
        <w:spacing w:line="360" w:lineRule="auto"/>
        <w:ind w:left="0" w:hanging="2"/>
        <w:rPr>
          <w:rFonts w:ascii="Arial" w:eastAsia="Arial" w:hAnsi="Arial" w:cs="Arial"/>
          <w:color w:val="000000"/>
        </w:rPr>
      </w:pPr>
    </w:p>
    <w:p w14:paraId="244106EF" w14:textId="77777777" w:rsidR="00DC34E6" w:rsidRDefault="008C58E3">
      <w:pPr>
        <w:pBdr>
          <w:top w:val="nil"/>
          <w:left w:val="nil"/>
          <w:bottom w:val="nil"/>
          <w:right w:val="nil"/>
          <w:between w:val="nil"/>
        </w:pBdr>
        <w:spacing w:line="360" w:lineRule="auto"/>
        <w:ind w:left="0" w:hanging="2"/>
        <w:jc w:val="center"/>
        <w:rPr>
          <w:rFonts w:ascii="Arial" w:eastAsia="Arial" w:hAnsi="Arial" w:cs="Arial"/>
          <w:color w:val="000000"/>
        </w:rPr>
      </w:pPr>
      <w:r>
        <w:rPr>
          <w:rFonts w:ascii="Arial" w:eastAsia="Arial" w:hAnsi="Arial" w:cs="Arial"/>
          <w:color w:val="000000"/>
        </w:rPr>
        <w:t>MINISTÉRIO DA SAÚDE</w:t>
      </w:r>
    </w:p>
    <w:p w14:paraId="6DB3C7A7" w14:textId="77777777" w:rsidR="00DC34E6" w:rsidRDefault="008C58E3">
      <w:pPr>
        <w:pBdr>
          <w:top w:val="nil"/>
          <w:left w:val="nil"/>
          <w:bottom w:val="nil"/>
          <w:right w:val="nil"/>
          <w:between w:val="nil"/>
        </w:pBdr>
        <w:spacing w:line="360" w:lineRule="auto"/>
        <w:ind w:left="0" w:hanging="2"/>
        <w:jc w:val="center"/>
        <w:rPr>
          <w:rFonts w:ascii="Arial" w:eastAsia="Arial" w:hAnsi="Arial" w:cs="Arial"/>
          <w:color w:val="000000"/>
        </w:rPr>
      </w:pPr>
      <w:r>
        <w:rPr>
          <w:rFonts w:ascii="Arial" w:eastAsia="Arial" w:hAnsi="Arial" w:cs="Arial"/>
          <w:color w:val="000000"/>
        </w:rPr>
        <w:t>SECRETARIA DE ATENÇÃO ESPECIALIZADA À SAÚDE</w:t>
      </w:r>
    </w:p>
    <w:p w14:paraId="24FF40CA" w14:textId="77777777" w:rsidR="00DC34E6" w:rsidRDefault="008C58E3">
      <w:pPr>
        <w:pBdr>
          <w:top w:val="nil"/>
          <w:left w:val="nil"/>
          <w:bottom w:val="nil"/>
          <w:right w:val="nil"/>
          <w:between w:val="nil"/>
        </w:pBdr>
        <w:spacing w:line="360" w:lineRule="auto"/>
        <w:ind w:left="0" w:hanging="2"/>
        <w:jc w:val="center"/>
        <w:rPr>
          <w:rFonts w:ascii="Arial" w:eastAsia="Arial" w:hAnsi="Arial" w:cs="Arial"/>
          <w:color w:val="000000"/>
        </w:rPr>
      </w:pPr>
      <w:r>
        <w:rPr>
          <w:rFonts w:ascii="Arial" w:eastAsia="Arial" w:hAnsi="Arial" w:cs="Arial"/>
          <w:color w:val="000000"/>
        </w:rPr>
        <w:t>INSTITUTO NACIONAL DE TRAUMATOLOGIA E ORTOPEDIA JAMIL HADDAD</w:t>
      </w:r>
    </w:p>
    <w:p w14:paraId="6F65473E" w14:textId="77777777" w:rsidR="00DC34E6" w:rsidRDefault="00DC34E6">
      <w:pPr>
        <w:spacing w:line="360" w:lineRule="auto"/>
        <w:ind w:left="0" w:hanging="2"/>
        <w:rPr>
          <w:rFonts w:ascii="Arial" w:eastAsia="Arial" w:hAnsi="Arial" w:cs="Arial"/>
        </w:rPr>
      </w:pPr>
    </w:p>
    <w:p w14:paraId="1B6B08C4" w14:textId="77777777" w:rsidR="00DC34E6" w:rsidRDefault="00DC34E6">
      <w:pPr>
        <w:spacing w:line="360" w:lineRule="auto"/>
        <w:ind w:left="0" w:hanging="2"/>
        <w:rPr>
          <w:rFonts w:ascii="Arial" w:eastAsia="Arial" w:hAnsi="Arial" w:cs="Arial"/>
        </w:rPr>
      </w:pPr>
    </w:p>
    <w:p w14:paraId="743C08C3" w14:textId="77777777" w:rsidR="00DC34E6" w:rsidRDefault="00DC34E6">
      <w:pPr>
        <w:spacing w:line="360" w:lineRule="auto"/>
        <w:ind w:left="0" w:hanging="2"/>
        <w:jc w:val="both"/>
        <w:rPr>
          <w:rFonts w:ascii="Arial" w:eastAsia="Arial" w:hAnsi="Arial" w:cs="Arial"/>
        </w:rPr>
      </w:pPr>
    </w:p>
    <w:p w14:paraId="3E291E92" w14:textId="77777777" w:rsidR="00DC34E6" w:rsidRDefault="00DC34E6">
      <w:pPr>
        <w:spacing w:line="360" w:lineRule="auto"/>
        <w:ind w:left="0" w:hanging="2"/>
        <w:jc w:val="both"/>
        <w:rPr>
          <w:rFonts w:ascii="Arial" w:eastAsia="Arial" w:hAnsi="Arial" w:cs="Arial"/>
        </w:rPr>
      </w:pPr>
    </w:p>
    <w:p w14:paraId="4A869916" w14:textId="77777777" w:rsidR="00DC34E6" w:rsidRDefault="00DC34E6">
      <w:pPr>
        <w:spacing w:line="360" w:lineRule="auto"/>
        <w:ind w:left="0" w:hanging="2"/>
        <w:jc w:val="both"/>
        <w:rPr>
          <w:rFonts w:ascii="Arial" w:eastAsia="Arial" w:hAnsi="Arial" w:cs="Arial"/>
        </w:rPr>
      </w:pPr>
    </w:p>
    <w:p w14:paraId="28ABB6DD" w14:textId="77777777" w:rsidR="00DC34E6" w:rsidRDefault="00DC34E6">
      <w:pPr>
        <w:spacing w:line="360" w:lineRule="auto"/>
        <w:ind w:left="0" w:hanging="2"/>
        <w:jc w:val="both"/>
        <w:rPr>
          <w:rFonts w:ascii="Arial" w:eastAsia="Arial" w:hAnsi="Arial" w:cs="Arial"/>
        </w:rPr>
      </w:pPr>
    </w:p>
    <w:p w14:paraId="5E92F5E7" w14:textId="77777777" w:rsidR="00DC34E6" w:rsidRDefault="008C58E3">
      <w:pPr>
        <w:spacing w:line="360" w:lineRule="auto"/>
        <w:ind w:left="0" w:hanging="2"/>
        <w:jc w:val="center"/>
        <w:rPr>
          <w:rFonts w:ascii="Arial" w:eastAsia="Arial" w:hAnsi="Arial" w:cs="Arial"/>
        </w:rPr>
      </w:pPr>
      <w:r>
        <w:rPr>
          <w:rFonts w:ascii="Arial" w:eastAsia="Arial" w:hAnsi="Arial" w:cs="Arial"/>
        </w:rPr>
        <w:t>PROLOTERAPIA NO TRATAMENTO DA OSTEOARTRITE DO JOELHO</w:t>
      </w:r>
    </w:p>
    <w:p w14:paraId="46F092E8" w14:textId="77777777" w:rsidR="00DC34E6" w:rsidRDefault="00DC34E6">
      <w:pPr>
        <w:spacing w:line="360" w:lineRule="auto"/>
        <w:ind w:left="0" w:hanging="2"/>
        <w:jc w:val="both"/>
        <w:rPr>
          <w:rFonts w:ascii="Arial" w:eastAsia="Arial" w:hAnsi="Arial" w:cs="Arial"/>
        </w:rPr>
      </w:pPr>
    </w:p>
    <w:p w14:paraId="1640AF04" w14:textId="77777777" w:rsidR="00DC34E6" w:rsidRDefault="00DC34E6">
      <w:pPr>
        <w:spacing w:line="360" w:lineRule="auto"/>
        <w:ind w:left="0" w:hanging="2"/>
        <w:jc w:val="both"/>
        <w:rPr>
          <w:rFonts w:ascii="Arial" w:eastAsia="Arial" w:hAnsi="Arial" w:cs="Arial"/>
        </w:rPr>
      </w:pPr>
    </w:p>
    <w:p w14:paraId="4A86F309" w14:textId="77777777" w:rsidR="00DC34E6" w:rsidRDefault="00DC34E6">
      <w:pPr>
        <w:spacing w:line="360" w:lineRule="auto"/>
        <w:ind w:left="0" w:hanging="2"/>
        <w:jc w:val="both"/>
        <w:rPr>
          <w:rFonts w:ascii="Arial" w:eastAsia="Arial" w:hAnsi="Arial" w:cs="Arial"/>
        </w:rPr>
      </w:pPr>
    </w:p>
    <w:p w14:paraId="36267E28" w14:textId="77777777" w:rsidR="00DC34E6" w:rsidRDefault="00DC34E6">
      <w:pPr>
        <w:spacing w:line="360" w:lineRule="auto"/>
        <w:ind w:left="0" w:hanging="2"/>
        <w:jc w:val="both"/>
        <w:rPr>
          <w:rFonts w:ascii="Arial" w:eastAsia="Arial" w:hAnsi="Arial" w:cs="Arial"/>
        </w:rPr>
      </w:pPr>
    </w:p>
    <w:p w14:paraId="7DC28EDB" w14:textId="77777777" w:rsidR="00DC34E6" w:rsidRDefault="00DC34E6">
      <w:pPr>
        <w:spacing w:line="360" w:lineRule="auto"/>
        <w:ind w:left="0" w:hanging="2"/>
        <w:jc w:val="both"/>
        <w:rPr>
          <w:rFonts w:ascii="Arial" w:eastAsia="Arial" w:hAnsi="Arial" w:cs="Arial"/>
        </w:rPr>
      </w:pPr>
    </w:p>
    <w:p w14:paraId="2BEF6EF5" w14:textId="77777777" w:rsidR="00DC34E6" w:rsidRDefault="00DC34E6">
      <w:pPr>
        <w:spacing w:line="360" w:lineRule="auto"/>
        <w:ind w:left="0" w:hanging="2"/>
        <w:jc w:val="both"/>
        <w:rPr>
          <w:rFonts w:ascii="Arial" w:eastAsia="Arial" w:hAnsi="Arial" w:cs="Arial"/>
        </w:rPr>
      </w:pPr>
    </w:p>
    <w:p w14:paraId="1B80692D" w14:textId="77777777" w:rsidR="00DC34E6" w:rsidRDefault="008C58E3">
      <w:pPr>
        <w:tabs>
          <w:tab w:val="left" w:pos="7088"/>
          <w:tab w:val="left" w:pos="7230"/>
        </w:tabs>
        <w:spacing w:line="360" w:lineRule="auto"/>
        <w:ind w:left="0" w:hanging="2"/>
        <w:jc w:val="both"/>
        <w:rPr>
          <w:rFonts w:ascii="Arial" w:eastAsia="Arial" w:hAnsi="Arial" w:cs="Arial"/>
        </w:rPr>
      </w:pPr>
      <w:r>
        <w:rPr>
          <w:rFonts w:ascii="Arial" w:eastAsia="Arial" w:hAnsi="Arial" w:cs="Arial"/>
          <w:b/>
        </w:rPr>
        <w:t>PESQUISADOR RESPONSÁVEL</w:t>
      </w:r>
      <w:r>
        <w:rPr>
          <w:rFonts w:ascii="Arial" w:eastAsia="Arial" w:hAnsi="Arial" w:cs="Arial"/>
        </w:rPr>
        <w:t xml:space="preserve">: </w:t>
      </w:r>
    </w:p>
    <w:p w14:paraId="284F915B" w14:textId="77777777" w:rsidR="00DC34E6" w:rsidRDefault="008C58E3">
      <w:pPr>
        <w:tabs>
          <w:tab w:val="left" w:pos="7088"/>
          <w:tab w:val="left" w:pos="7230"/>
        </w:tabs>
        <w:spacing w:line="360" w:lineRule="auto"/>
        <w:ind w:left="0" w:hanging="2"/>
        <w:jc w:val="both"/>
        <w:rPr>
          <w:rFonts w:ascii="Arial" w:eastAsia="Arial" w:hAnsi="Arial" w:cs="Arial"/>
        </w:rPr>
      </w:pPr>
      <w:r>
        <w:rPr>
          <w:rFonts w:ascii="Arial" w:eastAsia="Arial" w:hAnsi="Arial" w:cs="Arial"/>
        </w:rPr>
        <w:t>José Leonardo Rocha de Faria</w:t>
      </w:r>
    </w:p>
    <w:p w14:paraId="0F8817C5" w14:textId="77777777" w:rsidR="00DC34E6" w:rsidRDefault="00DC34E6">
      <w:pPr>
        <w:tabs>
          <w:tab w:val="left" w:pos="7088"/>
          <w:tab w:val="left" w:pos="7230"/>
        </w:tabs>
        <w:spacing w:line="360" w:lineRule="auto"/>
        <w:ind w:left="0" w:hanging="2"/>
        <w:jc w:val="both"/>
        <w:rPr>
          <w:rFonts w:ascii="Arial" w:eastAsia="Arial" w:hAnsi="Arial" w:cs="Arial"/>
        </w:rPr>
      </w:pPr>
    </w:p>
    <w:p w14:paraId="73048D85" w14:textId="77777777" w:rsidR="00DC34E6" w:rsidRDefault="008C58E3">
      <w:pPr>
        <w:tabs>
          <w:tab w:val="left" w:pos="4918"/>
          <w:tab w:val="left" w:pos="5352"/>
        </w:tabs>
        <w:spacing w:line="360" w:lineRule="auto"/>
        <w:ind w:left="0" w:hanging="2"/>
        <w:jc w:val="both"/>
        <w:rPr>
          <w:rFonts w:ascii="Arial" w:eastAsia="Arial" w:hAnsi="Arial" w:cs="Arial"/>
        </w:rPr>
      </w:pPr>
      <w:r>
        <w:rPr>
          <w:rFonts w:ascii="Arial" w:eastAsia="Arial" w:hAnsi="Arial" w:cs="Arial"/>
        </w:rPr>
        <w:tab/>
      </w:r>
    </w:p>
    <w:p w14:paraId="10B626EC" w14:textId="77777777" w:rsidR="00DC34E6" w:rsidRDefault="00DC34E6">
      <w:pPr>
        <w:tabs>
          <w:tab w:val="left" w:pos="4918"/>
          <w:tab w:val="left" w:pos="5352"/>
        </w:tabs>
        <w:spacing w:line="360" w:lineRule="auto"/>
        <w:ind w:left="0" w:hanging="2"/>
        <w:jc w:val="both"/>
        <w:rPr>
          <w:rFonts w:ascii="Arial" w:eastAsia="Arial" w:hAnsi="Arial" w:cs="Arial"/>
        </w:rPr>
      </w:pPr>
    </w:p>
    <w:p w14:paraId="36FFEC19" w14:textId="77777777" w:rsidR="00DC34E6" w:rsidRDefault="00DC34E6">
      <w:pPr>
        <w:tabs>
          <w:tab w:val="left" w:pos="4918"/>
          <w:tab w:val="left" w:pos="5352"/>
        </w:tabs>
        <w:spacing w:line="360" w:lineRule="auto"/>
        <w:ind w:left="0" w:hanging="2"/>
        <w:jc w:val="both"/>
        <w:rPr>
          <w:rFonts w:ascii="Arial" w:eastAsia="Arial" w:hAnsi="Arial" w:cs="Arial"/>
        </w:rPr>
      </w:pPr>
    </w:p>
    <w:p w14:paraId="1311560C" w14:textId="77777777" w:rsidR="00DC34E6" w:rsidRDefault="00DC34E6">
      <w:pPr>
        <w:tabs>
          <w:tab w:val="left" w:pos="4918"/>
          <w:tab w:val="left" w:pos="5352"/>
        </w:tabs>
        <w:spacing w:line="360" w:lineRule="auto"/>
        <w:ind w:left="0" w:hanging="2"/>
        <w:jc w:val="center"/>
        <w:rPr>
          <w:rFonts w:ascii="Arial" w:eastAsia="Arial" w:hAnsi="Arial" w:cs="Arial"/>
        </w:rPr>
      </w:pPr>
    </w:p>
    <w:p w14:paraId="1B1ED178" w14:textId="77777777" w:rsidR="00DC34E6" w:rsidRDefault="008C58E3">
      <w:pPr>
        <w:spacing w:line="360" w:lineRule="auto"/>
        <w:ind w:left="0" w:hanging="2"/>
        <w:jc w:val="both"/>
        <w:rPr>
          <w:rFonts w:ascii="Arial" w:eastAsia="Arial" w:hAnsi="Arial" w:cs="Arial"/>
        </w:rPr>
      </w:pPr>
      <w:r>
        <w:rPr>
          <w:rFonts w:ascii="Arial" w:eastAsia="Arial" w:hAnsi="Arial" w:cs="Arial"/>
          <w:b/>
        </w:rPr>
        <w:t>ORIENTADOR</w:t>
      </w:r>
      <w:r>
        <w:rPr>
          <w:rFonts w:ascii="Arial" w:eastAsia="Arial" w:hAnsi="Arial" w:cs="Arial"/>
        </w:rPr>
        <w:t>: Eduardo Branco de Sousa</w:t>
      </w:r>
    </w:p>
    <w:p w14:paraId="7FD8F73F" w14:textId="019387AE" w:rsidR="00DC34E6" w:rsidRDefault="00DC34E6">
      <w:pPr>
        <w:spacing w:line="360" w:lineRule="auto"/>
        <w:ind w:left="0" w:hanging="2"/>
        <w:jc w:val="both"/>
        <w:rPr>
          <w:rFonts w:ascii="Arial" w:eastAsia="Arial" w:hAnsi="Arial" w:cs="Arial"/>
          <w:b/>
        </w:rPr>
      </w:pPr>
    </w:p>
    <w:p w14:paraId="13C8E266" w14:textId="77777777" w:rsidR="001D6ED9" w:rsidRDefault="001D6ED9">
      <w:pPr>
        <w:spacing w:line="360" w:lineRule="auto"/>
        <w:ind w:left="0" w:hanging="2"/>
        <w:jc w:val="both"/>
        <w:rPr>
          <w:rFonts w:ascii="Arial" w:eastAsia="Arial" w:hAnsi="Arial" w:cs="Arial"/>
        </w:rPr>
      </w:pPr>
    </w:p>
    <w:p w14:paraId="419235E8" w14:textId="77777777" w:rsidR="00DC34E6" w:rsidRDefault="00DC34E6">
      <w:pPr>
        <w:spacing w:line="360" w:lineRule="auto"/>
        <w:ind w:left="0" w:hanging="2"/>
        <w:jc w:val="both"/>
        <w:rPr>
          <w:rFonts w:ascii="Arial" w:eastAsia="Arial" w:hAnsi="Arial" w:cs="Arial"/>
        </w:rPr>
      </w:pPr>
    </w:p>
    <w:p w14:paraId="212ACF3D" w14:textId="77777777" w:rsidR="00DC34E6" w:rsidRDefault="00DC34E6">
      <w:pPr>
        <w:spacing w:line="360" w:lineRule="auto"/>
        <w:ind w:left="0" w:hanging="2"/>
        <w:jc w:val="both"/>
        <w:rPr>
          <w:rFonts w:ascii="Arial" w:eastAsia="Arial" w:hAnsi="Arial" w:cs="Arial"/>
        </w:rPr>
      </w:pPr>
    </w:p>
    <w:p w14:paraId="025D155B" w14:textId="77777777" w:rsidR="00DC34E6" w:rsidRDefault="00DC34E6">
      <w:pPr>
        <w:spacing w:line="360" w:lineRule="auto"/>
        <w:ind w:left="0" w:hanging="2"/>
        <w:jc w:val="both"/>
        <w:rPr>
          <w:rFonts w:ascii="Arial" w:eastAsia="Arial" w:hAnsi="Arial" w:cs="Arial"/>
        </w:rPr>
      </w:pPr>
    </w:p>
    <w:p w14:paraId="4808EE65" w14:textId="77777777" w:rsidR="00DC34E6" w:rsidRDefault="008C58E3">
      <w:pPr>
        <w:spacing w:line="360" w:lineRule="auto"/>
        <w:ind w:left="0" w:hanging="2"/>
        <w:jc w:val="center"/>
        <w:rPr>
          <w:rFonts w:ascii="Arial" w:eastAsia="Arial" w:hAnsi="Arial" w:cs="Arial"/>
        </w:rPr>
      </w:pPr>
      <w:r>
        <w:rPr>
          <w:rFonts w:ascii="Arial" w:eastAsia="Arial" w:hAnsi="Arial" w:cs="Arial"/>
        </w:rPr>
        <w:t>Rio de Janeiro</w:t>
      </w:r>
    </w:p>
    <w:p w14:paraId="19AE6439" w14:textId="1A9A4C50" w:rsidR="00DC34E6" w:rsidRDefault="008C58E3">
      <w:pPr>
        <w:spacing w:line="360" w:lineRule="auto"/>
        <w:ind w:left="0" w:hanging="2"/>
        <w:jc w:val="center"/>
        <w:rPr>
          <w:rFonts w:ascii="Arial" w:eastAsia="Arial" w:hAnsi="Arial" w:cs="Arial"/>
        </w:rPr>
      </w:pPr>
      <w:r>
        <w:rPr>
          <w:rFonts w:ascii="Arial" w:eastAsia="Arial" w:hAnsi="Arial" w:cs="Arial"/>
        </w:rPr>
        <w:t>202</w:t>
      </w:r>
      <w:r w:rsidR="00CA2642">
        <w:rPr>
          <w:rFonts w:ascii="Arial" w:eastAsia="Arial" w:hAnsi="Arial" w:cs="Arial"/>
        </w:rPr>
        <w:t>3</w:t>
      </w:r>
    </w:p>
    <w:p w14:paraId="5247ACC8" w14:textId="77777777" w:rsidR="00DC34E6" w:rsidRDefault="00DC34E6">
      <w:pPr>
        <w:spacing w:line="360" w:lineRule="auto"/>
        <w:ind w:left="0" w:hanging="2"/>
        <w:jc w:val="center"/>
        <w:rPr>
          <w:rFonts w:ascii="Arial" w:eastAsia="Arial" w:hAnsi="Arial" w:cs="Arial"/>
        </w:rPr>
      </w:pPr>
    </w:p>
    <w:p w14:paraId="22BC58D6" w14:textId="77777777" w:rsidR="00DC34E6" w:rsidRDefault="008C58E3">
      <w:pPr>
        <w:tabs>
          <w:tab w:val="left" w:pos="1155"/>
        </w:tabs>
        <w:spacing w:line="360" w:lineRule="auto"/>
        <w:ind w:left="0" w:hanging="2"/>
        <w:jc w:val="both"/>
        <w:rPr>
          <w:rFonts w:ascii="Arial" w:eastAsia="Arial" w:hAnsi="Arial" w:cs="Arial"/>
          <w:b/>
        </w:rPr>
      </w:pPr>
      <w:r>
        <w:rPr>
          <w:rFonts w:ascii="Arial" w:eastAsia="Arial" w:hAnsi="Arial" w:cs="Arial"/>
          <w:b/>
        </w:rPr>
        <w:t>RESUMO:</w:t>
      </w:r>
    </w:p>
    <w:p w14:paraId="2EA8DDF7" w14:textId="77777777" w:rsidR="00DC34E6" w:rsidRDefault="00DC34E6">
      <w:pPr>
        <w:tabs>
          <w:tab w:val="left" w:pos="1155"/>
        </w:tabs>
        <w:spacing w:line="360" w:lineRule="auto"/>
        <w:ind w:left="0" w:hanging="2"/>
        <w:jc w:val="both"/>
        <w:rPr>
          <w:rFonts w:ascii="Arial" w:eastAsia="Arial" w:hAnsi="Arial" w:cs="Arial"/>
          <w:b/>
        </w:rPr>
      </w:pPr>
    </w:p>
    <w:p w14:paraId="1F580681" w14:textId="77777777" w:rsidR="00DC34E6" w:rsidRDefault="008C58E3">
      <w:pPr>
        <w:tabs>
          <w:tab w:val="left" w:pos="1155"/>
        </w:tabs>
        <w:spacing w:line="360" w:lineRule="auto"/>
        <w:ind w:left="0" w:hanging="2"/>
        <w:jc w:val="both"/>
        <w:rPr>
          <w:rFonts w:ascii="Arial" w:eastAsia="Arial" w:hAnsi="Arial" w:cs="Arial"/>
        </w:rPr>
      </w:pPr>
      <w:r>
        <w:rPr>
          <w:rFonts w:ascii="Arial" w:eastAsia="Arial" w:hAnsi="Arial" w:cs="Arial"/>
        </w:rPr>
        <w:t xml:space="preserve">A osteoartrite do joelho se manifesta primeiramente como um desarranjo molecular seguido de alterações anatômicas e/ou fisiológicas (caracterizadas por degradação da cartilagem, remodelamento ósseo, formação de </w:t>
      </w:r>
      <w:proofErr w:type="spellStart"/>
      <w:r>
        <w:rPr>
          <w:rFonts w:ascii="Arial" w:eastAsia="Arial" w:hAnsi="Arial" w:cs="Arial"/>
        </w:rPr>
        <w:t>osteófitos</w:t>
      </w:r>
      <w:proofErr w:type="spellEnd"/>
      <w:r>
        <w:rPr>
          <w:rFonts w:ascii="Arial" w:eastAsia="Arial" w:hAnsi="Arial" w:cs="Arial"/>
        </w:rPr>
        <w:t>, inflamação e perda da função articular normal). O tratamento conservador da osteoartrite deve ser a primeira abordagem ao paciente com essa doença.</w:t>
      </w:r>
    </w:p>
    <w:p w14:paraId="0EFE3811" w14:textId="2353F30A" w:rsidR="00DC34E6" w:rsidRDefault="008C58E3">
      <w:pPr>
        <w:tabs>
          <w:tab w:val="left" w:pos="1155"/>
        </w:tabs>
        <w:spacing w:line="360" w:lineRule="auto"/>
        <w:ind w:left="0" w:hanging="2"/>
        <w:jc w:val="both"/>
        <w:rPr>
          <w:rFonts w:ascii="Arial" w:eastAsia="Arial" w:hAnsi="Arial" w:cs="Arial"/>
        </w:rPr>
      </w:pPr>
      <w:r>
        <w:rPr>
          <w:rFonts w:ascii="Arial" w:eastAsia="Arial" w:hAnsi="Arial" w:cs="Arial"/>
        </w:rPr>
        <w:t xml:space="preserve">O objetivo deste estudo é comparar os resultados clínicos da infiltração com ácido hialurônico e da </w:t>
      </w:r>
      <w:proofErr w:type="spellStart"/>
      <w:r>
        <w:rPr>
          <w:rFonts w:ascii="Arial" w:eastAsia="Arial" w:hAnsi="Arial" w:cs="Arial"/>
        </w:rPr>
        <w:t>proloterapia</w:t>
      </w:r>
      <w:proofErr w:type="spellEnd"/>
      <w:r>
        <w:rPr>
          <w:rFonts w:ascii="Arial" w:eastAsia="Arial" w:hAnsi="Arial" w:cs="Arial"/>
        </w:rPr>
        <w:t xml:space="preserve"> no tratamento conservador da osteoartrite leve a moderada do joelho. Além disso, pretende-se padronizar o protocolo de tratamento com </w:t>
      </w:r>
      <w:proofErr w:type="spellStart"/>
      <w:r>
        <w:rPr>
          <w:rFonts w:ascii="Arial" w:eastAsia="Arial" w:hAnsi="Arial" w:cs="Arial"/>
        </w:rPr>
        <w:t>proloterapia</w:t>
      </w:r>
      <w:proofErr w:type="spellEnd"/>
      <w:r>
        <w:rPr>
          <w:rFonts w:ascii="Arial" w:eastAsia="Arial" w:hAnsi="Arial" w:cs="Arial"/>
        </w:rPr>
        <w:t xml:space="preserve"> para uso no tratamento da OA leve a moderada do joelho. Serão selecionados 60 pacientes com osteoartrite do joelho em tratamento no ambulatório do Programa de Acompanhamento e Tratamento da Osteoartrite (PACTO) do joelho do INTO que, após a aplicação dos critérios de inclusão e exclusão serão divididos em dois grupos (tratamento com ácido hialurônico ou </w:t>
      </w:r>
      <w:proofErr w:type="spellStart"/>
      <w:r>
        <w:rPr>
          <w:rFonts w:ascii="Arial" w:eastAsia="Arial" w:hAnsi="Arial" w:cs="Arial"/>
        </w:rPr>
        <w:t>proloterapia</w:t>
      </w:r>
      <w:proofErr w:type="spellEnd"/>
      <w:r>
        <w:rPr>
          <w:rFonts w:ascii="Arial" w:eastAsia="Arial" w:hAnsi="Arial" w:cs="Arial"/>
        </w:rPr>
        <w:t>). A avaliação consistirá em avaliação funcional subjetiva, avaliação clínica e radiográfica antes da aplicação, um mês, três meses, seis meses e doze meses após a aplicação.</w:t>
      </w:r>
    </w:p>
    <w:p w14:paraId="49B9964D" w14:textId="77777777" w:rsidR="00DC34E6" w:rsidRDefault="00DC34E6">
      <w:pPr>
        <w:tabs>
          <w:tab w:val="left" w:pos="1155"/>
        </w:tabs>
        <w:spacing w:line="360" w:lineRule="auto"/>
        <w:ind w:left="0" w:hanging="2"/>
        <w:jc w:val="both"/>
        <w:rPr>
          <w:rFonts w:ascii="Arial" w:eastAsia="Arial" w:hAnsi="Arial" w:cs="Arial"/>
        </w:rPr>
      </w:pPr>
    </w:p>
    <w:p w14:paraId="6FC7F5AA" w14:textId="77777777" w:rsidR="00DC34E6" w:rsidRDefault="008C58E3">
      <w:pPr>
        <w:spacing w:line="360" w:lineRule="auto"/>
        <w:ind w:left="0" w:hanging="2"/>
        <w:jc w:val="both"/>
        <w:rPr>
          <w:rFonts w:ascii="Arial" w:eastAsia="Arial" w:hAnsi="Arial" w:cs="Arial"/>
        </w:rPr>
      </w:pPr>
      <w:r>
        <w:rPr>
          <w:rFonts w:ascii="Arial" w:eastAsia="Arial" w:hAnsi="Arial" w:cs="Arial"/>
          <w:b/>
        </w:rPr>
        <w:t>1. INTRODUÇÃO/REVISÃO DA LITERATURA</w:t>
      </w:r>
      <w:r>
        <w:rPr>
          <w:rFonts w:ascii="Arial" w:eastAsia="Arial" w:hAnsi="Arial" w:cs="Arial"/>
        </w:rPr>
        <w:t xml:space="preserve">: </w:t>
      </w:r>
    </w:p>
    <w:p w14:paraId="652877F6" w14:textId="77777777" w:rsidR="00DC34E6" w:rsidRDefault="00DC34E6">
      <w:pPr>
        <w:spacing w:line="360" w:lineRule="auto"/>
        <w:ind w:left="0" w:hanging="2"/>
        <w:jc w:val="both"/>
        <w:rPr>
          <w:rFonts w:ascii="Arial" w:eastAsia="Arial" w:hAnsi="Arial" w:cs="Arial"/>
        </w:rPr>
      </w:pPr>
    </w:p>
    <w:p w14:paraId="5C8F0649" w14:textId="77777777" w:rsidR="00DC34E6" w:rsidRDefault="008C58E3">
      <w:pPr>
        <w:spacing w:line="360" w:lineRule="auto"/>
        <w:ind w:left="0" w:hanging="2"/>
        <w:jc w:val="both"/>
        <w:rPr>
          <w:rFonts w:ascii="Arial" w:eastAsia="Arial" w:hAnsi="Arial" w:cs="Arial"/>
        </w:rPr>
      </w:pPr>
      <w:r>
        <w:rPr>
          <w:rFonts w:ascii="Arial" w:eastAsia="Arial" w:hAnsi="Arial" w:cs="Arial"/>
        </w:rPr>
        <w:t>1.1 OSTEOARTRITE DO JOELHO</w:t>
      </w:r>
    </w:p>
    <w:p w14:paraId="75F10A43" w14:textId="42EAB9DE" w:rsidR="00DC34E6" w:rsidRDefault="008C58E3">
      <w:pPr>
        <w:spacing w:before="240" w:after="240" w:line="360" w:lineRule="auto"/>
        <w:ind w:left="0" w:hanging="2"/>
        <w:jc w:val="both"/>
        <w:rPr>
          <w:rFonts w:ascii="Arial" w:eastAsia="Arial" w:hAnsi="Arial" w:cs="Arial"/>
        </w:rPr>
      </w:pPr>
      <w:r>
        <w:rPr>
          <w:rFonts w:ascii="Arial" w:eastAsia="Arial" w:hAnsi="Arial" w:cs="Arial"/>
        </w:rPr>
        <w:t xml:space="preserve">A osteoartrite do joelho afeta cerca de 250 milhões de pessoas em todo o mundo, com aproximadamente 27 milhões de americanos e 39 milhões de cidadãos da União </w:t>
      </w:r>
      <w:proofErr w:type="spellStart"/>
      <w:r>
        <w:rPr>
          <w:rFonts w:ascii="Arial" w:eastAsia="Arial" w:hAnsi="Arial" w:cs="Arial"/>
        </w:rPr>
        <w:t>Européia</w:t>
      </w:r>
      <w:proofErr w:type="spellEnd"/>
      <w:r>
        <w:rPr>
          <w:rFonts w:ascii="Arial" w:eastAsia="Arial" w:hAnsi="Arial" w:cs="Arial"/>
        </w:rPr>
        <w:t>, sendo presente em cerca de 35% dos indivíduos com idade superior a 65 anos</w:t>
      </w:r>
      <w:r w:rsidR="000603DD">
        <w:rPr>
          <w:rFonts w:ascii="Arial" w:eastAsia="Arial" w:hAnsi="Arial" w:cs="Arial"/>
        </w:rPr>
        <w:fldChar w:fldCharType="begin"/>
      </w:r>
      <w:r w:rsidR="00124F29">
        <w:rPr>
          <w:rFonts w:ascii="Arial" w:eastAsia="Arial" w:hAnsi="Arial" w:cs="Arial"/>
        </w:rPr>
        <w:instrText xml:space="preserve"> ADDIN ZOTERO_ITEM CSL_CITATION {"citationID":"RugRK3WQ","properties":{"formattedCitation":"(1)","plainCitation":"(1)","noteIndex":0},"citationItems":[{"id":453,"uris":["http://zotero.org/users/9580607/items/SQGR363P"],"itemData":{"id":453,"type":"article-journal","container-title":"Osteoarthritis and Cartilage","DOI":"10.1016/j.joca.2008.06.025","ISSN":"1522-9653","journalAbbreviation":"Osteoarthritis Cartilage","language":"eng","note":"PMID: 18723377","page":"S1-3","source":"PubMed","title":"Current concepts in the pathogenesis of osteoarthritis","volume":"16 Suppl 3","author":[{"family":"Krasnokutsky","given":"S."},{"family":"Attur","given":"M."},{"family":"Palmer","given":"G."},{"family":"Samuels","given":"J."},{"family":"Abramson","given":"S. B."}],"issued":{"date-parts":[["2008"]]}}}],"schema":"https://github.com/citation-style-language/schema/raw/master/csl-citation.json"} </w:instrText>
      </w:r>
      <w:r w:rsidR="000603DD">
        <w:rPr>
          <w:rFonts w:ascii="Arial" w:eastAsia="Arial" w:hAnsi="Arial" w:cs="Arial"/>
        </w:rPr>
        <w:fldChar w:fldCharType="separate"/>
      </w:r>
      <w:r w:rsidR="000603DD">
        <w:rPr>
          <w:rFonts w:ascii="Arial" w:eastAsia="Arial" w:hAnsi="Arial" w:cs="Arial"/>
          <w:noProof/>
        </w:rPr>
        <w:t>(1)</w:t>
      </w:r>
      <w:r w:rsidR="000603DD">
        <w:rPr>
          <w:rFonts w:ascii="Arial" w:eastAsia="Arial" w:hAnsi="Arial" w:cs="Arial"/>
        </w:rPr>
        <w:fldChar w:fldCharType="end"/>
      </w:r>
      <w:r>
        <w:rPr>
          <w:rFonts w:ascii="Arial" w:eastAsia="Arial" w:hAnsi="Arial" w:cs="Arial"/>
        </w:rPr>
        <w:t>. Em 2010, a prevalência da OA radiográfica do joelho foi estimada em 3,8% e o envelhecimento da população associado ao aumento da prevalência da obesidade estará associado a uma maior prevalência da OA nos membros inferiores e suas consequências funcionais nos pacientes afetados</w:t>
      </w:r>
      <w:r w:rsidR="000603DD">
        <w:rPr>
          <w:rFonts w:ascii="Arial" w:eastAsia="Arial" w:hAnsi="Arial" w:cs="Arial"/>
        </w:rPr>
        <w:fldChar w:fldCharType="begin"/>
      </w:r>
      <w:r w:rsidR="00124F29">
        <w:rPr>
          <w:rFonts w:ascii="Arial" w:eastAsia="Arial" w:hAnsi="Arial" w:cs="Arial"/>
        </w:rPr>
        <w:instrText xml:space="preserve"> ADDIN ZOTERO_ITEM CSL_CITATION {"citationID":"auwLHrif","properties":{"formattedCitation":"(2)","plainCitation":"(2)","noteIndex":0},"citationItems":[{"id":452,"uris":["http://zotero.org/users/9580607/items/SS3H5TTX"],"itemData":{"id":452,"type":"article-journal","container-title":"Osteoarthritis and Cartilage","DOI":"10.1016/j.joca.2019.03.005","ISSN":"1063-4584, 1522-9653","issue":"7","journalAbbreviation":"Osteoarthritis and Cartilage","language":"English","note":"publisher: Elsevier\nPMID: 30922982","page":"1011-1017","source":"www.oarsijournal.com","title":"Health resource use and costs of symptomatic knee and/or hip osteoarthritis","volume":"27","author":[{"family":"Salmon","given":"J. H."},{"family":"Rat","given":"A. C."},{"family":"Achit","given":"H."},{"family":"Ngueyon-Sime","given":"W."},{"family":"Gard","given":"C."},{"family":"Guillemin","given":"F."},{"family":"Jolly","given":"D."},{"family":"Fautrel","given":"B."}],"issued":{"date-parts":[["2019",7,1]]}}}],"schema":"https://github.com/citation-style-language/schema/raw/master/csl-citation.json"} </w:instrText>
      </w:r>
      <w:r w:rsidR="000603DD">
        <w:rPr>
          <w:rFonts w:ascii="Arial" w:eastAsia="Arial" w:hAnsi="Arial" w:cs="Arial"/>
        </w:rPr>
        <w:fldChar w:fldCharType="separate"/>
      </w:r>
      <w:r w:rsidR="000603DD">
        <w:rPr>
          <w:rFonts w:ascii="Arial" w:eastAsia="Arial" w:hAnsi="Arial" w:cs="Arial"/>
          <w:noProof/>
        </w:rPr>
        <w:t>(2)</w:t>
      </w:r>
      <w:r w:rsidR="000603DD">
        <w:rPr>
          <w:rFonts w:ascii="Arial" w:eastAsia="Arial" w:hAnsi="Arial" w:cs="Arial"/>
        </w:rPr>
        <w:fldChar w:fldCharType="end"/>
      </w:r>
      <w:r>
        <w:rPr>
          <w:rFonts w:ascii="Arial" w:eastAsia="Arial" w:hAnsi="Arial" w:cs="Arial"/>
        </w:rPr>
        <w:t>.</w:t>
      </w:r>
    </w:p>
    <w:p w14:paraId="3B23B42F" w14:textId="6BFE9CAA" w:rsidR="00DC34E6" w:rsidRDefault="008C58E3">
      <w:pPr>
        <w:spacing w:before="240" w:after="240" w:line="360" w:lineRule="auto"/>
        <w:ind w:left="0" w:hanging="2"/>
        <w:jc w:val="both"/>
        <w:rPr>
          <w:rFonts w:ascii="Arial" w:eastAsia="Arial" w:hAnsi="Arial" w:cs="Arial"/>
        </w:rPr>
      </w:pPr>
      <w:r>
        <w:rPr>
          <w:rFonts w:ascii="Arial" w:eastAsia="Arial" w:hAnsi="Arial" w:cs="Arial"/>
        </w:rPr>
        <w:t xml:space="preserve">O tratamento conservador da osteoartrite deve ser a primeira abordagem ao paciente portador desta enfermidade. Inicialmente, modificações do estilo de vida, fisioterapia, uso de anti-inflamatórios orais e </w:t>
      </w:r>
      <w:proofErr w:type="spellStart"/>
      <w:r>
        <w:rPr>
          <w:rFonts w:ascii="Arial" w:eastAsia="Arial" w:hAnsi="Arial" w:cs="Arial"/>
        </w:rPr>
        <w:t>condroprotetores</w:t>
      </w:r>
      <w:proofErr w:type="spellEnd"/>
      <w:r>
        <w:rPr>
          <w:rFonts w:ascii="Arial" w:eastAsia="Arial" w:hAnsi="Arial" w:cs="Arial"/>
        </w:rPr>
        <w:t xml:space="preserve">, injeções intra-articulares de </w:t>
      </w:r>
      <w:r>
        <w:rPr>
          <w:rFonts w:ascii="Arial" w:eastAsia="Arial" w:hAnsi="Arial" w:cs="Arial"/>
        </w:rPr>
        <w:lastRenderedPageBreak/>
        <w:t xml:space="preserve">corticoides e a </w:t>
      </w:r>
      <w:proofErr w:type="spellStart"/>
      <w:r>
        <w:rPr>
          <w:rFonts w:ascii="Arial" w:eastAsia="Arial" w:hAnsi="Arial" w:cs="Arial"/>
        </w:rPr>
        <w:t>viscossuplementação</w:t>
      </w:r>
      <w:proofErr w:type="spellEnd"/>
      <w:r>
        <w:rPr>
          <w:rFonts w:ascii="Arial" w:eastAsia="Arial" w:hAnsi="Arial" w:cs="Arial"/>
        </w:rPr>
        <w:t xml:space="preserve"> com ácido hialurônico, dentre outras opções já validadas e recomendadas pelas associações médicas que lidam com esta patologia </w:t>
      </w:r>
      <w:r w:rsidR="000603DD">
        <w:rPr>
          <w:rFonts w:ascii="Arial" w:eastAsia="Arial" w:hAnsi="Arial" w:cs="Arial"/>
        </w:rPr>
        <w:fldChar w:fldCharType="begin"/>
      </w:r>
      <w:r w:rsidR="00124F29">
        <w:rPr>
          <w:rFonts w:ascii="Arial" w:eastAsia="Arial" w:hAnsi="Arial" w:cs="Arial"/>
        </w:rPr>
        <w:instrText xml:space="preserve"> ADDIN ZOTERO_ITEM CSL_CITATION {"citationID":"UFa21IL7","properties":{"formattedCitation":"(3)","plainCitation":"(3)","noteIndex":0},"citationItems":[{"id":337,"uris":["http://zotero.org/users/9580607/items/ZRM29HRK"],"itemData":{"id":337,"type":"article-journal","abstract":"OBJECTIVES: To update the EULAR recommendations for management of knee osteoarthritis (OA) by an evidence based medicine and expert opinion approach.\nMETHODS: The literature search and guidelines were restricted to treatments for knee OA pertaining to clinical and/or radiological OA of any compartment of the knee. Papers for combined treatment of knee and other types of OA were excluded. Medline and Embase were searched using a combination of subject headings and key words. Searches for those treatments previously investigated were conducted for January 1999 to February 2002 and for those treatments not previously investigated for 1966 to February 2002. The level of evidence found for each treatment was documented. Quality scores were determined for each paper, an effect size comparing the treatment with placebo was calculated, where possible, and a toxicity profile was determined for each treatment modality.\nRESULTS: 497 new publications were identified by the search. Of these, 103 were intervention trials and included in the overall analysis, and 33 treatment modalities were identified. Previously identified publications which were not exclusively knee OA in the initial analysis were rejected. In total, 545 publications were included. Based on the results of the literature search and expert opinion, 10 recommendations for the treatment of knee OA were devised using a five stage Delphi technique. Based on expert opinion, a further set of 10 items was identified by a five stage Delphi technique as important for future research.\nCONCLUSION: The updated recommendations support some of the previous propositions published in 2000 but also include modified statements and new propositions. Although a large number of treatment options for knee OA exist, the evidence based format of the EULAR Recommendations continues to identify key clinical questions that currently are unanswered.","container-title":"Annals of the Rheumatic Diseases","DOI":"10.1136/ard.2003.011742","ISSN":"0003-4967","issue":"12","journalAbbreviation":"Ann Rheum Dis","language":"eng","note":"PMID: 14644851\nPMCID: PMC1754382","page":"1145-1155","source":"PubMed","title":"EULAR Recommendations 2003: an evidence based approach to the management of knee osteoarthritis: Report of a Task Force of the Standing Committee for International Clinical Studies Including Therapeutic Trials (ESCISIT)","title-short":"EULAR Recommendations 2003","volume":"62","author":[{"family":"Jordan","given":"K. M."},{"family":"Arden","given":"N. K."},{"family":"Doherty","given":"M."},{"family":"Bannwarth","given":"B."},{"family":"Bijlsma","given":"J. W. J."},{"family":"Dieppe","given":"P."},{"family":"Gunther","given":"K."},{"family":"Hauselmann","given":"H."},{"family":"Herrero-Beaumont","given":"G."},{"family":"Kaklamanis","given":"P."},{"family":"Lohmander","given":"S."},{"family":"Leeb","given":"B."},{"family":"Lequesne","given":"M."},{"family":"Mazieres","given":"B."},{"family":"Martin-Mola","given":"E."},{"family":"Pavelka","given":"K."},{"family":"Pendleton","given":"A."},{"family":"Punzi","given":"L."},{"family":"Serni","given":"U."},{"family":"Swoboda","given":"B."},{"family":"Verbruggen","given":"G."},{"family":"Zimmerman-Gorska","given":"I."},{"family":"Dougados","given":"M."},{"literal":"Standing Committee for International Clinical Studies Including Therapeutic Trials ESCISIT"}],"issued":{"date-parts":[["2003",12]]}}}],"schema":"https://github.com/citation-style-language/schema/raw/master/csl-citation.json"} </w:instrText>
      </w:r>
      <w:r w:rsidR="000603DD">
        <w:rPr>
          <w:rFonts w:ascii="Arial" w:eastAsia="Arial" w:hAnsi="Arial" w:cs="Arial"/>
        </w:rPr>
        <w:fldChar w:fldCharType="separate"/>
      </w:r>
      <w:r w:rsidR="000603DD">
        <w:rPr>
          <w:rFonts w:ascii="Arial" w:eastAsia="Arial" w:hAnsi="Arial" w:cs="Arial"/>
          <w:noProof/>
        </w:rPr>
        <w:t>(3)</w:t>
      </w:r>
      <w:r w:rsidR="000603DD">
        <w:rPr>
          <w:rFonts w:ascii="Arial" w:eastAsia="Arial" w:hAnsi="Arial" w:cs="Arial"/>
        </w:rPr>
        <w:fldChar w:fldCharType="end"/>
      </w:r>
      <w:r w:rsidR="00AD4989">
        <w:rPr>
          <w:rFonts w:ascii="Arial" w:eastAsia="Arial" w:hAnsi="Arial" w:cs="Arial"/>
        </w:rPr>
        <w:t xml:space="preserve">. </w:t>
      </w:r>
      <w:r>
        <w:rPr>
          <w:rFonts w:ascii="Arial" w:eastAsia="Arial" w:hAnsi="Arial" w:cs="Arial"/>
        </w:rPr>
        <w:t xml:space="preserve">A </w:t>
      </w:r>
      <w:proofErr w:type="spellStart"/>
      <w:r>
        <w:rPr>
          <w:rFonts w:ascii="Arial" w:eastAsia="Arial" w:hAnsi="Arial" w:cs="Arial"/>
        </w:rPr>
        <w:t>proloterapia</w:t>
      </w:r>
      <w:proofErr w:type="spellEnd"/>
      <w:r>
        <w:rPr>
          <w:rFonts w:ascii="Arial" w:eastAsia="Arial" w:hAnsi="Arial" w:cs="Arial"/>
        </w:rPr>
        <w:t xml:space="preserve"> tem sido recentemente discutida como possível opção de tratamento de pacientes com OA do joelho por conferir alívio da dor, porém seu uso é criticado devido ao elevado risco de viés dos estudos realizados</w:t>
      </w:r>
      <w:r w:rsidR="000603DD">
        <w:rPr>
          <w:rFonts w:ascii="Arial" w:eastAsia="Arial" w:hAnsi="Arial" w:cs="Arial"/>
        </w:rPr>
        <w:t xml:space="preserve"> </w:t>
      </w:r>
      <w:r w:rsidR="000603DD">
        <w:rPr>
          <w:rFonts w:ascii="Arial" w:eastAsia="Arial" w:hAnsi="Arial" w:cs="Arial"/>
        </w:rPr>
        <w:fldChar w:fldCharType="begin"/>
      </w:r>
      <w:r w:rsidR="00124F29">
        <w:rPr>
          <w:rFonts w:ascii="Arial" w:eastAsia="Arial" w:hAnsi="Arial" w:cs="Arial"/>
        </w:rPr>
        <w:instrText xml:space="preserve"> ADDIN ZOTERO_ITEM CSL_CITATION {"citationID":"pU1MOYEE","properties":{"formattedCitation":"(4)","plainCitation":"(4)","noteIndex":0},"citationItems":[{"id":584,"uris":["http://zotero.org/users/9580607/items/M9AMYKG3"],"itemData":{"id":584,"type":"article-journal","abstract":"Objective: To summarize the evidence for dextrose prolotherapy in knee osteoarthritis. Data sources: The authors searched PubMed and Embase from inception to September 2020. All publications in the English language were included without demographic limits. Study selection: Randomized clinical trials comparing the effects of any active interventions or placebo versus dextrose prolotherapy in patients with knee osteoarthritis were included. Data extraction: Potential articles were screened for eligibility, and data was extracted independently. The risk of bias was assessed using the Cochrane Risk of Bias tool. Meta-analysis was performed on clinical trials with similar parameters. The Strength of Recommendation Taxonomy (SORT) was used for evaluating the strength of recommendations.","container-title":"Journal of Clinical Orthopaedics and Trauma","DOI":"10.1016/j.jcot.2021.05.015","ISSN":"09765662","journalAbbreviation":"Journal of Clinical Orthopaedics and Trauma","language":"en","page":"108-117","source":"DOI.org (Crossref)","title":"Dextrose prolotherapy in knee osteoarthritis: A systematic review and meta-analysis","title-short":"Dextrose prolotherapy in knee osteoarthritis","volume":"19","author":[{"family":"Wee","given":"Tze Chao"},{"family":"Neo","given":"Edmund Jin Rui"},{"family":"Tan","given":"Yeow Leng"}],"issued":{"date-parts":[["2021",8]]}}}],"schema":"https://github.com/citation-style-language/schema/raw/master/csl-citation.json"} </w:instrText>
      </w:r>
      <w:r w:rsidR="000603DD">
        <w:rPr>
          <w:rFonts w:ascii="Arial" w:eastAsia="Arial" w:hAnsi="Arial" w:cs="Arial"/>
        </w:rPr>
        <w:fldChar w:fldCharType="separate"/>
      </w:r>
      <w:r w:rsidR="000603DD">
        <w:rPr>
          <w:rFonts w:ascii="Arial" w:eastAsia="Arial" w:hAnsi="Arial" w:cs="Arial"/>
          <w:noProof/>
        </w:rPr>
        <w:t>(4)</w:t>
      </w:r>
      <w:r w:rsidR="000603DD">
        <w:rPr>
          <w:rFonts w:ascii="Arial" w:eastAsia="Arial" w:hAnsi="Arial" w:cs="Arial"/>
        </w:rPr>
        <w:fldChar w:fldCharType="end"/>
      </w:r>
      <w:r>
        <w:rPr>
          <w:rFonts w:ascii="Arial" w:eastAsia="Arial" w:hAnsi="Arial" w:cs="Arial"/>
        </w:rPr>
        <w:t>.</w:t>
      </w:r>
    </w:p>
    <w:p w14:paraId="63C4550D" w14:textId="77777777" w:rsidR="00DC34E6" w:rsidRDefault="008C58E3">
      <w:pPr>
        <w:spacing w:line="360" w:lineRule="auto"/>
        <w:ind w:left="0" w:hanging="2"/>
        <w:jc w:val="both"/>
        <w:rPr>
          <w:rFonts w:ascii="Arial" w:eastAsia="Arial" w:hAnsi="Arial" w:cs="Arial"/>
        </w:rPr>
      </w:pPr>
      <w:r>
        <w:rPr>
          <w:rFonts w:ascii="Arial" w:eastAsia="Arial" w:hAnsi="Arial" w:cs="Arial"/>
        </w:rPr>
        <w:t>1.2 PROLOTERAPIA</w:t>
      </w:r>
    </w:p>
    <w:p w14:paraId="7DFFB5BA" w14:textId="77777777" w:rsidR="00DC34E6" w:rsidRDefault="00DC34E6">
      <w:pPr>
        <w:spacing w:line="360" w:lineRule="auto"/>
        <w:ind w:left="0" w:hanging="2"/>
        <w:jc w:val="both"/>
        <w:rPr>
          <w:rFonts w:ascii="Arial" w:eastAsia="Arial" w:hAnsi="Arial" w:cs="Arial"/>
        </w:rPr>
      </w:pPr>
    </w:p>
    <w:p w14:paraId="55EB90E3" w14:textId="6C2393A3" w:rsidR="00DC34E6" w:rsidRDefault="008C58E3">
      <w:pPr>
        <w:spacing w:line="360" w:lineRule="auto"/>
        <w:ind w:left="0" w:hanging="2"/>
        <w:jc w:val="both"/>
        <w:rPr>
          <w:rFonts w:ascii="Arial" w:eastAsia="Arial" w:hAnsi="Arial" w:cs="Arial"/>
        </w:rPr>
      </w:pPr>
      <w:r>
        <w:rPr>
          <w:rFonts w:ascii="Arial" w:eastAsia="Arial" w:hAnsi="Arial" w:cs="Arial"/>
        </w:rPr>
        <w:t xml:space="preserve"> Desenvolvida por George Hackett e aplicada desde 1937</w:t>
      </w:r>
      <w:r w:rsidR="0075437E">
        <w:rPr>
          <w:rFonts w:ascii="Arial" w:eastAsia="Arial" w:hAnsi="Arial" w:cs="Arial"/>
        </w:rPr>
        <w:t xml:space="preserve"> </w:t>
      </w:r>
      <w:r w:rsidR="00F47488">
        <w:rPr>
          <w:rFonts w:ascii="Arial" w:eastAsia="Arial" w:hAnsi="Arial" w:cs="Arial"/>
        </w:rPr>
        <w:fldChar w:fldCharType="begin"/>
      </w:r>
      <w:r w:rsidR="00124F29">
        <w:rPr>
          <w:rFonts w:ascii="Arial" w:eastAsia="Arial" w:hAnsi="Arial" w:cs="Arial"/>
        </w:rPr>
        <w:instrText xml:space="preserve"> ADDIN ZOTERO_ITEM CSL_CITATION {"citationID":"kJfllOBp","properties":{"formattedCitation":"(5)","plainCitation":"(5)","noteIndex":0},"citationItems":[{"id":309,"uris":["http://zotero.org/users/9580607/items/78P56RUX"],"itemData":{"id":309,"type":"book","edition":"3rd edition","ISBN":"978-0-398-05066-5","language":"English","number-of-pages":"160","publisher":"Charles C Thomas Pub Ltd","source":"Amazon","title":"Ligament and Tendon Relaxation","author":[{"family":"Hackett","given":"George S."}],"issued":{"date-parts":[["1958",6,1]]}}}],"schema":"https://github.com/citation-style-language/schema/raw/master/csl-citation.json"} </w:instrText>
      </w:r>
      <w:r w:rsidR="00F47488">
        <w:rPr>
          <w:rFonts w:ascii="Arial" w:eastAsia="Arial" w:hAnsi="Arial" w:cs="Arial"/>
        </w:rPr>
        <w:fldChar w:fldCharType="separate"/>
      </w:r>
      <w:r w:rsidR="00F47488">
        <w:rPr>
          <w:rFonts w:ascii="Arial" w:eastAsia="Arial" w:hAnsi="Arial" w:cs="Arial"/>
          <w:noProof/>
        </w:rPr>
        <w:t>(5)</w:t>
      </w:r>
      <w:r w:rsidR="00F47488">
        <w:rPr>
          <w:rFonts w:ascii="Arial" w:eastAsia="Arial" w:hAnsi="Arial" w:cs="Arial"/>
        </w:rPr>
        <w:fldChar w:fldCharType="end"/>
      </w:r>
      <w:r>
        <w:rPr>
          <w:rFonts w:ascii="Arial" w:eastAsia="Arial" w:hAnsi="Arial" w:cs="Arial"/>
        </w:rPr>
        <w:t xml:space="preserve">, a </w:t>
      </w:r>
      <w:proofErr w:type="spellStart"/>
      <w:r>
        <w:rPr>
          <w:rFonts w:ascii="Arial" w:eastAsia="Arial" w:hAnsi="Arial" w:cs="Arial"/>
        </w:rPr>
        <w:t>proloterapia</w:t>
      </w:r>
      <w:proofErr w:type="spellEnd"/>
      <w:r>
        <w:rPr>
          <w:rFonts w:ascii="Arial" w:eastAsia="Arial" w:hAnsi="Arial" w:cs="Arial"/>
        </w:rPr>
        <w:t xml:space="preserve"> é uma terapia para doenças </w:t>
      </w:r>
      <w:proofErr w:type="spellStart"/>
      <w:r>
        <w:rPr>
          <w:rFonts w:ascii="Arial" w:eastAsia="Arial" w:hAnsi="Arial" w:cs="Arial"/>
        </w:rPr>
        <w:t>músculo-esqueléticas</w:t>
      </w:r>
      <w:proofErr w:type="spellEnd"/>
      <w:r>
        <w:rPr>
          <w:rFonts w:ascii="Arial" w:eastAsia="Arial" w:hAnsi="Arial" w:cs="Arial"/>
        </w:rPr>
        <w:t xml:space="preserve"> com dor crônica associada, como a osteoartrite (OA), e consiste em uma injeção intra-articular de solução com componente irritativo, sendo a dextrose hipertônica a mais utilizada e estudada. Ainda não se sabe ao certo o mecanismo de ação desta solução, </w:t>
      </w:r>
      <w:proofErr w:type="spellStart"/>
      <w:r>
        <w:rPr>
          <w:rFonts w:ascii="Arial" w:eastAsia="Arial" w:hAnsi="Arial" w:cs="Arial"/>
        </w:rPr>
        <w:t>Wee</w:t>
      </w:r>
      <w:proofErr w:type="spellEnd"/>
      <w:r>
        <w:rPr>
          <w:rFonts w:ascii="Arial" w:eastAsia="Arial" w:hAnsi="Arial" w:cs="Arial"/>
        </w:rPr>
        <w:t xml:space="preserve"> et</w:t>
      </w:r>
      <w:r w:rsidR="000603DD">
        <w:rPr>
          <w:rFonts w:ascii="Arial" w:eastAsia="Arial" w:hAnsi="Arial" w:cs="Arial"/>
        </w:rPr>
        <w:t>.</w:t>
      </w:r>
      <w:r>
        <w:rPr>
          <w:rFonts w:ascii="Arial" w:eastAsia="Arial" w:hAnsi="Arial" w:cs="Arial"/>
        </w:rPr>
        <w:t xml:space="preserve"> </w:t>
      </w:r>
      <w:r w:rsidR="000603DD">
        <w:rPr>
          <w:rFonts w:ascii="Arial" w:eastAsia="Arial" w:hAnsi="Arial" w:cs="Arial"/>
        </w:rPr>
        <w:t>a</w:t>
      </w:r>
      <w:r>
        <w:rPr>
          <w:rFonts w:ascii="Arial" w:eastAsia="Arial" w:hAnsi="Arial" w:cs="Arial"/>
        </w:rPr>
        <w:t>l</w:t>
      </w:r>
      <w:r w:rsidR="000603DD">
        <w:rPr>
          <w:rFonts w:ascii="Arial" w:eastAsia="Arial" w:hAnsi="Arial" w:cs="Arial"/>
        </w:rPr>
        <w:t>.</w:t>
      </w:r>
      <w:r w:rsidR="000603DD">
        <w:rPr>
          <w:rFonts w:ascii="Arial" w:eastAsia="Arial" w:hAnsi="Arial" w:cs="Arial"/>
        </w:rPr>
        <w:fldChar w:fldCharType="begin"/>
      </w:r>
      <w:r w:rsidR="00124F29">
        <w:rPr>
          <w:rFonts w:ascii="Arial" w:eastAsia="Arial" w:hAnsi="Arial" w:cs="Arial"/>
        </w:rPr>
        <w:instrText xml:space="preserve"> ADDIN ZOTERO_ITEM CSL_CITATION {"citationID":"DDSlgt2h","properties":{"formattedCitation":"(4)","plainCitation":"(4)","noteIndex":0},"citationItems":[{"id":584,"uris":["http://zotero.org/users/9580607/items/M9AMYKG3"],"itemData":{"id":584,"type":"article-journal","abstract":"Objective: To summarize the evidence for dextrose prolotherapy in knee osteoarthritis. Data sources: The authors searched PubMed and Embase from inception to September 2020. All publications in the English language were included without demographic limits. Study selection: Randomized clinical trials comparing the effects of any active interventions or placebo versus dextrose prolotherapy in patients with knee osteoarthritis were included. Data extraction: Potential articles were screened for eligibility, and data was extracted independently. The risk of bias was assessed using the Cochrane Risk of Bias tool. Meta-analysis was performed on clinical trials with similar parameters. The Strength of Recommendation Taxonomy (SORT) was used for evaluating the strength of recommendations.","container-title":"Journal of Clinical Orthopaedics and Trauma","DOI":"10.1016/j.jcot.2021.05.015","ISSN":"09765662","journalAbbreviation":"Journal of Clinical Orthopaedics and Trauma","language":"en","page":"108-117","source":"DOI.org (Crossref)","title":"Dextrose prolotherapy in knee osteoarthritis: A systematic review and meta-analysis","title-short":"Dextrose prolotherapy in knee osteoarthritis","volume":"19","author":[{"family":"Wee","given":"Tze Chao"},{"family":"Neo","given":"Edmund Jin Rui"},{"family":"Tan","given":"Yeow Leng"}],"issued":{"date-parts":[["2021",8]]}}}],"schema":"https://github.com/citation-style-language/schema/raw/master/csl-citation.json"} </w:instrText>
      </w:r>
      <w:r w:rsidR="000603DD">
        <w:rPr>
          <w:rFonts w:ascii="Arial" w:eastAsia="Arial" w:hAnsi="Arial" w:cs="Arial"/>
        </w:rPr>
        <w:fldChar w:fldCharType="separate"/>
      </w:r>
      <w:r w:rsidR="000603DD">
        <w:rPr>
          <w:rFonts w:ascii="Arial" w:eastAsia="Arial" w:hAnsi="Arial" w:cs="Arial"/>
          <w:noProof/>
        </w:rPr>
        <w:t>(4)</w:t>
      </w:r>
      <w:r w:rsidR="000603DD">
        <w:rPr>
          <w:rFonts w:ascii="Arial" w:eastAsia="Arial" w:hAnsi="Arial" w:cs="Arial"/>
        </w:rPr>
        <w:fldChar w:fldCharType="end"/>
      </w:r>
      <w:r w:rsidR="000603DD">
        <w:rPr>
          <w:rFonts w:ascii="Arial" w:eastAsia="Arial" w:hAnsi="Arial" w:cs="Arial"/>
        </w:rPr>
        <w:t>,</w:t>
      </w:r>
      <w:r>
        <w:rPr>
          <w:rFonts w:ascii="Arial" w:eastAsia="Arial" w:hAnsi="Arial" w:cs="Arial"/>
        </w:rPr>
        <w:t xml:space="preserve"> defende</w:t>
      </w:r>
      <w:r w:rsidR="000603DD">
        <w:rPr>
          <w:rFonts w:ascii="Arial" w:eastAsia="Arial" w:hAnsi="Arial" w:cs="Arial"/>
        </w:rPr>
        <w:t>m</w:t>
      </w:r>
      <w:r>
        <w:rPr>
          <w:rFonts w:ascii="Arial" w:eastAsia="Arial" w:hAnsi="Arial" w:cs="Arial"/>
        </w:rPr>
        <w:t xml:space="preserve"> a hipótese de que a dextrose hipertônica (DH) estimula a regeneração de partes moles articulares e periarticulares. Esse processo, segundo </w:t>
      </w:r>
      <w:proofErr w:type="spellStart"/>
      <w:r>
        <w:rPr>
          <w:rFonts w:ascii="Arial" w:eastAsia="Arial" w:hAnsi="Arial" w:cs="Arial"/>
        </w:rPr>
        <w:t>Rabago</w:t>
      </w:r>
      <w:proofErr w:type="spellEnd"/>
      <w:r>
        <w:rPr>
          <w:rFonts w:ascii="Arial" w:eastAsia="Arial" w:hAnsi="Arial" w:cs="Arial"/>
        </w:rPr>
        <w:t xml:space="preserve"> e </w:t>
      </w:r>
      <w:proofErr w:type="spellStart"/>
      <w:r>
        <w:rPr>
          <w:rFonts w:ascii="Arial" w:eastAsia="Arial" w:hAnsi="Arial" w:cs="Arial"/>
        </w:rPr>
        <w:t>Nourani</w:t>
      </w:r>
      <w:proofErr w:type="spellEnd"/>
      <w:r w:rsidR="000603DD">
        <w:rPr>
          <w:rFonts w:ascii="Arial" w:eastAsia="Arial" w:hAnsi="Arial" w:cs="Arial"/>
        </w:rPr>
        <w:fldChar w:fldCharType="begin"/>
      </w:r>
      <w:r w:rsidR="00124F29">
        <w:rPr>
          <w:rFonts w:ascii="Arial" w:eastAsia="Arial" w:hAnsi="Arial" w:cs="Arial"/>
        </w:rPr>
        <w:instrText xml:space="preserve"> ADDIN ZOTERO_ITEM CSL_CITATION {"citationID":"u21IsePN","properties":{"formattedCitation":"(6)","plainCitation":"(6)","noteIndex":0},"citationItems":[{"id":583,"uris":["http://zotero.org/users/9580607/items/GSHCZBTX"],"itemData":{"id":583,"type":"article-journal","abstract":"Purpose of Review Osteoarthritis and overuse tendinopathy are common chronic conditions of high societal and patient burden. The precise etiology of pain and disability in both conditions is multifactorial and not well understood. Patients are often refractory to conservative therapy. The development of new therapeutic options in both conditions is a public health priority. Prolotherapy is an injection-based outpatient regenerative therapy for chronic musculoskeletal conditions, including osteoarthritis and tendinopathy. The authors reviewed the basic science and clinical literature associated with prolotherapy for these conditions.","container-title":"Current Rheumatology Reports","DOI":"10.1007/s11926-017-0659-3","ISSN":"1523-3774, 1534-6307","issue":"6","journalAbbreviation":"Curr Rheumatol Rep","language":"en","page":"34","source":"DOI.org (Crossref)","title":"Prolotherapy for Osteoarthritis and Tendinopathy: a Descriptive Review","title-short":"Prolotherapy for Osteoarthritis and Tendinopathy","volume":"19","author":[{"family":"Rabago","given":"David"},{"family":"Nourani","given":"Bobby"}],"issued":{"date-parts":[["2017",6]]}}}],"schema":"https://github.com/citation-style-language/schema/raw/master/csl-citation.json"} </w:instrText>
      </w:r>
      <w:r w:rsidR="000603DD">
        <w:rPr>
          <w:rFonts w:ascii="Arial" w:eastAsia="Arial" w:hAnsi="Arial" w:cs="Arial"/>
        </w:rPr>
        <w:fldChar w:fldCharType="separate"/>
      </w:r>
      <w:r w:rsidR="00F47488">
        <w:rPr>
          <w:rFonts w:ascii="Arial" w:eastAsia="Arial" w:hAnsi="Arial" w:cs="Arial"/>
          <w:noProof/>
        </w:rPr>
        <w:t>(6)</w:t>
      </w:r>
      <w:r w:rsidR="000603DD">
        <w:rPr>
          <w:rFonts w:ascii="Arial" w:eastAsia="Arial" w:hAnsi="Arial" w:cs="Arial"/>
        </w:rPr>
        <w:fldChar w:fldCharType="end"/>
      </w:r>
      <w:r>
        <w:rPr>
          <w:rFonts w:ascii="Arial" w:eastAsia="Arial" w:hAnsi="Arial" w:cs="Arial"/>
        </w:rPr>
        <w:t>, se desenvolve a partir da indução de um processo inflamatório no ambiente sinovial proporcionado pelo caráter irritativo da substância injetada, favorecendo a subsequente cicatrização local e reparo dos tecidos ainda preservados. A injeção de DH parece estar associada com um aumento da atividade metabólica dos condrócitos, aumento da deposição de colágeno e aumento da proliferação de condrócitos</w:t>
      </w:r>
      <w:r w:rsidR="000603DD">
        <w:rPr>
          <w:rFonts w:ascii="Arial" w:eastAsia="Arial" w:hAnsi="Arial" w:cs="Arial"/>
        </w:rPr>
        <w:fldChar w:fldCharType="begin"/>
      </w:r>
      <w:r w:rsidR="00124F29">
        <w:rPr>
          <w:rFonts w:ascii="Arial" w:eastAsia="Arial" w:hAnsi="Arial" w:cs="Arial"/>
        </w:rPr>
        <w:instrText xml:space="preserve"> ADDIN ZOTERO_ITEM CSL_CITATION {"citationID":"5MDn3g5V","properties":{"formattedCitation":"(7)","plainCitation":"(7)","noteIndex":0},"citationItems":[{"id":586,"uris":["http://zotero.org/users/9580607/items/ZEHBN4XB"],"itemData":{"id":586,"type":"article-journal","abstract":"Objective. Hypertonic dextrose (HD) injections (prolotherapy) for osteoarthritis are reported to reduce pain. Cartilage regeneration is hypothesized as a mechanism. This in vitro study identifies an HD concentration that stimulates chondrogenic cells to increase metabolic activity and assesses whether this concentration affects collagen deposition and proliferation. Design. ATDC5 chondrogenic cells were cultured in normoglycemic DMEM/F12 medium, treated with concentrations of HD (4-400 mM), and assessed with PrestoBlue. Advanced light microscopy was used to conduct live imaging of collagen deposition through second harmonic generation microscopy (SHG) and proliferation via 2-photon excitation microscopy. Proliferation was additionally assessed with hemocytometer counts. Results. A linear regression model found that, relative to the 4 mM baseline control, cells treated with 200 mM had a higher mean absorbance (P = 0.023) and cells treated with 250 mM were trending toward a higher mean absorbance (P = 0.076). Polynomial regression interpolated 240 mM as producing the highest average absorbance. Hemocytometer counts validated 250 mM as stimulating proliferation compared with the 4 mM control (P &lt; 0.01). A concentration of 250 mM HD led to an increase in collagen deposition compared with that observed in control (P &lt; 0.05). This HD concentration also led to increases in proliferation of ATDC5 cells relative to that of control (P &lt; 0.001). Conclusions. A 250 mM HD solution appears to be associated with increased metabolic activity of chondrocytes, increased collagen deposition, and increased chondrocyte proliferation. These results support clinical prolotherapy research suggesting that intra-articular HD joint injections reduce knee pain. Further study of HD and cellular processes is warranted.","container-title":"CARTILAGE","DOI":"10.1177/19476035211014572","ISSN":"1947-6035, 1947-6043","issue":"2_suppl","journalAbbreviation":"CARTILAGE","language":"en","page":"213S-224S","source":"DOI.org (Crossref)","title":"Hypertonic Dextrose Stimulates Chondrogenic Cells to Deposit Collagen and Proliferate","volume":"13","author":[{"family":"Johnston","given":"Elisha"},{"family":"Kou","given":"Yi"},{"family":"Junge","given":"Jason"},{"family":"Chen","given":"Lin"},{"family":"Kochan","given":"Andrew"},{"family":"Johnston","given":"Michael"},{"family":"Rabago","given":"David"}],"issued":{"date-parts":[["2021",12]]}}}],"schema":"https://github.com/citation-style-language/schema/raw/master/csl-citation.json"} </w:instrText>
      </w:r>
      <w:r w:rsidR="000603DD">
        <w:rPr>
          <w:rFonts w:ascii="Arial" w:eastAsia="Arial" w:hAnsi="Arial" w:cs="Arial"/>
        </w:rPr>
        <w:fldChar w:fldCharType="separate"/>
      </w:r>
      <w:r w:rsidR="00F47488">
        <w:rPr>
          <w:rFonts w:ascii="Arial" w:eastAsia="Arial" w:hAnsi="Arial" w:cs="Arial"/>
          <w:noProof/>
        </w:rPr>
        <w:t>(7)</w:t>
      </w:r>
      <w:r w:rsidR="000603DD">
        <w:rPr>
          <w:rFonts w:ascii="Arial" w:eastAsia="Arial" w:hAnsi="Arial" w:cs="Arial"/>
        </w:rPr>
        <w:fldChar w:fldCharType="end"/>
      </w:r>
      <w:r>
        <w:rPr>
          <w:rFonts w:ascii="Arial" w:eastAsia="Arial" w:hAnsi="Arial" w:cs="Arial"/>
        </w:rPr>
        <w:t>. Corroborando com essa hipótese a nível molecular,</w:t>
      </w:r>
      <w:r>
        <w:rPr>
          <w:rFonts w:ascii="Arial" w:eastAsia="Arial" w:hAnsi="Arial" w:cs="Arial"/>
          <w:color w:val="FF0000"/>
        </w:rPr>
        <w:t xml:space="preserve"> </w:t>
      </w:r>
      <w:r w:rsidRPr="00AD4989">
        <w:rPr>
          <w:rFonts w:ascii="Arial" w:eastAsia="Arial" w:hAnsi="Arial" w:cs="Arial"/>
          <w:color w:val="000000" w:themeColor="text1"/>
        </w:rPr>
        <w:t>Pan et</w:t>
      </w:r>
      <w:r w:rsidR="00AD4989">
        <w:rPr>
          <w:rFonts w:ascii="Arial" w:eastAsia="Arial" w:hAnsi="Arial" w:cs="Arial"/>
          <w:color w:val="000000" w:themeColor="text1"/>
        </w:rPr>
        <w:t>.</w:t>
      </w:r>
      <w:r w:rsidRPr="00AD4989">
        <w:rPr>
          <w:rFonts w:ascii="Arial" w:eastAsia="Arial" w:hAnsi="Arial" w:cs="Arial"/>
          <w:color w:val="000000" w:themeColor="text1"/>
        </w:rPr>
        <w:t xml:space="preserve"> al</w:t>
      </w:r>
      <w:r w:rsidR="000603DD">
        <w:rPr>
          <w:rFonts w:ascii="Arial" w:eastAsia="Arial" w:hAnsi="Arial" w:cs="Arial"/>
          <w:color w:val="000000" w:themeColor="text1"/>
        </w:rPr>
        <w:t>.</w:t>
      </w:r>
      <w:r w:rsidR="000603DD">
        <w:rPr>
          <w:rFonts w:ascii="Arial" w:eastAsia="Arial" w:hAnsi="Arial" w:cs="Arial"/>
          <w:color w:val="000000" w:themeColor="text1"/>
        </w:rPr>
        <w:fldChar w:fldCharType="begin"/>
      </w:r>
      <w:r w:rsidR="00124F29">
        <w:rPr>
          <w:rFonts w:ascii="Arial" w:eastAsia="Arial" w:hAnsi="Arial" w:cs="Arial"/>
          <w:color w:val="000000" w:themeColor="text1"/>
        </w:rPr>
        <w:instrText xml:space="preserve"> ADDIN ZOTERO_ITEM CSL_CITATION {"citationID":"tJzZNOg6","properties":{"formattedCitation":"(8)","plainCitation":"(8)","noteIndex":0},"citationItems":[{"id":585,"uris":["http://zotero.org/users/9580607/items/UAZPHBJS"],"itemData":{"id":585,"type":"article-journal","abstract":"Background: Osteoarthritis (OA) is one of the most common forms of arthritis, and hypertonic dextrose prolotherapy has long been used clinically to treat knee OA. The aim of this study was to investigate the inflammation-related protein-expression profile characterizing the efficacy of the hypertonic dextrose prolotherapy in knee OA as prognostic markers.\nMethods: OA patients over the age of 65 were recruited for Western Ontario McMaster University Osteoarthritis (WOMAC) index, knee X-ray evaluation and knee joint synovial fluid analysis before and after hypertonic dextrose prolotherapy. The expressions of inflammation-related factors were measured using a novel cytokine antibody array methodology. The cytokine levels were quantified by quantitative protein expression and analyzed by ELISA using the patients’ knee-joint synovial fluid.\nResults: The WOMAC Index and minimum joint space width before receiving the intra-articular injection and at 2-week intervals were compared. Twelve patients who received OA intervention were enrolled and finally a clinical evaluation of 12 knee joints and knee synovial fluid samples were analyzed. In this study, after receiving hypertonic dextrose prolotherapy, the OA patients clearly demonstrated a significant improvement in WOMAC index and increasing tendency in the medial minimum joint space width after intervention. Meanwhile, we observed a significantly associated tendency between hypertonic dextrose treatment of knee OA and the upregulation of MMP2, TIMP-1, EGF, CXCL9 and IL-22.\nConclusion: The findings provide knee OA patients receiving hypertonic dextrose prolotherapy, which is accompained by the improvemeny of knee symptoms and associated tendency of upregulation of MMP2, EGF, CXCL 9 and IL-22.","container-title":"J Chin Med Assoc","language":"en","page":"7","source":"Zotero","title":"Identification of early response to hypertonic dextrose prolotherapy markers in knee osteoarthritis patients by an inflammation-related cytokine array","author":[{"family":"Pan","given":"Po-Jung"},{"family":"Wang","given":"Jia-Chi"},{"family":"Tsai","given":"Chih-Chun"},{"family":"Kuo","given":"Hsing-Chun"}],"issued":{"date-parts":[["2022"]]}}}],"schema":"https://github.com/citation-style-language/schema/raw/master/csl-citation.json"} </w:instrText>
      </w:r>
      <w:r w:rsidR="000603DD">
        <w:rPr>
          <w:rFonts w:ascii="Arial" w:eastAsia="Arial" w:hAnsi="Arial" w:cs="Arial"/>
          <w:color w:val="000000" w:themeColor="text1"/>
        </w:rPr>
        <w:fldChar w:fldCharType="separate"/>
      </w:r>
      <w:r w:rsidR="00F47488">
        <w:rPr>
          <w:rFonts w:ascii="Arial" w:eastAsia="Arial" w:hAnsi="Arial" w:cs="Arial"/>
          <w:noProof/>
          <w:color w:val="000000" w:themeColor="text1"/>
        </w:rPr>
        <w:t>(8)</w:t>
      </w:r>
      <w:r w:rsidR="000603DD">
        <w:rPr>
          <w:rFonts w:ascii="Arial" w:eastAsia="Arial" w:hAnsi="Arial" w:cs="Arial"/>
          <w:color w:val="000000" w:themeColor="text1"/>
        </w:rPr>
        <w:fldChar w:fldCharType="end"/>
      </w:r>
      <w:r w:rsidR="000603DD">
        <w:rPr>
          <w:rFonts w:ascii="Arial" w:eastAsia="Arial" w:hAnsi="Arial" w:cs="Arial"/>
          <w:color w:val="000000" w:themeColor="text1"/>
        </w:rPr>
        <w:t>,</w:t>
      </w:r>
      <w:r>
        <w:rPr>
          <w:rFonts w:ascii="Arial" w:eastAsia="Arial" w:hAnsi="Arial" w:cs="Arial"/>
        </w:rPr>
        <w:t xml:space="preserve"> evidenciaram uma mudança no padrão de expressão de citocinas (</w:t>
      </w:r>
      <w:proofErr w:type="spellStart"/>
      <w:r>
        <w:rPr>
          <w:rFonts w:ascii="Arial" w:eastAsia="Arial" w:hAnsi="Arial" w:cs="Arial"/>
        </w:rPr>
        <w:t>upregulation</w:t>
      </w:r>
      <w:proofErr w:type="spellEnd"/>
      <w:r>
        <w:rPr>
          <w:rFonts w:ascii="Arial" w:eastAsia="Arial" w:hAnsi="Arial" w:cs="Arial"/>
        </w:rPr>
        <w:t xml:space="preserve"> de 37 proteínas e </w:t>
      </w:r>
      <w:proofErr w:type="spellStart"/>
      <w:r>
        <w:rPr>
          <w:rFonts w:ascii="Arial" w:eastAsia="Arial" w:hAnsi="Arial" w:cs="Arial"/>
        </w:rPr>
        <w:t>downregulation</w:t>
      </w:r>
      <w:proofErr w:type="spellEnd"/>
      <w:r>
        <w:rPr>
          <w:rFonts w:ascii="Arial" w:eastAsia="Arial" w:hAnsi="Arial" w:cs="Arial"/>
        </w:rPr>
        <w:t xml:space="preserve"> de 10 proteínas) relacionadas à inflamação quantificadas no líquido sinovial do joelho de pacientes com OA submetidos a </w:t>
      </w:r>
      <w:proofErr w:type="spellStart"/>
      <w:r>
        <w:rPr>
          <w:rFonts w:ascii="Arial" w:eastAsia="Arial" w:hAnsi="Arial" w:cs="Arial"/>
        </w:rPr>
        <w:t>proloterapia</w:t>
      </w:r>
      <w:proofErr w:type="spellEnd"/>
      <w:r>
        <w:rPr>
          <w:rFonts w:ascii="Arial" w:eastAsia="Arial" w:hAnsi="Arial" w:cs="Arial"/>
        </w:rPr>
        <w:t xml:space="preserve"> com dextrose hipertônica, indicando que há um acréscimo no processo inflamatório induzido no protocolo adotado. Em contrapartida, através de experimentos in vitro submetendo cultura de condrócito a concentração de 250 </w:t>
      </w:r>
      <w:proofErr w:type="spellStart"/>
      <w:r>
        <w:rPr>
          <w:rFonts w:ascii="Arial" w:eastAsia="Arial" w:hAnsi="Arial" w:cs="Arial"/>
        </w:rPr>
        <w:t>mM</w:t>
      </w:r>
      <w:proofErr w:type="spellEnd"/>
      <w:r>
        <w:rPr>
          <w:rFonts w:ascii="Arial" w:eastAsia="Arial" w:hAnsi="Arial" w:cs="Arial"/>
        </w:rPr>
        <w:t xml:space="preserve"> de dextrose hipertônica, </w:t>
      </w:r>
      <w:r w:rsidRPr="00AD4989">
        <w:rPr>
          <w:rFonts w:ascii="Arial" w:eastAsia="Arial" w:hAnsi="Arial" w:cs="Arial"/>
          <w:color w:val="000000" w:themeColor="text1"/>
        </w:rPr>
        <w:t>Johnston et</w:t>
      </w:r>
      <w:r w:rsidR="00AD4989">
        <w:rPr>
          <w:rFonts w:ascii="Arial" w:eastAsia="Arial" w:hAnsi="Arial" w:cs="Arial"/>
          <w:color w:val="000000" w:themeColor="text1"/>
        </w:rPr>
        <w:t>.</w:t>
      </w:r>
      <w:r w:rsidRPr="00AD4989">
        <w:rPr>
          <w:rFonts w:ascii="Arial" w:eastAsia="Arial" w:hAnsi="Arial" w:cs="Arial"/>
          <w:color w:val="000000" w:themeColor="text1"/>
        </w:rPr>
        <w:t xml:space="preserve"> </w:t>
      </w:r>
      <w:r w:rsidR="000603DD">
        <w:rPr>
          <w:rFonts w:ascii="Arial" w:eastAsia="Arial" w:hAnsi="Arial" w:cs="Arial"/>
          <w:color w:val="000000" w:themeColor="text1"/>
        </w:rPr>
        <w:t>a</w:t>
      </w:r>
      <w:r w:rsidRPr="00AD4989">
        <w:rPr>
          <w:rFonts w:ascii="Arial" w:eastAsia="Arial" w:hAnsi="Arial" w:cs="Arial"/>
          <w:color w:val="000000" w:themeColor="text1"/>
        </w:rPr>
        <w:t>l</w:t>
      </w:r>
      <w:r w:rsidR="00AD4989">
        <w:rPr>
          <w:rFonts w:ascii="Arial" w:eastAsia="Arial" w:hAnsi="Arial" w:cs="Arial"/>
          <w:color w:val="000000" w:themeColor="text1"/>
        </w:rPr>
        <w:t>.</w:t>
      </w:r>
      <w:r w:rsidR="000603DD">
        <w:rPr>
          <w:rFonts w:ascii="Arial" w:eastAsia="Arial" w:hAnsi="Arial" w:cs="Arial"/>
          <w:color w:val="000000" w:themeColor="text1"/>
        </w:rPr>
        <w:fldChar w:fldCharType="begin"/>
      </w:r>
      <w:r w:rsidR="00124F29">
        <w:rPr>
          <w:rFonts w:ascii="Arial" w:eastAsia="Arial" w:hAnsi="Arial" w:cs="Arial"/>
          <w:color w:val="000000" w:themeColor="text1"/>
        </w:rPr>
        <w:instrText xml:space="preserve"> ADDIN ZOTERO_ITEM CSL_CITATION {"citationID":"Ozzyjnuc","properties":{"formattedCitation":"(7)","plainCitation":"(7)","noteIndex":0},"citationItems":[{"id":586,"uris":["http://zotero.org/users/9580607/items/ZEHBN4XB"],"itemData":{"id":586,"type":"article-journal","abstract":"Objective. Hypertonic dextrose (HD) injections (prolotherapy) for osteoarthritis are reported to reduce pain. Cartilage regeneration is hypothesized as a mechanism. This in vitro study identifies an HD concentration that stimulates chondrogenic cells to increase metabolic activity and assesses whether this concentration affects collagen deposition and proliferation. Design. ATDC5 chondrogenic cells were cultured in normoglycemic DMEM/F12 medium, treated with concentrations of HD (4-400 mM), and assessed with PrestoBlue. Advanced light microscopy was used to conduct live imaging of collagen deposition through second harmonic generation microscopy (SHG) and proliferation via 2-photon excitation microscopy. Proliferation was additionally assessed with hemocytometer counts. Results. A linear regression model found that, relative to the 4 mM baseline control, cells treated with 200 mM had a higher mean absorbance (P = 0.023) and cells treated with 250 mM were trending toward a higher mean absorbance (P = 0.076). Polynomial regression interpolated 240 mM as producing the highest average absorbance. Hemocytometer counts validated 250 mM as stimulating proliferation compared with the 4 mM control (P &lt; 0.01). A concentration of 250 mM HD led to an increase in collagen deposition compared with that observed in control (P &lt; 0.05). This HD concentration also led to increases in proliferation of ATDC5 cells relative to that of control (P &lt; 0.001). Conclusions. A 250 mM HD solution appears to be associated with increased metabolic activity of chondrocytes, increased collagen deposition, and increased chondrocyte proliferation. These results support clinical prolotherapy research suggesting that intra-articular HD joint injections reduce knee pain. Further study of HD and cellular processes is warranted.","container-title":"CARTILAGE","DOI":"10.1177/19476035211014572","ISSN":"1947-6035, 1947-6043","issue":"2_suppl","journalAbbreviation":"CARTILAGE","language":"en","page":"213S-224S","source":"DOI.org (Crossref)","title":"Hypertonic Dextrose Stimulates Chondrogenic Cells to Deposit Collagen and Proliferate","volume":"13","author":[{"family":"Johnston","given":"Elisha"},{"family":"Kou","given":"Yi"},{"family":"Junge","given":"Jason"},{"family":"Chen","given":"Lin"},{"family":"Kochan","given":"Andrew"},{"family":"Johnston","given":"Michael"},{"family":"Rabago","given":"David"}],"issued":{"date-parts":[["2021",12]]}}}],"schema":"https://github.com/citation-style-language/schema/raw/master/csl-citation.json"} </w:instrText>
      </w:r>
      <w:r w:rsidR="000603DD">
        <w:rPr>
          <w:rFonts w:ascii="Arial" w:eastAsia="Arial" w:hAnsi="Arial" w:cs="Arial"/>
          <w:color w:val="000000" w:themeColor="text1"/>
        </w:rPr>
        <w:fldChar w:fldCharType="separate"/>
      </w:r>
      <w:r w:rsidR="00F47488">
        <w:rPr>
          <w:rFonts w:ascii="Arial" w:eastAsia="Arial" w:hAnsi="Arial" w:cs="Arial"/>
          <w:noProof/>
          <w:color w:val="000000" w:themeColor="text1"/>
        </w:rPr>
        <w:t>(7)</w:t>
      </w:r>
      <w:r w:rsidR="000603DD">
        <w:rPr>
          <w:rFonts w:ascii="Arial" w:eastAsia="Arial" w:hAnsi="Arial" w:cs="Arial"/>
          <w:color w:val="000000" w:themeColor="text1"/>
        </w:rPr>
        <w:fldChar w:fldCharType="end"/>
      </w:r>
      <w:r w:rsidR="000603DD">
        <w:rPr>
          <w:rFonts w:ascii="Arial" w:eastAsia="Arial" w:hAnsi="Arial" w:cs="Arial"/>
          <w:color w:val="000000" w:themeColor="text1"/>
        </w:rPr>
        <w:t>,</w:t>
      </w:r>
      <w:r w:rsidRPr="00AD4989">
        <w:rPr>
          <w:rFonts w:ascii="Arial" w:eastAsia="Arial" w:hAnsi="Arial" w:cs="Arial"/>
          <w:color w:val="000000" w:themeColor="text1"/>
        </w:rPr>
        <w:t xml:space="preserve"> evidencia um aumento na deposição de colágeno e na proliferação dessas </w:t>
      </w:r>
      <w:r>
        <w:rPr>
          <w:rFonts w:ascii="Arial" w:eastAsia="Arial" w:hAnsi="Arial" w:cs="Arial"/>
        </w:rPr>
        <w:t>células e sugere que a DH funciona no tratamento da OA não por seu caráter irritativo, mas sim pela capacidade de ser um potencial agente metabólico retardante da progressão da doença. Torna-se claro, portanto, que a literatura ainda carece de estudos elucidativos a respeito do verdadeiro mecanismo de ação da DH no tratamento da AO.</w:t>
      </w:r>
    </w:p>
    <w:p w14:paraId="49223918" w14:textId="46685185" w:rsidR="00DC34E6" w:rsidRDefault="008C58E3">
      <w:pPr>
        <w:spacing w:line="360" w:lineRule="auto"/>
        <w:ind w:left="0" w:hanging="2"/>
        <w:jc w:val="both"/>
        <w:rPr>
          <w:rFonts w:ascii="Arial" w:eastAsia="Arial" w:hAnsi="Arial" w:cs="Arial"/>
        </w:rPr>
      </w:pPr>
      <w:r>
        <w:rPr>
          <w:rFonts w:ascii="Arial" w:eastAsia="Arial" w:hAnsi="Arial" w:cs="Arial"/>
        </w:rPr>
        <w:lastRenderedPageBreak/>
        <w:t xml:space="preserve">Nesse cenário, </w:t>
      </w:r>
      <w:r w:rsidRPr="000603DD">
        <w:rPr>
          <w:rFonts w:ascii="Arial" w:eastAsia="Arial" w:hAnsi="Arial" w:cs="Arial"/>
          <w:color w:val="000000" w:themeColor="text1"/>
        </w:rPr>
        <w:t>Wang et</w:t>
      </w:r>
      <w:r w:rsidR="000603DD">
        <w:rPr>
          <w:rFonts w:ascii="Arial" w:eastAsia="Arial" w:hAnsi="Arial" w:cs="Arial"/>
          <w:color w:val="000000" w:themeColor="text1"/>
        </w:rPr>
        <w:t>.</w:t>
      </w:r>
      <w:r w:rsidRPr="000603DD">
        <w:rPr>
          <w:rFonts w:ascii="Arial" w:eastAsia="Arial" w:hAnsi="Arial" w:cs="Arial"/>
          <w:color w:val="000000" w:themeColor="text1"/>
        </w:rPr>
        <w:t xml:space="preserve"> al</w:t>
      </w:r>
      <w:r w:rsidR="000603DD">
        <w:rPr>
          <w:rFonts w:ascii="Arial" w:eastAsia="Arial" w:hAnsi="Arial" w:cs="Arial"/>
          <w:color w:val="000000" w:themeColor="text1"/>
        </w:rPr>
        <w:t>.</w:t>
      </w:r>
      <w:r w:rsidR="000603DD">
        <w:rPr>
          <w:rFonts w:ascii="Arial" w:eastAsia="Arial" w:hAnsi="Arial" w:cs="Arial"/>
          <w:color w:val="000000" w:themeColor="text1"/>
        </w:rPr>
        <w:fldChar w:fldCharType="begin"/>
      </w:r>
      <w:r w:rsidR="00124F29">
        <w:rPr>
          <w:rFonts w:ascii="Arial" w:eastAsia="Arial" w:hAnsi="Arial" w:cs="Arial"/>
          <w:color w:val="000000" w:themeColor="text1"/>
        </w:rPr>
        <w:instrText xml:space="preserve"> ADDIN ZOTERO_ITEM CSL_CITATION {"citationID":"UeqTXOeM","properties":{"formattedCitation":"(9)","plainCitation":"(9)","noteIndex":0},"citationItems":[{"id":582,"uris":["http://zotero.org/users/9580607/items/WTLRANP9"],"itemData":{"id":582,"type":"article-journal","abstract":"Hypertonic dextrose prolotherapy (HDP) is an injection of a concentrated dextrose solution for the purpose of local treatment of musculoskeletal pain and possible enhancement of repair mechanisms. This systematic review and meta-analysis examines the clinical utility of HDP injection for treatment of knee osteoarthritis (OA). Randomized controlled trials (RCTs) utilizing HDP to treat knee OA were retrieved from MEDLINE, EMBASE, and Cochrane Library (CENTRAL). Identification and inclusion of RCTs utilizing intra-articular and extra-articular administration of HDP vs administration of other injectate or physical therapy as control for knee OA were included. Primary clinical outcomes were changes in knee WOMAC, pain and function score. Secondary outcomes were adverse events related to HDP. For continuous outcomes with same or different measurements, we calculated, respectively the weighted mean difference (WMD) or the standardized mean difference (SMD), respectively. Results were pooled using DerSimonian and Laird random effect models across the included studies and heterogeneity between studies was estimated using the I2 index. Five studies comprising a total of 319 treated patients met inclusion criteria and were included in the final analysis. At a mean of 22.8 weeks follow-up, HDP treatment significantly improved total WOMAC score (WMD = 13.77, 95% CI: 6.75–20.78; p &lt; 0.001; I2 = 90%), pain (SMD = 1.33, 95% CI: 0.49–2.17; p &lt; 0.001; I2 = 91%) and knee function (SMD = 1.30, 95% CI: 0.45–2.14; p &lt; 0.001; I2 = 91%) compared with control group. There were no severe adverse events related to dextrose injection reported in all the included studies. HDP is a promising treatment for knee OA with a reasonable safety profile. Further research in mechanism of HDP activity and long-term follow-up study will be needed for exploring this novel therapy modality.","container-title":"Aging Clinical and Experimental Research","DOI":"10.1007/s40520-021-01963-3","ISSN":"1720-8319","issue":"4","journalAbbreviation":"Aging Clin Exp Res","language":"en","page":"715-724","source":"DOI.org (Crossref)","title":"Meta-analysis of clinical trials focusing on hypertonic dextrose prolotherapy (HDP) for knee osteoarthritis","volume":"34","author":[{"family":"Wang","given":"Jun"},{"family":"Liang","given":"Jie"},{"family":"Yao","given":"Jin"},{"family":"Song","given":"Hai Xin"},{"family":"Yang","given":"Xiao Tian"},{"family":"Wu","given":"Fang Chao"},{"family":"Ye","given":"Ye"},{"family":"Li","given":"Jian Hua"},{"family":"Wu","given":"Tao"}],"issued":{"date-parts":[["2022",4]]}}}],"schema":"https://github.com/citation-style-language/schema/raw/master/csl-citation.json"} </w:instrText>
      </w:r>
      <w:r w:rsidR="000603DD">
        <w:rPr>
          <w:rFonts w:ascii="Arial" w:eastAsia="Arial" w:hAnsi="Arial" w:cs="Arial"/>
          <w:color w:val="000000" w:themeColor="text1"/>
        </w:rPr>
        <w:fldChar w:fldCharType="separate"/>
      </w:r>
      <w:r w:rsidR="00F47488">
        <w:rPr>
          <w:rFonts w:ascii="Arial" w:eastAsia="Arial" w:hAnsi="Arial" w:cs="Arial"/>
          <w:noProof/>
          <w:color w:val="000000" w:themeColor="text1"/>
        </w:rPr>
        <w:t>(9)</w:t>
      </w:r>
      <w:r w:rsidR="000603DD">
        <w:rPr>
          <w:rFonts w:ascii="Arial" w:eastAsia="Arial" w:hAnsi="Arial" w:cs="Arial"/>
          <w:color w:val="000000" w:themeColor="text1"/>
        </w:rPr>
        <w:fldChar w:fldCharType="end"/>
      </w:r>
      <w:r w:rsidR="000603DD">
        <w:rPr>
          <w:rFonts w:ascii="Arial" w:eastAsia="Arial" w:hAnsi="Arial" w:cs="Arial"/>
          <w:color w:val="000000" w:themeColor="text1"/>
        </w:rPr>
        <w:t>,</w:t>
      </w:r>
      <w:r>
        <w:rPr>
          <w:rFonts w:ascii="Arial" w:eastAsia="Arial" w:hAnsi="Arial" w:cs="Arial"/>
        </w:rPr>
        <w:t xml:space="preserve"> conduziram uma revisão sistemática e meta-análise contemplando 5 estudos clínicos randomizados que, ao todo, incluíram 319 indivíduos (&lt; 65 anos) com OA de joelho grau II/III ou III/IV de </w:t>
      </w:r>
      <w:proofErr w:type="spellStart"/>
      <w:r>
        <w:rPr>
          <w:rFonts w:ascii="Arial" w:eastAsia="Arial" w:hAnsi="Arial" w:cs="Arial"/>
        </w:rPr>
        <w:t>Kellgren</w:t>
      </w:r>
      <w:proofErr w:type="spellEnd"/>
      <w:r>
        <w:rPr>
          <w:rFonts w:ascii="Arial" w:eastAsia="Arial" w:hAnsi="Arial" w:cs="Arial"/>
        </w:rPr>
        <w:t xml:space="preserve">-Lawrence, todos refratários a terapia conservadora (fisioterapia, analgésico e </w:t>
      </w:r>
      <w:proofErr w:type="spellStart"/>
      <w:r>
        <w:rPr>
          <w:rFonts w:ascii="Arial" w:eastAsia="Arial" w:hAnsi="Arial" w:cs="Arial"/>
        </w:rPr>
        <w:t>AINEs</w:t>
      </w:r>
      <w:proofErr w:type="spellEnd"/>
      <w:r>
        <w:rPr>
          <w:rFonts w:ascii="Arial" w:eastAsia="Arial" w:hAnsi="Arial" w:cs="Arial"/>
        </w:rPr>
        <w:t xml:space="preserve"> tópicos), que foram separados em dois grupos: 135 receberam terapia com PDH e os outros 184, classificados como controle, receberam solução salina, água destilada ou programa de exercícios físicos. Desse modo, foi possível comparar os efeitos gerados pela PDH na dor e na função com os resultados gerados a partir de placebo ou exercício físico, via escores WOMAC ou KOOS. Assim, pode-se perceber que houve diferença estatisticamente significativa de pontuação tanto da dor quanto de função no grupo PDH, favorecendo essa intervenção e refletindo também uma melhor pontuação total do WOMAC. Contudo, devido ao número reduzido de estudos contemplados e a qualidade metodológica dos mesmos com alto risco de viés, esses resultados devem ser analisados com criticidade e ainda requerem complementação com estudos futuros </w:t>
      </w:r>
      <w:proofErr w:type="gramStart"/>
      <w:r>
        <w:rPr>
          <w:rFonts w:ascii="Arial" w:eastAsia="Arial" w:hAnsi="Arial" w:cs="Arial"/>
        </w:rPr>
        <w:t>melhor</w:t>
      </w:r>
      <w:r w:rsidR="006A08B2">
        <w:rPr>
          <w:rFonts w:ascii="Arial" w:eastAsia="Arial" w:hAnsi="Arial" w:cs="Arial"/>
        </w:rPr>
        <w:t>es</w:t>
      </w:r>
      <w:proofErr w:type="gramEnd"/>
      <w:r>
        <w:rPr>
          <w:rFonts w:ascii="Arial" w:eastAsia="Arial" w:hAnsi="Arial" w:cs="Arial"/>
        </w:rPr>
        <w:t xml:space="preserve"> desenhados e mais padronizados.</w:t>
      </w:r>
    </w:p>
    <w:p w14:paraId="40F52563" w14:textId="77777777" w:rsidR="00DC34E6" w:rsidRDefault="008C58E3">
      <w:pPr>
        <w:spacing w:line="360" w:lineRule="auto"/>
        <w:ind w:left="0" w:hanging="2"/>
        <w:jc w:val="both"/>
        <w:rPr>
          <w:rFonts w:ascii="Arial" w:eastAsia="Arial" w:hAnsi="Arial" w:cs="Arial"/>
        </w:rPr>
      </w:pPr>
      <w:r>
        <w:rPr>
          <w:rFonts w:ascii="Arial" w:eastAsia="Arial" w:hAnsi="Arial" w:cs="Arial"/>
        </w:rPr>
        <w:t>No nosso meio, uma revisão sistemática comparando a PDH com outras substâncias para alívio da dor não evidenciou resultados claros, de modo que os autores indicam uma urgente necessidade de realizar mais estudos sobre o tema (9).</w:t>
      </w:r>
    </w:p>
    <w:p w14:paraId="17A80E60" w14:textId="77777777" w:rsidR="00DC34E6" w:rsidRDefault="008C58E3">
      <w:pPr>
        <w:spacing w:before="240" w:line="360" w:lineRule="auto"/>
        <w:ind w:left="0" w:hanging="2"/>
        <w:jc w:val="both"/>
        <w:rPr>
          <w:rFonts w:ascii="Arial" w:eastAsia="Arial" w:hAnsi="Arial" w:cs="Arial"/>
        </w:rPr>
      </w:pPr>
      <w:r>
        <w:rPr>
          <w:rFonts w:ascii="Arial" w:eastAsia="Arial" w:hAnsi="Arial" w:cs="Arial"/>
        </w:rPr>
        <w:t>1.3 PROLOTERAPIA VS VISCOSSUPLEMENTAÇÃO</w:t>
      </w:r>
    </w:p>
    <w:p w14:paraId="253C3053" w14:textId="4BE2F516" w:rsidR="00DC34E6" w:rsidRDefault="008C58E3">
      <w:pPr>
        <w:spacing w:before="240" w:line="360" w:lineRule="auto"/>
        <w:ind w:left="0" w:hanging="2"/>
        <w:jc w:val="both"/>
        <w:rPr>
          <w:rFonts w:ascii="Arial" w:eastAsia="Arial" w:hAnsi="Arial" w:cs="Arial"/>
        </w:rPr>
      </w:pPr>
      <w:r>
        <w:rPr>
          <w:rFonts w:ascii="Arial" w:eastAsia="Arial" w:hAnsi="Arial" w:cs="Arial"/>
        </w:rPr>
        <w:t xml:space="preserve">Quando da comparação entre os resultados de injeção intra-articular de ácido hialurônico e periarticular de dextrose hipertônica em pacientes com OA do joelho, </w:t>
      </w:r>
      <w:proofErr w:type="spellStart"/>
      <w:r>
        <w:rPr>
          <w:rFonts w:ascii="Arial" w:eastAsia="Arial" w:hAnsi="Arial" w:cs="Arial"/>
        </w:rPr>
        <w:t>Hosseini</w:t>
      </w:r>
      <w:proofErr w:type="spellEnd"/>
      <w:r>
        <w:rPr>
          <w:rFonts w:ascii="Arial" w:eastAsia="Arial" w:hAnsi="Arial" w:cs="Arial"/>
        </w:rPr>
        <w:t xml:space="preserve"> et</w:t>
      </w:r>
      <w:r w:rsidR="006A08B2">
        <w:rPr>
          <w:rFonts w:ascii="Arial" w:eastAsia="Arial" w:hAnsi="Arial" w:cs="Arial"/>
        </w:rPr>
        <w:t>.</w:t>
      </w:r>
      <w:r>
        <w:rPr>
          <w:rFonts w:ascii="Arial" w:eastAsia="Arial" w:hAnsi="Arial" w:cs="Arial"/>
        </w:rPr>
        <w:t xml:space="preserve"> </w:t>
      </w:r>
      <w:r w:rsidR="000603DD">
        <w:rPr>
          <w:rFonts w:ascii="Arial" w:eastAsia="Arial" w:hAnsi="Arial" w:cs="Arial"/>
        </w:rPr>
        <w:t>a</w:t>
      </w:r>
      <w:r>
        <w:rPr>
          <w:rFonts w:ascii="Arial" w:eastAsia="Arial" w:hAnsi="Arial" w:cs="Arial"/>
        </w:rPr>
        <w:t>l</w:t>
      </w:r>
      <w:r w:rsidR="006A08B2">
        <w:rPr>
          <w:rFonts w:ascii="Arial" w:eastAsia="Arial" w:hAnsi="Arial" w:cs="Arial"/>
        </w:rPr>
        <w:t>.</w:t>
      </w:r>
      <w:r w:rsidR="000603DD">
        <w:rPr>
          <w:rFonts w:ascii="Arial" w:eastAsia="Arial" w:hAnsi="Arial" w:cs="Arial"/>
        </w:rPr>
        <w:fldChar w:fldCharType="begin"/>
      </w:r>
      <w:r w:rsidR="00124F29">
        <w:rPr>
          <w:rFonts w:ascii="Arial" w:eastAsia="Arial" w:hAnsi="Arial" w:cs="Arial"/>
        </w:rPr>
        <w:instrText xml:space="preserve"> ADDIN ZOTERO_ITEM CSL_CITATION {"citationID":"dAcQYa0h","properties":{"formattedCitation":"(10)","plainCitation":"(10)","noteIndex":0},"citationItems":[{"id":310,"uris":["http://zotero.org/users/9580607/items/2E8ERID6"],"itemData":{"id":310,"type":"article-journal","abstract":"BACKGROUND: Knee osteoarthritis (KOA) is the most prevailing form of joint disease. Despite the importance of minimally invasive therapeutic methods of KOA, there is a lack of evidence to compare intraarticular hyaluronic acid injection vs traditional dextrose prolotherapy.\nOBJECTIVE: The aim was to compare the therapeutic effects of prolotherapy with hypertonic dextrose vs hyaluronic acid on function and pain in KOA cases.\nMATERIALS AND METHODS: One hundred and four KOA patients were enrolled and randomly assigned into two groups, each containing 52 patients. The hyaluronic acid (HA) group were treated by 2.5 mL of hyaluronic acid intraarticulary, and the hypertonic dextrose (HD) group received 10 mL of 12.5% dextrose periarticulary. Injections were repeated three times with 1-week intervals. Pain intensity, measured by visual analog scale, and knee function, scaled by the Western Ontario and McMaster university arthritis index scores were compared between the two groups before and 3 months after intervention. Pain and function of the knee improved significantly (P&lt;0.001) in all patients. However, significantly more symptom relief was found in the HA over the HD group. Prolotherapy with hypertonic dextrose and intraarticular injection of hyaluronic acid results in the same pain reduction and symptom relief as a noninvasive therapeutic method of KOA.\nCONCLUSION: These results recommended intraarticular hyaluronic acid rather than prolotherapy by hypertonic dextrose for KOA symptoms relief.","container-title":"Open Access Rheumatology: Research and Reviews","DOI":"10.2147/OARRR.S215576","ISSN":"1179-156X","journalAbbreviation":"Open Access Rheumatol","language":"eng","note":"PMID: 31819680\nPMCID: PMC6873954","page":"269-274","source":"PubMed","title":"Periarticular hypertonic dextrose vs intraarticular hyaluronic acid injections: a comparison of two minimally invasive techniques in the treatment of symptomatic knee osteoarthritis","title-short":"Periarticular hypertonic dextrose vs intraarticular hyaluronic acid injections","volume":"11","author":[{"family":"Hosseini","given":"Behnam"},{"family":"Taheri","given":"Mehrdad"},{"family":"Pourroustaei Ardekani","given":"Reza"},{"family":"Moradi","given":"Siamak"},{"family":"Kazempour Mofrad","given":"Morteza"}],"issued":{"date-parts":[["2019"]]}}}],"schema":"https://github.com/citation-style-language/schema/raw/master/csl-citation.json"} </w:instrText>
      </w:r>
      <w:r w:rsidR="000603DD">
        <w:rPr>
          <w:rFonts w:ascii="Arial" w:eastAsia="Arial" w:hAnsi="Arial" w:cs="Arial"/>
        </w:rPr>
        <w:fldChar w:fldCharType="separate"/>
      </w:r>
      <w:r w:rsidR="00F47488">
        <w:rPr>
          <w:rFonts w:ascii="Arial" w:eastAsia="Arial" w:hAnsi="Arial" w:cs="Arial"/>
          <w:noProof/>
        </w:rPr>
        <w:t>(10)</w:t>
      </w:r>
      <w:r w:rsidR="000603DD">
        <w:rPr>
          <w:rFonts w:ascii="Arial" w:eastAsia="Arial" w:hAnsi="Arial" w:cs="Arial"/>
        </w:rPr>
        <w:fldChar w:fldCharType="end"/>
      </w:r>
      <w:r w:rsidR="000603DD">
        <w:rPr>
          <w:rFonts w:ascii="Arial" w:eastAsia="Arial" w:hAnsi="Arial" w:cs="Arial"/>
        </w:rPr>
        <w:t xml:space="preserve"> </w:t>
      </w:r>
      <w:r w:rsidR="006A08B2">
        <w:rPr>
          <w:rFonts w:ascii="Arial" w:eastAsia="Arial" w:hAnsi="Arial" w:cs="Arial"/>
        </w:rPr>
        <w:t>,</w:t>
      </w:r>
      <w:r>
        <w:rPr>
          <w:rFonts w:ascii="Arial" w:eastAsia="Arial" w:hAnsi="Arial" w:cs="Arial"/>
        </w:rPr>
        <w:t xml:space="preserve"> encontraram melhora significativa da dor e da função para ambas as intervenções, sendo que grupo que recebeu AH apresentou alívio dos sintomas significativamente maior do que o grupo de DH. Entretanto, na comparação entre as mesmas substâncias, ambas com administração intra-articular, foi demonstrado maior controle da dor e recuperação de função para a </w:t>
      </w:r>
      <w:proofErr w:type="spellStart"/>
      <w:r>
        <w:rPr>
          <w:rFonts w:ascii="Arial" w:eastAsia="Arial" w:hAnsi="Arial" w:cs="Arial"/>
        </w:rPr>
        <w:t>proloterapia</w:t>
      </w:r>
      <w:proofErr w:type="spellEnd"/>
      <w:r w:rsidR="000603DD">
        <w:rPr>
          <w:rFonts w:ascii="Arial" w:eastAsia="Arial" w:hAnsi="Arial" w:cs="Arial"/>
        </w:rPr>
        <w:fldChar w:fldCharType="begin"/>
      </w:r>
      <w:r w:rsidR="00124F29">
        <w:rPr>
          <w:rFonts w:ascii="Arial" w:eastAsia="Arial" w:hAnsi="Arial" w:cs="Arial"/>
        </w:rPr>
        <w:instrText xml:space="preserve"> ADDIN ZOTERO_ITEM CSL_CITATION {"citationID":"Hc5fcltg","properties":{"formattedCitation":"(11)","plainCitation":"(11)","noteIndex":0},"citationItems":[{"id":335,"uris":["http://zotero.org/users/9580607/items/SZFSRRL3"],"itemData":{"id":335,"type":"article-journal","abstract":"The objective of this study is to compare the effectiveness of dextrose-prolotherapy with other substances for pain relief in patients with primary knee osteoarthritis. The literature screening was done in January 2021 through Medline (PubMed), EMBASE, and Database of the National Institute of Health based on the following criteria: randomized clinical trials that subjected patients with primary knee osteoarthritis who underwent treatment with dextrose-prolotherapy and other substances for pain relief. Paired reviewers independently identified 3381 articles and included 8 trials that met the eligibility criteria. According to the findings of this review, participants that underwent dextrose-prolotherapy showed improvements between baseline and posterior assessments and when compared to saline injections, but when compared to other substances, the results were not clear. Although dextrose-prolotherapy is a useful treatment method by itself, it is still not possible to clearly affirm that it is superior or inferior to its counterparts. There is an urgent need for further studies to bring more evidence to the field.","container-title":"Clinics (Sao Paulo, Brazil)","DOI":"10.1016/j.clinsp.2022.100037","ISSN":"1980-5322","journalAbbreviation":"Clinics (Sao Paulo)","language":"eng","note":"PMID: 35594623\nPMCID: PMC9123214","page":"100037","source":"PubMed","title":"Comparing dextrose prolotherapy with other substances in knee osteoarthritis pain relief: A systematic review","title-short":"Comparing dextrose prolotherapy with other substances in knee osteoarthritis pain relief","volume":"77","author":[{"family":"Cortez","given":"Vitor Santos"},{"family":"Moraes","given":"Walter Augusto"},{"family":"Taba","given":"João Victor"},{"family":"Condi","given":"Alberto"},{"family":"Suzuki","given":"Milena Oliveira"},{"family":"Nascimento","given":"Fernanda Sayuri","dropping-particle":"do"},{"family":"Pipek","given":"Leonardo Zumerkorn"},{"family":"Mattos","given":"Vitoria Carneiro","dropping-particle":"de"},{"family":"Torsani","given":"Matheus Belloni"},{"family":"Meyer","given":"Alberto"},{"family":"Hsing","given":"Wu Tu"},{"family":"Iuamoto","given":"Leandro Ryuchi"}],"issued":{"date-parts":[["2022"]]}}}],"schema":"https://github.com/citation-style-language/schema/raw/master/csl-citation.json"} </w:instrText>
      </w:r>
      <w:r w:rsidR="000603DD">
        <w:rPr>
          <w:rFonts w:ascii="Arial" w:eastAsia="Arial" w:hAnsi="Arial" w:cs="Arial"/>
        </w:rPr>
        <w:fldChar w:fldCharType="separate"/>
      </w:r>
      <w:r w:rsidR="00F47488">
        <w:rPr>
          <w:rFonts w:ascii="Arial" w:eastAsia="Arial" w:hAnsi="Arial" w:cs="Arial"/>
          <w:noProof/>
        </w:rPr>
        <w:t>(11)</w:t>
      </w:r>
      <w:r w:rsidR="000603DD">
        <w:rPr>
          <w:rFonts w:ascii="Arial" w:eastAsia="Arial" w:hAnsi="Arial" w:cs="Arial"/>
        </w:rPr>
        <w:fldChar w:fldCharType="end"/>
      </w:r>
      <w:r>
        <w:rPr>
          <w:rFonts w:ascii="Arial" w:eastAsia="Arial" w:hAnsi="Arial" w:cs="Arial"/>
        </w:rPr>
        <w:t>. Arias-</w:t>
      </w:r>
      <w:proofErr w:type="spellStart"/>
      <w:r>
        <w:rPr>
          <w:rFonts w:ascii="Arial" w:eastAsia="Arial" w:hAnsi="Arial" w:cs="Arial"/>
        </w:rPr>
        <w:t>Vázquez</w:t>
      </w:r>
      <w:proofErr w:type="spellEnd"/>
      <w:r>
        <w:rPr>
          <w:rFonts w:ascii="Arial" w:eastAsia="Arial" w:hAnsi="Arial" w:cs="Arial"/>
        </w:rPr>
        <w:t xml:space="preserve"> et</w:t>
      </w:r>
      <w:r w:rsidR="006A08B2">
        <w:rPr>
          <w:rFonts w:ascii="Arial" w:eastAsia="Arial" w:hAnsi="Arial" w:cs="Arial"/>
        </w:rPr>
        <w:t>.</w:t>
      </w:r>
      <w:r>
        <w:rPr>
          <w:rFonts w:ascii="Arial" w:eastAsia="Arial" w:hAnsi="Arial" w:cs="Arial"/>
        </w:rPr>
        <w:t xml:space="preserve"> </w:t>
      </w:r>
      <w:r w:rsidR="000603DD">
        <w:rPr>
          <w:rFonts w:ascii="Arial" w:eastAsia="Arial" w:hAnsi="Arial" w:cs="Arial"/>
        </w:rPr>
        <w:t>a</w:t>
      </w:r>
      <w:r>
        <w:rPr>
          <w:rFonts w:ascii="Arial" w:eastAsia="Arial" w:hAnsi="Arial" w:cs="Arial"/>
        </w:rPr>
        <w:t>l</w:t>
      </w:r>
      <w:r w:rsidR="006A08B2">
        <w:rPr>
          <w:rFonts w:ascii="Arial" w:eastAsia="Arial" w:hAnsi="Arial" w:cs="Arial"/>
        </w:rPr>
        <w:t>.</w:t>
      </w:r>
      <w:r w:rsidR="000603DD">
        <w:rPr>
          <w:rFonts w:ascii="Arial" w:eastAsia="Arial" w:hAnsi="Arial" w:cs="Arial"/>
        </w:rPr>
        <w:fldChar w:fldCharType="begin"/>
      </w:r>
      <w:r w:rsidR="00124F29">
        <w:rPr>
          <w:rFonts w:ascii="Arial" w:eastAsia="Arial" w:hAnsi="Arial" w:cs="Arial"/>
        </w:rPr>
        <w:instrText xml:space="preserve"> ADDIN ZOTERO_ITEM CSL_CITATION {"citationID":"zLHwcDIu","properties":{"formattedCitation":"(12)","plainCitation":"(12)","noteIndex":0},"citationItems":[{"id":577,"uris":["http://zotero.org/users/9580607/items/S4FVZAJD"],"itemData":{"id":577,"type":"article-journal","abstract":"Background: To evaluate the efficacy and safety of prolotherapy with hypertonic dextrose in patients with knee osteoarthritis. A systematic search was performed in electronic databases including PUBMED, SCIELO, DIALNET and Google Scholar. Main body: We searched for randomized clinical trials that evaluated therapeutic interventions in patients with knee osteoarthritis. These trials compared the effect of intra-articular and / or extra-articular infiltrations of hypertonic dextrose vs the effect of intra-articular and / or extra-articular infiltrations of other substances or some interventional procedure application, via assessing pain, physical function and secondary effects and / or adverse reactions. Ten randomized clinical trials were included in this systematic review, the total sample size comprised 328 patients treated with hypertonic dextrose (prolotherapy) vs 348 controls treated with other infiltrations such as local anesthetics, hyaluronic acid, ozone, platelet-rich plasma or interventional procedures like radiofrequency. Conclusions: In terms of pain reduction and function improvement, prolotherapy with hypertonic dextrose was more effective than infiltrations with local anesthetics, as effective as infiltrations with hyaluronic acid, ozone or radiofrequency and less effective than PRP and erythropoietin, with beneficial effect in the short, medium and long term. In addition, no side effects or serious adverse reactions were reported in patients treated with hypertonic dextrose. Although HDP seems to be a promising interventional treatment for knee OA, more studies with better methodological quality and low risk of bias are needed to confirm the efficacy and safety of this intervention.","container-title":"Advances in Rheumatology","DOI":"10.1186/s42358-019-0083-7","ISSN":"2523-3106","issue":"1","journalAbbreviation":"Adv Rheumatol","language":"en","page":"39","source":"DOI.org (Crossref)","title":"Prolotherapy for knee osteoarthritis using hypertonic dextrose vs other interventional treatments: systematic review of clinical trials","title-short":"Prolotherapy for knee osteoarthritis using hypertonic dextrose vs other interventional treatments","volume":"59","author":[{"family":"Arias-Vázquez","given":"Pedro Iván"},{"family":"Tovilla-Zárate","given":"Carlos Alfonso"},{"family":"Legorreta-Ramírez","given":"Blanca Gabriela"},{"family":"Burad Fonz","given":"Wajid"},{"family":"Magaña-Ricardez","given":"Dory"},{"family":"González-Castro","given":"Thelma Beatriz"},{"family":"Juárez-Rojop","given":"Isela Esther"},{"family":"López-Narváez","given":"María Lilia"}],"issued":{"date-parts":[["2019",12]]}}}],"schema":"https://github.com/citation-style-language/schema/raw/master/csl-citation.json"} </w:instrText>
      </w:r>
      <w:r w:rsidR="000603DD">
        <w:rPr>
          <w:rFonts w:ascii="Arial" w:eastAsia="Arial" w:hAnsi="Arial" w:cs="Arial"/>
        </w:rPr>
        <w:fldChar w:fldCharType="separate"/>
      </w:r>
      <w:r w:rsidR="00F47488">
        <w:rPr>
          <w:rFonts w:ascii="Arial" w:eastAsia="Arial" w:hAnsi="Arial" w:cs="Arial"/>
          <w:noProof/>
        </w:rPr>
        <w:t>(12)</w:t>
      </w:r>
      <w:r w:rsidR="000603DD">
        <w:rPr>
          <w:rFonts w:ascii="Arial" w:eastAsia="Arial" w:hAnsi="Arial" w:cs="Arial"/>
        </w:rPr>
        <w:fldChar w:fldCharType="end"/>
      </w:r>
      <w:r w:rsidR="006A08B2">
        <w:rPr>
          <w:rFonts w:ascii="Arial" w:eastAsia="Arial" w:hAnsi="Arial" w:cs="Arial"/>
        </w:rPr>
        <w:t>,</w:t>
      </w:r>
      <w:r>
        <w:rPr>
          <w:rFonts w:ascii="Arial" w:eastAsia="Arial" w:hAnsi="Arial" w:cs="Arial"/>
        </w:rPr>
        <w:t xml:space="preserve"> também observaram em revisão sistemática e meta-análise estudos que comparavam </w:t>
      </w:r>
      <w:proofErr w:type="spellStart"/>
      <w:r>
        <w:rPr>
          <w:rFonts w:ascii="Arial" w:eastAsia="Arial" w:hAnsi="Arial" w:cs="Arial"/>
        </w:rPr>
        <w:t>proloterapia</w:t>
      </w:r>
      <w:proofErr w:type="spellEnd"/>
      <w:r>
        <w:rPr>
          <w:rFonts w:ascii="Arial" w:eastAsia="Arial" w:hAnsi="Arial" w:cs="Arial"/>
        </w:rPr>
        <w:t xml:space="preserve"> com DH e injeção intra-articular de AH para OA do joelho. No curto prazo não foi demonstrada diferença significativa entre os dois tratamentos. Entretanto, quando analisados apenas os estudos que utilizaram a </w:t>
      </w:r>
      <w:proofErr w:type="spellStart"/>
      <w:r>
        <w:rPr>
          <w:rFonts w:ascii="Arial" w:eastAsia="Arial" w:hAnsi="Arial" w:cs="Arial"/>
        </w:rPr>
        <w:t>proloterapia</w:t>
      </w:r>
      <w:proofErr w:type="spellEnd"/>
      <w:r>
        <w:rPr>
          <w:rFonts w:ascii="Arial" w:eastAsia="Arial" w:hAnsi="Arial" w:cs="Arial"/>
        </w:rPr>
        <w:t xml:space="preserve"> intra-articular, foi encontrado efeito em favor dessa intervenção, com maior diminuição da dor e melhora da capacidade funcional em relação à </w:t>
      </w:r>
      <w:proofErr w:type="spellStart"/>
      <w:r>
        <w:rPr>
          <w:rFonts w:ascii="Arial" w:eastAsia="Arial" w:hAnsi="Arial" w:cs="Arial"/>
        </w:rPr>
        <w:t>viscossuplementação</w:t>
      </w:r>
      <w:proofErr w:type="spellEnd"/>
      <w:r>
        <w:rPr>
          <w:rFonts w:ascii="Arial" w:eastAsia="Arial" w:hAnsi="Arial" w:cs="Arial"/>
        </w:rPr>
        <w:t>.</w:t>
      </w:r>
    </w:p>
    <w:p w14:paraId="1116A384" w14:textId="77777777" w:rsidR="00DC34E6" w:rsidRDefault="008C58E3">
      <w:pPr>
        <w:spacing w:before="240" w:line="360" w:lineRule="auto"/>
        <w:ind w:left="0" w:hanging="2"/>
        <w:jc w:val="both"/>
        <w:rPr>
          <w:rFonts w:ascii="Arial" w:eastAsia="Arial" w:hAnsi="Arial" w:cs="Arial"/>
        </w:rPr>
      </w:pPr>
      <w:r>
        <w:rPr>
          <w:rFonts w:ascii="Arial" w:eastAsia="Arial" w:hAnsi="Arial" w:cs="Arial"/>
        </w:rPr>
        <w:lastRenderedPageBreak/>
        <w:t xml:space="preserve">Em um estudo prospectivo, randomizado e duplo-cego, comparando pacientes de 50 anos de idade ou mais com OA do joelho grau II ou III de </w:t>
      </w:r>
      <w:proofErr w:type="spellStart"/>
      <w:r>
        <w:rPr>
          <w:rFonts w:ascii="Arial" w:eastAsia="Arial" w:hAnsi="Arial" w:cs="Arial"/>
        </w:rPr>
        <w:t>Kellgren</w:t>
      </w:r>
      <w:proofErr w:type="spellEnd"/>
      <w:r>
        <w:rPr>
          <w:rFonts w:ascii="Arial" w:eastAsia="Arial" w:hAnsi="Arial" w:cs="Arial"/>
        </w:rPr>
        <w:t>-Lawrence que receberam solução conjunta de AH com DH e grupo controle que recebeu injeção intra-articular de AH com solução salina, foi observada melhora significativa no tempo para subir escadas e na função física após 6 meses para o primeiro grupo em relação ao controle, além de diminuição maior da dor. Resultado que mostra possível benefício da utilização conjunta das duas substâncias, mas ainda são necessários mais estudos para confirmar o impacto clínico dessa associação.</w:t>
      </w:r>
    </w:p>
    <w:p w14:paraId="2C8BBDBF" w14:textId="77777777" w:rsidR="00DC34E6" w:rsidRDefault="00DC34E6">
      <w:pPr>
        <w:tabs>
          <w:tab w:val="left" w:pos="1155"/>
        </w:tabs>
        <w:spacing w:line="360" w:lineRule="auto"/>
        <w:ind w:left="0" w:hanging="2"/>
        <w:jc w:val="both"/>
        <w:rPr>
          <w:rFonts w:ascii="Arial" w:eastAsia="Arial" w:hAnsi="Arial" w:cs="Arial"/>
        </w:rPr>
      </w:pPr>
    </w:p>
    <w:p w14:paraId="07FB041C" w14:textId="77777777" w:rsidR="00DC34E6" w:rsidRDefault="008C58E3">
      <w:pPr>
        <w:spacing w:line="360" w:lineRule="auto"/>
        <w:ind w:left="0" w:hanging="2"/>
        <w:jc w:val="both"/>
        <w:rPr>
          <w:rFonts w:ascii="Arial" w:eastAsia="Arial" w:hAnsi="Arial" w:cs="Arial"/>
        </w:rPr>
      </w:pPr>
      <w:r>
        <w:rPr>
          <w:rFonts w:ascii="Arial" w:eastAsia="Arial" w:hAnsi="Arial" w:cs="Arial"/>
          <w:b/>
        </w:rPr>
        <w:t xml:space="preserve">2. PRINCIPAIS PROBLEMAS E JUSTIFICATIVA: </w:t>
      </w:r>
    </w:p>
    <w:p w14:paraId="43D950BB" w14:textId="763D85BF" w:rsidR="00DC34E6" w:rsidRDefault="008C58E3" w:rsidP="00525D66">
      <w:pPr>
        <w:pBdr>
          <w:top w:val="nil"/>
          <w:left w:val="nil"/>
          <w:bottom w:val="nil"/>
          <w:right w:val="nil"/>
          <w:between w:val="nil"/>
        </w:pBdr>
        <w:spacing w:before="240" w:after="240" w:line="360" w:lineRule="auto"/>
        <w:ind w:left="0" w:hanging="2"/>
        <w:jc w:val="both"/>
        <w:rPr>
          <w:rFonts w:ascii="Arial" w:eastAsia="Arial" w:hAnsi="Arial" w:cs="Arial"/>
        </w:rPr>
      </w:pPr>
      <w:r>
        <w:rPr>
          <w:rFonts w:ascii="Arial" w:eastAsia="Arial" w:hAnsi="Arial" w:cs="Arial"/>
          <w:b/>
          <w:color w:val="000000"/>
        </w:rPr>
        <w:t xml:space="preserve"> </w:t>
      </w:r>
      <w:r>
        <w:rPr>
          <w:rFonts w:ascii="Arial" w:eastAsia="Arial" w:hAnsi="Arial" w:cs="Arial"/>
        </w:rPr>
        <w:t xml:space="preserve">A osteoartrite do joelho apresenta grande prevalência na população, com impacto na qualidade de vida dos pacientes. Em que pese a artroplastia total do joelho ser um tratamento bem estabelecido na literatura, não é isento de complicações e possui indicação em pacientes com </w:t>
      </w:r>
      <w:r w:rsidR="006A08B2">
        <w:rPr>
          <w:rFonts w:ascii="Arial" w:eastAsia="Arial" w:hAnsi="Arial" w:cs="Arial"/>
        </w:rPr>
        <w:t>osteoartrite avançada e com idade em torno de 60 anos</w:t>
      </w:r>
      <w:r>
        <w:rPr>
          <w:rFonts w:ascii="Arial" w:eastAsia="Arial" w:hAnsi="Arial" w:cs="Arial"/>
        </w:rPr>
        <w:t>. Considerando que cada vez mais pacientes mais jovens têm sido diagnosticados com osteoartrite do joelho, é necessário desenvolver tratamentos que permitam postergar, ou mesmo evitar, a indicação de artroplastia do joelho.  Dentre esses tratamentos,</w:t>
      </w:r>
      <w:r w:rsidR="00525D66">
        <w:rPr>
          <w:rFonts w:ascii="Arial" w:eastAsia="Arial" w:hAnsi="Arial" w:cs="Arial"/>
        </w:rPr>
        <w:t xml:space="preserve"> a </w:t>
      </w:r>
      <w:proofErr w:type="spellStart"/>
      <w:r w:rsidR="00525D66">
        <w:rPr>
          <w:rFonts w:ascii="Arial" w:eastAsia="Arial" w:hAnsi="Arial" w:cs="Arial"/>
        </w:rPr>
        <w:t>viscossuplementação</w:t>
      </w:r>
      <w:proofErr w:type="spellEnd"/>
      <w:r w:rsidR="00525D66">
        <w:rPr>
          <w:rFonts w:ascii="Arial" w:eastAsia="Arial" w:hAnsi="Arial" w:cs="Arial"/>
        </w:rPr>
        <w:t xml:space="preserve"> e</w:t>
      </w:r>
      <w:r>
        <w:rPr>
          <w:rFonts w:ascii="Arial" w:eastAsia="Arial" w:hAnsi="Arial" w:cs="Arial"/>
        </w:rPr>
        <w:t xml:space="preserve"> a PDH</w:t>
      </w:r>
      <w:r w:rsidR="00525D66">
        <w:rPr>
          <w:rFonts w:ascii="Arial" w:eastAsia="Arial" w:hAnsi="Arial" w:cs="Arial"/>
        </w:rPr>
        <w:t xml:space="preserve"> são opções que podem ser utilizadas para este fim. A PDH é realizada com uso da dextrose hipertônica, com custo </w:t>
      </w:r>
      <w:r w:rsidR="00525D66" w:rsidRPr="00525D66">
        <w:rPr>
          <w:rFonts w:ascii="Arial" w:hAnsi="Arial" w:cs="Arial"/>
          <w:position w:val="0"/>
        </w:rPr>
        <w:t>por ampola de</w:t>
      </w:r>
      <w:r w:rsidR="00525D66">
        <w:rPr>
          <w:rFonts w:ascii="Arial" w:hAnsi="Arial" w:cs="Arial"/>
          <w:position w:val="0"/>
        </w:rPr>
        <w:t xml:space="preserve"> </w:t>
      </w:r>
      <w:r w:rsidR="00525D66" w:rsidRPr="00525D66">
        <w:rPr>
          <w:rFonts w:ascii="Arial" w:hAnsi="Arial" w:cs="Arial"/>
          <w:position w:val="0"/>
        </w:rPr>
        <w:t>aproximadamente R$1,28</w:t>
      </w:r>
      <w:r w:rsidR="00525D66">
        <w:rPr>
          <w:rFonts w:ascii="Arial" w:hAnsi="Arial" w:cs="Arial"/>
          <w:position w:val="0"/>
        </w:rPr>
        <w:t>, enquanto o</w:t>
      </w:r>
      <w:r w:rsidR="00525D66" w:rsidRPr="00525D66">
        <w:rPr>
          <w:rFonts w:ascii="Arial" w:hAnsi="Arial" w:cs="Arial"/>
          <w:position w:val="0"/>
        </w:rPr>
        <w:t xml:space="preserve"> custo estimado do ácido hialurônico</w:t>
      </w:r>
      <w:r w:rsidR="00525D66">
        <w:rPr>
          <w:rFonts w:ascii="Arial" w:hAnsi="Arial" w:cs="Arial"/>
          <w:position w:val="0"/>
        </w:rPr>
        <w:t xml:space="preserve"> é</w:t>
      </w:r>
      <w:r w:rsidR="00525D66" w:rsidRPr="00525D66">
        <w:rPr>
          <w:rFonts w:ascii="Arial" w:hAnsi="Arial" w:cs="Arial"/>
          <w:position w:val="0"/>
        </w:rPr>
        <w:t xml:space="preserve"> de aproximadamente R$700,00 po</w:t>
      </w:r>
      <w:r w:rsidR="00525D66">
        <w:rPr>
          <w:rFonts w:ascii="Arial" w:hAnsi="Arial" w:cs="Arial"/>
          <w:position w:val="0"/>
        </w:rPr>
        <w:t xml:space="preserve">r </w:t>
      </w:r>
      <w:r w:rsidR="00525D66" w:rsidRPr="00525D66">
        <w:rPr>
          <w:rFonts w:ascii="Arial" w:hAnsi="Arial" w:cs="Arial"/>
          <w:position w:val="0"/>
        </w:rPr>
        <w:t>ampola</w:t>
      </w:r>
      <w:r w:rsidR="00525D66">
        <w:rPr>
          <w:rFonts w:ascii="Arial" w:hAnsi="Arial" w:cs="Arial"/>
          <w:position w:val="0"/>
        </w:rPr>
        <w:t>. Desta forma</w:t>
      </w:r>
      <w:r w:rsidR="00525D66">
        <w:rPr>
          <w:rFonts w:ascii="Arial" w:eastAsia="Arial" w:hAnsi="Arial" w:cs="Arial"/>
        </w:rPr>
        <w:t xml:space="preserve"> a PDH se mostra como uma opção terapêutica mais acessível ao sistema único de saúde, caso comprove sua eficácia e ou </w:t>
      </w:r>
      <w:proofErr w:type="spellStart"/>
      <w:r w:rsidR="00525D66">
        <w:rPr>
          <w:rFonts w:ascii="Arial" w:eastAsia="Arial" w:hAnsi="Arial" w:cs="Arial"/>
        </w:rPr>
        <w:t>similiridade</w:t>
      </w:r>
      <w:proofErr w:type="spellEnd"/>
      <w:r w:rsidR="00525D66">
        <w:rPr>
          <w:rFonts w:ascii="Arial" w:eastAsia="Arial" w:hAnsi="Arial" w:cs="Arial"/>
        </w:rPr>
        <w:t xml:space="preserve"> à </w:t>
      </w:r>
      <w:proofErr w:type="spellStart"/>
      <w:r w:rsidR="00525D66">
        <w:rPr>
          <w:rFonts w:ascii="Arial" w:eastAsia="Arial" w:hAnsi="Arial" w:cs="Arial"/>
        </w:rPr>
        <w:t>viscossuplementação</w:t>
      </w:r>
      <w:proofErr w:type="spellEnd"/>
      <w:r w:rsidR="00525D66">
        <w:rPr>
          <w:rFonts w:ascii="Arial" w:eastAsia="Arial" w:hAnsi="Arial" w:cs="Arial"/>
        </w:rPr>
        <w:t>.</w:t>
      </w:r>
    </w:p>
    <w:p w14:paraId="02FAF65F" w14:textId="2C004ADD" w:rsidR="00DC34E6" w:rsidRDefault="00525D66">
      <w:pPr>
        <w:pBdr>
          <w:top w:val="nil"/>
          <w:left w:val="nil"/>
          <w:bottom w:val="nil"/>
          <w:right w:val="nil"/>
          <w:between w:val="nil"/>
        </w:pBdr>
        <w:spacing w:before="240" w:after="240" w:line="360" w:lineRule="auto"/>
        <w:ind w:left="0" w:hanging="2"/>
        <w:jc w:val="both"/>
        <w:rPr>
          <w:rFonts w:ascii="Arial" w:eastAsia="Arial" w:hAnsi="Arial" w:cs="Arial"/>
          <w:color w:val="000000"/>
        </w:rPr>
      </w:pPr>
      <w:r>
        <w:rPr>
          <w:rFonts w:ascii="Arial" w:eastAsia="Arial" w:hAnsi="Arial" w:cs="Arial"/>
        </w:rPr>
        <w:t>É importante ressaltar que</w:t>
      </w:r>
      <w:r w:rsidR="008C58E3">
        <w:rPr>
          <w:rFonts w:ascii="Arial" w:eastAsia="Arial" w:hAnsi="Arial" w:cs="Arial"/>
        </w:rPr>
        <w:t xml:space="preserve"> </w:t>
      </w:r>
      <w:r>
        <w:rPr>
          <w:rFonts w:ascii="Arial" w:eastAsia="Arial" w:hAnsi="Arial" w:cs="Arial"/>
        </w:rPr>
        <w:t>existe</w:t>
      </w:r>
      <w:r w:rsidR="008C58E3">
        <w:rPr>
          <w:rFonts w:ascii="Arial" w:eastAsia="Arial" w:hAnsi="Arial" w:cs="Arial"/>
          <w:color w:val="000000"/>
        </w:rPr>
        <w:t xml:space="preserve"> </w:t>
      </w:r>
      <w:r>
        <w:rPr>
          <w:rFonts w:ascii="Arial" w:eastAsia="Arial" w:hAnsi="Arial" w:cs="Arial"/>
          <w:color w:val="000000"/>
        </w:rPr>
        <w:t>uma carência de</w:t>
      </w:r>
      <w:r w:rsidR="008C58E3">
        <w:rPr>
          <w:rFonts w:ascii="Arial" w:eastAsia="Arial" w:hAnsi="Arial" w:cs="Arial"/>
          <w:color w:val="000000"/>
        </w:rPr>
        <w:t xml:space="preserve"> padronização nos desenhos de estudos clínicos com PDH, principalmente no que tange a via de administração (extra e/ou </w:t>
      </w:r>
      <w:proofErr w:type="spellStart"/>
      <w:r w:rsidR="008C58E3">
        <w:rPr>
          <w:rFonts w:ascii="Arial" w:eastAsia="Arial" w:hAnsi="Arial" w:cs="Arial"/>
          <w:color w:val="000000"/>
        </w:rPr>
        <w:t>intrarticular</w:t>
      </w:r>
      <w:proofErr w:type="spellEnd"/>
      <w:r w:rsidR="008C58E3">
        <w:rPr>
          <w:rFonts w:ascii="Arial" w:eastAsia="Arial" w:hAnsi="Arial" w:cs="Arial"/>
          <w:color w:val="000000"/>
        </w:rPr>
        <w:t xml:space="preserve">), quantidade de doses, volume/concentração das doses, frequência entre as doses e tempo total do protocolo, dificultando uma análise comparativa entre </w:t>
      </w:r>
      <w:proofErr w:type="gramStart"/>
      <w:r w:rsidR="008C58E3">
        <w:rPr>
          <w:rFonts w:ascii="Arial" w:eastAsia="Arial" w:hAnsi="Arial" w:cs="Arial"/>
          <w:color w:val="000000"/>
        </w:rPr>
        <w:t>os mesmos</w:t>
      </w:r>
      <w:proofErr w:type="gramEnd"/>
      <w:r w:rsidR="008C58E3">
        <w:rPr>
          <w:rFonts w:ascii="Arial" w:eastAsia="Arial" w:hAnsi="Arial" w:cs="Arial"/>
          <w:color w:val="000000"/>
        </w:rPr>
        <w:t xml:space="preserve"> para melhor confiabilidade e, consequentemente, nível de evidência dessa terapêutica. Isso se reflete especialmente na OA de joelho em que ainda não há consenso de indicação entre as principais diretrizes mundiais de instituições que versam sobre o manejo dessa patologia. </w:t>
      </w:r>
    </w:p>
    <w:p w14:paraId="70CA4538" w14:textId="77777777" w:rsidR="00DC34E6" w:rsidRDefault="008C58E3">
      <w:pPr>
        <w:pBdr>
          <w:top w:val="nil"/>
          <w:left w:val="nil"/>
          <w:bottom w:val="nil"/>
          <w:right w:val="nil"/>
          <w:between w:val="nil"/>
        </w:pBdr>
        <w:spacing w:before="240" w:after="240" w:line="360" w:lineRule="auto"/>
        <w:ind w:left="0" w:hanging="2"/>
        <w:jc w:val="both"/>
        <w:rPr>
          <w:rFonts w:ascii="Arial" w:eastAsia="Arial" w:hAnsi="Arial" w:cs="Arial"/>
          <w:color w:val="000000"/>
        </w:rPr>
      </w:pPr>
      <w:r>
        <w:rPr>
          <w:rFonts w:ascii="Arial" w:eastAsia="Arial" w:hAnsi="Arial" w:cs="Arial"/>
          <w:color w:val="000000"/>
        </w:rPr>
        <w:lastRenderedPageBreak/>
        <w:t xml:space="preserve">O INTO, enquanto centro de referência na área da Ortopedia e no desenvolvimento de pesquisa e de novas tecnologias, mostra-se como instituição propícia para avaliar a efetividade da </w:t>
      </w:r>
      <w:proofErr w:type="spellStart"/>
      <w:r>
        <w:rPr>
          <w:rFonts w:ascii="Arial" w:eastAsia="Arial" w:hAnsi="Arial" w:cs="Arial"/>
          <w:color w:val="000000"/>
        </w:rPr>
        <w:t>proloterapia</w:t>
      </w:r>
      <w:proofErr w:type="spellEnd"/>
      <w:r>
        <w:rPr>
          <w:rFonts w:ascii="Arial" w:eastAsia="Arial" w:hAnsi="Arial" w:cs="Arial"/>
          <w:color w:val="000000"/>
        </w:rPr>
        <w:t xml:space="preserve"> enquanto intervenção para pacientes com OA do joelho e para estabelecimento de padronização deste tipo de tratamento.</w:t>
      </w:r>
    </w:p>
    <w:p w14:paraId="1ACE63B8" w14:textId="77777777" w:rsidR="00DC34E6" w:rsidRDefault="00DC34E6">
      <w:pPr>
        <w:spacing w:line="360" w:lineRule="auto"/>
        <w:ind w:left="0" w:hanging="2"/>
        <w:jc w:val="both"/>
        <w:rPr>
          <w:rFonts w:ascii="Arial" w:eastAsia="Arial" w:hAnsi="Arial" w:cs="Arial"/>
        </w:rPr>
      </w:pPr>
    </w:p>
    <w:p w14:paraId="7AD4434F" w14:textId="77777777" w:rsidR="00DC34E6" w:rsidRDefault="008C58E3">
      <w:pPr>
        <w:spacing w:line="360" w:lineRule="auto"/>
        <w:ind w:left="0" w:hanging="2"/>
        <w:jc w:val="both"/>
        <w:rPr>
          <w:rFonts w:ascii="Arial" w:eastAsia="Arial" w:hAnsi="Arial" w:cs="Arial"/>
          <w:b/>
        </w:rPr>
      </w:pPr>
      <w:r>
        <w:rPr>
          <w:rFonts w:ascii="Arial" w:eastAsia="Arial" w:hAnsi="Arial" w:cs="Arial"/>
          <w:b/>
        </w:rPr>
        <w:t>3. OBJETIVO:</w:t>
      </w:r>
    </w:p>
    <w:p w14:paraId="3C273A1E" w14:textId="77777777" w:rsidR="00DC34E6" w:rsidRDefault="00DC34E6">
      <w:pPr>
        <w:spacing w:line="360" w:lineRule="auto"/>
        <w:ind w:left="0" w:hanging="2"/>
        <w:jc w:val="both"/>
        <w:rPr>
          <w:rFonts w:ascii="Arial" w:eastAsia="Arial" w:hAnsi="Arial" w:cs="Arial"/>
          <w:b/>
        </w:rPr>
      </w:pPr>
    </w:p>
    <w:p w14:paraId="47ED53A9" w14:textId="77777777" w:rsidR="00DC34E6" w:rsidRDefault="008C58E3">
      <w:pPr>
        <w:spacing w:line="360" w:lineRule="auto"/>
        <w:ind w:left="0" w:hanging="2"/>
        <w:jc w:val="both"/>
        <w:rPr>
          <w:rFonts w:ascii="Arial" w:eastAsia="Arial" w:hAnsi="Arial" w:cs="Arial"/>
        </w:rPr>
      </w:pPr>
      <w:r>
        <w:rPr>
          <w:rFonts w:ascii="Arial" w:eastAsia="Arial" w:hAnsi="Arial" w:cs="Arial"/>
        </w:rPr>
        <w:t>3.1 GERAL</w:t>
      </w:r>
    </w:p>
    <w:p w14:paraId="76AF4E29"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 xml:space="preserve">Comparar os resultados clínicos da infiltração com ácido hialurônico e da </w:t>
      </w:r>
      <w:proofErr w:type="spellStart"/>
      <w:r>
        <w:rPr>
          <w:rFonts w:ascii="Arial" w:eastAsia="Arial" w:hAnsi="Arial" w:cs="Arial"/>
        </w:rPr>
        <w:t>proloterapia</w:t>
      </w:r>
      <w:proofErr w:type="spellEnd"/>
      <w:r>
        <w:rPr>
          <w:rFonts w:ascii="Arial" w:eastAsia="Arial" w:hAnsi="Arial" w:cs="Arial"/>
        </w:rPr>
        <w:t xml:space="preserve"> (PDH) no tratamento conservador da osteoartrite leve a moderada do joelho.</w:t>
      </w:r>
    </w:p>
    <w:p w14:paraId="3E567DF2" w14:textId="77777777" w:rsidR="00DC34E6" w:rsidRDefault="00DC34E6">
      <w:pPr>
        <w:spacing w:line="360" w:lineRule="auto"/>
        <w:ind w:left="0" w:hanging="2"/>
        <w:jc w:val="both"/>
        <w:rPr>
          <w:rFonts w:ascii="Arial" w:eastAsia="Arial" w:hAnsi="Arial" w:cs="Arial"/>
          <w:b/>
        </w:rPr>
      </w:pPr>
    </w:p>
    <w:p w14:paraId="172A7AEB" w14:textId="77777777" w:rsidR="00DC34E6" w:rsidRDefault="008C58E3">
      <w:pPr>
        <w:spacing w:line="360" w:lineRule="auto"/>
        <w:ind w:left="0" w:hanging="2"/>
        <w:jc w:val="both"/>
        <w:rPr>
          <w:rFonts w:ascii="Arial" w:eastAsia="Arial" w:hAnsi="Arial" w:cs="Arial"/>
        </w:rPr>
      </w:pPr>
      <w:r>
        <w:rPr>
          <w:rFonts w:ascii="Arial" w:eastAsia="Arial" w:hAnsi="Arial" w:cs="Arial"/>
        </w:rPr>
        <w:t xml:space="preserve">3.2 ESPECÍFICOS </w:t>
      </w:r>
    </w:p>
    <w:p w14:paraId="53BA4038"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Padronizar o protocolo de tratamento da OA leve a moderada do joelho com PDH.</w:t>
      </w:r>
    </w:p>
    <w:p w14:paraId="2B3E7CB0" w14:textId="77777777" w:rsidR="00DC34E6" w:rsidRDefault="00DC34E6">
      <w:pPr>
        <w:spacing w:line="360" w:lineRule="auto"/>
        <w:ind w:left="0" w:hanging="2"/>
        <w:jc w:val="both"/>
        <w:rPr>
          <w:rFonts w:ascii="Arial" w:eastAsia="Arial" w:hAnsi="Arial" w:cs="Arial"/>
        </w:rPr>
      </w:pPr>
    </w:p>
    <w:p w14:paraId="17422556" w14:textId="77777777" w:rsidR="00DC34E6" w:rsidRDefault="008C58E3">
      <w:pPr>
        <w:spacing w:line="360" w:lineRule="auto"/>
        <w:ind w:left="0" w:hanging="2"/>
        <w:jc w:val="both"/>
        <w:rPr>
          <w:rFonts w:ascii="Arial" w:eastAsia="Arial" w:hAnsi="Arial" w:cs="Arial"/>
          <w:highlight w:val="white"/>
        </w:rPr>
      </w:pPr>
      <w:r>
        <w:rPr>
          <w:rFonts w:ascii="Arial" w:eastAsia="Arial" w:hAnsi="Arial" w:cs="Arial"/>
          <w:b/>
        </w:rPr>
        <w:t xml:space="preserve">4. HIPÓTESE/PRESSUPOSTOS: </w:t>
      </w:r>
    </w:p>
    <w:p w14:paraId="5F9F0CF6" w14:textId="5BECE762" w:rsidR="00DC34E6" w:rsidRDefault="008C58E3">
      <w:pPr>
        <w:spacing w:before="240" w:after="240" w:line="360" w:lineRule="auto"/>
        <w:ind w:left="0" w:hanging="2"/>
        <w:jc w:val="both"/>
        <w:rPr>
          <w:rFonts w:ascii="Arial" w:eastAsia="Arial" w:hAnsi="Arial" w:cs="Arial"/>
          <w:highlight w:val="white"/>
        </w:rPr>
      </w:pPr>
      <w:r>
        <w:rPr>
          <w:rFonts w:ascii="Arial" w:eastAsia="Arial" w:hAnsi="Arial" w:cs="Arial"/>
          <w:highlight w:val="white"/>
        </w:rPr>
        <w:t>Não há diferenças entre o tratamento realizado com PDH e com o ácido hialurônico intra-articular no alívio da dor e na melhora da função articular em pacientes com osteoartrite do joelho.</w:t>
      </w:r>
    </w:p>
    <w:p w14:paraId="73C12676" w14:textId="77777777" w:rsidR="00DC34E6" w:rsidRDefault="00DC34E6">
      <w:pPr>
        <w:spacing w:line="360" w:lineRule="auto"/>
        <w:ind w:left="0" w:hanging="2"/>
        <w:jc w:val="both"/>
        <w:rPr>
          <w:rFonts w:ascii="Arial" w:eastAsia="Arial" w:hAnsi="Arial" w:cs="Arial"/>
          <w:highlight w:val="white"/>
        </w:rPr>
      </w:pPr>
    </w:p>
    <w:p w14:paraId="53ED68B0" w14:textId="77777777" w:rsidR="00DC34E6" w:rsidRDefault="008C58E3">
      <w:pPr>
        <w:spacing w:line="360" w:lineRule="auto"/>
        <w:ind w:left="0" w:hanging="2"/>
        <w:jc w:val="both"/>
        <w:rPr>
          <w:rFonts w:ascii="Arial" w:eastAsia="Arial" w:hAnsi="Arial" w:cs="Arial"/>
        </w:rPr>
      </w:pPr>
      <w:r>
        <w:rPr>
          <w:rFonts w:ascii="Arial" w:eastAsia="Arial" w:hAnsi="Arial" w:cs="Arial"/>
          <w:b/>
        </w:rPr>
        <w:t xml:space="preserve">5. MATERIAL E MÉTODOS: </w:t>
      </w:r>
    </w:p>
    <w:p w14:paraId="55D61076"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5.1 SELEÇÃO DOS PACIENTES</w:t>
      </w:r>
    </w:p>
    <w:p w14:paraId="1042679F"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A amostra consistirá em 90 pacientes com osteoartrite do joelho em tratamento no ambulatório do Programa de Acompanhamento e Tratamento da Osteoartrite (PACTO) do joelho do INTO.</w:t>
      </w:r>
    </w:p>
    <w:p w14:paraId="5E8DEFB0" w14:textId="76DA0411" w:rsidR="00DC34E6" w:rsidRDefault="008C58E3">
      <w:pPr>
        <w:spacing w:before="240" w:after="240" w:line="360" w:lineRule="auto"/>
        <w:ind w:left="0" w:hanging="2"/>
        <w:jc w:val="both"/>
        <w:rPr>
          <w:rFonts w:ascii="Arial" w:eastAsia="Arial" w:hAnsi="Arial" w:cs="Arial"/>
        </w:rPr>
      </w:pPr>
      <w:r>
        <w:rPr>
          <w:rFonts w:ascii="Arial" w:eastAsia="Arial" w:hAnsi="Arial" w:cs="Arial"/>
        </w:rPr>
        <w:t xml:space="preserve">Serão incluídos no estudo (1) pacientes com idade entre 40 e 60 anos, (2) com diagnóstico de osteoartrite bilateral do joelho de acordo com os critérios do Colégio Americano de Reumatologia, (3) classificada por radiografias através da classificação </w:t>
      </w:r>
      <w:r w:rsidRPr="00CA2642">
        <w:rPr>
          <w:rFonts w:ascii="Arial" w:eastAsia="Arial" w:hAnsi="Arial" w:cs="Arial"/>
        </w:rPr>
        <w:lastRenderedPageBreak/>
        <w:t xml:space="preserve">de </w:t>
      </w:r>
      <w:sdt>
        <w:sdtPr>
          <w:rPr>
            <w:rFonts w:ascii="Arial" w:hAnsi="Arial" w:cs="Arial"/>
            <w:color w:val="000000" w:themeColor="text1"/>
          </w:rPr>
          <w:tag w:val="goog_rdk_0"/>
          <w:id w:val="571008806"/>
        </w:sdtPr>
        <w:sdtContent>
          <w:proofErr w:type="spellStart"/>
          <w:r w:rsidRPr="00CA2642">
            <w:rPr>
              <w:rFonts w:ascii="Arial" w:eastAsia="Arial Unicode MS" w:hAnsi="Arial" w:cs="Arial"/>
              <w:color w:val="000000" w:themeColor="text1"/>
            </w:rPr>
            <w:t>Kellgren</w:t>
          </w:r>
          <w:proofErr w:type="spellEnd"/>
          <w:r w:rsidRPr="00CA2642">
            <w:rPr>
              <w:rFonts w:ascii="Arial" w:eastAsia="Arial Unicode MS" w:hAnsi="Arial" w:cs="Arial"/>
              <w:color w:val="000000" w:themeColor="text1"/>
            </w:rPr>
            <w:t xml:space="preserve">-Lawrence </w:t>
          </w:r>
          <w:r w:rsidR="00D227AD">
            <w:rPr>
              <w:rFonts w:ascii="Arial" w:eastAsia="Arial Unicode MS" w:hAnsi="Arial" w:cs="Arial"/>
              <w:color w:val="000000" w:themeColor="text1"/>
            </w:rPr>
            <w:t>menor ou igual à</w:t>
          </w:r>
          <w:r w:rsidRPr="00CA2642">
            <w:rPr>
              <w:rFonts w:ascii="Arial" w:eastAsia="Arial Unicode MS" w:hAnsi="Arial" w:cs="Arial"/>
              <w:color w:val="000000" w:themeColor="text1"/>
            </w:rPr>
            <w:t xml:space="preserve"> III</w:t>
          </w:r>
        </w:sdtContent>
      </w:sdt>
      <w:r w:rsidRPr="00CA2642">
        <w:rPr>
          <w:rFonts w:ascii="Arial" w:eastAsia="Arial" w:hAnsi="Arial" w:cs="Arial"/>
          <w:color w:val="000000" w:themeColor="text1"/>
        </w:rPr>
        <w:t xml:space="preserve"> </w:t>
      </w:r>
      <w:r>
        <w:rPr>
          <w:rFonts w:ascii="Arial" w:eastAsia="Arial" w:hAnsi="Arial" w:cs="Arial"/>
        </w:rPr>
        <w:t>em ambos os joelhos e (4) apresentando arco de movimento completo (0 a 120°).</w:t>
      </w:r>
    </w:p>
    <w:p w14:paraId="0631243C" w14:textId="1CB30F2B" w:rsidR="00DC34E6" w:rsidRDefault="008C58E3">
      <w:pPr>
        <w:spacing w:before="240" w:after="240" w:line="360" w:lineRule="auto"/>
        <w:ind w:left="0" w:hanging="2"/>
        <w:jc w:val="both"/>
        <w:rPr>
          <w:rFonts w:ascii="Arial" w:eastAsia="Arial" w:hAnsi="Arial" w:cs="Arial"/>
        </w:rPr>
      </w:pPr>
      <w:r>
        <w:rPr>
          <w:rFonts w:ascii="Arial" w:eastAsia="Arial" w:hAnsi="Arial" w:cs="Arial"/>
        </w:rPr>
        <w:t>Serão excluídos do estudo (1) pacientes com</w:t>
      </w:r>
      <w:r w:rsidR="00D227AD">
        <w:rPr>
          <w:rFonts w:ascii="Arial" w:eastAsia="Arial" w:hAnsi="Arial" w:cs="Arial"/>
        </w:rPr>
        <w:t xml:space="preserve"> </w:t>
      </w:r>
      <w:proofErr w:type="spellStart"/>
      <w:r w:rsidR="00E407B0" w:rsidRPr="00CA2642">
        <w:rPr>
          <w:rFonts w:ascii="Arial" w:eastAsia="Arial Unicode MS" w:hAnsi="Arial" w:cs="Arial"/>
          <w:color w:val="000000" w:themeColor="text1"/>
        </w:rPr>
        <w:t>Kellgren</w:t>
      </w:r>
      <w:proofErr w:type="spellEnd"/>
      <w:r w:rsidR="00E407B0" w:rsidRPr="00CA2642">
        <w:rPr>
          <w:rFonts w:ascii="Arial" w:eastAsia="Arial Unicode MS" w:hAnsi="Arial" w:cs="Arial"/>
          <w:color w:val="000000" w:themeColor="text1"/>
        </w:rPr>
        <w:t>-Lawrence</w:t>
      </w:r>
      <w:r w:rsidR="00E407B0">
        <w:rPr>
          <w:rFonts w:ascii="Arial" w:eastAsia="Arial Unicode MS" w:hAnsi="Arial" w:cs="Arial"/>
          <w:color w:val="000000" w:themeColor="text1"/>
        </w:rPr>
        <w:t xml:space="preserve"> IV em um ou ambos joelhos, (2) pacientes com</w:t>
      </w:r>
      <w:r w:rsidR="00D227AD">
        <w:rPr>
          <w:rFonts w:ascii="Arial" w:eastAsia="Arial" w:hAnsi="Arial" w:cs="Arial"/>
        </w:rPr>
        <w:t xml:space="preserve"> </w:t>
      </w:r>
      <w:r>
        <w:rPr>
          <w:rFonts w:ascii="Arial" w:eastAsia="Arial" w:hAnsi="Arial" w:cs="Arial"/>
        </w:rPr>
        <w:t xml:space="preserve"> história de trauma, infecção ou cirurgia prévia na articulação envolvida, (</w:t>
      </w:r>
      <w:r w:rsidR="00E407B0">
        <w:rPr>
          <w:rFonts w:ascii="Arial" w:eastAsia="Arial" w:hAnsi="Arial" w:cs="Arial"/>
        </w:rPr>
        <w:t>3</w:t>
      </w:r>
      <w:r>
        <w:rPr>
          <w:rFonts w:ascii="Arial" w:eastAsia="Arial" w:hAnsi="Arial" w:cs="Arial"/>
        </w:rPr>
        <w:t>) pacientes com alteração da medida do eixo mecânico dos membros inferiores (varo ou valgo superior a 5°), (</w:t>
      </w:r>
      <w:r w:rsidR="00E407B0">
        <w:rPr>
          <w:rFonts w:ascii="Arial" w:eastAsia="Arial" w:hAnsi="Arial" w:cs="Arial"/>
        </w:rPr>
        <w:t>4</w:t>
      </w:r>
      <w:r>
        <w:rPr>
          <w:rFonts w:ascii="Arial" w:eastAsia="Arial" w:hAnsi="Arial" w:cs="Arial"/>
        </w:rPr>
        <w:t xml:space="preserve">) pacientes com </w:t>
      </w:r>
      <w:r w:rsidRPr="00AD4989">
        <w:rPr>
          <w:rFonts w:ascii="Arial" w:eastAsia="Arial" w:hAnsi="Arial" w:cs="Arial"/>
        </w:rPr>
        <w:t>doenças inflamatórias, (</w:t>
      </w:r>
      <w:r w:rsidR="00E407B0">
        <w:rPr>
          <w:rFonts w:ascii="Arial" w:eastAsia="Arial" w:hAnsi="Arial" w:cs="Arial"/>
        </w:rPr>
        <w:t>5</w:t>
      </w:r>
      <w:r w:rsidRPr="00AD4989">
        <w:rPr>
          <w:rFonts w:ascii="Arial" w:eastAsia="Arial" w:hAnsi="Arial" w:cs="Arial"/>
        </w:rPr>
        <w:t xml:space="preserve">) infiltração com </w:t>
      </w:r>
      <w:proofErr w:type="spellStart"/>
      <w:r w:rsidRPr="00AD4989">
        <w:rPr>
          <w:rFonts w:ascii="Arial" w:eastAsia="Arial" w:hAnsi="Arial" w:cs="Arial"/>
        </w:rPr>
        <w:t>corticóide</w:t>
      </w:r>
      <w:proofErr w:type="spellEnd"/>
      <w:r w:rsidRPr="00AD4989">
        <w:rPr>
          <w:rFonts w:ascii="Arial" w:eastAsia="Arial" w:hAnsi="Arial" w:cs="Arial"/>
        </w:rPr>
        <w:t xml:space="preserve"> </w:t>
      </w:r>
      <w:proofErr w:type="spellStart"/>
      <w:r w:rsidRPr="00AD4989">
        <w:rPr>
          <w:rFonts w:ascii="Arial" w:eastAsia="Arial" w:hAnsi="Arial" w:cs="Arial"/>
        </w:rPr>
        <w:t>nas</w:t>
      </w:r>
      <w:proofErr w:type="spellEnd"/>
      <w:r w:rsidRPr="00AD4989">
        <w:rPr>
          <w:rFonts w:ascii="Arial" w:eastAsia="Arial" w:hAnsi="Arial" w:cs="Arial"/>
        </w:rPr>
        <w:t xml:space="preserve"> últimos 6 semanas, (</w:t>
      </w:r>
      <w:r w:rsidR="00E407B0">
        <w:rPr>
          <w:rFonts w:ascii="Arial" w:eastAsia="Arial" w:hAnsi="Arial" w:cs="Arial"/>
        </w:rPr>
        <w:t>6</w:t>
      </w:r>
      <w:r w:rsidRPr="00AD4989">
        <w:rPr>
          <w:rFonts w:ascii="Arial" w:eastAsia="Arial" w:hAnsi="Arial" w:cs="Arial"/>
        </w:rPr>
        <w:t xml:space="preserve">) pacientes submetidos a </w:t>
      </w:r>
      <w:proofErr w:type="spellStart"/>
      <w:r w:rsidRPr="00AD4989">
        <w:rPr>
          <w:rFonts w:ascii="Arial" w:eastAsia="Arial" w:hAnsi="Arial" w:cs="Arial"/>
        </w:rPr>
        <w:t>viscossuplementação</w:t>
      </w:r>
      <w:proofErr w:type="spellEnd"/>
      <w:r w:rsidRPr="00AD4989">
        <w:rPr>
          <w:rFonts w:ascii="Arial" w:eastAsia="Arial" w:hAnsi="Arial" w:cs="Arial"/>
        </w:rPr>
        <w:t xml:space="preserve"> no último ano, (</w:t>
      </w:r>
      <w:r w:rsidR="00E407B0">
        <w:rPr>
          <w:rFonts w:ascii="Arial" w:eastAsia="Arial" w:hAnsi="Arial" w:cs="Arial"/>
        </w:rPr>
        <w:t>7</w:t>
      </w:r>
      <w:r w:rsidRPr="00AD4989">
        <w:rPr>
          <w:rFonts w:ascii="Arial" w:eastAsia="Arial" w:hAnsi="Arial" w:cs="Arial"/>
        </w:rPr>
        <w:t>) pacientes que fizeram uso de AINE nas duas semanas anteriores, (</w:t>
      </w:r>
      <w:r w:rsidR="00E407B0">
        <w:rPr>
          <w:rFonts w:ascii="Arial" w:eastAsia="Arial" w:hAnsi="Arial" w:cs="Arial"/>
        </w:rPr>
        <w:t>8</w:t>
      </w:r>
      <w:r w:rsidRPr="00AD4989">
        <w:rPr>
          <w:rFonts w:ascii="Arial" w:eastAsia="Arial" w:hAnsi="Arial" w:cs="Arial"/>
        </w:rPr>
        <w:t>) pacientes com IMC&gt;35 (</w:t>
      </w:r>
      <w:r w:rsidR="00E407B0">
        <w:rPr>
          <w:rFonts w:ascii="Arial" w:eastAsia="Arial" w:hAnsi="Arial" w:cs="Arial"/>
        </w:rPr>
        <w:t>9</w:t>
      </w:r>
      <w:r w:rsidRPr="00AD4989">
        <w:rPr>
          <w:rFonts w:ascii="Arial" w:eastAsia="Arial" w:hAnsi="Arial" w:cs="Arial"/>
        </w:rPr>
        <w:t>) pacientes com história de alergia a pólen e a produtos derivados de aves e (</w:t>
      </w:r>
      <w:r w:rsidR="00E407B0">
        <w:rPr>
          <w:rFonts w:ascii="Arial" w:eastAsia="Arial" w:hAnsi="Arial" w:cs="Arial"/>
        </w:rPr>
        <w:t>10</w:t>
      </w:r>
      <w:r w:rsidRPr="00AD4989">
        <w:rPr>
          <w:rFonts w:ascii="Arial" w:eastAsia="Arial" w:hAnsi="Arial" w:cs="Arial"/>
        </w:rPr>
        <w:t>) pacientes com neoplasia ativa.</w:t>
      </w:r>
    </w:p>
    <w:p w14:paraId="2647B77D"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 xml:space="preserve"> </w:t>
      </w:r>
    </w:p>
    <w:p w14:paraId="2856F7E6"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5.2 RANDOMIZAÇÃO</w:t>
      </w:r>
    </w:p>
    <w:p w14:paraId="2B7102F4" w14:textId="772922E9" w:rsidR="00DC34E6" w:rsidRDefault="008C58E3">
      <w:pPr>
        <w:spacing w:before="240" w:after="240" w:line="360" w:lineRule="auto"/>
        <w:ind w:left="0" w:hanging="2"/>
        <w:jc w:val="both"/>
        <w:rPr>
          <w:rFonts w:ascii="Arial" w:eastAsia="Arial" w:hAnsi="Arial" w:cs="Arial"/>
        </w:rPr>
      </w:pPr>
      <w:r>
        <w:rPr>
          <w:rFonts w:ascii="Arial" w:eastAsia="Arial" w:hAnsi="Arial" w:cs="Arial"/>
        </w:rPr>
        <w:t xml:space="preserve">Os pacientes serão randomizados em bloco por sorteio simples de envelope opacos antes da aplicação, em </w:t>
      </w:r>
      <w:r w:rsidR="006A08B2">
        <w:rPr>
          <w:rFonts w:ascii="Arial" w:eastAsia="Arial" w:hAnsi="Arial" w:cs="Arial"/>
        </w:rPr>
        <w:t>3</w:t>
      </w:r>
      <w:r>
        <w:rPr>
          <w:rFonts w:ascii="Arial" w:eastAsia="Arial" w:hAnsi="Arial" w:cs="Arial"/>
        </w:rPr>
        <w:t xml:space="preserve"> grupos experimentais, e identificados conforme descrito abaixo:</w:t>
      </w:r>
    </w:p>
    <w:p w14:paraId="298B20A9" w14:textId="0175CDF1" w:rsidR="00DC34E6" w:rsidRPr="00AD4989" w:rsidRDefault="008C58E3">
      <w:pPr>
        <w:spacing w:before="240" w:after="240" w:line="360" w:lineRule="auto"/>
        <w:ind w:left="0" w:hanging="2"/>
        <w:jc w:val="both"/>
        <w:rPr>
          <w:rFonts w:ascii="Arial" w:eastAsia="Arial" w:hAnsi="Arial" w:cs="Arial"/>
        </w:rPr>
      </w:pPr>
      <w:r w:rsidRPr="00AD4989">
        <w:rPr>
          <w:rFonts w:ascii="Arial" w:eastAsia="Arial" w:hAnsi="Arial" w:cs="Arial"/>
        </w:rPr>
        <w:t>GRUPO A: Composto de 30 pacientes que receberão uma injeção intra-articular de dextrose hipertônica (PDH)</w:t>
      </w:r>
      <w:r w:rsidR="009411EE">
        <w:rPr>
          <w:rFonts w:ascii="Arial" w:eastAsia="Arial" w:hAnsi="Arial" w:cs="Arial"/>
        </w:rPr>
        <w:t xml:space="preserve"> à 25%</w:t>
      </w:r>
      <w:r w:rsidRPr="00AD4989">
        <w:rPr>
          <w:rFonts w:ascii="Arial" w:eastAsia="Arial" w:hAnsi="Arial" w:cs="Arial"/>
        </w:rPr>
        <w:t xml:space="preserve">, uma vez por </w:t>
      </w:r>
      <w:proofErr w:type="spellStart"/>
      <w:r w:rsidR="00A8685E">
        <w:rPr>
          <w:rFonts w:ascii="Arial" w:eastAsia="Arial" w:hAnsi="Arial" w:cs="Arial"/>
        </w:rPr>
        <w:t>mes</w:t>
      </w:r>
      <w:proofErr w:type="spellEnd"/>
      <w:r w:rsidRPr="00AD4989">
        <w:rPr>
          <w:rFonts w:ascii="Arial" w:eastAsia="Arial" w:hAnsi="Arial" w:cs="Arial"/>
        </w:rPr>
        <w:t xml:space="preserve">, por três </w:t>
      </w:r>
      <w:r w:rsidR="009411EE">
        <w:rPr>
          <w:rFonts w:ascii="Arial" w:eastAsia="Arial" w:hAnsi="Arial" w:cs="Arial"/>
        </w:rPr>
        <w:t>meses</w:t>
      </w:r>
      <w:r w:rsidRPr="00AD4989">
        <w:rPr>
          <w:rFonts w:ascii="Arial" w:eastAsia="Arial" w:hAnsi="Arial" w:cs="Arial"/>
        </w:rPr>
        <w:t xml:space="preserve"> consecutiv</w:t>
      </w:r>
      <w:r w:rsidR="009411EE">
        <w:rPr>
          <w:rFonts w:ascii="Arial" w:eastAsia="Arial" w:hAnsi="Arial" w:cs="Arial"/>
        </w:rPr>
        <w:t>o</w:t>
      </w:r>
      <w:r w:rsidRPr="00AD4989">
        <w:rPr>
          <w:rFonts w:ascii="Arial" w:eastAsia="Arial" w:hAnsi="Arial" w:cs="Arial"/>
        </w:rPr>
        <w:t>s;</w:t>
      </w:r>
    </w:p>
    <w:p w14:paraId="5970BAF3" w14:textId="37043314" w:rsidR="00DC34E6" w:rsidRPr="00AD4989" w:rsidRDefault="008C58E3">
      <w:pPr>
        <w:spacing w:before="240" w:after="240" w:line="360" w:lineRule="auto"/>
        <w:ind w:left="0" w:hanging="2"/>
        <w:jc w:val="both"/>
        <w:rPr>
          <w:rFonts w:ascii="Arial" w:eastAsia="Arial" w:hAnsi="Arial" w:cs="Arial"/>
        </w:rPr>
      </w:pPr>
      <w:r w:rsidRPr="00AD4989">
        <w:rPr>
          <w:rFonts w:ascii="Arial" w:eastAsia="Arial" w:hAnsi="Arial" w:cs="Arial"/>
        </w:rPr>
        <w:t>GRUPO B: Composto de 30 pacientes que receberão uma injeção intra-articular de dextrose hipertônica (PDH)</w:t>
      </w:r>
      <w:r w:rsidR="009411EE">
        <w:rPr>
          <w:rFonts w:ascii="Arial" w:eastAsia="Arial" w:hAnsi="Arial" w:cs="Arial"/>
        </w:rPr>
        <w:t xml:space="preserve"> à 15%</w:t>
      </w:r>
      <w:r w:rsidRPr="00AD4989">
        <w:rPr>
          <w:rFonts w:ascii="Arial" w:eastAsia="Arial" w:hAnsi="Arial" w:cs="Arial"/>
        </w:rPr>
        <w:t xml:space="preserve">, uma vez por </w:t>
      </w:r>
      <w:proofErr w:type="spellStart"/>
      <w:r w:rsidR="00A8685E">
        <w:rPr>
          <w:rFonts w:ascii="Arial" w:eastAsia="Arial" w:hAnsi="Arial" w:cs="Arial"/>
        </w:rPr>
        <w:t>mes</w:t>
      </w:r>
      <w:proofErr w:type="spellEnd"/>
      <w:r w:rsidRPr="00AD4989">
        <w:rPr>
          <w:rFonts w:ascii="Arial" w:eastAsia="Arial" w:hAnsi="Arial" w:cs="Arial"/>
        </w:rPr>
        <w:t xml:space="preserve">, por três </w:t>
      </w:r>
      <w:r w:rsidR="009411EE">
        <w:rPr>
          <w:rFonts w:ascii="Arial" w:eastAsia="Arial" w:hAnsi="Arial" w:cs="Arial"/>
        </w:rPr>
        <w:t>meses</w:t>
      </w:r>
      <w:r w:rsidRPr="00AD4989">
        <w:rPr>
          <w:rFonts w:ascii="Arial" w:eastAsia="Arial" w:hAnsi="Arial" w:cs="Arial"/>
        </w:rPr>
        <w:t xml:space="preserve"> consecutiv</w:t>
      </w:r>
      <w:r w:rsidR="009411EE">
        <w:rPr>
          <w:rFonts w:ascii="Arial" w:eastAsia="Arial" w:hAnsi="Arial" w:cs="Arial"/>
        </w:rPr>
        <w:t>o</w:t>
      </w:r>
      <w:r w:rsidRPr="00AD4989">
        <w:rPr>
          <w:rFonts w:ascii="Arial" w:eastAsia="Arial" w:hAnsi="Arial" w:cs="Arial"/>
        </w:rPr>
        <w:t>s;</w:t>
      </w:r>
    </w:p>
    <w:p w14:paraId="54C0E806" w14:textId="77777777" w:rsidR="00DC34E6" w:rsidRDefault="008C58E3">
      <w:pPr>
        <w:spacing w:before="240" w:after="240" w:line="360" w:lineRule="auto"/>
        <w:ind w:left="0" w:hanging="2"/>
        <w:jc w:val="both"/>
        <w:rPr>
          <w:rFonts w:ascii="Arial" w:eastAsia="Arial" w:hAnsi="Arial" w:cs="Arial"/>
        </w:rPr>
      </w:pPr>
      <w:r w:rsidRPr="00AD4989">
        <w:rPr>
          <w:rFonts w:ascii="Arial" w:eastAsia="Arial" w:hAnsi="Arial" w:cs="Arial"/>
        </w:rPr>
        <w:t>GRUPO C: Composto de 30 pacientes que receberão uma injeção intra-articular de ácido hialurônico intra-articular (AHI), uma vez por semana, por três semanas consecutivas;</w:t>
      </w:r>
    </w:p>
    <w:p w14:paraId="07920FAA" w14:textId="77777777" w:rsidR="00DC34E6" w:rsidRDefault="00DC34E6">
      <w:pPr>
        <w:spacing w:line="360" w:lineRule="auto"/>
        <w:ind w:left="0" w:hanging="2"/>
        <w:jc w:val="both"/>
        <w:rPr>
          <w:rFonts w:ascii="Arial" w:eastAsia="Arial" w:hAnsi="Arial" w:cs="Arial"/>
        </w:rPr>
      </w:pPr>
    </w:p>
    <w:p w14:paraId="096FAC4D"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5.3</w:t>
      </w:r>
      <w:r>
        <w:rPr>
          <w:sz w:val="14"/>
          <w:szCs w:val="14"/>
        </w:rPr>
        <w:t xml:space="preserve"> </w:t>
      </w:r>
      <w:r>
        <w:rPr>
          <w:rFonts w:ascii="Arial" w:eastAsia="Arial" w:hAnsi="Arial" w:cs="Arial"/>
        </w:rPr>
        <w:t>TÉCNICA PARA INFILTRAÇÃO</w:t>
      </w:r>
    </w:p>
    <w:p w14:paraId="1C31BAA6"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Todas as infiltrações serão realizadas na sala de procedimentos do ambulatório e com técnica asséptica. A técnica para aplicação seguirá os passos a seguir:</w:t>
      </w:r>
    </w:p>
    <w:p w14:paraId="3AD24061"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lastRenderedPageBreak/>
        <w:t>1)</w:t>
      </w:r>
      <w:r>
        <w:rPr>
          <w:sz w:val="14"/>
          <w:szCs w:val="14"/>
        </w:rPr>
        <w:tab/>
      </w:r>
      <w:r>
        <w:rPr>
          <w:rFonts w:ascii="Arial" w:eastAsia="Arial" w:hAnsi="Arial" w:cs="Arial"/>
        </w:rPr>
        <w:t>Paciente sentado na maca em posição confortável, com os joelhos fletidos e com venda nos olhos (cegamento quanto ao tratamento realizado);</w:t>
      </w:r>
    </w:p>
    <w:p w14:paraId="2EFCAD6B"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2)</w:t>
      </w:r>
      <w:r>
        <w:rPr>
          <w:sz w:val="14"/>
          <w:szCs w:val="14"/>
        </w:rPr>
        <w:tab/>
      </w:r>
      <w:r>
        <w:rPr>
          <w:rFonts w:ascii="Arial" w:eastAsia="Arial" w:hAnsi="Arial" w:cs="Arial"/>
        </w:rPr>
        <w:t xml:space="preserve">Limpar a área onde será realizada a aplicação com gaze umedecida em </w:t>
      </w:r>
      <w:proofErr w:type="spellStart"/>
      <w:r>
        <w:rPr>
          <w:rFonts w:ascii="Arial" w:eastAsia="Arial" w:hAnsi="Arial" w:cs="Arial"/>
        </w:rPr>
        <w:t>Clorexidine</w:t>
      </w:r>
      <w:proofErr w:type="spellEnd"/>
      <w:r>
        <w:rPr>
          <w:rFonts w:ascii="Arial" w:eastAsia="Arial" w:hAnsi="Arial" w:cs="Arial"/>
        </w:rPr>
        <w:t xml:space="preserve"> </w:t>
      </w:r>
      <w:proofErr w:type="spellStart"/>
      <w:r>
        <w:rPr>
          <w:rFonts w:ascii="Arial" w:eastAsia="Arial" w:hAnsi="Arial" w:cs="Arial"/>
        </w:rPr>
        <w:t>degermante</w:t>
      </w:r>
      <w:proofErr w:type="spellEnd"/>
      <w:r>
        <w:rPr>
          <w:rFonts w:ascii="Arial" w:eastAsia="Arial" w:hAnsi="Arial" w:cs="Arial"/>
        </w:rPr>
        <w:t>;</w:t>
      </w:r>
    </w:p>
    <w:p w14:paraId="2E95B618"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3)</w:t>
      </w:r>
      <w:r>
        <w:rPr>
          <w:sz w:val="14"/>
          <w:szCs w:val="14"/>
        </w:rPr>
        <w:tab/>
      </w:r>
      <w:r>
        <w:rPr>
          <w:rFonts w:ascii="Arial" w:eastAsia="Arial" w:hAnsi="Arial" w:cs="Arial"/>
        </w:rPr>
        <w:t xml:space="preserve">Deixar o </w:t>
      </w:r>
      <w:proofErr w:type="spellStart"/>
      <w:r>
        <w:rPr>
          <w:rFonts w:ascii="Arial" w:eastAsia="Arial" w:hAnsi="Arial" w:cs="Arial"/>
        </w:rPr>
        <w:t>Clorexidine</w:t>
      </w:r>
      <w:proofErr w:type="spellEnd"/>
      <w:r>
        <w:rPr>
          <w:rFonts w:ascii="Arial" w:eastAsia="Arial" w:hAnsi="Arial" w:cs="Arial"/>
        </w:rPr>
        <w:t xml:space="preserve"> agir por um minuto e depois retirá-lo com gaze estéril umedecida em álcool 70%;</w:t>
      </w:r>
    </w:p>
    <w:p w14:paraId="4077707D"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4)</w:t>
      </w:r>
      <w:r>
        <w:rPr>
          <w:sz w:val="14"/>
          <w:szCs w:val="14"/>
        </w:rPr>
        <w:tab/>
      </w:r>
      <w:r>
        <w:rPr>
          <w:rFonts w:ascii="Arial" w:eastAsia="Arial" w:hAnsi="Arial" w:cs="Arial"/>
        </w:rPr>
        <w:t>Palpação do joelho para infiltração não guiada através da via anterolateral ao joelho;</w:t>
      </w:r>
    </w:p>
    <w:p w14:paraId="412346F9"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5)</w:t>
      </w:r>
      <w:r>
        <w:rPr>
          <w:sz w:val="14"/>
          <w:szCs w:val="14"/>
        </w:rPr>
        <w:tab/>
      </w:r>
      <w:r>
        <w:rPr>
          <w:rFonts w:ascii="Arial" w:eastAsia="Arial" w:hAnsi="Arial" w:cs="Arial"/>
        </w:rPr>
        <w:t xml:space="preserve">Realizar botão anestésico na pele e subcutâneo no local da infiltração com 1 </w:t>
      </w:r>
      <w:proofErr w:type="spellStart"/>
      <w:r>
        <w:rPr>
          <w:rFonts w:ascii="Arial" w:eastAsia="Arial" w:hAnsi="Arial" w:cs="Arial"/>
        </w:rPr>
        <w:t>mL</w:t>
      </w:r>
      <w:proofErr w:type="spellEnd"/>
      <w:r>
        <w:rPr>
          <w:rFonts w:ascii="Arial" w:eastAsia="Arial" w:hAnsi="Arial" w:cs="Arial"/>
        </w:rPr>
        <w:t xml:space="preserve"> de lidocaína a 2% sem vasoconstritor;</w:t>
      </w:r>
    </w:p>
    <w:p w14:paraId="016696F4"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6)</w:t>
      </w:r>
      <w:r>
        <w:rPr>
          <w:sz w:val="14"/>
          <w:szCs w:val="14"/>
        </w:rPr>
        <w:tab/>
      </w:r>
      <w:r>
        <w:rPr>
          <w:rFonts w:ascii="Arial" w:eastAsia="Arial" w:hAnsi="Arial" w:cs="Arial"/>
        </w:rPr>
        <w:t>Inserir a agulha acoplada à seringa do produto utilizado pela via escolhida;</w:t>
      </w:r>
    </w:p>
    <w:p w14:paraId="57B9AF9C"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7)</w:t>
      </w:r>
      <w:r>
        <w:rPr>
          <w:sz w:val="14"/>
          <w:szCs w:val="14"/>
        </w:rPr>
        <w:tab/>
      </w:r>
      <w:r>
        <w:rPr>
          <w:rFonts w:ascii="Arial" w:eastAsia="Arial" w:hAnsi="Arial" w:cs="Arial"/>
        </w:rPr>
        <w:t>Injetar o tratamento conforme randomização (PDH / AHI);</w:t>
      </w:r>
    </w:p>
    <w:p w14:paraId="0992CA85"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8)</w:t>
      </w:r>
      <w:r>
        <w:rPr>
          <w:sz w:val="14"/>
          <w:szCs w:val="14"/>
        </w:rPr>
        <w:tab/>
      </w:r>
      <w:r>
        <w:rPr>
          <w:rFonts w:ascii="Arial" w:eastAsia="Arial" w:hAnsi="Arial" w:cs="Arial"/>
        </w:rPr>
        <w:t>Retirar a agulha e a seringa vazia da articulação;</w:t>
      </w:r>
    </w:p>
    <w:p w14:paraId="5F6FFCE6"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9)</w:t>
      </w:r>
      <w:r>
        <w:rPr>
          <w:sz w:val="14"/>
          <w:szCs w:val="14"/>
        </w:rPr>
        <w:tab/>
      </w:r>
      <w:r>
        <w:rPr>
          <w:rFonts w:ascii="Arial" w:eastAsia="Arial" w:hAnsi="Arial" w:cs="Arial"/>
        </w:rPr>
        <w:t>Realizar 30 ciclos de flexo-extensão do joelho para distribuição do produto pela articulação;</w:t>
      </w:r>
    </w:p>
    <w:p w14:paraId="6645E050" w14:textId="77777777" w:rsidR="00DC34E6" w:rsidRPr="00AD4989" w:rsidRDefault="008C58E3">
      <w:pPr>
        <w:spacing w:before="240" w:after="240" w:line="360" w:lineRule="auto"/>
        <w:ind w:left="0" w:hanging="2"/>
        <w:jc w:val="both"/>
        <w:rPr>
          <w:rFonts w:ascii="Arial" w:eastAsia="Arial" w:hAnsi="Arial" w:cs="Arial"/>
        </w:rPr>
      </w:pPr>
      <w:r w:rsidRPr="00AD4989">
        <w:rPr>
          <w:rFonts w:ascii="Arial" w:eastAsia="Arial" w:hAnsi="Arial" w:cs="Arial"/>
        </w:rPr>
        <w:t>10)</w:t>
      </w:r>
      <w:r w:rsidRPr="00AD4989">
        <w:rPr>
          <w:sz w:val="14"/>
          <w:szCs w:val="14"/>
        </w:rPr>
        <w:t xml:space="preserve"> </w:t>
      </w:r>
      <w:r w:rsidRPr="00AD4989">
        <w:rPr>
          <w:rFonts w:ascii="Arial" w:eastAsia="Arial" w:hAnsi="Arial" w:cs="Arial"/>
        </w:rPr>
        <w:t xml:space="preserve"> Finalizar o procedimento com curativo simples.</w:t>
      </w:r>
    </w:p>
    <w:p w14:paraId="21BB5852" w14:textId="77777777" w:rsidR="00DC34E6" w:rsidRPr="00AD4989" w:rsidRDefault="008C58E3">
      <w:pPr>
        <w:spacing w:before="240" w:after="240" w:line="360" w:lineRule="auto"/>
        <w:ind w:left="0" w:hanging="2"/>
        <w:jc w:val="both"/>
        <w:rPr>
          <w:rFonts w:ascii="Arial" w:eastAsia="Arial" w:hAnsi="Arial" w:cs="Arial"/>
        </w:rPr>
      </w:pPr>
      <w:r w:rsidRPr="00AD4989">
        <w:rPr>
          <w:rFonts w:ascii="Arial" w:eastAsia="Arial" w:hAnsi="Arial" w:cs="Arial"/>
        </w:rPr>
        <w:t xml:space="preserve"> </w:t>
      </w:r>
    </w:p>
    <w:p w14:paraId="2B3813E9" w14:textId="77777777" w:rsidR="00DC34E6" w:rsidRPr="00AD4989" w:rsidRDefault="008C58E3">
      <w:pPr>
        <w:spacing w:before="240" w:after="240" w:line="360" w:lineRule="auto"/>
        <w:ind w:left="0" w:hanging="2"/>
        <w:jc w:val="both"/>
        <w:rPr>
          <w:rFonts w:ascii="Arial" w:eastAsia="Arial" w:hAnsi="Arial" w:cs="Arial"/>
        </w:rPr>
      </w:pPr>
      <w:r w:rsidRPr="00AD4989">
        <w:rPr>
          <w:rFonts w:ascii="Arial" w:eastAsia="Arial" w:hAnsi="Arial" w:cs="Arial"/>
        </w:rPr>
        <w:t>Caso haja presença de derrame articular, o mesmo deverá ser aspirado antes da infiltração;</w:t>
      </w:r>
    </w:p>
    <w:p w14:paraId="2160AE7C" w14:textId="77777777" w:rsidR="00DC34E6" w:rsidRPr="00AD4989" w:rsidRDefault="008C58E3">
      <w:pPr>
        <w:spacing w:before="240" w:after="240" w:line="360" w:lineRule="auto"/>
        <w:ind w:left="0" w:hanging="2"/>
        <w:jc w:val="both"/>
        <w:rPr>
          <w:rFonts w:ascii="Arial" w:eastAsia="Arial" w:hAnsi="Arial" w:cs="Arial"/>
        </w:rPr>
      </w:pPr>
      <w:r w:rsidRPr="00AD4989">
        <w:rPr>
          <w:rFonts w:ascii="Arial" w:eastAsia="Arial" w:hAnsi="Arial" w:cs="Arial"/>
        </w:rPr>
        <w:t>O paciente deverá ser alertado a retornar ao hospital no caso de dor exacerbadas e edema ou vermelhidão no joelho;</w:t>
      </w:r>
    </w:p>
    <w:p w14:paraId="1512808C" w14:textId="77777777" w:rsidR="00DC34E6" w:rsidRDefault="00DC34E6">
      <w:pPr>
        <w:spacing w:before="240" w:after="240" w:line="360" w:lineRule="auto"/>
        <w:ind w:left="0" w:hanging="2"/>
        <w:jc w:val="both"/>
        <w:rPr>
          <w:rFonts w:ascii="Arial" w:eastAsia="Arial" w:hAnsi="Arial" w:cs="Arial"/>
          <w:highlight w:val="yellow"/>
        </w:rPr>
      </w:pPr>
    </w:p>
    <w:p w14:paraId="01DA48DD"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5.4 PREPARO DA PROLOTERAPIA</w:t>
      </w:r>
    </w:p>
    <w:p w14:paraId="2E29FD22" w14:textId="611CDC48" w:rsidR="00DC34E6" w:rsidRDefault="008C58E3">
      <w:pPr>
        <w:spacing w:before="240" w:after="240" w:line="360" w:lineRule="auto"/>
        <w:ind w:left="0" w:hanging="2"/>
        <w:jc w:val="both"/>
        <w:rPr>
          <w:rFonts w:ascii="Arial" w:eastAsia="Arial" w:hAnsi="Arial" w:cs="Arial"/>
        </w:rPr>
      </w:pPr>
      <w:r>
        <w:rPr>
          <w:rFonts w:ascii="Arial" w:eastAsia="Arial" w:hAnsi="Arial" w:cs="Arial"/>
        </w:rPr>
        <w:lastRenderedPageBreak/>
        <w:t xml:space="preserve">Grupo A, receberá uma solução de </w:t>
      </w:r>
      <w:proofErr w:type="spellStart"/>
      <w:r>
        <w:rPr>
          <w:rFonts w:ascii="Arial" w:eastAsia="Arial" w:hAnsi="Arial" w:cs="Arial"/>
        </w:rPr>
        <w:t>proloterapia</w:t>
      </w:r>
      <w:proofErr w:type="spellEnd"/>
      <w:r>
        <w:rPr>
          <w:rFonts w:ascii="Arial" w:eastAsia="Arial" w:hAnsi="Arial" w:cs="Arial"/>
        </w:rPr>
        <w:t xml:space="preserve"> com 25% de dextrose. A solução será preparada com 5ml de Dextrose à 50% + 5ml de </w:t>
      </w:r>
      <w:r w:rsidR="00AD4989">
        <w:rPr>
          <w:rFonts w:ascii="Arial" w:eastAsia="Arial" w:hAnsi="Arial" w:cs="Arial"/>
        </w:rPr>
        <w:t>Lidocaína à 1%</w:t>
      </w:r>
      <w:r>
        <w:rPr>
          <w:rFonts w:ascii="Arial" w:eastAsia="Arial" w:hAnsi="Arial" w:cs="Arial"/>
        </w:rPr>
        <w:t>, desta composição será infiltrado 6 ml intra-articular no joelho acometido</w:t>
      </w:r>
      <w:r w:rsidR="0075437E">
        <w:rPr>
          <w:rFonts w:ascii="Arial" w:eastAsia="Arial" w:hAnsi="Arial" w:cs="Arial"/>
        </w:rPr>
        <w:fldChar w:fldCharType="begin"/>
      </w:r>
      <w:r w:rsidR="00124F29">
        <w:rPr>
          <w:rFonts w:ascii="Arial" w:eastAsia="Arial" w:hAnsi="Arial" w:cs="Arial"/>
        </w:rPr>
        <w:instrText xml:space="preserve"> ADDIN ZOTERO_ITEM CSL_CITATION {"citationID":"EB45UPTW","properties":{"formattedCitation":"(13)","plainCitation":"(13)","noteIndex":0},"citationItems":[{"id":329,"uris":["http://zotero.org/users/9580607/items/4XYT793R"],"itemData":{"id":329,"type":"article-journal","abstract":"PURPOSE Knee osteoarthritis is a common, debilitating chronic disease. Prolotherapy is an injection therapy for chronic musculoskeletal pain. We conducted a 3-arm, blinded (injector, assessor, injection group participants), randomized controlled trial to assess the efficacy of prolotherapy for knee osteoarthritis.\nMETHODS Ninety adults with at least 3 months of painful knee osteoarthritis were randomized to blinded injection (dextrose prolotherapy or saline) or at-home exercise. Extra- and intra-articular injections were done at 1, 5, and 9 weeks with as-needed additional treatments at weeks 13 and 17. Exercise participants received an exercise manual and in-person instruction. Outcome measures included a composite score on the Western Ontario McMaster University Osteoarthritis Index (WOMAC; 100 points); knee pain scale (KPS; individual knee), post-procedure opioid medication use, and participant satisfaction. Intention-to-treat analysis using analysis of variance was used.\nRESULTS No baseline differences existed between groups. All groups reported improved composite WOMAC scores compared with baseline status (P &lt;.01) at 52 weeks. Adjusted for sex, age, and body mass index, WOMAC scores for patients receiving dextrose prolotherapy improved more (P &lt;.05) at 52 weeks than did scores for patients receiving saline and exercise (score change: 15.3 ± 3.5 vs 7.6 ± 3.4, and 8.2 ± 3.3 points, respectively) and exceeded the WOMAC-based minimal clinically important difference. Individual knee pain scores also improved more in the prolotherapy group (P = .05). Use of prescribed postprocedure opioid medication resulted in rapid diminution of injection-related pain. Satisfaction with prolotherapy was high. There were no adverse events.\nCONCLUSIONS Prolotherapy resulted in clinically meaningful sustained improvement of pain, function, and stiffness scores for knee osteoarthritis compared with blinded saline injections and at-home exercises.","container-title":"The Annals of Family Medicine","DOI":"10.1370/afm.1504","ISSN":"1544-1709, 1544-1717","issue":"3","language":"en","license":"© 2013 Annals of Family Medicine, Inc.","note":"publisher: The Annals of Family Medicine\nsection: Original Research\nPMID: 23690322","page":"229-237","source":"www.annfammed.org","title":"Dextrose Prolotherapy for Knee Osteoarthritis: A Randomized Controlled Trial","title-short":"Dextrose Prolotherapy for Knee Osteoarthritis","volume":"11","author":[{"family":"Rabago","given":"David"},{"family":"Patterson","given":"Jeffrey J."},{"family":"Mundt","given":"Marlon"},{"family":"Kijowski","given":"Richard"},{"family":"Grettie","given":"Jessica"},{"family":"Segal","given":"Neil A."},{"family":"Zgierska","given":"Aleksandra"}],"issued":{"date-parts":[["2013",5,1]]}}}],"schema":"https://github.com/citation-style-language/schema/raw/master/csl-citation.json"} </w:instrText>
      </w:r>
      <w:r w:rsidR="0075437E">
        <w:rPr>
          <w:rFonts w:ascii="Arial" w:eastAsia="Arial" w:hAnsi="Arial" w:cs="Arial"/>
        </w:rPr>
        <w:fldChar w:fldCharType="separate"/>
      </w:r>
      <w:r w:rsidR="00F47488">
        <w:rPr>
          <w:rFonts w:ascii="Arial" w:eastAsia="Arial" w:hAnsi="Arial" w:cs="Arial"/>
          <w:noProof/>
        </w:rPr>
        <w:t>(13)</w:t>
      </w:r>
      <w:r w:rsidR="0075437E">
        <w:rPr>
          <w:rFonts w:ascii="Arial" w:eastAsia="Arial" w:hAnsi="Arial" w:cs="Arial"/>
        </w:rPr>
        <w:fldChar w:fldCharType="end"/>
      </w:r>
      <w:r w:rsidR="0075437E">
        <w:rPr>
          <w:rFonts w:ascii="Arial" w:eastAsia="Arial" w:hAnsi="Arial" w:cs="Arial"/>
        </w:rPr>
        <w:t>.</w:t>
      </w:r>
    </w:p>
    <w:p w14:paraId="1BE0D9B2" w14:textId="13DDBDB3" w:rsidR="00DC34E6" w:rsidRDefault="008C58E3">
      <w:pPr>
        <w:spacing w:before="240" w:after="240" w:line="360" w:lineRule="auto"/>
        <w:ind w:left="0" w:hanging="2"/>
        <w:jc w:val="both"/>
        <w:rPr>
          <w:rFonts w:ascii="Arial" w:eastAsia="Arial" w:hAnsi="Arial" w:cs="Arial"/>
        </w:rPr>
      </w:pPr>
      <w:r>
        <w:rPr>
          <w:rFonts w:ascii="Arial" w:eastAsia="Arial" w:hAnsi="Arial" w:cs="Arial"/>
        </w:rPr>
        <w:t xml:space="preserve">Grupo B, receberá uma solução de </w:t>
      </w:r>
      <w:proofErr w:type="spellStart"/>
      <w:r>
        <w:rPr>
          <w:rFonts w:ascii="Arial" w:eastAsia="Arial" w:hAnsi="Arial" w:cs="Arial"/>
        </w:rPr>
        <w:t>proloterapia</w:t>
      </w:r>
      <w:proofErr w:type="spellEnd"/>
      <w:r>
        <w:rPr>
          <w:rFonts w:ascii="Arial" w:eastAsia="Arial" w:hAnsi="Arial" w:cs="Arial"/>
        </w:rPr>
        <w:t xml:space="preserve"> com 15% de dextrose. A solução de </w:t>
      </w:r>
      <w:proofErr w:type="spellStart"/>
      <w:r>
        <w:rPr>
          <w:rFonts w:ascii="Arial" w:eastAsia="Arial" w:hAnsi="Arial" w:cs="Arial"/>
        </w:rPr>
        <w:t>proloterapia</w:t>
      </w:r>
      <w:proofErr w:type="spellEnd"/>
      <w:r>
        <w:rPr>
          <w:rFonts w:ascii="Arial" w:eastAsia="Arial" w:hAnsi="Arial" w:cs="Arial"/>
        </w:rPr>
        <w:t xml:space="preserve"> consistirá em </w:t>
      </w:r>
      <w:r w:rsidR="00AD4989">
        <w:rPr>
          <w:rFonts w:ascii="Arial" w:eastAsia="Arial" w:hAnsi="Arial" w:cs="Arial"/>
        </w:rPr>
        <w:t>3,3</w:t>
      </w:r>
      <w:r>
        <w:rPr>
          <w:rFonts w:ascii="Arial" w:eastAsia="Arial" w:hAnsi="Arial" w:cs="Arial"/>
        </w:rPr>
        <w:t xml:space="preserve">ml de Dextrose à </w:t>
      </w:r>
      <w:r w:rsidR="00AD4989">
        <w:rPr>
          <w:rFonts w:ascii="Arial" w:eastAsia="Arial" w:hAnsi="Arial" w:cs="Arial"/>
        </w:rPr>
        <w:t>50</w:t>
      </w:r>
      <w:r>
        <w:rPr>
          <w:rFonts w:ascii="Arial" w:eastAsia="Arial" w:hAnsi="Arial" w:cs="Arial"/>
        </w:rPr>
        <w:t xml:space="preserve">% + </w:t>
      </w:r>
      <w:r w:rsidR="00AD4989">
        <w:rPr>
          <w:rFonts w:ascii="Arial" w:eastAsia="Arial" w:hAnsi="Arial" w:cs="Arial"/>
        </w:rPr>
        <w:t>6,7</w:t>
      </w:r>
      <w:r>
        <w:rPr>
          <w:rFonts w:ascii="Arial" w:eastAsia="Arial" w:hAnsi="Arial" w:cs="Arial"/>
        </w:rPr>
        <w:t xml:space="preserve">ml de </w:t>
      </w:r>
      <w:r w:rsidR="00AD4989">
        <w:rPr>
          <w:rFonts w:ascii="Arial" w:eastAsia="Arial" w:hAnsi="Arial" w:cs="Arial"/>
        </w:rPr>
        <w:t>Lidocaína 1</w:t>
      </w:r>
      <w:r>
        <w:rPr>
          <w:rFonts w:ascii="Arial" w:eastAsia="Arial" w:hAnsi="Arial" w:cs="Arial"/>
        </w:rPr>
        <w:t>%, desta composição será infiltrado 6 ml intra-articular no joelho acometido</w:t>
      </w:r>
      <w:r w:rsidR="0075437E">
        <w:rPr>
          <w:rFonts w:ascii="Arial" w:eastAsia="Arial" w:hAnsi="Arial" w:cs="Arial"/>
        </w:rPr>
        <w:fldChar w:fldCharType="begin"/>
      </w:r>
      <w:r w:rsidR="00124F29">
        <w:rPr>
          <w:rFonts w:ascii="Arial" w:eastAsia="Arial" w:hAnsi="Arial" w:cs="Arial"/>
        </w:rPr>
        <w:instrText xml:space="preserve"> ADDIN ZOTERO_ITEM CSL_CITATION {"citationID":"SfWdggu6","properties":{"formattedCitation":"(13)","plainCitation":"(13)","noteIndex":0},"citationItems":[{"id":329,"uris":["http://zotero.org/users/9580607/items/4XYT793R"],"itemData":{"id":329,"type":"article-journal","abstract":"PURPOSE Knee osteoarthritis is a common, debilitating chronic disease. Prolotherapy is an injection therapy for chronic musculoskeletal pain. We conducted a 3-arm, blinded (injector, assessor, injection group participants), randomized controlled trial to assess the efficacy of prolotherapy for knee osteoarthritis.\nMETHODS Ninety adults with at least 3 months of painful knee osteoarthritis were randomized to blinded injection (dextrose prolotherapy or saline) or at-home exercise. Extra- and intra-articular injections were done at 1, 5, and 9 weeks with as-needed additional treatments at weeks 13 and 17. Exercise participants received an exercise manual and in-person instruction. Outcome measures included a composite score on the Western Ontario McMaster University Osteoarthritis Index (WOMAC; 100 points); knee pain scale (KPS; individual knee), post-procedure opioid medication use, and participant satisfaction. Intention-to-treat analysis using analysis of variance was used.\nRESULTS No baseline differences existed between groups. All groups reported improved composite WOMAC scores compared with baseline status (P &lt;.01) at 52 weeks. Adjusted for sex, age, and body mass index, WOMAC scores for patients receiving dextrose prolotherapy improved more (P &lt;.05) at 52 weeks than did scores for patients receiving saline and exercise (score change: 15.3 ± 3.5 vs 7.6 ± 3.4, and 8.2 ± 3.3 points, respectively) and exceeded the WOMAC-based minimal clinically important difference. Individual knee pain scores also improved more in the prolotherapy group (P = .05). Use of prescribed postprocedure opioid medication resulted in rapid diminution of injection-related pain. Satisfaction with prolotherapy was high. There were no adverse events.\nCONCLUSIONS Prolotherapy resulted in clinically meaningful sustained improvement of pain, function, and stiffness scores for knee osteoarthritis compared with blinded saline injections and at-home exercises.","container-title":"The Annals of Family Medicine","DOI":"10.1370/afm.1504","ISSN":"1544-1709, 1544-1717","issue":"3","language":"en","license":"© 2013 Annals of Family Medicine, Inc.","note":"publisher: The Annals of Family Medicine\nsection: Original Research\nPMID: 23690322","page":"229-237","source":"www.annfammed.org","title":"Dextrose Prolotherapy for Knee Osteoarthritis: A Randomized Controlled Trial","title-short":"Dextrose Prolotherapy for Knee Osteoarthritis","volume":"11","author":[{"family":"Rabago","given":"David"},{"family":"Patterson","given":"Jeffrey J."},{"family":"Mundt","given":"Marlon"},{"family":"Kijowski","given":"Richard"},{"family":"Grettie","given":"Jessica"},{"family":"Segal","given":"Neil A."},{"family":"Zgierska","given":"Aleksandra"}],"issued":{"date-parts":[["2013",5,1]]}}}],"schema":"https://github.com/citation-style-language/schema/raw/master/csl-citation.json"} </w:instrText>
      </w:r>
      <w:r w:rsidR="0075437E">
        <w:rPr>
          <w:rFonts w:ascii="Arial" w:eastAsia="Arial" w:hAnsi="Arial" w:cs="Arial"/>
        </w:rPr>
        <w:fldChar w:fldCharType="separate"/>
      </w:r>
      <w:r w:rsidR="00F47488">
        <w:rPr>
          <w:rFonts w:ascii="Arial" w:eastAsia="Arial" w:hAnsi="Arial" w:cs="Arial"/>
          <w:noProof/>
        </w:rPr>
        <w:t>(13)</w:t>
      </w:r>
      <w:r w:rsidR="0075437E">
        <w:rPr>
          <w:rFonts w:ascii="Arial" w:eastAsia="Arial" w:hAnsi="Arial" w:cs="Arial"/>
        </w:rPr>
        <w:fldChar w:fldCharType="end"/>
      </w:r>
      <w:r>
        <w:rPr>
          <w:rFonts w:ascii="Arial" w:eastAsia="Arial" w:hAnsi="Arial" w:cs="Arial"/>
        </w:rPr>
        <w:t>.</w:t>
      </w:r>
    </w:p>
    <w:p w14:paraId="7E135DC3" w14:textId="3DDB4178" w:rsidR="00B43410" w:rsidRDefault="00B43410">
      <w:pPr>
        <w:spacing w:before="240" w:after="240" w:line="360" w:lineRule="auto"/>
        <w:ind w:left="0" w:hanging="2"/>
        <w:jc w:val="both"/>
        <w:rPr>
          <w:rFonts w:ascii="Arial" w:eastAsia="Arial" w:hAnsi="Arial" w:cs="Arial"/>
        </w:rPr>
      </w:pPr>
      <w:r>
        <w:rPr>
          <w:rFonts w:ascii="Arial" w:eastAsia="Arial" w:hAnsi="Arial" w:cs="Arial"/>
        </w:rPr>
        <w:t>5.5 PREPARO DO ÁCIDO HIALURÔNICO</w:t>
      </w:r>
    </w:p>
    <w:p w14:paraId="773767D2" w14:textId="423AA8E6" w:rsidR="00B43410" w:rsidRDefault="00B43410">
      <w:pPr>
        <w:spacing w:before="240" w:after="240" w:line="360" w:lineRule="auto"/>
        <w:ind w:left="0" w:hanging="2"/>
        <w:jc w:val="both"/>
        <w:rPr>
          <w:rFonts w:ascii="Arial" w:eastAsia="Arial" w:hAnsi="Arial" w:cs="Arial"/>
        </w:rPr>
      </w:pPr>
      <w:r>
        <w:rPr>
          <w:rFonts w:ascii="Arial" w:eastAsia="Arial" w:hAnsi="Arial" w:cs="Arial"/>
        </w:rPr>
        <w:t>Grupo C, receberá o ácido hialurônico intra-articular, de acordo com recomendações do item 5.3.</w:t>
      </w:r>
    </w:p>
    <w:p w14:paraId="1C0C5211" w14:textId="29A16FC2" w:rsidR="00DC34E6" w:rsidRDefault="008C58E3">
      <w:pPr>
        <w:spacing w:before="240" w:after="240" w:line="360" w:lineRule="auto"/>
        <w:ind w:left="0" w:hanging="2"/>
        <w:jc w:val="both"/>
        <w:rPr>
          <w:rFonts w:ascii="Arial" w:eastAsia="Arial" w:hAnsi="Arial" w:cs="Arial"/>
        </w:rPr>
      </w:pPr>
      <w:r>
        <w:rPr>
          <w:rFonts w:ascii="Arial" w:eastAsia="Arial" w:hAnsi="Arial" w:cs="Arial"/>
        </w:rPr>
        <w:t>5.</w:t>
      </w:r>
      <w:r w:rsidR="00B43410">
        <w:rPr>
          <w:rFonts w:ascii="Arial" w:eastAsia="Arial" w:hAnsi="Arial" w:cs="Arial"/>
        </w:rPr>
        <w:t>6</w:t>
      </w:r>
      <w:r>
        <w:rPr>
          <w:rFonts w:ascii="Arial" w:eastAsia="Arial" w:hAnsi="Arial" w:cs="Arial"/>
        </w:rPr>
        <w:t xml:space="preserve"> AVALIAÇÃO</w:t>
      </w:r>
    </w:p>
    <w:p w14:paraId="1FB505D5"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A avaliação clínica consistirá nas seguintes etapas:</w:t>
      </w:r>
    </w:p>
    <w:p w14:paraId="7EAD83EF"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1)</w:t>
      </w:r>
      <w:r>
        <w:rPr>
          <w:sz w:val="14"/>
          <w:szCs w:val="14"/>
        </w:rPr>
        <w:tab/>
      </w:r>
      <w:r>
        <w:rPr>
          <w:rFonts w:ascii="Arial" w:eastAsia="Arial" w:hAnsi="Arial" w:cs="Arial"/>
        </w:rPr>
        <w:t xml:space="preserve">Avaliação funcional subjetiva, baseada nos questionários WOMAC, </w:t>
      </w:r>
      <w:r>
        <w:rPr>
          <w:rFonts w:ascii="Arial" w:eastAsia="Arial" w:hAnsi="Arial" w:cs="Arial"/>
          <w:i/>
        </w:rPr>
        <w:t>Knee Society Score</w:t>
      </w:r>
      <w:r>
        <w:rPr>
          <w:rFonts w:ascii="Arial" w:eastAsia="Arial" w:hAnsi="Arial" w:cs="Arial"/>
        </w:rPr>
        <w:t xml:space="preserve"> (KSS), e em escala visual analógica para dor, função e análise de satisfação (antes da infiltração, 1 mês, três meses, seis meses e um ano após a infiltração);</w:t>
      </w:r>
    </w:p>
    <w:p w14:paraId="61AB5392"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2)</w:t>
      </w:r>
      <w:r>
        <w:rPr>
          <w:sz w:val="14"/>
          <w:szCs w:val="14"/>
        </w:rPr>
        <w:tab/>
      </w:r>
      <w:r>
        <w:rPr>
          <w:rFonts w:ascii="Arial" w:eastAsia="Arial" w:hAnsi="Arial" w:cs="Arial"/>
        </w:rPr>
        <w:t>Avaliação clínica, composta de (1) registro dos dados demográficos (idade, sexo, peso, altura, gravidade da osteoartrite), (2) medida do arco de movimento, (3) avaliação do eixo dos membros inferiores (antes da infiltração, 1 mês, três meses, seis meses e um ano após a infiltração);</w:t>
      </w:r>
    </w:p>
    <w:p w14:paraId="04B1E9AD"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3)</w:t>
      </w:r>
      <w:r>
        <w:rPr>
          <w:sz w:val="14"/>
          <w:szCs w:val="14"/>
        </w:rPr>
        <w:tab/>
      </w:r>
      <w:r>
        <w:rPr>
          <w:rFonts w:ascii="Arial" w:eastAsia="Arial" w:hAnsi="Arial" w:cs="Arial"/>
        </w:rPr>
        <w:t>Avaliação radiográfica com radiografias dos joelhos panorâmica, em anteroposterior e perfil com carga, visando detectar alterações do eixo e espaço articular (antes da infiltração, com 6 meses e 1 ano após infiltração, conforme protocolo de acompanhamento do CAE).</w:t>
      </w:r>
    </w:p>
    <w:p w14:paraId="385E38F6"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Os pacientes serão avaliados por observador independente daquele que aplicou o tratamento sorteado.</w:t>
      </w:r>
    </w:p>
    <w:p w14:paraId="11BC082B" w14:textId="77777777" w:rsidR="00DC34E6" w:rsidRDefault="008C58E3">
      <w:pPr>
        <w:spacing w:before="240" w:after="240" w:line="360" w:lineRule="auto"/>
        <w:ind w:left="0" w:hanging="2"/>
        <w:jc w:val="both"/>
        <w:rPr>
          <w:rFonts w:ascii="Arial" w:eastAsia="Arial" w:hAnsi="Arial" w:cs="Arial"/>
          <w:b/>
        </w:rPr>
      </w:pPr>
      <w:r>
        <w:rPr>
          <w:rFonts w:ascii="Arial" w:eastAsia="Arial" w:hAnsi="Arial" w:cs="Arial"/>
        </w:rPr>
        <w:t xml:space="preserve"> </w:t>
      </w:r>
      <w:r>
        <w:rPr>
          <w:rFonts w:ascii="Arial" w:eastAsia="Arial" w:hAnsi="Arial" w:cs="Arial"/>
          <w:b/>
        </w:rPr>
        <w:t>6. ANÁLISE DOS RESULTADOS</w:t>
      </w:r>
    </w:p>
    <w:p w14:paraId="5332358D" w14:textId="7A96FAB0" w:rsidR="00C532E6" w:rsidRPr="00C532E6" w:rsidRDefault="008C58E3" w:rsidP="00C532E6">
      <w:pPr>
        <w:autoSpaceDE w:val="0"/>
        <w:autoSpaceDN w:val="0"/>
        <w:adjustRightInd w:val="0"/>
        <w:spacing w:line="360" w:lineRule="auto"/>
        <w:ind w:left="0" w:hanging="2"/>
        <w:jc w:val="both"/>
        <w:rPr>
          <w:rFonts w:ascii="Arial" w:hAnsi="Arial" w:cs="Arial"/>
        </w:rPr>
      </w:pPr>
      <w:r w:rsidRPr="00C532E6">
        <w:rPr>
          <w:rFonts w:ascii="Arial" w:eastAsia="Arial" w:hAnsi="Arial" w:cs="Arial"/>
        </w:rPr>
        <w:lastRenderedPageBreak/>
        <w:t xml:space="preserve">Os dados serão tabulados em planilha Microsoft Excel e analisados. Os dados dos questionários WOMAC e KSS serão apresentados em tabela com o valor dos escores obtidos. Os dados serão submetidos à avaliação de normalidade e caos apresentem distribuição normal serão submetidos à estatística com teste -t de </w:t>
      </w:r>
      <w:proofErr w:type="spellStart"/>
      <w:r w:rsidRPr="00C532E6">
        <w:rPr>
          <w:rFonts w:ascii="Arial" w:eastAsia="Arial" w:hAnsi="Arial" w:cs="Arial"/>
          <w:i/>
        </w:rPr>
        <w:t>Student</w:t>
      </w:r>
      <w:proofErr w:type="spellEnd"/>
      <w:r w:rsidRPr="00C532E6">
        <w:rPr>
          <w:rFonts w:ascii="Arial" w:eastAsia="Arial" w:hAnsi="Arial" w:cs="Arial"/>
        </w:rPr>
        <w:t xml:space="preserve"> para verificação de significância estatística. Consideraremos significativos valores de p inferiores a 0,05.</w:t>
      </w:r>
      <w:r w:rsidR="00C532E6" w:rsidRPr="00C532E6">
        <w:rPr>
          <w:rFonts w:ascii="Arial" w:eastAsia="Arial" w:hAnsi="Arial" w:cs="Arial"/>
        </w:rPr>
        <w:t xml:space="preserve"> </w:t>
      </w:r>
      <w:r w:rsidR="00C532E6" w:rsidRPr="00C532E6">
        <w:rPr>
          <w:rFonts w:ascii="Arial" w:hAnsi="Arial" w:cs="Arial"/>
        </w:rPr>
        <w:t xml:space="preserve">Um </w:t>
      </w:r>
      <w:r w:rsidR="007B2F2E">
        <w:rPr>
          <w:rFonts w:ascii="Arial" w:hAnsi="Arial" w:cs="Arial"/>
        </w:rPr>
        <w:t xml:space="preserve">ensaio </w:t>
      </w:r>
      <w:r w:rsidR="00526D77">
        <w:rPr>
          <w:rFonts w:ascii="Arial" w:hAnsi="Arial" w:cs="Arial"/>
        </w:rPr>
        <w:t>clínico</w:t>
      </w:r>
      <w:r w:rsidR="007B2F2E">
        <w:rPr>
          <w:rFonts w:ascii="Arial" w:hAnsi="Arial" w:cs="Arial"/>
        </w:rPr>
        <w:t xml:space="preserve"> randomizado</w:t>
      </w:r>
      <w:r w:rsidR="00C532E6" w:rsidRPr="00C532E6">
        <w:rPr>
          <w:rFonts w:ascii="Arial" w:hAnsi="Arial" w:cs="Arial"/>
        </w:rPr>
        <w:t xml:space="preserve"> </w:t>
      </w:r>
      <w:r w:rsidR="007B2F2E">
        <w:rPr>
          <w:rFonts w:ascii="Arial" w:hAnsi="Arial" w:cs="Arial"/>
        </w:rPr>
        <w:t>que avaliou</w:t>
      </w:r>
      <w:r w:rsidR="00C532E6" w:rsidRPr="00C532E6">
        <w:rPr>
          <w:rFonts w:ascii="Arial" w:hAnsi="Arial" w:cs="Arial"/>
        </w:rPr>
        <w:t xml:space="preserve"> a </w:t>
      </w:r>
      <w:proofErr w:type="spellStart"/>
      <w:r w:rsidR="00C532E6" w:rsidRPr="00C532E6">
        <w:rPr>
          <w:rFonts w:ascii="Arial" w:hAnsi="Arial" w:cs="Arial"/>
        </w:rPr>
        <w:t>proloterapia</w:t>
      </w:r>
      <w:proofErr w:type="spellEnd"/>
      <w:r w:rsidR="00C532E6" w:rsidRPr="00C532E6">
        <w:rPr>
          <w:rFonts w:ascii="Arial" w:hAnsi="Arial" w:cs="Arial"/>
        </w:rPr>
        <w:t xml:space="preserve"> para osteoartrite do joelho relatou um tamanho de efeito de 44% em comparação com o estado inicial</w:t>
      </w:r>
      <w:r w:rsidR="007B2F2E">
        <w:rPr>
          <w:rFonts w:ascii="Arial" w:hAnsi="Arial" w:cs="Arial"/>
        </w:rPr>
        <w:t xml:space="preserve"> da dor analisando</w:t>
      </w:r>
      <w:r w:rsidR="00C532E6" w:rsidRPr="00C532E6">
        <w:rPr>
          <w:rFonts w:ascii="Arial" w:hAnsi="Arial" w:cs="Arial"/>
        </w:rPr>
        <w:t xml:space="preserve"> </w:t>
      </w:r>
      <w:r w:rsidR="007B2F2E">
        <w:rPr>
          <w:rFonts w:ascii="Arial" w:hAnsi="Arial" w:cs="Arial"/>
        </w:rPr>
        <w:t>a</w:t>
      </w:r>
      <w:r w:rsidR="00C532E6" w:rsidRPr="00C532E6">
        <w:rPr>
          <w:rFonts w:ascii="Arial" w:hAnsi="Arial" w:cs="Arial"/>
        </w:rPr>
        <w:t xml:space="preserve"> escala analógica visual</w:t>
      </w:r>
      <w:r w:rsidR="008036A4">
        <w:rPr>
          <w:rFonts w:ascii="Arial" w:hAnsi="Arial" w:cs="Arial"/>
        </w:rPr>
        <w:t xml:space="preserve"> de dor</w:t>
      </w:r>
      <w:r w:rsidR="00C532E6" w:rsidRPr="00C532E6">
        <w:rPr>
          <w:rFonts w:ascii="Arial" w:hAnsi="Arial" w:cs="Arial"/>
        </w:rPr>
        <w:t xml:space="preserve">. </w:t>
      </w:r>
      <w:r w:rsidR="00C532E6" w:rsidRPr="00C532E6">
        <w:rPr>
          <w:rFonts w:ascii="Arial" w:hAnsi="Arial" w:cs="Arial"/>
        </w:rPr>
        <w:fldChar w:fldCharType="begin"/>
      </w:r>
      <w:r w:rsidR="00124F29">
        <w:rPr>
          <w:rFonts w:ascii="Arial" w:hAnsi="Arial" w:cs="Arial"/>
        </w:rPr>
        <w:instrText xml:space="preserve"> ADDIN ZOTERO_ITEM CSL_CITATION {"citationID":"uEjK0Gto","properties":{"formattedCitation":"(14)","plainCitation":"(14)","noteIndex":0},"citationItems":[{"id":2135,"uris":["http://zotero.org/users/9580607/items/JBDU3RFA"],"itemData":{"id":2135,"type":"article-journal","abstract":"CONTEXT: Use of prolotherapy (injection of growth factors or growth factor stimulators).\nOBJECTIVE: Determine the effects of dextrose prolotherapy on knee osteoarthritis with or without anterior cruciate ligament (ACL) laxity.\nDESIGN: Prospective randomized double-blind placebo-controlled trial.\nSETTING: Outpatient physical medicine clinic.\nPATIENTS OR OTHER PARTICIPANTS: Six months or more of pain along with either grade 2 or more joint narrowing or grade 2 or more osteophytic change in any knee compartment. A total of 38 knees were completely void of cartilage radiographically in at least 1 compartment.\nINTERVENTION: Three bimonthly injections of 9 cc of either 10% dextrose and .075% lidocaine in bacteriostatic water (active solution) versus an identical control solution absent 10% dextrose. The dextrose-treated joints then received 3 further bimonthly injections of 10% dextrose in open-label fashion.\nMAIN OUTCOME MEASURES: Visual analogue scale for pain and swelling, frequency of leg buckling, goniometrically measured flexion, radiographic measures of joint narrowing and osteophytosis, and KT1000-measured anterior displacement difference (ADD).\nRESULTS: All knees: Hotelling multivariate analysis of paired observations between 0 and 6 months for pain, swelling, buckling episodes, and knee flexion range revealed significantly more benefit from the dextrose injection (P = .015). By 12 months (6 injections) the dextrose-treated knees improved in pain (44% decrease), swelling complaints (63% decrease), knee buckling frequency (85% decrease), and in flexion range (14 degree increase). Analysis of blinded radiographic readings of 0- and 12-month films revealed stability of all radiographic variables except for 2 variables which improved with statistical significance. (Lateral patellofemoral cartilage thickness [P = .019] and distal femur width in mm [P = .021]. Knees with ACL laxity: 6-month (3 injection) data revealed no significant improvement. However, Hotelling multivariate analysis of paired values at 0 and 12 months for pain, swelling, joint flexion, and joint laxity in the dextrose-treated knees, revealed a statistically significant improvement (P = .021). Individual paired t tests indicated that blinded measurement of goniometric knee flexion range improved by 12.8 degrees (P = .005), and ADD improved by 57% (P = .025). Eight out of 13 dextrose-treated knees with ACL laxity were no longer lax at the conclusion of 1 year.\nCONCLUSION: Prolotherapy injection with 10% dextrose resulted in clinically and statistically significant improvements in knee osteoarthritis. Preliminary blinded radiographic readings (1-year films, with 3-year total follow-up period planned) demonstrated improvement in several measures of osteoarthritis severity. ACL laxity, when present in these osteoarthritic patients, improved.","container-title":"Alternative Therapies in Health and Medicine","ISSN":"1078-6791","issue":"2","journalAbbreviation":"Altern Ther Health Med","language":"eng","note":"PMID: 10710805","page":"68-74, 77-80","source":"PubMed","title":"Randomized prospective double-blind placebo-controlled study of dextrose prolotherapy for knee osteoarthritis with or without ACL laxity","volume":"6","author":[{"family":"Reeves","given":"K. D."},{"family":"Hassanein","given":"K."}],"issued":{"date-parts":[["2000",3]]}}}],"schema":"https://github.com/citation-style-language/schema/raw/master/csl-citation.json"} </w:instrText>
      </w:r>
      <w:r w:rsidR="00C532E6" w:rsidRPr="00C532E6">
        <w:rPr>
          <w:rFonts w:ascii="Arial" w:hAnsi="Arial" w:cs="Arial"/>
        </w:rPr>
        <w:fldChar w:fldCharType="separate"/>
      </w:r>
      <w:r w:rsidR="00124F29" w:rsidRPr="00124F29">
        <w:rPr>
          <w:rFonts w:ascii="Arial" w:hAnsi="Arial" w:cs="Arial"/>
        </w:rPr>
        <w:t>(14)</w:t>
      </w:r>
      <w:r w:rsidR="00C532E6" w:rsidRPr="00C532E6">
        <w:rPr>
          <w:rFonts w:ascii="Arial" w:hAnsi="Arial" w:cs="Arial"/>
        </w:rPr>
        <w:fldChar w:fldCharType="end"/>
      </w:r>
    </w:p>
    <w:p w14:paraId="483D53E4" w14:textId="77777777" w:rsidR="00C532E6" w:rsidRPr="00C532E6" w:rsidRDefault="00C532E6" w:rsidP="00C532E6">
      <w:pPr>
        <w:autoSpaceDE w:val="0"/>
        <w:autoSpaceDN w:val="0"/>
        <w:adjustRightInd w:val="0"/>
        <w:spacing w:line="360" w:lineRule="auto"/>
        <w:ind w:left="0" w:hanging="2"/>
        <w:jc w:val="both"/>
        <w:rPr>
          <w:rFonts w:ascii="Arial" w:hAnsi="Arial" w:cs="Arial"/>
        </w:rPr>
      </w:pPr>
      <w:r w:rsidRPr="00C532E6">
        <w:rPr>
          <w:rFonts w:ascii="Arial" w:hAnsi="Arial" w:cs="Arial"/>
        </w:rPr>
        <w:t xml:space="preserve">Realizando um cálculo amostral com tamanho de efeito de 44%, α de 0,05 e um poder da amostra de 80% encontramos um “n” </w:t>
      </w:r>
      <w:proofErr w:type="spellStart"/>
      <w:r w:rsidRPr="00C532E6">
        <w:rPr>
          <w:rFonts w:ascii="Arial" w:hAnsi="Arial" w:cs="Arial"/>
        </w:rPr>
        <w:t>notal</w:t>
      </w:r>
      <w:proofErr w:type="spellEnd"/>
      <w:r w:rsidRPr="00C532E6">
        <w:rPr>
          <w:rFonts w:ascii="Arial" w:hAnsi="Arial" w:cs="Arial"/>
        </w:rPr>
        <w:t xml:space="preserve"> de 43 pacientes. Optamos </w:t>
      </w:r>
      <w:proofErr w:type="gramStart"/>
      <w:r w:rsidRPr="00C532E6">
        <w:rPr>
          <w:rFonts w:ascii="Arial" w:hAnsi="Arial" w:cs="Arial"/>
        </w:rPr>
        <w:t>nestes caso</w:t>
      </w:r>
      <w:proofErr w:type="gramEnd"/>
      <w:r w:rsidRPr="00C532E6">
        <w:rPr>
          <w:rFonts w:ascii="Arial" w:hAnsi="Arial" w:cs="Arial"/>
        </w:rPr>
        <w:t xml:space="preserve"> por utilizar um “n” de 30 pacientes por grupo. </w:t>
      </w:r>
    </w:p>
    <w:p w14:paraId="7D66BCC3" w14:textId="77777777" w:rsidR="00DC34E6" w:rsidRDefault="00DC34E6" w:rsidP="00C532E6">
      <w:pPr>
        <w:spacing w:before="240" w:after="240" w:line="360" w:lineRule="auto"/>
        <w:ind w:leftChars="0" w:left="0" w:firstLineChars="0" w:firstLine="0"/>
        <w:jc w:val="both"/>
        <w:rPr>
          <w:rFonts w:ascii="Arial" w:eastAsia="Arial" w:hAnsi="Arial" w:cs="Arial"/>
        </w:rPr>
      </w:pPr>
    </w:p>
    <w:p w14:paraId="69647CA6" w14:textId="77777777" w:rsidR="00DC34E6" w:rsidRDefault="008C58E3">
      <w:pPr>
        <w:spacing w:before="240" w:after="240" w:line="360" w:lineRule="auto"/>
        <w:ind w:left="0" w:hanging="2"/>
        <w:jc w:val="both"/>
        <w:rPr>
          <w:rFonts w:ascii="Arial" w:eastAsia="Arial" w:hAnsi="Arial" w:cs="Arial"/>
          <w:b/>
        </w:rPr>
      </w:pPr>
      <w:r>
        <w:rPr>
          <w:rFonts w:ascii="Arial" w:eastAsia="Arial" w:hAnsi="Arial" w:cs="Arial"/>
          <w:b/>
        </w:rPr>
        <w:t>7. RESULTADOS ESPERADOS</w:t>
      </w:r>
    </w:p>
    <w:p w14:paraId="2C2B9C3F" w14:textId="15418C8B" w:rsidR="00B43410" w:rsidRDefault="008C58E3" w:rsidP="00B43410">
      <w:pPr>
        <w:spacing w:before="240" w:after="240" w:line="360" w:lineRule="auto"/>
        <w:ind w:left="0" w:hanging="2"/>
        <w:jc w:val="both"/>
        <w:rPr>
          <w:rFonts w:ascii="Arial" w:eastAsia="Arial" w:hAnsi="Arial" w:cs="Arial"/>
        </w:rPr>
      </w:pPr>
      <w:r>
        <w:rPr>
          <w:rFonts w:ascii="Arial" w:eastAsia="Arial" w:hAnsi="Arial" w:cs="Arial"/>
        </w:rPr>
        <w:t>Esperamos encontrar melhora dos escores objetivos e subjetivos em ambos os grupos em comparação ao momento antes da aplicação e ao longo do tempo. Acreditamos que não haja diferenças entre os tratamentos envolvendo o ácido hialurônico e a PDH na melhora dos sintomas e da função articular.</w:t>
      </w:r>
    </w:p>
    <w:p w14:paraId="7817F1D2" w14:textId="0794FD9A" w:rsidR="00B43410" w:rsidRPr="00B43410" w:rsidRDefault="00B43410" w:rsidP="00B43410">
      <w:pPr>
        <w:ind w:left="0" w:hanging="2"/>
        <w:rPr>
          <w:rFonts w:eastAsia="Arial"/>
        </w:rPr>
      </w:pPr>
    </w:p>
    <w:p w14:paraId="0763ADA1" w14:textId="77777777" w:rsidR="00DC34E6" w:rsidRDefault="008C58E3">
      <w:pPr>
        <w:spacing w:before="240" w:after="240" w:line="360" w:lineRule="auto"/>
        <w:ind w:left="0" w:hanging="2"/>
        <w:jc w:val="both"/>
        <w:rPr>
          <w:rFonts w:ascii="Arial" w:eastAsia="Arial" w:hAnsi="Arial" w:cs="Arial"/>
          <w:b/>
        </w:rPr>
      </w:pPr>
      <w:r>
        <w:rPr>
          <w:rFonts w:ascii="Arial" w:eastAsia="Arial" w:hAnsi="Arial" w:cs="Arial"/>
          <w:b/>
        </w:rPr>
        <w:t>8. INFRAESTRUTURA:</w:t>
      </w:r>
    </w:p>
    <w:p w14:paraId="1608C000"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As avaliações serão realizadas utilizando a estrutura já existente no INTO, nos horários destinados ao ambulatório do PACTO no ambulatório do INTO.</w:t>
      </w:r>
    </w:p>
    <w:p w14:paraId="68BA708D" w14:textId="77777777" w:rsidR="00DC34E6" w:rsidRDefault="008C58E3">
      <w:pPr>
        <w:spacing w:before="240" w:after="240" w:line="360" w:lineRule="auto"/>
        <w:ind w:left="0" w:hanging="2"/>
        <w:jc w:val="both"/>
        <w:rPr>
          <w:rFonts w:ascii="Arial" w:eastAsia="Arial" w:hAnsi="Arial" w:cs="Arial"/>
          <w:b/>
        </w:rPr>
      </w:pPr>
      <w:r>
        <w:rPr>
          <w:rFonts w:ascii="Arial" w:eastAsia="Arial" w:hAnsi="Arial" w:cs="Arial"/>
          <w:b/>
        </w:rPr>
        <w:t>9. EQUIPE ENVOLVIDA:</w:t>
      </w:r>
    </w:p>
    <w:p w14:paraId="537CC609"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 xml:space="preserve">Eduardo Branco de Sousa - Médico Ortopedista do CAE Cirurgia do Joelho, Mestre e Doutor em Ciências, </w:t>
      </w:r>
      <w:proofErr w:type="spellStart"/>
      <w:r>
        <w:rPr>
          <w:rFonts w:ascii="Arial" w:eastAsia="Arial" w:hAnsi="Arial" w:cs="Arial"/>
        </w:rPr>
        <w:t>Pós-doutorando</w:t>
      </w:r>
      <w:proofErr w:type="spellEnd"/>
      <w:r>
        <w:rPr>
          <w:rFonts w:ascii="Arial" w:eastAsia="Arial" w:hAnsi="Arial" w:cs="Arial"/>
        </w:rPr>
        <w:t xml:space="preserve"> em Biotecnologia;</w:t>
      </w:r>
    </w:p>
    <w:p w14:paraId="74C627ED"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José Leonardo Rocha de Farias, Médico Ortopedista do CAE Cirurgia do Joelho, Mestre e Doutorando em Ciências;</w:t>
      </w:r>
    </w:p>
    <w:p w14:paraId="70F69513" w14:textId="71F40601" w:rsidR="00DC34E6" w:rsidRDefault="008C58E3">
      <w:pPr>
        <w:spacing w:before="240" w:after="240" w:line="360" w:lineRule="auto"/>
        <w:ind w:left="0" w:hanging="2"/>
        <w:jc w:val="both"/>
        <w:rPr>
          <w:rFonts w:ascii="Arial" w:eastAsia="Arial" w:hAnsi="Arial" w:cs="Arial"/>
        </w:rPr>
      </w:pPr>
      <w:r>
        <w:rPr>
          <w:rFonts w:ascii="Arial" w:eastAsia="Arial" w:hAnsi="Arial" w:cs="Arial"/>
        </w:rPr>
        <w:t xml:space="preserve">Alan de Paula </w:t>
      </w:r>
      <w:proofErr w:type="spellStart"/>
      <w:r>
        <w:rPr>
          <w:rFonts w:ascii="Arial" w:eastAsia="Arial" w:hAnsi="Arial" w:cs="Arial"/>
        </w:rPr>
        <w:t>Mozella</w:t>
      </w:r>
      <w:proofErr w:type="spellEnd"/>
      <w:r>
        <w:rPr>
          <w:rFonts w:ascii="Arial" w:eastAsia="Arial" w:hAnsi="Arial" w:cs="Arial"/>
        </w:rPr>
        <w:t>, Médico Ortopedista do CAE Cirurgia do Joelho, Mestre e Doutor em Ciências;</w:t>
      </w:r>
    </w:p>
    <w:p w14:paraId="43E8C048" w14:textId="5C743F91" w:rsidR="00A8685E" w:rsidRDefault="00A8685E" w:rsidP="00A8685E">
      <w:pPr>
        <w:spacing w:before="240" w:after="240" w:line="360" w:lineRule="auto"/>
        <w:ind w:left="0" w:hanging="2"/>
        <w:jc w:val="both"/>
        <w:rPr>
          <w:rFonts w:ascii="Arial" w:eastAsia="Arial" w:hAnsi="Arial" w:cs="Arial"/>
        </w:rPr>
      </w:pPr>
      <w:r>
        <w:rPr>
          <w:rFonts w:ascii="Arial" w:eastAsia="Arial" w:hAnsi="Arial" w:cs="Arial"/>
        </w:rPr>
        <w:lastRenderedPageBreak/>
        <w:t xml:space="preserve">Victor Elias </w:t>
      </w:r>
      <w:proofErr w:type="spellStart"/>
      <w:r>
        <w:rPr>
          <w:rFonts w:ascii="Arial" w:eastAsia="Arial" w:hAnsi="Arial" w:cs="Arial"/>
        </w:rPr>
        <w:t>Titoneli</w:t>
      </w:r>
      <w:proofErr w:type="spellEnd"/>
      <w:r>
        <w:rPr>
          <w:rFonts w:ascii="Arial" w:eastAsia="Arial" w:hAnsi="Arial" w:cs="Arial"/>
        </w:rPr>
        <w:t>, Médico Ortopedista do CAE Cirurgia do Joelho, Mestre em Ciências;</w:t>
      </w:r>
    </w:p>
    <w:p w14:paraId="53F917E0" w14:textId="77777777" w:rsidR="00A8685E" w:rsidRDefault="00A8685E" w:rsidP="00A8685E">
      <w:pPr>
        <w:spacing w:before="240" w:after="240" w:line="360" w:lineRule="auto"/>
        <w:ind w:left="0" w:hanging="2"/>
        <w:jc w:val="both"/>
        <w:rPr>
          <w:rFonts w:ascii="Arial" w:eastAsia="Arial" w:hAnsi="Arial" w:cs="Arial"/>
        </w:rPr>
      </w:pPr>
      <w:r>
        <w:rPr>
          <w:rFonts w:ascii="Arial" w:eastAsia="Arial" w:hAnsi="Arial" w:cs="Arial"/>
        </w:rPr>
        <w:t>Bernardo Crespo Alves, Médico Ortopedista do CAE Cirurgia do Joelho, Mestre em Ciências;</w:t>
      </w:r>
    </w:p>
    <w:p w14:paraId="5BEC799B" w14:textId="5AF18862" w:rsidR="00DC34E6" w:rsidRDefault="00A8685E" w:rsidP="00C532E6">
      <w:pPr>
        <w:spacing w:before="240" w:after="240" w:line="360" w:lineRule="auto"/>
        <w:ind w:left="0" w:hanging="2"/>
        <w:jc w:val="both"/>
        <w:rPr>
          <w:rFonts w:ascii="Arial" w:eastAsia="Arial" w:hAnsi="Arial" w:cs="Arial"/>
        </w:rPr>
      </w:pPr>
      <w:r>
        <w:rPr>
          <w:rFonts w:ascii="Arial" w:eastAsia="Arial" w:hAnsi="Arial" w:cs="Arial"/>
        </w:rPr>
        <w:t xml:space="preserve">Rodrigo </w:t>
      </w:r>
      <w:proofErr w:type="spellStart"/>
      <w:r>
        <w:rPr>
          <w:rFonts w:ascii="Arial" w:eastAsia="Arial" w:hAnsi="Arial" w:cs="Arial"/>
        </w:rPr>
        <w:t>Satamini</w:t>
      </w:r>
      <w:proofErr w:type="spellEnd"/>
      <w:r>
        <w:rPr>
          <w:rFonts w:ascii="Arial" w:eastAsia="Arial" w:hAnsi="Arial" w:cs="Arial"/>
        </w:rPr>
        <w:t xml:space="preserve"> Pires e Albuquerque, Eduardo Branco de Sousa - Médico Ortopedista do CAE Cirurgia do Joelho, Mestre e Doutor em Ciências.</w:t>
      </w:r>
    </w:p>
    <w:p w14:paraId="1A021AFC" w14:textId="77777777" w:rsidR="00DC34E6" w:rsidRDefault="00DC34E6">
      <w:pPr>
        <w:spacing w:before="240" w:after="240" w:line="360" w:lineRule="auto"/>
        <w:ind w:left="0" w:hanging="2"/>
        <w:jc w:val="both"/>
        <w:rPr>
          <w:rFonts w:ascii="Arial" w:eastAsia="Arial" w:hAnsi="Arial" w:cs="Arial"/>
        </w:rPr>
      </w:pPr>
    </w:p>
    <w:p w14:paraId="5DD1E9B2" w14:textId="1CA221C6" w:rsidR="00DC34E6" w:rsidRDefault="00DC34E6">
      <w:pPr>
        <w:spacing w:before="240" w:after="240" w:line="360" w:lineRule="auto"/>
        <w:ind w:left="0" w:hanging="2"/>
        <w:jc w:val="both"/>
        <w:rPr>
          <w:rFonts w:ascii="Arial" w:eastAsia="Arial" w:hAnsi="Arial" w:cs="Arial"/>
        </w:rPr>
      </w:pPr>
    </w:p>
    <w:p w14:paraId="12F6692F" w14:textId="77777777" w:rsidR="001D6ED9" w:rsidRDefault="001D6ED9">
      <w:pPr>
        <w:spacing w:before="240" w:after="240" w:line="360" w:lineRule="auto"/>
        <w:ind w:left="0" w:hanging="2"/>
        <w:jc w:val="both"/>
        <w:rPr>
          <w:rFonts w:ascii="Arial" w:eastAsia="Arial" w:hAnsi="Arial" w:cs="Arial"/>
        </w:rPr>
      </w:pPr>
    </w:p>
    <w:p w14:paraId="58FF3BB0" w14:textId="77777777" w:rsidR="00DC34E6" w:rsidRDefault="00DC34E6">
      <w:pPr>
        <w:spacing w:before="240" w:after="240" w:line="360" w:lineRule="auto"/>
        <w:ind w:left="0" w:hanging="2"/>
        <w:jc w:val="both"/>
        <w:rPr>
          <w:rFonts w:ascii="Arial" w:eastAsia="Arial" w:hAnsi="Arial" w:cs="Arial"/>
        </w:rPr>
      </w:pPr>
    </w:p>
    <w:p w14:paraId="52A1A99A" w14:textId="77777777" w:rsidR="00DC34E6" w:rsidRDefault="008C58E3">
      <w:pPr>
        <w:spacing w:before="240" w:after="240" w:line="360" w:lineRule="auto"/>
        <w:ind w:left="0" w:hanging="2"/>
        <w:jc w:val="both"/>
        <w:rPr>
          <w:rFonts w:ascii="Arial" w:eastAsia="Arial" w:hAnsi="Arial" w:cs="Arial"/>
          <w:b/>
        </w:rPr>
      </w:pPr>
      <w:r>
        <w:rPr>
          <w:rFonts w:ascii="Arial" w:eastAsia="Arial" w:hAnsi="Arial" w:cs="Arial"/>
          <w:b/>
        </w:rPr>
        <w:t>10. CRONOGRAMA:</w:t>
      </w:r>
    </w:p>
    <w:tbl>
      <w:tblPr>
        <w:tblStyle w:val="a0"/>
        <w:tblW w:w="10775" w:type="dxa"/>
        <w:tblInd w:w="-1003" w:type="dxa"/>
        <w:tblBorders>
          <w:top w:val="nil"/>
          <w:left w:val="nil"/>
          <w:bottom w:val="nil"/>
          <w:right w:val="nil"/>
          <w:insideH w:val="nil"/>
          <w:insideV w:val="nil"/>
        </w:tblBorders>
        <w:tblLayout w:type="fixed"/>
        <w:tblLook w:val="0600" w:firstRow="0" w:lastRow="0" w:firstColumn="0" w:lastColumn="0" w:noHBand="1" w:noVBand="1"/>
      </w:tblPr>
      <w:tblGrid>
        <w:gridCol w:w="1560"/>
        <w:gridCol w:w="851"/>
        <w:gridCol w:w="850"/>
        <w:gridCol w:w="851"/>
        <w:gridCol w:w="850"/>
        <w:gridCol w:w="851"/>
        <w:gridCol w:w="850"/>
        <w:gridCol w:w="851"/>
        <w:gridCol w:w="850"/>
        <w:gridCol w:w="709"/>
        <w:gridCol w:w="851"/>
        <w:gridCol w:w="851"/>
      </w:tblGrid>
      <w:tr w:rsidR="00526D77" w14:paraId="0E806B3A" w14:textId="71BCA6B5" w:rsidTr="00526D77">
        <w:trPr>
          <w:trHeight w:val="410"/>
        </w:trPr>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F44A8B"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 xml:space="preserve"> </w:t>
            </w:r>
          </w:p>
        </w:tc>
        <w:tc>
          <w:tcPr>
            <w:tcW w:w="3402" w:type="dxa"/>
            <w:gridSpan w:val="4"/>
            <w:tcBorders>
              <w:top w:val="single" w:sz="8" w:space="0" w:color="000000"/>
              <w:left w:val="nil"/>
              <w:bottom w:val="single" w:sz="8" w:space="0" w:color="000000"/>
              <w:right w:val="single" w:sz="4" w:space="0" w:color="auto"/>
            </w:tcBorders>
          </w:tcPr>
          <w:p w14:paraId="1751E626" w14:textId="23F9C849"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2023</w:t>
            </w:r>
          </w:p>
        </w:tc>
        <w:tc>
          <w:tcPr>
            <w:tcW w:w="5812" w:type="dxa"/>
            <w:gridSpan w:val="7"/>
            <w:tcBorders>
              <w:top w:val="single" w:sz="8" w:space="0" w:color="000000"/>
              <w:left w:val="single" w:sz="4" w:space="0" w:color="auto"/>
              <w:bottom w:val="single" w:sz="4" w:space="0" w:color="auto"/>
              <w:right w:val="single" w:sz="8" w:space="0" w:color="000000"/>
            </w:tcBorders>
          </w:tcPr>
          <w:p w14:paraId="0AAE1996" w14:textId="454EFB6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2023/24</w:t>
            </w:r>
          </w:p>
        </w:tc>
      </w:tr>
      <w:tr w:rsidR="00526D77" w14:paraId="3E9C8E84" w14:textId="244387A5" w:rsidTr="00526D77">
        <w:trPr>
          <w:trHeight w:val="410"/>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9E3934"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MESES</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74DCE3" w14:textId="291D0966" w:rsidR="00526D77" w:rsidRPr="00526D77" w:rsidRDefault="00526D77">
            <w:pPr>
              <w:spacing w:before="240" w:after="240" w:line="360" w:lineRule="auto"/>
              <w:jc w:val="center"/>
              <w:rPr>
                <w:rFonts w:ascii="Arial" w:eastAsia="Arial" w:hAnsi="Arial" w:cs="Arial"/>
                <w:b/>
                <w:sz w:val="14"/>
                <w:szCs w:val="14"/>
              </w:rPr>
            </w:pPr>
            <w:proofErr w:type="spellStart"/>
            <w:r w:rsidRPr="00526D77">
              <w:rPr>
                <w:rFonts w:ascii="Arial" w:eastAsia="Arial" w:hAnsi="Arial" w:cs="Arial"/>
                <w:b/>
                <w:sz w:val="14"/>
                <w:szCs w:val="14"/>
              </w:rPr>
              <w:t>Fev</w:t>
            </w:r>
            <w:proofErr w:type="spellEnd"/>
            <w:r w:rsidRPr="00526D77">
              <w:rPr>
                <w:rFonts w:ascii="Arial" w:eastAsia="Arial" w:hAnsi="Arial" w:cs="Arial"/>
                <w:b/>
                <w:sz w:val="14"/>
                <w:szCs w:val="14"/>
              </w:rPr>
              <w:t>/Mar</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4AB15B" w14:textId="11A14666" w:rsidR="00526D77" w:rsidRPr="00526D77" w:rsidRDefault="00526D77">
            <w:pPr>
              <w:spacing w:before="240" w:after="240" w:line="360" w:lineRule="auto"/>
              <w:jc w:val="center"/>
              <w:rPr>
                <w:rFonts w:ascii="Arial" w:eastAsia="Arial" w:hAnsi="Arial" w:cs="Arial"/>
                <w:b/>
                <w:sz w:val="14"/>
                <w:szCs w:val="14"/>
              </w:rPr>
            </w:pPr>
            <w:proofErr w:type="spellStart"/>
            <w:r w:rsidRPr="00526D77">
              <w:rPr>
                <w:rFonts w:ascii="Arial" w:eastAsia="Arial" w:hAnsi="Arial" w:cs="Arial"/>
                <w:b/>
                <w:sz w:val="14"/>
                <w:szCs w:val="14"/>
              </w:rPr>
              <w:t>Abr</w:t>
            </w:r>
            <w:proofErr w:type="spellEnd"/>
            <w:r w:rsidRPr="00526D77">
              <w:rPr>
                <w:rFonts w:ascii="Arial" w:eastAsia="Arial" w:hAnsi="Arial" w:cs="Arial"/>
                <w:b/>
                <w:sz w:val="14"/>
                <w:szCs w:val="14"/>
              </w:rPr>
              <w:t>/</w:t>
            </w:r>
            <w:proofErr w:type="gramStart"/>
            <w:r w:rsidRPr="00526D77">
              <w:rPr>
                <w:rFonts w:ascii="Arial" w:eastAsia="Arial" w:hAnsi="Arial" w:cs="Arial"/>
                <w:b/>
                <w:sz w:val="14"/>
                <w:szCs w:val="14"/>
              </w:rPr>
              <w:t>Maio</w:t>
            </w:r>
            <w:proofErr w:type="gramEnd"/>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82AF13" w14:textId="0340397D" w:rsidR="00526D77" w:rsidRPr="00526D77" w:rsidRDefault="00526D77">
            <w:pPr>
              <w:spacing w:before="240" w:after="240" w:line="360" w:lineRule="auto"/>
              <w:jc w:val="center"/>
              <w:rPr>
                <w:rFonts w:ascii="Arial" w:eastAsia="Arial" w:hAnsi="Arial" w:cs="Arial"/>
                <w:b/>
                <w:sz w:val="14"/>
                <w:szCs w:val="14"/>
              </w:rPr>
            </w:pPr>
            <w:proofErr w:type="spellStart"/>
            <w:r w:rsidRPr="00526D77">
              <w:rPr>
                <w:rFonts w:ascii="Arial" w:eastAsia="Arial" w:hAnsi="Arial" w:cs="Arial"/>
                <w:b/>
                <w:sz w:val="14"/>
                <w:szCs w:val="14"/>
              </w:rPr>
              <w:t>Jun</w:t>
            </w:r>
            <w:proofErr w:type="spellEnd"/>
            <w:r w:rsidRPr="00526D77">
              <w:rPr>
                <w:rFonts w:ascii="Arial" w:eastAsia="Arial" w:hAnsi="Arial" w:cs="Arial"/>
                <w:b/>
                <w:sz w:val="14"/>
                <w:szCs w:val="14"/>
              </w:rPr>
              <w:t>/Jul</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834806" w14:textId="1EB2403F" w:rsidR="00526D77" w:rsidRPr="00526D77" w:rsidRDefault="00526D77">
            <w:pPr>
              <w:spacing w:before="240" w:after="240" w:line="360" w:lineRule="auto"/>
              <w:jc w:val="center"/>
              <w:rPr>
                <w:rFonts w:ascii="Arial" w:eastAsia="Arial" w:hAnsi="Arial" w:cs="Arial"/>
                <w:b/>
                <w:sz w:val="14"/>
                <w:szCs w:val="14"/>
              </w:rPr>
            </w:pPr>
            <w:proofErr w:type="spellStart"/>
            <w:r w:rsidRPr="00526D77">
              <w:rPr>
                <w:rFonts w:ascii="Arial" w:eastAsia="Arial" w:hAnsi="Arial" w:cs="Arial"/>
                <w:b/>
                <w:sz w:val="14"/>
                <w:szCs w:val="14"/>
              </w:rPr>
              <w:t>Ago</w:t>
            </w:r>
            <w:proofErr w:type="spellEnd"/>
            <w:r w:rsidRPr="00526D77">
              <w:rPr>
                <w:rFonts w:ascii="Arial" w:eastAsia="Arial" w:hAnsi="Arial" w:cs="Arial"/>
                <w:b/>
                <w:sz w:val="14"/>
                <w:szCs w:val="14"/>
              </w:rPr>
              <w:t>/Set</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6F07BF" w14:textId="73DA0689"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Out/</w:t>
            </w:r>
            <w:proofErr w:type="spellStart"/>
            <w:r w:rsidRPr="00526D77">
              <w:rPr>
                <w:rFonts w:ascii="Arial" w:eastAsia="Arial" w:hAnsi="Arial" w:cs="Arial"/>
                <w:b/>
                <w:sz w:val="14"/>
                <w:szCs w:val="14"/>
              </w:rPr>
              <w:t>Nov</w:t>
            </w:r>
            <w:proofErr w:type="spellEnd"/>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8932C2" w14:textId="754257C0"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Dez/Jan</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6D066F" w14:textId="539070F5" w:rsidR="00526D77" w:rsidRPr="00526D77" w:rsidRDefault="00526D77">
            <w:pPr>
              <w:spacing w:before="240" w:after="240" w:line="360" w:lineRule="auto"/>
              <w:jc w:val="center"/>
              <w:rPr>
                <w:rFonts w:ascii="Arial" w:eastAsia="Arial" w:hAnsi="Arial" w:cs="Arial"/>
                <w:b/>
                <w:sz w:val="14"/>
                <w:szCs w:val="14"/>
              </w:rPr>
            </w:pPr>
            <w:proofErr w:type="spellStart"/>
            <w:r w:rsidRPr="00526D77">
              <w:rPr>
                <w:rFonts w:ascii="Arial" w:eastAsia="Arial" w:hAnsi="Arial" w:cs="Arial"/>
                <w:b/>
                <w:sz w:val="14"/>
                <w:szCs w:val="14"/>
              </w:rPr>
              <w:t>Fev</w:t>
            </w:r>
            <w:proofErr w:type="spellEnd"/>
            <w:r w:rsidRPr="00526D77">
              <w:rPr>
                <w:rFonts w:ascii="Arial" w:eastAsia="Arial" w:hAnsi="Arial" w:cs="Arial"/>
                <w:b/>
                <w:sz w:val="14"/>
                <w:szCs w:val="14"/>
              </w:rPr>
              <w:t>/Mar</w:t>
            </w:r>
          </w:p>
        </w:tc>
        <w:tc>
          <w:tcPr>
            <w:tcW w:w="850" w:type="dxa"/>
            <w:tcBorders>
              <w:top w:val="nil"/>
              <w:left w:val="nil"/>
              <w:bottom w:val="single" w:sz="8" w:space="0" w:color="000000"/>
              <w:right w:val="single" w:sz="8" w:space="0" w:color="000000"/>
            </w:tcBorders>
          </w:tcPr>
          <w:p w14:paraId="41CDF5C4" w14:textId="0CDD6ECB" w:rsidR="00526D77" w:rsidRPr="00526D77" w:rsidRDefault="00526D77">
            <w:pPr>
              <w:spacing w:before="240" w:after="240" w:line="360" w:lineRule="auto"/>
              <w:jc w:val="center"/>
              <w:rPr>
                <w:rFonts w:ascii="Arial" w:eastAsia="Arial" w:hAnsi="Arial" w:cs="Arial"/>
                <w:b/>
                <w:sz w:val="14"/>
                <w:szCs w:val="14"/>
              </w:rPr>
            </w:pPr>
            <w:proofErr w:type="spellStart"/>
            <w:r w:rsidRPr="00526D77">
              <w:rPr>
                <w:rFonts w:ascii="Arial" w:eastAsia="Arial" w:hAnsi="Arial" w:cs="Arial"/>
                <w:b/>
                <w:sz w:val="14"/>
                <w:szCs w:val="14"/>
              </w:rPr>
              <w:t>Abr</w:t>
            </w:r>
            <w:proofErr w:type="spellEnd"/>
            <w:r w:rsidRPr="00526D77">
              <w:rPr>
                <w:rFonts w:ascii="Arial" w:eastAsia="Arial" w:hAnsi="Arial" w:cs="Arial"/>
                <w:b/>
                <w:sz w:val="14"/>
                <w:szCs w:val="14"/>
              </w:rPr>
              <w:t>/Mai</w:t>
            </w:r>
          </w:p>
        </w:tc>
        <w:tc>
          <w:tcPr>
            <w:tcW w:w="709" w:type="dxa"/>
            <w:tcBorders>
              <w:top w:val="nil"/>
              <w:left w:val="nil"/>
              <w:bottom w:val="single" w:sz="8" w:space="0" w:color="000000"/>
              <w:right w:val="single" w:sz="8" w:space="0" w:color="000000"/>
            </w:tcBorders>
          </w:tcPr>
          <w:p w14:paraId="149B9DD4" w14:textId="168D3783" w:rsidR="00526D77" w:rsidRPr="00526D77" w:rsidRDefault="00526D77">
            <w:pPr>
              <w:spacing w:before="240" w:after="240" w:line="360" w:lineRule="auto"/>
              <w:jc w:val="center"/>
              <w:rPr>
                <w:rFonts w:ascii="Arial" w:eastAsia="Arial" w:hAnsi="Arial" w:cs="Arial"/>
                <w:b/>
                <w:sz w:val="14"/>
                <w:szCs w:val="14"/>
              </w:rPr>
            </w:pPr>
            <w:proofErr w:type="spellStart"/>
            <w:r w:rsidRPr="00526D77">
              <w:rPr>
                <w:rFonts w:ascii="Arial" w:eastAsia="Arial" w:hAnsi="Arial" w:cs="Arial"/>
                <w:b/>
                <w:sz w:val="14"/>
                <w:szCs w:val="14"/>
              </w:rPr>
              <w:t>Jun</w:t>
            </w:r>
            <w:proofErr w:type="spellEnd"/>
            <w:r w:rsidRPr="00526D77">
              <w:rPr>
                <w:rFonts w:ascii="Arial" w:eastAsia="Arial" w:hAnsi="Arial" w:cs="Arial"/>
                <w:b/>
                <w:sz w:val="14"/>
                <w:szCs w:val="14"/>
              </w:rPr>
              <w:t>/Jul</w:t>
            </w:r>
          </w:p>
        </w:tc>
        <w:tc>
          <w:tcPr>
            <w:tcW w:w="851" w:type="dxa"/>
            <w:tcBorders>
              <w:top w:val="nil"/>
              <w:left w:val="nil"/>
              <w:bottom w:val="single" w:sz="8" w:space="0" w:color="000000"/>
              <w:right w:val="single" w:sz="8" w:space="0" w:color="000000"/>
            </w:tcBorders>
          </w:tcPr>
          <w:p w14:paraId="1E09DCAA" w14:textId="049E33FE" w:rsidR="00526D77" w:rsidRPr="00526D77" w:rsidRDefault="00526D77">
            <w:pPr>
              <w:spacing w:before="240" w:after="240" w:line="360" w:lineRule="auto"/>
              <w:jc w:val="center"/>
              <w:rPr>
                <w:rFonts w:ascii="Arial" w:eastAsia="Arial" w:hAnsi="Arial" w:cs="Arial"/>
                <w:b/>
                <w:sz w:val="14"/>
                <w:szCs w:val="14"/>
              </w:rPr>
            </w:pPr>
            <w:proofErr w:type="spellStart"/>
            <w:r w:rsidRPr="00526D77">
              <w:rPr>
                <w:rFonts w:ascii="Arial" w:eastAsia="Arial" w:hAnsi="Arial" w:cs="Arial"/>
                <w:b/>
                <w:sz w:val="14"/>
                <w:szCs w:val="14"/>
              </w:rPr>
              <w:t>Ago</w:t>
            </w:r>
            <w:proofErr w:type="spellEnd"/>
            <w:r w:rsidRPr="00526D77">
              <w:rPr>
                <w:rFonts w:ascii="Arial" w:eastAsia="Arial" w:hAnsi="Arial" w:cs="Arial"/>
                <w:b/>
                <w:sz w:val="14"/>
                <w:szCs w:val="14"/>
              </w:rPr>
              <w:t>/Set</w:t>
            </w:r>
          </w:p>
        </w:tc>
        <w:tc>
          <w:tcPr>
            <w:tcW w:w="851" w:type="dxa"/>
            <w:tcBorders>
              <w:top w:val="nil"/>
              <w:left w:val="nil"/>
              <w:bottom w:val="single" w:sz="8" w:space="0" w:color="000000"/>
              <w:right w:val="single" w:sz="8" w:space="0" w:color="000000"/>
            </w:tcBorders>
          </w:tcPr>
          <w:p w14:paraId="4DB78EAC" w14:textId="486EB3CF" w:rsidR="00526D77" w:rsidRPr="00526D77" w:rsidRDefault="00526D77">
            <w:pPr>
              <w:spacing w:before="240" w:after="240" w:line="360" w:lineRule="auto"/>
              <w:jc w:val="center"/>
              <w:rPr>
                <w:rFonts w:ascii="Arial" w:eastAsia="Arial" w:hAnsi="Arial" w:cs="Arial"/>
                <w:b/>
                <w:sz w:val="14"/>
                <w:szCs w:val="14"/>
              </w:rPr>
            </w:pPr>
            <w:r>
              <w:rPr>
                <w:rFonts w:ascii="Arial" w:eastAsia="Arial" w:hAnsi="Arial" w:cs="Arial"/>
                <w:b/>
                <w:sz w:val="14"/>
                <w:szCs w:val="14"/>
              </w:rPr>
              <w:t>Out/</w:t>
            </w:r>
            <w:proofErr w:type="spellStart"/>
            <w:r>
              <w:rPr>
                <w:rFonts w:ascii="Arial" w:eastAsia="Arial" w:hAnsi="Arial" w:cs="Arial"/>
                <w:b/>
                <w:sz w:val="14"/>
                <w:szCs w:val="14"/>
              </w:rPr>
              <w:t>Nov</w:t>
            </w:r>
            <w:proofErr w:type="spellEnd"/>
          </w:p>
        </w:tc>
      </w:tr>
      <w:tr w:rsidR="00526D77" w14:paraId="0656DA1C" w14:textId="15E94324" w:rsidTr="00526D77">
        <w:trPr>
          <w:trHeight w:val="1010"/>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142EA7"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 xml:space="preserve"> REVISÃO BIBLIOGRÁFICA</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CBC399"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X</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1BB1E8"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X</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84C55B"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X</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94171D"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X</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47A952"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X</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379D4F"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X</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9AB677"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X</w:t>
            </w:r>
          </w:p>
        </w:tc>
        <w:tc>
          <w:tcPr>
            <w:tcW w:w="850" w:type="dxa"/>
            <w:tcBorders>
              <w:top w:val="nil"/>
              <w:left w:val="nil"/>
              <w:bottom w:val="single" w:sz="8" w:space="0" w:color="000000"/>
              <w:right w:val="single" w:sz="8" w:space="0" w:color="000000"/>
            </w:tcBorders>
          </w:tcPr>
          <w:p w14:paraId="41604A72" w14:textId="3BF545BE" w:rsidR="00526D77" w:rsidRPr="00526D77" w:rsidRDefault="00526D77">
            <w:pPr>
              <w:spacing w:before="240" w:after="240" w:line="360" w:lineRule="auto"/>
              <w:jc w:val="center"/>
              <w:rPr>
                <w:rFonts w:ascii="Arial" w:eastAsia="Arial" w:hAnsi="Arial" w:cs="Arial"/>
                <w:b/>
                <w:sz w:val="14"/>
                <w:szCs w:val="14"/>
              </w:rPr>
            </w:pPr>
            <w:r>
              <w:rPr>
                <w:rFonts w:ascii="Arial" w:eastAsia="Arial" w:hAnsi="Arial" w:cs="Arial"/>
                <w:b/>
                <w:sz w:val="14"/>
                <w:szCs w:val="14"/>
              </w:rPr>
              <w:t>X</w:t>
            </w:r>
          </w:p>
        </w:tc>
        <w:tc>
          <w:tcPr>
            <w:tcW w:w="709" w:type="dxa"/>
            <w:tcBorders>
              <w:top w:val="nil"/>
              <w:left w:val="nil"/>
              <w:bottom w:val="single" w:sz="8" w:space="0" w:color="000000"/>
              <w:right w:val="single" w:sz="8" w:space="0" w:color="000000"/>
            </w:tcBorders>
          </w:tcPr>
          <w:p w14:paraId="47067DC4" w14:textId="7AE846E9" w:rsidR="00526D77" w:rsidRPr="00526D77" w:rsidRDefault="00526D77">
            <w:pPr>
              <w:spacing w:before="240" w:after="240" w:line="360" w:lineRule="auto"/>
              <w:jc w:val="center"/>
              <w:rPr>
                <w:rFonts w:ascii="Arial" w:eastAsia="Arial" w:hAnsi="Arial" w:cs="Arial"/>
                <w:b/>
                <w:sz w:val="14"/>
                <w:szCs w:val="14"/>
              </w:rPr>
            </w:pPr>
            <w:r>
              <w:rPr>
                <w:rFonts w:ascii="Arial" w:eastAsia="Arial" w:hAnsi="Arial" w:cs="Arial"/>
                <w:b/>
                <w:sz w:val="14"/>
                <w:szCs w:val="14"/>
              </w:rPr>
              <w:t>X</w:t>
            </w:r>
          </w:p>
        </w:tc>
        <w:tc>
          <w:tcPr>
            <w:tcW w:w="851" w:type="dxa"/>
            <w:tcBorders>
              <w:top w:val="nil"/>
              <w:left w:val="nil"/>
              <w:bottom w:val="single" w:sz="8" w:space="0" w:color="000000"/>
              <w:right w:val="single" w:sz="8" w:space="0" w:color="000000"/>
            </w:tcBorders>
          </w:tcPr>
          <w:p w14:paraId="25C2EDD7" w14:textId="4B814F7B" w:rsidR="00526D77" w:rsidRPr="00526D77" w:rsidRDefault="00526D77">
            <w:pPr>
              <w:spacing w:before="240" w:after="240" w:line="360" w:lineRule="auto"/>
              <w:jc w:val="center"/>
              <w:rPr>
                <w:rFonts w:ascii="Arial" w:eastAsia="Arial" w:hAnsi="Arial" w:cs="Arial"/>
                <w:b/>
                <w:sz w:val="14"/>
                <w:szCs w:val="14"/>
              </w:rPr>
            </w:pPr>
            <w:r>
              <w:rPr>
                <w:rFonts w:ascii="Arial" w:eastAsia="Arial" w:hAnsi="Arial" w:cs="Arial"/>
                <w:b/>
                <w:sz w:val="14"/>
                <w:szCs w:val="14"/>
              </w:rPr>
              <w:t>X</w:t>
            </w:r>
          </w:p>
        </w:tc>
        <w:tc>
          <w:tcPr>
            <w:tcW w:w="851" w:type="dxa"/>
            <w:tcBorders>
              <w:top w:val="nil"/>
              <w:left w:val="nil"/>
              <w:bottom w:val="single" w:sz="8" w:space="0" w:color="000000"/>
              <w:right w:val="single" w:sz="8" w:space="0" w:color="000000"/>
            </w:tcBorders>
          </w:tcPr>
          <w:p w14:paraId="30C169B6" w14:textId="3AD30A22" w:rsidR="00526D77" w:rsidRPr="00526D77" w:rsidRDefault="00526D77">
            <w:pPr>
              <w:spacing w:before="240" w:after="240" w:line="360" w:lineRule="auto"/>
              <w:jc w:val="center"/>
              <w:rPr>
                <w:rFonts w:ascii="Arial" w:eastAsia="Arial" w:hAnsi="Arial" w:cs="Arial"/>
                <w:b/>
                <w:sz w:val="14"/>
                <w:szCs w:val="14"/>
              </w:rPr>
            </w:pPr>
            <w:r>
              <w:rPr>
                <w:rFonts w:ascii="Arial" w:eastAsia="Arial" w:hAnsi="Arial" w:cs="Arial"/>
                <w:b/>
                <w:sz w:val="14"/>
                <w:szCs w:val="14"/>
              </w:rPr>
              <w:t>X</w:t>
            </w:r>
          </w:p>
        </w:tc>
      </w:tr>
      <w:tr w:rsidR="00526D77" w14:paraId="4457C8D7" w14:textId="07013659" w:rsidTr="00526D77">
        <w:trPr>
          <w:trHeight w:val="590"/>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FA26C8"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SUBMISSÃO AO CEP</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103A20"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X</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92AACE" w14:textId="7F0A0478"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 xml:space="preserve">X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AF57C3"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C68CCA"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13D6A9"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1ECA7D"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4B06FB"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 xml:space="preserve"> </w:t>
            </w:r>
          </w:p>
        </w:tc>
        <w:tc>
          <w:tcPr>
            <w:tcW w:w="850" w:type="dxa"/>
            <w:tcBorders>
              <w:top w:val="nil"/>
              <w:left w:val="nil"/>
              <w:bottom w:val="single" w:sz="8" w:space="0" w:color="000000"/>
              <w:right w:val="single" w:sz="8" w:space="0" w:color="000000"/>
            </w:tcBorders>
          </w:tcPr>
          <w:p w14:paraId="0590149A" w14:textId="77777777" w:rsidR="00526D77" w:rsidRPr="00526D77" w:rsidRDefault="00526D77">
            <w:pPr>
              <w:spacing w:before="240" w:after="240" w:line="360" w:lineRule="auto"/>
              <w:jc w:val="center"/>
              <w:rPr>
                <w:rFonts w:ascii="Arial" w:eastAsia="Arial" w:hAnsi="Arial" w:cs="Arial"/>
                <w:b/>
                <w:sz w:val="14"/>
                <w:szCs w:val="14"/>
              </w:rPr>
            </w:pPr>
          </w:p>
        </w:tc>
        <w:tc>
          <w:tcPr>
            <w:tcW w:w="709" w:type="dxa"/>
            <w:tcBorders>
              <w:top w:val="nil"/>
              <w:left w:val="nil"/>
              <w:bottom w:val="single" w:sz="8" w:space="0" w:color="000000"/>
              <w:right w:val="single" w:sz="8" w:space="0" w:color="000000"/>
            </w:tcBorders>
          </w:tcPr>
          <w:p w14:paraId="0F89EE2E" w14:textId="77777777" w:rsidR="00526D77" w:rsidRPr="00526D77" w:rsidRDefault="00526D77">
            <w:pPr>
              <w:spacing w:before="240" w:after="240" w:line="360" w:lineRule="auto"/>
              <w:jc w:val="center"/>
              <w:rPr>
                <w:rFonts w:ascii="Arial" w:eastAsia="Arial" w:hAnsi="Arial" w:cs="Arial"/>
                <w:b/>
                <w:sz w:val="14"/>
                <w:szCs w:val="14"/>
              </w:rPr>
            </w:pPr>
          </w:p>
        </w:tc>
        <w:tc>
          <w:tcPr>
            <w:tcW w:w="851" w:type="dxa"/>
            <w:tcBorders>
              <w:top w:val="nil"/>
              <w:left w:val="nil"/>
              <w:bottom w:val="single" w:sz="8" w:space="0" w:color="000000"/>
              <w:right w:val="single" w:sz="8" w:space="0" w:color="000000"/>
            </w:tcBorders>
          </w:tcPr>
          <w:p w14:paraId="08754D21" w14:textId="77777777" w:rsidR="00526D77" w:rsidRPr="00526D77" w:rsidRDefault="00526D77">
            <w:pPr>
              <w:spacing w:before="240" w:after="240" w:line="360" w:lineRule="auto"/>
              <w:jc w:val="center"/>
              <w:rPr>
                <w:rFonts w:ascii="Arial" w:eastAsia="Arial" w:hAnsi="Arial" w:cs="Arial"/>
                <w:b/>
                <w:sz w:val="14"/>
                <w:szCs w:val="14"/>
              </w:rPr>
            </w:pPr>
          </w:p>
        </w:tc>
        <w:tc>
          <w:tcPr>
            <w:tcW w:w="851" w:type="dxa"/>
            <w:tcBorders>
              <w:top w:val="nil"/>
              <w:left w:val="nil"/>
              <w:bottom w:val="single" w:sz="8" w:space="0" w:color="000000"/>
              <w:right w:val="single" w:sz="8" w:space="0" w:color="000000"/>
            </w:tcBorders>
          </w:tcPr>
          <w:p w14:paraId="548EB5E5" w14:textId="77777777" w:rsidR="00526D77" w:rsidRPr="00526D77" w:rsidRDefault="00526D77">
            <w:pPr>
              <w:spacing w:before="240" w:after="240" w:line="360" w:lineRule="auto"/>
              <w:jc w:val="center"/>
              <w:rPr>
                <w:rFonts w:ascii="Arial" w:eastAsia="Arial" w:hAnsi="Arial" w:cs="Arial"/>
                <w:b/>
                <w:sz w:val="14"/>
                <w:szCs w:val="14"/>
              </w:rPr>
            </w:pPr>
          </w:p>
        </w:tc>
      </w:tr>
      <w:tr w:rsidR="00526D77" w14:paraId="58BA8A28" w14:textId="01E4E990" w:rsidTr="00526D77">
        <w:trPr>
          <w:trHeight w:val="1010"/>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C0AB08"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COLETA DE DADOS</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3FE5B8" w14:textId="77777777" w:rsidR="00526D77" w:rsidRPr="00526D77" w:rsidRDefault="00526D77">
            <w:pPr>
              <w:spacing w:before="240" w:after="240" w:line="360" w:lineRule="auto"/>
              <w:jc w:val="center"/>
              <w:rPr>
                <w:rFonts w:ascii="Arial" w:eastAsia="Arial" w:hAnsi="Arial" w:cs="Arial"/>
                <w:sz w:val="14"/>
                <w:szCs w:val="14"/>
              </w:rPr>
            </w:pPr>
            <w:r w:rsidRPr="00526D77">
              <w:rPr>
                <w:rFonts w:ascii="Arial" w:eastAsia="Arial" w:hAnsi="Arial" w:cs="Arial"/>
                <w:sz w:val="14"/>
                <w:szCs w:val="1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5C74D9" w14:textId="3E5A6CE0" w:rsidR="00526D77" w:rsidRPr="00526D77" w:rsidRDefault="00526D77">
            <w:pPr>
              <w:spacing w:before="240" w:after="240" w:line="360" w:lineRule="auto"/>
              <w:jc w:val="center"/>
              <w:rPr>
                <w:rFonts w:ascii="Arial" w:eastAsia="Arial" w:hAnsi="Arial" w:cs="Arial"/>
                <w:b/>
                <w:sz w:val="14"/>
                <w:szCs w:val="14"/>
              </w:rPr>
            </w:pP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FB7ABA"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X</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A01FDD"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X</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F34983"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X</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57F378" w14:textId="4D389C22" w:rsidR="00526D77" w:rsidRPr="00526D77" w:rsidRDefault="00526D77">
            <w:pPr>
              <w:spacing w:before="240" w:after="240" w:line="360" w:lineRule="auto"/>
              <w:ind w:left="0" w:hanging="2"/>
              <w:jc w:val="center"/>
              <w:rPr>
                <w:rFonts w:ascii="Arial" w:eastAsia="Arial" w:hAnsi="Arial" w:cs="Arial"/>
                <w:bCs/>
                <w:sz w:val="14"/>
                <w:szCs w:val="14"/>
              </w:rPr>
            </w:pPr>
            <w:r w:rsidRPr="00526D77">
              <w:rPr>
                <w:rFonts w:ascii="Arial" w:eastAsia="Arial" w:hAnsi="Arial" w:cs="Arial"/>
                <w:bCs/>
                <w:sz w:val="20"/>
                <w:szCs w:val="20"/>
              </w:rPr>
              <w:t xml:space="preserve"> x</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240402" w14:textId="0FCA9FC4" w:rsidR="00526D77" w:rsidRPr="00526D77" w:rsidRDefault="00526D77">
            <w:pPr>
              <w:spacing w:before="240" w:after="240" w:line="360" w:lineRule="auto"/>
              <w:jc w:val="center"/>
              <w:rPr>
                <w:rFonts w:ascii="Arial" w:eastAsia="Arial" w:hAnsi="Arial" w:cs="Arial"/>
                <w:b/>
                <w:sz w:val="14"/>
                <w:szCs w:val="14"/>
              </w:rPr>
            </w:pPr>
            <w:r>
              <w:rPr>
                <w:rFonts w:ascii="Arial" w:eastAsia="Arial" w:hAnsi="Arial" w:cs="Arial"/>
                <w:b/>
                <w:sz w:val="14"/>
                <w:szCs w:val="14"/>
              </w:rPr>
              <w:t>X</w:t>
            </w:r>
            <w:r w:rsidRPr="00526D77">
              <w:rPr>
                <w:rFonts w:ascii="Arial" w:eastAsia="Arial" w:hAnsi="Arial" w:cs="Arial"/>
                <w:b/>
                <w:sz w:val="14"/>
                <w:szCs w:val="14"/>
              </w:rPr>
              <w:t xml:space="preserve"> </w:t>
            </w:r>
          </w:p>
        </w:tc>
        <w:tc>
          <w:tcPr>
            <w:tcW w:w="850" w:type="dxa"/>
            <w:tcBorders>
              <w:top w:val="nil"/>
              <w:left w:val="nil"/>
              <w:bottom w:val="single" w:sz="8" w:space="0" w:color="000000"/>
              <w:right w:val="single" w:sz="8" w:space="0" w:color="000000"/>
            </w:tcBorders>
          </w:tcPr>
          <w:p w14:paraId="709833BF" w14:textId="6B5FECC1" w:rsidR="00526D77" w:rsidRPr="00526D77" w:rsidRDefault="00526D77">
            <w:pPr>
              <w:spacing w:before="240" w:after="240" w:line="360" w:lineRule="auto"/>
              <w:jc w:val="center"/>
              <w:rPr>
                <w:rFonts w:ascii="Arial" w:eastAsia="Arial" w:hAnsi="Arial" w:cs="Arial"/>
                <w:b/>
                <w:sz w:val="14"/>
                <w:szCs w:val="14"/>
              </w:rPr>
            </w:pPr>
            <w:r>
              <w:rPr>
                <w:rFonts w:ascii="Arial" w:eastAsia="Arial" w:hAnsi="Arial" w:cs="Arial"/>
                <w:b/>
                <w:sz w:val="14"/>
                <w:szCs w:val="14"/>
              </w:rPr>
              <w:t>X</w:t>
            </w:r>
          </w:p>
        </w:tc>
        <w:tc>
          <w:tcPr>
            <w:tcW w:w="709" w:type="dxa"/>
            <w:tcBorders>
              <w:top w:val="nil"/>
              <w:left w:val="nil"/>
              <w:bottom w:val="single" w:sz="8" w:space="0" w:color="000000"/>
              <w:right w:val="single" w:sz="8" w:space="0" w:color="000000"/>
            </w:tcBorders>
          </w:tcPr>
          <w:p w14:paraId="74457349" w14:textId="5A0A9E0D" w:rsidR="00526D77" w:rsidRPr="00526D77" w:rsidRDefault="00526D77">
            <w:pPr>
              <w:spacing w:before="240" w:after="240" w:line="360" w:lineRule="auto"/>
              <w:jc w:val="center"/>
              <w:rPr>
                <w:rFonts w:ascii="Arial" w:eastAsia="Arial" w:hAnsi="Arial" w:cs="Arial"/>
                <w:b/>
                <w:sz w:val="14"/>
                <w:szCs w:val="14"/>
              </w:rPr>
            </w:pPr>
            <w:r>
              <w:rPr>
                <w:rFonts w:ascii="Arial" w:eastAsia="Arial" w:hAnsi="Arial" w:cs="Arial"/>
                <w:b/>
                <w:sz w:val="14"/>
                <w:szCs w:val="14"/>
              </w:rPr>
              <w:t>X</w:t>
            </w:r>
          </w:p>
        </w:tc>
        <w:tc>
          <w:tcPr>
            <w:tcW w:w="851" w:type="dxa"/>
            <w:tcBorders>
              <w:top w:val="nil"/>
              <w:left w:val="nil"/>
              <w:bottom w:val="single" w:sz="8" w:space="0" w:color="000000"/>
              <w:right w:val="single" w:sz="8" w:space="0" w:color="000000"/>
            </w:tcBorders>
          </w:tcPr>
          <w:p w14:paraId="429E6E62" w14:textId="31E5AEAE" w:rsidR="00526D77" w:rsidRPr="00526D77" w:rsidRDefault="00526D77">
            <w:pPr>
              <w:spacing w:before="240" w:after="240" w:line="360" w:lineRule="auto"/>
              <w:jc w:val="center"/>
              <w:rPr>
                <w:rFonts w:ascii="Arial" w:eastAsia="Arial" w:hAnsi="Arial" w:cs="Arial"/>
                <w:b/>
                <w:sz w:val="14"/>
                <w:szCs w:val="14"/>
              </w:rPr>
            </w:pPr>
            <w:r>
              <w:rPr>
                <w:rFonts w:ascii="Arial" w:eastAsia="Arial" w:hAnsi="Arial" w:cs="Arial"/>
                <w:b/>
                <w:sz w:val="14"/>
                <w:szCs w:val="14"/>
              </w:rPr>
              <w:t>X</w:t>
            </w:r>
          </w:p>
        </w:tc>
        <w:tc>
          <w:tcPr>
            <w:tcW w:w="851" w:type="dxa"/>
            <w:tcBorders>
              <w:top w:val="nil"/>
              <w:left w:val="nil"/>
              <w:bottom w:val="single" w:sz="8" w:space="0" w:color="000000"/>
              <w:right w:val="single" w:sz="8" w:space="0" w:color="000000"/>
            </w:tcBorders>
          </w:tcPr>
          <w:p w14:paraId="45E0E4D9" w14:textId="77777777" w:rsidR="00526D77" w:rsidRPr="00526D77" w:rsidRDefault="00526D77">
            <w:pPr>
              <w:spacing w:before="240" w:after="240" w:line="360" w:lineRule="auto"/>
              <w:jc w:val="center"/>
              <w:rPr>
                <w:rFonts w:ascii="Arial" w:eastAsia="Arial" w:hAnsi="Arial" w:cs="Arial"/>
                <w:b/>
                <w:sz w:val="14"/>
                <w:szCs w:val="14"/>
              </w:rPr>
            </w:pPr>
          </w:p>
        </w:tc>
      </w:tr>
      <w:tr w:rsidR="00526D77" w14:paraId="501A19A9" w14:textId="5FB820C4" w:rsidTr="00526D77">
        <w:trPr>
          <w:trHeight w:val="1010"/>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52FAAC"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ANÁLISE DOS RESULTADOS</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CDEC07" w14:textId="77777777" w:rsidR="00526D77" w:rsidRPr="00526D77" w:rsidRDefault="00526D77">
            <w:pPr>
              <w:spacing w:before="240" w:after="240" w:line="360" w:lineRule="auto"/>
              <w:jc w:val="both"/>
              <w:rPr>
                <w:rFonts w:ascii="Arial" w:eastAsia="Arial" w:hAnsi="Arial" w:cs="Arial"/>
                <w:sz w:val="14"/>
                <w:szCs w:val="14"/>
              </w:rPr>
            </w:pPr>
            <w:r w:rsidRPr="00526D77">
              <w:rPr>
                <w:rFonts w:ascii="Arial" w:eastAsia="Arial" w:hAnsi="Arial" w:cs="Arial"/>
                <w:sz w:val="14"/>
                <w:szCs w:val="1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E49845" w14:textId="77777777" w:rsidR="00526D77" w:rsidRPr="00526D77" w:rsidRDefault="00526D77">
            <w:pPr>
              <w:spacing w:before="240" w:after="240" w:line="360" w:lineRule="auto"/>
              <w:jc w:val="center"/>
              <w:rPr>
                <w:rFonts w:ascii="Arial" w:eastAsia="Arial" w:hAnsi="Arial" w:cs="Arial"/>
                <w:sz w:val="14"/>
                <w:szCs w:val="14"/>
              </w:rPr>
            </w:pPr>
            <w:r w:rsidRPr="00526D77">
              <w:rPr>
                <w:rFonts w:ascii="Arial" w:eastAsia="Arial" w:hAnsi="Arial" w:cs="Arial"/>
                <w:sz w:val="14"/>
                <w:szCs w:val="1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B24CBB" w14:textId="77777777" w:rsidR="00526D77" w:rsidRPr="00526D77" w:rsidRDefault="00526D77">
            <w:pPr>
              <w:spacing w:before="240" w:after="240" w:line="360" w:lineRule="auto"/>
              <w:jc w:val="both"/>
              <w:rPr>
                <w:rFonts w:ascii="Arial" w:eastAsia="Arial" w:hAnsi="Arial" w:cs="Arial"/>
                <w:sz w:val="14"/>
                <w:szCs w:val="14"/>
              </w:rPr>
            </w:pPr>
            <w:r w:rsidRPr="00526D77">
              <w:rPr>
                <w:rFonts w:ascii="Arial" w:eastAsia="Arial" w:hAnsi="Arial" w:cs="Arial"/>
                <w:sz w:val="14"/>
                <w:szCs w:val="1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368E95" w14:textId="7306F0E4" w:rsidR="00526D77" w:rsidRPr="00526D77" w:rsidRDefault="00526D77">
            <w:pPr>
              <w:spacing w:before="240" w:after="240" w:line="360" w:lineRule="auto"/>
              <w:jc w:val="center"/>
              <w:rPr>
                <w:rFonts w:ascii="Arial" w:eastAsia="Arial" w:hAnsi="Arial" w:cs="Arial"/>
                <w:b/>
                <w:sz w:val="14"/>
                <w:szCs w:val="14"/>
              </w:rPr>
            </w:pP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08AC4B"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X</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C67BA3"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X</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81E424"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X</w:t>
            </w:r>
          </w:p>
        </w:tc>
        <w:tc>
          <w:tcPr>
            <w:tcW w:w="850" w:type="dxa"/>
            <w:tcBorders>
              <w:top w:val="nil"/>
              <w:left w:val="nil"/>
              <w:bottom w:val="single" w:sz="8" w:space="0" w:color="000000"/>
              <w:right w:val="single" w:sz="8" w:space="0" w:color="000000"/>
            </w:tcBorders>
          </w:tcPr>
          <w:p w14:paraId="786247D7" w14:textId="645E2EF7" w:rsidR="00526D77" w:rsidRPr="00526D77" w:rsidRDefault="00526D77">
            <w:pPr>
              <w:spacing w:before="240" w:after="240" w:line="360" w:lineRule="auto"/>
              <w:jc w:val="center"/>
              <w:rPr>
                <w:rFonts w:ascii="Arial" w:eastAsia="Arial" w:hAnsi="Arial" w:cs="Arial"/>
                <w:b/>
                <w:sz w:val="14"/>
                <w:szCs w:val="14"/>
              </w:rPr>
            </w:pPr>
            <w:r>
              <w:rPr>
                <w:rFonts w:ascii="Arial" w:eastAsia="Arial" w:hAnsi="Arial" w:cs="Arial"/>
                <w:b/>
                <w:sz w:val="14"/>
                <w:szCs w:val="14"/>
              </w:rPr>
              <w:t>X</w:t>
            </w:r>
          </w:p>
        </w:tc>
        <w:tc>
          <w:tcPr>
            <w:tcW w:w="709" w:type="dxa"/>
            <w:tcBorders>
              <w:top w:val="nil"/>
              <w:left w:val="nil"/>
              <w:bottom w:val="single" w:sz="8" w:space="0" w:color="000000"/>
              <w:right w:val="single" w:sz="8" w:space="0" w:color="000000"/>
            </w:tcBorders>
          </w:tcPr>
          <w:p w14:paraId="5ECC1BCF" w14:textId="0C3C9632" w:rsidR="00526D77" w:rsidRPr="00526D77" w:rsidRDefault="00526D77">
            <w:pPr>
              <w:spacing w:before="240" w:after="240" w:line="360" w:lineRule="auto"/>
              <w:jc w:val="center"/>
              <w:rPr>
                <w:rFonts w:ascii="Arial" w:eastAsia="Arial" w:hAnsi="Arial" w:cs="Arial"/>
                <w:b/>
                <w:sz w:val="14"/>
                <w:szCs w:val="14"/>
              </w:rPr>
            </w:pPr>
            <w:r>
              <w:rPr>
                <w:rFonts w:ascii="Arial" w:eastAsia="Arial" w:hAnsi="Arial" w:cs="Arial"/>
                <w:b/>
                <w:sz w:val="14"/>
                <w:szCs w:val="14"/>
              </w:rPr>
              <w:t>X</w:t>
            </w:r>
          </w:p>
        </w:tc>
        <w:tc>
          <w:tcPr>
            <w:tcW w:w="851" w:type="dxa"/>
            <w:tcBorders>
              <w:top w:val="nil"/>
              <w:left w:val="nil"/>
              <w:bottom w:val="single" w:sz="8" w:space="0" w:color="000000"/>
              <w:right w:val="single" w:sz="8" w:space="0" w:color="000000"/>
            </w:tcBorders>
          </w:tcPr>
          <w:p w14:paraId="5FF83BC7" w14:textId="0B5AB530" w:rsidR="00526D77" w:rsidRPr="00526D77" w:rsidRDefault="00526D77">
            <w:pPr>
              <w:spacing w:before="240" w:after="240" w:line="360" w:lineRule="auto"/>
              <w:jc w:val="center"/>
              <w:rPr>
                <w:rFonts w:ascii="Arial" w:eastAsia="Arial" w:hAnsi="Arial" w:cs="Arial"/>
                <w:b/>
                <w:sz w:val="14"/>
                <w:szCs w:val="14"/>
              </w:rPr>
            </w:pPr>
            <w:r>
              <w:rPr>
                <w:rFonts w:ascii="Arial" w:eastAsia="Arial" w:hAnsi="Arial" w:cs="Arial"/>
                <w:b/>
                <w:sz w:val="14"/>
                <w:szCs w:val="14"/>
              </w:rPr>
              <w:t>X</w:t>
            </w:r>
          </w:p>
        </w:tc>
        <w:tc>
          <w:tcPr>
            <w:tcW w:w="851" w:type="dxa"/>
            <w:tcBorders>
              <w:top w:val="nil"/>
              <w:left w:val="nil"/>
              <w:bottom w:val="single" w:sz="8" w:space="0" w:color="000000"/>
              <w:right w:val="single" w:sz="8" w:space="0" w:color="000000"/>
            </w:tcBorders>
          </w:tcPr>
          <w:p w14:paraId="35CDD812" w14:textId="77777777" w:rsidR="00526D77" w:rsidRPr="00526D77" w:rsidRDefault="00526D77">
            <w:pPr>
              <w:spacing w:before="240" w:after="240" w:line="360" w:lineRule="auto"/>
              <w:jc w:val="center"/>
              <w:rPr>
                <w:rFonts w:ascii="Arial" w:eastAsia="Arial" w:hAnsi="Arial" w:cs="Arial"/>
                <w:b/>
                <w:sz w:val="14"/>
                <w:szCs w:val="14"/>
              </w:rPr>
            </w:pPr>
          </w:p>
        </w:tc>
      </w:tr>
      <w:tr w:rsidR="00526D77" w14:paraId="6E0BC907" w14:textId="34E6EE5A" w:rsidTr="00526D77">
        <w:trPr>
          <w:trHeight w:val="1010"/>
        </w:trPr>
        <w:tc>
          <w:tcPr>
            <w:tcW w:w="15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574768"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lastRenderedPageBreak/>
              <w:t>APRESENTAÇÃO RELATÓRIO FINAL</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FC6471" w14:textId="77777777" w:rsidR="00526D77" w:rsidRPr="00526D77" w:rsidRDefault="00526D77">
            <w:pPr>
              <w:spacing w:before="240" w:after="240" w:line="360" w:lineRule="auto"/>
              <w:jc w:val="both"/>
              <w:rPr>
                <w:rFonts w:ascii="Arial" w:eastAsia="Arial" w:hAnsi="Arial" w:cs="Arial"/>
                <w:sz w:val="14"/>
                <w:szCs w:val="14"/>
              </w:rPr>
            </w:pPr>
            <w:r w:rsidRPr="00526D77">
              <w:rPr>
                <w:rFonts w:ascii="Arial" w:eastAsia="Arial" w:hAnsi="Arial" w:cs="Arial"/>
                <w:sz w:val="14"/>
                <w:szCs w:val="1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A604EA" w14:textId="77777777" w:rsidR="00526D77" w:rsidRPr="00526D77" w:rsidRDefault="00526D77">
            <w:pPr>
              <w:spacing w:before="240" w:after="240" w:line="360" w:lineRule="auto"/>
              <w:jc w:val="both"/>
              <w:rPr>
                <w:rFonts w:ascii="Arial" w:eastAsia="Arial" w:hAnsi="Arial" w:cs="Arial"/>
                <w:sz w:val="14"/>
                <w:szCs w:val="14"/>
              </w:rPr>
            </w:pPr>
            <w:r w:rsidRPr="00526D77">
              <w:rPr>
                <w:rFonts w:ascii="Arial" w:eastAsia="Arial" w:hAnsi="Arial" w:cs="Arial"/>
                <w:sz w:val="14"/>
                <w:szCs w:val="1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1751E3" w14:textId="77777777" w:rsidR="00526D77" w:rsidRPr="00526D77" w:rsidRDefault="00526D77">
            <w:pPr>
              <w:spacing w:before="240" w:after="240" w:line="360" w:lineRule="auto"/>
              <w:jc w:val="both"/>
              <w:rPr>
                <w:rFonts w:ascii="Arial" w:eastAsia="Arial" w:hAnsi="Arial" w:cs="Arial"/>
                <w:sz w:val="14"/>
                <w:szCs w:val="14"/>
              </w:rPr>
            </w:pPr>
            <w:r w:rsidRPr="00526D77">
              <w:rPr>
                <w:rFonts w:ascii="Arial" w:eastAsia="Arial" w:hAnsi="Arial" w:cs="Arial"/>
                <w:sz w:val="14"/>
                <w:szCs w:val="1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AD32E0" w14:textId="77777777" w:rsidR="00526D77" w:rsidRPr="00526D77" w:rsidRDefault="00526D77">
            <w:pPr>
              <w:spacing w:before="240" w:after="240" w:line="360" w:lineRule="auto"/>
              <w:jc w:val="both"/>
              <w:rPr>
                <w:rFonts w:ascii="Arial" w:eastAsia="Arial" w:hAnsi="Arial" w:cs="Arial"/>
                <w:sz w:val="14"/>
                <w:szCs w:val="14"/>
              </w:rPr>
            </w:pPr>
            <w:r w:rsidRPr="00526D77">
              <w:rPr>
                <w:rFonts w:ascii="Arial" w:eastAsia="Arial" w:hAnsi="Arial" w:cs="Arial"/>
                <w:sz w:val="14"/>
                <w:szCs w:val="1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85AB2A" w14:textId="77777777" w:rsidR="00526D77" w:rsidRPr="00526D77" w:rsidRDefault="00526D77">
            <w:pPr>
              <w:spacing w:before="240" w:after="240" w:line="360" w:lineRule="auto"/>
              <w:jc w:val="both"/>
              <w:rPr>
                <w:rFonts w:ascii="Arial" w:eastAsia="Arial" w:hAnsi="Arial" w:cs="Arial"/>
                <w:sz w:val="14"/>
                <w:szCs w:val="14"/>
              </w:rPr>
            </w:pPr>
            <w:r w:rsidRPr="00526D77">
              <w:rPr>
                <w:rFonts w:ascii="Arial" w:eastAsia="Arial" w:hAnsi="Arial" w:cs="Arial"/>
                <w:sz w:val="14"/>
                <w:szCs w:val="14"/>
              </w:rPr>
              <w:t xml:space="preserve"> </w:t>
            </w:r>
          </w:p>
        </w:tc>
        <w:tc>
          <w:tcPr>
            <w:tcW w:w="8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046AC2" w14:textId="77777777" w:rsidR="00526D77" w:rsidRPr="00526D77" w:rsidRDefault="00526D77">
            <w:pPr>
              <w:spacing w:before="240" w:after="240" w:line="360" w:lineRule="auto"/>
              <w:jc w:val="center"/>
              <w:rPr>
                <w:rFonts w:ascii="Arial" w:eastAsia="Arial" w:hAnsi="Arial" w:cs="Arial"/>
                <w:b/>
                <w:sz w:val="14"/>
                <w:szCs w:val="14"/>
              </w:rPr>
            </w:pPr>
            <w:r w:rsidRPr="00526D77">
              <w:rPr>
                <w:rFonts w:ascii="Arial" w:eastAsia="Arial" w:hAnsi="Arial" w:cs="Arial"/>
                <w:b/>
                <w:sz w:val="14"/>
                <w:szCs w:val="14"/>
              </w:rPr>
              <w:t xml:space="preserve"> </w:t>
            </w:r>
          </w:p>
        </w:tc>
        <w:tc>
          <w:tcPr>
            <w:tcW w:w="8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808219" w14:textId="5065F8CF" w:rsidR="00526D77" w:rsidRPr="00526D77" w:rsidRDefault="00526D77">
            <w:pPr>
              <w:spacing w:before="240" w:after="240" w:line="360" w:lineRule="auto"/>
              <w:jc w:val="center"/>
              <w:rPr>
                <w:rFonts w:ascii="Arial" w:eastAsia="Arial" w:hAnsi="Arial" w:cs="Arial"/>
                <w:b/>
                <w:sz w:val="14"/>
                <w:szCs w:val="14"/>
              </w:rPr>
            </w:pPr>
          </w:p>
        </w:tc>
        <w:tc>
          <w:tcPr>
            <w:tcW w:w="850" w:type="dxa"/>
            <w:tcBorders>
              <w:top w:val="nil"/>
              <w:left w:val="nil"/>
              <w:bottom w:val="single" w:sz="8" w:space="0" w:color="000000"/>
              <w:right w:val="single" w:sz="8" w:space="0" w:color="000000"/>
            </w:tcBorders>
          </w:tcPr>
          <w:p w14:paraId="3E7BD33C" w14:textId="77777777" w:rsidR="00526D77" w:rsidRPr="00526D77" w:rsidRDefault="00526D77">
            <w:pPr>
              <w:spacing w:before="240" w:after="240" w:line="360" w:lineRule="auto"/>
              <w:jc w:val="center"/>
              <w:rPr>
                <w:rFonts w:ascii="Arial" w:eastAsia="Arial" w:hAnsi="Arial" w:cs="Arial"/>
                <w:b/>
                <w:sz w:val="14"/>
                <w:szCs w:val="14"/>
              </w:rPr>
            </w:pPr>
          </w:p>
        </w:tc>
        <w:tc>
          <w:tcPr>
            <w:tcW w:w="709" w:type="dxa"/>
            <w:tcBorders>
              <w:top w:val="nil"/>
              <w:left w:val="nil"/>
              <w:bottom w:val="single" w:sz="8" w:space="0" w:color="000000"/>
              <w:right w:val="single" w:sz="8" w:space="0" w:color="000000"/>
            </w:tcBorders>
          </w:tcPr>
          <w:p w14:paraId="4541EE03" w14:textId="77777777" w:rsidR="00526D77" w:rsidRPr="00526D77" w:rsidRDefault="00526D77">
            <w:pPr>
              <w:spacing w:before="240" w:after="240" w:line="360" w:lineRule="auto"/>
              <w:jc w:val="center"/>
              <w:rPr>
                <w:rFonts w:ascii="Arial" w:eastAsia="Arial" w:hAnsi="Arial" w:cs="Arial"/>
                <w:b/>
                <w:sz w:val="14"/>
                <w:szCs w:val="14"/>
              </w:rPr>
            </w:pPr>
          </w:p>
        </w:tc>
        <w:tc>
          <w:tcPr>
            <w:tcW w:w="851" w:type="dxa"/>
            <w:tcBorders>
              <w:top w:val="nil"/>
              <w:left w:val="nil"/>
              <w:bottom w:val="single" w:sz="8" w:space="0" w:color="000000"/>
              <w:right w:val="single" w:sz="8" w:space="0" w:color="000000"/>
            </w:tcBorders>
          </w:tcPr>
          <w:p w14:paraId="7161BB17" w14:textId="77777777" w:rsidR="00526D77" w:rsidRPr="00526D77" w:rsidRDefault="00526D77">
            <w:pPr>
              <w:spacing w:before="240" w:after="240" w:line="360" w:lineRule="auto"/>
              <w:jc w:val="center"/>
              <w:rPr>
                <w:rFonts w:ascii="Arial" w:eastAsia="Arial" w:hAnsi="Arial" w:cs="Arial"/>
                <w:b/>
                <w:sz w:val="14"/>
                <w:szCs w:val="14"/>
              </w:rPr>
            </w:pPr>
          </w:p>
        </w:tc>
        <w:tc>
          <w:tcPr>
            <w:tcW w:w="851" w:type="dxa"/>
            <w:tcBorders>
              <w:top w:val="nil"/>
              <w:left w:val="nil"/>
              <w:bottom w:val="single" w:sz="8" w:space="0" w:color="000000"/>
              <w:right w:val="single" w:sz="8" w:space="0" w:color="000000"/>
            </w:tcBorders>
          </w:tcPr>
          <w:p w14:paraId="1A52B4EF" w14:textId="536B248C" w:rsidR="00526D77" w:rsidRPr="00526D77" w:rsidRDefault="00526D77">
            <w:pPr>
              <w:spacing w:before="240" w:after="240" w:line="360" w:lineRule="auto"/>
              <w:jc w:val="center"/>
              <w:rPr>
                <w:rFonts w:ascii="Arial" w:eastAsia="Arial" w:hAnsi="Arial" w:cs="Arial"/>
                <w:b/>
                <w:sz w:val="14"/>
                <w:szCs w:val="14"/>
              </w:rPr>
            </w:pPr>
            <w:r>
              <w:rPr>
                <w:rFonts w:ascii="Arial" w:eastAsia="Arial" w:hAnsi="Arial" w:cs="Arial"/>
                <w:b/>
                <w:sz w:val="14"/>
                <w:szCs w:val="14"/>
              </w:rPr>
              <w:t>X</w:t>
            </w:r>
          </w:p>
        </w:tc>
      </w:tr>
    </w:tbl>
    <w:p w14:paraId="552C0A7A" w14:textId="77777777" w:rsidR="00DC34E6" w:rsidRDefault="00DC34E6">
      <w:pPr>
        <w:spacing w:line="360" w:lineRule="auto"/>
        <w:ind w:left="0" w:hanging="2"/>
        <w:jc w:val="both"/>
        <w:rPr>
          <w:rFonts w:ascii="Arial" w:eastAsia="Arial" w:hAnsi="Arial" w:cs="Arial"/>
          <w:b/>
        </w:rPr>
      </w:pPr>
    </w:p>
    <w:p w14:paraId="159ACAC2" w14:textId="77777777" w:rsidR="00DC34E6" w:rsidRDefault="008C58E3">
      <w:pPr>
        <w:spacing w:line="360" w:lineRule="auto"/>
        <w:ind w:left="0" w:hanging="2"/>
        <w:jc w:val="both"/>
        <w:rPr>
          <w:rFonts w:ascii="Arial" w:eastAsia="Arial" w:hAnsi="Arial" w:cs="Arial"/>
        </w:rPr>
      </w:pPr>
      <w:r>
        <w:rPr>
          <w:rFonts w:ascii="Arial" w:eastAsia="Arial" w:hAnsi="Arial" w:cs="Arial"/>
          <w:b/>
        </w:rPr>
        <w:t>11. ORÇAMENTO</w:t>
      </w:r>
    </w:p>
    <w:p w14:paraId="2A7F45C6" w14:textId="6FA4763F" w:rsidR="001D6ED9" w:rsidRDefault="001D6ED9" w:rsidP="001D6ED9">
      <w:pPr>
        <w:spacing w:line="360" w:lineRule="auto"/>
        <w:ind w:leftChars="0" w:left="0" w:firstLineChars="0" w:firstLine="0"/>
        <w:jc w:val="both"/>
        <w:rPr>
          <w:rFonts w:ascii="Arial" w:eastAsia="Arial" w:hAnsi="Arial" w:cs="Arial"/>
        </w:rPr>
      </w:pPr>
    </w:p>
    <w:p w14:paraId="13594D5E" w14:textId="77777777" w:rsidR="001D6ED9" w:rsidRDefault="001D6ED9">
      <w:pPr>
        <w:spacing w:line="360" w:lineRule="auto"/>
        <w:ind w:left="0" w:hanging="2"/>
        <w:jc w:val="both"/>
        <w:rPr>
          <w:rFonts w:ascii="Arial" w:eastAsia="Arial" w:hAnsi="Arial" w:cs="Arial"/>
        </w:rPr>
      </w:pPr>
    </w:p>
    <w:p w14:paraId="6779AA51" w14:textId="77777777" w:rsidR="00DC34E6" w:rsidRDefault="008C58E3">
      <w:pPr>
        <w:spacing w:line="360" w:lineRule="auto"/>
        <w:ind w:left="0" w:hanging="2"/>
        <w:jc w:val="both"/>
        <w:rPr>
          <w:rFonts w:ascii="Arial" w:eastAsia="Arial" w:hAnsi="Arial" w:cs="Arial"/>
        </w:rPr>
      </w:pPr>
      <w:r>
        <w:rPr>
          <w:rFonts w:ascii="Arial" w:eastAsia="Arial" w:hAnsi="Arial" w:cs="Arial"/>
          <w:b/>
        </w:rPr>
        <w:t>Financiamento:</w:t>
      </w:r>
    </w:p>
    <w:p w14:paraId="4187DB83" w14:textId="77777777" w:rsidR="00DC34E6" w:rsidRDefault="008C58E3">
      <w:pPr>
        <w:spacing w:line="360" w:lineRule="auto"/>
        <w:ind w:left="0" w:hanging="2"/>
        <w:jc w:val="center"/>
        <w:rPr>
          <w:rFonts w:ascii="Arial" w:eastAsia="Arial" w:hAnsi="Arial" w:cs="Arial"/>
        </w:rPr>
      </w:pPr>
      <w:proofErr w:type="gramStart"/>
      <w:r>
        <w:rPr>
          <w:rFonts w:ascii="Arial" w:eastAsia="Arial" w:hAnsi="Arial" w:cs="Arial"/>
        </w:rPr>
        <w:t>( x</w:t>
      </w:r>
      <w:proofErr w:type="gramEnd"/>
      <w:r>
        <w:rPr>
          <w:rFonts w:ascii="Arial" w:eastAsia="Arial" w:hAnsi="Arial" w:cs="Arial"/>
        </w:rPr>
        <w:t xml:space="preserve"> )  Instituição Principal    (  )  Patrocinador    (   ) Financiamento próprio</w:t>
      </w:r>
    </w:p>
    <w:p w14:paraId="13FD149F" w14:textId="77777777" w:rsidR="00DC34E6" w:rsidRDefault="008C58E3">
      <w:pPr>
        <w:spacing w:before="240" w:after="240" w:line="360" w:lineRule="auto"/>
        <w:ind w:left="0" w:hanging="2"/>
        <w:jc w:val="both"/>
        <w:rPr>
          <w:rFonts w:ascii="Arial" w:eastAsia="Arial" w:hAnsi="Arial" w:cs="Arial"/>
        </w:rPr>
      </w:pPr>
      <w:r>
        <w:rPr>
          <w:rFonts w:ascii="Arial" w:eastAsia="Arial" w:hAnsi="Arial" w:cs="Arial"/>
        </w:rPr>
        <w:t>As avaliações serão realizadas utilizando a estrutura já existente no INTO, nos horários destinados ao ambulatório do PACTO no ambulatório do INTO.</w:t>
      </w:r>
    </w:p>
    <w:p w14:paraId="6F0CDE0B" w14:textId="5E1F8626" w:rsidR="00DC34E6" w:rsidRDefault="008C58E3">
      <w:pPr>
        <w:spacing w:line="360" w:lineRule="auto"/>
        <w:ind w:left="0" w:hanging="2"/>
        <w:jc w:val="both"/>
        <w:rPr>
          <w:rFonts w:ascii="Arial" w:eastAsia="Arial" w:hAnsi="Arial" w:cs="Arial"/>
        </w:rPr>
      </w:pPr>
      <w:r>
        <w:rPr>
          <w:rFonts w:ascii="Arial" w:eastAsia="Arial" w:hAnsi="Arial" w:cs="Arial"/>
        </w:rPr>
        <w:t>O INTO já dispõe de toda a infraestrutura necessária para a realização da pesquisa, inclusive a dextrose hipertônica e o ácido hialurônico intra-articular, de modo que não haverá custos adicionais para a sua realização.</w:t>
      </w:r>
    </w:p>
    <w:p w14:paraId="7A6A4BA0" w14:textId="5AE42193" w:rsidR="001D6ED9" w:rsidRDefault="001D6ED9">
      <w:pPr>
        <w:spacing w:line="360" w:lineRule="auto"/>
        <w:ind w:left="0" w:hanging="2"/>
        <w:jc w:val="both"/>
        <w:rPr>
          <w:rFonts w:ascii="Arial" w:eastAsia="Arial" w:hAnsi="Arial" w:cs="Arial"/>
        </w:rPr>
      </w:pPr>
    </w:p>
    <w:p w14:paraId="7CE8E655" w14:textId="0DD9343B" w:rsidR="001D6ED9" w:rsidRDefault="001D6ED9">
      <w:pPr>
        <w:spacing w:line="360" w:lineRule="auto"/>
        <w:ind w:left="0" w:hanging="2"/>
        <w:jc w:val="both"/>
        <w:rPr>
          <w:rFonts w:ascii="Arial" w:eastAsia="Arial" w:hAnsi="Arial" w:cs="Arial"/>
        </w:rPr>
      </w:pPr>
    </w:p>
    <w:p w14:paraId="2DAB9874" w14:textId="77777777" w:rsidR="001D6ED9" w:rsidRPr="007021EC" w:rsidRDefault="001D6ED9" w:rsidP="001D6ED9">
      <w:pPr>
        <w:spacing w:line="360" w:lineRule="auto"/>
        <w:ind w:left="0" w:hanging="2"/>
        <w:jc w:val="both"/>
        <w:rPr>
          <w:rFonts w:ascii="Arial" w:hAnsi="Arial" w:cs="Arial"/>
          <w:b/>
        </w:rPr>
      </w:pPr>
      <w:r w:rsidRPr="007021EC">
        <w:rPr>
          <w:rFonts w:ascii="Arial" w:hAnsi="Arial" w:cs="Arial"/>
          <w:b/>
        </w:rPr>
        <w:t>Financiamento:</w:t>
      </w:r>
    </w:p>
    <w:p w14:paraId="2B0460F3" w14:textId="77777777" w:rsidR="001D6ED9" w:rsidRPr="007021EC" w:rsidRDefault="001D6ED9" w:rsidP="001D6ED9">
      <w:pPr>
        <w:spacing w:line="360" w:lineRule="auto"/>
        <w:ind w:left="0" w:hanging="2"/>
        <w:jc w:val="center"/>
        <w:rPr>
          <w:rFonts w:ascii="Arial" w:hAnsi="Arial" w:cs="Arial"/>
        </w:rPr>
      </w:pPr>
      <w:r w:rsidRPr="007021EC">
        <w:rPr>
          <w:rFonts w:ascii="Arial" w:hAnsi="Arial" w:cs="Arial"/>
        </w:rPr>
        <w:t>(</w:t>
      </w:r>
      <w:r>
        <w:rPr>
          <w:rFonts w:ascii="Arial" w:hAnsi="Arial" w:cs="Arial"/>
        </w:rPr>
        <w:t>X</w:t>
      </w:r>
      <w:r w:rsidRPr="007021EC">
        <w:rPr>
          <w:rFonts w:ascii="Arial" w:hAnsi="Arial" w:cs="Arial"/>
        </w:rPr>
        <w:t>)  Instituição Princip</w:t>
      </w:r>
      <w:r>
        <w:rPr>
          <w:rFonts w:ascii="Arial" w:hAnsi="Arial" w:cs="Arial"/>
        </w:rPr>
        <w:t xml:space="preserve">al </w:t>
      </w:r>
      <w:proofErr w:type="gramStart"/>
      <w:r>
        <w:rPr>
          <w:rFonts w:ascii="Arial" w:hAnsi="Arial" w:cs="Arial"/>
        </w:rPr>
        <w:t xml:space="preserve">   (</w:t>
      </w:r>
      <w:proofErr w:type="gramEnd"/>
      <w:r>
        <w:rPr>
          <w:rFonts w:ascii="Arial" w:hAnsi="Arial" w:cs="Arial"/>
        </w:rPr>
        <w:t xml:space="preserve">  )  Patrocinador    (X</w:t>
      </w:r>
      <w:r w:rsidRPr="007021EC">
        <w:rPr>
          <w:rFonts w:ascii="Arial" w:hAnsi="Arial" w:cs="Arial"/>
        </w:rPr>
        <w:t>) Financiamento próprio</w:t>
      </w:r>
    </w:p>
    <w:p w14:paraId="620816B4" w14:textId="77777777" w:rsidR="001D6ED9" w:rsidRPr="007021EC" w:rsidRDefault="001D6ED9" w:rsidP="001D6ED9">
      <w:pPr>
        <w:spacing w:line="360" w:lineRule="auto"/>
        <w:ind w:left="0" w:hanging="2"/>
        <w:jc w:val="both"/>
        <w:rPr>
          <w:rFonts w:ascii="Arial" w:hAnsi="Arial" w:cs="Arial"/>
          <w:b/>
        </w:rPr>
      </w:pPr>
      <w:r w:rsidRPr="007021EC">
        <w:rPr>
          <w:rFonts w:ascii="Arial" w:hAnsi="Arial" w:cs="Arial"/>
          <w:b/>
        </w:rPr>
        <w:t>Detalhamento do Orçamento: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2039"/>
        <w:gridCol w:w="3006"/>
      </w:tblGrid>
      <w:tr w:rsidR="001D6ED9" w:rsidRPr="007021EC" w14:paraId="2FD105E2" w14:textId="77777777" w:rsidTr="001D6ED9">
        <w:tc>
          <w:tcPr>
            <w:tcW w:w="4016" w:type="dxa"/>
            <w:shd w:val="clear" w:color="auto" w:fill="BFBFBF"/>
          </w:tcPr>
          <w:p w14:paraId="6B5BDBB8" w14:textId="77777777" w:rsidR="001D6ED9" w:rsidRPr="007021EC" w:rsidRDefault="001D6ED9" w:rsidP="004A1AA2">
            <w:pPr>
              <w:spacing w:line="360" w:lineRule="auto"/>
              <w:ind w:left="0" w:hanging="2"/>
              <w:jc w:val="center"/>
              <w:rPr>
                <w:rFonts w:ascii="Arial" w:hAnsi="Arial" w:cs="Arial"/>
                <w:b/>
              </w:rPr>
            </w:pPr>
            <w:r w:rsidRPr="007021EC">
              <w:rPr>
                <w:rFonts w:ascii="Arial" w:hAnsi="Arial" w:cs="Arial"/>
                <w:b/>
              </w:rPr>
              <w:t>Identificação do Orçamento</w:t>
            </w:r>
          </w:p>
        </w:tc>
        <w:tc>
          <w:tcPr>
            <w:tcW w:w="2039" w:type="dxa"/>
            <w:shd w:val="clear" w:color="auto" w:fill="BFBFBF"/>
          </w:tcPr>
          <w:p w14:paraId="3E090400" w14:textId="77777777" w:rsidR="001D6ED9" w:rsidRPr="007021EC" w:rsidRDefault="001D6ED9" w:rsidP="004A1AA2">
            <w:pPr>
              <w:spacing w:line="360" w:lineRule="auto"/>
              <w:ind w:left="0" w:hanging="2"/>
              <w:jc w:val="center"/>
              <w:rPr>
                <w:rFonts w:ascii="Arial" w:hAnsi="Arial" w:cs="Arial"/>
                <w:b/>
              </w:rPr>
            </w:pPr>
            <w:r w:rsidRPr="007021EC">
              <w:rPr>
                <w:rFonts w:ascii="Arial" w:hAnsi="Arial" w:cs="Arial"/>
                <w:b/>
              </w:rPr>
              <w:t>Tipo</w:t>
            </w:r>
          </w:p>
        </w:tc>
        <w:tc>
          <w:tcPr>
            <w:tcW w:w="3006" w:type="dxa"/>
            <w:shd w:val="clear" w:color="auto" w:fill="BFBFBF"/>
          </w:tcPr>
          <w:p w14:paraId="7AEB4C0A" w14:textId="77777777" w:rsidR="001D6ED9" w:rsidRPr="007021EC" w:rsidRDefault="001D6ED9" w:rsidP="004A1AA2">
            <w:pPr>
              <w:spacing w:line="360" w:lineRule="auto"/>
              <w:ind w:left="0" w:hanging="2"/>
              <w:jc w:val="center"/>
              <w:rPr>
                <w:rFonts w:ascii="Arial" w:hAnsi="Arial" w:cs="Arial"/>
                <w:b/>
              </w:rPr>
            </w:pPr>
            <w:r w:rsidRPr="007021EC">
              <w:rPr>
                <w:rFonts w:ascii="Arial" w:hAnsi="Arial" w:cs="Arial"/>
                <w:b/>
              </w:rPr>
              <w:t>Valor em Reais (R$)</w:t>
            </w:r>
          </w:p>
        </w:tc>
      </w:tr>
      <w:tr w:rsidR="001D6ED9" w:rsidRPr="007021EC" w14:paraId="32814F50" w14:textId="77777777" w:rsidTr="001D6ED9">
        <w:tc>
          <w:tcPr>
            <w:tcW w:w="4016" w:type="dxa"/>
            <w:shd w:val="clear" w:color="auto" w:fill="auto"/>
          </w:tcPr>
          <w:p w14:paraId="00DB7876" w14:textId="77777777" w:rsidR="001D6ED9" w:rsidRPr="007021EC" w:rsidRDefault="001D6ED9" w:rsidP="004A1AA2">
            <w:pPr>
              <w:spacing w:line="360" w:lineRule="auto"/>
              <w:ind w:left="0" w:hanging="2"/>
              <w:jc w:val="both"/>
              <w:rPr>
                <w:rFonts w:ascii="Arial" w:hAnsi="Arial" w:cs="Arial"/>
              </w:rPr>
            </w:pPr>
            <w:r>
              <w:rPr>
                <w:rFonts w:ascii="Arial" w:hAnsi="Arial" w:cs="Arial"/>
              </w:rPr>
              <w:t>01 BLOCO DE PAPEL A4 BRANCO</w:t>
            </w:r>
          </w:p>
        </w:tc>
        <w:tc>
          <w:tcPr>
            <w:tcW w:w="2039" w:type="dxa"/>
            <w:shd w:val="clear" w:color="auto" w:fill="auto"/>
          </w:tcPr>
          <w:p w14:paraId="7EA8F3AC" w14:textId="77777777" w:rsidR="001D6ED9" w:rsidRPr="007021EC" w:rsidRDefault="001D6ED9" w:rsidP="004A1AA2">
            <w:pPr>
              <w:spacing w:line="360" w:lineRule="auto"/>
              <w:ind w:left="0" w:hanging="2"/>
              <w:jc w:val="both"/>
              <w:rPr>
                <w:rFonts w:ascii="Arial" w:hAnsi="Arial" w:cs="Arial"/>
                <w:b/>
              </w:rPr>
            </w:pPr>
            <w:r>
              <w:rPr>
                <w:rFonts w:ascii="Arial" w:hAnsi="Arial" w:cs="Arial"/>
                <w:b/>
              </w:rPr>
              <w:t>CUSTEIO</w:t>
            </w:r>
          </w:p>
        </w:tc>
        <w:tc>
          <w:tcPr>
            <w:tcW w:w="3006" w:type="dxa"/>
            <w:shd w:val="clear" w:color="auto" w:fill="auto"/>
          </w:tcPr>
          <w:p w14:paraId="3298FF27" w14:textId="77777777" w:rsidR="001D6ED9" w:rsidRPr="007021EC" w:rsidRDefault="001D6ED9" w:rsidP="004A1AA2">
            <w:pPr>
              <w:spacing w:line="360" w:lineRule="auto"/>
              <w:ind w:left="0" w:hanging="2"/>
              <w:jc w:val="both"/>
              <w:rPr>
                <w:rFonts w:ascii="Arial" w:hAnsi="Arial" w:cs="Arial"/>
                <w:b/>
              </w:rPr>
            </w:pPr>
            <w:r>
              <w:rPr>
                <w:rFonts w:ascii="Arial" w:hAnsi="Arial" w:cs="Arial"/>
                <w:b/>
              </w:rPr>
              <w:t>R$ 30,00</w:t>
            </w:r>
          </w:p>
        </w:tc>
      </w:tr>
      <w:tr w:rsidR="001D6ED9" w:rsidRPr="007021EC" w14:paraId="3E9E934A" w14:textId="77777777" w:rsidTr="001D6ED9">
        <w:tc>
          <w:tcPr>
            <w:tcW w:w="4016" w:type="dxa"/>
            <w:shd w:val="clear" w:color="auto" w:fill="auto"/>
          </w:tcPr>
          <w:p w14:paraId="25CC893B" w14:textId="77777777" w:rsidR="001D6ED9" w:rsidRPr="007021EC" w:rsidRDefault="001D6ED9" w:rsidP="004A1AA2">
            <w:pPr>
              <w:spacing w:line="360" w:lineRule="auto"/>
              <w:ind w:left="0" w:hanging="2"/>
              <w:jc w:val="both"/>
              <w:rPr>
                <w:rFonts w:ascii="Arial" w:hAnsi="Arial" w:cs="Arial"/>
              </w:rPr>
            </w:pPr>
            <w:r>
              <w:rPr>
                <w:rFonts w:ascii="Arial" w:hAnsi="Arial" w:cs="Arial"/>
              </w:rPr>
              <w:t>01 CARTUCHO DE IMPRESSÃO COR PRETA</w:t>
            </w:r>
          </w:p>
        </w:tc>
        <w:tc>
          <w:tcPr>
            <w:tcW w:w="2039" w:type="dxa"/>
            <w:shd w:val="clear" w:color="auto" w:fill="auto"/>
          </w:tcPr>
          <w:p w14:paraId="32B955C1" w14:textId="77777777" w:rsidR="001D6ED9" w:rsidRPr="007021EC" w:rsidRDefault="001D6ED9" w:rsidP="004A1AA2">
            <w:pPr>
              <w:spacing w:line="360" w:lineRule="auto"/>
              <w:ind w:left="0" w:hanging="2"/>
              <w:jc w:val="both"/>
              <w:rPr>
                <w:rFonts w:ascii="Arial" w:hAnsi="Arial" w:cs="Arial"/>
                <w:b/>
              </w:rPr>
            </w:pPr>
            <w:r>
              <w:rPr>
                <w:rFonts w:ascii="Arial" w:hAnsi="Arial" w:cs="Arial"/>
                <w:b/>
              </w:rPr>
              <w:t>CUSTEIO</w:t>
            </w:r>
          </w:p>
        </w:tc>
        <w:tc>
          <w:tcPr>
            <w:tcW w:w="3006" w:type="dxa"/>
            <w:shd w:val="clear" w:color="auto" w:fill="auto"/>
          </w:tcPr>
          <w:p w14:paraId="0B1BA53C" w14:textId="77777777" w:rsidR="001D6ED9" w:rsidRPr="007021EC" w:rsidRDefault="001D6ED9" w:rsidP="004A1AA2">
            <w:pPr>
              <w:spacing w:line="360" w:lineRule="auto"/>
              <w:ind w:left="0" w:hanging="2"/>
              <w:jc w:val="both"/>
              <w:rPr>
                <w:rFonts w:ascii="Arial" w:hAnsi="Arial" w:cs="Arial"/>
                <w:b/>
              </w:rPr>
            </w:pPr>
            <w:r>
              <w:rPr>
                <w:rFonts w:ascii="Arial" w:hAnsi="Arial" w:cs="Arial"/>
                <w:b/>
              </w:rPr>
              <w:t>R$ 90,00</w:t>
            </w:r>
          </w:p>
        </w:tc>
      </w:tr>
      <w:tr w:rsidR="001D6ED9" w:rsidRPr="007021EC" w14:paraId="6138B20C" w14:textId="77777777" w:rsidTr="001D6ED9">
        <w:tc>
          <w:tcPr>
            <w:tcW w:w="4016" w:type="dxa"/>
            <w:shd w:val="clear" w:color="auto" w:fill="auto"/>
          </w:tcPr>
          <w:p w14:paraId="648542F7" w14:textId="77777777" w:rsidR="001D6ED9" w:rsidRPr="007021EC" w:rsidRDefault="001D6ED9" w:rsidP="004A1AA2">
            <w:pPr>
              <w:spacing w:line="360" w:lineRule="auto"/>
              <w:ind w:left="0" w:hanging="2"/>
              <w:jc w:val="both"/>
              <w:rPr>
                <w:rFonts w:ascii="Arial" w:hAnsi="Arial" w:cs="Arial"/>
              </w:rPr>
            </w:pPr>
            <w:r>
              <w:rPr>
                <w:rFonts w:ascii="Arial" w:hAnsi="Arial" w:cs="Arial"/>
              </w:rPr>
              <w:t>10 CANETAS</w:t>
            </w:r>
          </w:p>
        </w:tc>
        <w:tc>
          <w:tcPr>
            <w:tcW w:w="2039" w:type="dxa"/>
            <w:shd w:val="clear" w:color="auto" w:fill="auto"/>
          </w:tcPr>
          <w:p w14:paraId="6766E9B3" w14:textId="77777777" w:rsidR="001D6ED9" w:rsidRPr="00E67292" w:rsidRDefault="001D6ED9" w:rsidP="004A1AA2">
            <w:pPr>
              <w:spacing w:line="360" w:lineRule="auto"/>
              <w:ind w:left="0" w:hanging="2"/>
              <w:jc w:val="both"/>
              <w:rPr>
                <w:rFonts w:ascii="Arial" w:hAnsi="Arial" w:cs="Arial"/>
                <w:b/>
                <w:i/>
              </w:rPr>
            </w:pPr>
            <w:r>
              <w:rPr>
                <w:rFonts w:ascii="Arial" w:hAnsi="Arial" w:cs="Arial"/>
                <w:b/>
                <w:i/>
              </w:rPr>
              <w:t>CUSTEIO</w:t>
            </w:r>
          </w:p>
        </w:tc>
        <w:tc>
          <w:tcPr>
            <w:tcW w:w="3006" w:type="dxa"/>
            <w:shd w:val="clear" w:color="auto" w:fill="auto"/>
          </w:tcPr>
          <w:p w14:paraId="72206E69" w14:textId="77777777" w:rsidR="001D6ED9" w:rsidRPr="007021EC" w:rsidRDefault="001D6ED9" w:rsidP="004A1AA2">
            <w:pPr>
              <w:spacing w:line="360" w:lineRule="auto"/>
              <w:ind w:left="0" w:hanging="2"/>
              <w:jc w:val="both"/>
              <w:rPr>
                <w:rFonts w:ascii="Arial" w:hAnsi="Arial" w:cs="Arial"/>
                <w:b/>
              </w:rPr>
            </w:pPr>
            <w:r>
              <w:rPr>
                <w:rFonts w:ascii="Arial" w:hAnsi="Arial" w:cs="Arial"/>
                <w:b/>
              </w:rPr>
              <w:t>R$ 10,00</w:t>
            </w:r>
          </w:p>
        </w:tc>
      </w:tr>
    </w:tbl>
    <w:p w14:paraId="60B57DE5" w14:textId="77777777" w:rsidR="001D6ED9" w:rsidRDefault="001D6ED9">
      <w:pPr>
        <w:spacing w:line="360" w:lineRule="auto"/>
        <w:ind w:left="0" w:hanging="2"/>
        <w:jc w:val="both"/>
        <w:rPr>
          <w:rFonts w:ascii="Arial" w:eastAsia="Arial" w:hAnsi="Arial" w:cs="Arial"/>
        </w:rPr>
      </w:pPr>
    </w:p>
    <w:p w14:paraId="5BAF345F" w14:textId="5730C034" w:rsidR="00DC34E6" w:rsidRDefault="00DC34E6">
      <w:pPr>
        <w:spacing w:line="360" w:lineRule="auto"/>
        <w:ind w:left="0" w:hanging="2"/>
        <w:jc w:val="both"/>
        <w:rPr>
          <w:rFonts w:ascii="Arial" w:eastAsia="Arial" w:hAnsi="Arial" w:cs="Arial"/>
        </w:rPr>
      </w:pPr>
    </w:p>
    <w:p w14:paraId="6B78FB66" w14:textId="12281A0C" w:rsidR="00DC34E6" w:rsidRDefault="008C58E3">
      <w:pPr>
        <w:spacing w:line="360" w:lineRule="auto"/>
        <w:ind w:left="0" w:hanging="2"/>
        <w:jc w:val="both"/>
        <w:rPr>
          <w:rFonts w:ascii="Arial" w:eastAsia="Arial" w:hAnsi="Arial" w:cs="Arial"/>
          <w:b/>
          <w:lang w:val="en-US"/>
        </w:rPr>
      </w:pPr>
      <w:r w:rsidRPr="006A08B2">
        <w:rPr>
          <w:rFonts w:ascii="Arial" w:eastAsia="Arial" w:hAnsi="Arial" w:cs="Arial"/>
          <w:b/>
          <w:lang w:val="en-US"/>
        </w:rPr>
        <w:t xml:space="preserve">12. REFERÊNCIAS: </w:t>
      </w:r>
    </w:p>
    <w:p w14:paraId="277BFC07" w14:textId="5A805ED3" w:rsidR="0075437E" w:rsidRDefault="0075437E">
      <w:pPr>
        <w:spacing w:line="360" w:lineRule="auto"/>
        <w:ind w:left="0" w:hanging="2"/>
        <w:jc w:val="both"/>
        <w:rPr>
          <w:rFonts w:ascii="Arial" w:eastAsia="Arial" w:hAnsi="Arial" w:cs="Arial"/>
          <w:b/>
          <w:lang w:val="en-US"/>
        </w:rPr>
      </w:pPr>
    </w:p>
    <w:p w14:paraId="4E545D40" w14:textId="77777777" w:rsidR="00124F29" w:rsidRPr="00124F29" w:rsidRDefault="0075437E" w:rsidP="00124F29">
      <w:pPr>
        <w:pStyle w:val="Bibliografia"/>
        <w:ind w:left="0" w:hanging="2"/>
        <w:rPr>
          <w:rFonts w:ascii="Arial" w:hAnsi="Arial" w:cs="Arial"/>
          <w:lang w:val="en-US"/>
        </w:rPr>
      </w:pPr>
      <w:r>
        <w:rPr>
          <w:rFonts w:ascii="Arial" w:eastAsia="Arial" w:hAnsi="Arial" w:cs="Arial"/>
          <w:lang w:val="en-US"/>
        </w:rPr>
        <w:fldChar w:fldCharType="begin"/>
      </w:r>
      <w:r w:rsidR="00124F29">
        <w:rPr>
          <w:rFonts w:ascii="Arial" w:eastAsia="Arial" w:hAnsi="Arial" w:cs="Arial"/>
          <w:lang w:val="en-US"/>
        </w:rPr>
        <w:instrText xml:space="preserve"> ADDIN ZOTERO_BIBL {"uncited":[],"omitted":[],"custom":[]} CSL_BIBLIOGRAPHY </w:instrText>
      </w:r>
      <w:r>
        <w:rPr>
          <w:rFonts w:ascii="Arial" w:eastAsia="Arial" w:hAnsi="Arial" w:cs="Arial"/>
          <w:lang w:val="en-US"/>
        </w:rPr>
        <w:fldChar w:fldCharType="separate"/>
      </w:r>
      <w:r w:rsidR="00124F29" w:rsidRPr="00124F29">
        <w:rPr>
          <w:rFonts w:ascii="Arial" w:hAnsi="Arial" w:cs="Arial"/>
          <w:lang w:val="en-US"/>
        </w:rPr>
        <w:t>1.</w:t>
      </w:r>
      <w:r w:rsidR="00124F29" w:rsidRPr="00124F29">
        <w:rPr>
          <w:rFonts w:ascii="Arial" w:hAnsi="Arial" w:cs="Arial"/>
          <w:lang w:val="en-US"/>
        </w:rPr>
        <w:tab/>
        <w:t xml:space="preserve">Krasnokutsky S, Attur M, Palmer G, Samuels J, Abramson SB. Current concepts in the pathogenesis of osteoarthritis. Osteoarthritis Cartilage. 2008;16 Suppl 3:S1-3. </w:t>
      </w:r>
    </w:p>
    <w:p w14:paraId="158A43AF" w14:textId="77777777" w:rsidR="00124F29" w:rsidRPr="00124F29" w:rsidRDefault="00124F29" w:rsidP="00124F29">
      <w:pPr>
        <w:pStyle w:val="Bibliografia"/>
        <w:ind w:left="0" w:hanging="2"/>
        <w:rPr>
          <w:rFonts w:ascii="Arial" w:hAnsi="Arial" w:cs="Arial"/>
          <w:lang w:val="en-US"/>
        </w:rPr>
      </w:pPr>
      <w:r w:rsidRPr="00124F29">
        <w:rPr>
          <w:rFonts w:ascii="Arial" w:hAnsi="Arial" w:cs="Arial"/>
          <w:lang w:val="en-US"/>
        </w:rPr>
        <w:t>2.</w:t>
      </w:r>
      <w:r w:rsidRPr="00124F29">
        <w:rPr>
          <w:rFonts w:ascii="Arial" w:hAnsi="Arial" w:cs="Arial"/>
          <w:lang w:val="en-US"/>
        </w:rPr>
        <w:tab/>
        <w:t>Salmon JH, Rat AC, Achit H, Ngueyon-Sime W, Gard C, Guillemin F, et al. Health resource use and costs of symptomatic knee and/or hip osteoarthritis. Osteoarthritis and Cartilage. 1</w:t>
      </w:r>
      <w:r w:rsidRPr="00124F29">
        <w:rPr>
          <w:rFonts w:ascii="Arial" w:hAnsi="Arial" w:cs="Arial"/>
          <w:vertAlign w:val="superscript"/>
          <w:lang w:val="en-US"/>
        </w:rPr>
        <w:t>o</w:t>
      </w:r>
      <w:r w:rsidRPr="00124F29">
        <w:rPr>
          <w:rFonts w:ascii="Arial" w:hAnsi="Arial" w:cs="Arial"/>
          <w:lang w:val="en-US"/>
        </w:rPr>
        <w:t xml:space="preserve"> de julho de 2019;27(7):1011–7. </w:t>
      </w:r>
    </w:p>
    <w:p w14:paraId="74534579" w14:textId="77777777" w:rsidR="00124F29" w:rsidRPr="00124F29" w:rsidRDefault="00124F29" w:rsidP="00124F29">
      <w:pPr>
        <w:pStyle w:val="Bibliografia"/>
        <w:ind w:left="0" w:hanging="2"/>
        <w:rPr>
          <w:rFonts w:ascii="Arial" w:hAnsi="Arial" w:cs="Arial"/>
        </w:rPr>
      </w:pPr>
      <w:r w:rsidRPr="00124F29">
        <w:rPr>
          <w:rFonts w:ascii="Arial" w:hAnsi="Arial" w:cs="Arial"/>
          <w:lang w:val="en-US"/>
        </w:rPr>
        <w:lastRenderedPageBreak/>
        <w:t>3.</w:t>
      </w:r>
      <w:r w:rsidRPr="00124F29">
        <w:rPr>
          <w:rFonts w:ascii="Arial" w:hAnsi="Arial" w:cs="Arial"/>
          <w:lang w:val="en-US"/>
        </w:rPr>
        <w:tab/>
        <w:t xml:space="preserve">Jordan KM, Arden NK, Doherty M, Bannwarth B, Bijlsma JWJ, Dieppe P, et al. EULAR Recommendations 2003: an evidence based approach to the management of knee osteoarthritis: Report of a Task Force of the Standing Committee for International Clinical Studies Including Therapeutic Trials (ESCISIT). </w:t>
      </w:r>
      <w:r w:rsidRPr="00124F29">
        <w:rPr>
          <w:rFonts w:ascii="Arial" w:hAnsi="Arial" w:cs="Arial"/>
        </w:rPr>
        <w:t xml:space="preserve">Ann Rheum Dis. dezembro de 2003;62(12):1145–55. </w:t>
      </w:r>
    </w:p>
    <w:p w14:paraId="399D15F0" w14:textId="77777777" w:rsidR="00124F29" w:rsidRPr="00124F29" w:rsidRDefault="00124F29" w:rsidP="00124F29">
      <w:pPr>
        <w:pStyle w:val="Bibliografia"/>
        <w:ind w:left="0" w:hanging="2"/>
        <w:rPr>
          <w:rFonts w:ascii="Arial" w:hAnsi="Arial" w:cs="Arial"/>
          <w:lang w:val="en-US"/>
        </w:rPr>
      </w:pPr>
      <w:r w:rsidRPr="00124F29">
        <w:rPr>
          <w:rFonts w:ascii="Arial" w:hAnsi="Arial" w:cs="Arial"/>
        </w:rPr>
        <w:t>4.</w:t>
      </w:r>
      <w:r w:rsidRPr="00124F29">
        <w:rPr>
          <w:rFonts w:ascii="Arial" w:hAnsi="Arial" w:cs="Arial"/>
        </w:rPr>
        <w:tab/>
        <w:t xml:space="preserve">Wee TC, Neo EJR, Tan YL. </w:t>
      </w:r>
      <w:r w:rsidRPr="00124F29">
        <w:rPr>
          <w:rFonts w:ascii="Arial" w:hAnsi="Arial" w:cs="Arial"/>
          <w:lang w:val="en-US"/>
        </w:rPr>
        <w:t xml:space="preserve">Dextrose prolotherapy in knee osteoarthritis: A systematic review and meta-analysis. Journal of Clinical Orthopaedics and Trauma. agosto de 2021;19:108–17. </w:t>
      </w:r>
    </w:p>
    <w:p w14:paraId="5A5F7014" w14:textId="77777777" w:rsidR="00124F29" w:rsidRPr="00124F29" w:rsidRDefault="00124F29" w:rsidP="00124F29">
      <w:pPr>
        <w:pStyle w:val="Bibliografia"/>
        <w:ind w:left="0" w:hanging="2"/>
        <w:rPr>
          <w:rFonts w:ascii="Arial" w:hAnsi="Arial" w:cs="Arial"/>
          <w:lang w:val="en-US"/>
        </w:rPr>
      </w:pPr>
      <w:r w:rsidRPr="00124F29">
        <w:rPr>
          <w:rFonts w:ascii="Arial" w:hAnsi="Arial" w:cs="Arial"/>
          <w:lang w:val="en-US"/>
        </w:rPr>
        <w:t>5.</w:t>
      </w:r>
      <w:r w:rsidRPr="00124F29">
        <w:rPr>
          <w:rFonts w:ascii="Arial" w:hAnsi="Arial" w:cs="Arial"/>
          <w:lang w:val="en-US"/>
        </w:rPr>
        <w:tab/>
        <w:t xml:space="preserve">Hackett GS. Ligament and Tendon Relaxation. 3rd edition. Charles C Thomas Pub Ltd; 1958. 160 p. </w:t>
      </w:r>
    </w:p>
    <w:p w14:paraId="1A5B8B94" w14:textId="77777777" w:rsidR="00124F29" w:rsidRPr="00124F29" w:rsidRDefault="00124F29" w:rsidP="00124F29">
      <w:pPr>
        <w:pStyle w:val="Bibliografia"/>
        <w:ind w:left="0" w:hanging="2"/>
        <w:rPr>
          <w:rFonts w:ascii="Arial" w:hAnsi="Arial" w:cs="Arial"/>
          <w:lang w:val="en-US"/>
        </w:rPr>
      </w:pPr>
      <w:r w:rsidRPr="00124F29">
        <w:rPr>
          <w:rFonts w:ascii="Arial" w:hAnsi="Arial" w:cs="Arial"/>
          <w:lang w:val="en-US"/>
        </w:rPr>
        <w:t>6.</w:t>
      </w:r>
      <w:r w:rsidRPr="00124F29">
        <w:rPr>
          <w:rFonts w:ascii="Arial" w:hAnsi="Arial" w:cs="Arial"/>
          <w:lang w:val="en-US"/>
        </w:rPr>
        <w:tab/>
        <w:t xml:space="preserve">Rabago D, Nourani B. Prolotherapy for Osteoarthritis and Tendinopathy: a Descriptive Review. Curr Rheumatol Rep. junho de 2017;19(6):34. </w:t>
      </w:r>
    </w:p>
    <w:p w14:paraId="45067E36" w14:textId="77777777" w:rsidR="00124F29" w:rsidRPr="00124F29" w:rsidRDefault="00124F29" w:rsidP="00124F29">
      <w:pPr>
        <w:pStyle w:val="Bibliografia"/>
        <w:ind w:left="0" w:hanging="2"/>
        <w:rPr>
          <w:rFonts w:ascii="Arial" w:hAnsi="Arial" w:cs="Arial"/>
        </w:rPr>
      </w:pPr>
      <w:r w:rsidRPr="00124F29">
        <w:rPr>
          <w:rFonts w:ascii="Arial" w:hAnsi="Arial" w:cs="Arial"/>
          <w:lang w:val="en-US"/>
        </w:rPr>
        <w:t>7.</w:t>
      </w:r>
      <w:r w:rsidRPr="00124F29">
        <w:rPr>
          <w:rFonts w:ascii="Arial" w:hAnsi="Arial" w:cs="Arial"/>
          <w:lang w:val="en-US"/>
        </w:rPr>
        <w:tab/>
        <w:t xml:space="preserve">Johnston E, Kou Y, Junge J, Chen L, Kochan A, Johnston M, et al. Hypertonic Dextrose Stimulates Chondrogenic Cells to Deposit Collagen and Proliferate. </w:t>
      </w:r>
      <w:r w:rsidRPr="00124F29">
        <w:rPr>
          <w:rFonts w:ascii="Arial" w:hAnsi="Arial" w:cs="Arial"/>
        </w:rPr>
        <w:t xml:space="preserve">CARTILAGE. dezembro de 2021;13(2_suppl):213S-224S. </w:t>
      </w:r>
    </w:p>
    <w:p w14:paraId="2524C878" w14:textId="77777777" w:rsidR="00124F29" w:rsidRPr="00124F29" w:rsidRDefault="00124F29" w:rsidP="00124F29">
      <w:pPr>
        <w:pStyle w:val="Bibliografia"/>
        <w:ind w:left="0" w:hanging="2"/>
        <w:rPr>
          <w:rFonts w:ascii="Arial" w:hAnsi="Arial" w:cs="Arial"/>
          <w:lang w:val="en-US"/>
        </w:rPr>
      </w:pPr>
      <w:r w:rsidRPr="00124F29">
        <w:rPr>
          <w:rFonts w:ascii="Arial" w:hAnsi="Arial" w:cs="Arial"/>
        </w:rPr>
        <w:t>8.</w:t>
      </w:r>
      <w:r w:rsidRPr="00124F29">
        <w:rPr>
          <w:rFonts w:ascii="Arial" w:hAnsi="Arial" w:cs="Arial"/>
        </w:rPr>
        <w:tab/>
        <w:t xml:space="preserve">Pan PJ, Wang JC, Tsai CC, Kuo HC. </w:t>
      </w:r>
      <w:r w:rsidRPr="00124F29">
        <w:rPr>
          <w:rFonts w:ascii="Arial" w:hAnsi="Arial" w:cs="Arial"/>
          <w:lang w:val="en-US"/>
        </w:rPr>
        <w:t xml:space="preserve">Identification of early response to hypertonic dextrose prolotherapy markers in knee osteoarthritis patients by an inflammation-related cytokine array. J Chin Med Assoc. 2022;7. </w:t>
      </w:r>
    </w:p>
    <w:p w14:paraId="0F2B57D2" w14:textId="77777777" w:rsidR="00124F29" w:rsidRPr="00124F29" w:rsidRDefault="00124F29" w:rsidP="00124F29">
      <w:pPr>
        <w:pStyle w:val="Bibliografia"/>
        <w:ind w:left="0" w:hanging="2"/>
        <w:rPr>
          <w:rFonts w:ascii="Arial" w:hAnsi="Arial" w:cs="Arial"/>
          <w:lang w:val="en-US"/>
        </w:rPr>
      </w:pPr>
      <w:r w:rsidRPr="00124F29">
        <w:rPr>
          <w:rFonts w:ascii="Arial" w:hAnsi="Arial" w:cs="Arial"/>
          <w:lang w:val="en-US"/>
        </w:rPr>
        <w:t>9.</w:t>
      </w:r>
      <w:r w:rsidRPr="00124F29">
        <w:rPr>
          <w:rFonts w:ascii="Arial" w:hAnsi="Arial" w:cs="Arial"/>
          <w:lang w:val="en-US"/>
        </w:rPr>
        <w:tab/>
        <w:t xml:space="preserve">Wang J, Liang J, Yao J, Song HX, Yang XT, Wu FC, et al. Meta-analysis of clinical trials focusing on hypertonic dextrose prolotherapy (HDP) for knee osteoarthritis. Aging Clin Exp Res. abril de 2022;34(4):715–24. </w:t>
      </w:r>
    </w:p>
    <w:p w14:paraId="0CD4DDEC" w14:textId="77777777" w:rsidR="00124F29" w:rsidRPr="00124F29" w:rsidRDefault="00124F29" w:rsidP="00124F29">
      <w:pPr>
        <w:pStyle w:val="Bibliografia"/>
        <w:ind w:left="0" w:hanging="2"/>
        <w:rPr>
          <w:rFonts w:ascii="Arial" w:hAnsi="Arial" w:cs="Arial"/>
        </w:rPr>
      </w:pPr>
      <w:r w:rsidRPr="00124F29">
        <w:rPr>
          <w:rFonts w:ascii="Arial" w:hAnsi="Arial" w:cs="Arial"/>
          <w:lang w:val="en-US"/>
        </w:rPr>
        <w:t>10.</w:t>
      </w:r>
      <w:r w:rsidRPr="00124F29">
        <w:rPr>
          <w:rFonts w:ascii="Arial" w:hAnsi="Arial" w:cs="Arial"/>
          <w:lang w:val="en-US"/>
        </w:rPr>
        <w:tab/>
        <w:t xml:space="preserve">Hosseini B, Taheri M, Pourroustaei Ardekani R, Moradi S, Kazempour Mofrad M. Periarticular hypertonic dextrose vs intraarticular hyaluronic acid injections: a comparison of two minimally invasive techniques in the treatment of symptomatic knee osteoarthritis. </w:t>
      </w:r>
      <w:r w:rsidRPr="00124F29">
        <w:rPr>
          <w:rFonts w:ascii="Arial" w:hAnsi="Arial" w:cs="Arial"/>
        </w:rPr>
        <w:t xml:space="preserve">Open Access Rheumatol. 2019;11:269–74. </w:t>
      </w:r>
    </w:p>
    <w:p w14:paraId="5D5256E9" w14:textId="77777777" w:rsidR="00124F29" w:rsidRPr="00124F29" w:rsidRDefault="00124F29" w:rsidP="00124F29">
      <w:pPr>
        <w:pStyle w:val="Bibliografia"/>
        <w:ind w:left="0" w:hanging="2"/>
        <w:rPr>
          <w:rFonts w:ascii="Arial" w:hAnsi="Arial" w:cs="Arial"/>
          <w:lang w:val="en-US"/>
        </w:rPr>
      </w:pPr>
      <w:r w:rsidRPr="00124F29">
        <w:rPr>
          <w:rFonts w:ascii="Arial" w:hAnsi="Arial" w:cs="Arial"/>
        </w:rPr>
        <w:t>11.</w:t>
      </w:r>
      <w:r w:rsidRPr="00124F29">
        <w:rPr>
          <w:rFonts w:ascii="Arial" w:hAnsi="Arial" w:cs="Arial"/>
        </w:rPr>
        <w:tab/>
        <w:t xml:space="preserve">Cortez VS, Moraes WA, Taba JV, Condi A, Suzuki MO, Nascimento FS do, et al. </w:t>
      </w:r>
      <w:r w:rsidRPr="00124F29">
        <w:rPr>
          <w:rFonts w:ascii="Arial" w:hAnsi="Arial" w:cs="Arial"/>
          <w:lang w:val="en-US"/>
        </w:rPr>
        <w:t xml:space="preserve">Comparing dextrose prolotherapy with other substances in knee osteoarthritis pain relief: A systematic review. Clinics (Sao Paulo). 2022;77:100037. </w:t>
      </w:r>
    </w:p>
    <w:p w14:paraId="3ADD20FB" w14:textId="77777777" w:rsidR="00124F29" w:rsidRPr="00124F29" w:rsidRDefault="00124F29" w:rsidP="00124F29">
      <w:pPr>
        <w:pStyle w:val="Bibliografia"/>
        <w:ind w:left="0" w:hanging="2"/>
        <w:rPr>
          <w:rFonts w:ascii="Arial" w:hAnsi="Arial" w:cs="Arial"/>
        </w:rPr>
      </w:pPr>
      <w:r w:rsidRPr="00124F29">
        <w:rPr>
          <w:rFonts w:ascii="Arial" w:hAnsi="Arial" w:cs="Arial"/>
          <w:lang w:val="en-US"/>
        </w:rPr>
        <w:t>12.</w:t>
      </w:r>
      <w:r w:rsidRPr="00124F29">
        <w:rPr>
          <w:rFonts w:ascii="Arial" w:hAnsi="Arial" w:cs="Arial"/>
          <w:lang w:val="en-US"/>
        </w:rPr>
        <w:tab/>
        <w:t xml:space="preserve">Arias-Vázquez PI, Tovilla-Zárate CA, Legorreta-Ramírez BG, Burad Fonz W, Magaña-Ricardez D, González-Castro TB, et al. Prolotherapy for knee osteoarthritis using hypertonic dextrose vs other interventional treatments: systematic review of clinical trials. </w:t>
      </w:r>
      <w:r w:rsidRPr="00124F29">
        <w:rPr>
          <w:rFonts w:ascii="Arial" w:hAnsi="Arial" w:cs="Arial"/>
        </w:rPr>
        <w:t xml:space="preserve">Adv Rheumatol. dezembro de 2019;59(1):39. </w:t>
      </w:r>
    </w:p>
    <w:p w14:paraId="50470C15" w14:textId="77777777" w:rsidR="00124F29" w:rsidRPr="00124F29" w:rsidRDefault="00124F29" w:rsidP="00124F29">
      <w:pPr>
        <w:pStyle w:val="Bibliografia"/>
        <w:ind w:left="0" w:hanging="2"/>
        <w:rPr>
          <w:rFonts w:ascii="Arial" w:hAnsi="Arial" w:cs="Arial"/>
          <w:lang w:val="en-US"/>
        </w:rPr>
      </w:pPr>
      <w:r w:rsidRPr="00124F29">
        <w:rPr>
          <w:rFonts w:ascii="Arial" w:hAnsi="Arial" w:cs="Arial"/>
        </w:rPr>
        <w:t>13.</w:t>
      </w:r>
      <w:r w:rsidRPr="00124F29">
        <w:rPr>
          <w:rFonts w:ascii="Arial" w:hAnsi="Arial" w:cs="Arial"/>
        </w:rPr>
        <w:tab/>
        <w:t xml:space="preserve">Rabago D, Patterson JJ, Mundt M, Kijowski R, Grettie J, Segal NA, et al. </w:t>
      </w:r>
      <w:r w:rsidRPr="00124F29">
        <w:rPr>
          <w:rFonts w:ascii="Arial" w:hAnsi="Arial" w:cs="Arial"/>
          <w:lang w:val="en-US"/>
        </w:rPr>
        <w:t>Dextrose Prolotherapy for Knee Osteoarthritis: A Randomized Controlled Trial. The Annals of Family Medicine. 1</w:t>
      </w:r>
      <w:r w:rsidRPr="00124F29">
        <w:rPr>
          <w:rFonts w:ascii="Arial" w:hAnsi="Arial" w:cs="Arial"/>
          <w:vertAlign w:val="superscript"/>
          <w:lang w:val="en-US"/>
        </w:rPr>
        <w:t>o</w:t>
      </w:r>
      <w:r w:rsidRPr="00124F29">
        <w:rPr>
          <w:rFonts w:ascii="Arial" w:hAnsi="Arial" w:cs="Arial"/>
          <w:lang w:val="en-US"/>
        </w:rPr>
        <w:t xml:space="preserve"> de maio de 2013;11(3):229–37. </w:t>
      </w:r>
    </w:p>
    <w:p w14:paraId="50A765BB" w14:textId="77777777" w:rsidR="00124F29" w:rsidRPr="00124F29" w:rsidRDefault="00124F29" w:rsidP="00124F29">
      <w:pPr>
        <w:pStyle w:val="Bibliografia"/>
        <w:ind w:left="0" w:hanging="2"/>
        <w:rPr>
          <w:rFonts w:ascii="Arial" w:hAnsi="Arial" w:cs="Arial"/>
        </w:rPr>
      </w:pPr>
      <w:r w:rsidRPr="00124F29">
        <w:rPr>
          <w:rFonts w:ascii="Arial" w:hAnsi="Arial" w:cs="Arial"/>
          <w:lang w:val="en-US"/>
        </w:rPr>
        <w:t>14.</w:t>
      </w:r>
      <w:r w:rsidRPr="00124F29">
        <w:rPr>
          <w:rFonts w:ascii="Arial" w:hAnsi="Arial" w:cs="Arial"/>
          <w:lang w:val="en-US"/>
        </w:rPr>
        <w:tab/>
        <w:t xml:space="preserve">Reeves KD, Hassanein K. Randomized prospective double-blind placebo-controlled study of dextrose prolotherapy for knee osteoarthritis with or without ACL laxity. </w:t>
      </w:r>
      <w:r w:rsidRPr="00124F29">
        <w:rPr>
          <w:rFonts w:ascii="Arial" w:hAnsi="Arial" w:cs="Arial"/>
        </w:rPr>
        <w:t xml:space="preserve">Altern Ther Health Med. março de 2000;6(2):68–74, 77–80. </w:t>
      </w:r>
    </w:p>
    <w:p w14:paraId="70F20CCE" w14:textId="51F9A11D" w:rsidR="00DC34E6" w:rsidRPr="006A08B2" w:rsidRDefault="0075437E" w:rsidP="0075437E">
      <w:pPr>
        <w:spacing w:line="360" w:lineRule="auto"/>
        <w:ind w:left="0" w:hanging="2"/>
        <w:jc w:val="both"/>
        <w:rPr>
          <w:rFonts w:ascii="Arial" w:eastAsia="Arial" w:hAnsi="Arial" w:cs="Arial"/>
          <w:color w:val="000000"/>
          <w:lang w:val="en-US"/>
        </w:rPr>
      </w:pPr>
      <w:r>
        <w:rPr>
          <w:rFonts w:ascii="Arial" w:eastAsia="Arial" w:hAnsi="Arial" w:cs="Arial"/>
          <w:lang w:val="en-US"/>
        </w:rPr>
        <w:fldChar w:fldCharType="end"/>
      </w:r>
      <w:r w:rsidRPr="006A08B2">
        <w:rPr>
          <w:rFonts w:ascii="Arial" w:eastAsia="Arial" w:hAnsi="Arial" w:cs="Arial"/>
          <w:color w:val="000000"/>
          <w:lang w:val="en-US"/>
        </w:rPr>
        <w:t xml:space="preserve"> </w:t>
      </w:r>
    </w:p>
    <w:p w14:paraId="10E2320D" w14:textId="77777777" w:rsidR="00DC34E6" w:rsidRPr="006A08B2" w:rsidRDefault="00DC34E6">
      <w:pPr>
        <w:spacing w:line="360" w:lineRule="auto"/>
        <w:ind w:left="0" w:hanging="2"/>
        <w:jc w:val="both"/>
        <w:rPr>
          <w:rFonts w:ascii="Arial" w:eastAsia="Arial" w:hAnsi="Arial" w:cs="Arial"/>
          <w:lang w:val="en-US"/>
        </w:rPr>
      </w:pPr>
    </w:p>
    <w:sectPr w:rsidR="00DC34E6" w:rsidRPr="006A08B2">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56CA2" w14:textId="77777777" w:rsidR="00187C5B" w:rsidRDefault="00187C5B">
      <w:pPr>
        <w:spacing w:line="240" w:lineRule="auto"/>
        <w:ind w:left="0" w:hanging="2"/>
      </w:pPr>
      <w:r>
        <w:separator/>
      </w:r>
    </w:p>
  </w:endnote>
  <w:endnote w:type="continuationSeparator" w:id="0">
    <w:p w14:paraId="6C88B262" w14:textId="77777777" w:rsidR="00187C5B" w:rsidRDefault="00187C5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3165D" w14:textId="77777777" w:rsidR="00AD4989" w:rsidRDefault="00AD4989">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9B4BB" w14:textId="77777777" w:rsidR="00DC34E6" w:rsidRDefault="008C58E3">
    <w:pPr>
      <w:pBdr>
        <w:top w:val="nil"/>
        <w:left w:val="nil"/>
        <w:bottom w:val="nil"/>
        <w:right w:val="nil"/>
        <w:between w:val="nil"/>
      </w:pBdr>
      <w:tabs>
        <w:tab w:val="center" w:pos="4252"/>
        <w:tab w:val="right" w:pos="8504"/>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6A08B2">
      <w:rPr>
        <w:noProof/>
        <w:color w:val="000000"/>
      </w:rPr>
      <w:t>2</w:t>
    </w:r>
    <w:r>
      <w:rPr>
        <w:color w:val="000000"/>
      </w:rPr>
      <w:fldChar w:fldCharType="end"/>
    </w:r>
  </w:p>
  <w:p w14:paraId="3E073E87" w14:textId="77777777" w:rsidR="00DC34E6" w:rsidRDefault="00DC34E6">
    <w:pPr>
      <w:pBdr>
        <w:top w:val="nil"/>
        <w:left w:val="nil"/>
        <w:bottom w:val="nil"/>
        <w:right w:val="nil"/>
        <w:between w:val="nil"/>
      </w:pBdr>
      <w:tabs>
        <w:tab w:val="center" w:pos="4252"/>
        <w:tab w:val="right" w:pos="8504"/>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8BB0" w14:textId="77777777" w:rsidR="00AD4989" w:rsidRDefault="00AD4989">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16FC0" w14:textId="77777777" w:rsidR="00187C5B" w:rsidRDefault="00187C5B">
      <w:pPr>
        <w:spacing w:line="240" w:lineRule="auto"/>
        <w:ind w:left="0" w:hanging="2"/>
      </w:pPr>
      <w:r>
        <w:separator/>
      </w:r>
    </w:p>
  </w:footnote>
  <w:footnote w:type="continuationSeparator" w:id="0">
    <w:p w14:paraId="25DE6819" w14:textId="77777777" w:rsidR="00187C5B" w:rsidRDefault="00187C5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BD2B" w14:textId="77777777" w:rsidR="00AD4989" w:rsidRDefault="00AD4989">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261B2" w14:textId="77777777" w:rsidR="00AD4989" w:rsidRDefault="00AD4989">
    <w:pPr>
      <w:pStyle w:val="Cabealh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6E02" w14:textId="5712477F" w:rsidR="00AD4989" w:rsidRDefault="00AD4989">
    <w:pPr>
      <w:pStyle w:val="Cabealho"/>
      <w:ind w:left="0" w:hanging="2"/>
    </w:pPr>
    <w:r>
      <w:rPr>
        <w:noProof/>
      </w:rPr>
      <w:drawing>
        <wp:anchor distT="0" distB="0" distL="114300" distR="114300" simplePos="0" relativeHeight="251659264" behindDoc="0" locked="0" layoutInCell="1" hidden="0" allowOverlap="1" wp14:anchorId="734DC028" wp14:editId="66747971">
          <wp:simplePos x="0" y="0"/>
          <wp:positionH relativeFrom="column">
            <wp:posOffset>2190045</wp:posOffset>
          </wp:positionH>
          <wp:positionV relativeFrom="paragraph">
            <wp:posOffset>22155</wp:posOffset>
          </wp:positionV>
          <wp:extent cx="1257300" cy="844550"/>
          <wp:effectExtent l="0" t="0" r="0" b="0"/>
          <wp:wrapSquare wrapText="bothSides" distT="0" distB="0" distL="114300" distR="11430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jpg" descr="Logo, company name&#10;&#10;Description automatically generated"/>
                  <pic:cNvPicPr preferRelativeResize="0"/>
                </pic:nvPicPr>
                <pic:blipFill>
                  <a:blip r:embed="rId1"/>
                  <a:srcRect/>
                  <a:stretch>
                    <a:fillRect/>
                  </a:stretch>
                </pic:blipFill>
                <pic:spPr>
                  <a:xfrm>
                    <a:off x="0" y="0"/>
                    <a:ext cx="1257300" cy="8445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6377DB"/>
    <w:multiLevelType w:val="hybridMultilevel"/>
    <w:tmpl w:val="9AA65330"/>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 w15:restartNumberingAfterBreak="0">
    <w:nsid w:val="7F083432"/>
    <w:multiLevelType w:val="hybridMultilevel"/>
    <w:tmpl w:val="1BAE564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16cid:durableId="1031999778">
    <w:abstractNumId w:val="1"/>
  </w:num>
  <w:num w:numId="2" w16cid:durableId="927234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4E6"/>
    <w:rsid w:val="000603DD"/>
    <w:rsid w:val="00083B85"/>
    <w:rsid w:val="00124F29"/>
    <w:rsid w:val="00162855"/>
    <w:rsid w:val="00187C5B"/>
    <w:rsid w:val="001D6ED9"/>
    <w:rsid w:val="002B1C62"/>
    <w:rsid w:val="002B6F83"/>
    <w:rsid w:val="00342AA1"/>
    <w:rsid w:val="00525D66"/>
    <w:rsid w:val="00526D77"/>
    <w:rsid w:val="006A08B2"/>
    <w:rsid w:val="0075437E"/>
    <w:rsid w:val="007B2F2E"/>
    <w:rsid w:val="008036A4"/>
    <w:rsid w:val="00814769"/>
    <w:rsid w:val="008C58E3"/>
    <w:rsid w:val="009411EE"/>
    <w:rsid w:val="00A8685E"/>
    <w:rsid w:val="00AD4989"/>
    <w:rsid w:val="00B43410"/>
    <w:rsid w:val="00C532E6"/>
    <w:rsid w:val="00C807BD"/>
    <w:rsid w:val="00CA2642"/>
    <w:rsid w:val="00D227AD"/>
    <w:rsid w:val="00DC34E6"/>
    <w:rsid w:val="00E407B0"/>
    <w:rsid w:val="00E546A2"/>
    <w:rsid w:val="00F4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C6984"/>
  <w15:docId w15:val="{91915D2B-674C-B942-B604-4404ADCEC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Textodebalo">
    <w:name w:val="Balloon Text"/>
    <w:basedOn w:val="Normal"/>
    <w:rPr>
      <w:rFonts w:ascii="Tahoma" w:hAnsi="Tahoma" w:cs="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paragraph" w:styleId="PargrafodaLista">
    <w:name w:val="List Paragraph"/>
    <w:basedOn w:val="Normal"/>
    <w:pPr>
      <w:ind w:left="708"/>
    </w:pPr>
  </w:style>
  <w:style w:type="character" w:styleId="Refdecomentrio">
    <w:name w:val="annotation reference"/>
    <w:rPr>
      <w:w w:val="100"/>
      <w:position w:val="-1"/>
      <w:sz w:val="16"/>
      <w:szCs w:val="16"/>
      <w:effect w:val="none"/>
      <w:vertAlign w:val="baseline"/>
      <w:cs w:val="0"/>
      <w:em w:val="none"/>
    </w:rPr>
  </w:style>
  <w:style w:type="paragraph" w:styleId="Textodecomentrio">
    <w:name w:val="annotation text"/>
    <w:basedOn w:val="Normal"/>
    <w:rPr>
      <w:sz w:val="20"/>
      <w:szCs w:val="20"/>
    </w:rPr>
  </w:style>
  <w:style w:type="character" w:customStyle="1" w:styleId="TextodecomentrioChar">
    <w:name w:val="Texto de comentário Char"/>
    <w:basedOn w:val="Fontepargpadro"/>
    <w:rPr>
      <w:w w:val="100"/>
      <w:position w:val="-1"/>
      <w:effect w:val="none"/>
      <w:vertAlign w:val="baseline"/>
      <w:cs w:val="0"/>
      <w:em w:val="none"/>
    </w:rPr>
  </w:style>
  <w:style w:type="paragraph" w:styleId="Assuntodocomentrio">
    <w:name w:val="annotation subject"/>
    <w:basedOn w:val="Textodecomentrio"/>
    <w:next w:val="Textodecomentrio"/>
    <w:rPr>
      <w:b/>
      <w:bCs/>
    </w:rPr>
  </w:style>
  <w:style w:type="character" w:customStyle="1" w:styleId="AssuntodocomentrioChar">
    <w:name w:val="Assunto do comentário Char"/>
    <w:rPr>
      <w:b/>
      <w:bCs/>
      <w:w w:val="100"/>
      <w:position w:val="-1"/>
      <w:effect w:val="none"/>
      <w:vertAlign w:val="baseline"/>
      <w:cs w:val="0"/>
      <w:em w:val="none"/>
    </w:rPr>
  </w:style>
  <w:style w:type="character" w:styleId="Forte">
    <w:name w:val="Strong"/>
    <w:rPr>
      <w:b/>
      <w:bCs/>
      <w:w w:val="100"/>
      <w:position w:val="-1"/>
      <w:effect w:val="none"/>
      <w:vertAlign w:val="baseline"/>
      <w:cs w:val="0"/>
      <w:em w:val="none"/>
    </w:rPr>
  </w:style>
  <w:style w:type="paragraph" w:styleId="Cabealho">
    <w:name w:val="header"/>
    <w:basedOn w:val="Normal"/>
    <w:pPr>
      <w:tabs>
        <w:tab w:val="center" w:pos="4252"/>
        <w:tab w:val="right" w:pos="8504"/>
      </w:tabs>
    </w:pPr>
  </w:style>
  <w:style w:type="character" w:customStyle="1" w:styleId="CabealhoChar">
    <w:name w:val="Cabeçalho Char"/>
    <w:rPr>
      <w:w w:val="100"/>
      <w:position w:val="-1"/>
      <w:sz w:val="24"/>
      <w:szCs w:val="24"/>
      <w:effect w:val="none"/>
      <w:vertAlign w:val="baseline"/>
      <w:cs w:val="0"/>
      <w:em w:val="none"/>
    </w:rPr>
  </w:style>
  <w:style w:type="paragraph" w:styleId="Rodap">
    <w:name w:val="footer"/>
    <w:basedOn w:val="Normal"/>
    <w:pPr>
      <w:tabs>
        <w:tab w:val="center" w:pos="4252"/>
        <w:tab w:val="right" w:pos="8504"/>
      </w:tabs>
    </w:pPr>
  </w:style>
  <w:style w:type="character" w:customStyle="1" w:styleId="RodapChar">
    <w:name w:val="Rodapé Char"/>
    <w:rPr>
      <w:w w:val="100"/>
      <w:position w:val="-1"/>
      <w:sz w:val="24"/>
      <w:szCs w:val="24"/>
      <w:effect w:val="none"/>
      <w:vertAlign w:val="baseline"/>
      <w:cs w:val="0"/>
      <w:em w:val="none"/>
    </w:rPr>
  </w:style>
  <w:style w:type="paragraph" w:styleId="SemEspaamento">
    <w:name w:val="No Spacing"/>
    <w:pPr>
      <w:suppressAutoHyphens/>
      <w:spacing w:line="1" w:lineRule="atLeast"/>
      <w:ind w:leftChars="-1" w:left="-1" w:hangingChars="1"/>
      <w:textDirection w:val="btLr"/>
      <w:textAlignment w:val="top"/>
      <w:outlineLvl w:val="0"/>
    </w:pPr>
    <w:rPr>
      <w:rFonts w:ascii="Calibri" w:eastAsia="Calibri" w:hAnsi="Calibri"/>
      <w:position w:val="-1"/>
      <w:sz w:val="22"/>
      <w:szCs w:val="22"/>
    </w:rPr>
  </w:style>
  <w:style w:type="paragraph" w:styleId="NormalWeb">
    <w:name w:val="Normal (Web)"/>
    <w:basedOn w:val="Normal"/>
    <w:qFormat/>
    <w:pPr>
      <w:spacing w:before="100" w:beforeAutospacing="1" w:after="100" w:afterAutospacing="1"/>
    </w:pPr>
  </w:style>
  <w:style w:type="character" w:styleId="Hyperlink">
    <w:name w:val="Hyperlink"/>
    <w:qFormat/>
    <w:rPr>
      <w:color w:val="0000FF"/>
      <w:w w:val="100"/>
      <w:position w:val="-1"/>
      <w:u w:val="single"/>
      <w:effect w:val="none"/>
      <w:vertAlign w:val="baseline"/>
      <w:cs w:val="0"/>
      <w:em w:val="none"/>
    </w:rPr>
  </w:style>
  <w:style w:type="table" w:styleId="Tabelacomgrade">
    <w:name w:val="Table Grid"/>
    <w:basedOn w:val="Tabela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SubttuloChar">
    <w:name w:val="Subtítulo Char"/>
    <w:rPr>
      <w:rFonts w:ascii="Cambria" w:eastAsia="Times New Roman" w:hAnsi="Cambria" w:cs="Times New Roman"/>
      <w:w w:val="100"/>
      <w:position w:val="-1"/>
      <w:sz w:val="24"/>
      <w:szCs w:val="24"/>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Bibliografia">
    <w:name w:val="Bibliography"/>
    <w:basedOn w:val="Normal"/>
    <w:next w:val="Normal"/>
    <w:uiPriority w:val="37"/>
    <w:unhideWhenUsed/>
    <w:rsid w:val="003C055A"/>
    <w:pPr>
      <w:tabs>
        <w:tab w:val="left" w:pos="384"/>
      </w:tabs>
      <w:spacing w:after="240" w:line="240" w:lineRule="atLeast"/>
      <w:ind w:left="384" w:hanging="384"/>
    </w:pPr>
  </w:style>
  <w:style w:type="table" w:customStyle="1" w:styleId="a0">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BXWJOq9xGZhSKYEIsTb4QIA5Tg==">AMUW2mUb3/LV9RoTro5JDD1wGH770Dg8eLaWyur4w3Y+664Lx3a4TFER/yeY+bJ7Quvnrw505zkLORhCO9u3HxdAo+JxqutZYVa+rA1fJ3yGPVnGBonos/+swyMV2GYJVq9LnT3eDJonlsSES705BUl+7n+9UaVI94DZkutaFiG1uIbGM5hTKN0=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9324</Words>
  <Characters>53153</Characters>
  <Application>Microsoft Office Word</Application>
  <DocSecurity>0</DocSecurity>
  <Lines>442</Lines>
  <Paragraphs>124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Bastos</dc:creator>
  <cp:lastModifiedBy>José Leonardo Rocha de Faria</cp:lastModifiedBy>
  <cp:revision>2</cp:revision>
  <dcterms:created xsi:type="dcterms:W3CDTF">2023-05-24T14:07:00Z</dcterms:created>
  <dcterms:modified xsi:type="dcterms:W3CDTF">2023-05-24T14:07:00Z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id="KkMv7tff"/&gt;&lt;style id="http://www.zotero.org/styles/vancouver" locale="pt-BR" hasBibliography="1" bibliographyStyleHasBeenSet="1"/&gt;&lt;prefs&gt;&lt;pref name="fieldType" value="Field"/&gt;&lt;/prefs&gt;&lt;/data&gt;</vt:lpwstr>
  </property>
</Properties>
</file>