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hanging="2"/>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hanging="2"/>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hanging="2"/>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hanging="2"/>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rtl w:val="0"/>
        </w:rPr>
        <w:t xml:space="preserve">Variáveis clínicas preditoras de sucesso da descontinuação da terapia renal substitutiva em pacientes internados portadores de Injúria Renal Aguda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 estudo </w:t>
      </w:r>
      <w:r w:rsidDel="00000000" w:rsidR="00000000" w:rsidRPr="00000000">
        <w:rPr>
          <w:rFonts w:ascii="Arial" w:cs="Arial" w:eastAsia="Arial" w:hAnsi="Arial"/>
          <w:b w:val="1"/>
          <w:rtl w:val="0"/>
        </w:rPr>
        <w:t xml:space="preserve">retrospectivo</w:t>
      </w: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6478"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6">
      <w:pPr>
        <w:widowControl w:val="0"/>
        <w:spacing w:line="480" w:lineRule="auto"/>
        <w:ind w:hanging="2"/>
        <w:jc w:val="right"/>
        <w:rPr>
          <w:rFonts w:ascii="Arial" w:cs="Arial" w:eastAsia="Arial" w:hAnsi="Arial"/>
          <w:b w:val="1"/>
        </w:rPr>
      </w:pPr>
      <w:r w:rsidDel="00000000" w:rsidR="00000000" w:rsidRPr="00000000">
        <w:rPr>
          <w:rFonts w:ascii="Arial" w:cs="Arial" w:eastAsia="Arial" w:hAnsi="Arial"/>
          <w:b w:val="1"/>
          <w:rtl w:val="0"/>
        </w:rPr>
        <w:t xml:space="preserve">Eduardo de Oliveira Valle</w:t>
      </w:r>
    </w:p>
    <w:p w:rsidR="00000000" w:rsidDel="00000000" w:rsidP="00000000" w:rsidRDefault="00000000" w:rsidRPr="00000000" w14:paraId="00000007">
      <w:pPr>
        <w:widowControl w:val="0"/>
        <w:spacing w:line="480" w:lineRule="auto"/>
        <w:ind w:hanging="2"/>
        <w:jc w:val="right"/>
        <w:rPr>
          <w:rFonts w:ascii="Arial" w:cs="Arial" w:eastAsia="Arial" w:hAnsi="Arial"/>
        </w:rPr>
      </w:pPr>
      <w:r w:rsidDel="00000000" w:rsidR="00000000" w:rsidRPr="00000000">
        <w:rPr>
          <w:rFonts w:ascii="Arial" w:cs="Arial" w:eastAsia="Arial" w:hAnsi="Arial"/>
          <w:b w:val="1"/>
          <w:rtl w:val="0"/>
        </w:rPr>
        <w:t xml:space="preserve">DASA - Hospital 9 de Julho</w:t>
      </w:r>
      <w:r w:rsidDel="00000000" w:rsidR="00000000" w:rsidRPr="00000000">
        <w:rPr>
          <w:rtl w:val="0"/>
        </w:rPr>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righ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Maria Julia Correia Lima Nepomuceno Araujo</w:t>
      </w:r>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hanging="2"/>
        <w:jc w:val="righ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DASA - Hospital 9 de Julho</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hanging="2"/>
        <w:jc w:val="righ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Irene Faria Duayer</w:t>
      </w:r>
      <w:r w:rsidDel="00000000" w:rsidR="00000000" w:rsidRPr="00000000">
        <w:rPr>
          <w:rtl w:val="0"/>
        </w:rPr>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hanging="2"/>
        <w:jc w:val="righ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DASA - Hospital 9 de Julho</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hanging="2"/>
        <w:jc w:val="righ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rtl w:val="0"/>
        </w:rPr>
        <w:t xml:space="preserve">Gabriel Simões de Freitas Galvao</w:t>
      </w:r>
      <w:r w:rsidDel="00000000" w:rsidR="00000000" w:rsidRPr="00000000">
        <w:rPr>
          <w:rtl w:val="0"/>
        </w:rPr>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hanging="2"/>
        <w:jc w:val="righ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DASA - Hospital 9 de Julho</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hanging="2"/>
        <w:jc w:val="righ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rtl w:val="0"/>
        </w:rPr>
        <w:t xml:space="preserve">Camila Hitomi Nihei</w:t>
      </w:r>
      <w:r w:rsidDel="00000000" w:rsidR="00000000" w:rsidRPr="00000000">
        <w:rPr>
          <w:rtl w:val="0"/>
        </w:rPr>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hanging="2"/>
        <w:jc w:val="righ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DASA - Hospital 9 de Julho</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hanging="2"/>
        <w:jc w:val="righ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rtl w:val="0"/>
        </w:rPr>
        <w:t xml:space="preserve">Carlucci Gualberto Ventura</w:t>
      </w:r>
      <w:r w:rsidDel="00000000" w:rsidR="00000000" w:rsidRPr="00000000">
        <w:rPr>
          <w:rtl w:val="0"/>
        </w:rPr>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hanging="2"/>
        <w:jc w:val="righ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DASA - Hospital 9 de Julho</w:t>
      </w:r>
    </w:p>
    <w:p w:rsidR="00000000" w:rsidDel="00000000" w:rsidP="00000000" w:rsidRDefault="00000000" w:rsidRPr="00000000" w14:paraId="00000012">
      <w:pPr>
        <w:widowControl w:val="0"/>
        <w:spacing w:line="480" w:lineRule="auto"/>
        <w:ind w:hanging="2"/>
        <w:jc w:val="right"/>
        <w:rPr>
          <w:rFonts w:ascii="Arial" w:cs="Arial" w:eastAsia="Arial" w:hAnsi="Arial"/>
          <w:b w:val="1"/>
        </w:rPr>
      </w:pPr>
      <w:r w:rsidDel="00000000" w:rsidR="00000000" w:rsidRPr="00000000">
        <w:rPr>
          <w:rFonts w:ascii="Arial" w:cs="Arial" w:eastAsia="Arial" w:hAnsi="Arial"/>
          <w:b w:val="1"/>
          <w:rtl w:val="0"/>
        </w:rPr>
        <w:t xml:space="preserve">Maria Alice Barcellos</w:t>
      </w:r>
    </w:p>
    <w:p w:rsidR="00000000" w:rsidDel="00000000" w:rsidP="00000000" w:rsidRDefault="00000000" w:rsidRPr="00000000" w14:paraId="00000013">
      <w:pPr>
        <w:widowControl w:val="0"/>
        <w:spacing w:line="480" w:lineRule="auto"/>
        <w:ind w:hanging="2"/>
        <w:jc w:val="right"/>
        <w:rPr>
          <w:rFonts w:ascii="Arial" w:cs="Arial" w:eastAsia="Arial" w:hAnsi="Arial"/>
          <w:b w:val="1"/>
        </w:rPr>
      </w:pPr>
      <w:r w:rsidDel="00000000" w:rsidR="00000000" w:rsidRPr="00000000">
        <w:rPr>
          <w:rFonts w:ascii="Arial" w:cs="Arial" w:eastAsia="Arial" w:hAnsi="Arial"/>
          <w:b w:val="1"/>
          <w:rtl w:val="0"/>
        </w:rPr>
        <w:t xml:space="preserve">DASA - Hospital 9 de Julho</w:t>
      </w:r>
    </w:p>
    <w:p w:rsidR="00000000" w:rsidDel="00000000" w:rsidP="00000000" w:rsidRDefault="00000000" w:rsidRPr="00000000" w14:paraId="00000014">
      <w:pPr>
        <w:widowControl w:val="0"/>
        <w:spacing w:line="480" w:lineRule="auto"/>
        <w:ind w:hanging="2"/>
        <w:jc w:val="right"/>
        <w:rPr>
          <w:rFonts w:ascii="Arial" w:cs="Arial" w:eastAsia="Arial" w:hAnsi="Arial"/>
          <w:b w:val="1"/>
        </w:rPr>
      </w:pPr>
      <w:r w:rsidDel="00000000" w:rsidR="00000000" w:rsidRPr="00000000">
        <w:rPr>
          <w:rFonts w:ascii="Arial" w:cs="Arial" w:eastAsia="Arial" w:hAnsi="Arial"/>
          <w:b w:val="1"/>
          <w:rtl w:val="0"/>
        </w:rPr>
        <w:t xml:space="preserve">José Mauro Vieira Junior</w:t>
      </w:r>
    </w:p>
    <w:p w:rsidR="00000000" w:rsidDel="00000000" w:rsidP="00000000" w:rsidRDefault="00000000" w:rsidRPr="00000000" w14:paraId="00000015">
      <w:pPr>
        <w:widowControl w:val="0"/>
        <w:spacing w:line="480" w:lineRule="auto"/>
        <w:ind w:hanging="2"/>
        <w:jc w:val="right"/>
        <w:rPr>
          <w:rFonts w:ascii="Arial" w:cs="Arial" w:eastAsia="Arial" w:hAnsi="Arial"/>
          <w:b w:val="1"/>
        </w:rPr>
      </w:pPr>
      <w:r w:rsidDel="00000000" w:rsidR="00000000" w:rsidRPr="00000000">
        <w:rPr>
          <w:rFonts w:ascii="Arial" w:cs="Arial" w:eastAsia="Arial" w:hAnsi="Arial"/>
          <w:b w:val="1"/>
          <w:rtl w:val="0"/>
        </w:rPr>
        <w:t xml:space="preserve">DASA - Hospital 9 de Julho</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320" w:right="0" w:hanging="1060.1574803149606"/>
        <w:jc w:val="righ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ab/>
      </w:r>
      <w:r w:rsidDel="00000000" w:rsidR="00000000" w:rsidRPr="00000000">
        <w:rPr>
          <w:rFonts w:ascii="Arial" w:cs="Arial" w:eastAsia="Arial" w:hAnsi="Arial"/>
          <w:b w:val="1"/>
          <w:rtl w:val="0"/>
        </w:rPr>
        <w:t xml:space="preserve">Camila Eleuterio Rodrigues</w:t>
      </w:r>
      <w:r w:rsidDel="00000000" w:rsidR="00000000" w:rsidRPr="00000000">
        <w:rPr>
          <w:rtl w:val="0"/>
        </w:rPr>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319" w:right="0" w:hanging="917.4251968503933"/>
        <w:jc w:val="right"/>
        <w:rPr>
          <w:rFonts w:ascii="Arial" w:cs="Arial" w:eastAsia="Arial" w:hAnsi="Arial"/>
          <w:b w:val="1"/>
        </w:rPr>
      </w:pPr>
      <w:r w:rsidDel="00000000" w:rsidR="00000000" w:rsidRPr="00000000">
        <w:rPr>
          <w:rFonts w:ascii="Arial" w:cs="Arial" w:eastAsia="Arial" w:hAnsi="Arial"/>
          <w:b w:val="1"/>
          <w:rtl w:val="0"/>
        </w:rPr>
        <w:t xml:space="preserve">UNSW Medicine&amp;HealthSidney, Australia</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ÍNDICE</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left"/>
        <w:rPr>
          <w:rFonts w:ascii="Arial" w:cs="Arial" w:eastAsia="Arial" w:hAnsi="Arial"/>
          <w:b w:val="1"/>
        </w:rPr>
      </w:pPr>
      <w:r w:rsidDel="00000000" w:rsidR="00000000" w:rsidRPr="00000000">
        <w:rPr>
          <w:rtl w:val="0"/>
        </w:rPr>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hanging="2"/>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Introdução</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hanging="2"/>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Objetivos</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hanging="2"/>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Relevância do Projeto</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hanging="2"/>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Metodologia</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hanging="2"/>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Orçamento</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hanging="2"/>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Cronograma de Atividades</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hanging="2"/>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Resultados esperados </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hanging="2"/>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Bibliografia</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hanging="2"/>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hanging="2"/>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hanging="2"/>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hanging="2"/>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hanging="2"/>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hanging="2"/>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hanging="2"/>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hanging="2"/>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hanging="2"/>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hanging="2"/>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Arial" w:cs="Arial" w:eastAsia="Arial" w:hAnsi="Arial"/>
          <w:b w:val="1"/>
        </w:rPr>
      </w:pP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Arial" w:cs="Arial" w:eastAsia="Arial" w:hAnsi="Arial"/>
          <w:b w:val="1"/>
        </w:rPr>
      </w:pP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Introdução</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708"/>
        <w:jc w:val="both"/>
        <w:rPr>
          <w:rFonts w:ascii="Arial" w:cs="Arial" w:eastAsia="Arial" w:hAnsi="Arial"/>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Insuficiência renal aguda (IRA) dialítica é uma complicação frequente em pacientes internados, com impacto direto na morbimortalidade e nos custos da internação hospitalar (1). Essa população apresenta elevadas taxas de mortalidade e minimizar a ocorrência de eventos adversos durante a terapia renal substitutiva (TRS) assi</w:t>
      </w:r>
      <w:r w:rsidDel="00000000" w:rsidR="00000000" w:rsidRPr="00000000">
        <w:rPr>
          <w:rFonts w:ascii="Arial" w:cs="Arial" w:eastAsia="Arial" w:hAnsi="Arial"/>
          <w:rtl w:val="0"/>
        </w:rPr>
        <w:t xml:space="preserve">m como sua interrupção no momento correto  são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rtl w:val="0"/>
        </w:rPr>
        <w:t xml:space="preserve">essenciais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para o sucesso terapêutico (2).</w:t>
      </w: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708"/>
        <w:jc w:val="both"/>
        <w:rPr>
          <w:rFonts w:ascii="Arial" w:cs="Arial" w:eastAsia="Arial" w:hAnsi="Arial"/>
        </w:rPr>
      </w:pPr>
      <w:r w:rsidDel="00000000" w:rsidR="00000000" w:rsidRPr="00000000">
        <w:rPr>
          <w:rFonts w:ascii="Arial" w:cs="Arial" w:eastAsia="Arial" w:hAnsi="Arial"/>
          <w:rtl w:val="0"/>
        </w:rPr>
        <w:t xml:space="preserve">Apesar do fato de a TRS fornecer suporte benéfico ao paciente, TRS desnecessárias podem ser prejudiciais. Remoção inadequada de antibióticos e aminoácidos podem ocorrer (3, 4) e esquemas intensivos de TRS têm sido associados a atraso na recuperação renal e altas taxas de infecções da corrente sanguínea relacionadas ao cateter.(5, 6)</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708"/>
        <w:jc w:val="both"/>
        <w:rPr>
          <w:rFonts w:ascii="Arial" w:cs="Arial" w:eastAsia="Arial" w:hAnsi="Arial"/>
        </w:rPr>
      </w:pPr>
      <w:r w:rsidDel="00000000" w:rsidR="00000000" w:rsidRPr="00000000">
        <w:rPr>
          <w:rFonts w:ascii="Arial" w:cs="Arial" w:eastAsia="Arial" w:hAnsi="Arial"/>
          <w:rtl w:val="0"/>
        </w:rPr>
        <w:t xml:space="preserve">Uma vez iniciado a TRS, o momento apropriado para interromper a TRS e a retirada do acesso vascular ainda são desconhecidos. Estudos anteriores mostraram utilidade na avaliação do débito urinário no momento da descontinuação da TRS como um importante preditor de cessação bem-sucedida, especialmente em pacientes que não recebem diuréticos.(7-9) Baixo dano tubular avaliado por baixos valores de neutrófilos urinários associados à gelatinase Lipocalina (uNGAL)(10) e melhor função renal (avaliada por aumento da excreção urinária de creatinina ou ureia e pela depuração de creatinina) também demonstraram prever com sucesso a interrupção.(11-14). Porém, a coleta de urina necessária para calcular esses parâmetros pode ser complicada e reduzir sua utilidade clínica. A razão incremental de creatinina avalia a variação da concentração sérica creatinina entre os dias subsequentes e às vezes tem sido usado como um substituto da função renal para evitar a coleta inconveniente de urina necessário para calcular a depuração de creatinina.(15) No entanto, apesar de indicar a direção da mudança na função renal, o aumento incremental não fornece a magnitude da Taxa de filtração glomerular (TFG).</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708"/>
        <w:jc w:val="both"/>
        <w:rPr>
          <w:rFonts w:ascii="Arial" w:cs="Arial" w:eastAsia="Arial" w:hAnsi="Arial"/>
        </w:rPr>
      </w:pPr>
      <w:r w:rsidDel="00000000" w:rsidR="00000000" w:rsidRPr="00000000">
        <w:rPr>
          <w:rFonts w:ascii="Arial" w:cs="Arial" w:eastAsia="Arial" w:hAnsi="Arial"/>
          <w:rtl w:val="0"/>
        </w:rPr>
        <w:t xml:space="preserve">Equações usando apenas marcadores funcionais plasmáticos, como creatinina e cistatina C, não refletem com precisão a TFG real em estados não estacionários, como na IRA. Para contrariar estas circunstâncias e determinar a função renal no cenário agudo, foi desenvolvida uma fórmula considerando alterações agudas na TFG: a taxa de filtração glomerular estimada cinética (KeGFR).(15) KeGFR com alto valores já foram sugeridos como bons preditores para descontinuação da TRS, especialmente quando combinada com a produção de urina. (16)</w:t>
        <w:tab/>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708"/>
        <w:jc w:val="both"/>
        <w:rPr>
          <w:rFonts w:ascii="Arial" w:cs="Arial" w:eastAsia="Arial" w:hAnsi="Arial"/>
        </w:rPr>
      </w:pPr>
      <w:r w:rsidDel="00000000" w:rsidR="00000000" w:rsidRPr="00000000">
        <w:rPr>
          <w:rFonts w:ascii="Arial" w:cs="Arial" w:eastAsia="Arial" w:hAnsi="Arial"/>
          <w:rtl w:val="0"/>
        </w:rPr>
        <w:t xml:space="preserve">Um estudo realizado no Hospital das clínicas da Faculdade de Medicina da Universidade de São paulo com uma população de 124 pacientes internados portadores de Insuficiência renal aguda dialítica, demonstrou que tanto o KeGFR como a simples variação de creatinina podem predizer o sucesso na descontinuação de TRS ​​quando associados a outros parâmetros clínicos importantes na tomada de decisão do nefrologista. Os achados do estudo geraram um escore clínico. (figura 1). Este escore pode ser uma ferramenta de decisão clínica útil para orientar a decisão médica mas ainda requer validação antes de poder ser implementado na prática clínica. (17)</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708"/>
        <w:jc w:val="both"/>
        <w:rPr>
          <w:rFonts w:ascii="Arial" w:cs="Arial" w:eastAsia="Arial" w:hAnsi="Arial"/>
        </w:rPr>
      </w:pP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708"/>
        <w:jc w:val="both"/>
        <w:rPr>
          <w:rFonts w:ascii="Arial" w:cs="Arial" w:eastAsia="Arial" w:hAnsi="Arial"/>
        </w:rPr>
      </w:pP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708"/>
        <w:jc w:val="both"/>
        <w:rPr>
          <w:rFonts w:ascii="Arial" w:cs="Arial" w:eastAsia="Arial" w:hAnsi="Arial"/>
        </w:rPr>
      </w:pP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708"/>
        <w:jc w:val="both"/>
        <w:rPr>
          <w:rFonts w:ascii="Arial" w:cs="Arial" w:eastAsia="Arial" w:hAnsi="Arial"/>
        </w:rPr>
      </w:pPr>
      <w:r w:rsidDel="00000000" w:rsidR="00000000" w:rsidRPr="00000000">
        <w:rPr>
          <w:rFonts w:ascii="Arial" w:cs="Arial" w:eastAsia="Arial" w:hAnsi="Arial"/>
          <w:rtl w:val="0"/>
        </w:rPr>
        <w:t xml:space="preserve">Figura 1: Escore clínico para predição de sucesso na descontinuação de terapia substitutiva renal (17).</w:t>
      </w:r>
    </w:p>
    <w:sdt>
      <w:sdtPr>
        <w:lock w:val="contentLocked"/>
        <w:tag w:val="goog_rdk_5"/>
      </w:sdtPr>
      <w:sdtContent>
        <w:tbl>
          <w:tblPr>
            <w:tblStyle w:val="Table1"/>
            <w:tblW w:w="8498.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249"/>
            <w:gridCol w:w="4249"/>
            <w:tblGridChange w:id="0">
              <w:tblGrid>
                <w:gridCol w:w="4249"/>
                <w:gridCol w:w="4249"/>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C">
                <w:pPr>
                  <w:widowControl w:val="0"/>
                  <w:ind w:firstLine="0"/>
                  <w:rPr>
                    <w:rFonts w:ascii="Arial" w:cs="Arial" w:eastAsia="Arial" w:hAnsi="Arial"/>
                  </w:rPr>
                </w:pPr>
                <w:r w:rsidDel="00000000" w:rsidR="00000000" w:rsidRPr="00000000">
                  <w:rPr>
                    <w:rFonts w:ascii="Arial" w:cs="Arial" w:eastAsia="Arial" w:hAnsi="Arial"/>
                    <w:rtl w:val="0"/>
                  </w:rPr>
                  <w:t xml:space="preserve">Preditores clínicos:</w:t>
                </w:r>
              </w:p>
              <w:p w:rsidR="00000000" w:rsidDel="00000000" w:rsidP="00000000" w:rsidRDefault="00000000" w:rsidRPr="00000000" w14:paraId="0000003D">
                <w:pPr>
                  <w:widowControl w:val="0"/>
                  <w:ind w:firstLine="0"/>
                  <w:rPr>
                    <w:rFonts w:ascii="Arial" w:cs="Arial" w:eastAsia="Arial" w:hAnsi="Arial"/>
                  </w:rPr>
                </w:pPr>
                <w:r w:rsidDel="00000000" w:rsidR="00000000" w:rsidRPr="00000000">
                  <w:rPr>
                    <w:rtl w:val="0"/>
                  </w:rPr>
                </w:r>
              </w:p>
              <w:p w:rsidR="00000000" w:rsidDel="00000000" w:rsidP="00000000" w:rsidRDefault="00000000" w:rsidRPr="00000000" w14:paraId="0000003E">
                <w:pPr>
                  <w:widowControl w:val="0"/>
                  <w:ind w:firstLine="0"/>
                  <w:rPr>
                    <w:rFonts w:ascii="Arial" w:cs="Arial" w:eastAsia="Arial" w:hAnsi="Arial"/>
                  </w:rPr>
                </w:pPr>
                <w:r w:rsidDel="00000000" w:rsidR="00000000" w:rsidRPr="00000000">
                  <w:rPr>
                    <w:rFonts w:ascii="Arial" w:cs="Arial" w:eastAsia="Arial" w:hAnsi="Arial"/>
                    <w:rtl w:val="0"/>
                  </w:rPr>
                  <w:t xml:space="preserve">Débito urinário &gt; 1350mL: 4 pontos</w:t>
                </w:r>
              </w:p>
              <w:p w:rsidR="00000000" w:rsidDel="00000000" w:rsidP="00000000" w:rsidRDefault="00000000" w:rsidRPr="00000000" w14:paraId="0000003F">
                <w:pPr>
                  <w:widowControl w:val="0"/>
                  <w:ind w:firstLine="0"/>
                  <w:rPr>
                    <w:rFonts w:ascii="Arial" w:cs="Arial" w:eastAsia="Arial" w:hAnsi="Arial"/>
                  </w:rPr>
                </w:pPr>
                <w:sdt>
                  <w:sdtPr>
                    <w:tag w:val="goog_rdk_0"/>
                  </w:sdtPr>
                  <w:sdtContent>
                    <w:r w:rsidDel="00000000" w:rsidR="00000000" w:rsidRPr="00000000">
                      <w:rPr>
                        <w:rFonts w:ascii="Arial Unicode MS" w:cs="Arial Unicode MS" w:eastAsia="Arial Unicode MS" w:hAnsi="Arial Unicode MS"/>
                        <w:rtl w:val="0"/>
                      </w:rPr>
                      <w:t xml:space="preserve">SOFA não renal ≤ 4: 4 pontos</w:t>
                    </w:r>
                  </w:sdtContent>
                </w:sdt>
              </w:p>
              <w:p w:rsidR="00000000" w:rsidDel="00000000" w:rsidP="00000000" w:rsidRDefault="00000000" w:rsidRPr="00000000" w14:paraId="00000040">
                <w:pPr>
                  <w:widowControl w:val="0"/>
                  <w:ind w:firstLine="0"/>
                  <w:rPr>
                    <w:rFonts w:ascii="Arial" w:cs="Arial" w:eastAsia="Arial" w:hAnsi="Arial"/>
                  </w:rPr>
                </w:pPr>
                <w:sdt>
                  <w:sdtPr>
                    <w:tag w:val="goog_rdk_1"/>
                  </w:sdtPr>
                  <w:sdtContent>
                    <w:r w:rsidDel="00000000" w:rsidR="00000000" w:rsidRPr="00000000">
                      <w:rPr>
                        <w:rFonts w:ascii="Arial Unicode MS" w:cs="Arial Unicode MS" w:eastAsia="Arial Unicode MS" w:hAnsi="Arial Unicode MS"/>
                        <w:rtl w:val="0"/>
                      </w:rPr>
                      <w:t xml:space="preserve">Balanço hídrico ≤ 86mL: 3 pontos</w:t>
                    </w:r>
                  </w:sdtContent>
                </w:sdt>
              </w:p>
              <w:p w:rsidR="00000000" w:rsidDel="00000000" w:rsidP="00000000" w:rsidRDefault="00000000" w:rsidRPr="00000000" w14:paraId="00000041">
                <w:pPr>
                  <w:widowControl w:val="0"/>
                  <w:ind w:firstLine="0"/>
                  <w:rPr>
                    <w:rFonts w:ascii="Arial" w:cs="Arial" w:eastAsia="Arial" w:hAnsi="Arial"/>
                  </w:rPr>
                </w:pPr>
                <w:sdt>
                  <w:sdtPr>
                    <w:tag w:val="goog_rdk_2"/>
                  </w:sdtPr>
                  <w:sdtContent>
                    <w:r w:rsidDel="00000000" w:rsidR="00000000" w:rsidRPr="00000000">
                      <w:rPr>
                        <w:rFonts w:ascii="Arial Unicode MS" w:cs="Arial Unicode MS" w:eastAsia="Arial Unicode MS" w:hAnsi="Arial Unicode MS"/>
                        <w:rtl w:val="0"/>
                      </w:rPr>
                      <w:t xml:space="preserve">Ureia sérica ≤ 91mg/dL: 8 pontos</w:t>
                    </w:r>
                  </w:sdtContent>
                </w:sdt>
              </w:p>
              <w:p w:rsidR="00000000" w:rsidDel="00000000" w:rsidP="00000000" w:rsidRDefault="00000000" w:rsidRPr="00000000" w14:paraId="00000042">
                <w:pPr>
                  <w:widowControl w:val="0"/>
                  <w:ind w:firstLine="0"/>
                  <w:rPr>
                    <w:rFonts w:ascii="Arial" w:cs="Arial" w:eastAsia="Arial" w:hAnsi="Arial"/>
                  </w:rPr>
                </w:pPr>
                <w:r w:rsidDel="00000000" w:rsidR="00000000" w:rsidRPr="00000000">
                  <w:rPr>
                    <w:rFonts w:ascii="Arial" w:cs="Arial" w:eastAsia="Arial" w:hAnsi="Arial"/>
                    <w:rtl w:val="0"/>
                  </w:rPr>
                  <w:t xml:space="preserve">pH sanguíneo &gt; 7.4: 2 pontos</w:t>
                </w:r>
              </w:p>
              <w:p w:rsidR="00000000" w:rsidDel="00000000" w:rsidP="00000000" w:rsidRDefault="00000000" w:rsidRPr="00000000" w14:paraId="00000043">
                <w:pPr>
                  <w:widowControl w:val="0"/>
                  <w:ind w:firstLine="0"/>
                  <w:rPr>
                    <w:rFonts w:ascii="Arial" w:cs="Arial" w:eastAsia="Arial" w:hAnsi="Arial"/>
                  </w:rPr>
                </w:pPr>
                <w:sdt>
                  <w:sdtPr>
                    <w:tag w:val="goog_rdk_3"/>
                  </w:sdtPr>
                  <w:sdtContent>
                    <w:r w:rsidDel="00000000" w:rsidR="00000000" w:rsidRPr="00000000">
                      <w:rPr>
                        <w:rFonts w:ascii="Arial Unicode MS" w:cs="Arial Unicode MS" w:eastAsia="Arial Unicode MS" w:hAnsi="Arial Unicode MS"/>
                        <w:rtl w:val="0"/>
                      </w:rPr>
                      <w:t xml:space="preserve">K sérico ≤ 4.3: 5 pontos</w:t>
                    </w:r>
                  </w:sdtContent>
                </w:sdt>
              </w:p>
              <w:p w:rsidR="00000000" w:rsidDel="00000000" w:rsidP="00000000" w:rsidRDefault="00000000" w:rsidRPr="00000000" w14:paraId="00000044">
                <w:pPr>
                  <w:widowControl w:val="0"/>
                  <w:ind w:firstLine="0"/>
                  <w:rPr>
                    <w:rFonts w:ascii="Arial" w:cs="Arial" w:eastAsia="Arial" w:hAnsi="Arial"/>
                  </w:rPr>
                </w:pPr>
                <w:sdt>
                  <w:sdtPr>
                    <w:tag w:val="goog_rdk_4"/>
                  </w:sdtPr>
                  <w:sdtContent>
                    <w:r w:rsidDel="00000000" w:rsidR="00000000" w:rsidRPr="00000000">
                      <w:rPr>
                        <w:rFonts w:ascii="Arial Unicode MS" w:cs="Arial Unicode MS" w:eastAsia="Arial Unicode MS" w:hAnsi="Arial Unicode MS"/>
                        <w:rtl w:val="0"/>
                      </w:rPr>
                      <w:t xml:space="preserve">ΔsCr1 ≤ 0,87mg/dL: 3 pontos</w:t>
                    </w:r>
                  </w:sdtContent>
                </w:sdt>
              </w:p>
              <w:p w:rsidR="00000000" w:rsidDel="00000000" w:rsidP="00000000" w:rsidRDefault="00000000" w:rsidRPr="00000000" w14:paraId="00000045">
                <w:pPr>
                  <w:widowControl w:val="0"/>
                  <w:ind w:firstLine="0"/>
                  <w:rPr>
                    <w:rFonts w:ascii="Arial" w:cs="Arial" w:eastAsia="Arial" w:hAnsi="Arial"/>
                  </w:rPr>
                </w:pPr>
                <w:r w:rsidDel="00000000" w:rsidR="00000000" w:rsidRPr="00000000">
                  <w:rPr>
                    <w:rFonts w:ascii="Arial" w:cs="Arial" w:eastAsia="Arial" w:hAnsi="Arial"/>
                    <w:rtl w:val="0"/>
                  </w:rPr>
                  <w:t xml:space="preserve">Total: 29 pontos</w:t>
                </w:r>
              </w:p>
              <w:p w:rsidR="00000000" w:rsidDel="00000000" w:rsidP="00000000" w:rsidRDefault="00000000" w:rsidRPr="00000000" w14:paraId="0000004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7">
                <w:pPr>
                  <w:widowControl w:val="0"/>
                  <w:ind w:firstLine="0"/>
                  <w:rPr>
                    <w:rFonts w:ascii="Arial" w:cs="Arial" w:eastAsia="Arial" w:hAnsi="Arial"/>
                  </w:rPr>
                </w:pPr>
                <w:r w:rsidDel="00000000" w:rsidR="00000000" w:rsidRPr="00000000">
                  <w:rPr>
                    <w:rFonts w:ascii="Arial" w:cs="Arial" w:eastAsia="Arial" w:hAnsi="Arial"/>
                    <w:rtl w:val="0"/>
                  </w:rPr>
                  <w:t xml:space="preserve">Probabilidade de sucesso na descontinuação no trabalho original:</w:t>
                </w:r>
              </w:p>
              <w:p w:rsidR="00000000" w:rsidDel="00000000" w:rsidP="00000000" w:rsidRDefault="00000000" w:rsidRPr="00000000" w14:paraId="00000048">
                <w:pPr>
                  <w:widowControl w:val="0"/>
                  <w:ind w:firstLine="0"/>
                  <w:rPr>
                    <w:rFonts w:ascii="Arial" w:cs="Arial" w:eastAsia="Arial" w:hAnsi="Arial"/>
                  </w:rPr>
                </w:pPr>
                <w:r w:rsidDel="00000000" w:rsidR="00000000" w:rsidRPr="00000000">
                  <w:rPr>
                    <w:rtl w:val="0"/>
                  </w:rPr>
                </w:r>
              </w:p>
              <w:p w:rsidR="00000000" w:rsidDel="00000000" w:rsidP="00000000" w:rsidRDefault="00000000" w:rsidRPr="00000000" w14:paraId="00000049">
                <w:pPr>
                  <w:widowControl w:val="0"/>
                  <w:ind w:firstLine="0"/>
                  <w:rPr>
                    <w:rFonts w:ascii="Arial" w:cs="Arial" w:eastAsia="Arial" w:hAnsi="Arial"/>
                  </w:rPr>
                </w:pPr>
                <w:r w:rsidDel="00000000" w:rsidR="00000000" w:rsidRPr="00000000">
                  <w:rPr>
                    <w:rFonts w:ascii="Arial" w:cs="Arial" w:eastAsia="Arial" w:hAnsi="Arial"/>
                    <w:rtl w:val="0"/>
                  </w:rPr>
                  <w:t xml:space="preserve">0 pontos: 4,9%</w:t>
                </w:r>
              </w:p>
              <w:p w:rsidR="00000000" w:rsidDel="00000000" w:rsidP="00000000" w:rsidRDefault="00000000" w:rsidRPr="00000000" w14:paraId="0000004A">
                <w:pPr>
                  <w:widowControl w:val="0"/>
                  <w:ind w:firstLine="0"/>
                  <w:rPr>
                    <w:rFonts w:ascii="Arial" w:cs="Arial" w:eastAsia="Arial" w:hAnsi="Arial"/>
                  </w:rPr>
                </w:pPr>
                <w:r w:rsidDel="00000000" w:rsidR="00000000" w:rsidRPr="00000000">
                  <w:rPr>
                    <w:rFonts w:ascii="Arial" w:cs="Arial" w:eastAsia="Arial" w:hAnsi="Arial"/>
                    <w:rtl w:val="0"/>
                  </w:rPr>
                  <w:t xml:space="preserve">5 pontos: 18,1%</w:t>
                </w:r>
              </w:p>
              <w:p w:rsidR="00000000" w:rsidDel="00000000" w:rsidP="00000000" w:rsidRDefault="00000000" w:rsidRPr="00000000" w14:paraId="0000004B">
                <w:pPr>
                  <w:widowControl w:val="0"/>
                  <w:ind w:firstLine="0"/>
                  <w:rPr>
                    <w:rFonts w:ascii="Arial" w:cs="Arial" w:eastAsia="Arial" w:hAnsi="Arial"/>
                  </w:rPr>
                </w:pPr>
                <w:r w:rsidDel="00000000" w:rsidR="00000000" w:rsidRPr="00000000">
                  <w:rPr>
                    <w:rFonts w:ascii="Arial" w:cs="Arial" w:eastAsia="Arial" w:hAnsi="Arial"/>
                    <w:rtl w:val="0"/>
                  </w:rPr>
                  <w:t xml:space="preserve">10 pontos: 48,4%</w:t>
                </w:r>
              </w:p>
              <w:p w:rsidR="00000000" w:rsidDel="00000000" w:rsidP="00000000" w:rsidRDefault="00000000" w:rsidRPr="00000000" w14:paraId="0000004C">
                <w:pPr>
                  <w:widowControl w:val="0"/>
                  <w:ind w:firstLine="0"/>
                  <w:rPr>
                    <w:rFonts w:ascii="Arial" w:cs="Arial" w:eastAsia="Arial" w:hAnsi="Arial"/>
                  </w:rPr>
                </w:pPr>
                <w:r w:rsidDel="00000000" w:rsidR="00000000" w:rsidRPr="00000000">
                  <w:rPr>
                    <w:rFonts w:ascii="Arial" w:cs="Arial" w:eastAsia="Arial" w:hAnsi="Arial"/>
                    <w:rtl w:val="0"/>
                  </w:rPr>
                  <w:t xml:space="preserve">15 pontos: 80%</w:t>
                </w:r>
              </w:p>
              <w:p w:rsidR="00000000" w:rsidDel="00000000" w:rsidP="00000000" w:rsidRDefault="00000000" w:rsidRPr="00000000" w14:paraId="0000004D">
                <w:pPr>
                  <w:widowControl w:val="0"/>
                  <w:ind w:firstLine="0"/>
                  <w:rPr>
                    <w:rFonts w:ascii="Arial" w:cs="Arial" w:eastAsia="Arial" w:hAnsi="Arial"/>
                  </w:rPr>
                </w:pPr>
                <w:r w:rsidDel="00000000" w:rsidR="00000000" w:rsidRPr="00000000">
                  <w:rPr>
                    <w:rFonts w:ascii="Arial" w:cs="Arial" w:eastAsia="Arial" w:hAnsi="Arial"/>
                    <w:rtl w:val="0"/>
                  </w:rPr>
                  <w:t xml:space="preserve">18 pontos: 90,5%</w:t>
                </w:r>
              </w:p>
              <w:p w:rsidR="00000000" w:rsidDel="00000000" w:rsidP="00000000" w:rsidRDefault="00000000" w:rsidRPr="00000000" w14:paraId="0000004E">
                <w:pPr>
                  <w:widowControl w:val="0"/>
                  <w:ind w:firstLine="0"/>
                  <w:rPr>
                    <w:rFonts w:ascii="Arial" w:cs="Arial" w:eastAsia="Arial" w:hAnsi="Arial"/>
                  </w:rPr>
                </w:pPr>
                <w:r w:rsidDel="00000000" w:rsidR="00000000" w:rsidRPr="00000000">
                  <w:rPr>
                    <w:rFonts w:ascii="Arial" w:cs="Arial" w:eastAsia="Arial" w:hAnsi="Arial"/>
                    <w:rtl w:val="0"/>
                  </w:rPr>
                  <w:t xml:space="preserve">20 pontos: 94,4%</w:t>
                </w:r>
              </w:p>
              <w:p w:rsidR="00000000" w:rsidDel="00000000" w:rsidP="00000000" w:rsidRDefault="00000000" w:rsidRPr="00000000" w14:paraId="0000004F">
                <w:pPr>
                  <w:widowControl w:val="0"/>
                  <w:ind w:firstLine="0"/>
                  <w:rPr>
                    <w:rFonts w:ascii="Arial" w:cs="Arial" w:eastAsia="Arial" w:hAnsi="Arial"/>
                  </w:rPr>
                </w:pPr>
                <w:r w:rsidDel="00000000" w:rsidR="00000000" w:rsidRPr="00000000">
                  <w:rPr>
                    <w:rFonts w:ascii="Arial" w:cs="Arial" w:eastAsia="Arial" w:hAnsi="Arial"/>
                    <w:rtl w:val="0"/>
                  </w:rPr>
                  <w:t xml:space="preserve">25 pontos: 98,6%</w:t>
                </w:r>
              </w:p>
              <w:p w:rsidR="00000000" w:rsidDel="00000000" w:rsidP="00000000" w:rsidRDefault="00000000" w:rsidRPr="00000000" w14:paraId="0000005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r>
        </w:tbl>
      </w:sdtContent>
    </w:sdt>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708"/>
        <w:jc w:val="both"/>
        <w:rPr>
          <w:rFonts w:ascii="Arial" w:cs="Arial" w:eastAsia="Arial" w:hAnsi="Arial"/>
        </w:rPr>
      </w:pPr>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Arial" w:cs="Arial" w:eastAsia="Arial" w:hAnsi="Arial"/>
          <w:b w:val="1"/>
        </w:rPr>
      </w:pPr>
      <w:r w:rsidDel="00000000" w:rsidR="00000000" w:rsidRPr="00000000">
        <w:rPr>
          <w:rFonts w:ascii="Arial" w:cs="Arial" w:eastAsia="Arial" w:hAnsi="Arial"/>
          <w:b w:val="1"/>
          <w:rtl w:val="0"/>
        </w:rPr>
        <w:t xml:space="preserve">Objetivo</w:t>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720"/>
        <w:jc w:val="both"/>
        <w:rPr>
          <w:rFonts w:ascii="Arial" w:cs="Arial" w:eastAsia="Arial" w:hAnsi="Arial"/>
        </w:rPr>
      </w:pPr>
      <w:r w:rsidDel="00000000" w:rsidR="00000000" w:rsidRPr="00000000">
        <w:rPr>
          <w:rFonts w:ascii="Arial" w:cs="Arial" w:eastAsia="Arial" w:hAnsi="Arial"/>
          <w:rtl w:val="0"/>
        </w:rPr>
        <w:t xml:space="preserve">O objetivo primário deste estudo é realizar a validação do escore clínico elaborado no estudo supracitado em uma nova população. </w:t>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hanging="2"/>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Relevância do Projeto</w:t>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hanging="2"/>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ab/>
      </w:r>
      <w:r w:rsidDel="00000000" w:rsidR="00000000" w:rsidRPr="00000000">
        <w:rPr>
          <w:rFonts w:ascii="Arial" w:cs="Arial" w:eastAsia="Arial" w:hAnsi="Arial"/>
          <w:rtl w:val="0"/>
        </w:rPr>
        <w:t xml:space="preserve">Até o presente momento, não existe uma ferramenta clínica que indique o momento seguro para a interrupção de hemodiálise nos pacientes com IRA. O escore clínico pode se tornar uma ferramenta para predizer o sucesso de descontinuação de hemodiálise de forma racional e guiar a retirada de cateteres de hemodiálise no momento correto, evitando complicações infecciosas e trombóticas associadas ao uso prolongado destes dispositivos, e até mesmo reduzir dias de internação hospitalar nos pacientes que estiverem aguardando estabilidade de função renal para receberem alta.</w:t>
      </w:r>
      <w:r w:rsidDel="00000000" w:rsidR="00000000" w:rsidRPr="00000000">
        <w:rPr>
          <w:rtl w:val="0"/>
        </w:rPr>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Arial" w:cs="Arial" w:eastAsia="Arial" w:hAnsi="Arial"/>
          <w:b w:val="1"/>
        </w:rPr>
      </w:pPr>
      <w:r w:rsidDel="00000000" w:rsidR="00000000" w:rsidRPr="00000000">
        <w:rPr>
          <w:rtl w:val="0"/>
        </w:rPr>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Arial" w:cs="Arial" w:eastAsia="Arial" w:hAnsi="Arial"/>
          <w:b w:val="1"/>
        </w:rPr>
      </w:pPr>
      <w:r w:rsidDel="00000000" w:rsidR="00000000" w:rsidRPr="00000000">
        <w:rPr>
          <w:rtl w:val="0"/>
        </w:rPr>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Arial" w:cs="Arial" w:eastAsia="Arial" w:hAnsi="Arial"/>
          <w:b w:val="1"/>
        </w:rPr>
      </w:pPr>
      <w:r w:rsidDel="00000000" w:rsidR="00000000" w:rsidRPr="00000000">
        <w:rPr>
          <w:rtl w:val="0"/>
        </w:rPr>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Arial" w:cs="Arial" w:eastAsia="Arial" w:hAnsi="Arial"/>
          <w:b w:val="1"/>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MÉTODOS</w:t>
      </w:r>
      <w:r w:rsidDel="00000000" w:rsidR="00000000" w:rsidRPr="00000000">
        <w:rPr>
          <w:rtl w:val="0"/>
        </w:rPr>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Arial" w:cs="Arial" w:eastAsia="Arial" w:hAnsi="Arial"/>
          <w:b w:val="1"/>
        </w:rPr>
      </w:pPr>
      <w:r w:rsidDel="00000000" w:rsidR="00000000" w:rsidRPr="00000000">
        <w:rPr>
          <w:rtl w:val="0"/>
        </w:rPr>
      </w:r>
    </w:p>
    <w:p w:rsidR="00000000" w:rsidDel="00000000" w:rsidP="00000000" w:rsidRDefault="00000000" w:rsidRPr="00000000" w14:paraId="0000005C">
      <w:pPr>
        <w:spacing w:line="480" w:lineRule="auto"/>
        <w:ind w:firstLine="0"/>
        <w:jc w:val="both"/>
        <w:rPr>
          <w:rFonts w:ascii="Arial" w:cs="Arial" w:eastAsia="Arial" w:hAnsi="Arial"/>
          <w:b w:val="1"/>
        </w:rPr>
      </w:pPr>
      <w:r w:rsidDel="00000000" w:rsidR="00000000" w:rsidRPr="00000000">
        <w:rPr>
          <w:rFonts w:ascii="Arial" w:cs="Arial" w:eastAsia="Arial" w:hAnsi="Arial"/>
          <w:b w:val="1"/>
          <w:rtl w:val="0"/>
        </w:rPr>
        <w:t xml:space="preserve">Desenho do estudo</w:t>
      </w:r>
    </w:p>
    <w:p w:rsidR="00000000" w:rsidDel="00000000" w:rsidP="00000000" w:rsidRDefault="00000000" w:rsidRPr="00000000" w14:paraId="0000005D">
      <w:pPr>
        <w:spacing w:line="480" w:lineRule="auto"/>
        <w:ind w:firstLine="0"/>
        <w:jc w:val="both"/>
        <w:rPr>
          <w:rFonts w:ascii="Arial" w:cs="Arial" w:eastAsia="Arial" w:hAnsi="Arial"/>
        </w:rPr>
      </w:pPr>
      <w:r w:rsidDel="00000000" w:rsidR="00000000" w:rsidRPr="00000000">
        <w:rPr>
          <w:rFonts w:ascii="Arial" w:cs="Arial" w:eastAsia="Arial" w:hAnsi="Arial"/>
          <w:rtl w:val="0"/>
        </w:rPr>
        <w:tab/>
        <w:t xml:space="preserve">O estudo será observacional, retrospectivo e unicentro. </w:t>
      </w:r>
    </w:p>
    <w:p w:rsidR="00000000" w:rsidDel="00000000" w:rsidP="00000000" w:rsidRDefault="00000000" w:rsidRPr="00000000" w14:paraId="0000005E">
      <w:pPr>
        <w:spacing w:line="480" w:lineRule="auto"/>
        <w:ind w:firstLine="720"/>
        <w:jc w:val="both"/>
        <w:rPr>
          <w:rFonts w:ascii="Arial" w:cs="Arial" w:eastAsia="Arial" w:hAnsi="Arial"/>
        </w:rPr>
      </w:pPr>
      <w:r w:rsidDel="00000000" w:rsidR="00000000" w:rsidRPr="00000000">
        <w:rPr>
          <w:rFonts w:ascii="Arial" w:cs="Arial" w:eastAsia="Arial" w:hAnsi="Arial"/>
          <w:rtl w:val="0"/>
        </w:rPr>
        <w:t xml:space="preserve">Serão incluídos pacientes internados no Hospital 9 de Julho - REDE DASA durante o período de 01 Janeiro de 2023 até 31 de Dezembro de 2023, maiores de 18 anos, portadores de IRA com necessidade de TRS. </w:t>
      </w:r>
    </w:p>
    <w:p w:rsidR="00000000" w:rsidDel="00000000" w:rsidP="00000000" w:rsidRDefault="00000000" w:rsidRPr="00000000" w14:paraId="0000005F">
      <w:pPr>
        <w:spacing w:line="480" w:lineRule="auto"/>
        <w:ind w:firstLine="720"/>
        <w:jc w:val="both"/>
        <w:rPr>
          <w:rFonts w:ascii="Arial" w:cs="Arial" w:eastAsia="Arial" w:hAnsi="Arial"/>
        </w:rPr>
      </w:pPr>
      <w:r w:rsidDel="00000000" w:rsidR="00000000" w:rsidRPr="00000000">
        <w:rPr>
          <w:rFonts w:ascii="Arial" w:cs="Arial" w:eastAsia="Arial" w:hAnsi="Arial"/>
          <w:rtl w:val="0"/>
        </w:rPr>
        <w:t xml:space="preserve">Critérios de exclusão serão: pacientes menores de 18 anos, grávidas, transplantados renais e pacientes que tiverem a TRS suspensa por instabilidade hemodinâmica, óbito ou decisão de cuidados paliativos.</w:t>
      </w:r>
    </w:p>
    <w:p w:rsidR="00000000" w:rsidDel="00000000" w:rsidP="00000000" w:rsidRDefault="00000000" w:rsidRPr="00000000" w14:paraId="00000060">
      <w:pPr>
        <w:spacing w:line="480" w:lineRule="auto"/>
        <w:ind w:firstLine="720"/>
        <w:jc w:val="both"/>
        <w:rPr>
          <w:rFonts w:ascii="Arial" w:cs="Arial" w:eastAsia="Arial" w:hAnsi="Arial"/>
        </w:rPr>
      </w:pPr>
      <w:r w:rsidDel="00000000" w:rsidR="00000000" w:rsidRPr="00000000">
        <w:rPr>
          <w:rFonts w:ascii="Arial" w:cs="Arial" w:eastAsia="Arial" w:hAnsi="Arial"/>
          <w:rtl w:val="0"/>
        </w:rPr>
        <w:t xml:space="preserve">Os critérios de início de TRS, escolha da modalidade (intermitente ou contínua) e momento de interrupção foram de responsabilidade da equipe assistente. Não sofrendo nenhuma interferência do pesquisador.</w:t>
      </w:r>
    </w:p>
    <w:p w:rsidR="00000000" w:rsidDel="00000000" w:rsidP="00000000" w:rsidRDefault="00000000" w:rsidRPr="00000000" w14:paraId="00000061">
      <w:pPr>
        <w:spacing w:line="480" w:lineRule="auto"/>
        <w:ind w:firstLine="720"/>
        <w:jc w:val="both"/>
        <w:rPr>
          <w:rFonts w:ascii="Arial" w:cs="Arial" w:eastAsia="Arial" w:hAnsi="Arial"/>
        </w:rPr>
      </w:pPr>
      <w:r w:rsidDel="00000000" w:rsidR="00000000" w:rsidRPr="00000000">
        <w:rPr>
          <w:rFonts w:ascii="Arial" w:cs="Arial" w:eastAsia="Arial" w:hAnsi="Arial"/>
          <w:rtl w:val="0"/>
        </w:rPr>
        <w:t xml:space="preserve">Pacientes que permaneceram 48 horas consecutivas sem receber TRS serão incluídos no projeto. O sucesso na descontinuação de TRS será definido por paciente vivo e livre de TRS por pelo menos 7 dias após a última sessão.</w:t>
      </w:r>
    </w:p>
    <w:p w:rsidR="00000000" w:rsidDel="00000000" w:rsidP="00000000" w:rsidRDefault="00000000" w:rsidRPr="00000000" w14:paraId="00000062">
      <w:pPr>
        <w:spacing w:line="480" w:lineRule="auto"/>
        <w:ind w:firstLine="720"/>
        <w:jc w:val="both"/>
        <w:rPr>
          <w:rFonts w:ascii="Arial" w:cs="Arial" w:eastAsia="Arial" w:hAnsi="Arial"/>
        </w:rPr>
      </w:pPr>
      <w:r w:rsidDel="00000000" w:rsidR="00000000" w:rsidRPr="00000000">
        <w:rPr>
          <w:rFonts w:ascii="Arial" w:cs="Arial" w:eastAsia="Arial" w:hAnsi="Arial"/>
          <w:rtl w:val="0"/>
        </w:rPr>
        <w:t xml:space="preserve">Os pacientes então serão divididos em dois grupos, de acordo com a descontinuação da TRS: sucesso e falha. ( Figura 2)</w:t>
      </w:r>
    </w:p>
    <w:p w:rsidR="00000000" w:rsidDel="00000000" w:rsidP="00000000" w:rsidRDefault="00000000" w:rsidRPr="00000000" w14:paraId="00000063">
      <w:pPr>
        <w:spacing w:line="480" w:lineRule="auto"/>
        <w:ind w:left="0" w:firstLine="720"/>
        <w:jc w:val="both"/>
        <w:rPr>
          <w:rFonts w:ascii="Arial" w:cs="Arial" w:eastAsia="Arial" w:hAnsi="Arial"/>
        </w:rPr>
      </w:pPr>
      <w:r w:rsidDel="00000000" w:rsidR="00000000" w:rsidRPr="00000000">
        <w:rPr>
          <w:rFonts w:ascii="Arial" w:cs="Arial" w:eastAsia="Arial" w:hAnsi="Arial"/>
          <w:rtl w:val="0"/>
        </w:rPr>
        <w:t xml:space="preserve">Suas variáveis clínicas serão comparadas no início do tratamento dialítico e 48h após a interrupção da TRS. (Tabela 1 e Tabela 2)</w:t>
      </w:r>
    </w:p>
    <w:p w:rsidR="00000000" w:rsidDel="00000000" w:rsidP="00000000" w:rsidRDefault="00000000" w:rsidRPr="00000000" w14:paraId="00000064">
      <w:pPr>
        <w:spacing w:line="480" w:lineRule="auto"/>
        <w:ind w:left="0" w:firstLine="720"/>
        <w:jc w:val="both"/>
        <w:rPr>
          <w:rFonts w:ascii="Arial" w:cs="Arial" w:eastAsia="Arial" w:hAnsi="Arial"/>
        </w:rPr>
      </w:pPr>
      <w:r w:rsidDel="00000000" w:rsidR="00000000" w:rsidRPr="00000000">
        <w:rPr>
          <w:rFonts w:ascii="Arial" w:cs="Arial" w:eastAsia="Arial" w:hAnsi="Arial"/>
          <w:rtl w:val="0"/>
        </w:rPr>
        <w:t xml:space="preserve">Após a coleta de dados, a pontuação de cada paciente no escore clínico a ser validado será calculada e a capacidade de predição do escore será avaliada.</w:t>
      </w:r>
    </w:p>
    <w:p w:rsidR="00000000" w:rsidDel="00000000" w:rsidP="00000000" w:rsidRDefault="00000000" w:rsidRPr="00000000" w14:paraId="00000065">
      <w:pPr>
        <w:spacing w:line="480" w:lineRule="auto"/>
        <w:ind w:left="0" w:firstLine="720"/>
        <w:jc w:val="both"/>
        <w:rPr>
          <w:rFonts w:ascii="Arial" w:cs="Arial" w:eastAsia="Arial" w:hAnsi="Arial"/>
        </w:rPr>
      </w:pPr>
      <w:r w:rsidDel="00000000" w:rsidR="00000000" w:rsidRPr="00000000">
        <w:rPr>
          <w:rtl w:val="0"/>
        </w:rPr>
      </w:r>
    </w:p>
    <w:p w:rsidR="00000000" w:rsidDel="00000000" w:rsidP="00000000" w:rsidRDefault="00000000" w:rsidRPr="00000000" w14:paraId="00000066">
      <w:pPr>
        <w:spacing w:line="480" w:lineRule="auto"/>
        <w:ind w:left="0" w:firstLine="720"/>
        <w:jc w:val="both"/>
        <w:rPr>
          <w:rFonts w:ascii="Arial" w:cs="Arial" w:eastAsia="Arial" w:hAnsi="Arial"/>
        </w:rPr>
      </w:pPr>
      <w:r w:rsidDel="00000000" w:rsidR="00000000" w:rsidRPr="00000000">
        <w:rPr>
          <w:rtl w:val="0"/>
        </w:rPr>
      </w:r>
    </w:p>
    <w:p w:rsidR="00000000" w:rsidDel="00000000" w:rsidP="00000000" w:rsidRDefault="00000000" w:rsidRPr="00000000" w14:paraId="00000067">
      <w:pPr>
        <w:spacing w:line="480" w:lineRule="auto"/>
        <w:ind w:left="0" w:firstLine="720"/>
        <w:jc w:val="both"/>
        <w:rPr>
          <w:rFonts w:ascii="Arial" w:cs="Arial" w:eastAsia="Arial" w:hAnsi="Arial"/>
        </w:rPr>
      </w:pPr>
      <w:r w:rsidDel="00000000" w:rsidR="00000000" w:rsidRPr="00000000">
        <w:rPr>
          <w:rtl w:val="0"/>
        </w:rPr>
      </w:r>
    </w:p>
    <w:p w:rsidR="00000000" w:rsidDel="00000000" w:rsidP="00000000" w:rsidRDefault="00000000" w:rsidRPr="00000000" w14:paraId="00000068">
      <w:pPr>
        <w:spacing w:line="480" w:lineRule="auto"/>
        <w:ind w:left="0" w:firstLine="720"/>
        <w:jc w:val="both"/>
        <w:rPr>
          <w:rFonts w:ascii="Arial" w:cs="Arial" w:eastAsia="Arial" w:hAnsi="Arial"/>
        </w:rPr>
      </w:pPr>
      <w:r w:rsidDel="00000000" w:rsidR="00000000" w:rsidRPr="00000000">
        <w:rPr>
          <w:rFonts w:ascii="Arial" w:cs="Arial" w:eastAsia="Arial" w:hAnsi="Arial"/>
        </w:rPr>
        <w:drawing>
          <wp:inline distB="114300" distT="114300" distL="114300" distR="114300">
            <wp:extent cx="5343525" cy="5000625"/>
            <wp:effectExtent b="0" l="0" r="0" t="0"/>
            <wp:docPr id="1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5343525" cy="5000625"/>
                    </a:xfrm>
                    <a:prstGeom prst="rect"/>
                    <a:ln/>
                  </pic:spPr>
                </pic:pic>
              </a:graphicData>
            </a:graphic>
          </wp:inline>
        </w:drawing>
      </w:r>
      <w:r w:rsidDel="00000000" w:rsidR="00000000" w:rsidRPr="00000000">
        <w:rPr>
          <w:rtl w:val="0"/>
        </w:rPr>
      </w:r>
    </w:p>
    <w:p w:rsidR="00000000" w:rsidDel="00000000" w:rsidP="00000000" w:rsidRDefault="00000000" w:rsidRPr="00000000" w14:paraId="00000069">
      <w:pPr>
        <w:spacing w:line="480" w:lineRule="auto"/>
        <w:ind w:left="0" w:firstLine="720"/>
        <w:jc w:val="both"/>
        <w:rPr>
          <w:rFonts w:ascii="Arial" w:cs="Arial" w:eastAsia="Arial" w:hAnsi="Arial"/>
        </w:rPr>
      </w:pPr>
      <w:r w:rsidDel="00000000" w:rsidR="00000000" w:rsidRPr="00000000">
        <w:rPr>
          <w:rFonts w:ascii="Arial" w:cs="Arial" w:eastAsia="Arial" w:hAnsi="Arial"/>
          <w:rtl w:val="0"/>
        </w:rPr>
        <w:t xml:space="preserve">Figura 2. Fluxograma de seleção de pacientes e divisao dos grupos.</w:t>
      </w:r>
    </w:p>
    <w:p w:rsidR="00000000" w:rsidDel="00000000" w:rsidP="00000000" w:rsidRDefault="00000000" w:rsidRPr="00000000" w14:paraId="0000006A">
      <w:pPr>
        <w:spacing w:line="480" w:lineRule="auto"/>
        <w:ind w:left="0" w:firstLine="720"/>
        <w:jc w:val="both"/>
        <w:rPr>
          <w:rFonts w:ascii="Arial" w:cs="Arial" w:eastAsia="Arial" w:hAnsi="Arial"/>
        </w:rPr>
      </w:pPr>
      <w:r w:rsidDel="00000000" w:rsidR="00000000" w:rsidRPr="00000000">
        <w:rPr>
          <w:rtl w:val="0"/>
        </w:rPr>
      </w:r>
    </w:p>
    <w:p w:rsidR="00000000" w:rsidDel="00000000" w:rsidP="00000000" w:rsidRDefault="00000000" w:rsidRPr="00000000" w14:paraId="0000006B">
      <w:pPr>
        <w:spacing w:line="480" w:lineRule="auto"/>
        <w:ind w:left="0" w:firstLine="720"/>
        <w:jc w:val="both"/>
        <w:rPr>
          <w:rFonts w:ascii="Arial" w:cs="Arial" w:eastAsia="Arial" w:hAnsi="Arial"/>
        </w:rPr>
      </w:pPr>
      <w:r w:rsidDel="00000000" w:rsidR="00000000" w:rsidRPr="00000000">
        <w:rPr>
          <w:rtl w:val="0"/>
        </w:rPr>
      </w:r>
    </w:p>
    <w:p w:rsidR="00000000" w:rsidDel="00000000" w:rsidP="00000000" w:rsidRDefault="00000000" w:rsidRPr="00000000" w14:paraId="0000006C">
      <w:pPr>
        <w:spacing w:line="480" w:lineRule="auto"/>
        <w:ind w:left="0" w:firstLine="720"/>
        <w:jc w:val="both"/>
        <w:rPr>
          <w:rFonts w:ascii="Arial" w:cs="Arial" w:eastAsia="Arial" w:hAnsi="Arial"/>
        </w:rPr>
      </w:pPr>
      <w:r w:rsidDel="00000000" w:rsidR="00000000" w:rsidRPr="00000000">
        <w:rPr>
          <w:rtl w:val="0"/>
        </w:rPr>
      </w:r>
    </w:p>
    <w:p w:rsidR="00000000" w:rsidDel="00000000" w:rsidP="00000000" w:rsidRDefault="00000000" w:rsidRPr="00000000" w14:paraId="0000006D">
      <w:pPr>
        <w:spacing w:line="480" w:lineRule="auto"/>
        <w:ind w:left="0" w:firstLine="720"/>
        <w:jc w:val="both"/>
        <w:rPr>
          <w:rFonts w:ascii="Arial" w:cs="Arial" w:eastAsia="Arial" w:hAnsi="Arial"/>
        </w:rPr>
      </w:pPr>
      <w:r w:rsidDel="00000000" w:rsidR="00000000" w:rsidRPr="00000000">
        <w:rPr>
          <w:rtl w:val="0"/>
        </w:rPr>
      </w:r>
    </w:p>
    <w:p w:rsidR="00000000" w:rsidDel="00000000" w:rsidP="00000000" w:rsidRDefault="00000000" w:rsidRPr="00000000" w14:paraId="0000006E">
      <w:pPr>
        <w:spacing w:line="480" w:lineRule="auto"/>
        <w:ind w:left="0" w:firstLine="720"/>
        <w:jc w:val="both"/>
        <w:rPr>
          <w:rFonts w:ascii="Arial" w:cs="Arial" w:eastAsia="Arial" w:hAnsi="Arial"/>
        </w:rPr>
      </w:pPr>
      <w:r w:rsidDel="00000000" w:rsidR="00000000" w:rsidRPr="00000000">
        <w:rPr>
          <w:rtl w:val="0"/>
        </w:rPr>
      </w:r>
    </w:p>
    <w:p w:rsidR="00000000" w:rsidDel="00000000" w:rsidP="00000000" w:rsidRDefault="00000000" w:rsidRPr="00000000" w14:paraId="0000006F">
      <w:pPr>
        <w:spacing w:line="480" w:lineRule="auto"/>
        <w:ind w:left="0" w:firstLine="720"/>
        <w:jc w:val="both"/>
        <w:rPr>
          <w:rFonts w:ascii="Arial" w:cs="Arial" w:eastAsia="Arial" w:hAnsi="Arial"/>
        </w:rPr>
      </w:pPr>
      <w:r w:rsidDel="00000000" w:rsidR="00000000" w:rsidRPr="00000000">
        <w:rPr>
          <w:rtl w:val="0"/>
        </w:rPr>
      </w:r>
    </w:p>
    <w:p w:rsidR="00000000" w:rsidDel="00000000" w:rsidP="00000000" w:rsidRDefault="00000000" w:rsidRPr="00000000" w14:paraId="00000070">
      <w:pPr>
        <w:spacing w:line="480" w:lineRule="auto"/>
        <w:ind w:left="0" w:firstLine="720"/>
        <w:jc w:val="both"/>
        <w:rPr>
          <w:rFonts w:ascii="Arial" w:cs="Arial" w:eastAsia="Arial" w:hAnsi="Arial"/>
        </w:rPr>
      </w:pPr>
      <w:r w:rsidDel="00000000" w:rsidR="00000000" w:rsidRPr="00000000">
        <w:rPr>
          <w:rtl w:val="0"/>
        </w:rPr>
      </w:r>
    </w:p>
    <w:p w:rsidR="00000000" w:rsidDel="00000000" w:rsidP="00000000" w:rsidRDefault="00000000" w:rsidRPr="00000000" w14:paraId="00000071">
      <w:pPr>
        <w:spacing w:line="480" w:lineRule="auto"/>
        <w:ind w:left="0" w:firstLine="720"/>
        <w:jc w:val="both"/>
        <w:rPr>
          <w:rFonts w:ascii="Arial" w:cs="Arial" w:eastAsia="Arial" w:hAnsi="Arial"/>
        </w:rPr>
      </w:pPr>
      <w:r w:rsidDel="00000000" w:rsidR="00000000" w:rsidRPr="00000000">
        <w:rPr>
          <w:rtl w:val="0"/>
        </w:rPr>
      </w:r>
    </w:p>
    <w:p w:rsidR="00000000" w:rsidDel="00000000" w:rsidP="00000000" w:rsidRDefault="00000000" w:rsidRPr="00000000" w14:paraId="00000072">
      <w:pPr>
        <w:spacing w:line="480" w:lineRule="auto"/>
        <w:ind w:left="0" w:firstLine="720"/>
        <w:jc w:val="both"/>
        <w:rPr>
          <w:rFonts w:ascii="Arial" w:cs="Arial" w:eastAsia="Arial" w:hAnsi="Arial"/>
        </w:rPr>
      </w:pPr>
      <w:r w:rsidDel="00000000" w:rsidR="00000000" w:rsidRPr="00000000">
        <w:rPr>
          <w:rtl w:val="0"/>
        </w:rPr>
      </w:r>
    </w:p>
    <w:p w:rsidR="00000000" w:rsidDel="00000000" w:rsidP="00000000" w:rsidRDefault="00000000" w:rsidRPr="00000000" w14:paraId="00000073">
      <w:pPr>
        <w:spacing w:line="480" w:lineRule="auto"/>
        <w:ind w:left="0" w:firstLine="720"/>
        <w:jc w:val="both"/>
        <w:rPr>
          <w:rFonts w:ascii="Arial" w:cs="Arial" w:eastAsia="Arial" w:hAnsi="Arial"/>
        </w:rPr>
      </w:pPr>
      <w:r w:rsidDel="00000000" w:rsidR="00000000" w:rsidRPr="00000000">
        <w:rPr>
          <w:rFonts w:ascii="Arial" w:cs="Arial" w:eastAsia="Arial" w:hAnsi="Arial"/>
        </w:rPr>
        <w:drawing>
          <wp:inline distB="114300" distT="114300" distL="114300" distR="114300">
            <wp:extent cx="4800600" cy="4114800"/>
            <wp:effectExtent b="0" l="0" r="0" t="0"/>
            <wp:docPr id="13" name="image3.png"/>
            <a:graphic>
              <a:graphicData uri="http://schemas.openxmlformats.org/drawingml/2006/picture">
                <pic:pic>
                  <pic:nvPicPr>
                    <pic:cNvPr id="0" name="image3.png"/>
                    <pic:cNvPicPr preferRelativeResize="0"/>
                  </pic:nvPicPr>
                  <pic:blipFill>
                    <a:blip r:embed="rId8"/>
                    <a:srcRect b="0" l="0" r="0" t="0"/>
                    <a:stretch>
                      <a:fillRect/>
                    </a:stretch>
                  </pic:blipFill>
                  <pic:spPr>
                    <a:xfrm>
                      <a:off x="0" y="0"/>
                      <a:ext cx="4800600" cy="4114800"/>
                    </a:xfrm>
                    <a:prstGeom prst="rect"/>
                    <a:ln/>
                  </pic:spPr>
                </pic:pic>
              </a:graphicData>
            </a:graphic>
          </wp:inline>
        </w:drawing>
      </w:r>
      <w:r w:rsidDel="00000000" w:rsidR="00000000" w:rsidRPr="00000000">
        <w:rPr>
          <w:rtl w:val="0"/>
        </w:rPr>
      </w:r>
    </w:p>
    <w:p w:rsidR="00000000" w:rsidDel="00000000" w:rsidP="00000000" w:rsidRDefault="00000000" w:rsidRPr="00000000" w14:paraId="00000074">
      <w:pPr>
        <w:spacing w:line="480" w:lineRule="auto"/>
        <w:ind w:left="0" w:firstLine="720"/>
        <w:jc w:val="both"/>
        <w:rPr>
          <w:rFonts w:ascii="Arial" w:cs="Arial" w:eastAsia="Arial" w:hAnsi="Arial"/>
        </w:rPr>
      </w:pPr>
      <w:r w:rsidDel="00000000" w:rsidR="00000000" w:rsidRPr="00000000">
        <w:rPr>
          <w:rFonts w:ascii="Arial" w:cs="Arial" w:eastAsia="Arial" w:hAnsi="Arial"/>
          <w:rtl w:val="0"/>
        </w:rPr>
        <w:t xml:space="preserve">Tabela 1. Caracteristicas iniciais dos pacientes recrutados.</w:t>
      </w:r>
    </w:p>
    <w:p w:rsidR="00000000" w:rsidDel="00000000" w:rsidP="00000000" w:rsidRDefault="00000000" w:rsidRPr="00000000" w14:paraId="00000075">
      <w:pPr>
        <w:spacing w:line="480" w:lineRule="auto"/>
        <w:ind w:left="0" w:firstLine="720"/>
        <w:jc w:val="both"/>
        <w:rPr>
          <w:rFonts w:ascii="Arial" w:cs="Arial" w:eastAsia="Arial" w:hAnsi="Arial"/>
        </w:rPr>
      </w:pPr>
      <w:r w:rsidDel="00000000" w:rsidR="00000000" w:rsidRPr="00000000">
        <w:rPr>
          <w:rtl w:val="0"/>
        </w:rPr>
      </w:r>
    </w:p>
    <w:p w:rsidR="00000000" w:rsidDel="00000000" w:rsidP="00000000" w:rsidRDefault="00000000" w:rsidRPr="00000000" w14:paraId="00000076">
      <w:pPr>
        <w:spacing w:line="480" w:lineRule="auto"/>
        <w:ind w:left="0" w:firstLine="720"/>
        <w:jc w:val="both"/>
        <w:rPr>
          <w:rFonts w:ascii="Arial" w:cs="Arial" w:eastAsia="Arial" w:hAnsi="Arial"/>
        </w:rPr>
      </w:pPr>
      <w:r w:rsidDel="00000000" w:rsidR="00000000" w:rsidRPr="00000000">
        <w:rPr>
          <w:rtl w:val="0"/>
        </w:rPr>
      </w:r>
    </w:p>
    <w:p w:rsidR="00000000" w:rsidDel="00000000" w:rsidP="00000000" w:rsidRDefault="00000000" w:rsidRPr="00000000" w14:paraId="00000077">
      <w:pPr>
        <w:spacing w:line="480" w:lineRule="auto"/>
        <w:ind w:left="0" w:firstLine="720"/>
        <w:jc w:val="both"/>
        <w:rPr>
          <w:rFonts w:ascii="Arial" w:cs="Arial" w:eastAsia="Arial" w:hAnsi="Arial"/>
        </w:rPr>
      </w:pPr>
      <w:r w:rsidDel="00000000" w:rsidR="00000000" w:rsidRPr="00000000">
        <w:rPr>
          <w:rFonts w:ascii="Arial" w:cs="Arial" w:eastAsia="Arial" w:hAnsi="Arial"/>
        </w:rPr>
        <w:drawing>
          <wp:inline distB="114300" distT="114300" distL="114300" distR="114300">
            <wp:extent cx="5399730" cy="5156200"/>
            <wp:effectExtent b="0" l="0" r="0" t="0"/>
            <wp:docPr id="12" name="image2.png"/>
            <a:graphic>
              <a:graphicData uri="http://schemas.openxmlformats.org/drawingml/2006/picture">
                <pic:pic>
                  <pic:nvPicPr>
                    <pic:cNvPr id="0" name="image2.png"/>
                    <pic:cNvPicPr preferRelativeResize="0"/>
                  </pic:nvPicPr>
                  <pic:blipFill>
                    <a:blip r:embed="rId9"/>
                    <a:srcRect b="0" l="0" r="0" t="0"/>
                    <a:stretch>
                      <a:fillRect/>
                    </a:stretch>
                  </pic:blipFill>
                  <pic:spPr>
                    <a:xfrm>
                      <a:off x="0" y="0"/>
                      <a:ext cx="5399730" cy="5156200"/>
                    </a:xfrm>
                    <a:prstGeom prst="rect"/>
                    <a:ln/>
                  </pic:spPr>
                </pic:pic>
              </a:graphicData>
            </a:graphic>
          </wp:inline>
        </w:drawing>
      </w:r>
      <w:r w:rsidDel="00000000" w:rsidR="00000000" w:rsidRPr="00000000">
        <w:rPr>
          <w:rtl w:val="0"/>
        </w:rPr>
      </w:r>
    </w:p>
    <w:p w:rsidR="00000000" w:rsidDel="00000000" w:rsidP="00000000" w:rsidRDefault="00000000" w:rsidRPr="00000000" w14:paraId="00000078">
      <w:pPr>
        <w:spacing w:line="480" w:lineRule="auto"/>
        <w:ind w:firstLine="720"/>
        <w:jc w:val="both"/>
        <w:rPr>
          <w:rFonts w:ascii="Arial" w:cs="Arial" w:eastAsia="Arial" w:hAnsi="Arial"/>
        </w:rPr>
      </w:pPr>
      <w:r w:rsidDel="00000000" w:rsidR="00000000" w:rsidRPr="00000000">
        <w:rPr>
          <w:rFonts w:ascii="Arial" w:cs="Arial" w:eastAsia="Arial" w:hAnsi="Arial"/>
          <w:rtl w:val="0"/>
        </w:rPr>
        <w:t xml:space="preserve">Tabela 2. Caracteristicas dos pacientes no momento e após interrupção da TRS.</w:t>
      </w:r>
    </w:p>
    <w:p w:rsidR="00000000" w:rsidDel="00000000" w:rsidP="00000000" w:rsidRDefault="00000000" w:rsidRPr="00000000" w14:paraId="00000079">
      <w:pPr>
        <w:spacing w:line="480" w:lineRule="auto"/>
        <w:ind w:firstLine="720"/>
        <w:jc w:val="both"/>
        <w:rPr>
          <w:rFonts w:ascii="Arial" w:cs="Arial" w:eastAsia="Arial" w:hAnsi="Arial"/>
          <w:i w:val="1"/>
        </w:rPr>
      </w:pPr>
      <w:r w:rsidDel="00000000" w:rsidR="00000000" w:rsidRPr="00000000">
        <w:rPr>
          <w:rFonts w:ascii="Arial" w:cs="Arial" w:eastAsia="Arial" w:hAnsi="Arial"/>
          <w:rtl w:val="0"/>
        </w:rPr>
        <w:t xml:space="preserve">Legenda: HDI:  hemodiálise intermitente; SLED: </w:t>
      </w:r>
      <w:r w:rsidDel="00000000" w:rsidR="00000000" w:rsidRPr="00000000">
        <w:rPr>
          <w:rFonts w:ascii="Arial" w:cs="Arial" w:eastAsia="Arial" w:hAnsi="Arial"/>
          <w:i w:val="1"/>
          <w:rtl w:val="0"/>
        </w:rPr>
        <w:t xml:space="preserve">sustained low efficiency  dialysis</w:t>
      </w:r>
      <w:r w:rsidDel="00000000" w:rsidR="00000000" w:rsidRPr="00000000">
        <w:rPr>
          <w:rFonts w:ascii="Arial" w:cs="Arial" w:eastAsia="Arial" w:hAnsi="Arial"/>
          <w:rtl w:val="0"/>
        </w:rPr>
        <w:t xml:space="preserve">; CVVHDF: </w:t>
      </w:r>
      <w:r w:rsidDel="00000000" w:rsidR="00000000" w:rsidRPr="00000000">
        <w:rPr>
          <w:rFonts w:ascii="Arial" w:cs="Arial" w:eastAsia="Arial" w:hAnsi="Arial"/>
          <w:i w:val="1"/>
          <w:rtl w:val="0"/>
        </w:rPr>
        <w:t xml:space="preserve">continuous veno-venous hemodiafiltration</w:t>
      </w:r>
      <w:r w:rsidDel="00000000" w:rsidR="00000000" w:rsidRPr="00000000">
        <w:rPr>
          <w:rFonts w:ascii="Arial" w:cs="Arial" w:eastAsia="Arial" w:hAnsi="Arial"/>
          <w:rtl w:val="0"/>
        </w:rPr>
        <w:t xml:space="preserve">; CVVHD </w:t>
      </w:r>
      <w:r w:rsidDel="00000000" w:rsidR="00000000" w:rsidRPr="00000000">
        <w:rPr>
          <w:rFonts w:ascii="Arial" w:cs="Arial" w:eastAsia="Arial" w:hAnsi="Arial"/>
          <w:i w:val="1"/>
          <w:rtl w:val="0"/>
        </w:rPr>
        <w:t xml:space="preserve">continuous veno-venous hemodialysis</w:t>
      </w:r>
      <w:r w:rsidDel="00000000" w:rsidR="00000000" w:rsidRPr="00000000">
        <w:rPr>
          <w:rFonts w:ascii="Arial" w:cs="Arial" w:eastAsia="Arial" w:hAnsi="Arial"/>
          <w:rtl w:val="0"/>
        </w:rPr>
        <w:t xml:space="preserve">; CVVH: </w:t>
      </w:r>
      <w:r w:rsidDel="00000000" w:rsidR="00000000" w:rsidRPr="00000000">
        <w:rPr>
          <w:rFonts w:ascii="Arial" w:cs="Arial" w:eastAsia="Arial" w:hAnsi="Arial"/>
          <w:i w:val="1"/>
          <w:rtl w:val="0"/>
        </w:rPr>
        <w:t xml:space="preserve">continuous veno-venous hemofiltration.</w:t>
      </w:r>
    </w:p>
    <w:p w:rsidR="00000000" w:rsidDel="00000000" w:rsidP="00000000" w:rsidRDefault="00000000" w:rsidRPr="00000000" w14:paraId="0000007A">
      <w:pPr>
        <w:spacing w:line="480" w:lineRule="auto"/>
        <w:ind w:firstLine="720"/>
        <w:jc w:val="both"/>
        <w:rPr>
          <w:rFonts w:ascii="Arial" w:cs="Arial" w:eastAsia="Arial" w:hAnsi="Arial"/>
        </w:rPr>
      </w:pPr>
      <w:r w:rsidDel="00000000" w:rsidR="00000000" w:rsidRPr="00000000">
        <w:rPr>
          <w:rtl w:val="0"/>
        </w:rPr>
      </w:r>
    </w:p>
    <w:p w:rsidR="00000000" w:rsidDel="00000000" w:rsidP="00000000" w:rsidRDefault="00000000" w:rsidRPr="00000000" w14:paraId="0000007B">
      <w:pPr>
        <w:spacing w:line="480" w:lineRule="auto"/>
        <w:ind w:firstLine="720"/>
        <w:jc w:val="both"/>
        <w:rPr>
          <w:rFonts w:ascii="Arial" w:cs="Arial" w:eastAsia="Arial" w:hAnsi="Arial"/>
        </w:rPr>
      </w:pPr>
      <w:r w:rsidDel="00000000" w:rsidR="00000000" w:rsidRPr="00000000">
        <w:rPr>
          <w:rtl w:val="0"/>
        </w:rPr>
      </w:r>
    </w:p>
    <w:p w:rsidR="00000000" w:rsidDel="00000000" w:rsidP="00000000" w:rsidRDefault="00000000" w:rsidRPr="00000000" w14:paraId="0000007C">
      <w:pPr>
        <w:spacing w:line="480" w:lineRule="auto"/>
        <w:ind w:firstLine="720"/>
        <w:jc w:val="both"/>
        <w:rPr>
          <w:rFonts w:ascii="Arial" w:cs="Arial" w:eastAsia="Arial" w:hAnsi="Arial"/>
        </w:rPr>
      </w:pPr>
      <w:r w:rsidDel="00000000" w:rsidR="00000000" w:rsidRPr="00000000">
        <w:rPr>
          <w:rtl w:val="0"/>
        </w:rPr>
      </w:r>
    </w:p>
    <w:p w:rsidR="00000000" w:rsidDel="00000000" w:rsidP="00000000" w:rsidRDefault="00000000" w:rsidRPr="00000000" w14:paraId="0000007D">
      <w:pPr>
        <w:spacing w:line="480" w:lineRule="auto"/>
        <w:ind w:firstLine="720"/>
        <w:jc w:val="both"/>
        <w:rPr>
          <w:rFonts w:ascii="Arial" w:cs="Arial" w:eastAsia="Arial" w:hAnsi="Arial"/>
        </w:rPr>
      </w:pPr>
      <w:r w:rsidDel="00000000" w:rsidR="00000000" w:rsidRPr="00000000">
        <w:rPr>
          <w:rtl w:val="0"/>
        </w:rPr>
      </w:r>
    </w:p>
    <w:p w:rsidR="00000000" w:rsidDel="00000000" w:rsidP="00000000" w:rsidRDefault="00000000" w:rsidRPr="00000000" w14:paraId="0000007E">
      <w:pPr>
        <w:spacing w:line="480" w:lineRule="auto"/>
        <w:ind w:left="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7F">
      <w:pPr>
        <w:spacing w:line="480" w:lineRule="auto"/>
        <w:ind w:left="0" w:firstLine="0"/>
        <w:jc w:val="both"/>
        <w:rPr>
          <w:rFonts w:ascii="Arial" w:cs="Arial" w:eastAsia="Arial" w:hAnsi="Arial"/>
          <w:b w:val="1"/>
        </w:rPr>
      </w:pPr>
      <w:r w:rsidDel="00000000" w:rsidR="00000000" w:rsidRPr="00000000">
        <w:rPr>
          <w:rFonts w:ascii="Arial" w:cs="Arial" w:eastAsia="Arial" w:hAnsi="Arial"/>
          <w:b w:val="1"/>
          <w:rtl w:val="0"/>
        </w:rPr>
        <w:t xml:space="preserve">Coleta de Dados</w:t>
      </w:r>
    </w:p>
    <w:p w:rsidR="00000000" w:rsidDel="00000000" w:rsidP="00000000" w:rsidRDefault="00000000" w:rsidRPr="00000000" w14:paraId="00000080">
      <w:pPr>
        <w:spacing w:line="480" w:lineRule="auto"/>
        <w:ind w:left="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81">
      <w:pPr>
        <w:spacing w:line="480" w:lineRule="auto"/>
        <w:ind w:left="0" w:firstLine="720"/>
        <w:jc w:val="both"/>
        <w:rPr>
          <w:rFonts w:ascii="Arial" w:cs="Arial" w:eastAsia="Arial" w:hAnsi="Arial"/>
        </w:rPr>
      </w:pPr>
      <w:r w:rsidDel="00000000" w:rsidR="00000000" w:rsidRPr="00000000">
        <w:rPr>
          <w:rFonts w:ascii="Arial" w:cs="Arial" w:eastAsia="Arial" w:hAnsi="Arial"/>
          <w:rtl w:val="0"/>
        </w:rPr>
        <w:t xml:space="preserve">Na admissão da UTI, serão coletados dados clínicos e demográficos.</w:t>
      </w:r>
    </w:p>
    <w:p w:rsidR="00000000" w:rsidDel="00000000" w:rsidP="00000000" w:rsidRDefault="00000000" w:rsidRPr="00000000" w14:paraId="00000082">
      <w:pPr>
        <w:spacing w:line="480" w:lineRule="auto"/>
        <w:ind w:left="0" w:firstLine="720"/>
        <w:jc w:val="both"/>
        <w:rPr>
          <w:rFonts w:ascii="Arial" w:cs="Arial" w:eastAsia="Arial" w:hAnsi="Arial"/>
        </w:rPr>
      </w:pPr>
      <w:r w:rsidDel="00000000" w:rsidR="00000000" w:rsidRPr="00000000">
        <w:rPr>
          <w:rFonts w:ascii="Arial" w:cs="Arial" w:eastAsia="Arial" w:hAnsi="Arial"/>
          <w:rtl w:val="0"/>
        </w:rPr>
        <w:t xml:space="preserve">A creatinina sérica basal (sCr) foi definida como o valor mais baixo de 3 meses antes da admissão até um mês após a alta e estimativa inicial da taxa de filtração glomerular acoplada foi calculada usando CKD-EPI 2021 fórmula. (16*) </w:t>
      </w:r>
    </w:p>
    <w:p w:rsidR="00000000" w:rsidDel="00000000" w:rsidP="00000000" w:rsidRDefault="00000000" w:rsidRPr="00000000" w14:paraId="00000083">
      <w:pPr>
        <w:spacing w:line="480" w:lineRule="auto"/>
        <w:ind w:left="0" w:firstLine="720"/>
        <w:jc w:val="both"/>
        <w:rPr>
          <w:rFonts w:ascii="Arial" w:cs="Arial" w:eastAsia="Arial" w:hAnsi="Arial"/>
        </w:rPr>
      </w:pPr>
      <w:r w:rsidDel="00000000" w:rsidR="00000000" w:rsidRPr="00000000">
        <w:rPr>
          <w:rFonts w:ascii="Arial" w:cs="Arial" w:eastAsia="Arial" w:hAnsi="Arial"/>
          <w:rtl w:val="0"/>
        </w:rPr>
        <w:t xml:space="preserve">Variáveis ​​clínicas serão coletados no momento da interrupção da TRS como: níveis séricos de uréia e potássio, níveis sanguíneos bicarbonato e pH, débito urinário (UO), balanço hídrico diário, necessidade de diurético e estado clínico geral determinado pelo “não renal” SOFA. O “não renal” SOFA (nrSOFA) será determinado pela soma de todos os componentes do SOFA sem o valor da creatinina (valor de pontuação máxima 20). </w:t>
      </w:r>
    </w:p>
    <w:p w:rsidR="00000000" w:rsidDel="00000000" w:rsidP="00000000" w:rsidRDefault="00000000" w:rsidRPr="00000000" w14:paraId="00000084">
      <w:pPr>
        <w:spacing w:line="480" w:lineRule="auto"/>
        <w:ind w:left="0" w:firstLine="720"/>
        <w:jc w:val="both"/>
        <w:rPr>
          <w:rFonts w:ascii="Arial" w:cs="Arial" w:eastAsia="Arial" w:hAnsi="Arial"/>
        </w:rPr>
      </w:pPr>
      <w:sdt>
        <w:sdtPr>
          <w:tag w:val="goog_rdk_6"/>
        </w:sdtPr>
        <w:sdtContent>
          <w:r w:rsidDel="00000000" w:rsidR="00000000" w:rsidRPr="00000000">
            <w:rPr>
              <w:rFonts w:ascii="Arial Unicode MS" w:cs="Arial Unicode MS" w:eastAsia="Arial Unicode MS" w:hAnsi="Arial Unicode MS"/>
              <w:rtl w:val="0"/>
            </w:rPr>
            <w:t xml:space="preserve">Medições de creatinina sérica nos três primeiros dias após a interrupção da TRS serão usados ​​para a variação simples da creatinina sérica (ΔsCr), calculada como a diferença nos níveis de sCr entre 2 dias consecutivos após a interrupção da TRS ajustada por 24 horas (por exemplo, sCr 2 dias após a interrupção da TRS − sCr 1 dia após a interrupção/prazo da TRS entre essas coletas, em horas × 24h). Também calculamos as proporções de creatinina (dia 2/dia 1 e dia 3/dia 1), conforme sugerido por outros autores.(13*) </w:t>
          </w:r>
        </w:sdtContent>
      </w:sdt>
    </w:p>
    <w:p w:rsidR="00000000" w:rsidDel="00000000" w:rsidP="00000000" w:rsidRDefault="00000000" w:rsidRPr="00000000" w14:paraId="00000085">
      <w:pPr>
        <w:spacing w:line="480" w:lineRule="auto"/>
        <w:ind w:left="0" w:firstLine="720"/>
        <w:jc w:val="both"/>
        <w:rPr>
          <w:rFonts w:ascii="Arial" w:cs="Arial" w:eastAsia="Arial" w:hAnsi="Arial"/>
        </w:rPr>
      </w:pPr>
      <w:r w:rsidDel="00000000" w:rsidR="00000000" w:rsidRPr="00000000">
        <w:rPr>
          <w:rtl w:val="0"/>
        </w:rPr>
      </w:r>
    </w:p>
    <w:p w:rsidR="00000000" w:rsidDel="00000000" w:rsidP="00000000" w:rsidRDefault="00000000" w:rsidRPr="00000000" w14:paraId="00000086">
      <w:pPr>
        <w:spacing w:line="480" w:lineRule="auto"/>
        <w:ind w:left="0" w:firstLine="720"/>
        <w:jc w:val="both"/>
        <w:rPr>
          <w:rFonts w:ascii="Arial" w:cs="Arial" w:eastAsia="Arial" w:hAnsi="Arial"/>
        </w:rPr>
      </w:pPr>
      <w:r w:rsidDel="00000000" w:rsidR="00000000" w:rsidRPr="00000000">
        <w:rPr>
          <w:rtl w:val="0"/>
        </w:rPr>
      </w:r>
    </w:p>
    <w:p w:rsidR="00000000" w:rsidDel="00000000" w:rsidP="00000000" w:rsidRDefault="00000000" w:rsidRPr="00000000" w14:paraId="00000087">
      <w:pPr>
        <w:spacing w:line="480" w:lineRule="auto"/>
        <w:ind w:left="0" w:firstLine="720"/>
        <w:jc w:val="both"/>
        <w:rPr>
          <w:rFonts w:ascii="Arial" w:cs="Arial" w:eastAsia="Arial" w:hAnsi="Arial"/>
        </w:rPr>
      </w:pPr>
      <w:r w:rsidDel="00000000" w:rsidR="00000000" w:rsidRPr="00000000">
        <w:rPr>
          <w:rtl w:val="0"/>
        </w:rPr>
      </w:r>
    </w:p>
    <w:p w:rsidR="00000000" w:rsidDel="00000000" w:rsidP="00000000" w:rsidRDefault="00000000" w:rsidRPr="00000000" w14:paraId="00000088">
      <w:pPr>
        <w:spacing w:line="480" w:lineRule="auto"/>
        <w:ind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ab/>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Arial" w:cs="Arial" w:eastAsia="Arial" w:hAnsi="Arial"/>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Análise estatística</w:t>
      </w:r>
      <w:r w:rsidDel="00000000" w:rsidR="00000000" w:rsidRPr="00000000">
        <w:rPr>
          <w:rtl w:val="0"/>
        </w:rPr>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720"/>
        <w:jc w:val="both"/>
        <w:rPr>
          <w:rFonts w:ascii="Arial" w:cs="Arial" w:eastAsia="Arial" w:hAnsi="Arial"/>
        </w:rPr>
      </w:pPr>
      <w:r w:rsidDel="00000000" w:rsidR="00000000" w:rsidRPr="00000000">
        <w:rPr>
          <w:rFonts w:ascii="Arial" w:cs="Arial" w:eastAsia="Arial" w:hAnsi="Arial"/>
          <w:rtl w:val="0"/>
        </w:rPr>
        <w:t xml:space="preserve">Variáveis ​​contínuas normalmente distribuídas serão relatadas como média ± desvio padrão (DP), variação contínua com distribuição distorcida como mediana e intervalo interquartil (IQR) e variáveis ​​​​categóricas são resumidos como números absolutos e proporções. </w:t>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720"/>
        <w:jc w:val="both"/>
        <w:rPr>
          <w:rFonts w:ascii="Arial" w:cs="Arial" w:eastAsia="Arial" w:hAnsi="Arial"/>
        </w:rPr>
      </w:pPr>
      <w:r w:rsidDel="00000000" w:rsidR="00000000" w:rsidRPr="00000000">
        <w:rPr>
          <w:rFonts w:ascii="Arial" w:cs="Arial" w:eastAsia="Arial" w:hAnsi="Arial"/>
          <w:rtl w:val="0"/>
        </w:rPr>
        <w:t xml:space="preserve">Os pacientes com “Sucesso” e “falha” serão comparados pelo teste apropriado de acordo com a distribuição de variáveis ​​contínuas (análise de variância ou Kruskal-teste de Wallis) e as variáveis ​​categóricas foram comparadas pelo teste exato de Fisher teste. As diferenças nas médias/medianas são relatadas e foram consideradas estatisticamente se p &lt; 0,05.</w:t>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720"/>
        <w:jc w:val="both"/>
        <w:rPr>
          <w:rFonts w:ascii="Arial" w:cs="Arial" w:eastAsia="Arial" w:hAnsi="Arial"/>
          <w:i w:val="1"/>
        </w:rPr>
      </w:pPr>
      <w:r w:rsidDel="00000000" w:rsidR="00000000" w:rsidRPr="00000000">
        <w:rPr>
          <w:rFonts w:ascii="Arial" w:cs="Arial" w:eastAsia="Arial" w:hAnsi="Arial"/>
          <w:rtl w:val="0"/>
        </w:rPr>
        <w:t xml:space="preserve">A validação do escore clínico será realizada através da curva característica de operação do receptor (do inglês, </w:t>
      </w:r>
      <w:r w:rsidDel="00000000" w:rsidR="00000000" w:rsidRPr="00000000">
        <w:rPr>
          <w:rFonts w:ascii="Arial" w:cs="Arial" w:eastAsia="Arial" w:hAnsi="Arial"/>
          <w:i w:val="1"/>
          <w:rtl w:val="0"/>
        </w:rPr>
        <w:t xml:space="preserve">“Receiver Operating Characteristic Curve”</w:t>
      </w:r>
      <w:r w:rsidDel="00000000" w:rsidR="00000000" w:rsidRPr="00000000">
        <w:rPr>
          <w:rFonts w:ascii="Arial" w:cs="Arial" w:eastAsia="Arial" w:hAnsi="Arial"/>
          <w:rtl w:val="0"/>
        </w:rPr>
        <w:t xml:space="preserve">) gerada a partir da pontuação obtida por cada paciente e o desfecho da descontinuação da TRS (sucesso ou falha).</w:t>
      </w:r>
      <w:r w:rsidDel="00000000" w:rsidR="00000000" w:rsidRPr="00000000">
        <w:rPr>
          <w:rtl w:val="0"/>
        </w:rPr>
      </w:r>
    </w:p>
    <w:p w:rsidR="00000000" w:rsidDel="00000000" w:rsidP="00000000" w:rsidRDefault="00000000" w:rsidRPr="00000000" w14:paraId="0000008D">
      <w:pPr>
        <w:spacing w:line="480" w:lineRule="auto"/>
        <w:ind w:firstLine="0"/>
        <w:jc w:val="both"/>
        <w:rPr>
          <w:rFonts w:ascii="Arial" w:cs="Arial" w:eastAsia="Arial" w:hAnsi="Arial"/>
          <w:b w:val="1"/>
        </w:rPr>
      </w:pPr>
      <w:r w:rsidDel="00000000" w:rsidR="00000000" w:rsidRPr="00000000">
        <w:rPr>
          <w:rtl w:val="0"/>
        </w:rPr>
      </w:r>
    </w:p>
    <w:p w:rsidR="00000000" w:rsidDel="00000000" w:rsidP="00000000" w:rsidRDefault="00000000" w:rsidRPr="00000000" w14:paraId="0000008E">
      <w:pPr>
        <w:spacing w:line="480" w:lineRule="auto"/>
        <w:ind w:firstLine="0"/>
        <w:jc w:val="both"/>
        <w:rPr>
          <w:rFonts w:ascii="Arial" w:cs="Arial" w:eastAsia="Arial" w:hAnsi="Arial"/>
          <w:b w:val="1"/>
        </w:rPr>
      </w:pPr>
      <w:r w:rsidDel="00000000" w:rsidR="00000000" w:rsidRPr="00000000">
        <w:rPr>
          <w:rtl w:val="0"/>
        </w:rPr>
      </w:r>
    </w:p>
    <w:p w:rsidR="00000000" w:rsidDel="00000000" w:rsidP="00000000" w:rsidRDefault="00000000" w:rsidRPr="00000000" w14:paraId="0000008F">
      <w:pPr>
        <w:spacing w:line="480" w:lineRule="auto"/>
        <w:ind w:firstLine="0"/>
        <w:jc w:val="both"/>
        <w:rPr>
          <w:rFonts w:ascii="Arial" w:cs="Arial" w:eastAsia="Arial" w:hAnsi="Arial"/>
          <w:b w:val="1"/>
        </w:rPr>
      </w:pPr>
      <w:r w:rsidDel="00000000" w:rsidR="00000000" w:rsidRPr="00000000">
        <w:rPr>
          <w:rtl w:val="0"/>
        </w:rPr>
      </w:r>
    </w:p>
    <w:p w:rsidR="00000000" w:rsidDel="00000000" w:rsidP="00000000" w:rsidRDefault="00000000" w:rsidRPr="00000000" w14:paraId="00000090">
      <w:pPr>
        <w:spacing w:line="480" w:lineRule="auto"/>
        <w:ind w:firstLine="0"/>
        <w:jc w:val="both"/>
        <w:rPr>
          <w:rFonts w:ascii="Arial" w:cs="Arial" w:eastAsia="Arial" w:hAnsi="Arial"/>
          <w:b w:val="1"/>
        </w:rPr>
      </w:pPr>
      <w:r w:rsidDel="00000000" w:rsidR="00000000" w:rsidRPr="00000000">
        <w:rPr>
          <w:rtl w:val="0"/>
        </w:rPr>
      </w:r>
    </w:p>
    <w:p w:rsidR="00000000" w:rsidDel="00000000" w:rsidP="00000000" w:rsidRDefault="00000000" w:rsidRPr="00000000" w14:paraId="00000091">
      <w:pPr>
        <w:spacing w:line="480" w:lineRule="auto"/>
        <w:ind w:firstLine="0"/>
        <w:jc w:val="both"/>
        <w:rPr>
          <w:rFonts w:ascii="Arial" w:cs="Arial" w:eastAsia="Arial" w:hAnsi="Arial"/>
          <w:b w:val="1"/>
        </w:rPr>
      </w:pPr>
      <w:r w:rsidDel="00000000" w:rsidR="00000000" w:rsidRPr="00000000">
        <w:rPr>
          <w:rtl w:val="0"/>
        </w:rPr>
      </w:r>
    </w:p>
    <w:p w:rsidR="00000000" w:rsidDel="00000000" w:rsidP="00000000" w:rsidRDefault="00000000" w:rsidRPr="00000000" w14:paraId="00000092">
      <w:pPr>
        <w:spacing w:line="480" w:lineRule="auto"/>
        <w:ind w:firstLine="0"/>
        <w:jc w:val="both"/>
        <w:rPr>
          <w:rFonts w:ascii="Arial" w:cs="Arial" w:eastAsia="Arial" w:hAnsi="Arial"/>
          <w:b w:val="1"/>
        </w:rPr>
      </w:pPr>
      <w:r w:rsidDel="00000000" w:rsidR="00000000" w:rsidRPr="00000000">
        <w:rPr>
          <w:rtl w:val="0"/>
        </w:rPr>
      </w:r>
    </w:p>
    <w:p w:rsidR="00000000" w:rsidDel="00000000" w:rsidP="00000000" w:rsidRDefault="00000000" w:rsidRPr="00000000" w14:paraId="00000093">
      <w:pPr>
        <w:spacing w:line="480" w:lineRule="auto"/>
        <w:ind w:firstLine="0"/>
        <w:jc w:val="both"/>
        <w:rPr>
          <w:rFonts w:ascii="Arial" w:cs="Arial" w:eastAsia="Arial" w:hAnsi="Arial"/>
          <w:b w:val="1"/>
        </w:rPr>
      </w:pPr>
      <w:r w:rsidDel="00000000" w:rsidR="00000000" w:rsidRPr="00000000">
        <w:rPr>
          <w:rtl w:val="0"/>
        </w:rPr>
      </w:r>
    </w:p>
    <w:p w:rsidR="00000000" w:rsidDel="00000000" w:rsidP="00000000" w:rsidRDefault="00000000" w:rsidRPr="00000000" w14:paraId="00000094">
      <w:pPr>
        <w:spacing w:line="480" w:lineRule="auto"/>
        <w:ind w:firstLine="0"/>
        <w:jc w:val="both"/>
        <w:rPr>
          <w:rFonts w:ascii="Arial" w:cs="Arial" w:eastAsia="Arial" w:hAnsi="Arial"/>
          <w:b w:val="1"/>
        </w:rPr>
      </w:pPr>
      <w:r w:rsidDel="00000000" w:rsidR="00000000" w:rsidRPr="00000000">
        <w:rPr>
          <w:rtl w:val="0"/>
        </w:rPr>
      </w:r>
    </w:p>
    <w:p w:rsidR="00000000" w:rsidDel="00000000" w:rsidP="00000000" w:rsidRDefault="00000000" w:rsidRPr="00000000" w14:paraId="00000095">
      <w:pPr>
        <w:spacing w:line="480" w:lineRule="auto"/>
        <w:ind w:firstLine="0"/>
        <w:jc w:val="both"/>
        <w:rPr>
          <w:rFonts w:ascii="Arial" w:cs="Arial" w:eastAsia="Arial" w:hAnsi="Arial"/>
          <w:b w:val="1"/>
        </w:rPr>
      </w:pPr>
      <w:r w:rsidDel="00000000" w:rsidR="00000000" w:rsidRPr="00000000">
        <w:rPr>
          <w:rtl w:val="0"/>
        </w:rPr>
      </w:r>
    </w:p>
    <w:p w:rsidR="00000000" w:rsidDel="00000000" w:rsidP="00000000" w:rsidRDefault="00000000" w:rsidRPr="00000000" w14:paraId="00000096">
      <w:pPr>
        <w:spacing w:line="480" w:lineRule="auto"/>
        <w:ind w:firstLine="0"/>
        <w:jc w:val="both"/>
        <w:rPr>
          <w:rFonts w:ascii="Arial" w:cs="Arial" w:eastAsia="Arial" w:hAnsi="Arial"/>
          <w:b w:val="1"/>
        </w:rPr>
      </w:pPr>
      <w:r w:rsidDel="00000000" w:rsidR="00000000" w:rsidRPr="00000000">
        <w:rPr>
          <w:rtl w:val="0"/>
        </w:rPr>
      </w:r>
    </w:p>
    <w:p w:rsidR="00000000" w:rsidDel="00000000" w:rsidP="00000000" w:rsidRDefault="00000000" w:rsidRPr="00000000" w14:paraId="00000097">
      <w:pPr>
        <w:spacing w:line="480" w:lineRule="auto"/>
        <w:ind w:firstLine="0"/>
        <w:jc w:val="both"/>
        <w:rPr>
          <w:rFonts w:ascii="Arial" w:cs="Arial" w:eastAsia="Arial" w:hAnsi="Arial"/>
          <w:b w:val="1"/>
        </w:rPr>
      </w:pPr>
      <w:r w:rsidDel="00000000" w:rsidR="00000000" w:rsidRPr="00000000">
        <w:rPr>
          <w:rFonts w:ascii="Arial" w:cs="Arial" w:eastAsia="Arial" w:hAnsi="Arial"/>
          <w:b w:val="1"/>
          <w:rtl w:val="0"/>
        </w:rPr>
        <w:t xml:space="preserve">Seguranca ao paciente</w:t>
      </w:r>
    </w:p>
    <w:p w:rsidR="00000000" w:rsidDel="00000000" w:rsidP="00000000" w:rsidRDefault="00000000" w:rsidRPr="00000000" w14:paraId="00000098">
      <w:pPr>
        <w:spacing w:line="480" w:lineRule="auto"/>
        <w:ind w:firstLine="0"/>
        <w:jc w:val="both"/>
        <w:rPr>
          <w:rFonts w:ascii="Arial" w:cs="Arial" w:eastAsia="Arial" w:hAnsi="Arial"/>
        </w:rPr>
      </w:pPr>
      <w:r w:rsidDel="00000000" w:rsidR="00000000" w:rsidRPr="00000000">
        <w:rPr>
          <w:rFonts w:ascii="Arial" w:cs="Arial" w:eastAsia="Arial" w:hAnsi="Arial"/>
          <w:b w:val="1"/>
          <w:rtl w:val="0"/>
        </w:rPr>
        <w:tab/>
      </w:r>
      <w:r w:rsidDel="00000000" w:rsidR="00000000" w:rsidRPr="00000000">
        <w:rPr>
          <w:rFonts w:ascii="Arial" w:cs="Arial" w:eastAsia="Arial" w:hAnsi="Arial"/>
          <w:rtl w:val="0"/>
        </w:rPr>
        <w:t xml:space="preserve">Trata-se de um estudo retrospectivo, observacional; portanto nenhum paciente será submetido a intervenção. Porém, o pesquisador manterá o sigilo das informações retiradas do prontuário, e se compromete a apenas iniciar o estudo após aprovação do Comitê de Ética.</w:t>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720"/>
        <w:jc w:val="both"/>
        <w:rPr>
          <w:rFonts w:ascii="Arial" w:cs="Arial" w:eastAsia="Arial" w:hAnsi="Arial"/>
        </w:rPr>
      </w:pPr>
      <w:r w:rsidDel="00000000" w:rsidR="00000000" w:rsidRPr="00000000">
        <w:rPr>
          <w:rtl w:val="0"/>
        </w:rPr>
      </w:r>
    </w:p>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hanging="2"/>
        <w:jc w:val="both"/>
        <w:rPr>
          <w:rFonts w:ascii="Arial" w:cs="Arial" w:eastAsia="Arial" w:hAnsi="Arial"/>
          <w:b w:val="1"/>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Orçamento </w:t>
      </w:r>
      <w:r w:rsidDel="00000000" w:rsidR="00000000" w:rsidRPr="00000000">
        <w:rPr>
          <w:rtl w:val="0"/>
        </w:rPr>
      </w:r>
    </w:p>
    <w:p w:rsidR="00000000" w:rsidDel="00000000" w:rsidP="00000000" w:rsidRDefault="00000000" w:rsidRPr="00000000" w14:paraId="0000009B">
      <w:pPr>
        <w:widowControl w:val="0"/>
        <w:spacing w:line="276" w:lineRule="auto"/>
        <w:ind w:firstLine="0"/>
        <w:rPr>
          <w:rFonts w:ascii="Calibri" w:cs="Calibri" w:eastAsia="Calibri" w:hAnsi="Calibri"/>
          <w:b w:val="1"/>
          <w:sz w:val="28.079999923706055"/>
          <w:szCs w:val="28.079999923706055"/>
        </w:rPr>
      </w:pPr>
      <w:r w:rsidDel="00000000" w:rsidR="00000000" w:rsidRPr="00000000">
        <w:rPr>
          <w:rtl w:val="0"/>
        </w:rPr>
      </w:r>
    </w:p>
    <w:tbl>
      <w:tblPr>
        <w:tblStyle w:val="Table2"/>
        <w:tblW w:w="9398.00048828125" w:type="dxa"/>
        <w:jc w:val="left"/>
        <w:tblInd w:w="0.5184173583984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700.2001953125"/>
        <w:gridCol w:w="4697.80029296875"/>
        <w:tblGridChange w:id="0">
          <w:tblGrid>
            <w:gridCol w:w="4700.2001953125"/>
            <w:gridCol w:w="4697.80029296875"/>
          </w:tblGrid>
        </w:tblGridChange>
      </w:tblGrid>
      <w:tr>
        <w:trPr>
          <w:cantSplit w:val="0"/>
          <w:trHeight w:val="278.400878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C">
            <w:pPr>
              <w:widowControl w:val="0"/>
              <w:ind w:firstLine="0"/>
              <w:jc w:val="center"/>
              <w:rPr>
                <w:rFonts w:ascii="Calibri" w:cs="Calibri" w:eastAsia="Calibri" w:hAnsi="Calibri"/>
                <w:b w:val="1"/>
                <w:sz w:val="22.079999923706055"/>
                <w:szCs w:val="22.079999923706055"/>
              </w:rPr>
            </w:pPr>
            <w:r w:rsidDel="00000000" w:rsidR="00000000" w:rsidRPr="00000000">
              <w:rPr>
                <w:rFonts w:ascii="Calibri" w:cs="Calibri" w:eastAsia="Calibri" w:hAnsi="Calibri"/>
                <w:b w:val="1"/>
                <w:sz w:val="22.079999923706055"/>
                <w:szCs w:val="22.079999923706055"/>
                <w:rtl w:val="0"/>
              </w:rPr>
              <w:t xml:space="preserve">Orçamento Detalhado </w:t>
            </w:r>
          </w:p>
        </w:tc>
        <w:tc>
          <w:tcPr>
            <w:shd w:fill="auto" w:val="clear"/>
            <w:tcMar>
              <w:top w:w="100.0" w:type="dxa"/>
              <w:left w:w="100.0" w:type="dxa"/>
              <w:bottom w:w="100.0" w:type="dxa"/>
              <w:right w:w="100.0" w:type="dxa"/>
            </w:tcMar>
            <w:vAlign w:val="top"/>
          </w:tcPr>
          <w:p w:rsidR="00000000" w:rsidDel="00000000" w:rsidP="00000000" w:rsidRDefault="00000000" w:rsidRPr="00000000" w14:paraId="0000009D">
            <w:pPr>
              <w:widowControl w:val="0"/>
              <w:ind w:firstLine="0"/>
              <w:jc w:val="center"/>
              <w:rPr>
                <w:rFonts w:ascii="Calibri" w:cs="Calibri" w:eastAsia="Calibri" w:hAnsi="Calibri"/>
                <w:b w:val="1"/>
                <w:sz w:val="22.079999923706055"/>
                <w:szCs w:val="22.079999923706055"/>
              </w:rPr>
            </w:pPr>
            <w:r w:rsidDel="00000000" w:rsidR="00000000" w:rsidRPr="00000000">
              <w:rPr>
                <w:rFonts w:ascii="Calibri" w:cs="Calibri" w:eastAsia="Calibri" w:hAnsi="Calibri"/>
                <w:b w:val="1"/>
                <w:sz w:val="22.079999923706055"/>
                <w:szCs w:val="22.079999923706055"/>
                <w:rtl w:val="0"/>
              </w:rPr>
              <w:t xml:space="preserve">Valor (R$)</w:t>
            </w:r>
          </w:p>
        </w:tc>
      </w:tr>
      <w:tr>
        <w:trPr>
          <w:cantSplit w:val="0"/>
          <w:trHeight w:val="278.398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E">
            <w:pPr>
              <w:widowControl w:val="0"/>
              <w:ind w:left="128.0352020263672" w:firstLine="0"/>
              <w:rPr>
                <w:rFonts w:ascii="Calibri" w:cs="Calibri" w:eastAsia="Calibri" w:hAnsi="Calibri"/>
                <w:b w:val="1"/>
                <w:sz w:val="22.079999923706055"/>
                <w:szCs w:val="22.079999923706055"/>
              </w:rPr>
            </w:pPr>
            <w:r w:rsidDel="00000000" w:rsidR="00000000" w:rsidRPr="00000000">
              <w:rPr>
                <w:rFonts w:ascii="Calibri" w:cs="Calibri" w:eastAsia="Calibri" w:hAnsi="Calibri"/>
                <w:b w:val="1"/>
                <w:sz w:val="22.079999923706055"/>
                <w:szCs w:val="22.079999923706055"/>
                <w:rtl w:val="0"/>
              </w:rPr>
              <w:t xml:space="preserve">Papelaria ( financiamento proprio)</w:t>
            </w:r>
          </w:p>
        </w:tc>
        <w:tc>
          <w:tcPr>
            <w:shd w:fill="auto" w:val="clear"/>
            <w:tcMar>
              <w:top w:w="100.0" w:type="dxa"/>
              <w:left w:w="100.0" w:type="dxa"/>
              <w:bottom w:w="100.0" w:type="dxa"/>
              <w:right w:w="100.0" w:type="dxa"/>
            </w:tcMar>
            <w:vAlign w:val="top"/>
          </w:tcPr>
          <w:p w:rsidR="00000000" w:rsidDel="00000000" w:rsidP="00000000" w:rsidRDefault="00000000" w:rsidRPr="00000000" w14:paraId="0000009F">
            <w:pPr>
              <w:widowControl w:val="0"/>
              <w:spacing w:line="276" w:lineRule="auto"/>
              <w:ind w:firstLine="0"/>
              <w:rPr>
                <w:rFonts w:ascii="Calibri" w:cs="Calibri" w:eastAsia="Calibri" w:hAnsi="Calibri"/>
                <w:b w:val="1"/>
                <w:sz w:val="22.079999923706055"/>
                <w:szCs w:val="22.079999923706055"/>
              </w:rPr>
            </w:pPr>
            <w:r w:rsidDel="00000000" w:rsidR="00000000" w:rsidRPr="00000000">
              <w:rPr>
                <w:rFonts w:ascii="Calibri" w:cs="Calibri" w:eastAsia="Calibri" w:hAnsi="Calibri"/>
                <w:b w:val="1"/>
                <w:sz w:val="22.079999923706055"/>
                <w:szCs w:val="22.079999923706055"/>
                <w:rtl w:val="0"/>
              </w:rPr>
              <w:t xml:space="preserve">R$ 250,00</w:t>
            </w:r>
          </w:p>
        </w:tc>
      </w:tr>
      <w:tr>
        <w:trPr>
          <w:cantSplit w:val="0"/>
          <w:trHeight w:val="278.400878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0">
            <w:pPr>
              <w:widowControl w:val="0"/>
              <w:ind w:left="114.124755859375" w:firstLine="0"/>
              <w:rPr>
                <w:rFonts w:ascii="Calibri" w:cs="Calibri" w:eastAsia="Calibri" w:hAnsi="Calibri"/>
                <w:b w:val="1"/>
                <w:sz w:val="22.079999923706055"/>
                <w:szCs w:val="22.079999923706055"/>
              </w:rPr>
            </w:pPr>
            <w:r w:rsidDel="00000000" w:rsidR="00000000" w:rsidRPr="00000000">
              <w:rPr>
                <w:rFonts w:ascii="Calibri" w:cs="Calibri" w:eastAsia="Calibri" w:hAnsi="Calibri"/>
                <w:b w:val="1"/>
                <w:sz w:val="22.079999923706055"/>
                <w:szCs w:val="22.079999923706055"/>
                <w:rtl w:val="0"/>
              </w:rPr>
              <w:t xml:space="preserve">Total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A1">
            <w:pPr>
              <w:widowControl w:val="0"/>
              <w:spacing w:line="276" w:lineRule="auto"/>
              <w:ind w:firstLine="0"/>
              <w:rPr>
                <w:rFonts w:ascii="Calibri" w:cs="Calibri" w:eastAsia="Calibri" w:hAnsi="Calibri"/>
                <w:b w:val="1"/>
                <w:sz w:val="22.079999923706055"/>
                <w:szCs w:val="22.079999923706055"/>
              </w:rPr>
            </w:pPr>
            <w:r w:rsidDel="00000000" w:rsidR="00000000" w:rsidRPr="00000000">
              <w:rPr>
                <w:rFonts w:ascii="Calibri" w:cs="Calibri" w:eastAsia="Calibri" w:hAnsi="Calibri"/>
                <w:b w:val="1"/>
                <w:sz w:val="22.079999923706055"/>
                <w:szCs w:val="22.079999923706055"/>
                <w:rtl w:val="0"/>
              </w:rPr>
              <w:t xml:space="preserve">R$ 250,00</w:t>
            </w:r>
          </w:p>
        </w:tc>
      </w:tr>
    </w:tbl>
    <w:p w:rsidR="00000000" w:rsidDel="00000000" w:rsidP="00000000" w:rsidRDefault="00000000" w:rsidRPr="00000000" w14:paraId="000000A2">
      <w:pPr>
        <w:widowControl w:val="0"/>
        <w:spacing w:line="276" w:lineRule="auto"/>
        <w:ind w:firstLine="0"/>
        <w:rPr>
          <w:rFonts w:ascii="Arial" w:cs="Arial" w:eastAsia="Arial" w:hAnsi="Arial"/>
          <w:b w:val="1"/>
        </w:rPr>
      </w:pPr>
      <w:r w:rsidDel="00000000" w:rsidR="00000000" w:rsidRPr="00000000">
        <w:rPr>
          <w:rtl w:val="0"/>
        </w:rPr>
      </w:r>
    </w:p>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hanging="2"/>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Cronograma de Atividades</w:t>
      </w:r>
    </w:p>
    <w:p w:rsidR="00000000" w:rsidDel="00000000" w:rsidP="00000000" w:rsidRDefault="00000000" w:rsidRPr="00000000" w14:paraId="000000A6">
      <w:pPr>
        <w:widowControl w:val="0"/>
        <w:spacing w:before="202.7392578125" w:lineRule="auto"/>
        <w:ind w:left="59.798431396484375" w:firstLine="0"/>
        <w:rPr>
          <w:rFonts w:ascii="Arial" w:cs="Arial" w:eastAsia="Arial" w:hAnsi="Arial"/>
          <w:b w:val="1"/>
          <w:color w:val="c00000"/>
          <w:sz w:val="18"/>
          <w:szCs w:val="18"/>
        </w:rPr>
      </w:pPr>
      <w:r w:rsidDel="00000000" w:rsidR="00000000" w:rsidRPr="00000000">
        <w:rPr>
          <w:rtl w:val="0"/>
        </w:rPr>
      </w:r>
    </w:p>
    <w:tbl>
      <w:tblPr>
        <w:tblStyle w:val="Table3"/>
        <w:tblW w:w="6840.0" w:type="dxa"/>
        <w:jc w:val="left"/>
        <w:tblInd w:w="1628.1185150146484"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555"/>
        <w:gridCol w:w="1710"/>
        <w:gridCol w:w="1575"/>
        <w:tblGridChange w:id="0">
          <w:tblGrid>
            <w:gridCol w:w="3555"/>
            <w:gridCol w:w="1710"/>
            <w:gridCol w:w="1575"/>
          </w:tblGrid>
        </w:tblGridChange>
      </w:tblGrid>
      <w:tr>
        <w:trPr>
          <w:cantSplit w:val="0"/>
          <w:trHeight w:val="525.599365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7">
            <w:pPr>
              <w:widowControl w:val="0"/>
              <w:ind w:firstLine="0"/>
              <w:jc w:val="center"/>
              <w:rPr>
                <w:rFonts w:ascii="Arial" w:cs="Arial" w:eastAsia="Arial" w:hAnsi="Arial"/>
                <w:b w:val="1"/>
                <w:color w:val="474747"/>
                <w:sz w:val="17.040000915527344"/>
                <w:szCs w:val="17.040000915527344"/>
                <w:shd w:fill="edf1f4" w:val="clear"/>
              </w:rPr>
            </w:pPr>
            <w:r w:rsidDel="00000000" w:rsidR="00000000" w:rsidRPr="00000000">
              <w:rPr>
                <w:rFonts w:ascii="Arial" w:cs="Arial" w:eastAsia="Arial" w:hAnsi="Arial"/>
                <w:b w:val="1"/>
                <w:color w:val="474747"/>
                <w:sz w:val="17.040000915527344"/>
                <w:szCs w:val="17.040000915527344"/>
                <w:shd w:fill="edf1f4" w:val="clear"/>
                <w:rtl w:val="0"/>
              </w:rPr>
              <w:t xml:space="preserve">Identificação da Etapa </w:t>
            </w:r>
          </w:p>
        </w:tc>
        <w:tc>
          <w:tcPr>
            <w:shd w:fill="auto" w:val="clear"/>
            <w:tcMar>
              <w:top w:w="100.0" w:type="dxa"/>
              <w:left w:w="100.0" w:type="dxa"/>
              <w:bottom w:w="100.0" w:type="dxa"/>
              <w:right w:w="100.0" w:type="dxa"/>
            </w:tcMar>
            <w:vAlign w:val="top"/>
          </w:tcPr>
          <w:p w:rsidR="00000000" w:rsidDel="00000000" w:rsidP="00000000" w:rsidRDefault="00000000" w:rsidRPr="00000000" w14:paraId="000000A8">
            <w:pPr>
              <w:widowControl w:val="0"/>
              <w:ind w:firstLine="0"/>
              <w:jc w:val="center"/>
              <w:rPr>
                <w:rFonts w:ascii="Arial" w:cs="Arial" w:eastAsia="Arial" w:hAnsi="Arial"/>
                <w:b w:val="1"/>
                <w:color w:val="474747"/>
                <w:sz w:val="17.040000915527344"/>
                <w:szCs w:val="17.040000915527344"/>
              </w:rPr>
            </w:pPr>
            <w:r w:rsidDel="00000000" w:rsidR="00000000" w:rsidRPr="00000000">
              <w:rPr>
                <w:rFonts w:ascii="Arial" w:cs="Arial" w:eastAsia="Arial" w:hAnsi="Arial"/>
                <w:b w:val="1"/>
                <w:color w:val="474747"/>
                <w:sz w:val="17.040000915527344"/>
                <w:szCs w:val="17.040000915527344"/>
                <w:shd w:fill="edf1f4" w:val="clear"/>
                <w:rtl w:val="0"/>
              </w:rPr>
              <w:t xml:space="preserve">Início </w:t>
            </w:r>
            <w:r w:rsidDel="00000000" w:rsidR="00000000" w:rsidRPr="00000000">
              <w:rPr>
                <w:rFonts w:ascii="Arial" w:cs="Arial" w:eastAsia="Arial" w:hAnsi="Arial"/>
                <w:b w:val="1"/>
                <w:color w:val="474747"/>
                <w:sz w:val="17.040000915527344"/>
                <w:szCs w:val="17.040000915527344"/>
                <w:rtl w:val="0"/>
              </w:rPr>
              <w:t xml:space="preserve"> </w:t>
            </w:r>
          </w:p>
          <w:p w:rsidR="00000000" w:rsidDel="00000000" w:rsidP="00000000" w:rsidRDefault="00000000" w:rsidRPr="00000000" w14:paraId="000000A9">
            <w:pPr>
              <w:widowControl w:val="0"/>
              <w:ind w:firstLine="0"/>
              <w:jc w:val="center"/>
              <w:rPr>
                <w:rFonts w:ascii="Arial" w:cs="Arial" w:eastAsia="Arial" w:hAnsi="Arial"/>
                <w:b w:val="1"/>
                <w:color w:val="474747"/>
                <w:sz w:val="17.040000915527344"/>
                <w:szCs w:val="17.040000915527344"/>
                <w:shd w:fill="edf1f4" w:val="clear"/>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A">
            <w:pPr>
              <w:widowControl w:val="0"/>
              <w:ind w:firstLine="0"/>
              <w:jc w:val="center"/>
              <w:rPr>
                <w:rFonts w:ascii="Arial" w:cs="Arial" w:eastAsia="Arial" w:hAnsi="Arial"/>
                <w:b w:val="1"/>
                <w:color w:val="474747"/>
                <w:sz w:val="17.040000915527344"/>
                <w:szCs w:val="17.040000915527344"/>
              </w:rPr>
            </w:pPr>
            <w:r w:rsidDel="00000000" w:rsidR="00000000" w:rsidRPr="00000000">
              <w:rPr>
                <w:rFonts w:ascii="Arial" w:cs="Arial" w:eastAsia="Arial" w:hAnsi="Arial"/>
                <w:b w:val="1"/>
                <w:color w:val="474747"/>
                <w:sz w:val="17.040000915527344"/>
                <w:szCs w:val="17.040000915527344"/>
                <w:shd w:fill="edf1f4" w:val="clear"/>
                <w:rtl w:val="0"/>
              </w:rPr>
              <w:t xml:space="preserve">Término </w:t>
            </w:r>
            <w:r w:rsidDel="00000000" w:rsidR="00000000" w:rsidRPr="00000000">
              <w:rPr>
                <w:rFonts w:ascii="Arial" w:cs="Arial" w:eastAsia="Arial" w:hAnsi="Arial"/>
                <w:b w:val="1"/>
                <w:color w:val="474747"/>
                <w:sz w:val="17.040000915527344"/>
                <w:szCs w:val="17.040000915527344"/>
                <w:rtl w:val="0"/>
              </w:rPr>
              <w:t xml:space="preserve"> </w:t>
            </w:r>
          </w:p>
          <w:p w:rsidR="00000000" w:rsidDel="00000000" w:rsidP="00000000" w:rsidRDefault="00000000" w:rsidRPr="00000000" w14:paraId="000000AB">
            <w:pPr>
              <w:widowControl w:val="0"/>
              <w:ind w:firstLine="0"/>
              <w:jc w:val="center"/>
              <w:rPr>
                <w:rFonts w:ascii="Arial" w:cs="Arial" w:eastAsia="Arial" w:hAnsi="Arial"/>
                <w:b w:val="1"/>
                <w:color w:val="474747"/>
                <w:sz w:val="17.040000915527344"/>
                <w:szCs w:val="17.040000915527344"/>
                <w:shd w:fill="edf1f4" w:val="clear"/>
              </w:rPr>
            </w:pPr>
            <w:r w:rsidDel="00000000" w:rsidR="00000000" w:rsidRPr="00000000">
              <w:rPr>
                <w:rtl w:val="0"/>
              </w:rPr>
            </w:r>
          </w:p>
        </w:tc>
      </w:tr>
      <w:tr>
        <w:trPr>
          <w:cantSplit w:val="0"/>
          <w:trHeight w:val="331.1999511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C">
            <w:pPr>
              <w:widowControl w:val="0"/>
              <w:ind w:left="82.19482421875" w:firstLine="0"/>
              <w:rPr>
                <w:rFonts w:ascii="Arial" w:cs="Arial" w:eastAsia="Arial" w:hAnsi="Arial"/>
                <w:sz w:val="17.040000915527344"/>
                <w:szCs w:val="17.040000915527344"/>
                <w:highlight w:val="white"/>
              </w:rPr>
            </w:pPr>
            <w:r w:rsidDel="00000000" w:rsidR="00000000" w:rsidRPr="00000000">
              <w:rPr>
                <w:rFonts w:ascii="Arial" w:cs="Arial" w:eastAsia="Arial" w:hAnsi="Arial"/>
                <w:sz w:val="17.040000915527344"/>
                <w:szCs w:val="17.040000915527344"/>
                <w:highlight w:val="white"/>
                <w:rtl w:val="0"/>
              </w:rPr>
              <w:t xml:space="preserve">Revisão da literatura</w:t>
            </w:r>
          </w:p>
        </w:tc>
        <w:tc>
          <w:tcPr>
            <w:shd w:fill="auto" w:val="clear"/>
            <w:tcMar>
              <w:top w:w="100.0" w:type="dxa"/>
              <w:left w:w="100.0" w:type="dxa"/>
              <w:bottom w:w="100.0" w:type="dxa"/>
              <w:right w:w="100.0" w:type="dxa"/>
            </w:tcMar>
            <w:vAlign w:val="top"/>
          </w:tcPr>
          <w:p w:rsidR="00000000" w:rsidDel="00000000" w:rsidP="00000000" w:rsidRDefault="00000000" w:rsidRPr="00000000" w14:paraId="000000AD">
            <w:pPr>
              <w:widowControl w:val="0"/>
              <w:spacing w:line="276" w:lineRule="auto"/>
              <w:ind w:firstLine="0"/>
              <w:rPr>
                <w:rFonts w:ascii="Arial" w:cs="Arial" w:eastAsia="Arial" w:hAnsi="Arial"/>
                <w:sz w:val="17.040000915527344"/>
                <w:szCs w:val="17.040000915527344"/>
                <w:highlight w:val="white"/>
              </w:rPr>
            </w:pPr>
            <w:r w:rsidDel="00000000" w:rsidR="00000000" w:rsidRPr="00000000">
              <w:rPr>
                <w:rFonts w:ascii="Arial" w:cs="Arial" w:eastAsia="Arial" w:hAnsi="Arial"/>
                <w:sz w:val="17.040000915527344"/>
                <w:szCs w:val="17.040000915527344"/>
                <w:highlight w:val="white"/>
                <w:rtl w:val="0"/>
              </w:rPr>
              <w:t xml:space="preserve">01/06/2024</w:t>
            </w:r>
          </w:p>
        </w:tc>
        <w:tc>
          <w:tcPr>
            <w:shd w:fill="auto" w:val="clear"/>
            <w:tcMar>
              <w:top w:w="100.0" w:type="dxa"/>
              <w:left w:w="100.0" w:type="dxa"/>
              <w:bottom w:w="100.0" w:type="dxa"/>
              <w:right w:w="100.0" w:type="dxa"/>
            </w:tcMar>
            <w:vAlign w:val="top"/>
          </w:tcPr>
          <w:p w:rsidR="00000000" w:rsidDel="00000000" w:rsidP="00000000" w:rsidRDefault="00000000" w:rsidRPr="00000000" w14:paraId="000000AE">
            <w:pPr>
              <w:widowControl w:val="0"/>
              <w:spacing w:line="276" w:lineRule="auto"/>
              <w:ind w:firstLine="0"/>
              <w:rPr>
                <w:rFonts w:ascii="Arial" w:cs="Arial" w:eastAsia="Arial" w:hAnsi="Arial"/>
                <w:sz w:val="17.040000915527344"/>
                <w:szCs w:val="17.040000915527344"/>
                <w:highlight w:val="white"/>
              </w:rPr>
            </w:pPr>
            <w:r w:rsidDel="00000000" w:rsidR="00000000" w:rsidRPr="00000000">
              <w:rPr>
                <w:rFonts w:ascii="Arial" w:cs="Arial" w:eastAsia="Arial" w:hAnsi="Arial"/>
                <w:sz w:val="17.040000915527344"/>
                <w:szCs w:val="17.040000915527344"/>
                <w:highlight w:val="white"/>
                <w:rtl w:val="0"/>
              </w:rPr>
              <w:t xml:space="preserve">30/06/2024</w:t>
            </w:r>
          </w:p>
        </w:tc>
      </w:tr>
      <w:tr>
        <w:trPr>
          <w:cantSplit w:val="0"/>
          <w:trHeight w:val="331.1999511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F">
            <w:pPr>
              <w:widowControl w:val="0"/>
              <w:ind w:left="82.19482421875" w:firstLine="0"/>
              <w:rPr>
                <w:rFonts w:ascii="Arial" w:cs="Arial" w:eastAsia="Arial" w:hAnsi="Arial"/>
                <w:sz w:val="17.040000915527344"/>
                <w:szCs w:val="17.040000915527344"/>
                <w:highlight w:val="white"/>
              </w:rPr>
            </w:pPr>
            <w:r w:rsidDel="00000000" w:rsidR="00000000" w:rsidRPr="00000000">
              <w:rPr>
                <w:rFonts w:ascii="Arial" w:cs="Arial" w:eastAsia="Arial" w:hAnsi="Arial"/>
                <w:sz w:val="17.040000915527344"/>
                <w:szCs w:val="17.040000915527344"/>
                <w:highlight w:val="white"/>
                <w:rtl w:val="0"/>
              </w:rPr>
              <w:t xml:space="preserve">Realização dos exames e coleta dos dados</w:t>
            </w:r>
          </w:p>
        </w:tc>
        <w:tc>
          <w:tcPr>
            <w:shd w:fill="auto" w:val="clear"/>
            <w:tcMar>
              <w:top w:w="100.0" w:type="dxa"/>
              <w:left w:w="100.0" w:type="dxa"/>
              <w:bottom w:w="100.0" w:type="dxa"/>
              <w:right w:w="100.0" w:type="dxa"/>
            </w:tcMar>
            <w:vAlign w:val="top"/>
          </w:tcPr>
          <w:p w:rsidR="00000000" w:rsidDel="00000000" w:rsidP="00000000" w:rsidRDefault="00000000" w:rsidRPr="00000000" w14:paraId="000000B0">
            <w:pPr>
              <w:widowControl w:val="0"/>
              <w:spacing w:line="276" w:lineRule="auto"/>
              <w:ind w:firstLine="0"/>
              <w:rPr>
                <w:rFonts w:ascii="Arial" w:cs="Arial" w:eastAsia="Arial" w:hAnsi="Arial"/>
                <w:sz w:val="17.040000915527344"/>
                <w:szCs w:val="17.040000915527344"/>
                <w:highlight w:val="white"/>
              </w:rPr>
            </w:pPr>
            <w:r w:rsidDel="00000000" w:rsidR="00000000" w:rsidRPr="00000000">
              <w:rPr>
                <w:rFonts w:ascii="Arial" w:cs="Arial" w:eastAsia="Arial" w:hAnsi="Arial"/>
                <w:sz w:val="17.040000915527344"/>
                <w:szCs w:val="17.040000915527344"/>
                <w:highlight w:val="white"/>
                <w:rtl w:val="0"/>
              </w:rPr>
              <w:t xml:space="preserve">01/07/2024</w:t>
            </w:r>
          </w:p>
        </w:tc>
        <w:tc>
          <w:tcPr>
            <w:shd w:fill="auto" w:val="clear"/>
            <w:tcMar>
              <w:top w:w="100.0" w:type="dxa"/>
              <w:left w:w="100.0" w:type="dxa"/>
              <w:bottom w:w="100.0" w:type="dxa"/>
              <w:right w:w="100.0" w:type="dxa"/>
            </w:tcMar>
            <w:vAlign w:val="top"/>
          </w:tcPr>
          <w:p w:rsidR="00000000" w:rsidDel="00000000" w:rsidP="00000000" w:rsidRDefault="00000000" w:rsidRPr="00000000" w14:paraId="000000B1">
            <w:pPr>
              <w:widowControl w:val="0"/>
              <w:spacing w:line="276" w:lineRule="auto"/>
              <w:ind w:firstLine="0"/>
              <w:rPr>
                <w:rFonts w:ascii="Arial" w:cs="Arial" w:eastAsia="Arial" w:hAnsi="Arial"/>
                <w:sz w:val="17.040000915527344"/>
                <w:szCs w:val="17.040000915527344"/>
                <w:highlight w:val="white"/>
              </w:rPr>
            </w:pPr>
            <w:r w:rsidDel="00000000" w:rsidR="00000000" w:rsidRPr="00000000">
              <w:rPr>
                <w:rFonts w:ascii="Arial" w:cs="Arial" w:eastAsia="Arial" w:hAnsi="Arial"/>
                <w:sz w:val="17.040000915527344"/>
                <w:szCs w:val="17.040000915527344"/>
                <w:highlight w:val="white"/>
                <w:rtl w:val="0"/>
              </w:rPr>
              <w:t xml:space="preserve">30/07/2024</w:t>
            </w:r>
          </w:p>
        </w:tc>
      </w:tr>
      <w:tr>
        <w:trPr>
          <w:cantSplit w:val="0"/>
          <w:trHeight w:val="331.2011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2">
            <w:pPr>
              <w:widowControl w:val="0"/>
              <w:ind w:left="69.58526611328125" w:firstLine="0"/>
              <w:rPr>
                <w:rFonts w:ascii="Arial" w:cs="Arial" w:eastAsia="Arial" w:hAnsi="Arial"/>
                <w:sz w:val="17.040000915527344"/>
                <w:szCs w:val="17.040000915527344"/>
                <w:highlight w:val="white"/>
              </w:rPr>
            </w:pPr>
            <w:r w:rsidDel="00000000" w:rsidR="00000000" w:rsidRPr="00000000">
              <w:rPr>
                <w:rFonts w:ascii="Arial" w:cs="Arial" w:eastAsia="Arial" w:hAnsi="Arial"/>
                <w:sz w:val="17.040000915527344"/>
                <w:szCs w:val="17.040000915527344"/>
                <w:highlight w:val="white"/>
                <w:rtl w:val="0"/>
              </w:rPr>
              <w:t xml:space="preserve">Análise dos resultados</w:t>
            </w:r>
          </w:p>
        </w:tc>
        <w:tc>
          <w:tcPr>
            <w:shd w:fill="auto" w:val="clear"/>
            <w:tcMar>
              <w:top w:w="100.0" w:type="dxa"/>
              <w:left w:w="100.0" w:type="dxa"/>
              <w:bottom w:w="100.0" w:type="dxa"/>
              <w:right w:w="100.0" w:type="dxa"/>
            </w:tcMar>
            <w:vAlign w:val="top"/>
          </w:tcPr>
          <w:p w:rsidR="00000000" w:rsidDel="00000000" w:rsidP="00000000" w:rsidRDefault="00000000" w:rsidRPr="00000000" w14:paraId="000000B3">
            <w:pPr>
              <w:widowControl w:val="0"/>
              <w:spacing w:line="276" w:lineRule="auto"/>
              <w:ind w:firstLine="0"/>
              <w:rPr>
                <w:rFonts w:ascii="Arial" w:cs="Arial" w:eastAsia="Arial" w:hAnsi="Arial"/>
                <w:sz w:val="17.040000915527344"/>
                <w:szCs w:val="17.040000915527344"/>
                <w:highlight w:val="white"/>
              </w:rPr>
            </w:pPr>
            <w:r w:rsidDel="00000000" w:rsidR="00000000" w:rsidRPr="00000000">
              <w:rPr>
                <w:rFonts w:ascii="Arial" w:cs="Arial" w:eastAsia="Arial" w:hAnsi="Arial"/>
                <w:sz w:val="17.040000915527344"/>
                <w:szCs w:val="17.040000915527344"/>
                <w:highlight w:val="white"/>
                <w:rtl w:val="0"/>
              </w:rPr>
              <w:t xml:space="preserve">01/08/2024</w:t>
            </w:r>
          </w:p>
        </w:tc>
        <w:tc>
          <w:tcPr>
            <w:shd w:fill="auto" w:val="clear"/>
            <w:tcMar>
              <w:top w:w="100.0" w:type="dxa"/>
              <w:left w:w="100.0" w:type="dxa"/>
              <w:bottom w:w="100.0" w:type="dxa"/>
              <w:right w:w="100.0" w:type="dxa"/>
            </w:tcMar>
            <w:vAlign w:val="top"/>
          </w:tcPr>
          <w:p w:rsidR="00000000" w:rsidDel="00000000" w:rsidP="00000000" w:rsidRDefault="00000000" w:rsidRPr="00000000" w14:paraId="000000B4">
            <w:pPr>
              <w:widowControl w:val="0"/>
              <w:spacing w:line="276" w:lineRule="auto"/>
              <w:ind w:firstLine="0"/>
              <w:rPr>
                <w:rFonts w:ascii="Arial" w:cs="Arial" w:eastAsia="Arial" w:hAnsi="Arial"/>
                <w:sz w:val="17.040000915527344"/>
                <w:szCs w:val="17.040000915527344"/>
                <w:highlight w:val="white"/>
              </w:rPr>
            </w:pPr>
            <w:r w:rsidDel="00000000" w:rsidR="00000000" w:rsidRPr="00000000">
              <w:rPr>
                <w:rFonts w:ascii="Arial" w:cs="Arial" w:eastAsia="Arial" w:hAnsi="Arial"/>
                <w:sz w:val="17.040000915527344"/>
                <w:szCs w:val="17.040000915527344"/>
                <w:highlight w:val="white"/>
                <w:rtl w:val="0"/>
              </w:rPr>
              <w:t xml:space="preserve">31/12/2024</w:t>
            </w:r>
          </w:p>
        </w:tc>
      </w:tr>
      <w:tr>
        <w:trPr>
          <w:cantSplit w:val="0"/>
          <w:trHeight w:val="331.198730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5">
            <w:pPr>
              <w:widowControl w:val="0"/>
              <w:ind w:left="81.854248046875" w:firstLine="0"/>
              <w:rPr>
                <w:rFonts w:ascii="Arial" w:cs="Arial" w:eastAsia="Arial" w:hAnsi="Arial"/>
                <w:sz w:val="17.040000915527344"/>
                <w:szCs w:val="17.040000915527344"/>
                <w:highlight w:val="white"/>
              </w:rPr>
            </w:pPr>
            <w:r w:rsidDel="00000000" w:rsidR="00000000" w:rsidRPr="00000000">
              <w:rPr>
                <w:rFonts w:ascii="Arial" w:cs="Arial" w:eastAsia="Arial" w:hAnsi="Arial"/>
                <w:sz w:val="17.040000915527344"/>
                <w:szCs w:val="17.040000915527344"/>
                <w:highlight w:val="white"/>
                <w:rtl w:val="0"/>
              </w:rPr>
              <w:t xml:space="preserve">Publicação dos resultados</w:t>
            </w:r>
          </w:p>
        </w:tc>
        <w:tc>
          <w:tcPr>
            <w:shd w:fill="auto" w:val="clear"/>
            <w:tcMar>
              <w:top w:w="100.0" w:type="dxa"/>
              <w:left w:w="100.0" w:type="dxa"/>
              <w:bottom w:w="100.0" w:type="dxa"/>
              <w:right w:w="100.0" w:type="dxa"/>
            </w:tcMar>
            <w:vAlign w:val="top"/>
          </w:tcPr>
          <w:p w:rsidR="00000000" w:rsidDel="00000000" w:rsidP="00000000" w:rsidRDefault="00000000" w:rsidRPr="00000000" w14:paraId="000000B6">
            <w:pPr>
              <w:widowControl w:val="0"/>
              <w:spacing w:line="276" w:lineRule="auto"/>
              <w:ind w:firstLine="0"/>
              <w:rPr>
                <w:rFonts w:ascii="Arial" w:cs="Arial" w:eastAsia="Arial" w:hAnsi="Arial"/>
                <w:sz w:val="17.040000915527344"/>
                <w:szCs w:val="17.040000915527344"/>
                <w:highlight w:val="white"/>
              </w:rPr>
            </w:pPr>
            <w:r w:rsidDel="00000000" w:rsidR="00000000" w:rsidRPr="00000000">
              <w:rPr>
                <w:rFonts w:ascii="Arial" w:cs="Arial" w:eastAsia="Arial" w:hAnsi="Arial"/>
                <w:sz w:val="17.040000915527344"/>
                <w:szCs w:val="17.040000915527344"/>
                <w:highlight w:val="white"/>
                <w:rtl w:val="0"/>
              </w:rPr>
              <w:t xml:space="preserve">01/01/2025</w:t>
            </w:r>
          </w:p>
        </w:tc>
        <w:tc>
          <w:tcPr>
            <w:shd w:fill="auto" w:val="clear"/>
            <w:tcMar>
              <w:top w:w="100.0" w:type="dxa"/>
              <w:left w:w="100.0" w:type="dxa"/>
              <w:bottom w:w="100.0" w:type="dxa"/>
              <w:right w:w="100.0" w:type="dxa"/>
            </w:tcMar>
            <w:vAlign w:val="top"/>
          </w:tcPr>
          <w:p w:rsidR="00000000" w:rsidDel="00000000" w:rsidP="00000000" w:rsidRDefault="00000000" w:rsidRPr="00000000" w14:paraId="000000B7">
            <w:pPr>
              <w:widowControl w:val="0"/>
              <w:spacing w:line="276" w:lineRule="auto"/>
              <w:ind w:firstLine="0"/>
              <w:rPr>
                <w:rFonts w:ascii="Arial" w:cs="Arial" w:eastAsia="Arial" w:hAnsi="Arial"/>
                <w:sz w:val="17.040000915527344"/>
                <w:szCs w:val="17.040000915527344"/>
                <w:highlight w:val="white"/>
              </w:rPr>
            </w:pPr>
            <w:r w:rsidDel="00000000" w:rsidR="00000000" w:rsidRPr="00000000">
              <w:rPr>
                <w:rFonts w:ascii="Arial" w:cs="Arial" w:eastAsia="Arial" w:hAnsi="Arial"/>
                <w:sz w:val="17.040000915527344"/>
                <w:szCs w:val="17.040000915527344"/>
                <w:highlight w:val="white"/>
                <w:rtl w:val="0"/>
              </w:rPr>
              <w:t xml:space="preserve">01/03/2025</w:t>
            </w:r>
          </w:p>
        </w:tc>
      </w:tr>
    </w:tbl>
    <w:p w:rsidR="00000000" w:rsidDel="00000000" w:rsidP="00000000" w:rsidRDefault="00000000" w:rsidRPr="00000000" w14:paraId="000000B8">
      <w:pPr>
        <w:widowControl w:val="0"/>
        <w:ind w:left="1681.6094207763672" w:firstLine="0"/>
        <w:rPr>
          <w:rFonts w:ascii="Arial" w:cs="Arial" w:eastAsia="Arial" w:hAnsi="Arial"/>
        </w:rPr>
      </w:pPr>
      <w:r w:rsidDel="00000000" w:rsidR="00000000" w:rsidRPr="00000000">
        <w:rPr>
          <w:rtl w:val="0"/>
        </w:rPr>
      </w:r>
    </w:p>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hanging="2"/>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hanging="2"/>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Resultados esperados </w:t>
      </w:r>
    </w:p>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hanging="2"/>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hanging="2"/>
        <w:jc w:val="both"/>
        <w:rPr>
          <w:rFonts w:ascii="Arial" w:cs="Arial" w:eastAsia="Arial" w:hAnsi="Arial"/>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ab/>
      </w:r>
      <w:r w:rsidDel="00000000" w:rsidR="00000000" w:rsidRPr="00000000">
        <w:rPr>
          <w:rFonts w:ascii="Arial" w:cs="Arial" w:eastAsia="Arial" w:hAnsi="Arial"/>
          <w:rtl w:val="0"/>
        </w:rPr>
        <w:t xml:space="preserve">Esperamos que o escore clínico se torne uma ferramenta importante e capaz de predizer o sucesso na descontinuação de hemodiálise.</w:t>
      </w:r>
    </w:p>
    <w:p w:rsidR="00000000" w:rsidDel="00000000" w:rsidP="00000000" w:rsidRDefault="00000000" w:rsidRPr="00000000" w14:paraId="000000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left"/>
        <w:rPr>
          <w:rFonts w:ascii="Arial" w:cs="Arial" w:eastAsia="Arial" w:hAnsi="Arial"/>
          <w:b w:val="1"/>
          <w:i w:val="0"/>
          <w:smallCaps w:val="0"/>
          <w:strike w:val="0"/>
          <w:color w:val="000000"/>
          <w:u w:val="none"/>
          <w:shd w:fill="auto" w:val="clear"/>
          <w:vertAlign w:val="baseline"/>
        </w:rPr>
      </w:pPr>
      <w:r w:rsidDel="00000000" w:rsidR="00000000" w:rsidRPr="00000000">
        <w:rPr>
          <w:rFonts w:ascii="Arial" w:cs="Arial" w:eastAsia="Arial" w:hAnsi="Arial"/>
          <w:b w:val="1"/>
          <w:i w:val="0"/>
          <w:smallCaps w:val="0"/>
          <w:strike w:val="0"/>
          <w:color w:val="000000"/>
          <w:u w:val="none"/>
          <w:shd w:fill="auto" w:val="clear"/>
          <w:vertAlign w:val="baseline"/>
          <w:rtl w:val="0"/>
        </w:rPr>
        <w:t xml:space="preserve">BIBLIOGRAFIA</w:t>
      </w:r>
    </w:p>
    <w:p w:rsidR="00000000" w:rsidDel="00000000" w:rsidP="00000000" w:rsidRDefault="00000000" w:rsidRPr="00000000" w14:paraId="000000B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40" w:lineRule="auto"/>
        <w:ind w:left="720" w:right="0" w:hanging="360"/>
        <w:jc w:val="both"/>
        <w:rPr>
          <w:rFonts w:ascii="Arial" w:cs="Arial" w:eastAsia="Arial" w:hAnsi="Arial"/>
          <w:i w:val="0"/>
          <w:smallCaps w:val="0"/>
          <w:strike w:val="0"/>
          <w:color w:val="000000"/>
          <w:shd w:fill="auto" w:val="clear"/>
          <w:vertAlign w:val="baseline"/>
        </w:rPr>
      </w:pPr>
      <w:r w:rsidDel="00000000" w:rsidR="00000000" w:rsidRPr="00000000">
        <w:rPr>
          <w:rFonts w:ascii="Arial" w:cs="Arial" w:eastAsia="Arial" w:hAnsi="Arial"/>
          <w:rtl w:val="0"/>
        </w:rPr>
        <w:t xml:space="preserve">Chertow, Glenn M.*; Burdick, Elisabeth†; Honour, Melissa†; Bonventre, Joseph V.‡; Bates, David W.†. Acute Kidney Injury, Mortality, Length of Stay, and Costs in Hospitalized Patients. Journal of the American Society of Nephrology 16(11):p 3365-3370, November 2005</w:t>
      </w:r>
      <w:r w:rsidDel="00000000" w:rsidR="00000000" w:rsidRPr="00000000">
        <w:rPr>
          <w:rtl w:val="0"/>
        </w:rPr>
      </w:r>
    </w:p>
    <w:p w:rsidR="00000000" w:rsidDel="00000000" w:rsidP="00000000" w:rsidRDefault="00000000" w:rsidRPr="00000000" w14:paraId="000000B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40" w:lineRule="auto"/>
        <w:ind w:left="720" w:right="0" w:hanging="360"/>
        <w:jc w:val="both"/>
        <w:rPr>
          <w:rFonts w:ascii="Arial" w:cs="Arial" w:eastAsia="Arial" w:hAnsi="Arial"/>
          <w:i w:val="0"/>
          <w:smallCaps w:val="0"/>
          <w:strike w:val="0"/>
          <w:color w:val="000000"/>
          <w:shd w:fill="auto" w:val="clear"/>
          <w:vertAlign w:val="baseline"/>
        </w:rPr>
      </w:pPr>
      <w:r w:rsidDel="00000000" w:rsidR="00000000" w:rsidRPr="00000000">
        <w:rPr>
          <w:rFonts w:ascii="Arial" w:cs="Arial" w:eastAsia="Arial" w:hAnsi="Arial"/>
          <w:rtl w:val="0"/>
        </w:rPr>
        <w:t xml:space="preserve">Burton JO, Jefferies HJ, Selby NM, McIntyre CW. Hemodialysis-induced cardiac injury: determinants and associated outcomes. Clin J Am Soc Nephrol. 2009 May;4(5):914-20.</w:t>
      </w:r>
      <w:r w:rsidDel="00000000" w:rsidR="00000000" w:rsidRPr="00000000">
        <w:rPr>
          <w:rtl w:val="0"/>
        </w:rPr>
      </w:r>
    </w:p>
    <w:p w:rsidR="00000000" w:rsidDel="00000000" w:rsidP="00000000" w:rsidRDefault="00000000" w:rsidRPr="00000000" w14:paraId="000000C0">
      <w:pPr>
        <w:numPr>
          <w:ilvl w:val="0"/>
          <w:numId w:val="1"/>
        </w:numPr>
        <w:spacing w:after="200" w:line="240" w:lineRule="auto"/>
        <w:ind w:left="720" w:hanging="360"/>
        <w:jc w:val="both"/>
        <w:rPr>
          <w:rFonts w:ascii="Arial" w:cs="Arial" w:eastAsia="Arial" w:hAnsi="Arial"/>
        </w:rPr>
      </w:pPr>
      <w:r w:rsidDel="00000000" w:rsidR="00000000" w:rsidRPr="00000000">
        <w:rPr>
          <w:rFonts w:ascii="Arial" w:cs="Arial" w:eastAsia="Arial" w:hAnsi="Arial"/>
          <w:rtl w:val="0"/>
        </w:rPr>
        <w:t xml:space="preserve">McKenzie C. Antibiotic dosing in critical illness. J Antimicrob Chemother. 2011 Apr;66 Suppl 2:ii25-31.</w:t>
      </w:r>
    </w:p>
    <w:p w:rsidR="00000000" w:rsidDel="00000000" w:rsidP="00000000" w:rsidRDefault="00000000" w:rsidRPr="00000000" w14:paraId="000000C1">
      <w:pPr>
        <w:numPr>
          <w:ilvl w:val="0"/>
          <w:numId w:val="1"/>
        </w:numPr>
        <w:spacing w:after="200" w:line="240" w:lineRule="auto"/>
        <w:ind w:left="720" w:hanging="360"/>
        <w:jc w:val="both"/>
        <w:rPr>
          <w:rFonts w:ascii="Arial" w:cs="Arial" w:eastAsia="Arial" w:hAnsi="Arial"/>
        </w:rPr>
      </w:pPr>
      <w:r w:rsidDel="00000000" w:rsidR="00000000" w:rsidRPr="00000000">
        <w:rPr>
          <w:rFonts w:ascii="Arial" w:cs="Arial" w:eastAsia="Arial" w:hAnsi="Arial"/>
          <w:rtl w:val="0"/>
        </w:rPr>
        <w:t xml:space="preserve">Ronco C, Bellomo R, Kellum JA, Ricci Z. Critical Care Nephrology. 3rd ed. Philadelphia, PA: Elsevier, Inc.; 2019.</w:t>
      </w:r>
    </w:p>
    <w:p w:rsidR="00000000" w:rsidDel="00000000" w:rsidP="00000000" w:rsidRDefault="00000000" w:rsidRPr="00000000" w14:paraId="000000C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40" w:lineRule="auto"/>
        <w:ind w:left="720" w:right="0" w:hanging="360"/>
        <w:jc w:val="both"/>
        <w:rPr>
          <w:rFonts w:ascii="Arial" w:cs="Arial" w:eastAsia="Arial" w:hAnsi="Arial"/>
        </w:rPr>
      </w:pPr>
      <w:r w:rsidDel="00000000" w:rsidR="00000000" w:rsidRPr="00000000">
        <w:rPr>
          <w:rFonts w:ascii="Arial" w:cs="Arial" w:eastAsia="Arial" w:hAnsi="Arial"/>
          <w:rtl w:val="0"/>
        </w:rPr>
        <w:t xml:space="preserve">Gaudry S, Hajage D, Schortgen F, Martin-Lefevre L, Pons B, Boulet E, et al. Initiation strategies for renal-replacement therapy in the intensive care unit. N Engl J Med 2016;375(2):122–33.</w:t>
      </w:r>
    </w:p>
    <w:p w:rsidR="00000000" w:rsidDel="00000000" w:rsidP="00000000" w:rsidRDefault="00000000" w:rsidRPr="00000000" w14:paraId="000000C3">
      <w:pPr>
        <w:numPr>
          <w:ilvl w:val="0"/>
          <w:numId w:val="1"/>
        </w:numPr>
        <w:spacing w:after="200" w:line="240" w:lineRule="auto"/>
        <w:ind w:left="720" w:hanging="360"/>
        <w:jc w:val="both"/>
        <w:rPr>
          <w:rFonts w:ascii="Arial" w:cs="Arial" w:eastAsia="Arial" w:hAnsi="Arial"/>
        </w:rPr>
      </w:pPr>
      <w:r w:rsidDel="00000000" w:rsidR="00000000" w:rsidRPr="00000000">
        <w:rPr>
          <w:rFonts w:ascii="Arial" w:cs="Arial" w:eastAsia="Arial" w:hAnsi="Arial"/>
          <w:rtl w:val="0"/>
        </w:rPr>
        <w:t xml:space="preserve">McCausland FR, Asafu-Adjei J, Betensky RA, Palevsky PM, Waikar SS. Comparison of urine output among patients treated with more intensive versus less intensive RRT: results from the acute renal failure trial network study. Clin J Am Soc Nephrol 2016;11(8):1335–42.</w:t>
      </w:r>
    </w:p>
    <w:p w:rsidR="00000000" w:rsidDel="00000000" w:rsidP="00000000" w:rsidRDefault="00000000" w:rsidRPr="00000000" w14:paraId="000000C4">
      <w:pPr>
        <w:numPr>
          <w:ilvl w:val="0"/>
          <w:numId w:val="1"/>
        </w:numPr>
        <w:spacing w:after="200" w:line="240" w:lineRule="auto"/>
        <w:ind w:left="720" w:hanging="360"/>
        <w:jc w:val="both"/>
        <w:rPr>
          <w:rFonts w:ascii="Arial" w:cs="Arial" w:eastAsia="Arial" w:hAnsi="Arial"/>
        </w:rPr>
      </w:pPr>
      <w:r w:rsidDel="00000000" w:rsidR="00000000" w:rsidRPr="00000000">
        <w:rPr>
          <w:rFonts w:ascii="Arial" w:cs="Arial" w:eastAsia="Arial" w:hAnsi="Arial"/>
          <w:rtl w:val="0"/>
        </w:rPr>
        <w:t xml:space="preserve">Wu VC, Ko WJ, Chang HW, Chen YW, Lin YF, Shiao CC, et al. Risk factors of early redialysis after weaning from postoperative acute renal replacement therapy. Intensive Care Med 2008;34(1):101–8.</w:t>
      </w:r>
    </w:p>
    <w:p w:rsidR="00000000" w:rsidDel="00000000" w:rsidP="00000000" w:rsidRDefault="00000000" w:rsidRPr="00000000" w14:paraId="000000C5">
      <w:pPr>
        <w:numPr>
          <w:ilvl w:val="0"/>
          <w:numId w:val="1"/>
        </w:numPr>
        <w:spacing w:after="200" w:line="240" w:lineRule="auto"/>
        <w:ind w:left="720" w:hanging="360"/>
        <w:jc w:val="both"/>
        <w:rPr>
          <w:rFonts w:ascii="Arial" w:cs="Arial" w:eastAsia="Arial" w:hAnsi="Arial"/>
        </w:rPr>
      </w:pPr>
      <w:r w:rsidDel="00000000" w:rsidR="00000000" w:rsidRPr="00000000">
        <w:rPr>
          <w:rFonts w:ascii="Arial" w:cs="Arial" w:eastAsia="Arial" w:hAnsi="Arial"/>
          <w:rtl w:val="0"/>
        </w:rPr>
        <w:t xml:space="preserve">Uchino S, Bellomo R, Morimatsu H, Morgera S, Schetz M, Tan I, et al. Discontinuation of continuous renal replacement therapy: a post hoc analysis of a prospective multi-center observational study. Crit Care Med 2009;37(9):2576–82.</w:t>
      </w:r>
    </w:p>
    <w:p w:rsidR="00000000" w:rsidDel="00000000" w:rsidP="00000000" w:rsidRDefault="00000000" w:rsidRPr="00000000" w14:paraId="000000C6">
      <w:pPr>
        <w:numPr>
          <w:ilvl w:val="0"/>
          <w:numId w:val="1"/>
        </w:numPr>
        <w:spacing w:after="200" w:line="240" w:lineRule="auto"/>
        <w:ind w:left="720" w:hanging="360"/>
        <w:jc w:val="both"/>
        <w:rPr>
          <w:rFonts w:ascii="Arial" w:cs="Arial" w:eastAsia="Arial" w:hAnsi="Arial"/>
        </w:rPr>
      </w:pPr>
      <w:r w:rsidDel="00000000" w:rsidR="00000000" w:rsidRPr="00000000">
        <w:rPr>
          <w:rFonts w:ascii="Arial" w:cs="Arial" w:eastAsia="Arial" w:hAnsi="Arial"/>
          <w:rtl w:val="0"/>
        </w:rPr>
        <w:t xml:space="preserve">Katulka RJ, Al Saadon A, Sebastianski M, Featherstone R, Vandermeer B, Silver SA, et al. Determining the optimal time for liberation from renal replacement therapy in critically ill patients: a systematic review and meta-analysis (DOnE RRT). Crit Care 2020;24(1):50.</w:t>
      </w:r>
    </w:p>
    <w:p w:rsidR="00000000" w:rsidDel="00000000" w:rsidP="00000000" w:rsidRDefault="00000000" w:rsidRPr="00000000" w14:paraId="000000C7">
      <w:pPr>
        <w:numPr>
          <w:ilvl w:val="0"/>
          <w:numId w:val="1"/>
        </w:numPr>
        <w:spacing w:after="200" w:line="240" w:lineRule="auto"/>
        <w:ind w:left="720" w:hanging="360"/>
        <w:jc w:val="both"/>
        <w:rPr>
          <w:rFonts w:ascii="Arial" w:cs="Arial" w:eastAsia="Arial" w:hAnsi="Arial"/>
        </w:rPr>
      </w:pPr>
      <w:r w:rsidDel="00000000" w:rsidR="00000000" w:rsidRPr="00000000">
        <w:rPr>
          <w:rFonts w:ascii="Arial" w:cs="Arial" w:eastAsia="Arial" w:hAnsi="Arial"/>
          <w:rtl w:val="0"/>
        </w:rPr>
        <w:t xml:space="preserve">Thomsen J, Sprogøe U, Toft P. Urine neutrophil gelatinase-associated lipocalin and urine output as predictors of the successful discontinuation of continuous renal replacement therapy in critically ill patients with acute kidney injury. BMC Nephrol 2020;21(1):375.</w:t>
      </w:r>
    </w:p>
    <w:p w:rsidR="00000000" w:rsidDel="00000000" w:rsidP="00000000" w:rsidRDefault="00000000" w:rsidRPr="00000000" w14:paraId="000000C8">
      <w:pPr>
        <w:numPr>
          <w:ilvl w:val="0"/>
          <w:numId w:val="1"/>
        </w:numPr>
        <w:spacing w:after="200" w:line="240" w:lineRule="auto"/>
        <w:ind w:left="720" w:hanging="360"/>
        <w:jc w:val="both"/>
        <w:rPr>
          <w:rFonts w:ascii="Arial" w:cs="Arial" w:eastAsia="Arial" w:hAnsi="Arial"/>
        </w:rPr>
      </w:pPr>
      <w:r w:rsidDel="00000000" w:rsidR="00000000" w:rsidRPr="00000000">
        <w:rPr>
          <w:rFonts w:ascii="Arial" w:cs="Arial" w:eastAsia="Arial" w:hAnsi="Arial"/>
          <w:rtl w:val="0"/>
        </w:rPr>
        <w:t xml:space="preserve">Aniort J, Ait Hssain A, Pereira B, Coupez E, Pioche PA, Leroy C, et al. Daily urinary urea excretion to guide intermittent hemodialysis weaning in critically ill patients. Crit Care 2016;20:43.</w:t>
      </w:r>
    </w:p>
    <w:p w:rsidR="00000000" w:rsidDel="00000000" w:rsidP="00000000" w:rsidRDefault="00000000" w:rsidRPr="00000000" w14:paraId="000000C9">
      <w:pPr>
        <w:numPr>
          <w:ilvl w:val="0"/>
          <w:numId w:val="1"/>
        </w:numPr>
        <w:spacing w:after="200" w:line="240" w:lineRule="auto"/>
        <w:ind w:left="720" w:hanging="360"/>
        <w:jc w:val="both"/>
        <w:rPr>
          <w:rFonts w:ascii="Arial" w:cs="Arial" w:eastAsia="Arial" w:hAnsi="Arial"/>
        </w:rPr>
      </w:pPr>
      <w:r w:rsidDel="00000000" w:rsidR="00000000" w:rsidRPr="00000000">
        <w:rPr>
          <w:rFonts w:ascii="Arial" w:cs="Arial" w:eastAsia="Arial" w:hAnsi="Arial"/>
          <w:rtl w:val="0"/>
        </w:rPr>
        <w:t xml:space="preserve">Viallet N, Brunot V, Kuster N, Daubin D, Besnard N, Platon L, et al. Daily urinary creat inine predicts the weaning of renal replacement therapy in ICU acute kidney injury patients. Ann Intensive Care 2016;6(1):71.</w:t>
      </w:r>
    </w:p>
    <w:p w:rsidR="00000000" w:rsidDel="00000000" w:rsidP="00000000" w:rsidRDefault="00000000" w:rsidRPr="00000000" w14:paraId="000000CA">
      <w:pPr>
        <w:numPr>
          <w:ilvl w:val="0"/>
          <w:numId w:val="1"/>
        </w:numPr>
        <w:spacing w:after="200" w:line="240" w:lineRule="auto"/>
        <w:ind w:left="720" w:hanging="360"/>
        <w:jc w:val="both"/>
        <w:rPr>
          <w:rFonts w:ascii="Arial" w:cs="Arial" w:eastAsia="Arial" w:hAnsi="Arial"/>
        </w:rPr>
      </w:pPr>
      <w:r w:rsidDel="00000000" w:rsidR="00000000" w:rsidRPr="00000000">
        <w:rPr>
          <w:rFonts w:ascii="Arial" w:cs="Arial" w:eastAsia="Arial" w:hAnsi="Arial"/>
          <w:rtl w:val="0"/>
        </w:rPr>
        <w:t xml:space="preserve">Frohlich S, Donnelly A, Solymos O, Conlon N. Use of 2-hour creatinine clearance to guide cessation of continuous renal replacement therapy. J Crit Care 2012;27(6):744..e1-5.</w:t>
      </w:r>
    </w:p>
    <w:p w:rsidR="00000000" w:rsidDel="00000000" w:rsidP="00000000" w:rsidRDefault="00000000" w:rsidRPr="00000000" w14:paraId="000000CB">
      <w:pPr>
        <w:numPr>
          <w:ilvl w:val="0"/>
          <w:numId w:val="1"/>
        </w:numPr>
        <w:spacing w:after="200" w:line="240" w:lineRule="auto"/>
        <w:ind w:left="720" w:hanging="360"/>
        <w:jc w:val="both"/>
        <w:rPr>
          <w:rFonts w:ascii="Arial" w:cs="Arial" w:eastAsia="Arial" w:hAnsi="Arial"/>
        </w:rPr>
      </w:pPr>
      <w:r w:rsidDel="00000000" w:rsidR="00000000" w:rsidRPr="00000000">
        <w:rPr>
          <w:rFonts w:ascii="Arial" w:cs="Arial" w:eastAsia="Arial" w:hAnsi="Arial"/>
          <w:rtl w:val="0"/>
        </w:rPr>
        <w:t xml:space="preserve">Stads S, Kant KM, de Jong MFC, de Ruijter W, Cobbaert CM, Betjes MGH, et al. Predictors of short-term successful discontinuation of continuous renal replacement therapy: results from a prospective multicentre study. BMC Nephrol 2019;20(1):129.</w:t>
      </w:r>
    </w:p>
    <w:p w:rsidR="00000000" w:rsidDel="00000000" w:rsidP="00000000" w:rsidRDefault="00000000" w:rsidRPr="00000000" w14:paraId="000000CC">
      <w:pPr>
        <w:numPr>
          <w:ilvl w:val="0"/>
          <w:numId w:val="1"/>
        </w:numPr>
        <w:spacing w:after="200" w:line="240" w:lineRule="auto"/>
        <w:ind w:left="720" w:hanging="360"/>
        <w:jc w:val="both"/>
        <w:rPr>
          <w:rFonts w:ascii="Arial" w:cs="Arial" w:eastAsia="Arial" w:hAnsi="Arial"/>
        </w:rPr>
      </w:pPr>
      <w:r w:rsidDel="00000000" w:rsidR="00000000" w:rsidRPr="00000000">
        <w:rPr>
          <w:rFonts w:ascii="Arial" w:cs="Arial" w:eastAsia="Arial" w:hAnsi="Arial"/>
          <w:rtl w:val="0"/>
        </w:rPr>
        <w:t xml:space="preserve">Chen S. Retooling the creatinine clearance equation to estimate kinetic GFR when the plasma creatinine is changing acutely. J Am Soc Nephrol 2013;24:877–88.</w:t>
      </w:r>
    </w:p>
    <w:p w:rsidR="00000000" w:rsidDel="00000000" w:rsidP="00000000" w:rsidRDefault="00000000" w:rsidRPr="00000000" w14:paraId="000000CD">
      <w:pPr>
        <w:numPr>
          <w:ilvl w:val="0"/>
          <w:numId w:val="1"/>
        </w:numPr>
        <w:spacing w:after="200" w:line="240" w:lineRule="auto"/>
        <w:ind w:left="720" w:hanging="360"/>
        <w:jc w:val="both"/>
        <w:rPr>
          <w:rFonts w:ascii="Arial" w:cs="Arial" w:eastAsia="Arial" w:hAnsi="Arial"/>
        </w:rPr>
      </w:pPr>
      <w:r w:rsidDel="00000000" w:rsidR="00000000" w:rsidRPr="00000000">
        <w:rPr>
          <w:rFonts w:ascii="Arial" w:cs="Arial" w:eastAsia="Arial" w:hAnsi="Arial"/>
          <w:rtl w:val="0"/>
        </w:rPr>
        <w:t xml:space="preserve">Yoshida T, Matsuura R, Komaru Y, Miyamoto Y, Yoshimoto K, Hamasaki Y, et al. Kinetic estimated glomerular filtration rate as a predictor of successful continuous renal replacement therapy discontinuation. Nephrology 2019;24(3):287–93.</w:t>
      </w:r>
    </w:p>
    <w:p w:rsidR="00000000" w:rsidDel="00000000" w:rsidP="00000000" w:rsidRDefault="00000000" w:rsidRPr="00000000" w14:paraId="000000CE">
      <w:pPr>
        <w:numPr>
          <w:ilvl w:val="0"/>
          <w:numId w:val="1"/>
        </w:numPr>
        <w:spacing w:after="200" w:line="240" w:lineRule="auto"/>
        <w:ind w:left="720" w:hanging="360"/>
        <w:jc w:val="both"/>
        <w:rPr>
          <w:rFonts w:ascii="Arial" w:cs="Arial" w:eastAsia="Arial" w:hAnsi="Arial"/>
        </w:rPr>
      </w:pPr>
      <w:r w:rsidDel="00000000" w:rsidR="00000000" w:rsidRPr="00000000">
        <w:rPr>
          <w:rFonts w:ascii="Arial" w:cs="Arial" w:eastAsia="Arial" w:hAnsi="Arial"/>
          <w:rtl w:val="0"/>
        </w:rPr>
        <w:t xml:space="preserve">Valle EO, Smolentzov I, Gorzoni JLM, Salgado IC, Mainardes LC, Gomes VO, Júnior CHM, Rodrigues CE, Júnior JMV. A clinical model to predict successful renal replacement therapy (RRT) discontinuation in patients with Acute Kidney Injury (AKI). Clinics (São Paulo). 2023 Sep 8;78:100280.</w:t>
      </w:r>
    </w:p>
    <w:p w:rsidR="00000000" w:rsidDel="00000000" w:rsidP="00000000" w:rsidRDefault="00000000" w:rsidRPr="00000000" w14:paraId="000000CF">
      <w:pPr>
        <w:spacing w:after="160" w:line="259" w:lineRule="auto"/>
        <w:ind w:left="0" w:firstLine="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D0">
      <w:pPr>
        <w:widowControl w:val="0"/>
        <w:spacing w:before="191.1260986328125" w:lineRule="auto"/>
        <w:ind w:left="13.545608520507812" w:firstLine="0"/>
        <w:rPr>
          <w:rFonts w:ascii="Corbel" w:cs="Corbel" w:eastAsia="Corbel" w:hAnsi="Corbel"/>
          <w:sz w:val="22.079999923706055"/>
          <w:szCs w:val="22.079999923706055"/>
        </w:rPr>
      </w:pPr>
      <w:r w:rsidDel="00000000" w:rsidR="00000000" w:rsidRPr="00000000">
        <w:rPr>
          <w:rtl w:val="0"/>
        </w:rPr>
      </w:r>
    </w:p>
    <w:p w:rsidR="00000000" w:rsidDel="00000000" w:rsidP="00000000" w:rsidRDefault="00000000" w:rsidRPr="00000000" w14:paraId="000000D1">
      <w:pPr>
        <w:spacing w:after="160" w:line="259" w:lineRule="auto"/>
        <w:ind w:left="0" w:firstLine="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3">
      <w:pPr>
        <w:spacing w:after="160" w:line="259" w:lineRule="auto"/>
        <w:ind w:firstLine="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D4">
      <w:pPr>
        <w:spacing w:after="160" w:line="259" w:lineRule="auto"/>
        <w:ind w:firstLine="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D5">
      <w:pPr>
        <w:spacing w:after="160" w:line="259" w:lineRule="auto"/>
        <w:ind w:left="0" w:firstLine="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left"/>
        <w:rPr/>
      </w:pPr>
      <w:r w:rsidDel="00000000" w:rsidR="00000000" w:rsidRPr="00000000">
        <w:rPr>
          <w:rtl w:val="0"/>
        </w:rPr>
      </w:r>
    </w:p>
    <w:p w:rsidR="00000000" w:rsidDel="00000000" w:rsidP="00000000" w:rsidRDefault="00000000" w:rsidRPr="00000000" w14:paraId="000000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sectPr>
      <w:pgSz w:h="16840" w:w="11900" w:orient="portrait"/>
      <w:pgMar w:bottom="1417"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Times New Roman"/>
  <w:font w:name="Georgia"/>
  <w:font w:name="Arial"/>
  <w:font w:name="Arial Unicode MS"/>
  <w:font w:name="Calibri"/>
  <w:font w:name="Corbel">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ind w:hanging="1"/>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hanging="1"/>
      <w:jc w:val="left"/>
    </w:pPr>
    <w:rPr>
      <w:rFonts w:ascii="Times New Roman" w:cs="Times New Roman" w:eastAsia="Times New Roman" w:hAnsi="Times New Roman"/>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hanging="1"/>
      <w:jc w:val="left"/>
    </w:pPr>
    <w:rPr>
      <w:rFonts w:ascii="Times New Roman" w:cs="Times New Roman" w:eastAsia="Times New Roman" w:hAnsi="Times New Roman"/>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hanging="1"/>
      <w:jc w:val="left"/>
    </w:pPr>
    <w:rPr>
      <w:rFonts w:ascii="Times New Roman" w:cs="Times New Roman" w:eastAsia="Times New Roman" w:hAnsi="Times New Roman"/>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hanging="1"/>
      <w:jc w:val="left"/>
    </w:pPr>
    <w:rPr>
      <w:rFonts w:ascii="Times New Roman" w:cs="Times New Roman" w:eastAsia="Times New Roman" w:hAnsi="Times New Roman"/>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hanging="1"/>
      <w:jc w:val="left"/>
    </w:pPr>
    <w:rPr>
      <w:rFonts w:ascii="Times New Roman" w:cs="Times New Roman" w:eastAsia="Times New Roman" w:hAnsi="Times New Roman"/>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hanging="1"/>
      <w:jc w:val="left"/>
    </w:pPr>
    <w:rPr>
      <w:rFonts w:ascii="Times New Roman" w:cs="Times New Roman" w:eastAsia="Times New Roman" w:hAnsi="Times New Roman"/>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hanging="1"/>
      <w:jc w:val="left"/>
    </w:pPr>
    <w:rPr>
      <w:rFonts w:ascii="Times New Roman" w:cs="Times New Roman" w:eastAsia="Times New Roman" w:hAnsi="Times New Roman"/>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hanging="1"/>
      <w:jc w:val="left"/>
    </w:pPr>
    <w:rPr>
      <w:rFonts w:ascii="Times New Roman" w:cs="Times New Roman" w:eastAsia="Times New Roman" w:hAnsi="Times New Roman"/>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hanging="1"/>
      <w:jc w:val="left"/>
    </w:pPr>
    <w:rPr>
      <w:rFonts w:ascii="Times New Roman" w:cs="Times New Roman" w:eastAsia="Times New Roman" w:hAnsi="Times New Roman"/>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hanging="1"/>
      <w:jc w:val="left"/>
    </w:pPr>
    <w:rPr>
      <w:rFonts w:ascii="Times New Roman" w:cs="Times New Roman" w:eastAsia="Times New Roman" w:hAnsi="Times New Roman"/>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hanging="1"/>
      <w:jc w:val="left"/>
    </w:pPr>
    <w:rPr>
      <w:rFonts w:ascii="Times New Roman" w:cs="Times New Roman" w:eastAsia="Times New Roman" w:hAnsi="Times New Roman"/>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hanging="1"/>
      <w:jc w:val="left"/>
    </w:pPr>
    <w:rPr>
      <w:rFonts w:ascii="Times New Roman" w:cs="Times New Roman" w:eastAsia="Times New Roman" w:hAnsi="Times New Roman"/>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hanging="1"/>
      <w:jc w:val="left"/>
    </w:pPr>
    <w:rPr>
      <w:rFonts w:ascii="Times New Roman" w:cs="Times New Roman" w:eastAsia="Times New Roman" w:hAnsi="Times New Roman"/>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hanging="1"/>
      <w:jc w:val="left"/>
    </w:pPr>
    <w:rPr>
      <w:rFonts w:ascii="Times New Roman" w:cs="Times New Roman" w:eastAsia="Times New Roman" w:hAnsi="Times New Roman"/>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hanging="1"/>
      <w:jc w:val="left"/>
    </w:pPr>
    <w:rPr>
      <w:rFonts w:ascii="Times New Roman" w:cs="Times New Roman" w:eastAsia="Times New Roman" w:hAnsi="Times New Roman"/>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hanging="1"/>
      <w:jc w:val="left"/>
    </w:pPr>
    <w:rPr>
      <w:rFonts w:ascii="Times New Roman" w:cs="Times New Roman" w:eastAsia="Times New Roman" w:hAnsi="Times New Roman"/>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hanging="1"/>
      <w:jc w:val="left"/>
    </w:pPr>
    <w:rPr>
      <w:rFonts w:ascii="Times New Roman" w:cs="Times New Roman" w:eastAsia="Times New Roman" w:hAnsi="Times New Roman"/>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hanging="1"/>
      <w:jc w:val="left"/>
    </w:pPr>
    <w:rPr>
      <w:rFonts w:ascii="Times New Roman" w:cs="Times New Roman" w:eastAsia="Times New Roman" w:hAnsi="Times New Roman"/>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hanging="1"/>
      <w:jc w:val="left"/>
    </w:pPr>
    <w:rPr>
      <w:rFonts w:ascii="Times New Roman" w:cs="Times New Roman" w:eastAsia="Times New Roman" w:hAnsi="Times New Roman"/>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hanging="1"/>
      <w:jc w:val="left"/>
    </w:pPr>
    <w:rPr>
      <w:rFonts w:ascii="Times New Roman" w:cs="Times New Roman" w:eastAsia="Times New Roman" w:hAnsi="Times New Roman"/>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hanging="1"/>
      <w:jc w:val="left"/>
    </w:pPr>
    <w:rPr>
      <w:rFonts w:ascii="Times New Roman" w:cs="Times New Roman" w:eastAsia="Times New Roman" w:hAnsi="Times New Roman"/>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Times New Roman" w:cs="Times New Roman" w:eastAsia="Times New Roman" w:hAnsi="Times New Roman"/>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Times New Roman" w:cs="Times New Roman" w:eastAsia="Times New Roman" w:hAnsi="Times New Roman"/>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Times New Roman" w:cs="Times New Roman" w:eastAsia="Times New Roman" w:hAnsi="Times New Roman"/>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Times New Roman" w:cs="Times New Roman" w:eastAsia="Times New Roman" w:hAnsi="Times New Roman"/>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Times New Roman" w:cs="Times New Roman" w:eastAsia="Times New Roman" w:hAnsi="Times New Roman"/>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Times New Roman" w:cs="Times New Roman" w:eastAsia="Times New Roman" w:hAnsi="Times New Roman"/>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Times New Roman" w:cs="Times New Roman" w:eastAsia="Times New Roman" w:hAnsi="Times New Roman"/>
      <w:b w:val="1"/>
      <w:i w:val="0"/>
      <w:smallCaps w:val="0"/>
      <w:strike w:val="0"/>
      <w:color w:val="000000"/>
      <w:sz w:val="72"/>
      <w:szCs w:val="72"/>
      <w:u w:val="none"/>
      <w:shd w:fill="auto" w:val="clear"/>
      <w:vertAlign w:val="baseline"/>
    </w:rPr>
  </w:style>
  <w:style w:type="paragraph" w:styleId="Normal" w:default="1">
    <w:name w:val="Normal"/>
    <w:next w:val="Normal1"/>
    <w:pPr>
      <w:suppressAutoHyphens w:val="1"/>
      <w:spacing w:line="1" w:lineRule="atLeast"/>
      <w:ind w:left="-1" w:leftChars="-1" w:hanging="1" w:hangingChars="1"/>
      <w:textDirection w:val="btLr"/>
      <w:textAlignment w:val="top"/>
      <w:outlineLvl w:val="0"/>
    </w:pPr>
    <w:rPr>
      <w:position w:val="-1"/>
      <w:lang w:eastAsia="pt-BR" w:val="en-US"/>
    </w:rPr>
  </w:style>
  <w:style w:type="paragraph" w:styleId="Ttulo1">
    <w:name w:val="heading 1"/>
    <w:basedOn w:val="Normal1"/>
    <w:next w:val="Normal1"/>
    <w:pPr>
      <w:keepNext w:val="1"/>
      <w:keepLines w:val="1"/>
      <w:spacing w:after="120" w:before="480"/>
      <w:outlineLvl w:val="0"/>
    </w:pPr>
    <w:rPr>
      <w:b w:val="1"/>
      <w:sz w:val="48"/>
      <w:szCs w:val="48"/>
    </w:rPr>
  </w:style>
  <w:style w:type="paragraph" w:styleId="Ttulo2">
    <w:name w:val="heading 2"/>
    <w:basedOn w:val="Normal1"/>
    <w:next w:val="Normal1"/>
    <w:pPr>
      <w:keepNext w:val="1"/>
      <w:keepLines w:val="1"/>
      <w:spacing w:after="80" w:before="360"/>
      <w:outlineLvl w:val="1"/>
    </w:pPr>
    <w:rPr>
      <w:b w:val="1"/>
      <w:sz w:val="36"/>
      <w:szCs w:val="36"/>
    </w:rPr>
  </w:style>
  <w:style w:type="paragraph" w:styleId="Ttulo3">
    <w:name w:val="heading 3"/>
    <w:basedOn w:val="Normal1"/>
    <w:next w:val="Normal1"/>
    <w:pPr>
      <w:keepNext w:val="1"/>
      <w:keepLines w:val="1"/>
      <w:spacing w:after="80" w:before="280"/>
      <w:outlineLvl w:val="2"/>
    </w:pPr>
    <w:rPr>
      <w:b w:val="1"/>
      <w:sz w:val="28"/>
      <w:szCs w:val="28"/>
    </w:rPr>
  </w:style>
  <w:style w:type="paragraph" w:styleId="Ttulo4">
    <w:name w:val="heading 4"/>
    <w:basedOn w:val="Normal1"/>
    <w:next w:val="Normal1"/>
    <w:pPr>
      <w:keepNext w:val="1"/>
      <w:keepLines w:val="1"/>
      <w:spacing w:after="40" w:before="240"/>
      <w:outlineLvl w:val="3"/>
    </w:pPr>
    <w:rPr>
      <w:b w:val="1"/>
    </w:rPr>
  </w:style>
  <w:style w:type="paragraph" w:styleId="Ttulo5">
    <w:name w:val="heading 5"/>
    <w:basedOn w:val="Normal1"/>
    <w:next w:val="Normal1"/>
    <w:pPr>
      <w:keepNext w:val="1"/>
      <w:keepLines w:val="1"/>
      <w:spacing w:after="40" w:before="220"/>
      <w:outlineLvl w:val="4"/>
    </w:pPr>
    <w:rPr>
      <w:b w:val="1"/>
      <w:sz w:val="22"/>
      <w:szCs w:val="22"/>
    </w:rPr>
  </w:style>
  <w:style w:type="paragraph" w:styleId="Ttulo6">
    <w:name w:val="heading 6"/>
    <w:basedOn w:val="Normal1"/>
    <w:next w:val="Normal1"/>
    <w:pPr>
      <w:keepNext w:val="1"/>
      <w:keepLines w:val="1"/>
      <w:spacing w:after="40" w:before="200"/>
      <w:outlineLvl w:val="5"/>
    </w:pPr>
    <w:rPr>
      <w:b w:val="1"/>
      <w:sz w:val="20"/>
      <w:szCs w:val="20"/>
    </w:rPr>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paragraph" w:styleId="Normal1" w:customStyle="1">
    <w:name w:val="Normal1"/>
  </w:style>
  <w:style w:type="paragraph" w:styleId="Ttulo">
    <w:name w:val="Title"/>
    <w:basedOn w:val="Normal1"/>
    <w:next w:val="Normal1"/>
    <w:pPr>
      <w:keepNext w:val="1"/>
      <w:keepLines w:val="1"/>
      <w:spacing w:after="120" w:before="480"/>
    </w:pPr>
    <w:rPr>
      <w:b w:val="1"/>
      <w:sz w:val="72"/>
      <w:szCs w:val="72"/>
    </w:rPr>
  </w:style>
  <w:style w:type="paragraph" w:styleId="Ttulo11" w:customStyle="1">
    <w:name w:val="Título 11"/>
    <w:basedOn w:val="Normal2"/>
    <w:next w:val="Normal2"/>
    <w:pPr>
      <w:keepNext w:val="1"/>
      <w:keepLines w:val="1"/>
      <w:spacing w:after="120" w:before="480"/>
    </w:pPr>
    <w:rPr>
      <w:b w:val="1"/>
      <w:sz w:val="48"/>
      <w:szCs w:val="48"/>
    </w:rPr>
  </w:style>
  <w:style w:type="paragraph" w:styleId="Ttulo21" w:customStyle="1">
    <w:name w:val="Título 21"/>
    <w:basedOn w:val="Normal2"/>
    <w:next w:val="Normal2"/>
    <w:pPr>
      <w:keepNext w:val="1"/>
      <w:keepLines w:val="1"/>
      <w:spacing w:after="80" w:before="360"/>
    </w:pPr>
    <w:rPr>
      <w:b w:val="1"/>
      <w:sz w:val="36"/>
      <w:szCs w:val="36"/>
    </w:rPr>
  </w:style>
  <w:style w:type="paragraph" w:styleId="Ttulo31" w:customStyle="1">
    <w:name w:val="Título 31"/>
    <w:basedOn w:val="Normal2"/>
    <w:next w:val="Normal2"/>
    <w:pPr>
      <w:keepNext w:val="1"/>
      <w:keepLines w:val="1"/>
      <w:spacing w:after="80" w:before="280"/>
    </w:pPr>
    <w:rPr>
      <w:b w:val="1"/>
      <w:sz w:val="28"/>
      <w:szCs w:val="28"/>
    </w:rPr>
  </w:style>
  <w:style w:type="paragraph" w:styleId="Ttulo41" w:customStyle="1">
    <w:name w:val="Título 41"/>
    <w:basedOn w:val="Normal2"/>
    <w:next w:val="Normal2"/>
    <w:pPr>
      <w:keepNext w:val="1"/>
      <w:keepLines w:val="1"/>
      <w:spacing w:after="40" w:before="240"/>
    </w:pPr>
    <w:rPr>
      <w:b w:val="1"/>
    </w:rPr>
  </w:style>
  <w:style w:type="paragraph" w:styleId="Ttulo51" w:customStyle="1">
    <w:name w:val="Título 51"/>
    <w:basedOn w:val="Normal2"/>
    <w:next w:val="Normal2"/>
    <w:pPr>
      <w:keepNext w:val="1"/>
      <w:keepLines w:val="1"/>
      <w:spacing w:after="40" w:before="220"/>
    </w:pPr>
    <w:rPr>
      <w:b w:val="1"/>
      <w:sz w:val="22"/>
      <w:szCs w:val="22"/>
    </w:rPr>
  </w:style>
  <w:style w:type="paragraph" w:styleId="Ttulo61" w:customStyle="1">
    <w:name w:val="Título 61"/>
    <w:basedOn w:val="Normal2"/>
    <w:next w:val="Normal2"/>
    <w:pPr>
      <w:keepNext w:val="1"/>
      <w:keepLines w:val="1"/>
      <w:spacing w:after="40" w:before="200"/>
    </w:pPr>
    <w:rPr>
      <w:b w:val="1"/>
      <w:sz w:val="20"/>
      <w:szCs w:val="20"/>
    </w:rPr>
  </w:style>
  <w:style w:type="character" w:styleId="Fontepargpadro1" w:customStyle="1">
    <w:name w:val="Fonte parág. padrão1"/>
    <w:qFormat w:val="1"/>
    <w:rPr>
      <w:w w:val="100"/>
      <w:position w:val="-1"/>
      <w:effect w:val="none"/>
      <w:vertAlign w:val="baseline"/>
      <w:cs w:val="0"/>
      <w:em w:val="none"/>
    </w:rPr>
  </w:style>
  <w:style w:type="table" w:styleId="Tabelanormal1" w:customStyle="1">
    <w:name w:val="Tabela normal1"/>
    <w:qFormat w:val="1"/>
    <w:pPr>
      <w:suppressAutoHyphens w:val="1"/>
      <w:spacing w:line="1" w:lineRule="atLeast"/>
      <w:ind w:left="-1" w:leftChars="-1" w:hanging="1" w:hangingChars="1"/>
      <w:textDirection w:val="btLr"/>
      <w:textAlignment w:val="top"/>
      <w:outlineLvl w:val="0"/>
    </w:pPr>
    <w:rPr>
      <w:position w:val="-1"/>
    </w:rPr>
    <w:tblPr>
      <w:tblInd w:w="0.0" w:type="dxa"/>
      <w:tblCellMar>
        <w:top w:w="0.0" w:type="dxa"/>
        <w:left w:w="108.0" w:type="dxa"/>
        <w:bottom w:w="0.0" w:type="dxa"/>
        <w:right w:w="108.0" w:type="dxa"/>
      </w:tblCellMar>
    </w:tblPr>
  </w:style>
  <w:style w:type="numbering" w:styleId="Semlista1" w:customStyle="1">
    <w:name w:val="Sem lista1"/>
    <w:qFormat w:val="1"/>
  </w:style>
  <w:style w:type="paragraph" w:styleId="Normal2" w:customStyle="1">
    <w:name w:val="Normal2"/>
    <w:pPr>
      <w:suppressAutoHyphens w:val="1"/>
      <w:spacing w:line="1" w:lineRule="atLeast"/>
      <w:ind w:left="-1" w:leftChars="-1" w:hanging="1" w:hangingChars="1"/>
      <w:textDirection w:val="btLr"/>
      <w:textAlignment w:val="top"/>
      <w:outlineLvl w:val="0"/>
    </w:pPr>
    <w:rPr>
      <w:position w:val="-1"/>
      <w:lang w:eastAsia="pt-BR" w:val="en-US"/>
    </w:rPr>
  </w:style>
  <w:style w:type="paragraph" w:styleId="Ttulo10" w:customStyle="1">
    <w:name w:val="Título1"/>
    <w:basedOn w:val="Normal2"/>
    <w:next w:val="Normal2"/>
    <w:pPr>
      <w:keepNext w:val="1"/>
      <w:keepLines w:val="1"/>
      <w:spacing w:after="120" w:before="480"/>
    </w:pPr>
    <w:rPr>
      <w:b w:val="1"/>
      <w:sz w:val="72"/>
      <w:szCs w:val="72"/>
    </w:rPr>
  </w:style>
  <w:style w:type="paragraph" w:styleId="Subttulo1" w:customStyle="1">
    <w:name w:val="Subtítulo1"/>
    <w:basedOn w:val="Normal"/>
    <w:next w:val="Normal"/>
    <w:pPr>
      <w:keepNext w:val="1"/>
      <w:keepLines w:val="1"/>
      <w:spacing w:after="80" w:before="360"/>
    </w:pPr>
    <w:rPr>
      <w:rFonts w:ascii="Georgia" w:cs="Georgia" w:eastAsia="Georgia" w:hAnsi="Georgia"/>
      <w:i w:val="1"/>
      <w:color w:val="666666"/>
      <w:sz w:val="48"/>
      <w:szCs w:val="48"/>
    </w:rPr>
  </w:style>
  <w:style w:type="table" w:styleId="Tabelacomgrade1" w:customStyle="1">
    <w:name w:val="Tabela com grade1"/>
    <w:basedOn w:val="Tabelanormal1"/>
    <w:tblP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Pr>
  </w:style>
  <w:style w:type="paragraph" w:styleId="Subttulo">
    <w:name w:val="Subtitle"/>
    <w:basedOn w:val="Normal"/>
    <w:next w:val="Normal"/>
    <w:pPr>
      <w:keepNext w:val="1"/>
      <w:keepLines w:val="1"/>
      <w:spacing w:after="80" w:before="360"/>
    </w:pPr>
    <w:rPr>
      <w:rFonts w:ascii="Georgia" w:cs="Georgia" w:eastAsia="Georgia" w:hAnsi="Georgia"/>
      <w:i w:val="1"/>
      <w:color w:val="666666"/>
      <w:sz w:val="48"/>
      <w:szCs w:val="48"/>
    </w:rPr>
  </w:style>
  <w:style w:type="table" w:styleId="a" w:customStyle="1">
    <w:basedOn w:val="Tabelanormal"/>
    <w:tblPr>
      <w:tblStyleRowBandSize w:val="1"/>
      <w:tblStyleColBandSize w:val="1"/>
      <w:tblCellMar>
        <w:top w:w="100.0" w:type="dxa"/>
        <w:left w:w="100.0" w:type="dxa"/>
        <w:bottom w:w="100.0" w:type="dxa"/>
        <w:right w:w="100.0" w:type="dxa"/>
      </w:tblCellMar>
    </w:tblPr>
  </w:style>
  <w:style w:type="table" w:styleId="a0" w:customStyle="1">
    <w:basedOn w:val="Tabelanormal"/>
    <w:tblPr>
      <w:tblStyleRowBandSize w:val="1"/>
      <w:tblStyleColBandSize w:val="1"/>
      <w:tblCellMar>
        <w:top w:w="100.0" w:type="dxa"/>
        <w:left w:w="100.0" w:type="dxa"/>
        <w:bottom w:w="100.0" w:type="dxa"/>
        <w:right w:w="100.0" w:type="dxa"/>
      </w:tblCellMar>
    </w:tblPr>
  </w:style>
  <w:style w:type="table" w:styleId="a1" w:customStyle="1">
    <w:basedOn w:val="Tabelanormal"/>
    <w:tblPr>
      <w:tblStyleRowBandSize w:val="1"/>
      <w:tblStyleColBandSize w:val="1"/>
      <w:tblCellMar>
        <w:top w:w="100.0" w:type="dxa"/>
        <w:left w:w="100.0" w:type="dxa"/>
        <w:bottom w:w="100.0" w:type="dxa"/>
        <w:right w:w="100.0" w:type="dxa"/>
      </w:tblCellMar>
    </w:tblPr>
  </w:style>
  <w:style w:type="paragraph" w:styleId="Textodebalo">
    <w:name w:val="Balloon Text"/>
    <w:basedOn w:val="Normal"/>
    <w:link w:val="TextodebaloChar"/>
    <w:uiPriority w:val="99"/>
    <w:semiHidden w:val="1"/>
    <w:unhideWhenUsed w:val="1"/>
    <w:rsid w:val="00EA52CE"/>
    <w:pPr>
      <w:spacing w:line="240" w:lineRule="auto"/>
    </w:pPr>
    <w:rPr>
      <w:rFonts w:ascii="Lucida Grande" w:hAnsi="Lucida Grande"/>
      <w:sz w:val="18"/>
      <w:szCs w:val="18"/>
    </w:rPr>
  </w:style>
  <w:style w:type="character" w:styleId="TextodebaloChar" w:customStyle="1">
    <w:name w:val="Texto de balão Char"/>
    <w:basedOn w:val="Fontepargpadro"/>
    <w:link w:val="Textodebalo"/>
    <w:uiPriority w:val="99"/>
    <w:semiHidden w:val="1"/>
    <w:rsid w:val="00EA52CE"/>
    <w:rPr>
      <w:rFonts w:ascii="Lucida Grande" w:hAnsi="Lucida Grande"/>
      <w:position w:val="-1"/>
      <w:sz w:val="18"/>
      <w:szCs w:val="18"/>
      <w:lang w:eastAsia="pt-BR" w:val="en-US"/>
    </w:rPr>
  </w:style>
  <w:style w:type="character" w:styleId="Refdecomentrio">
    <w:name w:val="annotation reference"/>
    <w:basedOn w:val="Fontepargpadro"/>
    <w:uiPriority w:val="99"/>
    <w:semiHidden w:val="1"/>
    <w:unhideWhenUsed w:val="1"/>
    <w:rsid w:val="00213365"/>
    <w:rPr>
      <w:sz w:val="18"/>
      <w:szCs w:val="18"/>
    </w:rPr>
  </w:style>
  <w:style w:type="paragraph" w:styleId="Textodecomentrio">
    <w:name w:val="annotation text"/>
    <w:basedOn w:val="Normal"/>
    <w:link w:val="TextodecomentrioChar"/>
    <w:uiPriority w:val="99"/>
    <w:semiHidden w:val="1"/>
    <w:unhideWhenUsed w:val="1"/>
    <w:rsid w:val="00213365"/>
    <w:pPr>
      <w:spacing w:line="240" w:lineRule="auto"/>
    </w:pPr>
  </w:style>
  <w:style w:type="character" w:styleId="TextodecomentrioChar" w:customStyle="1">
    <w:name w:val="Texto de comentário Char"/>
    <w:basedOn w:val="Fontepargpadro"/>
    <w:link w:val="Textodecomentrio"/>
    <w:uiPriority w:val="99"/>
    <w:semiHidden w:val="1"/>
    <w:rsid w:val="00213365"/>
    <w:rPr>
      <w:position w:val="-1"/>
      <w:lang w:eastAsia="pt-BR" w:val="en-US"/>
    </w:rPr>
  </w:style>
  <w:style w:type="paragraph" w:styleId="Assuntodocomentrio">
    <w:name w:val="annotation subject"/>
    <w:basedOn w:val="Textodecomentrio"/>
    <w:next w:val="Textodecomentrio"/>
    <w:link w:val="AssuntodocomentrioChar"/>
    <w:uiPriority w:val="99"/>
    <w:semiHidden w:val="1"/>
    <w:unhideWhenUsed w:val="1"/>
    <w:rsid w:val="00213365"/>
    <w:rPr>
      <w:b w:val="1"/>
      <w:bCs w:val="1"/>
      <w:sz w:val="20"/>
      <w:szCs w:val="20"/>
    </w:rPr>
  </w:style>
  <w:style w:type="character" w:styleId="AssuntodocomentrioChar" w:customStyle="1">
    <w:name w:val="Assunto do comentário Char"/>
    <w:basedOn w:val="TextodecomentrioChar"/>
    <w:link w:val="Assuntodocomentrio"/>
    <w:uiPriority w:val="99"/>
    <w:semiHidden w:val="1"/>
    <w:rsid w:val="00213365"/>
    <w:rPr>
      <w:b w:val="1"/>
      <w:bCs w:val="1"/>
      <w:position w:val="-1"/>
      <w:sz w:val="20"/>
      <w:szCs w:val="20"/>
      <w:lang w:eastAsia="pt-BR" w:val="en-US"/>
    </w:rPr>
  </w:style>
  <w:style w:type="paragraph" w:styleId="Default" w:customStyle="1">
    <w:name w:val="Default"/>
    <w:rsid w:val="00E56BD7"/>
    <w:pPr>
      <w:widowControl w:val="0"/>
      <w:autoSpaceDE w:val="0"/>
      <w:autoSpaceDN w:val="0"/>
      <w:adjustRightInd w:val="0"/>
    </w:pPr>
    <w:rPr>
      <w:color w:val="000000"/>
      <w:lang w:val="en-US"/>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image" Target="media/image3.png"/></Relationships>
</file>

<file path=word/_rels/fontTable.xml.rels><?xml version="1.0" encoding="UTF-8" standalone="yes"?><Relationships xmlns="http://schemas.openxmlformats.org/package/2006/relationships"><Relationship Id="rId1" Type="http://schemas.openxmlformats.org/officeDocument/2006/relationships/font" Target="fonts/Corbel-regular.ttf"/><Relationship Id="rId2" Type="http://schemas.openxmlformats.org/officeDocument/2006/relationships/font" Target="fonts/Corbel-bold.ttf"/><Relationship Id="rId3" Type="http://schemas.openxmlformats.org/officeDocument/2006/relationships/font" Target="fonts/Corbel-italic.ttf"/><Relationship Id="rId4" Type="http://schemas.openxmlformats.org/officeDocument/2006/relationships/font" Target="fonts/Corbel-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A+lhL4IxOKOlGUNmXwLFubqxiA==">CgMxLjAaJAoBMBIfCh0IB0IZCgVBcmlhbBIQQXJpYWwgVW5pY29kZSBNUxokCgExEh8KHQgHQhkKBUFyaWFsEhBBcmlhbCBVbmljb2RlIE1TGiQKATISHwodCAdCGQoFQXJpYWwSEEFyaWFsIFVuaWNvZGUgTVMaJAoBMxIfCh0IB0IZCgVBcmlhbBIQQXJpYWwgVW5pY29kZSBNUxokCgE0Eh8KHQgHQhkKBUFyaWFsEhBBcmlhbCBVbmljb2RlIE1TGh8KATUSGgoYCAlSFAoSdGFibGUuMW00NHBsYng5MzRpGiQKATYSHwodCAdCGQoFQXJpYWwSEEFyaWFsIFVuaWNvZGUgTVM4AHIhMVJKQVoyQjVvWThvUGY5REp1d0c2RDVDc1F5M3JnUGR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2022-09-26T18:00:00Z</dcterms:created>
  <dc:creator>Microsoft Office User</dc:creator>
</cp:coreProperties>
</file>