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06B7B" w14:textId="77777777" w:rsidR="00930E25" w:rsidRPr="000242A7" w:rsidRDefault="00720D0D" w:rsidP="00FF14B4">
      <w:pPr>
        <w:pStyle w:val="Ttulo"/>
        <w:jc w:val="both"/>
        <w:rPr>
          <w:rFonts w:ascii="Times New Roman" w:hAnsi="Times New Roman" w:cs="Times New Roman"/>
          <w:color w:val="000000" w:themeColor="text1"/>
          <w:lang w:val="pt-BR"/>
        </w:rPr>
      </w:pPr>
      <w:r w:rsidRPr="000242A7">
        <w:rPr>
          <w:rFonts w:ascii="Times New Roman" w:hAnsi="Times New Roman" w:cs="Times New Roman"/>
          <w:color w:val="000000" w:themeColor="text1"/>
          <w:lang w:val="pt-BR"/>
        </w:rPr>
        <w:t>Projeto de Pesquisa</w:t>
      </w:r>
    </w:p>
    <w:p w14:paraId="08D7FEC4" w14:textId="58150D7A" w:rsidR="00930E25" w:rsidRPr="000242A7" w:rsidRDefault="00681043" w:rsidP="00FF14B4">
      <w:pPr>
        <w:pStyle w:val="Ttulo1"/>
        <w:jc w:val="both"/>
        <w:rPr>
          <w:rFonts w:ascii="Times New Roman" w:eastAsia="Times New Roman" w:hAnsi="Times New Roman"/>
          <w:color w:val="000000" w:themeColor="text1"/>
          <w:sz w:val="24"/>
          <w:lang w:val="pt-BR"/>
        </w:rPr>
      </w:pPr>
      <w:r>
        <w:rPr>
          <w:rFonts w:ascii="Times New Roman" w:eastAsia="Times New Roman" w:hAnsi="Times New Roman"/>
          <w:color w:val="000000" w:themeColor="text1"/>
          <w:sz w:val="24"/>
          <w:lang w:val="pt-BR"/>
        </w:rPr>
        <w:t>Metadona intravenosa em dose única</w:t>
      </w:r>
      <w:r w:rsidR="000F1681">
        <w:rPr>
          <w:rFonts w:ascii="Times New Roman" w:eastAsia="Times New Roman" w:hAnsi="Times New Roman"/>
          <w:color w:val="000000" w:themeColor="text1"/>
          <w:sz w:val="24"/>
          <w:lang w:val="pt-BR"/>
        </w:rPr>
        <w:t xml:space="preserve"> na indução anestésica</w:t>
      </w:r>
      <w:r>
        <w:rPr>
          <w:rFonts w:ascii="Times New Roman" w:eastAsia="Times New Roman" w:hAnsi="Times New Roman"/>
          <w:color w:val="000000" w:themeColor="text1"/>
          <w:sz w:val="24"/>
          <w:lang w:val="pt-BR"/>
        </w:rPr>
        <w:t xml:space="preserve"> comparad</w:t>
      </w:r>
      <w:r w:rsidR="000F1681">
        <w:rPr>
          <w:rFonts w:ascii="Times New Roman" w:eastAsia="Times New Roman" w:hAnsi="Times New Roman"/>
          <w:color w:val="000000" w:themeColor="text1"/>
          <w:sz w:val="24"/>
          <w:lang w:val="pt-BR"/>
        </w:rPr>
        <w:t>o</w:t>
      </w:r>
      <w:r>
        <w:rPr>
          <w:rFonts w:ascii="Times New Roman" w:eastAsia="Times New Roman" w:hAnsi="Times New Roman"/>
          <w:color w:val="000000" w:themeColor="text1"/>
          <w:sz w:val="24"/>
          <w:lang w:val="pt-BR"/>
        </w:rPr>
        <w:t xml:space="preserve"> </w:t>
      </w:r>
      <w:r w:rsidR="000F1681">
        <w:rPr>
          <w:rFonts w:ascii="Times New Roman" w:eastAsia="Times New Roman" w:hAnsi="Times New Roman"/>
          <w:color w:val="000000" w:themeColor="text1"/>
          <w:sz w:val="24"/>
          <w:lang w:val="pt-BR"/>
        </w:rPr>
        <w:t>ao</w:t>
      </w:r>
      <w:r>
        <w:rPr>
          <w:rFonts w:ascii="Times New Roman" w:eastAsia="Times New Roman" w:hAnsi="Times New Roman"/>
          <w:color w:val="000000" w:themeColor="text1"/>
          <w:sz w:val="24"/>
          <w:lang w:val="pt-BR"/>
        </w:rPr>
        <w:t xml:space="preserve"> fentanil em </w:t>
      </w:r>
      <w:r w:rsidR="00720D0D" w:rsidRPr="000242A7">
        <w:rPr>
          <w:rFonts w:ascii="Times New Roman" w:eastAsia="Times New Roman" w:hAnsi="Times New Roman"/>
          <w:color w:val="000000" w:themeColor="text1"/>
          <w:sz w:val="24"/>
          <w:lang w:val="pt-BR"/>
        </w:rPr>
        <w:t>colecistectomia</w:t>
      </w:r>
      <w:r>
        <w:rPr>
          <w:rFonts w:ascii="Times New Roman" w:eastAsia="Times New Roman" w:hAnsi="Times New Roman"/>
          <w:color w:val="000000" w:themeColor="text1"/>
          <w:sz w:val="24"/>
          <w:lang w:val="pt-BR"/>
        </w:rPr>
        <w:t xml:space="preserve"> videolaparoscópica</w:t>
      </w:r>
      <w:r w:rsidR="00720D0D" w:rsidRPr="000242A7">
        <w:rPr>
          <w:rFonts w:ascii="Times New Roman" w:eastAsia="Times New Roman" w:hAnsi="Times New Roman"/>
          <w:color w:val="000000" w:themeColor="text1"/>
          <w:sz w:val="24"/>
          <w:lang w:val="pt-BR"/>
        </w:rPr>
        <w:t xml:space="preserve">: </w:t>
      </w:r>
      <w:r>
        <w:rPr>
          <w:rFonts w:ascii="Times New Roman" w:eastAsia="Times New Roman" w:hAnsi="Times New Roman"/>
          <w:color w:val="000000" w:themeColor="text1"/>
          <w:sz w:val="24"/>
          <w:lang w:val="pt-BR"/>
        </w:rPr>
        <w:t>ensaio clínico, randomizado e duplo-cego</w:t>
      </w:r>
    </w:p>
    <w:p w14:paraId="7623140D" w14:textId="77777777" w:rsidR="00AF28D8" w:rsidRPr="000242A7" w:rsidRDefault="00AF28D8" w:rsidP="00AF28D8">
      <w:pPr>
        <w:rPr>
          <w:color w:val="000000" w:themeColor="text1"/>
          <w:lang w:val="pt-BR"/>
        </w:rPr>
      </w:pPr>
    </w:p>
    <w:p w14:paraId="388BAE6F" w14:textId="7D810960" w:rsidR="00AF28D8" w:rsidRPr="005A00BA" w:rsidRDefault="00AF28D8" w:rsidP="005A00BA">
      <w:pPr>
        <w:pStyle w:val="PargrafodaLista"/>
        <w:numPr>
          <w:ilvl w:val="0"/>
          <w:numId w:val="10"/>
        </w:numPr>
        <w:spacing w:line="360" w:lineRule="auto"/>
        <w:rPr>
          <w:rFonts w:cs="Times New Roman"/>
          <w:b/>
          <w:bCs/>
          <w:color w:val="000000" w:themeColor="text1"/>
          <w:szCs w:val="24"/>
        </w:rPr>
      </w:pPr>
      <w:r w:rsidRPr="005A00BA">
        <w:rPr>
          <w:rFonts w:cs="Times New Roman"/>
          <w:b/>
          <w:bCs/>
          <w:color w:val="000000" w:themeColor="text1"/>
          <w:szCs w:val="24"/>
        </w:rPr>
        <w:t>Introdução</w:t>
      </w:r>
    </w:p>
    <w:p w14:paraId="04382331" w14:textId="77777777" w:rsidR="00AF28D8" w:rsidRPr="005A00BA" w:rsidRDefault="00AF28D8" w:rsidP="005A00BA">
      <w:pPr>
        <w:spacing w:line="360" w:lineRule="auto"/>
        <w:jc w:val="both"/>
        <w:rPr>
          <w:rFonts w:cs="Times New Roman"/>
          <w:szCs w:val="24"/>
          <w:lang w:val="pt-BR"/>
        </w:rPr>
      </w:pPr>
      <w:r w:rsidRPr="005A00BA">
        <w:rPr>
          <w:rFonts w:cs="Times New Roman"/>
          <w:szCs w:val="24"/>
          <w:lang w:val="pt-BR"/>
        </w:rPr>
        <w:t xml:space="preserve">A colecistectomia, especialmente por via videolaparoscópica, é uma das cirurgias abdominais mais frequentemente realizadas na prática clínica atual. Apesar dos avanços nas técnicas anestésicas e cirúrgicas, a dor pós-operatória e a ocorrência de náuseas e vômitos pós-operatórios (PONV – </w:t>
      </w:r>
      <w:r w:rsidRPr="005A00BA">
        <w:rPr>
          <w:rFonts w:cs="Times New Roman"/>
          <w:i/>
          <w:iCs/>
          <w:szCs w:val="24"/>
          <w:lang w:val="pt-BR"/>
        </w:rPr>
        <w:t>postoperative nausea and vomiting</w:t>
      </w:r>
      <w:r w:rsidRPr="005A00BA">
        <w:rPr>
          <w:rFonts w:cs="Times New Roman"/>
          <w:szCs w:val="24"/>
          <w:lang w:val="pt-BR"/>
        </w:rPr>
        <w:t>) ainda representam desafios significativos para a recuperação dos pacientes, influenciando diretamente no tempo de internação e na satisfação com o cuidado perioperatório [1,2].</w:t>
      </w:r>
    </w:p>
    <w:p w14:paraId="78AAB084" w14:textId="77777777" w:rsidR="00AF28D8" w:rsidRPr="005A00BA" w:rsidRDefault="00AF28D8" w:rsidP="005A00BA">
      <w:pPr>
        <w:spacing w:line="360" w:lineRule="auto"/>
        <w:jc w:val="both"/>
        <w:rPr>
          <w:rFonts w:cs="Times New Roman"/>
          <w:szCs w:val="24"/>
          <w:lang w:val="pt-BR"/>
        </w:rPr>
      </w:pPr>
      <w:r w:rsidRPr="005A00BA">
        <w:rPr>
          <w:rFonts w:cs="Times New Roman"/>
          <w:szCs w:val="24"/>
          <w:lang w:val="pt-BR"/>
        </w:rPr>
        <w:t>O fentanil, um opioide sintético com rápido início de ação e curta duração, é amplamente utilizado na indução anestésica. No entanto, seu perfil farmacológico está associado a uma maior incidência de efeitos adversos, especialmente PONV, além de demandar reavaliações frequentes da dor no pós-operatório imediato [3]. Estima-se que a PONV acometa até 30% dos pacientes cirúrgicos em geral, podendo atingir índices superiores a 70% em populações de alto risco, como mulheres, não fumantes, com histórico prévio de enjoo e uso de opioides no pós-operatório [4]. Esse quadro clínico não apenas compromete o bem-estar do paciente, como também está relacionado a complicações como desidratação, desequilíbrios eletrolíticos, sangramentos de ferida operatória, aumento do tempo de permanência hospitalar e necessidade de readmissão [5].</w:t>
      </w:r>
    </w:p>
    <w:p w14:paraId="4742AE1D" w14:textId="77777777" w:rsidR="00AF28D8" w:rsidRPr="005A00BA" w:rsidRDefault="00AF28D8" w:rsidP="005A00BA">
      <w:pPr>
        <w:spacing w:line="360" w:lineRule="auto"/>
        <w:jc w:val="both"/>
        <w:rPr>
          <w:rFonts w:cs="Times New Roman"/>
          <w:szCs w:val="24"/>
          <w:lang w:val="pt-BR"/>
        </w:rPr>
      </w:pPr>
      <w:r w:rsidRPr="005A00BA">
        <w:rPr>
          <w:rFonts w:cs="Times New Roman"/>
          <w:szCs w:val="24"/>
          <w:lang w:val="pt-BR"/>
        </w:rPr>
        <w:t>Nesse contexto, o protocolo ERAS (</w:t>
      </w:r>
      <w:r w:rsidRPr="005A00BA">
        <w:rPr>
          <w:rFonts w:cs="Times New Roman"/>
          <w:i/>
          <w:iCs/>
          <w:szCs w:val="24"/>
          <w:lang w:val="pt-BR"/>
        </w:rPr>
        <w:t>Enhanced Recovery After Surgery</w:t>
      </w:r>
      <w:r w:rsidRPr="005A00BA">
        <w:rPr>
          <w:rFonts w:cs="Times New Roman"/>
          <w:szCs w:val="24"/>
          <w:lang w:val="pt-BR"/>
        </w:rPr>
        <w:t>) ganha relevância ao propor uma abordagem multimodal e integrada para otimizar a recuperação cirúrgica, com ênfase no controle eficaz da dor e na prevenção da PONV, buscando reduzir o tempo de internação e melhorar os desfechos clínicos e funcionais do paciente [6].</w:t>
      </w:r>
    </w:p>
    <w:p w14:paraId="641E799B" w14:textId="77777777" w:rsidR="00AF28D8" w:rsidRPr="005A00BA" w:rsidRDefault="00AF28D8" w:rsidP="005A00BA">
      <w:pPr>
        <w:spacing w:line="360" w:lineRule="auto"/>
        <w:jc w:val="both"/>
        <w:rPr>
          <w:rFonts w:cs="Times New Roman"/>
          <w:szCs w:val="24"/>
          <w:lang w:val="pt-BR"/>
        </w:rPr>
      </w:pPr>
      <w:r w:rsidRPr="005A00BA">
        <w:rPr>
          <w:rFonts w:cs="Times New Roman"/>
          <w:szCs w:val="24"/>
          <w:lang w:val="pt-BR"/>
        </w:rPr>
        <w:t xml:space="preserve">A metadona surge como uma alternativa promissora ao fentanil nesse cenário. Trata-se de um opioide de longa duração que, além de agonista dos receptores µ-opioides, apresenta ação antagonista sobre os receptores N-metil-D-aspartato (NMDA), os quais estão </w:t>
      </w:r>
      <w:r w:rsidRPr="005A00BA">
        <w:rPr>
          <w:rFonts w:cs="Times New Roman"/>
          <w:szCs w:val="24"/>
          <w:lang w:val="pt-BR"/>
        </w:rPr>
        <w:lastRenderedPageBreak/>
        <w:t>envolvidos na sensibilização central, tolerância a opioides, hiperalgesia e no desenvolvimento de dor crônica [7]. Ademais, a metadona inibe a recaptação de serotonina e noradrenalina, mecanismos que ampliam seu efeito analgésico por vias descendentes modulatórias da dor [8].</w:t>
      </w:r>
    </w:p>
    <w:p w14:paraId="002C1ECE" w14:textId="6C74E61C" w:rsidR="00AF28D8" w:rsidRPr="005A00BA" w:rsidRDefault="00AF28D8" w:rsidP="005A00BA">
      <w:pPr>
        <w:spacing w:line="360" w:lineRule="auto"/>
        <w:jc w:val="both"/>
        <w:rPr>
          <w:rFonts w:cs="Times New Roman"/>
          <w:szCs w:val="24"/>
          <w:lang w:val="pt-BR"/>
        </w:rPr>
      </w:pPr>
      <w:r w:rsidRPr="005A00BA">
        <w:rPr>
          <w:rFonts w:cs="Times New Roman"/>
          <w:szCs w:val="24"/>
          <w:lang w:val="pt-BR"/>
        </w:rPr>
        <w:t xml:space="preserve">Sua farmacocinética, caracterizada por início de ação relativamente rápido e meia-vida longa (24 a 36 horas), permite um efeito analgésico prolongado, reduzindo a necessidade de opioides adicionais no pós-operatório [9]. Estudos recentes demonstraram que a administração de metadona na indução anestésica pode proporcionar melhor controle da dor, menor consumo de opioides no pós-operatório e redução da incidência de PONV, especialmente quando comparada a opioides de curta duração como o fentanil [10,11]. </w:t>
      </w:r>
      <w:r w:rsidR="002E086C" w:rsidRPr="005A00BA">
        <w:rPr>
          <w:rFonts w:cs="Times New Roman"/>
          <w:szCs w:val="24"/>
          <w:lang w:val="pt-BR"/>
        </w:rPr>
        <w:t>Esses achados foram corroborados por Pontes et al. (2021), que observaram melhora significativa na qualidade da recuperação pós-operatória em pacientes submetidos à gastroplastia videolaparoscópica com uso intraoperatório de metadona, em comparação ao uso de morfina, incluindo menor incidência de náuseas e vômitos, menor necessidade de analgésicos adicionais e melhores escores de dor no pós-operatório imediato [12]. Acredita-se que essa redução esteja relacionada à estabilidade farmacocinética da metadona e à diminuição do uso de opioides de resgate, frequentemente associados ao desencadeamento de náuseas e vômitos.</w:t>
      </w:r>
    </w:p>
    <w:p w14:paraId="11924F13" w14:textId="66ECCDC0" w:rsidR="004F39D5" w:rsidRPr="005A00BA" w:rsidRDefault="00195931" w:rsidP="005A00BA">
      <w:pPr>
        <w:spacing w:line="360" w:lineRule="auto"/>
        <w:jc w:val="both"/>
        <w:rPr>
          <w:rFonts w:cs="Times New Roman"/>
          <w:szCs w:val="24"/>
          <w:lang w:val="pt-BR"/>
        </w:rPr>
      </w:pPr>
      <w:r w:rsidRPr="005A00BA">
        <w:rPr>
          <w:rFonts w:cs="Times New Roman"/>
          <w:szCs w:val="24"/>
          <w:lang w:val="pt-BR"/>
        </w:rPr>
        <w:t>O uso de metadona já foi descrito em cirurgias videolaparoscópicas mostrando segurança e redução do consumo de opioides quando comparado à clonidina</w:t>
      </w:r>
      <w:r w:rsidR="002960A0">
        <w:rPr>
          <w:rFonts w:cs="Times New Roman"/>
          <w:szCs w:val="24"/>
          <w:lang w:val="pt-BR"/>
        </w:rPr>
        <w:t xml:space="preserve"> [21]</w:t>
      </w:r>
      <w:r w:rsidRPr="005A00BA">
        <w:rPr>
          <w:rFonts w:cs="Times New Roman"/>
          <w:szCs w:val="24"/>
          <w:lang w:val="pt-BR"/>
        </w:rPr>
        <w:t>. Em colecistectomia videolaparoscópica isoladamente, os estudos são com pequeno número de pacientes, mas mostraram menor consumo intra e pós-operatório de opioides no grupo em que a metadona foi utilizada em comparação com opioides de curta duração como fentanil ou oxicodona</w:t>
      </w:r>
      <w:r w:rsidR="0087020A" w:rsidRPr="005A00BA">
        <w:rPr>
          <w:rFonts w:cs="Times New Roman"/>
          <w:szCs w:val="24"/>
          <w:lang w:val="pt-BR"/>
        </w:rPr>
        <w:t xml:space="preserve"> com efeitos adversos similares</w:t>
      </w:r>
      <w:r w:rsidR="008E7C0F">
        <w:rPr>
          <w:rFonts w:cs="Times New Roman"/>
          <w:szCs w:val="24"/>
          <w:lang w:val="pt-BR"/>
        </w:rPr>
        <w:t xml:space="preserve"> [22]</w:t>
      </w:r>
      <w:r w:rsidRPr="005A00BA">
        <w:rPr>
          <w:rFonts w:cs="Times New Roman"/>
          <w:szCs w:val="24"/>
          <w:lang w:val="pt-BR"/>
        </w:rPr>
        <w:t>.</w:t>
      </w:r>
    </w:p>
    <w:p w14:paraId="37A6831A" w14:textId="77777777" w:rsidR="00AF28D8" w:rsidRPr="005A00BA" w:rsidRDefault="00AF28D8" w:rsidP="005A00BA">
      <w:pPr>
        <w:spacing w:line="360" w:lineRule="auto"/>
        <w:jc w:val="both"/>
        <w:rPr>
          <w:rFonts w:cs="Times New Roman"/>
          <w:szCs w:val="24"/>
          <w:lang w:val="pt-BR"/>
        </w:rPr>
      </w:pPr>
      <w:r w:rsidRPr="005A00BA">
        <w:rPr>
          <w:rFonts w:cs="Times New Roman"/>
          <w:szCs w:val="24"/>
          <w:lang w:val="pt-BR"/>
        </w:rPr>
        <w:t xml:space="preserve">Outro aspecto relevante é a prevenção da dor crônica pós-operatória, uma complicação potencialmente incapacitante que pode se desenvolver a partir de episódios de dor aguda mal controlada. A sensibilização de receptores periféricos e centrais contribui para a manutenção da dor crônica, definida como aquela que persiste por mais de três meses após o término do processo cicatricial esperado [13]. Nesse sentido, estratégias que promovam </w:t>
      </w:r>
      <w:r w:rsidRPr="005A00BA">
        <w:rPr>
          <w:rFonts w:cs="Times New Roman"/>
          <w:szCs w:val="24"/>
          <w:lang w:val="pt-BR"/>
        </w:rPr>
        <w:lastRenderedPageBreak/>
        <w:t>um controle analgésico eficaz desde o intraoperatório, como o uso de metadona, podem contribuir para a prevenção desse desfecho indesejado [7,13].</w:t>
      </w:r>
    </w:p>
    <w:p w14:paraId="032BC533" w14:textId="1F4FF6B7" w:rsidR="00EF4505" w:rsidRPr="005A00BA" w:rsidRDefault="00EF4505" w:rsidP="005A00BA">
      <w:pPr>
        <w:pStyle w:val="Ttulo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5A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BR"/>
        </w:rPr>
        <w:t>2. Hipótese</w:t>
      </w:r>
    </w:p>
    <w:p w14:paraId="4138EFD2" w14:textId="7DD33485" w:rsidR="00EF4505" w:rsidRPr="005A00BA" w:rsidRDefault="00EF4505" w:rsidP="005A00BA">
      <w:pPr>
        <w:pStyle w:val="Ttulo2"/>
        <w:spacing w:line="360" w:lineRule="auto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pt-BR"/>
        </w:rPr>
      </w:pPr>
      <w:r w:rsidRPr="005A00B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pt-BR"/>
        </w:rPr>
        <w:t>A administração de metadona durante a indução anestésica</w:t>
      </w:r>
      <w:r w:rsidR="000242A7" w:rsidRPr="005A00B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pt-BR"/>
        </w:rPr>
        <w:t xml:space="preserve"> em dose única</w:t>
      </w:r>
      <w:r w:rsidRPr="005A00B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pt-BR"/>
        </w:rPr>
        <w:t xml:space="preserve"> em pacientes submetidos à colecistectomia videolaparoscópica resulta em menor</w:t>
      </w:r>
      <w:r w:rsidR="000242A7" w:rsidRPr="005A00B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pt-BR"/>
        </w:rPr>
        <w:t xml:space="preserve"> incidência de desfecho composto por</w:t>
      </w:r>
      <w:r w:rsidRPr="005A00B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pt-BR"/>
        </w:rPr>
        <w:t xml:space="preserve"> intensidade</w:t>
      </w:r>
      <w:r w:rsidR="000242A7" w:rsidRPr="005A00B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pt-BR"/>
        </w:rPr>
        <w:t xml:space="preserve"> moderada/intensa</w:t>
      </w:r>
      <w:r w:rsidRPr="005A00B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pt-BR"/>
        </w:rPr>
        <w:t xml:space="preserve"> de dor pós-operatória</w:t>
      </w:r>
      <w:r w:rsidR="000242A7" w:rsidRPr="005A00B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pt-BR"/>
        </w:rPr>
        <w:t xml:space="preserve"> e</w:t>
      </w:r>
      <w:r w:rsidRPr="005A00B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pt-BR"/>
        </w:rPr>
        <w:t xml:space="preserve"> menor incidência de náuseas e vômitos, quando comparada à indução com fentanil.</w:t>
      </w:r>
    </w:p>
    <w:p w14:paraId="242AE483" w14:textId="77777777" w:rsidR="00EF4505" w:rsidRPr="005A00BA" w:rsidRDefault="00EF4505" w:rsidP="005A00BA">
      <w:pPr>
        <w:spacing w:line="360" w:lineRule="auto"/>
        <w:rPr>
          <w:rFonts w:cs="Times New Roman"/>
          <w:szCs w:val="24"/>
          <w:lang w:val="pt-BR"/>
        </w:rPr>
      </w:pPr>
    </w:p>
    <w:p w14:paraId="50A79CCF" w14:textId="77777777" w:rsidR="00EF4505" w:rsidRPr="005A00BA" w:rsidRDefault="00EF4505" w:rsidP="005A00BA">
      <w:pPr>
        <w:pStyle w:val="Ttulo2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BR"/>
        </w:rPr>
      </w:pPr>
      <w:r w:rsidRPr="005A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BR"/>
        </w:rPr>
        <w:t>3. Objetivos</w:t>
      </w:r>
    </w:p>
    <w:p w14:paraId="7C0575B8" w14:textId="77777777" w:rsidR="004636A5" w:rsidRPr="005A00BA" w:rsidRDefault="004636A5" w:rsidP="005A00BA">
      <w:pPr>
        <w:spacing w:line="360" w:lineRule="auto"/>
        <w:rPr>
          <w:rFonts w:cs="Times New Roman"/>
          <w:szCs w:val="24"/>
          <w:lang w:val="pt-BR"/>
        </w:rPr>
      </w:pPr>
    </w:p>
    <w:p w14:paraId="2D329365" w14:textId="77777777" w:rsidR="00E1591D" w:rsidRDefault="00EF4505" w:rsidP="00E1591D">
      <w:pPr>
        <w:spacing w:line="360" w:lineRule="auto"/>
        <w:jc w:val="both"/>
        <w:rPr>
          <w:rFonts w:cs="Times New Roman"/>
          <w:b/>
          <w:bCs/>
          <w:szCs w:val="24"/>
          <w:lang w:val="pt-BR"/>
        </w:rPr>
      </w:pPr>
      <w:r w:rsidRPr="005A00BA">
        <w:rPr>
          <w:rFonts w:cs="Times New Roman"/>
          <w:b/>
          <w:bCs/>
          <w:szCs w:val="24"/>
          <w:lang w:val="pt-BR"/>
        </w:rPr>
        <w:t>Objetivo geral</w:t>
      </w:r>
    </w:p>
    <w:p w14:paraId="493797A0" w14:textId="084D445D" w:rsidR="00EF4505" w:rsidRPr="005A00BA" w:rsidRDefault="00EF4505" w:rsidP="00E1591D">
      <w:pPr>
        <w:spacing w:line="360" w:lineRule="auto"/>
        <w:jc w:val="both"/>
        <w:rPr>
          <w:rFonts w:cs="Times New Roman"/>
          <w:szCs w:val="24"/>
          <w:lang w:val="pt-BR"/>
        </w:rPr>
      </w:pPr>
      <w:r w:rsidRPr="005A00BA">
        <w:rPr>
          <w:rFonts w:cs="Times New Roman"/>
          <w:szCs w:val="24"/>
          <w:lang w:val="pt-BR"/>
        </w:rPr>
        <w:t>Comparar os efeitos da metadona versus o fentanil na indução anestésica</w:t>
      </w:r>
      <w:r w:rsidR="004F39D5" w:rsidRPr="005A00BA">
        <w:rPr>
          <w:rFonts w:cs="Times New Roman"/>
          <w:szCs w:val="24"/>
          <w:lang w:val="pt-BR"/>
        </w:rPr>
        <w:t xml:space="preserve"> em dose única</w:t>
      </w:r>
      <w:r w:rsidRPr="005A00BA">
        <w:rPr>
          <w:rFonts w:cs="Times New Roman"/>
          <w:szCs w:val="24"/>
          <w:lang w:val="pt-BR"/>
        </w:rPr>
        <w:t xml:space="preserve"> de pacientes submetidos à colecistectomia videolaparoscópica, com ênfase na dor pós-operatória</w:t>
      </w:r>
      <w:r w:rsidR="000242A7" w:rsidRPr="005A00BA">
        <w:rPr>
          <w:rFonts w:cs="Times New Roman"/>
          <w:szCs w:val="24"/>
          <w:lang w:val="pt-BR"/>
        </w:rPr>
        <w:t xml:space="preserve"> moderada/intensa e</w:t>
      </w:r>
      <w:r w:rsidRPr="005A00BA">
        <w:rPr>
          <w:rFonts w:cs="Times New Roman"/>
          <w:szCs w:val="24"/>
          <w:lang w:val="pt-BR"/>
        </w:rPr>
        <w:t xml:space="preserve"> na incidência de náuseas e vômitos (PONV)</w:t>
      </w:r>
      <w:r w:rsidR="000242A7" w:rsidRPr="005A00BA">
        <w:rPr>
          <w:rFonts w:cs="Times New Roman"/>
          <w:szCs w:val="24"/>
          <w:lang w:val="pt-BR"/>
        </w:rPr>
        <w:t>.</w:t>
      </w:r>
    </w:p>
    <w:p w14:paraId="74C0BA93" w14:textId="77777777" w:rsidR="00EF4505" w:rsidRPr="005A00BA" w:rsidRDefault="00EF4505" w:rsidP="005A00BA">
      <w:pPr>
        <w:spacing w:line="360" w:lineRule="auto"/>
        <w:jc w:val="both"/>
        <w:rPr>
          <w:rFonts w:cs="Times New Roman"/>
          <w:szCs w:val="24"/>
          <w:lang w:val="pt-BR"/>
        </w:rPr>
      </w:pPr>
      <w:r w:rsidRPr="005A00BA">
        <w:rPr>
          <w:rFonts w:cs="Times New Roman"/>
          <w:b/>
          <w:bCs/>
          <w:szCs w:val="24"/>
          <w:lang w:val="pt-BR"/>
        </w:rPr>
        <w:t>Objetivos específicos</w:t>
      </w:r>
    </w:p>
    <w:p w14:paraId="20C2975C" w14:textId="79FC0A41" w:rsidR="00EF4505" w:rsidRPr="005A00BA" w:rsidRDefault="00EF4505" w:rsidP="005A00BA">
      <w:pPr>
        <w:numPr>
          <w:ilvl w:val="0"/>
          <w:numId w:val="11"/>
        </w:numPr>
        <w:spacing w:line="360" w:lineRule="auto"/>
        <w:jc w:val="both"/>
        <w:rPr>
          <w:rFonts w:cs="Times New Roman"/>
          <w:szCs w:val="24"/>
          <w:lang w:val="pt-BR"/>
        </w:rPr>
      </w:pPr>
      <w:r w:rsidRPr="005A00BA">
        <w:rPr>
          <w:rFonts w:cs="Times New Roman"/>
          <w:color w:val="000000" w:themeColor="text1"/>
          <w:szCs w:val="24"/>
          <w:lang w:val="pt-BR"/>
        </w:rPr>
        <w:t>Avaliar a intensidade da dor na</w:t>
      </w:r>
      <w:r w:rsidR="0087020A" w:rsidRPr="005A00BA">
        <w:rPr>
          <w:rFonts w:cs="Times New Roman"/>
          <w:color w:val="000000" w:themeColor="text1"/>
          <w:szCs w:val="24"/>
          <w:lang w:val="pt-BR"/>
        </w:rPr>
        <w:t xml:space="preserve"> primeira hora após a cirurgia (15, </w:t>
      </w:r>
      <w:r w:rsidR="00E40FEE" w:rsidRPr="005A00BA">
        <w:rPr>
          <w:rFonts w:cs="Times New Roman"/>
          <w:color w:val="000000" w:themeColor="text1"/>
          <w:szCs w:val="24"/>
          <w:lang w:val="pt-BR"/>
        </w:rPr>
        <w:t>30</w:t>
      </w:r>
      <w:r w:rsidR="0087020A" w:rsidRPr="005A00BA">
        <w:rPr>
          <w:rFonts w:cs="Times New Roman"/>
          <w:color w:val="000000" w:themeColor="text1"/>
          <w:szCs w:val="24"/>
          <w:lang w:val="pt-BR"/>
        </w:rPr>
        <w:t>, 45 e 60 minutos)</w:t>
      </w:r>
      <w:r w:rsidR="00E7087D" w:rsidRPr="005A00BA">
        <w:rPr>
          <w:rFonts w:cs="Times New Roman"/>
          <w:color w:val="000000" w:themeColor="text1"/>
          <w:szCs w:val="24"/>
          <w:lang w:val="pt-BR"/>
        </w:rPr>
        <w:t>,</w:t>
      </w:r>
      <w:r w:rsidRPr="005A00BA">
        <w:rPr>
          <w:rFonts w:cs="Times New Roman"/>
          <w:color w:val="000000" w:themeColor="text1"/>
          <w:szCs w:val="24"/>
          <w:lang w:val="pt-BR"/>
        </w:rPr>
        <w:t xml:space="preserve"> </w:t>
      </w:r>
      <w:r w:rsidR="0087020A" w:rsidRPr="005A00BA">
        <w:rPr>
          <w:rFonts w:cs="Times New Roman"/>
          <w:color w:val="000000" w:themeColor="text1"/>
          <w:szCs w:val="24"/>
          <w:lang w:val="pt-BR"/>
        </w:rPr>
        <w:t>6</w:t>
      </w:r>
      <w:r w:rsidR="00E7087D" w:rsidRPr="005A00BA">
        <w:rPr>
          <w:rFonts w:cs="Times New Roman"/>
          <w:color w:val="000000" w:themeColor="text1"/>
          <w:szCs w:val="24"/>
          <w:lang w:val="pt-BR"/>
        </w:rPr>
        <w:t xml:space="preserve"> e 12</w:t>
      </w:r>
      <w:r w:rsidR="004636A5" w:rsidRPr="005A00BA">
        <w:rPr>
          <w:rFonts w:cs="Times New Roman"/>
          <w:color w:val="000000" w:themeColor="text1"/>
          <w:szCs w:val="24"/>
          <w:lang w:val="pt-BR"/>
        </w:rPr>
        <w:t xml:space="preserve"> </w:t>
      </w:r>
      <w:r w:rsidRPr="005A00BA">
        <w:rPr>
          <w:rFonts w:cs="Times New Roman"/>
          <w:color w:val="000000" w:themeColor="text1"/>
          <w:szCs w:val="24"/>
          <w:lang w:val="pt-BR"/>
        </w:rPr>
        <w:t xml:space="preserve">horas após a cirurgia nos grupos </w:t>
      </w:r>
      <w:r w:rsidRPr="005A00BA">
        <w:rPr>
          <w:rFonts w:cs="Times New Roman"/>
          <w:szCs w:val="24"/>
          <w:lang w:val="pt-BR"/>
        </w:rPr>
        <w:t>submetidos à indução com metadona ou fentanil.</w:t>
      </w:r>
    </w:p>
    <w:p w14:paraId="643564EF" w14:textId="77777777" w:rsidR="00EF4505" w:rsidRPr="005A00BA" w:rsidRDefault="00EF4505" w:rsidP="005A00BA">
      <w:pPr>
        <w:numPr>
          <w:ilvl w:val="0"/>
          <w:numId w:val="11"/>
        </w:numPr>
        <w:spacing w:line="360" w:lineRule="auto"/>
        <w:jc w:val="both"/>
        <w:rPr>
          <w:rFonts w:cs="Times New Roman"/>
          <w:szCs w:val="24"/>
          <w:lang w:val="pt-BR"/>
        </w:rPr>
      </w:pPr>
      <w:r w:rsidRPr="005A00BA">
        <w:rPr>
          <w:rFonts w:cs="Times New Roman"/>
          <w:szCs w:val="24"/>
          <w:lang w:val="pt-BR"/>
        </w:rPr>
        <w:t>Comparar a incidência de PONV entre os dois grupos durante o período pós-operatório imediato.</w:t>
      </w:r>
    </w:p>
    <w:p w14:paraId="6F6E0DB9" w14:textId="77777777" w:rsidR="00EF4505" w:rsidRPr="005A00BA" w:rsidRDefault="00EF4505" w:rsidP="005A00BA">
      <w:pPr>
        <w:numPr>
          <w:ilvl w:val="0"/>
          <w:numId w:val="11"/>
        </w:numPr>
        <w:spacing w:line="360" w:lineRule="auto"/>
        <w:jc w:val="both"/>
        <w:rPr>
          <w:rFonts w:cs="Times New Roman"/>
          <w:szCs w:val="24"/>
          <w:lang w:val="pt-BR"/>
        </w:rPr>
      </w:pPr>
      <w:r w:rsidRPr="005A00BA">
        <w:rPr>
          <w:rFonts w:cs="Times New Roman"/>
          <w:szCs w:val="24"/>
          <w:lang w:val="pt-BR"/>
        </w:rPr>
        <w:t>Quantificar o consumo de opioides no pós-operatório em ambos os grupos.</w:t>
      </w:r>
    </w:p>
    <w:p w14:paraId="6C11576F" w14:textId="77777777" w:rsidR="00EF4505" w:rsidRPr="005A00BA" w:rsidRDefault="00EF4505" w:rsidP="005A00BA">
      <w:pPr>
        <w:numPr>
          <w:ilvl w:val="0"/>
          <w:numId w:val="11"/>
        </w:numPr>
        <w:spacing w:line="360" w:lineRule="auto"/>
        <w:jc w:val="both"/>
        <w:rPr>
          <w:rFonts w:cs="Times New Roman"/>
          <w:szCs w:val="24"/>
          <w:lang w:val="pt-BR"/>
        </w:rPr>
      </w:pPr>
      <w:r w:rsidRPr="005A00BA">
        <w:rPr>
          <w:rFonts w:cs="Times New Roman"/>
          <w:szCs w:val="24"/>
          <w:lang w:val="pt-BR"/>
        </w:rPr>
        <w:t>Investigar a relação entre a analgesia proporcionada e a ocorrência de PONV.</w:t>
      </w:r>
    </w:p>
    <w:p w14:paraId="70542672" w14:textId="77777777" w:rsidR="00EF4505" w:rsidRPr="005A00BA" w:rsidRDefault="00EF4505" w:rsidP="005A00BA">
      <w:pPr>
        <w:numPr>
          <w:ilvl w:val="0"/>
          <w:numId w:val="11"/>
        </w:numPr>
        <w:spacing w:line="360" w:lineRule="auto"/>
        <w:jc w:val="both"/>
        <w:rPr>
          <w:rFonts w:cs="Times New Roman"/>
          <w:szCs w:val="24"/>
          <w:lang w:val="pt-BR"/>
        </w:rPr>
      </w:pPr>
      <w:r w:rsidRPr="005A00BA">
        <w:rPr>
          <w:rFonts w:cs="Times New Roman"/>
          <w:szCs w:val="24"/>
          <w:lang w:val="pt-BR"/>
        </w:rPr>
        <w:t>Avaliar a possível associação entre a escolha do opioide na indução e o tempo de internação hospitalar.</w:t>
      </w:r>
    </w:p>
    <w:p w14:paraId="2B8407CB" w14:textId="418F7E3A" w:rsidR="00EF4505" w:rsidRPr="005A00BA" w:rsidRDefault="00EF4505" w:rsidP="005A00BA">
      <w:pPr>
        <w:numPr>
          <w:ilvl w:val="0"/>
          <w:numId w:val="12"/>
        </w:numPr>
        <w:spacing w:line="360" w:lineRule="auto"/>
        <w:jc w:val="both"/>
        <w:rPr>
          <w:rFonts w:cs="Times New Roman"/>
          <w:szCs w:val="24"/>
          <w:lang w:val="pt-BR"/>
        </w:rPr>
      </w:pPr>
      <w:r w:rsidRPr="005A00BA">
        <w:rPr>
          <w:rFonts w:cs="Times New Roman"/>
          <w:szCs w:val="24"/>
          <w:lang w:val="pt-BR"/>
        </w:rPr>
        <w:t xml:space="preserve">Verificar a ocorrência de </w:t>
      </w:r>
      <w:r w:rsidR="0087020A" w:rsidRPr="005A00BA">
        <w:rPr>
          <w:rFonts w:cs="Times New Roman"/>
          <w:szCs w:val="24"/>
          <w:lang w:val="pt-BR"/>
        </w:rPr>
        <w:t>sedação</w:t>
      </w:r>
      <w:r w:rsidRPr="005A00BA">
        <w:rPr>
          <w:rFonts w:cs="Times New Roman"/>
          <w:szCs w:val="24"/>
          <w:lang w:val="pt-BR"/>
        </w:rPr>
        <w:t xml:space="preserve"> </w:t>
      </w:r>
      <w:r w:rsidR="0087020A" w:rsidRPr="005A00BA">
        <w:rPr>
          <w:rFonts w:cs="Times New Roman"/>
          <w:szCs w:val="24"/>
          <w:lang w:val="pt-BR"/>
        </w:rPr>
        <w:t>em ambos os grupos</w:t>
      </w:r>
      <w:r w:rsidRPr="005A00BA">
        <w:rPr>
          <w:rFonts w:cs="Times New Roman"/>
          <w:szCs w:val="24"/>
          <w:lang w:val="pt-BR"/>
        </w:rPr>
        <w:t>.</w:t>
      </w:r>
    </w:p>
    <w:p w14:paraId="0EB63D43" w14:textId="04384A18" w:rsidR="0087020A" w:rsidRPr="005A00BA" w:rsidRDefault="0087020A" w:rsidP="005A00BA">
      <w:pPr>
        <w:numPr>
          <w:ilvl w:val="0"/>
          <w:numId w:val="12"/>
        </w:numPr>
        <w:spacing w:line="360" w:lineRule="auto"/>
        <w:jc w:val="both"/>
        <w:rPr>
          <w:rFonts w:cs="Times New Roman"/>
          <w:szCs w:val="24"/>
          <w:lang w:val="pt-BR"/>
        </w:rPr>
      </w:pPr>
      <w:r w:rsidRPr="005A00BA">
        <w:rPr>
          <w:rFonts w:cs="Times New Roman"/>
          <w:szCs w:val="24"/>
          <w:lang w:val="pt-BR"/>
        </w:rPr>
        <w:lastRenderedPageBreak/>
        <w:t>Registrar outros efeitos adversos associados aos opioides (retenção urinária, prurido, depressão respiratória).</w:t>
      </w:r>
    </w:p>
    <w:p w14:paraId="2BBB05A0" w14:textId="77777777" w:rsidR="00AF28D8" w:rsidRPr="005A00BA" w:rsidRDefault="00AF28D8" w:rsidP="005A00BA">
      <w:pPr>
        <w:spacing w:line="360" w:lineRule="auto"/>
        <w:jc w:val="both"/>
        <w:rPr>
          <w:rFonts w:cs="Times New Roman"/>
          <w:szCs w:val="24"/>
          <w:lang w:val="pt-BR"/>
        </w:rPr>
      </w:pPr>
    </w:p>
    <w:p w14:paraId="7F940EF8" w14:textId="17C77A87" w:rsidR="00930E25" w:rsidRPr="005A00BA" w:rsidRDefault="00EF4505" w:rsidP="005A00BA">
      <w:pPr>
        <w:pStyle w:val="Ttulo2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BR"/>
        </w:rPr>
      </w:pPr>
      <w:r w:rsidRPr="005A00B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BR"/>
        </w:rPr>
        <w:t>4. Justificativa</w:t>
      </w:r>
    </w:p>
    <w:p w14:paraId="3D3FC863" w14:textId="77777777" w:rsidR="00B8118D" w:rsidRPr="005A00BA" w:rsidRDefault="00B8118D" w:rsidP="005A00BA">
      <w:pPr>
        <w:spacing w:line="360" w:lineRule="auto"/>
        <w:rPr>
          <w:rFonts w:cs="Times New Roman"/>
          <w:szCs w:val="24"/>
          <w:lang w:val="pt-BR"/>
        </w:rPr>
      </w:pPr>
    </w:p>
    <w:p w14:paraId="580D14CC" w14:textId="77777777" w:rsidR="00B8118D" w:rsidRPr="005A00BA" w:rsidRDefault="00B8118D" w:rsidP="005A00BA">
      <w:pPr>
        <w:spacing w:line="360" w:lineRule="auto"/>
        <w:jc w:val="both"/>
        <w:rPr>
          <w:rFonts w:cs="Times New Roman"/>
          <w:szCs w:val="24"/>
          <w:lang w:val="pt-BR"/>
        </w:rPr>
      </w:pPr>
      <w:r w:rsidRPr="005A00BA">
        <w:rPr>
          <w:rFonts w:cs="Times New Roman"/>
          <w:szCs w:val="24"/>
          <w:lang w:val="pt-BR"/>
        </w:rPr>
        <w:t>A dor pós-operatória e a ocorrência de náuseas e vômitos (PONV) continuam sendo complicações frequentes após a colecistectomia videolaparoscópica, mesmo com os avanços nas técnicas anestésicas. Esses eventos adversos não apenas comprometem o conforto e a segurança do paciente, como também podem prolongar a internação, aumentar os custos hospitalares e prejudicar os desfechos funcionais [1,2].</w:t>
      </w:r>
    </w:p>
    <w:p w14:paraId="08E3C18F" w14:textId="77777777" w:rsidR="00B8118D" w:rsidRPr="005A00BA" w:rsidRDefault="00B8118D" w:rsidP="005A00BA">
      <w:pPr>
        <w:spacing w:line="360" w:lineRule="auto"/>
        <w:jc w:val="both"/>
        <w:rPr>
          <w:rFonts w:cs="Times New Roman"/>
          <w:szCs w:val="24"/>
          <w:lang w:val="pt-BR"/>
        </w:rPr>
      </w:pPr>
      <w:r w:rsidRPr="005A00BA">
        <w:rPr>
          <w:rFonts w:cs="Times New Roman"/>
          <w:szCs w:val="24"/>
          <w:lang w:val="pt-BR"/>
        </w:rPr>
        <w:t>No contexto das diretrizes do protocolo ERAS (</w:t>
      </w:r>
      <w:r w:rsidRPr="005A00BA">
        <w:rPr>
          <w:rFonts w:cs="Times New Roman"/>
          <w:i/>
          <w:iCs/>
          <w:szCs w:val="24"/>
          <w:lang w:val="pt-BR"/>
        </w:rPr>
        <w:t>Enhanced Recovery After Surgery</w:t>
      </w:r>
      <w:r w:rsidRPr="005A00BA">
        <w:rPr>
          <w:rFonts w:cs="Times New Roman"/>
          <w:szCs w:val="24"/>
          <w:lang w:val="pt-BR"/>
        </w:rPr>
        <w:t>), há um foco crescente na adoção de estratégias que promovam analgesia eficaz, minimizem efeitos colaterais e favoreçam a recuperação precoce. A escolha adequada do opioide utilizado na indução anestésica torna-se, portanto, um elemento-chave na condução do cuidado perioperatório [3,4].</w:t>
      </w:r>
    </w:p>
    <w:p w14:paraId="2485508F" w14:textId="77777777" w:rsidR="00B8118D" w:rsidRPr="005A00BA" w:rsidRDefault="00B8118D" w:rsidP="005A00BA">
      <w:pPr>
        <w:spacing w:line="360" w:lineRule="auto"/>
        <w:jc w:val="both"/>
        <w:rPr>
          <w:rFonts w:cs="Times New Roman"/>
          <w:szCs w:val="24"/>
          <w:lang w:val="pt-BR"/>
        </w:rPr>
      </w:pPr>
      <w:r w:rsidRPr="005A00BA">
        <w:rPr>
          <w:rFonts w:cs="Times New Roman"/>
          <w:szCs w:val="24"/>
          <w:lang w:val="pt-BR"/>
        </w:rPr>
        <w:t>O fentanil, embora eficaz no controle imediato da dor, está associado a maior incidência de PONV e requer monitoramento contínuo da dor no pós-operatório, frequentemente exigindo doses adicionais de opioides de curta duração [5]. Esse padrão pode contribuir para o ciclo de hiperalgesia e tolerância, além de aumentar a exposição a efeitos adversos típicos dos opioides.</w:t>
      </w:r>
    </w:p>
    <w:p w14:paraId="29704DF9" w14:textId="77777777" w:rsidR="00B8118D" w:rsidRPr="005A00BA" w:rsidRDefault="00B8118D" w:rsidP="005A00BA">
      <w:pPr>
        <w:spacing w:line="360" w:lineRule="auto"/>
        <w:jc w:val="both"/>
        <w:rPr>
          <w:rFonts w:cs="Times New Roman"/>
          <w:szCs w:val="24"/>
          <w:lang w:val="pt-BR"/>
        </w:rPr>
      </w:pPr>
      <w:r w:rsidRPr="005A00BA">
        <w:rPr>
          <w:rFonts w:cs="Times New Roman"/>
          <w:szCs w:val="24"/>
          <w:lang w:val="pt-BR"/>
        </w:rPr>
        <w:t>A metadona, por sua vez, apresenta propriedades farmacológicas que a tornam uma opção potencialmente superior para essa finalidade. Com ação prolongada, antagonismo dos receptores NMDA e inibição da recaptação de serotonina e noradrenalina, a metadona oferece um perfil analgésico mais duradouro e estável [6,7]. Estudos recentes sugerem que sua administração única durante a indução anestésica pode reduzir significativamente o consumo de opioides no pós-operatório, melhorar o controle da dor e reduzir a incidência de PONV [8,9].</w:t>
      </w:r>
    </w:p>
    <w:p w14:paraId="546C22FF" w14:textId="77777777" w:rsidR="00B8118D" w:rsidRPr="005A00BA" w:rsidRDefault="00B8118D" w:rsidP="005A00BA">
      <w:pPr>
        <w:spacing w:line="360" w:lineRule="auto"/>
        <w:jc w:val="both"/>
        <w:rPr>
          <w:rFonts w:cs="Times New Roman"/>
          <w:szCs w:val="24"/>
          <w:lang w:val="pt-BR"/>
        </w:rPr>
      </w:pPr>
      <w:r w:rsidRPr="005A00BA">
        <w:rPr>
          <w:rFonts w:cs="Times New Roman"/>
          <w:szCs w:val="24"/>
          <w:lang w:val="pt-BR"/>
        </w:rPr>
        <w:lastRenderedPageBreak/>
        <w:t>Além disso, um controle inadequado da dor aguda está diretamente relacionado ao risco de cronificação, especialmente em cirurgias abdominais [10]. Assim, investigar alternativas como a metadona pode ter impacto não apenas na analgesia imediata, mas também na prevenção da dor crônica pós-cirúrgica.</w:t>
      </w:r>
    </w:p>
    <w:p w14:paraId="6E0F319C" w14:textId="7F251571" w:rsidR="00930E25" w:rsidRPr="005A00BA" w:rsidRDefault="00B8118D" w:rsidP="005A00BA">
      <w:pPr>
        <w:spacing w:line="360" w:lineRule="auto"/>
        <w:jc w:val="both"/>
        <w:rPr>
          <w:rFonts w:cs="Times New Roman"/>
          <w:szCs w:val="24"/>
          <w:lang w:val="pt-BR"/>
        </w:rPr>
      </w:pPr>
      <w:r w:rsidRPr="005A00BA">
        <w:rPr>
          <w:rFonts w:cs="Times New Roman"/>
          <w:szCs w:val="24"/>
          <w:lang w:val="pt-BR"/>
        </w:rPr>
        <w:t>Diante desse cenário, torna-se relevante e necessário comparar a eficácia da metadona e do fentanil na indução anestésica de pacientes submetidos à colecistectomia videolaparoscópica, com foco na dor pós-operatória, na incidência de PONV e no uso de opioides no período pós-operatório imediato. A metadona, apesar de já ser utilizada em alguns protocolos anestésicos, ainda carece de estudos comparativos robustos em cirurgias como a colecistectomia.</w:t>
      </w:r>
    </w:p>
    <w:p w14:paraId="2A2AC9EE" w14:textId="77777777" w:rsidR="00F50174" w:rsidRPr="005A00BA" w:rsidRDefault="00F50174" w:rsidP="005A00BA">
      <w:pPr>
        <w:spacing w:line="360" w:lineRule="auto"/>
        <w:rPr>
          <w:rFonts w:cs="Times New Roman"/>
          <w:szCs w:val="24"/>
          <w:lang w:val="pt-BR"/>
        </w:rPr>
      </w:pPr>
    </w:p>
    <w:p w14:paraId="5B03DAE4" w14:textId="53E670E5" w:rsidR="00F50174" w:rsidRPr="005A00BA" w:rsidRDefault="00F50174" w:rsidP="005A00B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cs="Times New Roman"/>
          <w:b/>
          <w:szCs w:val="24"/>
          <w:lang w:val="pt-BR"/>
        </w:rPr>
      </w:pPr>
      <w:r w:rsidRPr="005A00BA">
        <w:rPr>
          <w:rFonts w:cs="Times New Roman"/>
          <w:b/>
          <w:szCs w:val="24"/>
          <w:lang w:val="pt-BR"/>
        </w:rPr>
        <w:t xml:space="preserve">5. </w:t>
      </w:r>
      <w:r w:rsidR="0087020A" w:rsidRPr="005A00BA">
        <w:rPr>
          <w:rFonts w:cs="Times New Roman"/>
          <w:b/>
          <w:szCs w:val="24"/>
          <w:lang w:val="pt-BR"/>
        </w:rPr>
        <w:t>Material e métodos</w:t>
      </w:r>
    </w:p>
    <w:p w14:paraId="15321AA7" w14:textId="0A821C8B" w:rsidR="00F50174" w:rsidRPr="005A00BA" w:rsidRDefault="00F50174" w:rsidP="005A00B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cs="Times New Roman"/>
          <w:b/>
          <w:szCs w:val="24"/>
          <w:lang w:val="pt-BR"/>
        </w:rPr>
      </w:pPr>
      <w:r w:rsidRPr="005A00BA">
        <w:rPr>
          <w:rFonts w:cs="Times New Roman"/>
          <w:b/>
          <w:szCs w:val="24"/>
          <w:lang w:val="pt-BR"/>
        </w:rPr>
        <w:t>5.1 . Aspectos éticos</w:t>
      </w:r>
    </w:p>
    <w:p w14:paraId="6E06BF09" w14:textId="6F60698D" w:rsidR="00F50174" w:rsidRPr="005A00BA" w:rsidRDefault="00F50174" w:rsidP="005A00B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cs="Times New Roman"/>
          <w:color w:val="000000"/>
          <w:szCs w:val="24"/>
          <w:lang w:val="pt-BR"/>
        </w:rPr>
      </w:pPr>
      <w:r w:rsidRPr="005A00BA">
        <w:rPr>
          <w:rFonts w:cs="Times New Roman"/>
          <w:szCs w:val="24"/>
          <w:lang w:val="pt-BR"/>
        </w:rPr>
        <w:t>O estudo será submetido ao Comitê de Ética em Pesquisa (CEP) da instituiç</w:t>
      </w:r>
      <w:r w:rsidR="001E792A">
        <w:rPr>
          <w:rFonts w:cs="Times New Roman"/>
          <w:szCs w:val="24"/>
          <w:lang w:val="pt-BR"/>
        </w:rPr>
        <w:t>ão</w:t>
      </w:r>
      <w:r w:rsidRPr="005A00BA">
        <w:rPr>
          <w:rFonts w:cs="Times New Roman"/>
          <w:szCs w:val="24"/>
          <w:lang w:val="pt-BR"/>
        </w:rPr>
        <w:t xml:space="preserve"> participante. A confidencialidade dos dados será garantida.</w:t>
      </w:r>
      <w:r w:rsidRPr="005A00BA">
        <w:rPr>
          <w:rFonts w:cs="Times New Roman"/>
          <w:color w:val="000000"/>
          <w:szCs w:val="24"/>
          <w:lang w:val="pt-BR"/>
        </w:rPr>
        <w:t xml:space="preserve"> Os pacientes que serão submetidos à cirurgia de colecistectomia videolaparosc</w:t>
      </w:r>
      <w:r w:rsidR="00202D19">
        <w:rPr>
          <w:rFonts w:cs="Times New Roman"/>
          <w:color w:val="000000"/>
          <w:szCs w:val="24"/>
          <w:lang w:val="pt-BR"/>
        </w:rPr>
        <w:t>ó</w:t>
      </w:r>
      <w:r w:rsidRPr="005A00BA">
        <w:rPr>
          <w:rFonts w:cs="Times New Roman"/>
          <w:color w:val="000000"/>
          <w:szCs w:val="24"/>
          <w:lang w:val="pt-BR"/>
        </w:rPr>
        <w:t xml:space="preserve">pica </w:t>
      </w:r>
      <w:r w:rsidR="0087020A" w:rsidRPr="005A00BA">
        <w:rPr>
          <w:rFonts w:cs="Times New Roman"/>
          <w:color w:val="000000"/>
          <w:szCs w:val="24"/>
          <w:lang w:val="pt-BR"/>
        </w:rPr>
        <w:t>no Uberlândia Medical Center</w:t>
      </w:r>
      <w:r w:rsidRPr="005A00BA">
        <w:rPr>
          <w:rFonts w:cs="Times New Roman"/>
          <w:color w:val="000000"/>
          <w:szCs w:val="24"/>
          <w:lang w:val="pt-BR"/>
        </w:rPr>
        <w:t xml:space="preserve"> serão informados, durante a consulta de avaliação pré-anestésica</w:t>
      </w:r>
      <w:r w:rsidR="00D55AC2" w:rsidRPr="005A00BA">
        <w:rPr>
          <w:rFonts w:cs="Times New Roman"/>
          <w:color w:val="000000"/>
          <w:szCs w:val="24"/>
          <w:lang w:val="pt-BR"/>
        </w:rPr>
        <w:t xml:space="preserve"> intra</w:t>
      </w:r>
      <w:r w:rsidR="00202D19">
        <w:rPr>
          <w:rFonts w:cs="Times New Roman"/>
          <w:color w:val="000000"/>
          <w:szCs w:val="24"/>
          <w:lang w:val="pt-BR"/>
        </w:rPr>
        <w:t>-</w:t>
      </w:r>
      <w:r w:rsidR="00D55AC2" w:rsidRPr="005A00BA">
        <w:rPr>
          <w:rFonts w:cs="Times New Roman"/>
          <w:color w:val="000000"/>
          <w:szCs w:val="24"/>
          <w:lang w:val="pt-BR"/>
        </w:rPr>
        <w:t>hospitalar ou em consultório,</w:t>
      </w:r>
      <w:r w:rsidRPr="005A00BA">
        <w:rPr>
          <w:rFonts w:cs="Times New Roman"/>
          <w:color w:val="000000"/>
          <w:szCs w:val="24"/>
          <w:lang w:val="pt-BR"/>
        </w:rPr>
        <w:t xml:space="preserve"> sobre o caráter da pesquisa e os benefícios que esta pode trazer para futuras investigações.</w:t>
      </w:r>
      <w:r w:rsidR="001E792A">
        <w:rPr>
          <w:rFonts w:cs="Times New Roman"/>
          <w:color w:val="000000"/>
          <w:szCs w:val="24"/>
          <w:lang w:val="pt-BR"/>
        </w:rPr>
        <w:t xml:space="preserve"> Do mesmo modo serão detalhados os riscos e possíveis eventos adversos</w:t>
      </w:r>
      <w:r w:rsidR="00195D93">
        <w:rPr>
          <w:rFonts w:cs="Times New Roman"/>
          <w:color w:val="000000"/>
          <w:szCs w:val="24"/>
          <w:lang w:val="pt-BR"/>
        </w:rPr>
        <w:t xml:space="preserve"> como náuseas, vômitos e necessidade de uso de medicação de resgate</w:t>
      </w:r>
      <w:r w:rsidR="001E792A">
        <w:rPr>
          <w:rFonts w:cs="Times New Roman"/>
          <w:color w:val="000000"/>
          <w:szCs w:val="24"/>
          <w:lang w:val="pt-BR"/>
        </w:rPr>
        <w:t>.</w:t>
      </w:r>
      <w:r w:rsidRPr="005A00BA">
        <w:rPr>
          <w:rFonts w:cs="Times New Roman"/>
          <w:color w:val="000000"/>
          <w:szCs w:val="24"/>
          <w:lang w:val="pt-BR"/>
        </w:rPr>
        <w:t xml:space="preserve"> Aqueles que </w:t>
      </w:r>
      <w:r w:rsidRPr="005A00BA">
        <w:rPr>
          <w:rFonts w:cs="Times New Roman"/>
          <w:szCs w:val="24"/>
          <w:lang w:val="pt-BR"/>
        </w:rPr>
        <w:t>manifestarem</w:t>
      </w:r>
      <w:r w:rsidRPr="005A00BA">
        <w:rPr>
          <w:rFonts w:cs="Times New Roman"/>
          <w:color w:val="000000"/>
          <w:szCs w:val="24"/>
          <w:lang w:val="pt-BR"/>
        </w:rPr>
        <w:t xml:space="preserve"> concordância em participar do estudo </w:t>
      </w:r>
      <w:r w:rsidRPr="005A00BA">
        <w:rPr>
          <w:rFonts w:cs="Times New Roman"/>
          <w:szCs w:val="24"/>
          <w:lang w:val="pt-BR"/>
        </w:rPr>
        <w:t>assinarão</w:t>
      </w:r>
      <w:r w:rsidRPr="005A00BA">
        <w:rPr>
          <w:rFonts w:cs="Times New Roman"/>
          <w:color w:val="000000"/>
          <w:szCs w:val="24"/>
          <w:lang w:val="pt-BR"/>
        </w:rPr>
        <w:t xml:space="preserve"> o Termo de Consentimento Livre e Esclarecido (TCLE)</w:t>
      </w:r>
      <w:r w:rsidRPr="005A00BA">
        <w:rPr>
          <w:rFonts w:cs="Times New Roman"/>
          <w:szCs w:val="24"/>
          <w:lang w:val="pt-BR"/>
        </w:rPr>
        <w:t>, conforme a Resolução CNS nº 466/2012</w:t>
      </w:r>
      <w:r w:rsidRPr="005A00BA">
        <w:rPr>
          <w:rFonts w:cs="Times New Roman"/>
          <w:color w:val="000000"/>
          <w:szCs w:val="24"/>
          <w:lang w:val="pt-BR"/>
        </w:rPr>
        <w:t xml:space="preserve"> que consta no </w:t>
      </w:r>
      <w:r w:rsidRPr="005A00BA">
        <w:rPr>
          <w:rFonts w:cs="Times New Roman"/>
          <w:b/>
          <w:bCs/>
          <w:color w:val="000000"/>
          <w:szCs w:val="24"/>
          <w:lang w:val="pt-BR"/>
        </w:rPr>
        <w:t>anexo I</w:t>
      </w:r>
      <w:r w:rsidRPr="005A00BA">
        <w:rPr>
          <w:rFonts w:cs="Times New Roman"/>
          <w:color w:val="000000"/>
          <w:szCs w:val="24"/>
          <w:lang w:val="pt-BR"/>
        </w:rPr>
        <w:t>. A coleta dos dados</w:t>
      </w:r>
      <w:r w:rsidR="00195D93">
        <w:rPr>
          <w:rFonts w:cs="Times New Roman"/>
          <w:color w:val="000000"/>
          <w:szCs w:val="24"/>
          <w:lang w:val="pt-BR"/>
        </w:rPr>
        <w:t xml:space="preserve"> só iniciará após a aprovação do </w:t>
      </w:r>
      <w:r w:rsidR="00195D93" w:rsidRPr="005A00BA">
        <w:rPr>
          <w:rFonts w:cs="Times New Roman"/>
          <w:szCs w:val="24"/>
          <w:lang w:val="pt-BR"/>
        </w:rPr>
        <w:t>Comitê de Ética em Pesquisa (CEP)</w:t>
      </w:r>
      <w:r w:rsidR="00195D93">
        <w:rPr>
          <w:rFonts w:cs="Times New Roman"/>
          <w:szCs w:val="24"/>
          <w:lang w:val="pt-BR"/>
        </w:rPr>
        <w:t>, com</w:t>
      </w:r>
      <w:r w:rsidRPr="005A00BA">
        <w:rPr>
          <w:rFonts w:cs="Times New Roman"/>
          <w:color w:val="000000"/>
          <w:szCs w:val="24"/>
          <w:lang w:val="pt-BR"/>
        </w:rPr>
        <w:t xml:space="preserve"> </w:t>
      </w:r>
      <w:r w:rsidR="00195D93">
        <w:rPr>
          <w:rFonts w:cs="Times New Roman"/>
          <w:color w:val="000000"/>
          <w:szCs w:val="24"/>
          <w:lang w:val="pt-BR"/>
        </w:rPr>
        <w:t>previsão inicial para o</w:t>
      </w:r>
      <w:r w:rsidRPr="005A00BA">
        <w:rPr>
          <w:rFonts w:cs="Times New Roman"/>
          <w:color w:val="000000"/>
          <w:szCs w:val="24"/>
          <w:lang w:val="pt-BR"/>
        </w:rPr>
        <w:t xml:space="preserve"> período de </w:t>
      </w:r>
      <w:r w:rsidR="0087020A" w:rsidRPr="005A00BA">
        <w:rPr>
          <w:rFonts w:cs="Times New Roman"/>
          <w:color w:val="000000"/>
          <w:szCs w:val="24"/>
          <w:lang w:val="pt-BR"/>
        </w:rPr>
        <w:t>outubro</w:t>
      </w:r>
      <w:r w:rsidRPr="005A00BA">
        <w:rPr>
          <w:rFonts w:cs="Times New Roman"/>
          <w:color w:val="000000"/>
          <w:szCs w:val="24"/>
          <w:lang w:val="pt-BR"/>
        </w:rPr>
        <w:t xml:space="preserve"> de 2025 a novembro de 2026</w:t>
      </w:r>
      <w:r w:rsidR="00195D93">
        <w:rPr>
          <w:rFonts w:cs="Times New Roman"/>
          <w:color w:val="000000"/>
          <w:szCs w:val="24"/>
          <w:lang w:val="pt-BR"/>
        </w:rPr>
        <w:t>.</w:t>
      </w:r>
    </w:p>
    <w:p w14:paraId="5BCBEFA9" w14:textId="2ED35592" w:rsidR="007129BF" w:rsidRPr="005A00BA" w:rsidRDefault="00F50174" w:rsidP="005A00B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cs="Times New Roman"/>
          <w:b/>
          <w:color w:val="000000" w:themeColor="text1"/>
          <w:szCs w:val="24"/>
          <w:lang w:val="pt-BR"/>
        </w:rPr>
      </w:pPr>
      <w:r w:rsidRPr="005A00BA">
        <w:rPr>
          <w:rFonts w:cs="Times New Roman"/>
          <w:b/>
          <w:color w:val="000000" w:themeColor="text1"/>
          <w:szCs w:val="24"/>
          <w:lang w:val="pt-BR"/>
        </w:rPr>
        <w:t>5.2 Casuística</w:t>
      </w:r>
    </w:p>
    <w:p w14:paraId="47B072B2" w14:textId="7A674D44" w:rsidR="00CC3E11" w:rsidRPr="005A00BA" w:rsidRDefault="00F50174" w:rsidP="005A00BA">
      <w:pPr>
        <w:spacing w:line="360" w:lineRule="auto"/>
        <w:jc w:val="both"/>
        <w:rPr>
          <w:rFonts w:cs="Times New Roman"/>
          <w:szCs w:val="24"/>
          <w:lang w:val="pt-BR"/>
        </w:rPr>
      </w:pPr>
      <w:r w:rsidRPr="005A00BA">
        <w:rPr>
          <w:rFonts w:cs="Times New Roman"/>
          <w:color w:val="000000"/>
          <w:szCs w:val="24"/>
          <w:lang w:val="pt-BR"/>
        </w:rPr>
        <w:t xml:space="preserve">Será realizado estudo primário, clínico, prospectivo, controlado, randomizado e duplo-cego nos pacientes </w:t>
      </w:r>
      <w:r w:rsidR="007129BF" w:rsidRPr="005A00BA">
        <w:rPr>
          <w:rFonts w:cs="Times New Roman"/>
          <w:szCs w:val="24"/>
          <w:lang w:val="pt-BR"/>
        </w:rPr>
        <w:t xml:space="preserve">adultos (18–65 anos) </w:t>
      </w:r>
      <w:r w:rsidRPr="005A00BA">
        <w:rPr>
          <w:rFonts w:cs="Times New Roman"/>
          <w:color w:val="000000"/>
          <w:szCs w:val="24"/>
          <w:lang w:val="pt-BR"/>
        </w:rPr>
        <w:t xml:space="preserve">submetidos à </w:t>
      </w:r>
      <w:r w:rsidR="00001B56" w:rsidRPr="005A00BA">
        <w:rPr>
          <w:rFonts w:cs="Times New Roman"/>
          <w:color w:val="000000"/>
          <w:szCs w:val="24"/>
          <w:lang w:val="pt-BR"/>
        </w:rPr>
        <w:t xml:space="preserve">colecistectomia </w:t>
      </w:r>
      <w:r w:rsidRPr="005A00BA">
        <w:rPr>
          <w:rFonts w:cs="Times New Roman"/>
          <w:color w:val="000000"/>
          <w:szCs w:val="24"/>
          <w:lang w:val="pt-BR"/>
        </w:rPr>
        <w:t>videolaparoscópica</w:t>
      </w:r>
      <w:r w:rsidR="00C47844" w:rsidRPr="005A00BA">
        <w:rPr>
          <w:rFonts w:cs="Times New Roman"/>
          <w:color w:val="000000"/>
          <w:szCs w:val="24"/>
          <w:lang w:val="pt-BR"/>
        </w:rPr>
        <w:t xml:space="preserve"> </w:t>
      </w:r>
      <w:r w:rsidR="00C47844" w:rsidRPr="005A00BA">
        <w:rPr>
          <w:rFonts w:cs="Times New Roman"/>
          <w:color w:val="000000"/>
          <w:szCs w:val="24"/>
          <w:lang w:val="pt-BR"/>
        </w:rPr>
        <w:lastRenderedPageBreak/>
        <w:t xml:space="preserve">no </w:t>
      </w:r>
      <w:r w:rsidR="00C47844" w:rsidRPr="005A00BA">
        <w:rPr>
          <w:rFonts w:cs="Times New Roman"/>
          <w:szCs w:val="24"/>
          <w:lang w:val="pt-BR"/>
        </w:rPr>
        <w:t>Hospita</w:t>
      </w:r>
      <w:r w:rsidR="001E792A">
        <w:rPr>
          <w:rFonts w:cs="Times New Roman"/>
          <w:szCs w:val="24"/>
          <w:lang w:val="pt-BR"/>
        </w:rPr>
        <w:t>l</w:t>
      </w:r>
      <w:r w:rsidR="00C47844" w:rsidRPr="005A00BA">
        <w:rPr>
          <w:rFonts w:cs="Times New Roman"/>
          <w:szCs w:val="24"/>
          <w:lang w:val="pt-BR"/>
        </w:rPr>
        <w:t xml:space="preserve"> U</w:t>
      </w:r>
      <w:r w:rsidR="0087020A" w:rsidRPr="005A00BA">
        <w:rPr>
          <w:rFonts w:cs="Times New Roman"/>
          <w:szCs w:val="24"/>
          <w:lang w:val="pt-BR"/>
        </w:rPr>
        <w:t xml:space="preserve">berlândia </w:t>
      </w:r>
      <w:r w:rsidR="00C47844" w:rsidRPr="005A00BA">
        <w:rPr>
          <w:rFonts w:cs="Times New Roman"/>
          <w:szCs w:val="24"/>
          <w:lang w:val="pt-BR"/>
        </w:rPr>
        <w:t>M</w:t>
      </w:r>
      <w:r w:rsidR="0087020A" w:rsidRPr="005A00BA">
        <w:rPr>
          <w:rFonts w:cs="Times New Roman"/>
          <w:szCs w:val="24"/>
          <w:lang w:val="pt-BR"/>
        </w:rPr>
        <w:t xml:space="preserve">edical </w:t>
      </w:r>
      <w:r w:rsidR="00C47844" w:rsidRPr="005A00BA">
        <w:rPr>
          <w:rFonts w:cs="Times New Roman"/>
          <w:szCs w:val="24"/>
          <w:lang w:val="pt-BR"/>
        </w:rPr>
        <w:t>C</w:t>
      </w:r>
      <w:r w:rsidR="0087020A" w:rsidRPr="005A00BA">
        <w:rPr>
          <w:rFonts w:cs="Times New Roman"/>
          <w:szCs w:val="24"/>
          <w:lang w:val="pt-BR"/>
        </w:rPr>
        <w:t>enter</w:t>
      </w:r>
      <w:r w:rsidRPr="005A00BA">
        <w:rPr>
          <w:rFonts w:cs="Times New Roman"/>
          <w:color w:val="000000"/>
          <w:szCs w:val="24"/>
          <w:lang w:val="pt-BR"/>
        </w:rPr>
        <w:t xml:space="preserve">. </w:t>
      </w:r>
      <w:r w:rsidR="0087020A" w:rsidRPr="005A00BA">
        <w:rPr>
          <w:rFonts w:cs="Times New Roman"/>
          <w:color w:val="000000"/>
          <w:szCs w:val="24"/>
          <w:lang w:val="pt-BR"/>
        </w:rPr>
        <w:t>Todos os voluntários seguiram os critérios de inclusão e não-inclusão específicos para o estudo, descritos a seguir.</w:t>
      </w:r>
    </w:p>
    <w:p w14:paraId="6529F5F2" w14:textId="34517163" w:rsidR="003F31D5" w:rsidRPr="005A00BA" w:rsidRDefault="0050172E" w:rsidP="005A00B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cs="Times New Roman"/>
          <w:color w:val="000000"/>
          <w:szCs w:val="24"/>
          <w:lang w:val="pt-BR"/>
        </w:rPr>
      </w:pPr>
      <w:r w:rsidRPr="005A00BA">
        <w:rPr>
          <w:rFonts w:cs="Times New Roman"/>
          <w:b/>
          <w:bCs/>
          <w:color w:val="000000"/>
          <w:szCs w:val="24"/>
          <w:lang w:val="pt-BR"/>
        </w:rPr>
        <w:t xml:space="preserve">5.2.1 </w:t>
      </w:r>
      <w:r w:rsidR="003F31D5" w:rsidRPr="005A00BA">
        <w:rPr>
          <w:rFonts w:cs="Times New Roman"/>
          <w:b/>
          <w:bCs/>
          <w:color w:val="000000"/>
          <w:szCs w:val="24"/>
          <w:lang w:val="pt-BR"/>
        </w:rPr>
        <w:t>Critérios de inclusão</w:t>
      </w:r>
    </w:p>
    <w:p w14:paraId="15CD1FE1" w14:textId="405A170A" w:rsidR="003F31D5" w:rsidRDefault="003F31D5" w:rsidP="005A00B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cs="Times New Roman"/>
          <w:color w:val="000000"/>
          <w:szCs w:val="24"/>
          <w:lang w:val="pt-BR"/>
        </w:rPr>
      </w:pPr>
      <w:r w:rsidRPr="005A00BA">
        <w:rPr>
          <w:rFonts w:cs="Times New Roman"/>
          <w:color w:val="000000"/>
          <w:szCs w:val="24"/>
          <w:lang w:val="pt-BR"/>
        </w:rPr>
        <w:t>Consentimento livre e esclarecido assinado.</w:t>
      </w:r>
    </w:p>
    <w:p w14:paraId="5B32A795" w14:textId="49F2D843" w:rsidR="00240C41" w:rsidRPr="005A00BA" w:rsidRDefault="00240C41" w:rsidP="005A00B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cs="Times New Roman"/>
          <w:color w:val="000000"/>
          <w:szCs w:val="24"/>
          <w:lang w:val="pt-BR"/>
        </w:rPr>
      </w:pPr>
      <w:r>
        <w:rPr>
          <w:rFonts w:cs="Times New Roman"/>
          <w:color w:val="000000"/>
          <w:szCs w:val="24"/>
          <w:lang w:val="pt-BR"/>
        </w:rPr>
        <w:t>ASA I OU II</w:t>
      </w:r>
    </w:p>
    <w:p w14:paraId="794CC1D8" w14:textId="61F8B5C9" w:rsidR="003F31D5" w:rsidRPr="005A00BA" w:rsidRDefault="003F31D5" w:rsidP="005A00B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cs="Times New Roman"/>
          <w:color w:val="000000"/>
          <w:szCs w:val="24"/>
          <w:lang w:val="pt-BR"/>
        </w:rPr>
      </w:pPr>
      <w:r w:rsidRPr="005A00BA">
        <w:rPr>
          <w:rFonts w:cs="Times New Roman"/>
          <w:color w:val="000000"/>
          <w:szCs w:val="24"/>
          <w:lang w:val="pt-BR"/>
        </w:rPr>
        <w:t>Indicação cirúrgica para colecistectomia videolaparoscópica.</w:t>
      </w:r>
    </w:p>
    <w:p w14:paraId="10B563C6" w14:textId="77777777" w:rsidR="003F31D5" w:rsidRPr="005A00BA" w:rsidRDefault="003F31D5" w:rsidP="005A00B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cs="Times New Roman"/>
          <w:color w:val="000000"/>
          <w:szCs w:val="24"/>
          <w:lang w:val="pt-BR"/>
        </w:rPr>
      </w:pPr>
      <w:r w:rsidRPr="005A00BA">
        <w:rPr>
          <w:rFonts w:cs="Times New Roman"/>
          <w:color w:val="000000"/>
          <w:szCs w:val="24"/>
          <w:lang w:val="pt-BR"/>
        </w:rPr>
        <w:t>Ausência de uso crônico de opioides.</w:t>
      </w:r>
    </w:p>
    <w:p w14:paraId="19C1506A" w14:textId="77777777" w:rsidR="003F31D5" w:rsidRPr="005A00BA" w:rsidRDefault="003F31D5" w:rsidP="005A00B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cs="Times New Roman"/>
          <w:color w:val="000000"/>
          <w:szCs w:val="24"/>
          <w:lang w:val="pt-BR"/>
        </w:rPr>
      </w:pPr>
      <w:r w:rsidRPr="005A00BA">
        <w:rPr>
          <w:rFonts w:cs="Times New Roman"/>
          <w:color w:val="000000"/>
          <w:szCs w:val="24"/>
          <w:lang w:val="pt-BR"/>
        </w:rPr>
        <w:t>Ausência de distúrbios psiquiátricos graves ou disfunções cognitivas.</w:t>
      </w:r>
    </w:p>
    <w:p w14:paraId="2836AFCD" w14:textId="77777777" w:rsidR="003F31D5" w:rsidRPr="005A00BA" w:rsidRDefault="003F31D5" w:rsidP="005A00B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cs="Times New Roman"/>
          <w:color w:val="000000"/>
          <w:szCs w:val="24"/>
          <w:lang w:val="pt-BR"/>
        </w:rPr>
      </w:pPr>
      <w:r w:rsidRPr="005A00BA">
        <w:rPr>
          <w:rFonts w:cs="Times New Roman"/>
          <w:color w:val="000000"/>
          <w:szCs w:val="24"/>
          <w:lang w:val="pt-BR"/>
        </w:rPr>
        <w:t>Índice de massa corporal (IMC) &lt; 35 kg/m².</w:t>
      </w:r>
    </w:p>
    <w:p w14:paraId="55031547" w14:textId="3FFACE36" w:rsidR="003F31D5" w:rsidRPr="005A00BA" w:rsidRDefault="0050172E" w:rsidP="005A00B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cs="Times New Roman"/>
          <w:color w:val="000000" w:themeColor="text1"/>
          <w:szCs w:val="24"/>
          <w:lang w:val="pt-BR"/>
        </w:rPr>
      </w:pPr>
      <w:r w:rsidRPr="005A00BA">
        <w:rPr>
          <w:rFonts w:cs="Times New Roman"/>
          <w:b/>
          <w:bCs/>
          <w:color w:val="000000" w:themeColor="text1"/>
          <w:szCs w:val="24"/>
          <w:lang w:val="pt-BR"/>
        </w:rPr>
        <w:t xml:space="preserve">5.2.2 </w:t>
      </w:r>
      <w:r w:rsidR="003F31D5" w:rsidRPr="005A00BA">
        <w:rPr>
          <w:rFonts w:cs="Times New Roman"/>
          <w:b/>
          <w:bCs/>
          <w:color w:val="000000" w:themeColor="text1"/>
          <w:szCs w:val="24"/>
          <w:lang w:val="pt-BR"/>
        </w:rPr>
        <w:t xml:space="preserve">Critérios de </w:t>
      </w:r>
      <w:r w:rsidR="00DD21D2" w:rsidRPr="005A00BA">
        <w:rPr>
          <w:rFonts w:cs="Times New Roman"/>
          <w:b/>
          <w:bCs/>
          <w:color w:val="000000" w:themeColor="text1"/>
          <w:szCs w:val="24"/>
          <w:lang w:val="pt-BR"/>
        </w:rPr>
        <w:t>não-inclusão</w:t>
      </w:r>
    </w:p>
    <w:p w14:paraId="4A4FFCE5" w14:textId="045F6DA4" w:rsidR="00441301" w:rsidRDefault="003F31D5" w:rsidP="005A00B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cs="Times New Roman"/>
          <w:color w:val="000000" w:themeColor="text1"/>
          <w:szCs w:val="24"/>
          <w:lang w:val="pt-BR"/>
        </w:rPr>
      </w:pPr>
      <w:r w:rsidRPr="005A00BA">
        <w:rPr>
          <w:rFonts w:cs="Times New Roman"/>
          <w:color w:val="000000" w:themeColor="text1"/>
          <w:szCs w:val="24"/>
          <w:lang w:val="pt-BR"/>
        </w:rPr>
        <w:t>Alergia conhecida a fentanil</w:t>
      </w:r>
      <w:r w:rsidR="00441301" w:rsidRPr="005A00BA">
        <w:rPr>
          <w:rFonts w:cs="Times New Roman"/>
          <w:color w:val="000000" w:themeColor="text1"/>
          <w:szCs w:val="24"/>
          <w:lang w:val="pt-BR"/>
        </w:rPr>
        <w:t>, metadona ou qualquer outro fármaco incluído no estudo.</w:t>
      </w:r>
    </w:p>
    <w:p w14:paraId="5BFDE440" w14:textId="6C880045" w:rsidR="00240C41" w:rsidRPr="005A00BA" w:rsidRDefault="00240C41" w:rsidP="005A00B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cs="Times New Roman"/>
          <w:color w:val="000000" w:themeColor="text1"/>
          <w:szCs w:val="24"/>
          <w:lang w:val="pt-BR"/>
        </w:rPr>
      </w:pPr>
      <w:r>
        <w:rPr>
          <w:rFonts w:cs="Times New Roman"/>
          <w:color w:val="000000" w:themeColor="text1"/>
          <w:szCs w:val="24"/>
          <w:lang w:val="pt-BR"/>
        </w:rPr>
        <w:t>ASA III OU MAIOR</w:t>
      </w:r>
    </w:p>
    <w:p w14:paraId="1EE74B07" w14:textId="1372BE79" w:rsidR="007D51AC" w:rsidRPr="005A00BA" w:rsidRDefault="007D51AC" w:rsidP="005A00B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cs="Times New Roman"/>
          <w:color w:val="000000" w:themeColor="text1"/>
          <w:szCs w:val="24"/>
          <w:lang w:val="pt-BR"/>
        </w:rPr>
      </w:pPr>
      <w:r w:rsidRPr="005A00BA">
        <w:rPr>
          <w:rFonts w:cs="Times New Roman"/>
          <w:color w:val="000000" w:themeColor="text1"/>
          <w:szCs w:val="24"/>
          <w:lang w:val="pt-BR"/>
        </w:rPr>
        <w:t>Pacientes que não assinaram o TCLE</w:t>
      </w:r>
    </w:p>
    <w:p w14:paraId="677D49BF" w14:textId="65B6DCB0" w:rsidR="00930E25" w:rsidRPr="005A00BA" w:rsidRDefault="003F31D5" w:rsidP="005A00B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cs="Times New Roman"/>
          <w:color w:val="000000"/>
          <w:szCs w:val="24"/>
          <w:lang w:val="pt-BR"/>
        </w:rPr>
      </w:pPr>
      <w:r w:rsidRPr="005A00BA">
        <w:rPr>
          <w:rFonts w:cs="Times New Roman"/>
          <w:color w:val="000000"/>
          <w:szCs w:val="24"/>
          <w:lang w:val="pt-BR"/>
        </w:rPr>
        <w:t>Pacientes em uso de antidepressivos tricíclicos ou inibidores seletivos de recaptação de serotonina (ISRS).</w:t>
      </w:r>
    </w:p>
    <w:p w14:paraId="333D41A7" w14:textId="6058D423" w:rsidR="009B26B0" w:rsidRPr="005A00BA" w:rsidRDefault="007D51AC" w:rsidP="005A00B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cs="Times New Roman"/>
          <w:color w:val="000000"/>
          <w:szCs w:val="24"/>
          <w:lang w:val="pt-BR"/>
        </w:rPr>
      </w:pPr>
      <w:r w:rsidRPr="005A00BA">
        <w:rPr>
          <w:rFonts w:cs="Times New Roman"/>
          <w:color w:val="000000"/>
          <w:szCs w:val="24"/>
          <w:lang w:val="pt-BR"/>
        </w:rPr>
        <w:t>Paciente com doença hepática ou renal grave.</w:t>
      </w:r>
    </w:p>
    <w:p w14:paraId="063F687F" w14:textId="57ACDE2D" w:rsidR="007D51AC" w:rsidRPr="005A00BA" w:rsidRDefault="007D51AC" w:rsidP="005A00B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cs="Times New Roman"/>
          <w:color w:val="000000"/>
          <w:szCs w:val="24"/>
          <w:lang w:val="pt-BR"/>
        </w:rPr>
      </w:pPr>
      <w:r w:rsidRPr="005A00BA">
        <w:rPr>
          <w:rFonts w:cs="Times New Roman"/>
          <w:color w:val="000000"/>
          <w:szCs w:val="24"/>
          <w:lang w:val="pt-BR"/>
        </w:rPr>
        <w:t>Paciente com diagnóstico de arritmias cardíacas sem tratamento ou síndrome do QT longo.</w:t>
      </w:r>
    </w:p>
    <w:p w14:paraId="1F253E59" w14:textId="5B6ED867" w:rsidR="00332088" w:rsidRPr="005A00BA" w:rsidRDefault="00332088" w:rsidP="005A00B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cs="Times New Roman"/>
          <w:color w:val="000000"/>
          <w:szCs w:val="24"/>
          <w:lang w:val="pt-BR"/>
        </w:rPr>
      </w:pPr>
      <w:r w:rsidRPr="005A00BA">
        <w:rPr>
          <w:rFonts w:cs="Times New Roman"/>
          <w:color w:val="000000"/>
          <w:szCs w:val="24"/>
          <w:lang w:val="pt-BR"/>
        </w:rPr>
        <w:t>Paciente menores</w:t>
      </w:r>
      <w:r w:rsidR="00080A61" w:rsidRPr="005A00BA">
        <w:rPr>
          <w:rFonts w:cs="Times New Roman"/>
          <w:color w:val="000000"/>
          <w:szCs w:val="24"/>
          <w:lang w:val="pt-BR"/>
        </w:rPr>
        <w:t xml:space="preserve"> de </w:t>
      </w:r>
      <w:r w:rsidRPr="005A00BA">
        <w:rPr>
          <w:rFonts w:cs="Times New Roman"/>
          <w:color w:val="000000"/>
          <w:szCs w:val="24"/>
          <w:lang w:val="pt-BR"/>
        </w:rPr>
        <w:t>18 anos ou acima de 65 anos.</w:t>
      </w:r>
    </w:p>
    <w:p w14:paraId="6F7839C6" w14:textId="2D79DAE3" w:rsidR="00F60F6C" w:rsidRPr="005A00BA" w:rsidRDefault="00F60F6C" w:rsidP="005A00B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cs="Times New Roman"/>
          <w:color w:val="000000"/>
          <w:szCs w:val="24"/>
          <w:lang w:val="pt-BR"/>
        </w:rPr>
      </w:pPr>
      <w:r w:rsidRPr="005A00BA">
        <w:rPr>
          <w:rFonts w:cs="Times New Roman"/>
          <w:color w:val="000000"/>
          <w:szCs w:val="24"/>
          <w:lang w:val="pt-BR"/>
        </w:rPr>
        <w:t>Pacientes com apneia do sono grave diagnosticado por polissonografia.</w:t>
      </w:r>
    </w:p>
    <w:p w14:paraId="75AFA316" w14:textId="5CE0AAF6" w:rsidR="007D51AC" w:rsidRPr="005A00BA" w:rsidRDefault="007D51AC" w:rsidP="005A00B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cs="Times New Roman"/>
          <w:b/>
          <w:bCs/>
          <w:color w:val="000000"/>
          <w:szCs w:val="24"/>
          <w:lang w:val="pt-BR"/>
        </w:rPr>
      </w:pPr>
      <w:r w:rsidRPr="005A00BA">
        <w:rPr>
          <w:rFonts w:cs="Times New Roman"/>
          <w:b/>
          <w:bCs/>
          <w:color w:val="000000"/>
          <w:szCs w:val="24"/>
          <w:lang w:val="pt-BR"/>
        </w:rPr>
        <w:t>5.2.3 Critérios de exclusão após randomização</w:t>
      </w:r>
    </w:p>
    <w:p w14:paraId="01D602A6" w14:textId="431C9465" w:rsidR="007D51AC" w:rsidRPr="005A00BA" w:rsidRDefault="007D51AC" w:rsidP="005A00BA">
      <w:pPr>
        <w:pStyle w:val="PargrafodaLista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cs="Times New Roman"/>
          <w:color w:val="000000"/>
          <w:szCs w:val="24"/>
          <w:lang w:val="pt-BR"/>
        </w:rPr>
      </w:pPr>
      <w:r w:rsidRPr="005A00BA">
        <w:rPr>
          <w:rFonts w:cs="Times New Roman"/>
          <w:color w:val="000000"/>
          <w:szCs w:val="24"/>
          <w:lang w:val="pt-BR"/>
        </w:rPr>
        <w:lastRenderedPageBreak/>
        <w:t>Violação do protocolo</w:t>
      </w:r>
    </w:p>
    <w:p w14:paraId="50A78741" w14:textId="5C35F390" w:rsidR="007D51AC" w:rsidRPr="005A00BA" w:rsidRDefault="007D51AC" w:rsidP="005A00BA">
      <w:pPr>
        <w:pStyle w:val="PargrafodaLista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cs="Times New Roman"/>
          <w:color w:val="000000"/>
          <w:szCs w:val="24"/>
          <w:lang w:val="pt-BR"/>
        </w:rPr>
      </w:pPr>
      <w:r w:rsidRPr="005A00BA">
        <w:rPr>
          <w:rFonts w:cs="Times New Roman"/>
          <w:color w:val="000000"/>
          <w:szCs w:val="24"/>
          <w:lang w:val="pt-BR"/>
        </w:rPr>
        <w:t>Conversão para cirurgia aberta</w:t>
      </w:r>
    </w:p>
    <w:p w14:paraId="4026059D" w14:textId="415F46EF" w:rsidR="007D51AC" w:rsidRPr="005A00BA" w:rsidRDefault="007D51AC" w:rsidP="005A00B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cs="Times New Roman"/>
          <w:color w:val="000000"/>
          <w:szCs w:val="24"/>
          <w:lang w:val="pt-BR"/>
        </w:rPr>
      </w:pPr>
      <w:r w:rsidRPr="005A00BA">
        <w:rPr>
          <w:rFonts w:cs="Times New Roman"/>
          <w:color w:val="000000"/>
          <w:szCs w:val="24"/>
          <w:lang w:val="pt-BR"/>
        </w:rPr>
        <w:t xml:space="preserve">Complicação intraoperatória </w:t>
      </w:r>
    </w:p>
    <w:p w14:paraId="1D23CE64" w14:textId="05CDCB73" w:rsidR="007D51AC" w:rsidRPr="005A00BA" w:rsidRDefault="007D51AC" w:rsidP="005A00B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cs="Times New Roman"/>
          <w:color w:val="000000"/>
          <w:szCs w:val="24"/>
          <w:lang w:val="pt-BR"/>
        </w:rPr>
      </w:pPr>
      <w:r w:rsidRPr="005A00BA">
        <w:rPr>
          <w:rFonts w:cs="Times New Roman"/>
          <w:color w:val="000000"/>
          <w:szCs w:val="24"/>
          <w:lang w:val="pt-BR"/>
        </w:rPr>
        <w:t>Complicações intraoperatórias significativas (sangramento, lesão de órgão adjacente, necessidade não planejada de cuidados intensivos).</w:t>
      </w:r>
    </w:p>
    <w:p w14:paraId="7BDF3D68" w14:textId="56A7F588" w:rsidR="00CC3E11" w:rsidRPr="005A00BA" w:rsidRDefault="00CC3E11" w:rsidP="005A00B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cs="Times New Roman"/>
          <w:b/>
          <w:color w:val="000000"/>
          <w:szCs w:val="24"/>
          <w:lang w:val="pt-BR"/>
        </w:rPr>
      </w:pPr>
      <w:r w:rsidRPr="005A00BA">
        <w:rPr>
          <w:rFonts w:cs="Times New Roman"/>
          <w:b/>
          <w:color w:val="000000"/>
          <w:szCs w:val="24"/>
          <w:lang w:val="pt-BR"/>
        </w:rPr>
        <w:t>5.</w:t>
      </w:r>
      <w:r w:rsidR="007D51AC" w:rsidRPr="005A00BA">
        <w:rPr>
          <w:rFonts w:cs="Times New Roman"/>
          <w:b/>
          <w:color w:val="000000"/>
          <w:szCs w:val="24"/>
          <w:lang w:val="pt-BR"/>
        </w:rPr>
        <w:t>4</w:t>
      </w:r>
      <w:r w:rsidRPr="005A00BA">
        <w:rPr>
          <w:rFonts w:cs="Times New Roman"/>
          <w:b/>
          <w:color w:val="000000"/>
          <w:szCs w:val="24"/>
          <w:lang w:val="pt-BR"/>
        </w:rPr>
        <w:t xml:space="preserve"> Protocolo de estudo </w:t>
      </w:r>
    </w:p>
    <w:p w14:paraId="42FB6BF2" w14:textId="77777777" w:rsidR="00785F87" w:rsidRPr="005F4B78" w:rsidRDefault="00785F87" w:rsidP="00785F87">
      <w:pPr>
        <w:spacing w:before="100" w:beforeAutospacing="1" w:after="100" w:afterAutospacing="1" w:line="240" w:lineRule="auto"/>
        <w:jc w:val="both"/>
        <w:rPr>
          <w:rFonts w:cs="Times New Roman"/>
          <w:color w:val="000000" w:themeColor="text1"/>
          <w:szCs w:val="24"/>
          <w:lang w:eastAsia="pt-BR"/>
        </w:rPr>
      </w:pPr>
      <w:r w:rsidRPr="005F4B78">
        <w:rPr>
          <w:rFonts w:cs="Times New Roman"/>
          <w:color w:val="000000" w:themeColor="text1"/>
          <w:szCs w:val="24"/>
          <w:lang w:eastAsia="pt-BR"/>
        </w:rPr>
        <w:t>Todos os pacientes, antes da inclusão na pesquisa, deverão assinar o Termo de Consentimento Livre e Esclarecido (TCLE) e, em seguida, serão distribuídos de forma aleatória, por meio de software específico, em dois grupos: experimental (Grupo M – metadona) e controle (Grupo F – fentanil). A seleção será determinada pela randomização em envelopes opacos, selados e sequencialmente numerados, abertos apenas após a admissão do paciente à sala cirúrgica.</w:t>
      </w:r>
    </w:p>
    <w:p w14:paraId="4268EBD2" w14:textId="77777777" w:rsidR="00785F87" w:rsidRPr="005F4B78" w:rsidRDefault="00785F87" w:rsidP="00785F87">
      <w:pPr>
        <w:spacing w:before="100" w:beforeAutospacing="1" w:after="100" w:afterAutospacing="1" w:line="240" w:lineRule="auto"/>
        <w:jc w:val="both"/>
        <w:rPr>
          <w:rFonts w:cs="Times New Roman"/>
          <w:color w:val="000000" w:themeColor="text1"/>
          <w:szCs w:val="24"/>
          <w:lang w:eastAsia="pt-BR"/>
        </w:rPr>
      </w:pPr>
      <w:r w:rsidRPr="005F4B78">
        <w:rPr>
          <w:rFonts w:cs="Times New Roman"/>
          <w:color w:val="000000" w:themeColor="text1"/>
          <w:szCs w:val="24"/>
          <w:lang w:eastAsia="pt-BR"/>
        </w:rPr>
        <w:t>Os dados dos participantes serão registrados em tabelas distintas — uma destinada à entrada no centro cirúrgico e outra para a coleta das informações intra e pós-operatórias —, com posterior cruzamento e análise. O pesquisador responsável não terá conhecimento do grupo ao qual o paciente pertence, a fim de evitar vieses de coleta e interpretação. As seringas contendo metadona (Grupo M) ou fentanil (Grupo F) serão preparadas por anestesiologista não envolvido diretamente na pesquisa.</w:t>
      </w:r>
    </w:p>
    <w:p w14:paraId="4E2BA703" w14:textId="77777777" w:rsidR="00785F87" w:rsidRPr="005F4B78" w:rsidRDefault="00785F87" w:rsidP="00785F87">
      <w:pPr>
        <w:spacing w:before="100" w:beforeAutospacing="1" w:after="100" w:afterAutospacing="1" w:line="240" w:lineRule="auto"/>
        <w:jc w:val="both"/>
        <w:rPr>
          <w:rFonts w:cs="Times New Roman"/>
          <w:color w:val="000000" w:themeColor="text1"/>
          <w:szCs w:val="24"/>
          <w:lang w:eastAsia="pt-BR"/>
        </w:rPr>
      </w:pPr>
      <w:r w:rsidRPr="005F4B78">
        <w:rPr>
          <w:rFonts w:cs="Times New Roman"/>
          <w:color w:val="000000" w:themeColor="text1"/>
          <w:szCs w:val="24"/>
          <w:lang w:eastAsia="pt-BR"/>
        </w:rPr>
        <w:t>Ao grupo controle será administrado fentanil intravenoso, enquanto o grupo experimental receberá metadona. As medicações de indução, manutenção anestésica e demais fármacos seguirão protocolo fixo, sem distinção entre os grupos.</w:t>
      </w:r>
    </w:p>
    <w:p w14:paraId="7BB3021E" w14:textId="77777777" w:rsidR="00785F87" w:rsidRPr="005F4B78" w:rsidRDefault="00785F87" w:rsidP="00785F87">
      <w:pPr>
        <w:spacing w:before="100" w:beforeAutospacing="1" w:after="100" w:afterAutospacing="1" w:line="240" w:lineRule="auto"/>
        <w:jc w:val="both"/>
        <w:rPr>
          <w:rFonts w:cs="Times New Roman"/>
          <w:color w:val="000000" w:themeColor="text1"/>
          <w:szCs w:val="24"/>
          <w:lang w:eastAsia="pt-BR"/>
        </w:rPr>
      </w:pPr>
      <w:r w:rsidRPr="005F4B78">
        <w:rPr>
          <w:rFonts w:cs="Times New Roman"/>
          <w:color w:val="000000" w:themeColor="text1"/>
          <w:szCs w:val="24"/>
          <w:lang w:eastAsia="pt-BR"/>
        </w:rPr>
        <w:t>Os participantes não receberão medicação pré-anestésica. Após admissão em sala operatória e realização do protocolo de cirurgia segura, serão monitorizados com oximetria de pulso, pressão arterial não invasiva, cardioscopia contínua, monitorização do bloqueio neuromuscular pela sequência de quatro estímulos (SQE) e capnografia. Será obtido acesso venoso periférico com cateter 20G, seguido de antibioticoprofilaxia com cefazolina (2 g em &lt;100 kg e 3 g em &gt;100 kg); em caso de alergia, será utilizada clindamicina.</w:t>
      </w:r>
    </w:p>
    <w:p w14:paraId="1D65258C" w14:textId="77777777" w:rsidR="00785F87" w:rsidRPr="005F4B78" w:rsidRDefault="00785F87" w:rsidP="00785F87">
      <w:pPr>
        <w:spacing w:before="100" w:beforeAutospacing="1" w:after="100" w:afterAutospacing="1" w:line="240" w:lineRule="auto"/>
        <w:jc w:val="both"/>
        <w:rPr>
          <w:rFonts w:cs="Times New Roman"/>
          <w:color w:val="000000" w:themeColor="text1"/>
          <w:szCs w:val="24"/>
          <w:lang w:eastAsia="pt-BR"/>
        </w:rPr>
      </w:pPr>
      <w:r w:rsidRPr="005F4B78">
        <w:rPr>
          <w:rFonts w:cs="Times New Roman"/>
          <w:color w:val="000000" w:themeColor="text1"/>
          <w:szCs w:val="24"/>
          <w:lang w:eastAsia="pt-BR"/>
        </w:rPr>
        <w:t>A indução será realizada com propofol (2 mg/kg) e rocurônio (0,6 mg/kg), associados ao opioide definido pela randomização: fentanil 3 µg/kg no Grupo F ou metadona 0,1 mg/kg no Grupo M. A escolha da dose de metadona fundamenta-se em evidências de equivalência analgésica ao fentanil e em sua eficácia demonstrada em ensaios clínicos. Estudos indicam que doses entre 0,1 e 0,2 mg/kg de metadona intravenosa promovem analgesia sustentada, sem aumento significativo de eventos adversos, justificando a adoção de 0,1 mg/kg no presente estudo.</w:t>
      </w:r>
    </w:p>
    <w:p w14:paraId="4C5E2E05" w14:textId="77777777" w:rsidR="00785F87" w:rsidRPr="005F4B78" w:rsidRDefault="00785F87" w:rsidP="00785F87">
      <w:pPr>
        <w:spacing w:before="100" w:beforeAutospacing="1" w:after="100" w:afterAutospacing="1" w:line="240" w:lineRule="auto"/>
        <w:jc w:val="both"/>
        <w:rPr>
          <w:rFonts w:cs="Times New Roman"/>
          <w:color w:val="000000" w:themeColor="text1"/>
          <w:szCs w:val="24"/>
          <w:lang w:eastAsia="pt-BR"/>
        </w:rPr>
      </w:pPr>
      <w:r w:rsidRPr="005F4B78">
        <w:rPr>
          <w:rFonts w:cs="Times New Roman"/>
          <w:color w:val="000000" w:themeColor="text1"/>
          <w:szCs w:val="24"/>
          <w:lang w:eastAsia="pt-BR"/>
        </w:rPr>
        <w:lastRenderedPageBreak/>
        <w:t>A manutenção anestésica será realizada com sevoflurano (1 CAM) em mistura de ar e oxigênio e remifentanil em infusão alvo-controlada (2–6 ng/ml, modelo de Minto). Dipirona (2 g) e cetorolaco (30 mg) serão administrados como analgesia complementar, além de dexametasona (10 mg) e ondansetrona (8 mg) para profilaxia antiemética. A reposição volêmica será feita com ringer lactato, a critério do anestesiologista, e registrada. Hipotensão intraoperatória (pressão arterial média ≤20% do basal) será tratada com efedrina ou metaraminol.</w:t>
      </w:r>
    </w:p>
    <w:p w14:paraId="54185E91" w14:textId="77777777" w:rsidR="00785F87" w:rsidRPr="005F4B78" w:rsidRDefault="00785F87" w:rsidP="00785F87">
      <w:pPr>
        <w:spacing w:before="100" w:beforeAutospacing="1" w:after="100" w:afterAutospacing="1" w:line="240" w:lineRule="auto"/>
        <w:jc w:val="both"/>
        <w:rPr>
          <w:rFonts w:cs="Times New Roman"/>
          <w:color w:val="000000" w:themeColor="text1"/>
          <w:szCs w:val="24"/>
          <w:lang w:eastAsia="pt-BR"/>
        </w:rPr>
      </w:pPr>
      <w:r w:rsidRPr="005F4B78">
        <w:rPr>
          <w:rFonts w:cs="Times New Roman"/>
          <w:color w:val="000000" w:themeColor="text1"/>
          <w:szCs w:val="24"/>
          <w:lang w:eastAsia="pt-BR"/>
        </w:rPr>
        <w:t>Ao término do procedimento, serão infiltrados 5 ml de ropivacaína 0,5% em cada portal de incisão. O bloqueio neuromuscular será revertido com sugamadex (2–16 mg/kg), conforme a monitorização da SQE e da contagem pós-tetânica. Não será administrada morfina de rotina ao final da cirurgia.</w:t>
      </w:r>
    </w:p>
    <w:p w14:paraId="45F0B7F8" w14:textId="77777777" w:rsidR="00785F87" w:rsidRPr="005F4B78" w:rsidRDefault="00785F87" w:rsidP="00785F87">
      <w:pPr>
        <w:spacing w:before="100" w:beforeAutospacing="1" w:after="100" w:afterAutospacing="1" w:line="240" w:lineRule="auto"/>
        <w:jc w:val="both"/>
        <w:rPr>
          <w:rFonts w:cs="Times New Roman"/>
          <w:color w:val="000000" w:themeColor="text1"/>
          <w:szCs w:val="24"/>
          <w:lang w:eastAsia="pt-BR"/>
        </w:rPr>
      </w:pPr>
      <w:r w:rsidRPr="005F4B78">
        <w:rPr>
          <w:rFonts w:cs="Times New Roman"/>
          <w:color w:val="000000" w:themeColor="text1"/>
          <w:szCs w:val="24"/>
          <w:lang w:eastAsia="pt-BR"/>
        </w:rPr>
        <w:t>Na sala de recuperação pós-anestésica (SRPA), os pacientes serão avaliados a cada 15 minutos quanto à dor, utilizando-se a Escala Verbal Numérica (EVN, 0–10). Dor ≥4 será tratada com morfina 2 mg IV, repetida até EVN &lt;4. Serão registrados também a ocorrência de náuseas, vômitos, dessaturação e nível de sedação (escala modificada de Wilson). A alta será definida pela escala modificada de Aldrette-Kroulik (escore ≥9).</w:t>
      </w:r>
    </w:p>
    <w:p w14:paraId="3ECE7006" w14:textId="77777777" w:rsidR="00785F87" w:rsidRPr="005F4B78" w:rsidRDefault="00785F87" w:rsidP="00785F87">
      <w:pPr>
        <w:spacing w:before="100" w:beforeAutospacing="1" w:after="100" w:afterAutospacing="1" w:line="240" w:lineRule="auto"/>
        <w:jc w:val="both"/>
        <w:rPr>
          <w:rFonts w:cs="Times New Roman"/>
          <w:color w:val="000000" w:themeColor="text1"/>
          <w:szCs w:val="24"/>
          <w:lang w:eastAsia="pt-BR"/>
        </w:rPr>
      </w:pPr>
      <w:r w:rsidRPr="005F4B78">
        <w:rPr>
          <w:rFonts w:cs="Times New Roman"/>
          <w:color w:val="000000" w:themeColor="text1"/>
          <w:szCs w:val="24"/>
          <w:lang w:eastAsia="pt-BR"/>
        </w:rPr>
        <w:t>O controle da dor no pós-operatório será feito com dipirona 1 g IV a cada 6 horas. Em casos de dor moderada a intensa (EVN ≥4), será administrada morfina 2 mg IV a cada 10 minutos, até controle ou até a dose máxima de 10 mg/24h. Ondansetrona 4 mg IV será administrada a cada 8 horas. Os pacientes ainda serão reavaliados após 6 e 12 horas de internação.</w:t>
      </w:r>
    </w:p>
    <w:p w14:paraId="119C6C96" w14:textId="3E35AFA7" w:rsidR="00785F87" w:rsidRPr="004F270B" w:rsidRDefault="00785F87" w:rsidP="00785F87">
      <w:pPr>
        <w:spacing w:before="100" w:beforeAutospacing="1" w:after="100" w:afterAutospacing="1" w:line="240" w:lineRule="auto"/>
        <w:jc w:val="both"/>
        <w:rPr>
          <w:rFonts w:cs="Times New Roman"/>
          <w:color w:val="000000" w:themeColor="text1"/>
          <w:szCs w:val="24"/>
          <w:lang w:eastAsia="pt-BR"/>
        </w:rPr>
      </w:pPr>
      <w:r w:rsidRPr="004F270B">
        <w:rPr>
          <w:color w:val="000000" w:themeColor="text1"/>
        </w:rPr>
        <w:t>A participação nesta pesquisa envolve riscos mínimos a moderados, inerentes a procedimentos anestésicos e ao uso de opioides, como depressão respiratória, náuseas, vômitos, hipotensão, bradicardia e reações de hipersensibilidade, embora eventos adversos graves sejam raros. Para minimizar tais riscos, os participantes serão monitorados continuamente por anestesiologistas, com acesso imediato a equipamentos e medicamentos de emergência, protocolos padronizados de manejo, garantia de confidencialidade dos dados e assistência médica integral gratuita em caso de intercorrências, sem ônus ao SUS. Embora não haja benefícios diretos imediatos aos participantes, o estudo poderá contribuir para a prática anestésica ao gerar evidências científicas sobre a comparação entre fentanil e metadona, com potencial de otimizar a segurança do paciente, reduzir o consumo de opioides no pós-operatório, melhorar o controle da dor e subsidiar futuras diretrizes clínicas, beneficiando a sociedade como um todo.</w:t>
      </w:r>
    </w:p>
    <w:p w14:paraId="4C663BD7" w14:textId="5F0CA36C" w:rsidR="00BD39A6" w:rsidRPr="005A00BA" w:rsidRDefault="00BD39A6" w:rsidP="005A00B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cs="Times New Roman"/>
          <w:b/>
          <w:bCs/>
          <w:szCs w:val="24"/>
          <w:lang w:val="pt-BR"/>
        </w:rPr>
      </w:pPr>
      <w:r w:rsidRPr="005A00BA">
        <w:rPr>
          <w:rFonts w:cs="Times New Roman"/>
          <w:b/>
          <w:bCs/>
          <w:szCs w:val="24"/>
          <w:lang w:val="pt-BR"/>
        </w:rPr>
        <w:t>5.5 Desfechos</w:t>
      </w:r>
    </w:p>
    <w:p w14:paraId="59C141B5" w14:textId="26993412" w:rsidR="00BD39A6" w:rsidRPr="005A00BA" w:rsidRDefault="00BD39A6" w:rsidP="005A00B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cs="Times New Roman"/>
          <w:b/>
          <w:bCs/>
          <w:szCs w:val="24"/>
          <w:lang w:val="pt-BR"/>
        </w:rPr>
      </w:pPr>
      <w:r w:rsidRPr="005A00BA">
        <w:rPr>
          <w:rFonts w:cs="Times New Roman"/>
          <w:b/>
          <w:bCs/>
          <w:szCs w:val="24"/>
          <w:lang w:val="pt-BR"/>
        </w:rPr>
        <w:t>5.5.1 Desfecho primário</w:t>
      </w:r>
    </w:p>
    <w:p w14:paraId="7009BB04" w14:textId="2B65CB06" w:rsidR="00BD39A6" w:rsidRPr="005A00BA" w:rsidRDefault="00BD39A6" w:rsidP="005A00B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cs="Times New Roman"/>
          <w:szCs w:val="24"/>
          <w:lang w:val="pt-BR"/>
        </w:rPr>
      </w:pPr>
      <w:r w:rsidRPr="005A00BA">
        <w:rPr>
          <w:rFonts w:cs="Times New Roman"/>
          <w:szCs w:val="24"/>
          <w:lang w:val="pt-BR"/>
        </w:rPr>
        <w:t>O desfecho primário será composto pela incidência de qualquer episódio de dor moderada/intensa e qualquer episódio de náuseas e vômitos no pós-operatório.</w:t>
      </w:r>
    </w:p>
    <w:p w14:paraId="38F25077" w14:textId="734A75B5" w:rsidR="00E40FEE" w:rsidRPr="005A00BA" w:rsidRDefault="00E40FEE" w:rsidP="005A00B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cs="Times New Roman"/>
          <w:b/>
          <w:bCs/>
          <w:szCs w:val="24"/>
          <w:lang w:val="pt-BR"/>
        </w:rPr>
      </w:pPr>
      <w:r w:rsidRPr="005A00BA">
        <w:rPr>
          <w:rFonts w:cs="Times New Roman"/>
          <w:b/>
          <w:bCs/>
          <w:szCs w:val="24"/>
          <w:lang w:val="pt-BR"/>
        </w:rPr>
        <w:lastRenderedPageBreak/>
        <w:t>5.5.2 Desfecho secundário</w:t>
      </w:r>
    </w:p>
    <w:p w14:paraId="3521B52B" w14:textId="0F7F8979" w:rsidR="00E40FEE" w:rsidRPr="005A00BA" w:rsidRDefault="00E40FEE" w:rsidP="005A00B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cs="Times New Roman"/>
          <w:b/>
          <w:bCs/>
          <w:szCs w:val="24"/>
          <w:lang w:val="pt-BR"/>
        </w:rPr>
      </w:pPr>
      <w:r w:rsidRPr="005A00BA">
        <w:rPr>
          <w:rFonts w:cs="Times New Roman"/>
          <w:szCs w:val="24"/>
          <w:lang w:val="pt-BR"/>
        </w:rPr>
        <w:t xml:space="preserve">Os desfechos secundários são </w:t>
      </w:r>
      <w:r w:rsidRPr="005A00BA">
        <w:rPr>
          <w:rFonts w:cs="Times New Roman"/>
          <w:color w:val="212121"/>
          <w:szCs w:val="24"/>
          <w:shd w:val="clear" w:color="auto" w:fill="FFFFFF"/>
          <w:lang w:val="pt-BR"/>
        </w:rPr>
        <w:t>a intensidade de dor pós-operatória por meio da EVN nos cinco tempos avaliados, consumo cumulativo de opioides de resgate durante toda internação, consumo de remifentanil no intraoperatório,</w:t>
      </w:r>
      <w:r w:rsidR="00415D7A" w:rsidRPr="005A00BA">
        <w:rPr>
          <w:rFonts w:cs="Times New Roman"/>
          <w:color w:val="212121"/>
          <w:szCs w:val="24"/>
          <w:shd w:val="clear" w:color="auto" w:fill="FFFFFF"/>
          <w:lang w:val="pt-BR"/>
        </w:rPr>
        <w:t xml:space="preserve"> incidência de NVPO, tempo de permanência na SRPA,</w:t>
      </w:r>
      <w:r w:rsidRPr="005A00BA">
        <w:rPr>
          <w:rFonts w:cs="Times New Roman"/>
          <w:szCs w:val="24"/>
          <w:lang w:val="pt-BR"/>
        </w:rPr>
        <w:t xml:space="preserve"> a incidência de efeitos adversos relacionados aos opioides</w:t>
      </w:r>
      <w:r w:rsidR="00415D7A" w:rsidRPr="005A00BA">
        <w:rPr>
          <w:rFonts w:cs="Times New Roman"/>
          <w:szCs w:val="24"/>
          <w:lang w:val="pt-BR"/>
        </w:rPr>
        <w:t xml:space="preserve"> (sedação, depressão respiratória, PONV) e</w:t>
      </w:r>
      <w:r w:rsidRPr="005A00BA">
        <w:rPr>
          <w:rFonts w:cs="Times New Roman"/>
          <w:szCs w:val="24"/>
          <w:lang w:val="pt-BR"/>
        </w:rPr>
        <w:t xml:space="preserve"> tempo de internação hospitalar.</w:t>
      </w:r>
    </w:p>
    <w:p w14:paraId="147577A5" w14:textId="3E051169" w:rsidR="00415D7A" w:rsidRPr="005A00BA" w:rsidRDefault="00415D7A" w:rsidP="005A00B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cs="Times New Roman"/>
          <w:b/>
          <w:bCs/>
          <w:szCs w:val="24"/>
          <w:lang w:val="pt-BR"/>
        </w:rPr>
      </w:pPr>
      <w:r w:rsidRPr="005A00BA">
        <w:rPr>
          <w:rFonts w:cs="Times New Roman"/>
          <w:b/>
          <w:bCs/>
          <w:szCs w:val="24"/>
          <w:lang w:val="pt-BR"/>
        </w:rPr>
        <w:t>5.6 – Análise estatística</w:t>
      </w:r>
    </w:p>
    <w:p w14:paraId="36E0754C" w14:textId="77777777" w:rsidR="00415D7A" w:rsidRPr="005A00BA" w:rsidRDefault="00415D7A" w:rsidP="005A00B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cs="Times New Roman"/>
          <w:color w:val="000000"/>
          <w:szCs w:val="24"/>
          <w:lang w:val="pt-BR"/>
        </w:rPr>
      </w:pPr>
      <w:r w:rsidRPr="005A00BA">
        <w:rPr>
          <w:rFonts w:cs="Times New Roman"/>
          <w:color w:val="000000"/>
          <w:szCs w:val="24"/>
          <w:lang w:val="pt-BR"/>
        </w:rPr>
        <w:t>As características demográficas e dados coletados serão apresentadas em médias, medianas e proporções. As medidas de dispersão utilizadas serão desvio padrão, amplitude e intervalo interquartil a depender da normalidade dos dados.</w:t>
      </w:r>
    </w:p>
    <w:p w14:paraId="5C00C7AA" w14:textId="77777777" w:rsidR="00415D7A" w:rsidRPr="005A00BA" w:rsidRDefault="00415D7A" w:rsidP="005A00BA">
      <w:pPr>
        <w:spacing w:line="360" w:lineRule="auto"/>
        <w:ind w:firstLine="708"/>
        <w:jc w:val="both"/>
        <w:rPr>
          <w:rFonts w:cs="Times New Roman"/>
          <w:szCs w:val="24"/>
          <w:lang w:val="pt-BR"/>
        </w:rPr>
      </w:pPr>
      <w:r w:rsidRPr="005A00BA">
        <w:rPr>
          <w:rFonts w:cs="Times New Roman"/>
          <w:szCs w:val="24"/>
          <w:lang w:val="pt-BR"/>
        </w:rPr>
        <w:t xml:space="preserve"> A normalidade dos dados será verificada utilizando o teste de Shapiro Wilk. A comparação de médias entre grupos será feita utilizando teste t-Student para o caso de simetria. Para comparação das medianas será utilizado o teste U de Mann-Whitney caso os dados apresentem distribuição assimétrica. Para comparação das proporções serão utilizados o teste exato de Fisher ou qui-quadrado com correção de Monte Carlo. Para os cálculos de correlação entre variáveis com distribuição paramétrica será utilizado o teste de correlação de Pearson e para dados com distribuição não-paramétrica será utilizado o teste de Spearman.  Todos os valores de P serão obtidos por análise bicaudal e será estabelecido valor &lt; 0,05 para rejeitar a hipótese nula. </w:t>
      </w:r>
    </w:p>
    <w:p w14:paraId="1857BE47" w14:textId="66A59214" w:rsidR="00415D7A" w:rsidRPr="005A00BA" w:rsidRDefault="00D6524C" w:rsidP="005A00BA">
      <w:pPr>
        <w:spacing w:line="360" w:lineRule="auto"/>
        <w:ind w:firstLine="708"/>
        <w:jc w:val="both"/>
        <w:rPr>
          <w:rFonts w:cs="Times New Roman"/>
          <w:szCs w:val="24"/>
          <w:lang w:val="pt-BR"/>
        </w:rPr>
      </w:pPr>
      <w:r w:rsidRPr="005A00BA">
        <w:rPr>
          <w:rFonts w:cs="Times New Roman"/>
          <w:szCs w:val="24"/>
          <w:lang w:val="pt-BR"/>
        </w:rPr>
        <w:t xml:space="preserve">O cálculo amostral foi feito baseando-se do desfecho composto de incidência de dor moderada/intensa e incidência de NVPO. </w:t>
      </w:r>
      <w:r w:rsidR="002722C5" w:rsidRPr="005A00BA">
        <w:rPr>
          <w:rFonts w:cs="Times New Roman"/>
          <w:szCs w:val="24"/>
          <w:lang w:val="pt-BR"/>
        </w:rPr>
        <w:t>Considerando uma incidência de dor moderada/intensa de 45%</w:t>
      </w:r>
      <w:r w:rsidR="00805F55">
        <w:rPr>
          <w:rFonts w:cs="Times New Roman"/>
          <w:szCs w:val="24"/>
          <w:lang w:val="pt-BR"/>
        </w:rPr>
        <w:t xml:space="preserve"> [19] </w:t>
      </w:r>
      <w:r w:rsidR="002722C5" w:rsidRPr="005A00BA">
        <w:rPr>
          <w:rFonts w:cs="Times New Roman"/>
          <w:szCs w:val="24"/>
          <w:lang w:val="pt-BR"/>
        </w:rPr>
        <w:t>e uma taxa de NVPO de 25%</w:t>
      </w:r>
      <w:r w:rsidR="005A3EE6">
        <w:rPr>
          <w:rFonts w:cs="Times New Roman"/>
          <w:szCs w:val="24"/>
          <w:lang w:val="pt-BR"/>
        </w:rPr>
        <w:t xml:space="preserve"> [20] </w:t>
      </w:r>
      <w:r w:rsidR="007954F4" w:rsidRPr="005A00BA">
        <w:rPr>
          <w:rFonts w:cs="Times New Roman"/>
          <w:szCs w:val="24"/>
          <w:lang w:val="pt-BR"/>
        </w:rPr>
        <w:t xml:space="preserve">em cirurgias de colecistectomia videolaparoscópica </w:t>
      </w:r>
      <w:r w:rsidRPr="005A00BA">
        <w:rPr>
          <w:rFonts w:cs="Times New Roman"/>
          <w:szCs w:val="24"/>
          <w:lang w:val="pt-BR"/>
        </w:rPr>
        <w:t>encontrados em</w:t>
      </w:r>
      <w:r w:rsidR="007954F4" w:rsidRPr="005A00BA">
        <w:rPr>
          <w:rFonts w:cs="Times New Roman"/>
          <w:szCs w:val="24"/>
          <w:lang w:val="pt-BR"/>
        </w:rPr>
        <w:t xml:space="preserve"> estudos prévios, </w:t>
      </w:r>
      <w:r w:rsidR="002722C5" w:rsidRPr="005A00BA">
        <w:rPr>
          <w:rFonts w:cs="Times New Roman"/>
          <w:szCs w:val="24"/>
          <w:lang w:val="pt-BR"/>
        </w:rPr>
        <w:t xml:space="preserve">calculamos que </w:t>
      </w:r>
      <w:r w:rsidRPr="005A00BA">
        <w:rPr>
          <w:rFonts w:cs="Times New Roman"/>
          <w:szCs w:val="24"/>
          <w:lang w:val="pt-BR"/>
        </w:rPr>
        <w:t>são</w:t>
      </w:r>
      <w:r w:rsidR="002722C5" w:rsidRPr="005A00BA">
        <w:rPr>
          <w:rFonts w:cs="Times New Roman"/>
          <w:szCs w:val="24"/>
          <w:lang w:val="pt-BR"/>
        </w:rPr>
        <w:t xml:space="preserve"> necessários </w:t>
      </w:r>
      <w:r w:rsidR="007954F4" w:rsidRPr="005A00BA">
        <w:rPr>
          <w:rFonts w:cs="Times New Roman"/>
          <w:szCs w:val="24"/>
          <w:lang w:val="pt-BR"/>
        </w:rPr>
        <w:t>31</w:t>
      </w:r>
      <w:r w:rsidR="002722C5" w:rsidRPr="005A00BA">
        <w:rPr>
          <w:rFonts w:cs="Times New Roman"/>
          <w:szCs w:val="24"/>
          <w:lang w:val="pt-BR"/>
        </w:rPr>
        <w:t xml:space="preserve"> pacientes por grupo com uma margem de erro alfa de 5% bi-caudal e poder de estudo de 80%, para demonstrar diferença relativa entre os grupos de </w:t>
      </w:r>
      <w:r w:rsidR="007954F4" w:rsidRPr="005A00BA">
        <w:rPr>
          <w:rFonts w:cs="Times New Roman"/>
          <w:szCs w:val="24"/>
          <w:lang w:val="pt-BR"/>
        </w:rPr>
        <w:t>5</w:t>
      </w:r>
      <w:r w:rsidR="002722C5" w:rsidRPr="005A00BA">
        <w:rPr>
          <w:rFonts w:cs="Times New Roman"/>
          <w:szCs w:val="24"/>
          <w:lang w:val="pt-BR"/>
        </w:rPr>
        <w:t>0% na medida de desfecho primário composto (</w:t>
      </w:r>
      <w:r w:rsidR="007954F4" w:rsidRPr="005A00BA">
        <w:rPr>
          <w:rFonts w:cs="Times New Roman"/>
          <w:szCs w:val="24"/>
          <w:lang w:val="pt-BR"/>
        </w:rPr>
        <w:t>70</w:t>
      </w:r>
      <w:r w:rsidR="002722C5" w:rsidRPr="005A00BA">
        <w:rPr>
          <w:rFonts w:cs="Times New Roman"/>
          <w:szCs w:val="24"/>
          <w:lang w:val="pt-BR"/>
        </w:rPr>
        <w:t xml:space="preserve"> % a </w:t>
      </w:r>
      <w:r w:rsidR="007954F4" w:rsidRPr="005A00BA">
        <w:rPr>
          <w:rFonts w:cs="Times New Roman"/>
          <w:szCs w:val="24"/>
          <w:lang w:val="pt-BR"/>
        </w:rPr>
        <w:t>35</w:t>
      </w:r>
      <w:r w:rsidR="002722C5" w:rsidRPr="005A00BA">
        <w:rPr>
          <w:rFonts w:cs="Times New Roman"/>
          <w:szCs w:val="24"/>
          <w:lang w:val="pt-BR"/>
        </w:rPr>
        <w:t xml:space="preserve"> %)</w:t>
      </w:r>
      <w:r w:rsidR="007954F4" w:rsidRPr="005A00BA">
        <w:rPr>
          <w:rFonts w:cs="Times New Roman"/>
          <w:szCs w:val="24"/>
          <w:lang w:val="pt-BR"/>
        </w:rPr>
        <w:t xml:space="preserve">. </w:t>
      </w:r>
      <w:r w:rsidR="002722C5" w:rsidRPr="005A00BA">
        <w:rPr>
          <w:rFonts w:cs="Times New Roman"/>
          <w:szCs w:val="24"/>
          <w:lang w:val="pt-BR"/>
        </w:rPr>
        <w:t xml:space="preserve">Considerando 10% de perdas, o tamanho amostral será de </w:t>
      </w:r>
      <w:r w:rsidR="007954F4" w:rsidRPr="005A00BA">
        <w:rPr>
          <w:rFonts w:cs="Times New Roman"/>
          <w:szCs w:val="24"/>
          <w:lang w:val="pt-BR"/>
        </w:rPr>
        <w:t>34</w:t>
      </w:r>
      <w:r w:rsidR="002722C5" w:rsidRPr="005A00BA">
        <w:rPr>
          <w:rFonts w:cs="Times New Roman"/>
          <w:szCs w:val="24"/>
          <w:lang w:val="pt-BR"/>
        </w:rPr>
        <w:t xml:space="preserve"> pacientes por grupo, totalizando </w:t>
      </w:r>
      <w:r w:rsidR="007954F4" w:rsidRPr="005A00BA">
        <w:rPr>
          <w:rFonts w:cs="Times New Roman"/>
          <w:szCs w:val="24"/>
          <w:lang w:val="pt-BR"/>
        </w:rPr>
        <w:t>68</w:t>
      </w:r>
      <w:r w:rsidR="002722C5" w:rsidRPr="005A00BA">
        <w:rPr>
          <w:rFonts w:cs="Times New Roman"/>
          <w:szCs w:val="24"/>
          <w:lang w:val="pt-BR"/>
        </w:rPr>
        <w:t xml:space="preserve"> pacientes recrutados os quais serão randomizados por meio do software específico e alocados na proporção 1:</w:t>
      </w:r>
      <w:r w:rsidR="002722C5" w:rsidRPr="005A00BA">
        <w:rPr>
          <w:rFonts w:cs="Times New Roman"/>
          <w:color w:val="000000"/>
          <w:szCs w:val="24"/>
          <w:lang w:val="pt-BR"/>
        </w:rPr>
        <w:t xml:space="preserve">1. Todas as </w:t>
      </w:r>
      <w:r w:rsidR="002722C5" w:rsidRPr="005A00BA">
        <w:rPr>
          <w:rFonts w:cs="Times New Roman"/>
          <w:color w:val="000000"/>
          <w:szCs w:val="24"/>
          <w:lang w:val="pt-BR"/>
        </w:rPr>
        <w:lastRenderedPageBreak/>
        <w:t>análises serão feitas utilizando o programa SAS for Windows, v.9.4, fixando o nível de significância em 5%.</w:t>
      </w:r>
      <w:r w:rsidR="002722C5" w:rsidRPr="005A00BA">
        <w:rPr>
          <w:rFonts w:cs="Times New Roman"/>
          <w:szCs w:val="24"/>
          <w:lang w:val="pt-BR"/>
        </w:rPr>
        <w:t xml:space="preserve"> </w:t>
      </w:r>
    </w:p>
    <w:p w14:paraId="120A76F0" w14:textId="3936290B" w:rsidR="00E50440" w:rsidRPr="005A00BA" w:rsidRDefault="00E50440" w:rsidP="005A00B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cs="Times New Roman"/>
          <w:b/>
          <w:bCs/>
          <w:color w:val="000000"/>
          <w:szCs w:val="24"/>
          <w:lang w:val="pt-BR"/>
        </w:rPr>
      </w:pPr>
      <w:r w:rsidRPr="005A00BA">
        <w:rPr>
          <w:rFonts w:cs="Times New Roman"/>
          <w:b/>
          <w:bCs/>
          <w:color w:val="000000"/>
          <w:szCs w:val="24"/>
          <w:lang w:val="pt-BR"/>
        </w:rPr>
        <w:t>6. Custos</w:t>
      </w:r>
    </w:p>
    <w:p w14:paraId="37FEDD63" w14:textId="39DB4CB7" w:rsidR="00E50440" w:rsidRPr="005A00BA" w:rsidRDefault="00E50440" w:rsidP="005A00BA">
      <w:pPr>
        <w:spacing w:before="100" w:beforeAutospacing="1" w:after="100" w:afterAutospacing="1" w:line="360" w:lineRule="auto"/>
        <w:jc w:val="both"/>
        <w:rPr>
          <w:rFonts w:cs="Times New Roman"/>
          <w:color w:val="000000" w:themeColor="text1"/>
          <w:szCs w:val="24"/>
          <w:lang w:val="pt-BR" w:eastAsia="pt-BR"/>
        </w:rPr>
      </w:pPr>
      <w:r w:rsidRPr="005A00BA">
        <w:rPr>
          <w:rFonts w:cs="Times New Roman"/>
          <w:color w:val="000000" w:themeColor="text1"/>
          <w:szCs w:val="24"/>
          <w:lang w:val="pt-BR" w:eastAsia="pt-BR"/>
        </w:rPr>
        <w:t>A viabilidade financeira e operacional deste estudo é considerada adequada. Os equipamentos de monitorização, bem como os fármacos necessários para a realização da anestesia e das intervenções propostas, estarão disponíveis no próprio hospital e no departamento de Anestesiologia, não sendo necessário o aporte de recursos externos para essa finalidade.</w:t>
      </w:r>
      <w:r w:rsidR="003374D6" w:rsidRPr="005A00BA">
        <w:rPr>
          <w:rFonts w:cs="Times New Roman"/>
          <w:color w:val="000000" w:themeColor="text1"/>
          <w:szCs w:val="24"/>
          <w:lang w:val="pt-BR" w:eastAsia="pt-BR"/>
        </w:rPr>
        <w:t xml:space="preserve"> </w:t>
      </w:r>
      <w:r w:rsidRPr="005A00BA">
        <w:rPr>
          <w:rFonts w:cs="Times New Roman"/>
          <w:color w:val="000000" w:themeColor="text1"/>
          <w:szCs w:val="24"/>
          <w:lang w:val="pt-BR" w:eastAsia="pt-BR"/>
        </w:rPr>
        <w:t>As medicações utilizadas durante os procedimentos clínicos serão fornecidas pelo próprio paciente ou pelo plano de saúde, de acordo com a cobertura contratual individual. Dessa forma, os custos diretos relacionados à execução da pesquisa serão mínimos.</w:t>
      </w:r>
      <w:r w:rsidR="00E50B31" w:rsidRPr="005A00BA">
        <w:rPr>
          <w:rFonts w:cs="Times New Roman"/>
          <w:color w:val="000000" w:themeColor="text1"/>
          <w:szCs w:val="24"/>
          <w:lang w:val="pt-BR" w:eastAsia="pt-BR"/>
        </w:rPr>
        <w:t xml:space="preserve"> </w:t>
      </w:r>
      <w:r w:rsidRPr="005A00BA">
        <w:rPr>
          <w:rFonts w:cs="Times New Roman"/>
          <w:color w:val="000000" w:themeColor="text1"/>
          <w:szCs w:val="24"/>
          <w:lang w:val="pt-BR" w:eastAsia="pt-BR"/>
        </w:rPr>
        <w:t>As despesas assumidas pelo pesquisador estarão restritas a itens específicos, como materiais de registro, armazenamento de dados e eventuais custos administrativos, os quais serão integralmente financiados com recursos próprios, não havendo necessidade de financiamento institucional ou externo para a realização do projeto.</w:t>
      </w:r>
    </w:p>
    <w:p w14:paraId="2D1AC8FF" w14:textId="5B919823" w:rsidR="00B6571A" w:rsidRPr="00E50440" w:rsidRDefault="00B6571A" w:rsidP="00E473E2">
      <w:pPr>
        <w:spacing w:before="100" w:beforeAutospacing="1" w:after="100" w:afterAutospacing="1" w:line="360" w:lineRule="auto"/>
        <w:jc w:val="both"/>
        <w:rPr>
          <w:rFonts w:cs="Times New Roman"/>
          <w:color w:val="000000" w:themeColor="text1"/>
          <w:szCs w:val="24"/>
          <w:lang w:val="pt-BR" w:eastAsia="pt-BR"/>
        </w:rPr>
      </w:pPr>
      <w:r>
        <w:rPr>
          <w:noProof/>
          <w:color w:val="000000"/>
        </w:rPr>
        <w:drawing>
          <wp:inline distT="0" distB="0" distL="0" distR="0" wp14:anchorId="7B866CA6" wp14:editId="5009F9C3">
            <wp:extent cx="5486400" cy="1722587"/>
            <wp:effectExtent l="0" t="0" r="0" b="0"/>
            <wp:docPr id="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225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844611D" w14:textId="00C9744E" w:rsidR="005B2ADE" w:rsidRDefault="00D6524C" w:rsidP="00FF14B4">
      <w:pPr>
        <w:jc w:val="both"/>
        <w:rPr>
          <w:b/>
          <w:bCs/>
          <w:color w:val="000000"/>
          <w:lang w:val="pt-BR"/>
        </w:rPr>
      </w:pPr>
      <w:r>
        <w:rPr>
          <w:b/>
          <w:bCs/>
          <w:color w:val="000000"/>
          <w:lang w:val="pt-BR"/>
        </w:rPr>
        <w:t>7</w:t>
      </w:r>
      <w:r w:rsidR="005B2ADE">
        <w:rPr>
          <w:b/>
          <w:bCs/>
          <w:color w:val="000000"/>
          <w:lang w:val="pt-BR"/>
        </w:rPr>
        <w:t>. Cronograma</w:t>
      </w:r>
    </w:p>
    <w:p w14:paraId="18525E84" w14:textId="49471D85" w:rsidR="00F53211" w:rsidRPr="00F53211" w:rsidRDefault="00F53211" w:rsidP="00FF14B4">
      <w:pPr>
        <w:jc w:val="both"/>
        <w:rPr>
          <w:b/>
          <w:bCs/>
          <w:color w:val="000000"/>
          <w:lang w:val="pt-BR"/>
        </w:rPr>
      </w:pPr>
      <w:r w:rsidRPr="00F53211">
        <w:rPr>
          <w:b/>
          <w:bCs/>
          <w:color w:val="000000"/>
          <w:lang w:val="pt-BR"/>
        </w:rPr>
        <w:t>2025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9"/>
        <w:gridCol w:w="595"/>
        <w:gridCol w:w="610"/>
        <w:gridCol w:w="695"/>
        <w:gridCol w:w="701"/>
        <w:gridCol w:w="665"/>
        <w:gridCol w:w="607"/>
        <w:gridCol w:w="526"/>
        <w:gridCol w:w="664"/>
        <w:gridCol w:w="582"/>
        <w:gridCol w:w="650"/>
        <w:gridCol w:w="680"/>
        <w:gridCol w:w="640"/>
      </w:tblGrid>
      <w:tr w:rsidR="00F53211" w:rsidRPr="00066C08" w14:paraId="5C02D340" w14:textId="77777777" w:rsidTr="0030649B">
        <w:tc>
          <w:tcPr>
            <w:tcW w:w="2239" w:type="dxa"/>
          </w:tcPr>
          <w:p w14:paraId="6A4EBB3A" w14:textId="77777777" w:rsidR="00F53211" w:rsidRPr="00066C08" w:rsidRDefault="00F53211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>ATIVIDADES</w:t>
            </w:r>
          </w:p>
        </w:tc>
        <w:tc>
          <w:tcPr>
            <w:tcW w:w="595" w:type="dxa"/>
          </w:tcPr>
          <w:p w14:paraId="69719AE0" w14:textId="77777777" w:rsidR="00F53211" w:rsidRPr="00066C08" w:rsidRDefault="00F53211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 xml:space="preserve">Jan </w:t>
            </w:r>
          </w:p>
        </w:tc>
        <w:tc>
          <w:tcPr>
            <w:tcW w:w="610" w:type="dxa"/>
          </w:tcPr>
          <w:p w14:paraId="464F786A" w14:textId="77777777" w:rsidR="00F53211" w:rsidRPr="00066C08" w:rsidRDefault="00F53211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 xml:space="preserve">Fev </w:t>
            </w:r>
          </w:p>
        </w:tc>
        <w:tc>
          <w:tcPr>
            <w:tcW w:w="695" w:type="dxa"/>
          </w:tcPr>
          <w:p w14:paraId="71CB49B4" w14:textId="77777777" w:rsidR="00F53211" w:rsidRPr="00066C08" w:rsidRDefault="00F53211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 xml:space="preserve">Mar </w:t>
            </w:r>
          </w:p>
        </w:tc>
        <w:tc>
          <w:tcPr>
            <w:tcW w:w="701" w:type="dxa"/>
          </w:tcPr>
          <w:p w14:paraId="1ED77E5F" w14:textId="77777777" w:rsidR="00F53211" w:rsidRPr="00066C08" w:rsidRDefault="00F53211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 xml:space="preserve">Abri </w:t>
            </w:r>
          </w:p>
        </w:tc>
        <w:tc>
          <w:tcPr>
            <w:tcW w:w="665" w:type="dxa"/>
          </w:tcPr>
          <w:p w14:paraId="4C17BF47" w14:textId="77777777" w:rsidR="00F53211" w:rsidRPr="00066C08" w:rsidRDefault="00F53211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 xml:space="preserve">Mai </w:t>
            </w:r>
          </w:p>
        </w:tc>
        <w:tc>
          <w:tcPr>
            <w:tcW w:w="607" w:type="dxa"/>
          </w:tcPr>
          <w:p w14:paraId="4611EC8C" w14:textId="77777777" w:rsidR="00F53211" w:rsidRPr="00066C08" w:rsidRDefault="00F53211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 xml:space="preserve">Jun </w:t>
            </w:r>
          </w:p>
        </w:tc>
        <w:tc>
          <w:tcPr>
            <w:tcW w:w="526" w:type="dxa"/>
          </w:tcPr>
          <w:p w14:paraId="38AC83F6" w14:textId="77777777" w:rsidR="00F53211" w:rsidRPr="00066C08" w:rsidRDefault="00F53211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 xml:space="preserve">Jul </w:t>
            </w:r>
          </w:p>
        </w:tc>
        <w:tc>
          <w:tcPr>
            <w:tcW w:w="664" w:type="dxa"/>
          </w:tcPr>
          <w:p w14:paraId="4D4F4AAF" w14:textId="77777777" w:rsidR="00F53211" w:rsidRPr="00066C08" w:rsidRDefault="00F53211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 xml:space="preserve">Ago </w:t>
            </w:r>
          </w:p>
        </w:tc>
        <w:tc>
          <w:tcPr>
            <w:tcW w:w="582" w:type="dxa"/>
          </w:tcPr>
          <w:p w14:paraId="75F0FF00" w14:textId="77777777" w:rsidR="00F53211" w:rsidRPr="00066C08" w:rsidRDefault="00F53211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 xml:space="preserve">Set </w:t>
            </w:r>
          </w:p>
        </w:tc>
        <w:tc>
          <w:tcPr>
            <w:tcW w:w="650" w:type="dxa"/>
          </w:tcPr>
          <w:p w14:paraId="3973A4A0" w14:textId="77777777" w:rsidR="00F53211" w:rsidRPr="00066C08" w:rsidRDefault="00F53211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 xml:space="preserve">Out </w:t>
            </w:r>
          </w:p>
        </w:tc>
        <w:tc>
          <w:tcPr>
            <w:tcW w:w="680" w:type="dxa"/>
          </w:tcPr>
          <w:p w14:paraId="247F7142" w14:textId="77777777" w:rsidR="00F53211" w:rsidRPr="00066C08" w:rsidRDefault="00F53211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 xml:space="preserve">Nov </w:t>
            </w:r>
          </w:p>
        </w:tc>
        <w:tc>
          <w:tcPr>
            <w:tcW w:w="640" w:type="dxa"/>
          </w:tcPr>
          <w:p w14:paraId="4828B05E" w14:textId="77777777" w:rsidR="00F53211" w:rsidRPr="00066C08" w:rsidRDefault="00F53211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 xml:space="preserve">Dez </w:t>
            </w:r>
          </w:p>
        </w:tc>
      </w:tr>
      <w:tr w:rsidR="00F53211" w:rsidRPr="00066C08" w14:paraId="799FA2CB" w14:textId="77777777" w:rsidTr="0030649B">
        <w:tc>
          <w:tcPr>
            <w:tcW w:w="2239" w:type="dxa"/>
          </w:tcPr>
          <w:p w14:paraId="736F1491" w14:textId="77777777" w:rsidR="00F53211" w:rsidRPr="00066C08" w:rsidRDefault="00F53211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>Levantamento bibliográfico</w:t>
            </w:r>
          </w:p>
        </w:tc>
        <w:tc>
          <w:tcPr>
            <w:tcW w:w="595" w:type="dxa"/>
          </w:tcPr>
          <w:p w14:paraId="0774E21C" w14:textId="4C0329BD" w:rsidR="00F53211" w:rsidRPr="00066C08" w:rsidRDefault="00F53211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</w:p>
        </w:tc>
        <w:tc>
          <w:tcPr>
            <w:tcW w:w="610" w:type="dxa"/>
          </w:tcPr>
          <w:p w14:paraId="2A130126" w14:textId="30650F7A" w:rsidR="00F53211" w:rsidRPr="00066C08" w:rsidRDefault="00F53211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</w:p>
        </w:tc>
        <w:tc>
          <w:tcPr>
            <w:tcW w:w="695" w:type="dxa"/>
          </w:tcPr>
          <w:p w14:paraId="361FD264" w14:textId="300F90AA" w:rsidR="00F53211" w:rsidRPr="00066C08" w:rsidRDefault="00F53211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</w:p>
        </w:tc>
        <w:tc>
          <w:tcPr>
            <w:tcW w:w="701" w:type="dxa"/>
          </w:tcPr>
          <w:p w14:paraId="7DD71A05" w14:textId="77777777" w:rsidR="00F53211" w:rsidRPr="00066C08" w:rsidRDefault="00F53211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665" w:type="dxa"/>
          </w:tcPr>
          <w:p w14:paraId="400E2DE6" w14:textId="77777777" w:rsidR="00F53211" w:rsidRPr="00066C08" w:rsidRDefault="00F53211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607" w:type="dxa"/>
          </w:tcPr>
          <w:p w14:paraId="7B03A299" w14:textId="77777777" w:rsidR="00F53211" w:rsidRPr="00066C08" w:rsidRDefault="00F53211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526" w:type="dxa"/>
          </w:tcPr>
          <w:p w14:paraId="5581C3D0" w14:textId="77777777" w:rsidR="00F53211" w:rsidRPr="00066C08" w:rsidRDefault="00F53211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664" w:type="dxa"/>
          </w:tcPr>
          <w:p w14:paraId="6E41E2B1" w14:textId="77777777" w:rsidR="00F53211" w:rsidRPr="00066C08" w:rsidRDefault="00F53211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582" w:type="dxa"/>
          </w:tcPr>
          <w:p w14:paraId="70A2A239" w14:textId="77777777" w:rsidR="00F53211" w:rsidRPr="00066C08" w:rsidRDefault="00F53211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650" w:type="dxa"/>
          </w:tcPr>
          <w:p w14:paraId="2A3663B6" w14:textId="77777777" w:rsidR="00F53211" w:rsidRPr="00066C08" w:rsidRDefault="00F53211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680" w:type="dxa"/>
          </w:tcPr>
          <w:p w14:paraId="039C1277" w14:textId="77777777" w:rsidR="00F53211" w:rsidRPr="00066C08" w:rsidRDefault="00F53211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640" w:type="dxa"/>
          </w:tcPr>
          <w:p w14:paraId="157D0E70" w14:textId="77777777" w:rsidR="00F53211" w:rsidRPr="00066C08" w:rsidRDefault="00F53211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</w:tr>
      <w:tr w:rsidR="00F53211" w:rsidRPr="00066C08" w14:paraId="64F0FEFD" w14:textId="77777777" w:rsidTr="0030649B">
        <w:tc>
          <w:tcPr>
            <w:tcW w:w="2239" w:type="dxa"/>
          </w:tcPr>
          <w:p w14:paraId="7C354A37" w14:textId="77777777" w:rsidR="00F53211" w:rsidRPr="000242A7" w:rsidRDefault="00F53211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  <w:lang w:val="pt-BR"/>
              </w:rPr>
            </w:pPr>
            <w:r w:rsidRPr="000242A7">
              <w:rPr>
                <w:rFonts w:asciiTheme="majorHAnsi" w:hAnsiTheme="majorHAnsi" w:cstheme="majorHAnsi"/>
                <w:b/>
                <w:color w:val="000000"/>
                <w:lang w:val="pt-BR"/>
              </w:rPr>
              <w:lastRenderedPageBreak/>
              <w:t>Encaminhamento do projeto ao CEP</w:t>
            </w:r>
          </w:p>
        </w:tc>
        <w:tc>
          <w:tcPr>
            <w:tcW w:w="595" w:type="dxa"/>
          </w:tcPr>
          <w:p w14:paraId="236D2594" w14:textId="77777777" w:rsidR="00F53211" w:rsidRPr="000242A7" w:rsidRDefault="00F53211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  <w:lang w:val="pt-BR"/>
              </w:rPr>
            </w:pPr>
          </w:p>
        </w:tc>
        <w:tc>
          <w:tcPr>
            <w:tcW w:w="610" w:type="dxa"/>
          </w:tcPr>
          <w:p w14:paraId="2D477383" w14:textId="51461DA0" w:rsidR="00F53211" w:rsidRPr="000242A7" w:rsidRDefault="00F53211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  <w:lang w:val="pt-BR"/>
              </w:rPr>
            </w:pPr>
          </w:p>
        </w:tc>
        <w:tc>
          <w:tcPr>
            <w:tcW w:w="695" w:type="dxa"/>
          </w:tcPr>
          <w:p w14:paraId="29272CC7" w14:textId="602D9F53" w:rsidR="00F53211" w:rsidRPr="000242A7" w:rsidRDefault="00F53211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  <w:lang w:val="pt-BR"/>
              </w:rPr>
            </w:pPr>
          </w:p>
        </w:tc>
        <w:tc>
          <w:tcPr>
            <w:tcW w:w="701" w:type="dxa"/>
          </w:tcPr>
          <w:p w14:paraId="5EED8D02" w14:textId="77777777" w:rsidR="00F53211" w:rsidRPr="000242A7" w:rsidRDefault="00F53211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  <w:lang w:val="pt-BR"/>
              </w:rPr>
            </w:pPr>
          </w:p>
        </w:tc>
        <w:tc>
          <w:tcPr>
            <w:tcW w:w="665" w:type="dxa"/>
          </w:tcPr>
          <w:p w14:paraId="5A4760D7" w14:textId="77777777" w:rsidR="00F53211" w:rsidRPr="000242A7" w:rsidRDefault="00F53211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  <w:lang w:val="pt-BR"/>
              </w:rPr>
            </w:pPr>
          </w:p>
        </w:tc>
        <w:tc>
          <w:tcPr>
            <w:tcW w:w="607" w:type="dxa"/>
          </w:tcPr>
          <w:p w14:paraId="7F5AED25" w14:textId="1C15BD6B" w:rsidR="00F53211" w:rsidRPr="00066C08" w:rsidRDefault="00F53211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</w:p>
        </w:tc>
        <w:tc>
          <w:tcPr>
            <w:tcW w:w="526" w:type="dxa"/>
          </w:tcPr>
          <w:p w14:paraId="5E48AADC" w14:textId="77777777" w:rsidR="00F53211" w:rsidRPr="00066C08" w:rsidRDefault="00F53211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</w:p>
        </w:tc>
        <w:tc>
          <w:tcPr>
            <w:tcW w:w="664" w:type="dxa"/>
          </w:tcPr>
          <w:p w14:paraId="24CFB508" w14:textId="091066D9" w:rsidR="00F53211" w:rsidRPr="00066C08" w:rsidRDefault="000242A7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582" w:type="dxa"/>
          </w:tcPr>
          <w:p w14:paraId="4F60B817" w14:textId="5546566B" w:rsidR="00F53211" w:rsidRPr="00066C08" w:rsidRDefault="000242A7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650" w:type="dxa"/>
          </w:tcPr>
          <w:p w14:paraId="4C832F6F" w14:textId="77777777" w:rsidR="00F53211" w:rsidRPr="00066C08" w:rsidRDefault="00F53211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</w:p>
        </w:tc>
        <w:tc>
          <w:tcPr>
            <w:tcW w:w="680" w:type="dxa"/>
          </w:tcPr>
          <w:p w14:paraId="5FBF906F" w14:textId="77777777" w:rsidR="00F53211" w:rsidRPr="00066C08" w:rsidRDefault="00F53211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</w:p>
        </w:tc>
        <w:tc>
          <w:tcPr>
            <w:tcW w:w="640" w:type="dxa"/>
          </w:tcPr>
          <w:p w14:paraId="5314EDBB" w14:textId="77777777" w:rsidR="00F53211" w:rsidRPr="00066C08" w:rsidRDefault="00F53211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</w:p>
        </w:tc>
      </w:tr>
      <w:tr w:rsidR="00F53211" w:rsidRPr="00066C08" w14:paraId="32209800" w14:textId="77777777" w:rsidTr="0030649B">
        <w:tc>
          <w:tcPr>
            <w:tcW w:w="2239" w:type="dxa"/>
          </w:tcPr>
          <w:p w14:paraId="0C732ADF" w14:textId="77777777" w:rsidR="00F53211" w:rsidRPr="00066C08" w:rsidRDefault="00F53211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 xml:space="preserve">Coleta de dados </w:t>
            </w:r>
          </w:p>
        </w:tc>
        <w:tc>
          <w:tcPr>
            <w:tcW w:w="595" w:type="dxa"/>
          </w:tcPr>
          <w:p w14:paraId="39406343" w14:textId="77777777" w:rsidR="00F53211" w:rsidRPr="00066C08" w:rsidRDefault="00F53211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</w:p>
        </w:tc>
        <w:tc>
          <w:tcPr>
            <w:tcW w:w="610" w:type="dxa"/>
          </w:tcPr>
          <w:p w14:paraId="762CC84B" w14:textId="77777777" w:rsidR="00F53211" w:rsidRPr="00066C08" w:rsidRDefault="00F53211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</w:p>
        </w:tc>
        <w:tc>
          <w:tcPr>
            <w:tcW w:w="695" w:type="dxa"/>
          </w:tcPr>
          <w:p w14:paraId="2F0CE5F9" w14:textId="77777777" w:rsidR="00F53211" w:rsidRPr="00066C08" w:rsidRDefault="00F53211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</w:p>
        </w:tc>
        <w:tc>
          <w:tcPr>
            <w:tcW w:w="701" w:type="dxa"/>
          </w:tcPr>
          <w:p w14:paraId="1CDF5DB2" w14:textId="0CEC874A" w:rsidR="00F53211" w:rsidRPr="00066C08" w:rsidRDefault="00F53211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</w:p>
        </w:tc>
        <w:tc>
          <w:tcPr>
            <w:tcW w:w="665" w:type="dxa"/>
          </w:tcPr>
          <w:p w14:paraId="401A4025" w14:textId="690ECE3D" w:rsidR="00F53211" w:rsidRPr="00066C08" w:rsidRDefault="00F53211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</w:p>
        </w:tc>
        <w:tc>
          <w:tcPr>
            <w:tcW w:w="607" w:type="dxa"/>
          </w:tcPr>
          <w:p w14:paraId="4A1B940C" w14:textId="04FC68C8" w:rsidR="00F53211" w:rsidRPr="00066C08" w:rsidRDefault="00F53211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</w:p>
        </w:tc>
        <w:tc>
          <w:tcPr>
            <w:tcW w:w="526" w:type="dxa"/>
          </w:tcPr>
          <w:p w14:paraId="1F0B6A93" w14:textId="07EFCAA2" w:rsidR="00F53211" w:rsidRPr="00066C08" w:rsidRDefault="00F53211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</w:p>
        </w:tc>
        <w:tc>
          <w:tcPr>
            <w:tcW w:w="664" w:type="dxa"/>
          </w:tcPr>
          <w:p w14:paraId="1404578E" w14:textId="153D4F98" w:rsidR="00F53211" w:rsidRPr="00066C08" w:rsidRDefault="00F53211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</w:p>
        </w:tc>
        <w:tc>
          <w:tcPr>
            <w:tcW w:w="582" w:type="dxa"/>
          </w:tcPr>
          <w:p w14:paraId="059FA760" w14:textId="6C232A2C" w:rsidR="00F53211" w:rsidRPr="00066C08" w:rsidRDefault="00F53211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</w:p>
        </w:tc>
        <w:tc>
          <w:tcPr>
            <w:tcW w:w="650" w:type="dxa"/>
          </w:tcPr>
          <w:p w14:paraId="58E4B79C" w14:textId="77777777" w:rsidR="00F53211" w:rsidRPr="00066C08" w:rsidRDefault="00F53211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680" w:type="dxa"/>
          </w:tcPr>
          <w:p w14:paraId="5964BC2E" w14:textId="77777777" w:rsidR="00F53211" w:rsidRPr="00066C08" w:rsidRDefault="00F53211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640" w:type="dxa"/>
          </w:tcPr>
          <w:p w14:paraId="089408C1" w14:textId="77777777" w:rsidR="00F53211" w:rsidRPr="00066C08" w:rsidRDefault="00F53211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</w:tr>
    </w:tbl>
    <w:p w14:paraId="5393DB3E" w14:textId="4A43375B" w:rsidR="00F53211" w:rsidRDefault="00F53211" w:rsidP="00FF14B4">
      <w:pPr>
        <w:jc w:val="both"/>
        <w:rPr>
          <w:color w:val="000000"/>
          <w:lang w:val="pt-BR"/>
        </w:rPr>
      </w:pPr>
    </w:p>
    <w:p w14:paraId="0FAF6877" w14:textId="185E45CF" w:rsidR="0003110E" w:rsidRPr="0003110E" w:rsidRDefault="0003110E" w:rsidP="00FF14B4">
      <w:pPr>
        <w:jc w:val="both"/>
        <w:rPr>
          <w:b/>
          <w:bCs/>
          <w:color w:val="000000"/>
          <w:lang w:val="pt-BR"/>
        </w:rPr>
      </w:pPr>
      <w:r w:rsidRPr="0003110E">
        <w:rPr>
          <w:b/>
          <w:bCs/>
          <w:color w:val="000000"/>
          <w:lang w:val="pt-BR"/>
        </w:rPr>
        <w:t>2026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9"/>
        <w:gridCol w:w="595"/>
        <w:gridCol w:w="610"/>
        <w:gridCol w:w="695"/>
        <w:gridCol w:w="701"/>
        <w:gridCol w:w="665"/>
        <w:gridCol w:w="607"/>
        <w:gridCol w:w="526"/>
        <w:gridCol w:w="664"/>
        <w:gridCol w:w="582"/>
        <w:gridCol w:w="650"/>
        <w:gridCol w:w="680"/>
        <w:gridCol w:w="640"/>
      </w:tblGrid>
      <w:tr w:rsidR="0003110E" w:rsidRPr="00066C08" w14:paraId="649AC0FA" w14:textId="77777777" w:rsidTr="0030649B">
        <w:tc>
          <w:tcPr>
            <w:tcW w:w="2239" w:type="dxa"/>
          </w:tcPr>
          <w:p w14:paraId="2D6FB953" w14:textId="77777777" w:rsidR="0003110E" w:rsidRPr="00066C08" w:rsidRDefault="0003110E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>ATIVIDADES</w:t>
            </w:r>
          </w:p>
        </w:tc>
        <w:tc>
          <w:tcPr>
            <w:tcW w:w="595" w:type="dxa"/>
          </w:tcPr>
          <w:p w14:paraId="32256D76" w14:textId="77777777" w:rsidR="0003110E" w:rsidRPr="00066C08" w:rsidRDefault="0003110E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 xml:space="preserve">Jan </w:t>
            </w:r>
          </w:p>
        </w:tc>
        <w:tc>
          <w:tcPr>
            <w:tcW w:w="610" w:type="dxa"/>
          </w:tcPr>
          <w:p w14:paraId="60E50635" w14:textId="77777777" w:rsidR="0003110E" w:rsidRPr="00066C08" w:rsidRDefault="0003110E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 xml:space="preserve">Fev </w:t>
            </w:r>
          </w:p>
        </w:tc>
        <w:tc>
          <w:tcPr>
            <w:tcW w:w="695" w:type="dxa"/>
          </w:tcPr>
          <w:p w14:paraId="4D2BFDE3" w14:textId="77777777" w:rsidR="0003110E" w:rsidRPr="00066C08" w:rsidRDefault="0003110E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 xml:space="preserve">Mar </w:t>
            </w:r>
          </w:p>
        </w:tc>
        <w:tc>
          <w:tcPr>
            <w:tcW w:w="701" w:type="dxa"/>
          </w:tcPr>
          <w:p w14:paraId="2BB7D71E" w14:textId="77777777" w:rsidR="0003110E" w:rsidRPr="00066C08" w:rsidRDefault="0003110E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 xml:space="preserve">Abri </w:t>
            </w:r>
          </w:p>
        </w:tc>
        <w:tc>
          <w:tcPr>
            <w:tcW w:w="665" w:type="dxa"/>
          </w:tcPr>
          <w:p w14:paraId="46C451B8" w14:textId="77777777" w:rsidR="0003110E" w:rsidRPr="00066C08" w:rsidRDefault="0003110E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 xml:space="preserve">Mai </w:t>
            </w:r>
          </w:p>
        </w:tc>
        <w:tc>
          <w:tcPr>
            <w:tcW w:w="607" w:type="dxa"/>
          </w:tcPr>
          <w:p w14:paraId="747FE60B" w14:textId="77777777" w:rsidR="0003110E" w:rsidRPr="00066C08" w:rsidRDefault="0003110E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 xml:space="preserve">Jun </w:t>
            </w:r>
          </w:p>
        </w:tc>
        <w:tc>
          <w:tcPr>
            <w:tcW w:w="526" w:type="dxa"/>
          </w:tcPr>
          <w:p w14:paraId="69A92AE8" w14:textId="77777777" w:rsidR="0003110E" w:rsidRPr="00066C08" w:rsidRDefault="0003110E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 xml:space="preserve">Jul </w:t>
            </w:r>
          </w:p>
        </w:tc>
        <w:tc>
          <w:tcPr>
            <w:tcW w:w="664" w:type="dxa"/>
          </w:tcPr>
          <w:p w14:paraId="19DFEA50" w14:textId="77777777" w:rsidR="0003110E" w:rsidRPr="00066C08" w:rsidRDefault="0003110E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 xml:space="preserve">Ago </w:t>
            </w:r>
          </w:p>
        </w:tc>
        <w:tc>
          <w:tcPr>
            <w:tcW w:w="582" w:type="dxa"/>
          </w:tcPr>
          <w:p w14:paraId="3E2CC558" w14:textId="77777777" w:rsidR="0003110E" w:rsidRPr="00066C08" w:rsidRDefault="0003110E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 xml:space="preserve">Set </w:t>
            </w:r>
          </w:p>
        </w:tc>
        <w:tc>
          <w:tcPr>
            <w:tcW w:w="650" w:type="dxa"/>
          </w:tcPr>
          <w:p w14:paraId="569BA958" w14:textId="77777777" w:rsidR="0003110E" w:rsidRPr="00066C08" w:rsidRDefault="0003110E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 xml:space="preserve">Out </w:t>
            </w:r>
          </w:p>
        </w:tc>
        <w:tc>
          <w:tcPr>
            <w:tcW w:w="680" w:type="dxa"/>
          </w:tcPr>
          <w:p w14:paraId="2CBC6FC9" w14:textId="77777777" w:rsidR="0003110E" w:rsidRPr="00066C08" w:rsidRDefault="0003110E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 xml:space="preserve">Nov </w:t>
            </w:r>
          </w:p>
        </w:tc>
        <w:tc>
          <w:tcPr>
            <w:tcW w:w="640" w:type="dxa"/>
          </w:tcPr>
          <w:p w14:paraId="54192B30" w14:textId="77777777" w:rsidR="0003110E" w:rsidRPr="00066C08" w:rsidRDefault="0003110E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 xml:space="preserve">Dez </w:t>
            </w:r>
          </w:p>
        </w:tc>
      </w:tr>
      <w:tr w:rsidR="0003110E" w:rsidRPr="00066C08" w14:paraId="0223575D" w14:textId="77777777" w:rsidTr="0030649B">
        <w:tc>
          <w:tcPr>
            <w:tcW w:w="2239" w:type="dxa"/>
          </w:tcPr>
          <w:p w14:paraId="1FEA3048" w14:textId="77777777" w:rsidR="0003110E" w:rsidRPr="00066C08" w:rsidRDefault="0003110E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>Levantamento bibliográfico</w:t>
            </w:r>
          </w:p>
        </w:tc>
        <w:tc>
          <w:tcPr>
            <w:tcW w:w="595" w:type="dxa"/>
          </w:tcPr>
          <w:p w14:paraId="764AFE7D" w14:textId="79D6C444" w:rsidR="0003110E" w:rsidRPr="00066C08" w:rsidRDefault="00147C4B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610" w:type="dxa"/>
          </w:tcPr>
          <w:p w14:paraId="3611F46D" w14:textId="3F345A6A" w:rsidR="0003110E" w:rsidRPr="00066C08" w:rsidRDefault="00147C4B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695" w:type="dxa"/>
          </w:tcPr>
          <w:p w14:paraId="69DACC8B" w14:textId="567D7C22" w:rsidR="0003110E" w:rsidRPr="00066C08" w:rsidRDefault="00147C4B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701" w:type="dxa"/>
          </w:tcPr>
          <w:p w14:paraId="09E5CD43" w14:textId="77777777" w:rsidR="0003110E" w:rsidRPr="00066C08" w:rsidRDefault="0003110E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665" w:type="dxa"/>
          </w:tcPr>
          <w:p w14:paraId="500031DF" w14:textId="77777777" w:rsidR="0003110E" w:rsidRPr="00066C08" w:rsidRDefault="0003110E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607" w:type="dxa"/>
          </w:tcPr>
          <w:p w14:paraId="32860A22" w14:textId="77777777" w:rsidR="0003110E" w:rsidRPr="00066C08" w:rsidRDefault="0003110E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526" w:type="dxa"/>
          </w:tcPr>
          <w:p w14:paraId="5B3F9730" w14:textId="77777777" w:rsidR="0003110E" w:rsidRPr="00066C08" w:rsidRDefault="0003110E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664" w:type="dxa"/>
          </w:tcPr>
          <w:p w14:paraId="3197E84D" w14:textId="77777777" w:rsidR="0003110E" w:rsidRPr="00066C08" w:rsidRDefault="0003110E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582" w:type="dxa"/>
          </w:tcPr>
          <w:p w14:paraId="2BB79FF9" w14:textId="77777777" w:rsidR="0003110E" w:rsidRPr="00066C08" w:rsidRDefault="0003110E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650" w:type="dxa"/>
          </w:tcPr>
          <w:p w14:paraId="3E80F0AB" w14:textId="77777777" w:rsidR="0003110E" w:rsidRPr="00066C08" w:rsidRDefault="0003110E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680" w:type="dxa"/>
          </w:tcPr>
          <w:p w14:paraId="739DA875" w14:textId="77777777" w:rsidR="0003110E" w:rsidRPr="00066C08" w:rsidRDefault="0003110E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640" w:type="dxa"/>
          </w:tcPr>
          <w:p w14:paraId="025496A1" w14:textId="77777777" w:rsidR="0003110E" w:rsidRPr="00066C08" w:rsidRDefault="0003110E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</w:tr>
      <w:tr w:rsidR="0003110E" w:rsidRPr="00066C08" w14:paraId="179CA3F7" w14:textId="77777777" w:rsidTr="0030649B">
        <w:tc>
          <w:tcPr>
            <w:tcW w:w="2239" w:type="dxa"/>
          </w:tcPr>
          <w:p w14:paraId="47274780" w14:textId="77777777" w:rsidR="0003110E" w:rsidRPr="00066C08" w:rsidRDefault="0003110E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 xml:space="preserve">Coleta de dados </w:t>
            </w:r>
          </w:p>
        </w:tc>
        <w:tc>
          <w:tcPr>
            <w:tcW w:w="595" w:type="dxa"/>
          </w:tcPr>
          <w:p w14:paraId="48EEC900" w14:textId="6EF433DB" w:rsidR="0003110E" w:rsidRPr="00066C08" w:rsidRDefault="00147C4B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610" w:type="dxa"/>
          </w:tcPr>
          <w:p w14:paraId="0BA1D421" w14:textId="0D2F69A2" w:rsidR="0003110E" w:rsidRPr="00066C08" w:rsidRDefault="00147C4B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695" w:type="dxa"/>
          </w:tcPr>
          <w:p w14:paraId="5A53A245" w14:textId="475C0041" w:rsidR="0003110E" w:rsidRPr="00066C08" w:rsidRDefault="00147C4B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701" w:type="dxa"/>
          </w:tcPr>
          <w:p w14:paraId="55851851" w14:textId="2F829030" w:rsidR="0003110E" w:rsidRPr="00066C08" w:rsidRDefault="00147C4B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665" w:type="dxa"/>
          </w:tcPr>
          <w:p w14:paraId="6E02C0CD" w14:textId="3EE2525C" w:rsidR="0003110E" w:rsidRPr="00066C08" w:rsidRDefault="00147C4B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607" w:type="dxa"/>
          </w:tcPr>
          <w:p w14:paraId="7AAB6F75" w14:textId="0B7E73DC" w:rsidR="0003110E" w:rsidRPr="00066C08" w:rsidRDefault="00147C4B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526" w:type="dxa"/>
          </w:tcPr>
          <w:p w14:paraId="1DDFC66E" w14:textId="77777777" w:rsidR="0003110E" w:rsidRPr="00066C08" w:rsidRDefault="0003110E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664" w:type="dxa"/>
          </w:tcPr>
          <w:p w14:paraId="2CCC253B" w14:textId="77777777" w:rsidR="0003110E" w:rsidRPr="00066C08" w:rsidRDefault="0003110E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582" w:type="dxa"/>
          </w:tcPr>
          <w:p w14:paraId="2EBD15E9" w14:textId="77777777" w:rsidR="0003110E" w:rsidRPr="00066C08" w:rsidRDefault="0003110E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650" w:type="dxa"/>
          </w:tcPr>
          <w:p w14:paraId="26FE5E71" w14:textId="77777777" w:rsidR="0003110E" w:rsidRPr="00066C08" w:rsidRDefault="0003110E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680" w:type="dxa"/>
          </w:tcPr>
          <w:p w14:paraId="0779E3E1" w14:textId="77777777" w:rsidR="0003110E" w:rsidRPr="00066C08" w:rsidRDefault="0003110E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  <w:tc>
          <w:tcPr>
            <w:tcW w:w="640" w:type="dxa"/>
          </w:tcPr>
          <w:p w14:paraId="6A27E582" w14:textId="77777777" w:rsidR="0003110E" w:rsidRPr="00066C08" w:rsidRDefault="0003110E" w:rsidP="00306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HAnsi" w:hAnsiTheme="majorHAnsi" w:cstheme="majorHAnsi"/>
                <w:b/>
                <w:color w:val="000000"/>
              </w:rPr>
            </w:pPr>
            <w:r w:rsidRPr="00066C08">
              <w:rPr>
                <w:rFonts w:asciiTheme="majorHAnsi" w:hAnsiTheme="majorHAnsi" w:cstheme="majorHAnsi"/>
                <w:b/>
                <w:color w:val="000000"/>
              </w:rPr>
              <w:t>X</w:t>
            </w:r>
          </w:p>
        </w:tc>
      </w:tr>
    </w:tbl>
    <w:p w14:paraId="680F48FB" w14:textId="77777777" w:rsidR="0003110E" w:rsidRDefault="0003110E" w:rsidP="00FF14B4">
      <w:pPr>
        <w:jc w:val="both"/>
        <w:rPr>
          <w:color w:val="000000"/>
          <w:lang w:val="pt-BR"/>
        </w:rPr>
      </w:pPr>
    </w:p>
    <w:p w14:paraId="00F06A64" w14:textId="28AE3C32" w:rsidR="00930E25" w:rsidRDefault="00930E25" w:rsidP="00FF14B4">
      <w:pPr>
        <w:jc w:val="both"/>
      </w:pPr>
    </w:p>
    <w:p w14:paraId="222E2140" w14:textId="7592D35B" w:rsidR="00930E25" w:rsidRPr="009A4AA3" w:rsidRDefault="00D6524C" w:rsidP="00FF14B4">
      <w:pPr>
        <w:pStyle w:val="Ttulo2"/>
        <w:jc w:val="both"/>
        <w:rPr>
          <w:rFonts w:ascii="Times New Roman" w:eastAsia="Times New Roman" w:hAnsi="Times New Roman"/>
          <w:color w:val="000000" w:themeColor="text1"/>
          <w:sz w:val="24"/>
        </w:rPr>
      </w:pPr>
      <w:r>
        <w:rPr>
          <w:rFonts w:ascii="Times New Roman" w:eastAsia="Times New Roman" w:hAnsi="Times New Roman"/>
          <w:color w:val="000000" w:themeColor="text1"/>
          <w:sz w:val="24"/>
        </w:rPr>
        <w:t>8</w:t>
      </w:r>
      <w:r w:rsidR="00720D0D" w:rsidRPr="009A4AA3">
        <w:rPr>
          <w:rFonts w:ascii="Times New Roman" w:eastAsia="Times New Roman" w:hAnsi="Times New Roman"/>
          <w:color w:val="000000" w:themeColor="text1"/>
          <w:sz w:val="24"/>
        </w:rPr>
        <w:t>. Referências</w:t>
      </w:r>
    </w:p>
    <w:p w14:paraId="41F9E651" w14:textId="77777777" w:rsidR="001823A0" w:rsidRDefault="001823A0" w:rsidP="001823A0"/>
    <w:p w14:paraId="20AB6E21" w14:textId="552D767E" w:rsidR="001823A0" w:rsidRPr="000242A7" w:rsidRDefault="001823A0" w:rsidP="009A45E5">
      <w:pPr>
        <w:jc w:val="both"/>
        <w:rPr>
          <w:lang w:val="en-GB"/>
        </w:rPr>
      </w:pPr>
      <w:r w:rsidRPr="000242A7">
        <w:rPr>
          <w:lang w:val="en-GB"/>
        </w:rPr>
        <w:t xml:space="preserve">1- Bisgaard T. Analgesic treatment after laparoscopic cholecystectomy: a critical assessment of the evidence. </w:t>
      </w:r>
      <w:r w:rsidRPr="000242A7">
        <w:rPr>
          <w:i/>
          <w:iCs/>
          <w:lang w:val="en-GB"/>
        </w:rPr>
        <w:t>Anesthesiology</w:t>
      </w:r>
      <w:r w:rsidRPr="000242A7">
        <w:rPr>
          <w:lang w:val="en-GB"/>
        </w:rPr>
        <w:t>. 2006;104(4):835–846.</w:t>
      </w:r>
    </w:p>
    <w:p w14:paraId="6BACB7B6" w14:textId="108B0BC1" w:rsidR="001823A0" w:rsidRPr="000242A7" w:rsidRDefault="001823A0" w:rsidP="009A45E5">
      <w:pPr>
        <w:jc w:val="both"/>
        <w:rPr>
          <w:lang w:val="en-GB"/>
        </w:rPr>
      </w:pPr>
      <w:r w:rsidRPr="000242A7">
        <w:rPr>
          <w:lang w:val="en-GB"/>
        </w:rPr>
        <w:t xml:space="preserve">2-Apfel CC, et al. Postoperative nausea and vomiting. </w:t>
      </w:r>
      <w:r w:rsidRPr="000242A7">
        <w:rPr>
          <w:i/>
          <w:iCs/>
          <w:lang w:val="en-GB"/>
        </w:rPr>
        <w:t>Anesthesiology</w:t>
      </w:r>
      <w:r w:rsidRPr="000242A7">
        <w:rPr>
          <w:lang w:val="en-GB"/>
        </w:rPr>
        <w:t>. 2012;116(3):530–538.</w:t>
      </w:r>
    </w:p>
    <w:p w14:paraId="5C10A525" w14:textId="0DA37FA2" w:rsidR="001823A0" w:rsidRPr="00CB0AEB" w:rsidRDefault="001823A0" w:rsidP="009A45E5">
      <w:pPr>
        <w:jc w:val="both"/>
        <w:rPr>
          <w:lang w:val="en-GB"/>
        </w:rPr>
      </w:pPr>
      <w:r w:rsidRPr="000242A7">
        <w:rPr>
          <w:lang w:val="en-GB"/>
        </w:rPr>
        <w:t xml:space="preserve">3- Jokela R, Ahonen J, Tallgren M, Marjakangas P, Korttila K. A randomized controlled trial of perioperative fentanyl and postoperative nausea and vomiting. </w:t>
      </w:r>
      <w:r w:rsidRPr="00CB0AEB">
        <w:rPr>
          <w:i/>
          <w:iCs/>
          <w:lang w:val="en-GB"/>
        </w:rPr>
        <w:t>Br J Anaesth</w:t>
      </w:r>
      <w:r w:rsidRPr="00CB0AEB">
        <w:rPr>
          <w:lang w:val="en-GB"/>
        </w:rPr>
        <w:t>. 2009;103(5):763–769.</w:t>
      </w:r>
    </w:p>
    <w:p w14:paraId="059C692B" w14:textId="3CBEFFD8" w:rsidR="001823A0" w:rsidRPr="000242A7" w:rsidRDefault="001823A0" w:rsidP="009A45E5">
      <w:pPr>
        <w:jc w:val="both"/>
        <w:rPr>
          <w:lang w:val="en-GB"/>
        </w:rPr>
      </w:pPr>
      <w:r w:rsidRPr="00CB0AEB">
        <w:rPr>
          <w:lang w:val="en-GB"/>
        </w:rPr>
        <w:t xml:space="preserve"> </w:t>
      </w:r>
      <w:r w:rsidRPr="000242A7">
        <w:rPr>
          <w:lang w:val="en-GB"/>
        </w:rPr>
        <w:t xml:space="preserve">4- </w:t>
      </w:r>
      <w:r w:rsidR="00EC66D8">
        <w:rPr>
          <w:lang w:val="en-GB"/>
        </w:rPr>
        <w:t>A</w:t>
      </w:r>
      <w:r w:rsidRPr="000242A7">
        <w:rPr>
          <w:lang w:val="en-GB"/>
        </w:rPr>
        <w:t xml:space="preserve">pfel CC, Läärä E, Koivuranta M, Greim CA, Roewer N. A simplified risk score for predicting postoperative nausea and vomiting. </w:t>
      </w:r>
      <w:r w:rsidRPr="000242A7">
        <w:rPr>
          <w:i/>
          <w:iCs/>
          <w:lang w:val="en-GB"/>
        </w:rPr>
        <w:t>Anesthesiology</w:t>
      </w:r>
      <w:r w:rsidRPr="000242A7">
        <w:rPr>
          <w:lang w:val="en-GB"/>
        </w:rPr>
        <w:t>. 1999;91(3):693–700.</w:t>
      </w:r>
    </w:p>
    <w:p w14:paraId="5C7B393D" w14:textId="643EC85A" w:rsidR="001823A0" w:rsidRPr="000242A7" w:rsidRDefault="001823A0" w:rsidP="009A45E5">
      <w:pPr>
        <w:jc w:val="both"/>
        <w:rPr>
          <w:lang w:val="en-GB"/>
        </w:rPr>
      </w:pPr>
      <w:r w:rsidRPr="000242A7">
        <w:rPr>
          <w:lang w:val="en-GB"/>
        </w:rPr>
        <w:t xml:space="preserve">5- Pierre S, Whelan R. Nausea and vomiting after surgery. </w:t>
      </w:r>
      <w:r w:rsidRPr="000242A7">
        <w:rPr>
          <w:i/>
          <w:iCs/>
          <w:lang w:val="en-GB"/>
        </w:rPr>
        <w:t>Contin Educ Anaesth Crit Care Pain</w:t>
      </w:r>
      <w:r w:rsidRPr="000242A7">
        <w:rPr>
          <w:lang w:val="en-GB"/>
        </w:rPr>
        <w:t>. 2013;13(1):28–32.</w:t>
      </w:r>
    </w:p>
    <w:p w14:paraId="7E4FAFD9" w14:textId="5CEEACEB" w:rsidR="001823A0" w:rsidRPr="000242A7" w:rsidRDefault="001823A0" w:rsidP="009A45E5">
      <w:pPr>
        <w:jc w:val="both"/>
        <w:rPr>
          <w:lang w:val="en-GB"/>
        </w:rPr>
      </w:pPr>
      <w:r w:rsidRPr="000242A7">
        <w:rPr>
          <w:lang w:val="en-GB"/>
        </w:rPr>
        <w:t xml:space="preserve">6- Ljungqvist O, Scott M, Fearon KC. Enhanced Recovery After Surgery: a review. </w:t>
      </w:r>
      <w:r w:rsidRPr="000242A7">
        <w:rPr>
          <w:i/>
          <w:iCs/>
          <w:lang w:val="en-GB"/>
        </w:rPr>
        <w:t>JAMA Surg</w:t>
      </w:r>
      <w:r w:rsidRPr="000242A7">
        <w:rPr>
          <w:lang w:val="en-GB"/>
        </w:rPr>
        <w:t>. 2017;152(3):292–298.</w:t>
      </w:r>
    </w:p>
    <w:p w14:paraId="521A1E1A" w14:textId="5F348145" w:rsidR="001823A0" w:rsidRPr="000242A7" w:rsidRDefault="001823A0" w:rsidP="009A45E5">
      <w:pPr>
        <w:jc w:val="both"/>
        <w:rPr>
          <w:lang w:val="en-GB"/>
        </w:rPr>
      </w:pPr>
      <w:r w:rsidRPr="000242A7">
        <w:rPr>
          <w:lang w:val="en-GB"/>
        </w:rPr>
        <w:t xml:space="preserve">7- Mao J, Price DD, Mayer DJ. Mechanisms of hyperalgesia and morphine tolerance: a current view of their possible interactions. </w:t>
      </w:r>
      <w:r w:rsidRPr="000242A7">
        <w:rPr>
          <w:i/>
          <w:iCs/>
          <w:lang w:val="en-GB"/>
        </w:rPr>
        <w:t>Pain</w:t>
      </w:r>
      <w:r w:rsidRPr="000242A7">
        <w:rPr>
          <w:lang w:val="en-GB"/>
        </w:rPr>
        <w:t>. 1995;62(3):259–274.</w:t>
      </w:r>
    </w:p>
    <w:p w14:paraId="4F01B877" w14:textId="1E649A52" w:rsidR="001823A0" w:rsidRPr="000242A7" w:rsidRDefault="001823A0" w:rsidP="006E53BF">
      <w:pPr>
        <w:rPr>
          <w:lang w:val="en-GB"/>
        </w:rPr>
      </w:pPr>
      <w:r w:rsidRPr="000242A7">
        <w:rPr>
          <w:lang w:val="en-GB"/>
        </w:rPr>
        <w:lastRenderedPageBreak/>
        <w:t xml:space="preserve">8-Davis MP, Goforth HW. Long-acting opioids for chronic pain: focus on methadone. </w:t>
      </w:r>
      <w:r w:rsidRPr="000242A7">
        <w:rPr>
          <w:i/>
          <w:iCs/>
          <w:lang w:val="en-GB"/>
        </w:rPr>
        <w:t>Am J Hosp Palliat Care</w:t>
      </w:r>
      <w:r w:rsidRPr="000242A7">
        <w:rPr>
          <w:lang w:val="en-GB"/>
        </w:rPr>
        <w:t>. 2008;25(3):214–218.</w:t>
      </w:r>
    </w:p>
    <w:p w14:paraId="100E9216" w14:textId="16FA4A80" w:rsidR="001823A0" w:rsidRPr="000242A7" w:rsidRDefault="001823A0" w:rsidP="009A45E5">
      <w:pPr>
        <w:jc w:val="both"/>
        <w:rPr>
          <w:lang w:val="en-GB"/>
        </w:rPr>
      </w:pPr>
      <w:r w:rsidRPr="000242A7">
        <w:rPr>
          <w:lang w:val="en-GB"/>
        </w:rPr>
        <w:t xml:space="preserve">9-Mercadante S, Casuccio A, Fulfaro F. Methadone for cancer pain management: a review of pharmacokinetics, pharmacodynamics, and clinical experience. </w:t>
      </w:r>
      <w:r w:rsidRPr="000242A7">
        <w:rPr>
          <w:i/>
          <w:iCs/>
          <w:lang w:val="en-GB"/>
        </w:rPr>
        <w:t>Pain Physician</w:t>
      </w:r>
      <w:r w:rsidRPr="000242A7">
        <w:rPr>
          <w:lang w:val="en-GB"/>
        </w:rPr>
        <w:t>. 2008;11(2):109–116.</w:t>
      </w:r>
    </w:p>
    <w:p w14:paraId="1A071C34" w14:textId="583B7E19" w:rsidR="001823A0" w:rsidRPr="001823A0" w:rsidRDefault="001823A0" w:rsidP="009A45E5">
      <w:pPr>
        <w:jc w:val="both"/>
        <w:rPr>
          <w:lang w:val="pt-BR"/>
        </w:rPr>
      </w:pPr>
      <w:r w:rsidRPr="000242A7">
        <w:rPr>
          <w:lang w:val="en-GB"/>
        </w:rPr>
        <w:t xml:space="preserve">10-Gottschalk A, Durieux ME, Nemergut EC. Intraoperative methadone improves postoperative pain control in patients undergoing complex spine surgery. </w:t>
      </w:r>
      <w:r w:rsidRPr="001823A0">
        <w:rPr>
          <w:i/>
          <w:iCs/>
          <w:lang w:val="pt-BR"/>
        </w:rPr>
        <w:t>Anesth Analg</w:t>
      </w:r>
      <w:r w:rsidRPr="001823A0">
        <w:rPr>
          <w:lang w:val="pt-BR"/>
        </w:rPr>
        <w:t>. 2011;112(1):218–223.</w:t>
      </w:r>
    </w:p>
    <w:p w14:paraId="1DD1B1F0" w14:textId="6A59D20B" w:rsidR="001823A0" w:rsidRPr="000242A7" w:rsidRDefault="001823A0" w:rsidP="009A45E5">
      <w:pPr>
        <w:jc w:val="both"/>
        <w:rPr>
          <w:lang w:val="en-GB"/>
        </w:rPr>
      </w:pPr>
      <w:r w:rsidRPr="000242A7">
        <w:rPr>
          <w:lang w:val="en-GB"/>
        </w:rPr>
        <w:t xml:space="preserve">11-  Komen E, van den Bosch JE, van Wijck AJM, et al. Methadone improves postoperative pain and patient satisfaction after laparoscopic hysterectomy: a randomized, double-blind, controlled trial. </w:t>
      </w:r>
      <w:r w:rsidRPr="000242A7">
        <w:rPr>
          <w:i/>
          <w:iCs/>
          <w:lang w:val="en-GB"/>
        </w:rPr>
        <w:t>Anesth Analg</w:t>
      </w:r>
      <w:r w:rsidRPr="000242A7">
        <w:rPr>
          <w:lang w:val="en-GB"/>
        </w:rPr>
        <w:t>. 2021;132(4):1081–1090.</w:t>
      </w:r>
    </w:p>
    <w:p w14:paraId="6A115C6F" w14:textId="43C33E51" w:rsidR="002E086C" w:rsidRPr="001823A0" w:rsidRDefault="001823A0" w:rsidP="009A45E5">
      <w:pPr>
        <w:jc w:val="both"/>
        <w:rPr>
          <w:lang w:val="pt-BR"/>
        </w:rPr>
      </w:pPr>
      <w:r w:rsidRPr="000242A7">
        <w:rPr>
          <w:lang w:val="en-GB"/>
        </w:rPr>
        <w:t xml:space="preserve">12- </w:t>
      </w:r>
      <w:r w:rsidR="002E086C" w:rsidRPr="009A45E5">
        <w:rPr>
          <w:rFonts w:cs="Times New Roman"/>
        </w:rPr>
        <w:t>PONTES, J. P. J. et al. Intra</w:t>
      </w:r>
      <w:r w:rsidR="002E086C" w:rsidRPr="009A45E5">
        <w:rPr>
          <w:rFonts w:cs="Times New Roman"/>
        </w:rPr>
        <w:noBreakHyphen/>
        <w:t xml:space="preserve">operative methadone effect on quality of recovery compared with morphine following laparoscopic gastroplasty: a randomised controlled trial. </w:t>
      </w:r>
      <w:r w:rsidR="002E086C" w:rsidRPr="000242A7">
        <w:rPr>
          <w:rFonts w:cs="Times New Roman"/>
          <w:i/>
          <w:iCs/>
          <w:lang w:val="pt-BR"/>
        </w:rPr>
        <w:t>Anaesthesia</w:t>
      </w:r>
      <w:r w:rsidR="002E086C" w:rsidRPr="000242A7">
        <w:rPr>
          <w:rFonts w:cs="Times New Roman"/>
          <w:lang w:val="pt-BR"/>
        </w:rPr>
        <w:t>, v. 76, n. 2, p. 199–208, fev. 2021. DOI: 10.1111/anae.15173. Acesso em: 9 jun. 2025.</w:t>
      </w:r>
    </w:p>
    <w:p w14:paraId="233A1DAF" w14:textId="77777777" w:rsidR="00EA3D36" w:rsidRDefault="001823A0" w:rsidP="009A45E5">
      <w:pPr>
        <w:jc w:val="both"/>
        <w:rPr>
          <w:lang w:val="pt-BR"/>
        </w:rPr>
      </w:pPr>
      <w:r w:rsidRPr="000242A7">
        <w:rPr>
          <w:lang w:val="en-GB"/>
        </w:rPr>
        <w:t xml:space="preserve">13-Schug SA, Bruce J. Risk stratification for the development of chronic postsurgical pain. </w:t>
      </w:r>
      <w:r w:rsidRPr="001823A0">
        <w:rPr>
          <w:i/>
          <w:iCs/>
          <w:lang w:val="pt-BR"/>
        </w:rPr>
        <w:t>Pain Rep</w:t>
      </w:r>
      <w:r w:rsidRPr="001823A0">
        <w:rPr>
          <w:lang w:val="pt-BR"/>
        </w:rPr>
        <w:t>. 2017;2(6):e627.</w:t>
      </w:r>
    </w:p>
    <w:p w14:paraId="3BA32969" w14:textId="0F3B13B4" w:rsidR="00EA3D36" w:rsidRPr="000242A7" w:rsidRDefault="00EA3D36" w:rsidP="009A45E5">
      <w:pPr>
        <w:jc w:val="both"/>
        <w:rPr>
          <w:lang w:val="en-GB"/>
        </w:rPr>
      </w:pPr>
      <w:r w:rsidRPr="000242A7">
        <w:rPr>
          <w:lang w:val="en-GB"/>
        </w:rPr>
        <w:t xml:space="preserve">14-  HAWKER, Gillian A. et al. Measures of adult pain: Visual Analog Scale for Pain (VAS), Numeric Rating Scale for Pain (NRS), McGill Pain Questionnaire (MPQ), Short-Form McGill Pain Questionnaire (SF-MPQ), Chronic Pain Grade Scale (CPGS), Short Form-36 Bodily Pain Scale (SF-36 BPS), and Measure of Intermittent and Constant Osteoarthritis Pain (ICOAP). </w:t>
      </w:r>
      <w:r w:rsidRPr="000242A7">
        <w:rPr>
          <w:i/>
          <w:iCs/>
          <w:lang w:val="en-GB"/>
        </w:rPr>
        <w:t>Arthritis Care &amp; Research</w:t>
      </w:r>
      <w:r w:rsidRPr="000242A7">
        <w:rPr>
          <w:lang w:val="en-GB"/>
        </w:rPr>
        <w:t>, Hoboken, v. 63, n. S11, p. S240–S252, 2011.</w:t>
      </w:r>
    </w:p>
    <w:p w14:paraId="7D788146" w14:textId="5A748153" w:rsidR="00EA3D36" w:rsidRPr="000242A7" w:rsidRDefault="00EA3D36" w:rsidP="009A45E5">
      <w:pPr>
        <w:jc w:val="both"/>
        <w:rPr>
          <w:lang w:val="en-GB"/>
        </w:rPr>
      </w:pPr>
      <w:r w:rsidRPr="000242A7">
        <w:rPr>
          <w:lang w:val="en-GB"/>
        </w:rPr>
        <w:t xml:space="preserve">15- GAN, Tong Joo et al. Consensus guidelines for the management of postoperative nausea and vomiting. </w:t>
      </w:r>
      <w:r w:rsidRPr="000242A7">
        <w:rPr>
          <w:i/>
          <w:iCs/>
          <w:lang w:val="en-GB"/>
        </w:rPr>
        <w:t>Anesthesia &amp; Analgesia</w:t>
      </w:r>
      <w:r w:rsidRPr="000242A7">
        <w:rPr>
          <w:lang w:val="en-GB"/>
        </w:rPr>
        <w:t>, Baltimore, v. 118, n. 1, p. 85–113, 2014.</w:t>
      </w:r>
    </w:p>
    <w:p w14:paraId="13045C5C" w14:textId="13EA0899" w:rsidR="00EA3D36" w:rsidRPr="000242A7" w:rsidRDefault="00EA3D36" w:rsidP="009A45E5">
      <w:pPr>
        <w:jc w:val="both"/>
        <w:rPr>
          <w:lang w:val="en-GB"/>
        </w:rPr>
      </w:pPr>
      <w:r w:rsidRPr="000242A7">
        <w:rPr>
          <w:lang w:val="en-GB"/>
        </w:rPr>
        <w:t xml:space="preserve">16-APFEL, Christian C. et al. A simplified risk score for predicting postoperative nausea and vomiting. </w:t>
      </w:r>
      <w:r w:rsidRPr="000242A7">
        <w:rPr>
          <w:i/>
          <w:iCs/>
          <w:lang w:val="en-GB"/>
        </w:rPr>
        <w:t>Anesthesiology</w:t>
      </w:r>
      <w:r w:rsidRPr="000242A7">
        <w:rPr>
          <w:lang w:val="en-GB"/>
        </w:rPr>
        <w:t>, Philadelphia, v. 91, n. 3, p. 693–700, 1999.</w:t>
      </w:r>
    </w:p>
    <w:p w14:paraId="2957E7B3" w14:textId="17464F98" w:rsidR="00EA3D36" w:rsidRPr="000242A7" w:rsidRDefault="00EA3D36" w:rsidP="009A45E5">
      <w:pPr>
        <w:jc w:val="both"/>
        <w:rPr>
          <w:lang w:val="en-GB"/>
        </w:rPr>
      </w:pPr>
      <w:r w:rsidRPr="000242A7">
        <w:rPr>
          <w:lang w:val="en-GB"/>
        </w:rPr>
        <w:t xml:space="preserve">17-  NIKFARJAM, M. et al. Pain management following laparoscopic cholecystectomy: a review of current options. </w:t>
      </w:r>
      <w:r w:rsidRPr="000242A7">
        <w:rPr>
          <w:i/>
          <w:iCs/>
          <w:lang w:val="en-GB"/>
        </w:rPr>
        <w:t>Surgical Laparoscopy, Endoscopy &amp; Percutaneous Techniques</w:t>
      </w:r>
      <w:r w:rsidRPr="000242A7">
        <w:rPr>
          <w:lang w:val="en-GB"/>
        </w:rPr>
        <w:t>, New York, v. 23, n. 2, p. 77–85, 2013.</w:t>
      </w:r>
    </w:p>
    <w:p w14:paraId="2C60934C" w14:textId="7A5A1A9C" w:rsidR="00EA3D36" w:rsidRDefault="00EA3D36" w:rsidP="009A45E5">
      <w:pPr>
        <w:jc w:val="both"/>
        <w:rPr>
          <w:lang w:val="pt-BR"/>
        </w:rPr>
      </w:pPr>
      <w:r w:rsidRPr="000242A7">
        <w:rPr>
          <w:lang w:val="en-GB"/>
        </w:rPr>
        <w:t xml:space="preserve">18- LV, Hong et al. Impact of enhanced recovery after surgery protocol versus conventional perioperative management on outcomes after laparoscopic cholecystectomy. </w:t>
      </w:r>
      <w:r w:rsidRPr="00EA3D36">
        <w:rPr>
          <w:i/>
          <w:iCs/>
          <w:lang w:val="pt-BR"/>
        </w:rPr>
        <w:t>Medicine</w:t>
      </w:r>
      <w:r w:rsidRPr="00EA3D36">
        <w:rPr>
          <w:lang w:val="pt-BR"/>
        </w:rPr>
        <w:t>, Baltimore, v. 98, n. 7, p. e14431, 2019.</w:t>
      </w:r>
    </w:p>
    <w:p w14:paraId="05B4946E" w14:textId="61ED0A7A" w:rsidR="003A2DD5" w:rsidRPr="009D0DD6" w:rsidRDefault="003A2DD5" w:rsidP="009A45E5">
      <w:pPr>
        <w:jc w:val="both"/>
      </w:pPr>
      <w:r w:rsidRPr="009D0DD6">
        <w:rPr>
          <w:lang w:val="en-GB"/>
        </w:rPr>
        <w:lastRenderedPageBreak/>
        <w:t>19</w:t>
      </w:r>
      <w:r w:rsidR="00EB2346">
        <w:rPr>
          <w:lang w:val="en-GB"/>
        </w:rPr>
        <w:t>-</w:t>
      </w:r>
      <w:r w:rsidRPr="009D0DD6">
        <w:rPr>
          <w:lang w:val="en-GB"/>
        </w:rPr>
        <w:t xml:space="preserve"> </w:t>
      </w:r>
      <w:r w:rsidRPr="009D0DD6">
        <w:t>Szental JA, Webb A, Weeraratne C, Campbell A, Sivakumar H, Leong S. Postoperative pain after laparoscopic cholecystectomy is not reduced by intraoperative analgesia guided by analgesia nociception index (ANI®) monitoring: a randomized clinical trial. Br J Anaesth. 2015 Apr;114(4):640-5. doi: 10.1093/bja/aeu411. Epub 2014 Dec 23. PMID: 25540069.</w:t>
      </w:r>
    </w:p>
    <w:p w14:paraId="74A1A8AD" w14:textId="784801E7" w:rsidR="003A2DD5" w:rsidRPr="009D0DD6" w:rsidRDefault="003A2DD5" w:rsidP="009A45E5">
      <w:pPr>
        <w:jc w:val="both"/>
      </w:pPr>
      <w:r w:rsidRPr="009D0DD6">
        <w:t>20</w:t>
      </w:r>
      <w:r w:rsidR="00EB2346">
        <w:t>-</w:t>
      </w:r>
      <w:r w:rsidRPr="009D0DD6">
        <w:t xml:space="preserve"> Wongyingsinn M, Peanpanich P, Charoensawan S. A randomized controlled trial comparing incidences of postoperative nausea and vomiting after laparoscopic cholecystectomy for preoperative intravenous fluid loading, ondansetron, and control groups in a regional hospital setting in a developing country. Medicine (Baltimore). 2022 Oct 21;101(42):e31155. doi: 10.1097/MD.0000000000031155. PMID: 36281094; PMCID: PMC9592396.</w:t>
      </w:r>
    </w:p>
    <w:p w14:paraId="7A03B708" w14:textId="70994BC9" w:rsidR="003A2DD5" w:rsidRPr="001E49BA" w:rsidRDefault="003A2DD5" w:rsidP="009A45E5">
      <w:pPr>
        <w:jc w:val="both"/>
      </w:pPr>
      <w:r w:rsidRPr="001E49BA">
        <w:rPr>
          <w:lang w:val="pt-BR"/>
        </w:rPr>
        <w:t>21</w:t>
      </w:r>
      <w:r w:rsidR="00EB2346">
        <w:rPr>
          <w:lang w:val="pt-BR"/>
        </w:rPr>
        <w:t>-</w:t>
      </w:r>
      <w:r w:rsidRPr="001E49BA">
        <w:rPr>
          <w:lang w:val="pt-BR"/>
        </w:rPr>
        <w:t xml:space="preserve"> Simoni RF, Cangiani LM, Pereira AM, Abreu MP, Cangiani LH, Zemi G. Eficácia do emprego da metadona ou da clonidina no intraoperatório para controle da dor pós-operatória imediata após uso de remifentanil [Efficacy of intraoperative methadone and clonidine in pain control in the immediate postoperative period after the use of remifentanil]. </w:t>
      </w:r>
      <w:r w:rsidRPr="001E49BA">
        <w:t>Rev Bras Anestesiol. 2009 Jul-Aug;59(4):421-30. Portuguese. doi: 10.1590/s0034-70942009000400004. PMID: 19669016.</w:t>
      </w:r>
    </w:p>
    <w:p w14:paraId="53BAAB42" w14:textId="66C1A8BB" w:rsidR="003A2DD5" w:rsidRPr="003A2DD5" w:rsidRDefault="00BB4571" w:rsidP="009A45E5">
      <w:pPr>
        <w:jc w:val="both"/>
      </w:pPr>
      <w:r w:rsidRPr="004D5C04">
        <w:t>22</w:t>
      </w:r>
      <w:r w:rsidR="00EB2346">
        <w:t>-</w:t>
      </w:r>
      <w:r w:rsidRPr="004D5C04">
        <w:t xml:space="preserve"> </w:t>
      </w:r>
      <w:r w:rsidR="003A2DD5" w:rsidRPr="004D5C04">
        <w:t>Komen H, Brunt LM, Deych E, Blood J, Kharasch ED. Intraoperative Methadone in Same-Day Ambulatory Surgery: A Randomized, Double-Blinded, Dose-Finding Pilot Study. Anesth Analg. 2019 Apr;128(4):802-810. doi: 10.1213/ANE.0000000000003464. PMID: 29847382; PMCID: PMC6995343.</w:t>
      </w:r>
    </w:p>
    <w:p w14:paraId="134ACC84" w14:textId="77777777" w:rsidR="00EA3D36" w:rsidRPr="003A2DD5" w:rsidRDefault="00EA3D36" w:rsidP="001823A0"/>
    <w:p w14:paraId="0F0A1DE3" w14:textId="77777777" w:rsidR="001823A0" w:rsidRPr="003A2DD5" w:rsidRDefault="001823A0" w:rsidP="001823A0"/>
    <w:p w14:paraId="135E9B2D" w14:textId="1E1C94B2" w:rsidR="003B51A2" w:rsidRPr="003A2DD5" w:rsidRDefault="003B51A2" w:rsidP="00FF14B4">
      <w:pPr>
        <w:jc w:val="both"/>
      </w:pPr>
    </w:p>
    <w:p w14:paraId="59A93483" w14:textId="77777777" w:rsidR="00AB3BC5" w:rsidRPr="003A2DD5" w:rsidRDefault="00AB3BC5" w:rsidP="00FF14B4">
      <w:pPr>
        <w:jc w:val="both"/>
      </w:pPr>
    </w:p>
    <w:p w14:paraId="072D9FE5" w14:textId="77777777" w:rsidR="003A2DD5" w:rsidRDefault="003A2DD5">
      <w:pPr>
        <w:rPr>
          <w:b/>
          <w:bCs/>
          <w:lang w:val="pt-BR"/>
        </w:rPr>
      </w:pPr>
      <w:r>
        <w:rPr>
          <w:b/>
          <w:bCs/>
          <w:lang w:val="pt-BR"/>
        </w:rPr>
        <w:br w:type="page"/>
      </w:r>
    </w:p>
    <w:p w14:paraId="74A743BD" w14:textId="61A80DFD" w:rsidR="009C1377" w:rsidRPr="003A2DD5" w:rsidRDefault="009C1377" w:rsidP="00FF14B4">
      <w:pPr>
        <w:jc w:val="both"/>
        <w:rPr>
          <w:rFonts w:cs="Times New Roman"/>
          <w:b/>
          <w:bCs/>
          <w:lang w:val="pt-BR"/>
        </w:rPr>
      </w:pPr>
      <w:r w:rsidRPr="003A2DD5">
        <w:rPr>
          <w:rFonts w:cs="Times New Roman"/>
          <w:b/>
          <w:bCs/>
          <w:lang w:val="pt-BR"/>
        </w:rPr>
        <w:lastRenderedPageBreak/>
        <w:t>ANEXOS:</w:t>
      </w:r>
    </w:p>
    <w:p w14:paraId="67E53E58" w14:textId="77777777" w:rsidR="003A2DD5" w:rsidRPr="003A2DD5" w:rsidRDefault="003A2DD5" w:rsidP="00FF14B4">
      <w:pPr>
        <w:jc w:val="both"/>
        <w:rPr>
          <w:rFonts w:cs="Times New Roman"/>
          <w:b/>
          <w:bCs/>
          <w:lang w:val="pt-BR"/>
        </w:rPr>
      </w:pPr>
    </w:p>
    <w:p w14:paraId="6658B73F" w14:textId="2CDD5827" w:rsidR="003A2DD5" w:rsidRDefault="003A2DD5" w:rsidP="00FF14B4">
      <w:pPr>
        <w:jc w:val="both"/>
        <w:rPr>
          <w:rFonts w:cs="Times New Roman"/>
          <w:b/>
          <w:bCs/>
          <w:lang w:val="pt-BR"/>
        </w:rPr>
      </w:pPr>
      <w:r w:rsidRPr="003A2DD5">
        <w:rPr>
          <w:rFonts w:cs="Times New Roman"/>
          <w:b/>
          <w:bCs/>
          <w:lang w:val="pt-BR"/>
        </w:rPr>
        <w:t>Anexo I – Termo de Consentimento Livre e Esclarecido</w:t>
      </w:r>
    </w:p>
    <w:p w14:paraId="428BA97C" w14:textId="77777777" w:rsidR="00500099" w:rsidRDefault="00500099" w:rsidP="00FF14B4">
      <w:pPr>
        <w:jc w:val="both"/>
        <w:rPr>
          <w:rFonts w:cs="Times New Roman"/>
          <w:b/>
          <w:bCs/>
          <w:lang w:val="pt-BR"/>
        </w:rPr>
      </w:pPr>
    </w:p>
    <w:p w14:paraId="32303E58" w14:textId="77777777" w:rsidR="004F5BC8" w:rsidRPr="009B5E25" w:rsidRDefault="004F5BC8" w:rsidP="004F5BC8">
      <w:pPr>
        <w:spacing w:line="360" w:lineRule="auto"/>
        <w:jc w:val="center"/>
        <w:rPr>
          <w:rFonts w:cs="Times New Roman"/>
          <w:b/>
          <w:bCs/>
          <w:color w:val="000000" w:themeColor="text1"/>
          <w:szCs w:val="24"/>
        </w:rPr>
      </w:pPr>
      <w:r w:rsidRPr="009B5E25">
        <w:rPr>
          <w:rFonts w:cs="Times New Roman"/>
          <w:b/>
          <w:bCs/>
          <w:color w:val="000000" w:themeColor="text1"/>
          <w:szCs w:val="24"/>
        </w:rPr>
        <w:t xml:space="preserve">TERMO DE CONSENTIMENTO LIVRE E ESCLARECIDO </w:t>
      </w:r>
    </w:p>
    <w:p w14:paraId="7FD481DE" w14:textId="77777777" w:rsidR="004F5BC8" w:rsidRPr="009B5E25" w:rsidRDefault="004F5BC8" w:rsidP="004F5BC8">
      <w:pPr>
        <w:spacing w:line="360" w:lineRule="auto"/>
        <w:jc w:val="both"/>
        <w:rPr>
          <w:rFonts w:cs="Times New Roman"/>
          <w:color w:val="000000" w:themeColor="text1"/>
          <w:szCs w:val="24"/>
        </w:rPr>
      </w:pPr>
    </w:p>
    <w:p w14:paraId="168721EE" w14:textId="77777777" w:rsidR="004F5BC8" w:rsidRPr="009B5E25" w:rsidRDefault="004F5BC8" w:rsidP="004F5BC8">
      <w:pPr>
        <w:spacing w:line="360" w:lineRule="auto"/>
        <w:jc w:val="both"/>
        <w:rPr>
          <w:rFonts w:cs="Times New Roman"/>
          <w:color w:val="000000" w:themeColor="text1"/>
          <w:szCs w:val="24"/>
        </w:rPr>
      </w:pPr>
      <w:r w:rsidRPr="009B5E25">
        <w:rPr>
          <w:rFonts w:cs="Times New Roman"/>
          <w:color w:val="000000" w:themeColor="text1"/>
          <w:szCs w:val="24"/>
        </w:rPr>
        <w:t>Você está sendo convidado(a) a participar da pesquisa intitulada</w:t>
      </w:r>
      <w:r w:rsidRPr="009B5E25">
        <w:rPr>
          <w:rFonts w:cs="Times New Roman"/>
          <w:b/>
          <w:bCs/>
          <w:color w:val="000000" w:themeColor="text1"/>
          <w:szCs w:val="24"/>
        </w:rPr>
        <w:t xml:space="preserve"> “Metadona intravenosa em dose única na indução anestésica comparado ao fentanil em colecistectomia videolaparoscópica: ensaio clínico, randomizado e duplo-cego”,</w:t>
      </w:r>
      <w:r w:rsidRPr="009B5E25">
        <w:rPr>
          <w:rFonts w:cs="Times New Roman"/>
          <w:color w:val="000000" w:themeColor="text1"/>
          <w:szCs w:val="24"/>
        </w:rPr>
        <w:t xml:space="preserve"> sob a responsabilidade dos pesquisadores </w:t>
      </w:r>
      <w:r w:rsidRPr="009B5E25">
        <w:rPr>
          <w:rFonts w:cs="Times New Roman"/>
          <w:b/>
          <w:color w:val="000000" w:themeColor="text1"/>
          <w:szCs w:val="24"/>
        </w:rPr>
        <w:t>Gabriela da Silva Machado, Matheus Rezende André, João Paulo Jordão Pontes</w:t>
      </w:r>
      <w:r w:rsidRPr="009B5E25">
        <w:rPr>
          <w:rFonts w:cs="Times New Roman"/>
          <w:color w:val="000000" w:themeColor="text1"/>
          <w:szCs w:val="24"/>
        </w:rPr>
        <w:t xml:space="preserve">. </w:t>
      </w:r>
    </w:p>
    <w:p w14:paraId="592D59BD" w14:textId="77777777" w:rsidR="004F5BC8" w:rsidRPr="009B5E25" w:rsidRDefault="004F5BC8" w:rsidP="004F5BC8">
      <w:pPr>
        <w:spacing w:line="360" w:lineRule="auto"/>
        <w:jc w:val="both"/>
        <w:rPr>
          <w:rFonts w:cs="Times New Roman"/>
          <w:color w:val="000000" w:themeColor="text1"/>
          <w:szCs w:val="24"/>
        </w:rPr>
      </w:pPr>
      <w:r w:rsidRPr="009B5E25">
        <w:rPr>
          <w:rFonts w:cs="Times New Roman"/>
          <w:color w:val="000000" w:themeColor="text1"/>
          <w:szCs w:val="24"/>
        </w:rPr>
        <w:t xml:space="preserve">Nesta pesquisa nós estamos buscando comparar a incidência de dor, náuseas, uso de opioides de resgate quando usada a medicação metadona ou fentanil na indução da anestesia geral. </w:t>
      </w:r>
    </w:p>
    <w:p w14:paraId="3BD87CEE" w14:textId="77777777" w:rsidR="004F5BC8" w:rsidRPr="009B5E25" w:rsidRDefault="004F5BC8" w:rsidP="004F5BC8">
      <w:pPr>
        <w:spacing w:line="360" w:lineRule="auto"/>
        <w:jc w:val="both"/>
        <w:rPr>
          <w:rFonts w:cs="Times New Roman"/>
          <w:b/>
          <w:color w:val="000000" w:themeColor="text1"/>
          <w:szCs w:val="24"/>
        </w:rPr>
      </w:pPr>
      <w:r w:rsidRPr="009B5E25">
        <w:rPr>
          <w:rFonts w:cs="Times New Roman"/>
          <w:color w:val="000000" w:themeColor="text1"/>
          <w:szCs w:val="24"/>
        </w:rPr>
        <w:t>O Termo/registro de Consentimento Livre e Esclarecido está sendo obtido na consulta pré anestésica ambulatorial ou intra- hospitalar pelo pesquisador João Paulo Jordão Pontes, anestesiologista ou algum outro médico integrante do grupo de pesquisa, sendo eles:</w:t>
      </w:r>
      <w:r w:rsidRPr="009B5E25">
        <w:rPr>
          <w:rFonts w:cs="Times New Roman"/>
          <w:b/>
          <w:color w:val="000000" w:themeColor="text1"/>
          <w:szCs w:val="24"/>
        </w:rPr>
        <w:t xml:space="preserve"> </w:t>
      </w:r>
      <w:r w:rsidRPr="009B5E25">
        <w:rPr>
          <w:rFonts w:cs="Times New Roman"/>
          <w:bCs/>
          <w:color w:val="000000" w:themeColor="text1"/>
          <w:szCs w:val="24"/>
        </w:rPr>
        <w:t>Gabriela da Silva Machado, residente em Anestesiologia, Matheus Rezende André, residente em Anestesiologia</w:t>
      </w:r>
      <w:r w:rsidRPr="009B5E25">
        <w:rPr>
          <w:rFonts w:cs="Times New Roman"/>
          <w:b/>
          <w:color w:val="000000" w:themeColor="text1"/>
          <w:szCs w:val="24"/>
        </w:rPr>
        <w:t xml:space="preserve">. </w:t>
      </w:r>
      <w:r w:rsidRPr="009B5E25">
        <w:rPr>
          <w:rFonts w:cs="Times New Roman"/>
          <w:color w:val="000000" w:themeColor="text1"/>
          <w:szCs w:val="24"/>
        </w:rPr>
        <w:t xml:space="preserve">Você possui o tempo entre a consulta pré-anestésica e o momento da cirurgia para decidir se deseja participar do projeto. </w:t>
      </w:r>
    </w:p>
    <w:p w14:paraId="7B3D850F" w14:textId="77777777" w:rsidR="004F5BC8" w:rsidRPr="009B5E25" w:rsidRDefault="004F5BC8" w:rsidP="004F5BC8">
      <w:pPr>
        <w:spacing w:line="360" w:lineRule="auto"/>
        <w:jc w:val="both"/>
        <w:rPr>
          <w:rFonts w:cs="Times New Roman"/>
          <w:color w:val="000000" w:themeColor="text1"/>
          <w:szCs w:val="24"/>
        </w:rPr>
      </w:pPr>
      <w:r w:rsidRPr="009B5E25">
        <w:rPr>
          <w:rFonts w:cs="Times New Roman"/>
          <w:color w:val="000000" w:themeColor="text1"/>
          <w:szCs w:val="24"/>
        </w:rPr>
        <w:t>Na sua participação, você será submetido normalmente à anestesia geral durante toda a cirurgia, podendo ou não ser utilizado nessa anestesia a medicação metadona. Após o fim da cirurgia e durante a internação, você será avaliado para que seja registrado se existe dor pós-operatória, náuseas e vômitos ou qualquer outro sintoma.</w:t>
      </w:r>
      <w:r w:rsidRPr="009B5E25">
        <w:rPr>
          <w:rFonts w:cs="Times New Roman"/>
          <w:b/>
          <w:color w:val="000000" w:themeColor="text1"/>
          <w:szCs w:val="24"/>
        </w:rPr>
        <w:t xml:space="preserve"> </w:t>
      </w:r>
    </w:p>
    <w:p w14:paraId="02267F0C" w14:textId="77777777" w:rsidR="004F5BC8" w:rsidRPr="009B5E25" w:rsidRDefault="004F5BC8" w:rsidP="004F5BC8">
      <w:pPr>
        <w:spacing w:line="360" w:lineRule="auto"/>
        <w:jc w:val="both"/>
        <w:rPr>
          <w:rFonts w:cs="Times New Roman"/>
          <w:color w:val="000000" w:themeColor="text1"/>
          <w:szCs w:val="24"/>
        </w:rPr>
      </w:pPr>
      <w:r w:rsidRPr="009B5E25">
        <w:rPr>
          <w:rFonts w:cs="Times New Roman"/>
          <w:color w:val="000000" w:themeColor="text1"/>
          <w:szCs w:val="24"/>
        </w:rPr>
        <w:t xml:space="preserve">Em nenhum momento você será identificado. Os resultados da pesquisa serão publicados e ainda assim a sua identidade será preservada. Os pesquisadores têm o compromisso de </w:t>
      </w:r>
      <w:r w:rsidRPr="009B5E25">
        <w:rPr>
          <w:rFonts w:cs="Times New Roman"/>
          <w:color w:val="000000" w:themeColor="text1"/>
          <w:szCs w:val="24"/>
        </w:rPr>
        <w:lastRenderedPageBreak/>
        <w:t>divulgar os resultados da pesquisa para você(s), conforme Resolução CNS nº 510 de 2016, Artigo 3º, Inciso IV.</w:t>
      </w:r>
    </w:p>
    <w:p w14:paraId="19E4A6BC" w14:textId="77777777" w:rsidR="004F5BC8" w:rsidRPr="009B5E25" w:rsidRDefault="004F5BC8" w:rsidP="004F5BC8">
      <w:pPr>
        <w:spacing w:line="360" w:lineRule="auto"/>
        <w:jc w:val="both"/>
        <w:rPr>
          <w:rFonts w:cs="Times New Roman"/>
          <w:b/>
          <w:color w:val="000000" w:themeColor="text1"/>
          <w:szCs w:val="24"/>
        </w:rPr>
      </w:pPr>
      <w:r w:rsidRPr="009B5E25">
        <w:rPr>
          <w:rFonts w:cs="Times New Roman"/>
          <w:color w:val="000000" w:themeColor="text1"/>
          <w:szCs w:val="24"/>
        </w:rPr>
        <w:t xml:space="preserve">Você não terá nenhum gasto nem ganho financeiro por participar na pesquisa. </w:t>
      </w:r>
    </w:p>
    <w:p w14:paraId="73DD36B0" w14:textId="77777777" w:rsidR="004F5BC8" w:rsidRPr="009B5E25" w:rsidRDefault="004F5BC8" w:rsidP="004F5BC8">
      <w:pPr>
        <w:spacing w:line="360" w:lineRule="auto"/>
        <w:jc w:val="both"/>
        <w:rPr>
          <w:rFonts w:cs="Times New Roman"/>
          <w:color w:val="000000" w:themeColor="text1"/>
          <w:szCs w:val="24"/>
        </w:rPr>
      </w:pPr>
      <w:r w:rsidRPr="009B5E25">
        <w:rPr>
          <w:rFonts w:cs="Times New Roman"/>
          <w:b/>
          <w:bCs/>
          <w:color w:val="000000" w:themeColor="text1"/>
          <w:szCs w:val="24"/>
        </w:rPr>
        <w:t>Havendo algum dano decorrente da pesquisa, você terá direito a solicitar indenização através das vias judiciais (Código Civil, Lei 10.406/2002, Artigos 927 a 954 e Resolução CNS nº 510 de 2016, Artigo 19).</w:t>
      </w:r>
    </w:p>
    <w:p w14:paraId="0887FE38" w14:textId="77777777" w:rsidR="004F5BC8" w:rsidRPr="009B5E25" w:rsidRDefault="004F5BC8" w:rsidP="004F5BC8">
      <w:pPr>
        <w:spacing w:line="360" w:lineRule="auto"/>
        <w:jc w:val="both"/>
        <w:rPr>
          <w:rFonts w:cs="Times New Roman"/>
          <w:color w:val="000000" w:themeColor="text1"/>
          <w:szCs w:val="24"/>
        </w:rPr>
      </w:pPr>
      <w:r w:rsidRPr="009B5E25">
        <w:rPr>
          <w:rStyle w:val="selected"/>
          <w:rFonts w:cs="Times New Roman"/>
          <w:b/>
          <w:bCs/>
          <w:color w:val="000000" w:themeColor="text1"/>
          <w:szCs w:val="24"/>
        </w:rPr>
        <w:t>Os riscos desta pesquisa</w:t>
      </w:r>
      <w:r w:rsidRPr="009B5E25">
        <w:rPr>
          <w:rStyle w:val="selected"/>
          <w:rFonts w:cs="Times New Roman"/>
          <w:color w:val="000000" w:themeColor="text1"/>
          <w:szCs w:val="24"/>
        </w:rPr>
        <w:t xml:space="preserve"> são relacionados à anestesia, podendo causar reações como dificuldade para respirar, queda de pressão e enjoo. Para sua segurança, a equipe médica fará monitoramento contínuo e terá equipamentos de emergência à disposição. Todas as suas informações serão confidenciais e, em caso de qualquer complicação, a assistência será totalmente gratuita. </w:t>
      </w:r>
      <w:r w:rsidRPr="009B5E25">
        <w:rPr>
          <w:rStyle w:val="selected"/>
          <w:rFonts w:cs="Times New Roman"/>
          <w:b/>
          <w:bCs/>
          <w:color w:val="000000" w:themeColor="text1"/>
          <w:szCs w:val="24"/>
        </w:rPr>
        <w:t>Os benefícios</w:t>
      </w:r>
      <w:r w:rsidRPr="009B5E25">
        <w:rPr>
          <w:rStyle w:val="selected"/>
          <w:rFonts w:cs="Times New Roman"/>
          <w:color w:val="000000" w:themeColor="text1"/>
          <w:szCs w:val="24"/>
        </w:rPr>
        <w:t xml:space="preserve"> não são diretos, mas sua participação ajudará a ciência a aprimorar as práticas de anestesia para outros pacientes no futuro.</w:t>
      </w:r>
    </w:p>
    <w:p w14:paraId="64305C9E" w14:textId="77777777" w:rsidR="004F5BC8" w:rsidRPr="009B5E25" w:rsidRDefault="004F5BC8" w:rsidP="004F5BC8">
      <w:pPr>
        <w:spacing w:line="360" w:lineRule="auto"/>
        <w:jc w:val="both"/>
        <w:rPr>
          <w:rFonts w:cs="Times New Roman"/>
          <w:color w:val="000000" w:themeColor="text1"/>
          <w:szCs w:val="24"/>
        </w:rPr>
      </w:pPr>
      <w:r w:rsidRPr="009B5E25">
        <w:rPr>
          <w:rFonts w:cs="Times New Roman"/>
          <w:color w:val="000000" w:themeColor="text1"/>
          <w:szCs w:val="24"/>
        </w:rPr>
        <w:t>Você é livre para deixar de participar da pesquisa a qualquer momento sem qualquer prejuízo ou coação. Até o momento da divulgação dos resultados, você também é livre para solicitar a retirada dos seus dados da pesquisa.</w:t>
      </w:r>
    </w:p>
    <w:p w14:paraId="2E5E1508" w14:textId="77777777" w:rsidR="004F5BC8" w:rsidRPr="009B5E25" w:rsidRDefault="004F5BC8" w:rsidP="004F5BC8">
      <w:pPr>
        <w:spacing w:line="360" w:lineRule="auto"/>
        <w:jc w:val="both"/>
        <w:rPr>
          <w:rFonts w:cs="Times New Roman"/>
          <w:color w:val="000000" w:themeColor="text1"/>
          <w:szCs w:val="24"/>
        </w:rPr>
      </w:pPr>
      <w:r w:rsidRPr="009B5E25">
        <w:rPr>
          <w:rFonts w:cs="Times New Roman"/>
          <w:color w:val="000000" w:themeColor="text1"/>
          <w:szCs w:val="24"/>
        </w:rPr>
        <w:t xml:space="preserve">Uma via original deste Termo de Consentimento Livre e Esclarecido ficará com você. </w:t>
      </w:r>
    </w:p>
    <w:p w14:paraId="6A59A281" w14:textId="77777777" w:rsidR="004F5BC8" w:rsidRPr="009B5E25" w:rsidRDefault="004F5BC8" w:rsidP="004F5BC8">
      <w:pPr>
        <w:spacing w:line="360" w:lineRule="auto"/>
        <w:jc w:val="both"/>
        <w:rPr>
          <w:rFonts w:cs="Times New Roman"/>
          <w:color w:val="000000" w:themeColor="text1"/>
          <w:szCs w:val="24"/>
        </w:rPr>
      </w:pPr>
      <w:r w:rsidRPr="009B5E25">
        <w:rPr>
          <w:rFonts w:cs="Times New Roman"/>
          <w:color w:val="000000" w:themeColor="text1"/>
          <w:szCs w:val="24"/>
        </w:rPr>
        <w:t>Em caso de qualquer dúvida ou reclamação a respeito da pesquisa, você poderá entrar em contato com: João Paulo Jordão Pontes (34-991339765). Endereço da instituição: Rua Rafael Marino Neto, 600 - Jardim Karaíba, Uberlândia - MG, 38411-186. Os direitos dos participantes de pesquisa podem ser acessados com maiores detalhes na cartilha que pode ser encontrada no link:</w:t>
      </w:r>
    </w:p>
    <w:p w14:paraId="0BBC1D76" w14:textId="77777777" w:rsidR="004F5BC8" w:rsidRPr="009B5E25" w:rsidRDefault="00240C41" w:rsidP="004F5BC8">
      <w:pPr>
        <w:spacing w:line="360" w:lineRule="auto"/>
        <w:jc w:val="both"/>
        <w:rPr>
          <w:rFonts w:cs="Times New Roman"/>
          <w:color w:val="000000" w:themeColor="text1"/>
          <w:szCs w:val="24"/>
        </w:rPr>
      </w:pPr>
      <w:hyperlink r:id="rId7" w:history="1">
        <w:r w:rsidR="004F5BC8" w:rsidRPr="009B5E25">
          <w:rPr>
            <w:rStyle w:val="Hyperlink"/>
            <w:rFonts w:cs="Times New Roman"/>
            <w:color w:val="000000" w:themeColor="text1"/>
            <w:szCs w:val="24"/>
          </w:rPr>
          <w:t>https://conselho.saude.gov.br/images/comissoes/conep/documentos/Cartilha_Direitos_Eticos_2020.pdf</w:t>
        </w:r>
      </w:hyperlink>
      <w:r w:rsidR="004F5BC8" w:rsidRPr="009B5E25">
        <w:rPr>
          <w:rFonts w:cs="Times New Roman"/>
          <w:color w:val="000000" w:themeColor="text1"/>
          <w:szCs w:val="24"/>
        </w:rPr>
        <w:t xml:space="preserve">. </w:t>
      </w:r>
    </w:p>
    <w:p w14:paraId="4AC2EF3D" w14:textId="77777777" w:rsidR="004F5BC8" w:rsidRPr="009B5E25" w:rsidRDefault="004F5BC8" w:rsidP="004F5BC8">
      <w:pPr>
        <w:spacing w:line="360" w:lineRule="auto"/>
        <w:jc w:val="both"/>
        <w:rPr>
          <w:rFonts w:cs="Times New Roman"/>
          <w:color w:val="000000" w:themeColor="text1"/>
          <w:szCs w:val="24"/>
        </w:rPr>
      </w:pPr>
      <w:r w:rsidRPr="009B5E25">
        <w:rPr>
          <w:rFonts w:cs="Times New Roman"/>
          <w:color w:val="000000" w:themeColor="text1"/>
          <w:szCs w:val="24"/>
        </w:rPr>
        <w:t xml:space="preserve">Você poderá também entrar em contato com o CEP - Comitê de Ética na Pesquisa com Seres Humanos na Faculdade UNA, localizado na </w:t>
      </w:r>
      <w:sdt>
        <w:sdtPr>
          <w:rPr>
            <w:rFonts w:cs="Times New Roman"/>
            <w:color w:val="000000" w:themeColor="text1"/>
            <w:szCs w:val="24"/>
          </w:rPr>
          <w:id w:val="5643786"/>
          <w:placeholder>
            <w:docPart w:val="4358E3CF4F954E6E92D54B46E7C45F36"/>
          </w:placeholder>
        </w:sdtPr>
        <w:sdtEndPr/>
        <w:sdtContent>
          <w:r w:rsidRPr="009B5E25">
            <w:rPr>
              <w:rFonts w:cs="Times New Roman"/>
              <w:color w:val="000000" w:themeColor="text1"/>
              <w:szCs w:val="24"/>
            </w:rPr>
            <w:t>Al. Paulina Margonari, 59, 1º Andar, em frente à sala de Metodologias Ativas, Karaíba</w:t>
          </w:r>
        </w:sdtContent>
      </w:sdt>
      <w:r w:rsidRPr="009B5E25">
        <w:rPr>
          <w:rFonts w:cs="Times New Roman"/>
          <w:color w:val="000000" w:themeColor="text1"/>
          <w:szCs w:val="24"/>
        </w:rPr>
        <w:t xml:space="preserve">, na Cidade de Uberlândia – MG, CEP 38.411-206; E-mail </w:t>
      </w:r>
      <w:hyperlink r:id="rId8" w:history="1">
        <w:r w:rsidRPr="009B5E25">
          <w:rPr>
            <w:rStyle w:val="Hyperlink"/>
            <w:rFonts w:cs="Times New Roman"/>
            <w:color w:val="000000" w:themeColor="text1"/>
            <w:szCs w:val="24"/>
          </w:rPr>
          <w:t>cep@una.br</w:t>
        </w:r>
      </w:hyperlink>
      <w:r w:rsidRPr="009B5E25">
        <w:rPr>
          <w:rFonts w:cs="Times New Roman"/>
          <w:color w:val="000000" w:themeColor="text1"/>
          <w:szCs w:val="24"/>
        </w:rPr>
        <w:t xml:space="preserve">; telefone (34) 3233-1546. O CEP é um colegiado </w:t>
      </w:r>
      <w:r w:rsidRPr="009B5E25">
        <w:rPr>
          <w:rFonts w:cs="Times New Roman"/>
          <w:color w:val="000000" w:themeColor="text1"/>
          <w:szCs w:val="24"/>
        </w:rPr>
        <w:lastRenderedPageBreak/>
        <w:t>independente criado para defender os interesses dos participantes das pesquisas em sua integridade e dignidade e para contribuir para o desenvolvimento da pesquisa dentro de padrões éticos conforme resoluções do Conselho Nacional de Saúde.</w:t>
      </w:r>
    </w:p>
    <w:p w14:paraId="3360D9EB" w14:textId="77777777" w:rsidR="004F5BC8" w:rsidRPr="009B5E25" w:rsidRDefault="004F5BC8" w:rsidP="004F5BC8">
      <w:pPr>
        <w:spacing w:line="360" w:lineRule="auto"/>
        <w:jc w:val="both"/>
        <w:rPr>
          <w:rFonts w:cs="Times New Roman"/>
          <w:color w:val="000000" w:themeColor="text1"/>
          <w:szCs w:val="24"/>
        </w:rPr>
      </w:pPr>
    </w:p>
    <w:p w14:paraId="2594CF49" w14:textId="77777777" w:rsidR="004F5BC8" w:rsidRPr="009B5E25" w:rsidRDefault="004F5BC8" w:rsidP="004F5BC8">
      <w:pPr>
        <w:spacing w:line="360" w:lineRule="auto"/>
        <w:jc w:val="center"/>
        <w:rPr>
          <w:rFonts w:cs="Times New Roman"/>
          <w:color w:val="000000" w:themeColor="text1"/>
          <w:szCs w:val="24"/>
        </w:rPr>
      </w:pPr>
      <w:r w:rsidRPr="009B5E25">
        <w:rPr>
          <w:rFonts w:cs="Times New Roman"/>
          <w:color w:val="000000" w:themeColor="text1"/>
          <w:szCs w:val="24"/>
        </w:rPr>
        <w:t>Uberlândia, ....... de ................. de 20.......</w:t>
      </w:r>
    </w:p>
    <w:p w14:paraId="58E0DEDD" w14:textId="77777777" w:rsidR="004F5BC8" w:rsidRPr="009B5E25" w:rsidRDefault="004F5BC8" w:rsidP="004F5BC8">
      <w:pPr>
        <w:spacing w:line="360" w:lineRule="auto"/>
        <w:jc w:val="center"/>
        <w:rPr>
          <w:rFonts w:cs="Times New Roman"/>
          <w:color w:val="000000" w:themeColor="text1"/>
          <w:szCs w:val="24"/>
        </w:rPr>
      </w:pPr>
    </w:p>
    <w:p w14:paraId="45D298BB" w14:textId="77777777" w:rsidR="004F5BC8" w:rsidRPr="009B5E25" w:rsidRDefault="004F5BC8" w:rsidP="004F5BC8">
      <w:pPr>
        <w:spacing w:line="360" w:lineRule="auto"/>
        <w:jc w:val="center"/>
        <w:rPr>
          <w:rFonts w:cs="Times New Roman"/>
          <w:color w:val="000000" w:themeColor="text1"/>
          <w:szCs w:val="24"/>
        </w:rPr>
      </w:pPr>
      <w:r w:rsidRPr="009B5E25">
        <w:rPr>
          <w:rFonts w:cs="Times New Roman"/>
          <w:color w:val="000000" w:themeColor="text1"/>
          <w:szCs w:val="24"/>
        </w:rPr>
        <w:t>_______________________________________________________________</w:t>
      </w:r>
    </w:p>
    <w:p w14:paraId="3B3A0C9C" w14:textId="77777777" w:rsidR="004F5BC8" w:rsidRPr="009B5E25" w:rsidRDefault="004F5BC8" w:rsidP="004F5BC8">
      <w:pPr>
        <w:spacing w:line="360" w:lineRule="auto"/>
        <w:jc w:val="center"/>
        <w:rPr>
          <w:rFonts w:cs="Times New Roman"/>
          <w:color w:val="000000" w:themeColor="text1"/>
          <w:szCs w:val="24"/>
        </w:rPr>
      </w:pPr>
      <w:r w:rsidRPr="009B5E25">
        <w:rPr>
          <w:rFonts w:cs="Times New Roman"/>
          <w:color w:val="000000" w:themeColor="text1"/>
          <w:szCs w:val="24"/>
        </w:rPr>
        <w:t>Assinatura do(s) pesquisador(es)</w:t>
      </w:r>
    </w:p>
    <w:p w14:paraId="3D028BDF" w14:textId="77777777" w:rsidR="004F5BC8" w:rsidRPr="009B5E25" w:rsidRDefault="004F5BC8" w:rsidP="004F5BC8">
      <w:pPr>
        <w:spacing w:line="360" w:lineRule="auto"/>
        <w:jc w:val="center"/>
        <w:rPr>
          <w:rFonts w:cs="Times New Roman"/>
          <w:color w:val="000000" w:themeColor="text1"/>
          <w:szCs w:val="24"/>
        </w:rPr>
      </w:pPr>
    </w:p>
    <w:p w14:paraId="25BCC3A1" w14:textId="77777777" w:rsidR="004F5BC8" w:rsidRPr="009B5E25" w:rsidRDefault="004F5BC8" w:rsidP="004F5BC8">
      <w:pPr>
        <w:spacing w:line="360" w:lineRule="auto"/>
        <w:jc w:val="both"/>
        <w:rPr>
          <w:rFonts w:cs="Times New Roman"/>
          <w:color w:val="000000" w:themeColor="text1"/>
          <w:szCs w:val="24"/>
        </w:rPr>
      </w:pPr>
      <w:r w:rsidRPr="009B5E25">
        <w:rPr>
          <w:rFonts w:cs="Times New Roman"/>
          <w:color w:val="000000" w:themeColor="text1"/>
          <w:szCs w:val="24"/>
        </w:rPr>
        <w:t xml:space="preserve">Eu aceito participar do projeto citado acima, voluntariamente, após ter sido devidamente esclarecido. </w:t>
      </w:r>
    </w:p>
    <w:p w14:paraId="55A9B441" w14:textId="77777777" w:rsidR="004F5BC8" w:rsidRPr="009B5E25" w:rsidRDefault="004F5BC8" w:rsidP="004F5BC8">
      <w:pPr>
        <w:spacing w:line="360" w:lineRule="auto"/>
        <w:jc w:val="center"/>
        <w:rPr>
          <w:rFonts w:cs="Times New Roman"/>
          <w:color w:val="000000" w:themeColor="text1"/>
          <w:szCs w:val="24"/>
        </w:rPr>
      </w:pPr>
      <w:r w:rsidRPr="009B5E25">
        <w:rPr>
          <w:rFonts w:cs="Times New Roman"/>
          <w:color w:val="000000" w:themeColor="text1"/>
          <w:szCs w:val="24"/>
        </w:rPr>
        <w:t>_______________________________________________________________</w:t>
      </w:r>
    </w:p>
    <w:p w14:paraId="6A75075D" w14:textId="77777777" w:rsidR="004F5BC8" w:rsidRPr="009B5E25" w:rsidRDefault="004F5BC8" w:rsidP="004F5BC8">
      <w:pPr>
        <w:spacing w:line="360" w:lineRule="auto"/>
        <w:jc w:val="center"/>
        <w:rPr>
          <w:rFonts w:cs="Times New Roman"/>
          <w:color w:val="000000" w:themeColor="text1"/>
          <w:szCs w:val="24"/>
        </w:rPr>
      </w:pPr>
      <w:r w:rsidRPr="009B5E25">
        <w:rPr>
          <w:rFonts w:cs="Times New Roman"/>
          <w:color w:val="000000" w:themeColor="text1"/>
          <w:szCs w:val="24"/>
        </w:rPr>
        <w:t>Assinatura do participante da pesquisa</w:t>
      </w:r>
    </w:p>
    <w:p w14:paraId="26A86E40" w14:textId="77777777" w:rsidR="004F5BC8" w:rsidRPr="009B5E25" w:rsidRDefault="004F5BC8" w:rsidP="004F5BC8">
      <w:pPr>
        <w:spacing w:line="360" w:lineRule="auto"/>
        <w:jc w:val="both"/>
        <w:rPr>
          <w:rFonts w:cs="Times New Roman"/>
          <w:color w:val="000000" w:themeColor="text1"/>
          <w:szCs w:val="24"/>
        </w:rPr>
      </w:pPr>
    </w:p>
    <w:p w14:paraId="47661494" w14:textId="77777777" w:rsidR="004F5BC8" w:rsidRPr="003A2DD5" w:rsidRDefault="004F5BC8" w:rsidP="00FF14B4">
      <w:pPr>
        <w:jc w:val="both"/>
        <w:rPr>
          <w:rFonts w:cs="Times New Roman"/>
          <w:b/>
          <w:bCs/>
          <w:lang w:val="pt-BR"/>
        </w:rPr>
      </w:pPr>
    </w:p>
    <w:p w14:paraId="57CEE905" w14:textId="37CE5B5B" w:rsidR="003A2DD5" w:rsidRPr="003A2DD5" w:rsidRDefault="003A2DD5">
      <w:pPr>
        <w:rPr>
          <w:rFonts w:cs="Times New Roman"/>
          <w:b/>
          <w:bCs/>
          <w:lang w:val="pt-BR"/>
        </w:rPr>
      </w:pPr>
      <w:r w:rsidRPr="003A2DD5">
        <w:rPr>
          <w:rFonts w:cs="Times New Roman"/>
          <w:b/>
          <w:bCs/>
          <w:lang w:val="pt-BR"/>
        </w:rPr>
        <w:br w:type="page"/>
      </w:r>
    </w:p>
    <w:p w14:paraId="098F97C7" w14:textId="77777777" w:rsidR="003A2DD5" w:rsidRPr="003A2DD5" w:rsidRDefault="003A2DD5" w:rsidP="003A2DD5">
      <w:pPr>
        <w:spacing w:after="160" w:line="259" w:lineRule="auto"/>
        <w:jc w:val="both"/>
        <w:rPr>
          <w:rFonts w:cs="Times New Roman"/>
          <w:color w:val="212121"/>
          <w:szCs w:val="24"/>
          <w:shd w:val="clear" w:color="auto" w:fill="FFFFFF"/>
          <w:lang w:val="pt-BR"/>
        </w:rPr>
      </w:pPr>
      <w:r w:rsidRPr="003A2DD5">
        <w:rPr>
          <w:rFonts w:cs="Times New Roman"/>
          <w:b/>
          <w:bCs/>
          <w:lang w:val="pt-BR"/>
        </w:rPr>
        <w:lastRenderedPageBreak/>
        <w:t xml:space="preserve">Anexo II - </w:t>
      </w:r>
      <w:r w:rsidRPr="003A2DD5">
        <w:rPr>
          <w:rFonts w:cs="Times New Roman"/>
          <w:color w:val="212121"/>
          <w:szCs w:val="24"/>
          <w:shd w:val="clear" w:color="auto" w:fill="FFFFFF"/>
          <w:lang w:val="pt-BR"/>
        </w:rPr>
        <w:t xml:space="preserve">Tabela para cálculo </w:t>
      </w:r>
      <w:r w:rsidRPr="003A2DD5">
        <w:rPr>
          <w:rFonts w:cs="Times New Roman"/>
          <w:szCs w:val="24"/>
          <w:lang w:val="pt-BR"/>
        </w:rPr>
        <w:t>em equivalentes de dose de morfina intravenosa</w:t>
      </w:r>
      <w:r w:rsidRPr="003A2DD5">
        <w:rPr>
          <w:rFonts w:cs="Times New Roman"/>
          <w:color w:val="212121"/>
          <w:szCs w:val="24"/>
          <w:shd w:val="clear" w:color="auto" w:fill="FFFFFF"/>
          <w:lang w:val="pt-BR"/>
        </w:rPr>
        <w:t xml:space="preserve"> </w:t>
      </w:r>
    </w:p>
    <w:p w14:paraId="48F11DC5" w14:textId="77777777" w:rsidR="003A2DD5" w:rsidRPr="003A2DD5" w:rsidRDefault="003A2DD5" w:rsidP="003A2DD5">
      <w:pPr>
        <w:spacing w:after="160" w:line="259" w:lineRule="auto"/>
        <w:jc w:val="both"/>
        <w:rPr>
          <w:rFonts w:cs="Times New Roman"/>
          <w:noProof/>
        </w:rPr>
      </w:pPr>
    </w:p>
    <w:p w14:paraId="2FE8FD38" w14:textId="07E2E045" w:rsidR="003A2DD5" w:rsidRPr="003A2DD5" w:rsidRDefault="003A2DD5" w:rsidP="003A2DD5">
      <w:pPr>
        <w:spacing w:after="160" w:line="259" w:lineRule="auto"/>
        <w:jc w:val="both"/>
        <w:rPr>
          <w:rFonts w:cs="Times New Roman"/>
          <w:noProof/>
        </w:rPr>
      </w:pPr>
      <w:r w:rsidRPr="003A2DD5">
        <w:rPr>
          <w:rFonts w:cs="Times New Roman"/>
          <w:noProof/>
          <w:color w:val="212121"/>
          <w:szCs w:val="24"/>
          <w:shd w:val="clear" w:color="auto" w:fill="FFFFFF"/>
          <w:lang w:eastAsia="pt-BR"/>
        </w:rPr>
        <w:drawing>
          <wp:anchor distT="0" distB="0" distL="114300" distR="114300" simplePos="0" relativeHeight="251659264" behindDoc="0" locked="0" layoutInCell="1" allowOverlap="1" wp14:anchorId="25C25E41" wp14:editId="2CA6BD61">
            <wp:simplePos x="0" y="0"/>
            <wp:positionH relativeFrom="margin">
              <wp:posOffset>0</wp:posOffset>
            </wp:positionH>
            <wp:positionV relativeFrom="paragraph">
              <wp:posOffset>286385</wp:posOffset>
            </wp:positionV>
            <wp:extent cx="5286375" cy="3543300"/>
            <wp:effectExtent l="0" t="0" r="9525" b="0"/>
            <wp:wrapThrough wrapText="bothSides">
              <wp:wrapPolygon edited="0">
                <wp:start x="0" y="0"/>
                <wp:lineTo x="0" y="21484"/>
                <wp:lineTo x="21561" y="21484"/>
                <wp:lineTo x="21561" y="0"/>
                <wp:lineTo x="0" y="0"/>
              </wp:wrapPolygon>
            </wp:wrapThrough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BCE3238" w14:textId="77777777" w:rsidR="003A2DD5" w:rsidRPr="003A2DD5" w:rsidRDefault="003A2DD5" w:rsidP="003A2DD5">
      <w:pPr>
        <w:spacing w:after="160" w:line="259" w:lineRule="auto"/>
        <w:jc w:val="both"/>
        <w:rPr>
          <w:rFonts w:cs="Times New Roman"/>
          <w:noProof/>
        </w:rPr>
      </w:pPr>
    </w:p>
    <w:p w14:paraId="64BE694F" w14:textId="1847211E" w:rsidR="003A2DD5" w:rsidRPr="003A2DD5" w:rsidRDefault="003A2DD5" w:rsidP="003A2DD5">
      <w:pPr>
        <w:spacing w:after="160" w:line="259" w:lineRule="auto"/>
        <w:jc w:val="both"/>
        <w:rPr>
          <w:rFonts w:cs="Times New Roman"/>
          <w:color w:val="212121"/>
          <w:szCs w:val="24"/>
          <w:shd w:val="clear" w:color="auto" w:fill="FFFFFF"/>
        </w:rPr>
      </w:pPr>
      <w:r w:rsidRPr="003A2DD5">
        <w:rPr>
          <w:rFonts w:cs="Times New Roman"/>
          <w:noProof/>
        </w:rPr>
        <w:t xml:space="preserve">Macintyre, P.E. and S.A. Schug, </w:t>
      </w:r>
      <w:r w:rsidRPr="003A2DD5">
        <w:rPr>
          <w:rFonts w:cs="Times New Roman"/>
          <w:i/>
          <w:noProof/>
        </w:rPr>
        <w:t>Pharmacology of Opioids</w:t>
      </w:r>
      <w:r w:rsidRPr="003A2DD5">
        <w:rPr>
          <w:rFonts w:cs="Times New Roman"/>
          <w:noProof/>
        </w:rPr>
        <w:t xml:space="preserve">, in </w:t>
      </w:r>
      <w:r w:rsidRPr="003A2DD5">
        <w:rPr>
          <w:rFonts w:cs="Times New Roman"/>
          <w:i/>
          <w:noProof/>
        </w:rPr>
        <w:t>Acute Pain Management: A Practical Guide</w:t>
      </w:r>
      <w:r w:rsidRPr="003A2DD5">
        <w:rPr>
          <w:rFonts w:cs="Times New Roman"/>
          <w:noProof/>
        </w:rPr>
        <w:t>. 2015: Boca Raton, Florida. p. 32.</w:t>
      </w:r>
    </w:p>
    <w:p w14:paraId="02938A2E" w14:textId="62A69056" w:rsidR="003A2DD5" w:rsidRPr="003A2DD5" w:rsidRDefault="003A2DD5">
      <w:pPr>
        <w:rPr>
          <w:rFonts w:cs="Times New Roman"/>
          <w:b/>
          <w:bCs/>
          <w:lang w:val="en-GB"/>
        </w:rPr>
      </w:pPr>
      <w:r w:rsidRPr="003A2DD5">
        <w:rPr>
          <w:rFonts w:cs="Times New Roman"/>
          <w:b/>
          <w:bCs/>
          <w:lang w:val="en-GB"/>
        </w:rPr>
        <w:br w:type="page"/>
      </w:r>
    </w:p>
    <w:p w14:paraId="56B892F0" w14:textId="77777777" w:rsidR="003A2DD5" w:rsidRPr="003A2DD5" w:rsidRDefault="003A2DD5" w:rsidP="003A2DD5">
      <w:pPr>
        <w:spacing w:after="160" w:line="259" w:lineRule="auto"/>
        <w:rPr>
          <w:rFonts w:cs="Times New Roman"/>
          <w:color w:val="212121"/>
          <w:szCs w:val="24"/>
          <w:shd w:val="clear" w:color="auto" w:fill="FFFFFF"/>
          <w:lang w:val="pt-BR"/>
        </w:rPr>
      </w:pPr>
      <w:r w:rsidRPr="003A2DD5">
        <w:rPr>
          <w:rFonts w:cs="Times New Roman"/>
          <w:b/>
          <w:bCs/>
          <w:lang w:val="pt-BR"/>
        </w:rPr>
        <w:lastRenderedPageBreak/>
        <w:t xml:space="preserve">Anexo III - </w:t>
      </w:r>
      <w:r w:rsidRPr="003A2DD5">
        <w:rPr>
          <w:rFonts w:cs="Times New Roman"/>
          <w:color w:val="212121"/>
          <w:szCs w:val="24"/>
          <w:shd w:val="clear" w:color="auto" w:fill="FFFFFF"/>
          <w:lang w:val="pt-BR"/>
        </w:rPr>
        <w:t>Escala Numérica de Dor</w:t>
      </w:r>
    </w:p>
    <w:p w14:paraId="01E9D8DC" w14:textId="77777777" w:rsidR="003A2DD5" w:rsidRPr="003A2DD5" w:rsidRDefault="003A2DD5" w:rsidP="003A2DD5">
      <w:pPr>
        <w:spacing w:after="160" w:line="259" w:lineRule="auto"/>
        <w:rPr>
          <w:rFonts w:cs="Times New Roman"/>
          <w:color w:val="212121"/>
          <w:szCs w:val="24"/>
          <w:shd w:val="clear" w:color="auto" w:fill="FFFFFF"/>
          <w:lang w:val="pt-BR"/>
        </w:rPr>
      </w:pPr>
    </w:p>
    <w:p w14:paraId="033110F8" w14:textId="77777777" w:rsidR="003A2DD5" w:rsidRPr="003A2DD5" w:rsidRDefault="003A2DD5" w:rsidP="003A2DD5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Cs w:val="24"/>
          <w:lang w:val="pt-BR"/>
        </w:rPr>
      </w:pPr>
      <w:r w:rsidRPr="003A2DD5">
        <w:rPr>
          <w:rFonts w:cs="Times New Roman"/>
          <w:szCs w:val="24"/>
          <w:lang w:val="pt-BR"/>
        </w:rPr>
        <w:t>É escala alternativa para a escala analógica visual. O paciente sugere um número para representar a intensidade da dor, 0 significando ausência de dor, e 10, a dor mais intensa possível. Também pode ser usada para avaliar o alívio da dor, 0 representando nenhuma melhora da dor enquanto 10 significa alívio completo.</w:t>
      </w:r>
    </w:p>
    <w:p w14:paraId="0C64B18C" w14:textId="77777777" w:rsidR="003A2DD5" w:rsidRPr="003A2DD5" w:rsidRDefault="003A2DD5" w:rsidP="003A2DD5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Cs w:val="24"/>
          <w:lang w:val="pt-BR"/>
        </w:rPr>
      </w:pPr>
      <w:r w:rsidRPr="003A2DD5">
        <w:rPr>
          <w:rFonts w:cs="Times New Roman"/>
          <w:szCs w:val="24"/>
          <w:lang w:val="pt-BR"/>
        </w:rPr>
        <w:t>Essa escala é fácil e rápida para ser aplicada, e apresenta uma boa correlação com a Escala Analógica Visual (EVA). Não há necessidade de treino muito elaborado, proporciona boa avaliação pelo paciente durante o tratamento e pode ser aplicada mesmo em crianças pequenas.</w:t>
      </w:r>
    </w:p>
    <w:p w14:paraId="0DFBFBDC" w14:textId="77777777" w:rsidR="003A2DD5" w:rsidRPr="003A2DD5" w:rsidRDefault="003A2DD5" w:rsidP="003A2DD5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Cs w:val="24"/>
          <w:lang w:val="pt-BR"/>
        </w:rPr>
      </w:pPr>
      <w:r w:rsidRPr="003A2DD5">
        <w:rPr>
          <w:rFonts w:cs="Times New Roman"/>
          <w:szCs w:val="24"/>
          <w:lang w:val="pt-BR"/>
        </w:rPr>
        <w:t>Outra vantagem dessa escala é que ela pode ser impressa com números de 0 a 10, colocados em uma linha horizontal, e o paciente assinala ao lado daquele que melhor exprime a intensidade de sua dor. Também se pode fazer a escala com números de 0 a 100.</w:t>
      </w:r>
    </w:p>
    <w:p w14:paraId="16F9D506" w14:textId="77777777" w:rsidR="003A2DD5" w:rsidRPr="003A2DD5" w:rsidRDefault="003A2DD5" w:rsidP="003A2DD5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Cs w:val="24"/>
          <w:lang w:val="pt-BR"/>
        </w:rPr>
      </w:pPr>
    </w:p>
    <w:p w14:paraId="096E0E02" w14:textId="77777777" w:rsidR="003A2DD5" w:rsidRPr="003A2DD5" w:rsidRDefault="003A2DD5" w:rsidP="003A2DD5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Cs w:val="24"/>
        </w:rPr>
      </w:pPr>
      <w:r w:rsidRPr="003A2DD5">
        <w:rPr>
          <w:rFonts w:cs="Times New Roman"/>
          <w:noProof/>
          <w:lang w:eastAsia="pt-BR"/>
        </w:rPr>
        <w:drawing>
          <wp:inline distT="0" distB="0" distL="0" distR="0" wp14:anchorId="03A33089" wp14:editId="2689A0AF">
            <wp:extent cx="5400040" cy="1377635"/>
            <wp:effectExtent l="0" t="0" r="0" b="0"/>
            <wp:docPr id="7" name="Imagem 7" descr="Resultado de imagem para numeric rating scale (nrs) for p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m para numeric rating scale (nrs) for pai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37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C274E" w14:textId="77777777" w:rsidR="003A2DD5" w:rsidRPr="003A2DD5" w:rsidRDefault="003A2DD5" w:rsidP="003A2DD5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791CB50A" w14:textId="77777777" w:rsidR="003A2DD5" w:rsidRPr="003A2DD5" w:rsidRDefault="003A2DD5" w:rsidP="003A2DD5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5D5A493A" w14:textId="77777777" w:rsidR="003A2DD5" w:rsidRPr="003A2DD5" w:rsidRDefault="003A2DD5" w:rsidP="003A2DD5">
      <w:pPr>
        <w:autoSpaceDE w:val="0"/>
        <w:autoSpaceDN w:val="0"/>
        <w:adjustRightInd w:val="0"/>
        <w:spacing w:after="0" w:line="240" w:lineRule="auto"/>
        <w:rPr>
          <w:rFonts w:cs="Times New Roman"/>
          <w:color w:val="212121"/>
          <w:szCs w:val="24"/>
          <w:shd w:val="clear" w:color="auto" w:fill="FFFFFF"/>
        </w:rPr>
      </w:pPr>
    </w:p>
    <w:p w14:paraId="6BB81501" w14:textId="77777777" w:rsidR="003A2DD5" w:rsidRPr="003A2DD5" w:rsidRDefault="003A2DD5" w:rsidP="003A2DD5">
      <w:pPr>
        <w:jc w:val="both"/>
        <w:rPr>
          <w:rFonts w:cs="Times New Roman"/>
          <w:szCs w:val="24"/>
        </w:rPr>
      </w:pPr>
      <w:r w:rsidRPr="003A2DD5">
        <w:rPr>
          <w:rFonts w:cs="Times New Roman"/>
          <w:szCs w:val="24"/>
          <w:lang w:val="pt-BR"/>
        </w:rPr>
        <w:t xml:space="preserve">Posso IP, Romanek RM, Gatto BEO. Dor Aguda e Inflamação, em: Bagatini A, Cangiani LM, Carneiro AF et al - Bases do Ensino da Anestesiologia. Volume I Edição I. Rio de Janeiro, Sociedade Brasileira de Anestesiologia. </w:t>
      </w:r>
      <w:r w:rsidRPr="003A2DD5">
        <w:rPr>
          <w:rFonts w:cs="Times New Roman"/>
          <w:szCs w:val="24"/>
        </w:rPr>
        <w:t>2016;1126.</w:t>
      </w:r>
    </w:p>
    <w:p w14:paraId="2AFC152D" w14:textId="100AA687" w:rsidR="003A2DD5" w:rsidRPr="003A2DD5" w:rsidRDefault="003A2DD5" w:rsidP="003A2DD5">
      <w:pPr>
        <w:jc w:val="both"/>
        <w:rPr>
          <w:rFonts w:cs="Times New Roman"/>
          <w:noProof/>
          <w:szCs w:val="24"/>
        </w:rPr>
      </w:pPr>
      <w:r w:rsidRPr="003A2DD5">
        <w:rPr>
          <w:rFonts w:cs="Times New Roman"/>
          <w:noProof/>
          <w:szCs w:val="24"/>
        </w:rPr>
        <w:t xml:space="preserve">Hawker, G.A., et al., Measures of adult pain: Visual Analog Scale for Pain (VAS Pain), Numeric Rating Scale for Pain (NRS Pain), McGill Pain Questionnaire (MPQ), Short-Form McGill Pain Questionnaire (SF-MPQ), Chronic Pain Grade Scale (CPGS), Short Form-36 Bodily Pain Scale (SF-36 BPS), and Measure of Intermittent and Constant Osteoarthritis Pain (ICOAP). Arthritis Care Res (Hoboken), 2011. </w:t>
      </w:r>
      <w:r w:rsidRPr="003A2DD5">
        <w:rPr>
          <w:rFonts w:cs="Times New Roman"/>
          <w:b/>
          <w:noProof/>
          <w:szCs w:val="24"/>
        </w:rPr>
        <w:t>63 Suppl 11</w:t>
      </w:r>
      <w:r w:rsidRPr="003A2DD5">
        <w:rPr>
          <w:rFonts w:cs="Times New Roman"/>
          <w:noProof/>
          <w:szCs w:val="24"/>
        </w:rPr>
        <w:t>: p. S240-52</w:t>
      </w:r>
    </w:p>
    <w:p w14:paraId="72796B37" w14:textId="77777777" w:rsidR="003A2DD5" w:rsidRDefault="003A2DD5">
      <w:pPr>
        <w:rPr>
          <w:rFonts w:cs="Times New Roman"/>
          <w:noProof/>
          <w:szCs w:val="24"/>
        </w:rPr>
      </w:pPr>
      <w:r>
        <w:rPr>
          <w:rFonts w:cs="Times New Roman"/>
          <w:noProof/>
          <w:szCs w:val="24"/>
        </w:rPr>
        <w:br w:type="page"/>
      </w:r>
    </w:p>
    <w:p w14:paraId="01CBFF26" w14:textId="3CF55721" w:rsidR="003A2DD5" w:rsidRPr="00B44231" w:rsidRDefault="003A2DD5" w:rsidP="003A2DD5">
      <w:pPr>
        <w:jc w:val="both"/>
        <w:rPr>
          <w:rFonts w:cs="Times New Roman"/>
          <w:b/>
          <w:bCs/>
          <w:noProof/>
          <w:szCs w:val="24"/>
          <w:lang w:val="pt-BR"/>
        </w:rPr>
      </w:pPr>
      <w:r w:rsidRPr="00B44231">
        <w:rPr>
          <w:rFonts w:cs="Times New Roman"/>
          <w:b/>
          <w:bCs/>
          <w:noProof/>
          <w:szCs w:val="24"/>
          <w:lang w:val="pt-BR"/>
        </w:rPr>
        <w:lastRenderedPageBreak/>
        <w:t>Anexo IV – Ficha de Coleta de dados</w:t>
      </w:r>
    </w:p>
    <w:p w14:paraId="0918301A" w14:textId="77777777" w:rsidR="00A82A37" w:rsidRPr="00A82A37" w:rsidRDefault="00A82A37" w:rsidP="00A82A37">
      <w:pPr>
        <w:pStyle w:val="Pr-formataoHTML"/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212121"/>
          <w:u w:val="single"/>
          <w:shd w:val="clear" w:color="auto" w:fill="FFFFFF"/>
        </w:rPr>
      </w:pPr>
      <w:r w:rsidRPr="00A82A37">
        <w:rPr>
          <w:rFonts w:ascii="Times New Roman" w:hAnsi="Times New Roman" w:cs="Times New Roman"/>
          <w:b/>
          <w:color w:val="212121"/>
          <w:u w:val="single"/>
          <w:shd w:val="clear" w:color="auto" w:fill="FFFFFF"/>
        </w:rPr>
        <w:t>Identificação</w:t>
      </w:r>
    </w:p>
    <w:p w14:paraId="7FFA0EE9" w14:textId="77777777" w:rsidR="00A82A37" w:rsidRPr="00A82A37" w:rsidRDefault="00A82A37" w:rsidP="00A82A37">
      <w:pPr>
        <w:pStyle w:val="Pr-formatao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  <w:r w:rsidRPr="00A82A37">
        <w:rPr>
          <w:rFonts w:ascii="Times New Roman" w:hAnsi="Times New Roman" w:cs="Times New Roman"/>
          <w:color w:val="212121"/>
          <w:shd w:val="clear" w:color="auto" w:fill="FFFFFF"/>
        </w:rPr>
        <w:t>ID (n˚ protuário): __________         Hospital:__________        Data: _________</w:t>
      </w:r>
    </w:p>
    <w:p w14:paraId="371B0D10" w14:textId="77777777" w:rsidR="00A82A37" w:rsidRPr="00A82A37" w:rsidRDefault="00A82A37" w:rsidP="00A82A37">
      <w:pPr>
        <w:pStyle w:val="Pr-formatao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  <w:r w:rsidRPr="00A82A37">
        <w:rPr>
          <w:rFonts w:ascii="Times New Roman" w:hAnsi="Times New Roman" w:cs="Times New Roman"/>
          <w:color w:val="212121"/>
          <w:shd w:val="clear" w:color="auto" w:fill="FFFFFF"/>
        </w:rPr>
        <w:t>Gênero: ____      Idade: _____    IMC: ____   Estado Físico (ASA): ___</w:t>
      </w:r>
    </w:p>
    <w:p w14:paraId="06721889" w14:textId="77777777" w:rsidR="00A82A37" w:rsidRPr="00A82A37" w:rsidRDefault="00A82A37" w:rsidP="00A82A37">
      <w:pPr>
        <w:pStyle w:val="Pr-formatao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</w:p>
    <w:p w14:paraId="1F6A982D" w14:textId="67C833A4" w:rsidR="00A82A37" w:rsidRPr="00A82A37" w:rsidRDefault="00A82A37" w:rsidP="00A82A37">
      <w:pPr>
        <w:pStyle w:val="Pr-formataoHTML"/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212121"/>
          <w:u w:val="single"/>
          <w:shd w:val="clear" w:color="auto" w:fill="FFFFFF"/>
        </w:rPr>
      </w:pPr>
      <w:r w:rsidRPr="00A82A37">
        <w:rPr>
          <w:rFonts w:ascii="Times New Roman" w:hAnsi="Times New Roman" w:cs="Times New Roman"/>
          <w:b/>
          <w:color w:val="212121"/>
          <w:u w:val="single"/>
          <w:shd w:val="clear" w:color="auto" w:fill="FFFFFF"/>
        </w:rPr>
        <w:t>Coleta de Dados</w:t>
      </w:r>
    </w:p>
    <w:p w14:paraId="575CACAB" w14:textId="158581D9" w:rsidR="00A82A37" w:rsidRPr="00A82A37" w:rsidRDefault="00A82A37" w:rsidP="00A82A37">
      <w:pPr>
        <w:pStyle w:val="Pr-formatao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  <w:r w:rsidRPr="00A82A37">
        <w:rPr>
          <w:rFonts w:ascii="Times New Roman" w:hAnsi="Times New Roman" w:cs="Times New Roman"/>
          <w:color w:val="212121"/>
          <w:shd w:val="clear" w:color="auto" w:fill="FFFFFF"/>
        </w:rPr>
        <w:t xml:space="preserve">- </w:t>
      </w:r>
      <w:r w:rsidRPr="00A82A37">
        <w:rPr>
          <w:rFonts w:ascii="Times New Roman" w:hAnsi="Times New Roman" w:cs="Times New Roman"/>
          <w:i/>
          <w:color w:val="212121"/>
          <w:u w:val="single"/>
          <w:shd w:val="clear" w:color="auto" w:fill="FFFFFF"/>
        </w:rPr>
        <w:t>Intraoperatório</w:t>
      </w:r>
      <w:r w:rsidRPr="00A82A37">
        <w:rPr>
          <w:rFonts w:ascii="Times New Roman" w:hAnsi="Times New Roman" w:cs="Times New Roman"/>
          <w:color w:val="212121"/>
          <w:shd w:val="clear" w:color="auto" w:fill="FFFFFF"/>
        </w:rPr>
        <w:t xml:space="preserve">:   Tempo cirúrgico: ____   </w:t>
      </w:r>
    </w:p>
    <w:p w14:paraId="1959106A" w14:textId="66C4588A" w:rsidR="00A82A37" w:rsidRPr="00A82A37" w:rsidRDefault="00A82A37" w:rsidP="00A82A37">
      <w:pPr>
        <w:pStyle w:val="Pr-formatao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  <w:r w:rsidRPr="00A82A37">
        <w:rPr>
          <w:rFonts w:ascii="Times New Roman" w:hAnsi="Times New Roman" w:cs="Times New Roman"/>
          <w:color w:val="212121"/>
          <w:shd w:val="clear" w:color="auto" w:fill="FFFFFF"/>
        </w:rPr>
        <w:t>Dose total de remifentanil: ____   Volume cristaloide: _____</w:t>
      </w:r>
    </w:p>
    <w:p w14:paraId="08D76264" w14:textId="77777777" w:rsidR="00A82A37" w:rsidRPr="00A82A37" w:rsidRDefault="00A82A37" w:rsidP="00A82A37">
      <w:pPr>
        <w:pStyle w:val="Pr-formatao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  <w:r w:rsidRPr="00A82A37">
        <w:rPr>
          <w:rFonts w:ascii="Times New Roman" w:hAnsi="Times New Roman" w:cs="Times New Roman"/>
          <w:color w:val="212121"/>
          <w:shd w:val="clear" w:color="auto" w:fill="FFFFFF"/>
        </w:rPr>
        <w:t>Dose de vasopressor:    Aramin: ____             Efedrina: ____     Pressão pneumo: _____</w:t>
      </w:r>
    </w:p>
    <w:p w14:paraId="49E64C6D" w14:textId="0B183742" w:rsidR="00A82A37" w:rsidRPr="00A82A37" w:rsidRDefault="00A82A37" w:rsidP="00A82A37">
      <w:pPr>
        <w:pStyle w:val="Pr-formataoHTML"/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212121"/>
          <w:shd w:val="clear" w:color="auto" w:fill="FFFFFF"/>
        </w:rPr>
      </w:pPr>
      <w:r w:rsidRPr="00A82A37">
        <w:rPr>
          <w:rFonts w:ascii="Times New Roman" w:hAnsi="Times New Roman" w:cs="Times New Roman"/>
          <w:color w:val="212121"/>
          <w:shd w:val="clear" w:color="auto" w:fill="FFFFFF"/>
        </w:rPr>
        <w:t xml:space="preserve">- </w:t>
      </w:r>
      <w:r w:rsidRPr="00A82A37">
        <w:rPr>
          <w:rFonts w:ascii="Times New Roman" w:hAnsi="Times New Roman" w:cs="Times New Roman"/>
          <w:i/>
          <w:color w:val="212121"/>
          <w:u w:val="single"/>
          <w:shd w:val="clear" w:color="auto" w:fill="FFFFFF"/>
        </w:rPr>
        <w:t>Sala de Recuperação Pós-Anestésica (SRPA)</w:t>
      </w:r>
      <w:r w:rsidRPr="00A82A37">
        <w:rPr>
          <w:rFonts w:ascii="Times New Roman" w:hAnsi="Times New Roman" w:cs="Times New Roman"/>
          <w:color w:val="212121"/>
          <w:u w:val="single"/>
          <w:shd w:val="clear" w:color="auto" w:fill="FFFFFF"/>
        </w:rPr>
        <w:t xml:space="preserve"> </w:t>
      </w:r>
    </w:p>
    <w:p w14:paraId="230ED0FC" w14:textId="77777777" w:rsidR="00A82A37" w:rsidRPr="00A82A37" w:rsidRDefault="00A82A37" w:rsidP="00A82A37">
      <w:pPr>
        <w:pStyle w:val="Pr-formatao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  <w:r w:rsidRPr="00A82A37">
        <w:rPr>
          <w:rFonts w:ascii="Times New Roman" w:hAnsi="Times New Roman" w:cs="Times New Roman"/>
          <w:color w:val="212121"/>
          <w:shd w:val="clear" w:color="auto" w:fill="FFFFFF"/>
        </w:rPr>
        <w:t>Dose cumulativa morfina:___</w:t>
      </w:r>
    </w:p>
    <w:p w14:paraId="0A740FCB" w14:textId="2B43E567" w:rsidR="00A82A37" w:rsidRPr="00A82A37" w:rsidRDefault="00A82A37" w:rsidP="00A82A37">
      <w:pPr>
        <w:pStyle w:val="Pr-formatao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  <w:r w:rsidRPr="00A82A37">
        <w:rPr>
          <w:rFonts w:ascii="Times New Roman" w:hAnsi="Times New Roman" w:cs="Times New Roman"/>
          <w:color w:val="212121"/>
          <w:shd w:val="clear" w:color="auto" w:fill="FFFFFF"/>
        </w:rPr>
        <w:t xml:space="preserve">Tempo para atingir AK ≥9: ___      </w:t>
      </w:r>
    </w:p>
    <w:tbl>
      <w:tblPr>
        <w:tblStyle w:val="Tabelacomgrade"/>
        <w:tblW w:w="3326" w:type="pct"/>
        <w:jc w:val="center"/>
        <w:tblLook w:val="04A0" w:firstRow="1" w:lastRow="0" w:firstColumn="1" w:lastColumn="0" w:noHBand="0" w:noVBand="1"/>
      </w:tblPr>
      <w:tblGrid>
        <w:gridCol w:w="1556"/>
        <w:gridCol w:w="871"/>
        <w:gridCol w:w="829"/>
        <w:gridCol w:w="829"/>
        <w:gridCol w:w="829"/>
        <w:gridCol w:w="827"/>
      </w:tblGrid>
      <w:tr w:rsidR="00A82A37" w:rsidRPr="00A82A37" w14:paraId="60D40042" w14:textId="77777777" w:rsidTr="00CB0AEB">
        <w:trPr>
          <w:jc w:val="center"/>
        </w:trPr>
        <w:tc>
          <w:tcPr>
            <w:tcW w:w="1354" w:type="pct"/>
          </w:tcPr>
          <w:p w14:paraId="218E93B9" w14:textId="77777777" w:rsidR="00A82A37" w:rsidRPr="00A82A37" w:rsidRDefault="00A82A37" w:rsidP="00850F6C">
            <w:pPr>
              <w:spacing w:after="160" w:line="259" w:lineRule="auto"/>
              <w:rPr>
                <w:rFonts w:cs="Times New Roman"/>
                <w:color w:val="212121"/>
                <w:sz w:val="20"/>
                <w:szCs w:val="20"/>
                <w:shd w:val="clear" w:color="auto" w:fill="FFFFFF"/>
                <w:lang w:val="pt-BR"/>
              </w:rPr>
            </w:pPr>
          </w:p>
        </w:tc>
        <w:tc>
          <w:tcPr>
            <w:tcW w:w="759" w:type="pct"/>
          </w:tcPr>
          <w:p w14:paraId="75C5E3CA" w14:textId="77777777" w:rsidR="00A82A37" w:rsidRPr="00A82A37" w:rsidRDefault="00A82A37" w:rsidP="00850F6C">
            <w:pPr>
              <w:spacing w:after="160" w:line="259" w:lineRule="auto"/>
              <w:rPr>
                <w:rFonts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A82A37">
              <w:rPr>
                <w:rFonts w:cs="Times New Roman"/>
                <w:color w:val="212121"/>
                <w:sz w:val="20"/>
                <w:szCs w:val="20"/>
                <w:shd w:val="clear" w:color="auto" w:fill="FFFFFF"/>
              </w:rPr>
              <w:t>0m</w:t>
            </w:r>
          </w:p>
        </w:tc>
        <w:tc>
          <w:tcPr>
            <w:tcW w:w="722" w:type="pct"/>
          </w:tcPr>
          <w:p w14:paraId="43C0B671" w14:textId="77777777" w:rsidR="00A82A37" w:rsidRPr="00A82A37" w:rsidRDefault="00A82A37" w:rsidP="00850F6C">
            <w:pPr>
              <w:spacing w:after="160" w:line="259" w:lineRule="auto"/>
              <w:rPr>
                <w:rFonts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A82A37">
              <w:rPr>
                <w:rFonts w:cs="Times New Roman"/>
                <w:color w:val="212121"/>
                <w:sz w:val="20"/>
                <w:szCs w:val="20"/>
                <w:shd w:val="clear" w:color="auto" w:fill="FFFFFF"/>
              </w:rPr>
              <w:t>15 m</w:t>
            </w:r>
          </w:p>
        </w:tc>
        <w:tc>
          <w:tcPr>
            <w:tcW w:w="722" w:type="pct"/>
          </w:tcPr>
          <w:p w14:paraId="5323E2D8" w14:textId="77777777" w:rsidR="00A82A37" w:rsidRPr="00A82A37" w:rsidRDefault="00A82A37" w:rsidP="00850F6C">
            <w:pPr>
              <w:spacing w:after="160" w:line="259" w:lineRule="auto"/>
              <w:rPr>
                <w:rFonts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A82A37">
              <w:rPr>
                <w:rFonts w:cs="Times New Roman"/>
                <w:color w:val="212121"/>
                <w:sz w:val="20"/>
                <w:szCs w:val="20"/>
                <w:shd w:val="clear" w:color="auto" w:fill="FFFFFF"/>
              </w:rPr>
              <w:t>30 m</w:t>
            </w:r>
          </w:p>
        </w:tc>
        <w:tc>
          <w:tcPr>
            <w:tcW w:w="722" w:type="pct"/>
          </w:tcPr>
          <w:p w14:paraId="22C2517C" w14:textId="77777777" w:rsidR="00A82A37" w:rsidRPr="00A82A37" w:rsidRDefault="00A82A37" w:rsidP="00850F6C">
            <w:pPr>
              <w:spacing w:after="160" w:line="259" w:lineRule="auto"/>
              <w:rPr>
                <w:rFonts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A82A37">
              <w:rPr>
                <w:rFonts w:cs="Times New Roman"/>
                <w:color w:val="212121"/>
                <w:sz w:val="20"/>
                <w:szCs w:val="20"/>
                <w:shd w:val="clear" w:color="auto" w:fill="FFFFFF"/>
              </w:rPr>
              <w:t>45 m</w:t>
            </w:r>
          </w:p>
        </w:tc>
        <w:tc>
          <w:tcPr>
            <w:tcW w:w="720" w:type="pct"/>
          </w:tcPr>
          <w:p w14:paraId="13BCD3CC" w14:textId="77777777" w:rsidR="00A82A37" w:rsidRPr="00A82A37" w:rsidRDefault="00A82A37" w:rsidP="00850F6C">
            <w:pPr>
              <w:spacing w:after="160" w:line="259" w:lineRule="auto"/>
              <w:rPr>
                <w:rFonts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A82A37">
              <w:rPr>
                <w:rFonts w:cs="Times New Roman"/>
                <w:color w:val="212121"/>
                <w:sz w:val="20"/>
                <w:szCs w:val="20"/>
                <w:shd w:val="clear" w:color="auto" w:fill="FFFFFF"/>
              </w:rPr>
              <w:t>60 m</w:t>
            </w:r>
          </w:p>
        </w:tc>
      </w:tr>
      <w:tr w:rsidR="00A82A37" w:rsidRPr="00A82A37" w14:paraId="00588D6D" w14:textId="77777777" w:rsidTr="00CB0AEB">
        <w:trPr>
          <w:jc w:val="center"/>
        </w:trPr>
        <w:tc>
          <w:tcPr>
            <w:tcW w:w="1354" w:type="pct"/>
          </w:tcPr>
          <w:p w14:paraId="401AE0BC" w14:textId="0910D79D" w:rsidR="00A82A37" w:rsidRPr="00A82A37" w:rsidRDefault="00A82A37" w:rsidP="00850F6C">
            <w:pPr>
              <w:spacing w:after="160" w:line="259" w:lineRule="auto"/>
              <w:rPr>
                <w:rFonts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A82A37">
              <w:rPr>
                <w:rFonts w:cs="Times New Roman"/>
                <w:color w:val="212121"/>
                <w:sz w:val="20"/>
                <w:szCs w:val="20"/>
                <w:shd w:val="clear" w:color="auto" w:fill="FFFFFF"/>
              </w:rPr>
              <w:t>DOR</w:t>
            </w:r>
            <w:r w:rsidR="00CB0AEB">
              <w:rPr>
                <w:rFonts w:cs="Times New Roman"/>
                <w:color w:val="212121"/>
                <w:sz w:val="20"/>
                <w:szCs w:val="20"/>
                <w:shd w:val="clear" w:color="auto" w:fill="FFFFFF"/>
              </w:rPr>
              <w:t xml:space="preserve"> (ENV)</w:t>
            </w:r>
          </w:p>
        </w:tc>
        <w:tc>
          <w:tcPr>
            <w:tcW w:w="759" w:type="pct"/>
          </w:tcPr>
          <w:p w14:paraId="622C5054" w14:textId="77777777" w:rsidR="00A82A37" w:rsidRPr="00A82A37" w:rsidRDefault="00A82A37" w:rsidP="00850F6C">
            <w:pPr>
              <w:spacing w:after="160" w:line="259" w:lineRule="auto"/>
              <w:rPr>
                <w:rFonts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22" w:type="pct"/>
          </w:tcPr>
          <w:p w14:paraId="5912A405" w14:textId="77777777" w:rsidR="00A82A37" w:rsidRPr="00A82A37" w:rsidRDefault="00A82A37" w:rsidP="00850F6C">
            <w:pPr>
              <w:spacing w:after="160" w:line="259" w:lineRule="auto"/>
              <w:rPr>
                <w:rFonts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22" w:type="pct"/>
          </w:tcPr>
          <w:p w14:paraId="3B2B372C" w14:textId="77777777" w:rsidR="00A82A37" w:rsidRPr="00A82A37" w:rsidRDefault="00A82A37" w:rsidP="00850F6C">
            <w:pPr>
              <w:spacing w:after="160" w:line="259" w:lineRule="auto"/>
              <w:rPr>
                <w:rFonts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22" w:type="pct"/>
          </w:tcPr>
          <w:p w14:paraId="03F06748" w14:textId="77777777" w:rsidR="00A82A37" w:rsidRPr="00A82A37" w:rsidRDefault="00A82A37" w:rsidP="00850F6C">
            <w:pPr>
              <w:spacing w:after="160" w:line="259" w:lineRule="auto"/>
              <w:rPr>
                <w:rFonts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20" w:type="pct"/>
          </w:tcPr>
          <w:p w14:paraId="38B6F5E5" w14:textId="77777777" w:rsidR="00A82A37" w:rsidRPr="00A82A37" w:rsidRDefault="00A82A37" w:rsidP="00850F6C">
            <w:pPr>
              <w:spacing w:after="160" w:line="259" w:lineRule="auto"/>
              <w:rPr>
                <w:rFonts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</w:tr>
      <w:tr w:rsidR="00A82A37" w:rsidRPr="00A82A37" w14:paraId="4F57ACA2" w14:textId="77777777" w:rsidTr="00CB0AEB">
        <w:trPr>
          <w:jc w:val="center"/>
        </w:trPr>
        <w:tc>
          <w:tcPr>
            <w:tcW w:w="1354" w:type="pct"/>
          </w:tcPr>
          <w:p w14:paraId="60363B67" w14:textId="77777777" w:rsidR="00A82A37" w:rsidRPr="00A82A37" w:rsidRDefault="00A82A37" w:rsidP="00850F6C">
            <w:pPr>
              <w:spacing w:after="160" w:line="259" w:lineRule="auto"/>
              <w:rPr>
                <w:rFonts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A82A37">
              <w:rPr>
                <w:rFonts w:cs="Times New Roman"/>
                <w:color w:val="212121"/>
                <w:sz w:val="20"/>
                <w:szCs w:val="20"/>
                <w:shd w:val="clear" w:color="auto" w:fill="FFFFFF"/>
              </w:rPr>
              <w:t>Náuseas</w:t>
            </w:r>
          </w:p>
        </w:tc>
        <w:tc>
          <w:tcPr>
            <w:tcW w:w="759" w:type="pct"/>
          </w:tcPr>
          <w:p w14:paraId="1B91D017" w14:textId="77777777" w:rsidR="00A82A37" w:rsidRPr="00A82A37" w:rsidRDefault="00A82A37" w:rsidP="00850F6C">
            <w:pPr>
              <w:spacing w:after="160" w:line="259" w:lineRule="auto"/>
              <w:rPr>
                <w:rFonts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22" w:type="pct"/>
          </w:tcPr>
          <w:p w14:paraId="43E8B2E9" w14:textId="77777777" w:rsidR="00A82A37" w:rsidRPr="00A82A37" w:rsidRDefault="00A82A37" w:rsidP="00850F6C">
            <w:pPr>
              <w:spacing w:after="160" w:line="259" w:lineRule="auto"/>
              <w:rPr>
                <w:rFonts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22" w:type="pct"/>
          </w:tcPr>
          <w:p w14:paraId="51246318" w14:textId="77777777" w:rsidR="00A82A37" w:rsidRPr="00A82A37" w:rsidRDefault="00A82A37" w:rsidP="00850F6C">
            <w:pPr>
              <w:spacing w:after="160" w:line="259" w:lineRule="auto"/>
              <w:rPr>
                <w:rFonts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22" w:type="pct"/>
          </w:tcPr>
          <w:p w14:paraId="7BFA705F" w14:textId="77777777" w:rsidR="00A82A37" w:rsidRPr="00A82A37" w:rsidRDefault="00A82A37" w:rsidP="00850F6C">
            <w:pPr>
              <w:spacing w:after="160" w:line="259" w:lineRule="auto"/>
              <w:rPr>
                <w:rFonts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20" w:type="pct"/>
          </w:tcPr>
          <w:p w14:paraId="51B5F8DA" w14:textId="77777777" w:rsidR="00A82A37" w:rsidRPr="00A82A37" w:rsidRDefault="00A82A37" w:rsidP="00850F6C">
            <w:pPr>
              <w:spacing w:after="160" w:line="259" w:lineRule="auto"/>
              <w:rPr>
                <w:rFonts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</w:tr>
      <w:tr w:rsidR="00A82A37" w:rsidRPr="00A82A37" w14:paraId="765E0F70" w14:textId="77777777" w:rsidTr="00CB0AEB">
        <w:trPr>
          <w:trHeight w:val="77"/>
          <w:jc w:val="center"/>
        </w:trPr>
        <w:tc>
          <w:tcPr>
            <w:tcW w:w="1354" w:type="pct"/>
          </w:tcPr>
          <w:p w14:paraId="7186B20B" w14:textId="77777777" w:rsidR="00A82A37" w:rsidRPr="00A82A37" w:rsidRDefault="00A82A37" w:rsidP="00850F6C">
            <w:pPr>
              <w:spacing w:after="160" w:line="259" w:lineRule="auto"/>
              <w:rPr>
                <w:rFonts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A82A37">
              <w:rPr>
                <w:rFonts w:cs="Times New Roman"/>
                <w:color w:val="212121"/>
                <w:sz w:val="20"/>
                <w:szCs w:val="20"/>
                <w:shd w:val="clear" w:color="auto" w:fill="FFFFFF"/>
              </w:rPr>
              <w:t>Vômitos</w:t>
            </w:r>
          </w:p>
        </w:tc>
        <w:tc>
          <w:tcPr>
            <w:tcW w:w="759" w:type="pct"/>
          </w:tcPr>
          <w:p w14:paraId="57693F1D" w14:textId="77777777" w:rsidR="00A82A37" w:rsidRPr="00A82A37" w:rsidRDefault="00A82A37" w:rsidP="00850F6C">
            <w:pPr>
              <w:spacing w:after="160" w:line="259" w:lineRule="auto"/>
              <w:rPr>
                <w:rFonts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22" w:type="pct"/>
            <w:tcBorders>
              <w:bottom w:val="single" w:sz="4" w:space="0" w:color="auto"/>
            </w:tcBorders>
          </w:tcPr>
          <w:p w14:paraId="7BA723C2" w14:textId="77777777" w:rsidR="00A82A37" w:rsidRPr="00A82A37" w:rsidRDefault="00A82A37" w:rsidP="00850F6C">
            <w:pPr>
              <w:spacing w:after="160" w:line="259" w:lineRule="auto"/>
              <w:rPr>
                <w:rFonts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22" w:type="pct"/>
            <w:tcBorders>
              <w:bottom w:val="single" w:sz="4" w:space="0" w:color="auto"/>
            </w:tcBorders>
          </w:tcPr>
          <w:p w14:paraId="5613BCB7" w14:textId="77777777" w:rsidR="00A82A37" w:rsidRPr="00A82A37" w:rsidRDefault="00A82A37" w:rsidP="00850F6C">
            <w:pPr>
              <w:spacing w:after="160" w:line="259" w:lineRule="auto"/>
              <w:rPr>
                <w:rFonts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22" w:type="pct"/>
            <w:tcBorders>
              <w:bottom w:val="single" w:sz="4" w:space="0" w:color="auto"/>
            </w:tcBorders>
          </w:tcPr>
          <w:p w14:paraId="4E3BA068" w14:textId="77777777" w:rsidR="00A82A37" w:rsidRPr="00A82A37" w:rsidRDefault="00A82A37" w:rsidP="00850F6C">
            <w:pPr>
              <w:spacing w:after="160" w:line="259" w:lineRule="auto"/>
              <w:rPr>
                <w:rFonts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20" w:type="pct"/>
          </w:tcPr>
          <w:p w14:paraId="60858D25" w14:textId="77777777" w:rsidR="00A82A37" w:rsidRPr="00A82A37" w:rsidRDefault="00A82A37" w:rsidP="00850F6C">
            <w:pPr>
              <w:spacing w:after="160" w:line="259" w:lineRule="auto"/>
              <w:rPr>
                <w:rFonts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</w:tr>
      <w:tr w:rsidR="00A82A37" w:rsidRPr="00A82A37" w14:paraId="7C404D79" w14:textId="77777777" w:rsidTr="00CB0AEB">
        <w:trPr>
          <w:trHeight w:val="77"/>
          <w:jc w:val="center"/>
        </w:trPr>
        <w:tc>
          <w:tcPr>
            <w:tcW w:w="1354" w:type="pct"/>
          </w:tcPr>
          <w:p w14:paraId="1183397F" w14:textId="77777777" w:rsidR="00A82A37" w:rsidRPr="00A82A37" w:rsidRDefault="00A82A37" w:rsidP="00850F6C">
            <w:pPr>
              <w:spacing w:after="160" w:line="259" w:lineRule="auto"/>
              <w:rPr>
                <w:rFonts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A82A37">
              <w:rPr>
                <w:rFonts w:cs="Times New Roman"/>
                <w:color w:val="212121"/>
                <w:sz w:val="20"/>
                <w:szCs w:val="20"/>
                <w:shd w:val="clear" w:color="auto" w:fill="FFFFFF"/>
              </w:rPr>
              <w:t>Wilson</w:t>
            </w:r>
          </w:p>
        </w:tc>
        <w:tc>
          <w:tcPr>
            <w:tcW w:w="759" w:type="pct"/>
          </w:tcPr>
          <w:p w14:paraId="72416FB6" w14:textId="77777777" w:rsidR="00A82A37" w:rsidRPr="00A82A37" w:rsidRDefault="00A82A37" w:rsidP="00850F6C">
            <w:pPr>
              <w:spacing w:after="160" w:line="259" w:lineRule="auto"/>
              <w:rPr>
                <w:rFonts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22" w:type="pct"/>
            <w:shd w:val="clear" w:color="auto" w:fill="000000" w:themeFill="text1"/>
          </w:tcPr>
          <w:p w14:paraId="53678A42" w14:textId="77777777" w:rsidR="00A82A37" w:rsidRPr="00A82A37" w:rsidRDefault="00A82A37" w:rsidP="00850F6C">
            <w:pPr>
              <w:spacing w:after="160" w:line="259" w:lineRule="auto"/>
              <w:rPr>
                <w:rFonts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22" w:type="pct"/>
            <w:shd w:val="clear" w:color="auto" w:fill="FFFFFF" w:themeFill="background1"/>
          </w:tcPr>
          <w:p w14:paraId="462FEA9B" w14:textId="77777777" w:rsidR="00A82A37" w:rsidRPr="00A82A37" w:rsidRDefault="00A82A37" w:rsidP="00850F6C">
            <w:pPr>
              <w:spacing w:after="160" w:line="259" w:lineRule="auto"/>
              <w:rPr>
                <w:rFonts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22" w:type="pct"/>
            <w:shd w:val="clear" w:color="auto" w:fill="000000" w:themeFill="text1"/>
          </w:tcPr>
          <w:p w14:paraId="374813FA" w14:textId="77777777" w:rsidR="00A82A37" w:rsidRPr="00A82A37" w:rsidRDefault="00A82A37" w:rsidP="00850F6C">
            <w:pPr>
              <w:spacing w:after="160" w:line="259" w:lineRule="auto"/>
              <w:rPr>
                <w:rFonts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20" w:type="pct"/>
          </w:tcPr>
          <w:p w14:paraId="6333253A" w14:textId="77777777" w:rsidR="00A82A37" w:rsidRPr="00A82A37" w:rsidRDefault="00A82A37" w:rsidP="00850F6C">
            <w:pPr>
              <w:spacing w:after="160" w:line="259" w:lineRule="auto"/>
              <w:rPr>
                <w:rFonts w:cs="Times New Roman"/>
                <w:color w:val="212121"/>
                <w:sz w:val="20"/>
                <w:szCs w:val="20"/>
                <w:shd w:val="clear" w:color="auto" w:fill="FFFFFF"/>
              </w:rPr>
            </w:pPr>
          </w:p>
        </w:tc>
      </w:tr>
    </w:tbl>
    <w:p w14:paraId="54ECEDFF" w14:textId="77777777" w:rsidR="00A82A37" w:rsidRPr="00A82A37" w:rsidRDefault="00A82A37" w:rsidP="00A82A37">
      <w:pPr>
        <w:pStyle w:val="Pr-formatao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</w:p>
    <w:p w14:paraId="49E921C1" w14:textId="34FFD075" w:rsidR="00A82A37" w:rsidRPr="00A82A37" w:rsidRDefault="00A82A37" w:rsidP="00A82A37">
      <w:pPr>
        <w:pStyle w:val="Pr-formatao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  <w:r w:rsidRPr="00A82A37">
        <w:rPr>
          <w:rFonts w:ascii="Times New Roman" w:hAnsi="Times New Roman" w:cs="Times New Roman"/>
          <w:color w:val="212121"/>
          <w:shd w:val="clear" w:color="auto" w:fill="FFFFFF"/>
        </w:rPr>
        <w:t xml:space="preserve">Necessidade de O2 suplementar:  (    ) sim   (    ) não     Duração: ____ </w:t>
      </w:r>
    </w:p>
    <w:p w14:paraId="6FB66B50" w14:textId="77777777" w:rsidR="00A82A37" w:rsidRPr="00A82A37" w:rsidRDefault="00A82A37" w:rsidP="00A82A37">
      <w:pPr>
        <w:pStyle w:val="Pr-formatao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  <w:r w:rsidRPr="00A82A37">
        <w:rPr>
          <w:rFonts w:ascii="Times New Roman" w:hAnsi="Times New Roman" w:cs="Times New Roman"/>
          <w:color w:val="212121"/>
          <w:shd w:val="clear" w:color="auto" w:fill="FFFFFF"/>
        </w:rPr>
        <w:t xml:space="preserve">Episódio de hipotensão: (    ) sim   (    ) não     Dose de vasopressor: ____   </w:t>
      </w:r>
    </w:p>
    <w:p w14:paraId="1A28D330" w14:textId="77777777" w:rsidR="00A82A37" w:rsidRPr="00A82A37" w:rsidRDefault="00A82A37" w:rsidP="00A82A37">
      <w:pPr>
        <w:pStyle w:val="Pr-formatao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</w:p>
    <w:p w14:paraId="443FC723" w14:textId="62240035" w:rsidR="00A82A37" w:rsidRPr="00A82A37" w:rsidRDefault="00A82A37" w:rsidP="00A82A37">
      <w:pPr>
        <w:pStyle w:val="Pr-formataoHTML"/>
        <w:shd w:val="clear" w:color="auto" w:fill="FFFFFF"/>
        <w:spacing w:line="360" w:lineRule="auto"/>
        <w:jc w:val="both"/>
        <w:rPr>
          <w:rFonts w:ascii="Times New Roman" w:hAnsi="Times New Roman" w:cs="Times New Roman"/>
          <w:i/>
          <w:color w:val="212121"/>
          <w:shd w:val="clear" w:color="auto" w:fill="FFFFFF"/>
        </w:rPr>
      </w:pPr>
      <w:r w:rsidRPr="00A82A37">
        <w:rPr>
          <w:rFonts w:ascii="Times New Roman" w:hAnsi="Times New Roman" w:cs="Times New Roman"/>
          <w:color w:val="212121"/>
          <w:shd w:val="clear" w:color="auto" w:fill="FFFFFF"/>
        </w:rPr>
        <w:t xml:space="preserve">- </w:t>
      </w:r>
      <w:r w:rsidRPr="00A82A37">
        <w:rPr>
          <w:rFonts w:ascii="Times New Roman" w:hAnsi="Times New Roman" w:cs="Times New Roman"/>
          <w:i/>
          <w:color w:val="212121"/>
          <w:u w:val="single"/>
          <w:shd w:val="clear" w:color="auto" w:fill="FFFFFF"/>
        </w:rPr>
        <w:t>Avaliação após alta da SRPA</w:t>
      </w:r>
    </w:p>
    <w:p w14:paraId="5DC752EB" w14:textId="284F7B73" w:rsidR="00A82A37" w:rsidRPr="00A82A37" w:rsidRDefault="00A82A37" w:rsidP="00A82A37">
      <w:pPr>
        <w:pStyle w:val="Pr-formataoHTML"/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212121"/>
          <w:shd w:val="clear" w:color="auto" w:fill="FFFFFF"/>
        </w:rPr>
      </w:pPr>
      <w:r w:rsidRPr="00A82A37">
        <w:rPr>
          <w:rFonts w:ascii="Times New Roman" w:hAnsi="Times New Roman" w:cs="Times New Roman"/>
          <w:b/>
          <w:color w:val="212121"/>
          <w:shd w:val="clear" w:color="auto" w:fill="FFFFFF"/>
        </w:rPr>
        <w:t>6 horas após:</w:t>
      </w:r>
    </w:p>
    <w:p w14:paraId="42C4ECF8" w14:textId="5F7508B5" w:rsidR="00A82A37" w:rsidRPr="00A82A37" w:rsidRDefault="00CB0AEB" w:rsidP="00A82A37">
      <w:pPr>
        <w:pStyle w:val="Pr-formatao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  <w:r>
        <w:rPr>
          <w:rFonts w:ascii="Times New Roman" w:hAnsi="Times New Roman" w:cs="Times New Roman"/>
          <w:color w:val="212121"/>
          <w:shd w:val="clear" w:color="auto" w:fill="FFFFFF"/>
        </w:rPr>
        <w:t>ENV</w:t>
      </w:r>
      <w:r w:rsidR="00A82A37" w:rsidRPr="00A82A37">
        <w:rPr>
          <w:rFonts w:ascii="Times New Roman" w:hAnsi="Times New Roman" w:cs="Times New Roman"/>
          <w:color w:val="212121"/>
          <w:shd w:val="clear" w:color="auto" w:fill="FFFFFF"/>
        </w:rPr>
        <w:t xml:space="preserve">(repouso):___ </w:t>
      </w:r>
      <w:r>
        <w:rPr>
          <w:rFonts w:ascii="Times New Roman" w:hAnsi="Times New Roman" w:cs="Times New Roman"/>
          <w:color w:val="212121"/>
          <w:shd w:val="clear" w:color="auto" w:fill="FFFFFF"/>
        </w:rPr>
        <w:t>ENV</w:t>
      </w:r>
      <w:r w:rsidR="00A82A37" w:rsidRPr="00A82A37">
        <w:rPr>
          <w:rFonts w:ascii="Times New Roman" w:hAnsi="Times New Roman" w:cs="Times New Roman"/>
          <w:color w:val="212121"/>
          <w:shd w:val="clear" w:color="auto" w:fill="FFFFFF"/>
        </w:rPr>
        <w:t xml:space="preserve"> (movimento) ____                      </w:t>
      </w:r>
    </w:p>
    <w:p w14:paraId="17C3B9A4" w14:textId="77777777" w:rsidR="00A82A37" w:rsidRPr="00A82A37" w:rsidRDefault="00A82A37" w:rsidP="00A82A37">
      <w:pPr>
        <w:pStyle w:val="Pr-formatao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  <w:r w:rsidRPr="00A82A37">
        <w:rPr>
          <w:rFonts w:ascii="Times New Roman" w:hAnsi="Times New Roman" w:cs="Times New Roman"/>
          <w:color w:val="212121"/>
          <w:shd w:val="clear" w:color="auto" w:fill="FFFFFF"/>
        </w:rPr>
        <w:t xml:space="preserve">Opióide de resgate: (    ) sim    (    ) não      Dose: ______                         </w:t>
      </w:r>
    </w:p>
    <w:p w14:paraId="4AB5905C" w14:textId="77777777" w:rsidR="00A82A37" w:rsidRPr="00A82A37" w:rsidRDefault="00A82A37" w:rsidP="00A82A37">
      <w:pPr>
        <w:pStyle w:val="Pr-formatao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  <w:r w:rsidRPr="00A82A37">
        <w:rPr>
          <w:rFonts w:ascii="Times New Roman" w:hAnsi="Times New Roman" w:cs="Times New Roman"/>
          <w:color w:val="212121"/>
          <w:shd w:val="clear" w:color="auto" w:fill="FFFFFF"/>
        </w:rPr>
        <w:t xml:space="preserve">Náuseas: (   ) sim     (    ) não            Vômitos: (    ) sim    (    ) Não  </w:t>
      </w:r>
    </w:p>
    <w:p w14:paraId="326FF3B6" w14:textId="77777777" w:rsidR="00A82A37" w:rsidRPr="00A82A37" w:rsidRDefault="00A82A37" w:rsidP="00A82A37">
      <w:pPr>
        <w:pStyle w:val="Pr-formatao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  <w:r w:rsidRPr="00A82A37">
        <w:rPr>
          <w:rFonts w:ascii="Times New Roman" w:hAnsi="Times New Roman" w:cs="Times New Roman"/>
          <w:color w:val="212121"/>
          <w:shd w:val="clear" w:color="auto" w:fill="FFFFFF"/>
        </w:rPr>
        <w:t>Necessidade de O2 suplementar:  (    ) sim        (     ) não</w:t>
      </w:r>
    </w:p>
    <w:p w14:paraId="0BE5623D" w14:textId="77777777" w:rsidR="00A82A37" w:rsidRPr="00A82A37" w:rsidRDefault="00A82A37" w:rsidP="00A82A37">
      <w:pPr>
        <w:pStyle w:val="Pr-formatao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  <w:r w:rsidRPr="00A82A37">
        <w:rPr>
          <w:rFonts w:ascii="Times New Roman" w:hAnsi="Times New Roman" w:cs="Times New Roman"/>
          <w:color w:val="212121"/>
          <w:shd w:val="clear" w:color="auto" w:fill="FFFFFF"/>
        </w:rPr>
        <w:t>Retenção urinária: (    ) sim   (    ) não         Prurido: (    ) sim   (    ) não</w:t>
      </w:r>
    </w:p>
    <w:p w14:paraId="5A577CFA" w14:textId="46AFA18E" w:rsidR="00A82A37" w:rsidRPr="00A82A37" w:rsidRDefault="00A82A37" w:rsidP="00A82A37">
      <w:pPr>
        <w:pStyle w:val="Pr-formataoHTML"/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212121"/>
          <w:shd w:val="clear" w:color="auto" w:fill="FFFFFF"/>
        </w:rPr>
      </w:pPr>
      <w:r w:rsidRPr="00A82A37">
        <w:rPr>
          <w:rFonts w:ascii="Times New Roman" w:hAnsi="Times New Roman" w:cs="Times New Roman"/>
          <w:b/>
          <w:color w:val="212121"/>
          <w:shd w:val="clear" w:color="auto" w:fill="FFFFFF"/>
        </w:rPr>
        <w:t>12 horas após:</w:t>
      </w:r>
    </w:p>
    <w:p w14:paraId="69626F77" w14:textId="7C8FCCD1" w:rsidR="00A82A37" w:rsidRPr="00A82A37" w:rsidRDefault="00CB0AEB" w:rsidP="00A82A37">
      <w:pPr>
        <w:pStyle w:val="Pr-formatao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  <w:r>
        <w:rPr>
          <w:rFonts w:ascii="Times New Roman" w:hAnsi="Times New Roman" w:cs="Times New Roman"/>
          <w:color w:val="212121"/>
          <w:shd w:val="clear" w:color="auto" w:fill="FFFFFF"/>
        </w:rPr>
        <w:t>ENV</w:t>
      </w:r>
      <w:r w:rsidR="00A82A37" w:rsidRPr="00A82A37">
        <w:rPr>
          <w:rFonts w:ascii="Times New Roman" w:hAnsi="Times New Roman" w:cs="Times New Roman"/>
          <w:color w:val="212121"/>
          <w:shd w:val="clear" w:color="auto" w:fill="FFFFFF"/>
        </w:rPr>
        <w:t xml:space="preserve"> (repouso):___ </w:t>
      </w:r>
      <w:r>
        <w:rPr>
          <w:rFonts w:ascii="Times New Roman" w:hAnsi="Times New Roman" w:cs="Times New Roman"/>
          <w:color w:val="212121"/>
          <w:shd w:val="clear" w:color="auto" w:fill="FFFFFF"/>
        </w:rPr>
        <w:t>ENV</w:t>
      </w:r>
      <w:r w:rsidR="00A82A37" w:rsidRPr="00A82A37">
        <w:rPr>
          <w:rFonts w:ascii="Times New Roman" w:hAnsi="Times New Roman" w:cs="Times New Roman"/>
          <w:color w:val="212121"/>
          <w:shd w:val="clear" w:color="auto" w:fill="FFFFFF"/>
        </w:rPr>
        <w:t xml:space="preserve"> (movimento) ____                      </w:t>
      </w:r>
    </w:p>
    <w:p w14:paraId="005B109C" w14:textId="77777777" w:rsidR="00A82A37" w:rsidRPr="00A82A37" w:rsidRDefault="00A82A37" w:rsidP="00A82A37">
      <w:pPr>
        <w:pStyle w:val="Pr-formatao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  <w:r w:rsidRPr="00A82A37">
        <w:rPr>
          <w:rFonts w:ascii="Times New Roman" w:hAnsi="Times New Roman" w:cs="Times New Roman"/>
          <w:color w:val="212121"/>
          <w:shd w:val="clear" w:color="auto" w:fill="FFFFFF"/>
        </w:rPr>
        <w:t xml:space="preserve">Opióide de resgate: (    ) sim    (    ) não      Dose: ______                         </w:t>
      </w:r>
    </w:p>
    <w:p w14:paraId="4098E51F" w14:textId="77777777" w:rsidR="00A82A37" w:rsidRPr="00A82A37" w:rsidRDefault="00A82A37" w:rsidP="00A82A37">
      <w:pPr>
        <w:pStyle w:val="Pr-formatao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  <w:r w:rsidRPr="00A82A37">
        <w:rPr>
          <w:rFonts w:ascii="Times New Roman" w:hAnsi="Times New Roman" w:cs="Times New Roman"/>
          <w:color w:val="212121"/>
          <w:shd w:val="clear" w:color="auto" w:fill="FFFFFF"/>
        </w:rPr>
        <w:t xml:space="preserve">Náuseas: (   ) sim     (    ) não            Vômitos: (    ) sim    (    ) Não  </w:t>
      </w:r>
    </w:p>
    <w:p w14:paraId="449AB5CC" w14:textId="77777777" w:rsidR="00A82A37" w:rsidRPr="00A82A37" w:rsidRDefault="00A82A37" w:rsidP="00A82A37">
      <w:pPr>
        <w:pStyle w:val="Pr-formatao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  <w:r w:rsidRPr="00A82A37">
        <w:rPr>
          <w:rFonts w:ascii="Times New Roman" w:hAnsi="Times New Roman" w:cs="Times New Roman"/>
          <w:color w:val="212121"/>
          <w:shd w:val="clear" w:color="auto" w:fill="FFFFFF"/>
        </w:rPr>
        <w:t>Necessidade de O2 suplementar:  (    ) sim        (     ) não</w:t>
      </w:r>
    </w:p>
    <w:p w14:paraId="7E3D2BAC" w14:textId="77777777" w:rsidR="00A82A37" w:rsidRPr="00A82A37" w:rsidRDefault="00A82A37" w:rsidP="00A82A37">
      <w:pPr>
        <w:pStyle w:val="Pr-formatao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  <w:r w:rsidRPr="00A82A37">
        <w:rPr>
          <w:rFonts w:ascii="Times New Roman" w:hAnsi="Times New Roman" w:cs="Times New Roman"/>
          <w:color w:val="212121"/>
          <w:shd w:val="clear" w:color="auto" w:fill="FFFFFF"/>
        </w:rPr>
        <w:t>Retenção urinária: (    ) sim   (    ) não         Prurido: (    ) sim   (    ) não</w:t>
      </w:r>
    </w:p>
    <w:p w14:paraId="7FA573C6" w14:textId="77777777" w:rsidR="001E0F27" w:rsidRDefault="001E0F27" w:rsidP="00A82A37">
      <w:pPr>
        <w:pStyle w:val="Pr-formatao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</w:p>
    <w:p w14:paraId="37B9EB1F" w14:textId="2FC6FB5A" w:rsidR="00A82A37" w:rsidRPr="00A82A37" w:rsidRDefault="00A82A37" w:rsidP="00A82A37">
      <w:pPr>
        <w:pStyle w:val="Pr-formatao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  <w:r w:rsidRPr="00A82A37">
        <w:rPr>
          <w:rFonts w:ascii="Times New Roman" w:hAnsi="Times New Roman" w:cs="Times New Roman"/>
          <w:color w:val="212121"/>
          <w:shd w:val="clear" w:color="auto" w:fill="FFFFFF"/>
        </w:rPr>
        <w:t>Precisou pernoitar? (    ) SIM      (      ) Não</w:t>
      </w:r>
      <w:r w:rsidR="001E0F27">
        <w:rPr>
          <w:rFonts w:ascii="Times New Roman" w:hAnsi="Times New Roman" w:cs="Times New Roman"/>
          <w:color w:val="212121"/>
          <w:shd w:val="clear" w:color="auto" w:fill="FFFFFF"/>
        </w:rPr>
        <w:t xml:space="preserve">                                  </w:t>
      </w:r>
      <w:r w:rsidRPr="00A82A37">
        <w:rPr>
          <w:rFonts w:ascii="Times New Roman" w:hAnsi="Times New Roman" w:cs="Times New Roman"/>
          <w:color w:val="212121"/>
          <w:shd w:val="clear" w:color="auto" w:fill="FFFFFF"/>
        </w:rPr>
        <w:t>Tempo total de internação: _____</w:t>
      </w:r>
    </w:p>
    <w:p w14:paraId="63A355E0" w14:textId="77777777" w:rsidR="00A82A37" w:rsidRPr="00A82A37" w:rsidRDefault="00A82A37" w:rsidP="00A82A37">
      <w:pPr>
        <w:pStyle w:val="Pr-formataoHTML"/>
        <w:shd w:val="clear" w:color="auto" w:fill="FFFFFF"/>
        <w:spacing w:line="360" w:lineRule="auto"/>
        <w:jc w:val="both"/>
        <w:rPr>
          <w:rFonts w:ascii="Times New Roman" w:hAnsi="Times New Roman" w:cs="Times New Roman"/>
          <w:i/>
          <w:color w:val="212121"/>
          <w:sz w:val="24"/>
          <w:szCs w:val="24"/>
          <w:shd w:val="clear" w:color="auto" w:fill="FFFFFF"/>
        </w:rPr>
      </w:pPr>
      <w:bookmarkStart w:id="0" w:name="_Hlk94862366"/>
      <w:r w:rsidRPr="00A82A37">
        <w:rPr>
          <w:rFonts w:ascii="Times New Roman" w:eastAsia="Arial" w:hAnsi="Times New Roman" w:cs="Times New Roman"/>
          <w:b/>
          <w:bCs/>
          <w:color w:val="212121"/>
          <w:sz w:val="24"/>
          <w:szCs w:val="24"/>
          <w:highlight w:val="white"/>
        </w:rPr>
        <w:lastRenderedPageBreak/>
        <w:t xml:space="preserve">Anexo V - </w:t>
      </w:r>
      <w:r w:rsidRPr="00A82A37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 xml:space="preserve">Escala de </w:t>
      </w:r>
      <w:r w:rsidRPr="00A82A37">
        <w:rPr>
          <w:rFonts w:ascii="Times New Roman" w:hAnsi="Times New Roman" w:cs="Times New Roman"/>
          <w:b/>
          <w:bCs/>
          <w:i/>
          <w:color w:val="212121"/>
          <w:sz w:val="24"/>
          <w:szCs w:val="24"/>
          <w:shd w:val="clear" w:color="auto" w:fill="FFFFFF"/>
        </w:rPr>
        <w:t>Aldrete-Kroulik</w:t>
      </w:r>
    </w:p>
    <w:p w14:paraId="0C224FD0" w14:textId="77777777" w:rsidR="00A82A37" w:rsidRPr="00A82A37" w:rsidRDefault="00A82A37" w:rsidP="00A82A37">
      <w:pPr>
        <w:pStyle w:val="Pr-formataoHTML"/>
        <w:shd w:val="clear" w:color="auto" w:fill="FFFFFF"/>
        <w:spacing w:line="360" w:lineRule="auto"/>
        <w:jc w:val="both"/>
        <w:rPr>
          <w:rFonts w:ascii="Times New Roman" w:hAnsi="Times New Roman" w:cs="Times New Roman"/>
          <w:i/>
          <w:color w:val="212121"/>
          <w:sz w:val="24"/>
          <w:szCs w:val="24"/>
          <w:shd w:val="clear" w:color="auto" w:fill="FFFFFF"/>
        </w:rPr>
      </w:pPr>
    </w:p>
    <w:p w14:paraId="1B5CA572" w14:textId="77777777" w:rsidR="00A82A37" w:rsidRPr="00A82A37" w:rsidRDefault="00A82A37" w:rsidP="00A82A37">
      <w:pPr>
        <w:spacing w:after="160" w:line="259" w:lineRule="auto"/>
        <w:jc w:val="both"/>
        <w:rPr>
          <w:rFonts w:cs="Times New Roman"/>
          <w:i/>
          <w:color w:val="212121"/>
          <w:szCs w:val="24"/>
          <w:shd w:val="clear" w:color="auto" w:fill="FFFFFF"/>
        </w:rPr>
      </w:pPr>
      <w:r w:rsidRPr="00A82A37">
        <w:rPr>
          <w:rFonts w:cs="Times New Roman"/>
          <w:i/>
          <w:noProof/>
          <w:color w:val="212121"/>
          <w:szCs w:val="24"/>
          <w:shd w:val="clear" w:color="auto" w:fill="FFFFFF"/>
          <w:lang w:eastAsia="pt-BR"/>
        </w:rPr>
        <w:drawing>
          <wp:inline distT="0" distB="0" distL="0" distR="0" wp14:anchorId="5D870A4F" wp14:editId="20A3736F">
            <wp:extent cx="5552440" cy="3438525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44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3D9CF" w14:textId="77777777" w:rsidR="00A82A37" w:rsidRPr="00A82A37" w:rsidRDefault="00A82A37" w:rsidP="00A82A37">
      <w:pPr>
        <w:jc w:val="both"/>
        <w:rPr>
          <w:rFonts w:cs="Times New Roman"/>
          <w:szCs w:val="24"/>
        </w:rPr>
      </w:pPr>
      <w:r w:rsidRPr="00A82A37">
        <w:rPr>
          <w:rFonts w:cs="Times New Roman"/>
          <w:szCs w:val="24"/>
          <w:lang w:val="pt-BR"/>
        </w:rPr>
        <w:t xml:space="preserve">Pereira ACPM, Azevedo MP, Chagas AKF. Anestesia para procedimentos fora do Centro Cirúrgico, em: Bagatini A, Cangiani LM, Carneiro AF et al - Bases do Ensino da Anestesiologia. Volume I Edição I. Rio de Janeiro, Sociedade Brasileira de Anestesiologia. </w:t>
      </w:r>
      <w:r w:rsidRPr="00A82A37">
        <w:rPr>
          <w:rFonts w:cs="Times New Roman"/>
          <w:szCs w:val="24"/>
        </w:rPr>
        <w:t>2016;1110.</w:t>
      </w:r>
    </w:p>
    <w:p w14:paraId="4106B174" w14:textId="6207BA68" w:rsidR="00A82A37" w:rsidRDefault="00A82A37">
      <w:pPr>
        <w:rPr>
          <w:rFonts w:asciiTheme="majorHAnsi" w:eastAsia="Arial" w:hAnsiTheme="majorHAnsi" w:cstheme="majorHAnsi"/>
          <w:b/>
          <w:bCs/>
          <w:color w:val="212121"/>
          <w:highlight w:val="white"/>
          <w:lang w:val="pt-BR"/>
        </w:rPr>
      </w:pPr>
      <w:r>
        <w:rPr>
          <w:rFonts w:asciiTheme="majorHAnsi" w:eastAsia="Arial" w:hAnsiTheme="majorHAnsi" w:cstheme="majorHAnsi"/>
          <w:b/>
          <w:bCs/>
          <w:color w:val="212121"/>
          <w:highlight w:val="white"/>
          <w:lang w:val="pt-BR"/>
        </w:rPr>
        <w:br w:type="page"/>
      </w:r>
    </w:p>
    <w:p w14:paraId="04D5284C" w14:textId="2208A74B" w:rsidR="000F3C68" w:rsidRPr="00A82A37" w:rsidRDefault="000F3C68" w:rsidP="000F3C68">
      <w:pPr>
        <w:spacing w:after="160" w:line="259" w:lineRule="auto"/>
        <w:rPr>
          <w:rFonts w:eastAsia="Arial" w:cs="Times New Roman"/>
          <w:b/>
          <w:bCs/>
          <w:color w:val="212121"/>
          <w:highlight w:val="white"/>
          <w:lang w:val="pt-BR"/>
        </w:rPr>
      </w:pPr>
      <w:r w:rsidRPr="00A82A37">
        <w:rPr>
          <w:rFonts w:eastAsia="Arial" w:cs="Times New Roman"/>
          <w:b/>
          <w:bCs/>
          <w:color w:val="212121"/>
          <w:highlight w:val="white"/>
          <w:lang w:val="pt-BR"/>
        </w:rPr>
        <w:lastRenderedPageBreak/>
        <w:t>Anexo VI – Escala modificada de Wilson</w:t>
      </w:r>
    </w:p>
    <w:bookmarkEnd w:id="0"/>
    <w:p w14:paraId="0077AC20" w14:textId="77777777" w:rsidR="000F3C68" w:rsidRPr="000242A7" w:rsidRDefault="000F3C68" w:rsidP="000F3C68">
      <w:pPr>
        <w:spacing w:after="160" w:line="259" w:lineRule="auto"/>
        <w:rPr>
          <w:rFonts w:asciiTheme="majorHAnsi" w:eastAsia="Arial" w:hAnsiTheme="majorHAnsi" w:cstheme="majorHAnsi"/>
          <w:color w:val="212121"/>
          <w:highlight w:val="white"/>
          <w:lang w:val="pt-BR"/>
        </w:rPr>
      </w:pPr>
    </w:p>
    <w:tbl>
      <w:tblPr>
        <w:tblW w:w="10118" w:type="dxa"/>
        <w:tblBorders>
          <w:top w:val="single" w:sz="6" w:space="0" w:color="CFD5E4"/>
        </w:tblBorders>
        <w:tblLayout w:type="fixed"/>
        <w:tblLook w:val="0400" w:firstRow="0" w:lastRow="0" w:firstColumn="0" w:lastColumn="0" w:noHBand="0" w:noVBand="1"/>
      </w:tblPr>
      <w:tblGrid>
        <w:gridCol w:w="1229"/>
        <w:gridCol w:w="8889"/>
      </w:tblGrid>
      <w:tr w:rsidR="000F3C68" w:rsidRPr="00B16F99" w14:paraId="31CD15D0" w14:textId="77777777" w:rsidTr="00DB54E6">
        <w:tc>
          <w:tcPr>
            <w:tcW w:w="1229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2F5F9"/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</w:tcPr>
          <w:p w14:paraId="0A130A2A" w14:textId="77777777" w:rsidR="000F3C68" w:rsidRPr="00B16F99" w:rsidRDefault="000F3C68" w:rsidP="00DB54E6">
            <w:pPr>
              <w:rPr>
                <w:rFonts w:asciiTheme="majorHAnsi" w:eastAsia="inherit" w:hAnsiTheme="majorHAnsi" w:cstheme="majorHAnsi"/>
                <w:b/>
              </w:rPr>
            </w:pPr>
            <w:r w:rsidRPr="00B16F99">
              <w:rPr>
                <w:rFonts w:asciiTheme="majorHAnsi" w:eastAsia="inherit" w:hAnsiTheme="majorHAnsi" w:cstheme="majorHAnsi"/>
                <w:b/>
              </w:rPr>
              <w:t>Escore </w:t>
            </w:r>
          </w:p>
        </w:tc>
        <w:tc>
          <w:tcPr>
            <w:tcW w:w="8889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2F5F9"/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</w:tcPr>
          <w:p w14:paraId="1779AC20" w14:textId="77777777" w:rsidR="000F3C68" w:rsidRPr="00B16F99" w:rsidRDefault="000F3C68" w:rsidP="00DB54E6">
            <w:pPr>
              <w:rPr>
                <w:rFonts w:asciiTheme="majorHAnsi" w:eastAsia="inherit" w:hAnsiTheme="majorHAnsi" w:cstheme="majorHAnsi"/>
                <w:b/>
              </w:rPr>
            </w:pPr>
            <w:r w:rsidRPr="00B16F99">
              <w:rPr>
                <w:rFonts w:asciiTheme="majorHAnsi" w:eastAsia="inherit" w:hAnsiTheme="majorHAnsi" w:cstheme="majorHAnsi"/>
                <w:b/>
              </w:rPr>
              <w:t>Descrição </w:t>
            </w:r>
          </w:p>
        </w:tc>
      </w:tr>
      <w:tr w:rsidR="000F3C68" w:rsidRPr="00B16F99" w14:paraId="798E2364" w14:textId="77777777" w:rsidTr="00DB54E6">
        <w:tc>
          <w:tcPr>
            <w:tcW w:w="122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</w:tcPr>
          <w:p w14:paraId="23CAA804" w14:textId="77777777" w:rsidR="000F3C68" w:rsidRPr="00B16F99" w:rsidRDefault="000F3C68" w:rsidP="00DB54E6">
            <w:pPr>
              <w:rPr>
                <w:rFonts w:asciiTheme="majorHAnsi" w:eastAsia="inherit" w:hAnsiTheme="majorHAnsi" w:cstheme="majorHAnsi"/>
              </w:rPr>
            </w:pPr>
            <w:r w:rsidRPr="00B16F99">
              <w:rPr>
                <w:rFonts w:asciiTheme="majorHAnsi" w:eastAsia="inherit" w:hAnsiTheme="majorHAnsi" w:cstheme="majorHAnsi"/>
              </w:rPr>
              <w:t>1 </w:t>
            </w:r>
          </w:p>
        </w:tc>
        <w:tc>
          <w:tcPr>
            <w:tcW w:w="888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</w:tcPr>
          <w:p w14:paraId="309C5C50" w14:textId="77777777" w:rsidR="000F3C68" w:rsidRPr="00B16F99" w:rsidRDefault="000F3C68" w:rsidP="00DB54E6">
            <w:pPr>
              <w:rPr>
                <w:rFonts w:asciiTheme="majorHAnsi" w:eastAsia="inherit" w:hAnsiTheme="majorHAnsi" w:cstheme="majorHAnsi"/>
              </w:rPr>
            </w:pPr>
            <w:r w:rsidRPr="000242A7">
              <w:rPr>
                <w:rFonts w:asciiTheme="majorHAnsi" w:eastAsia="inherit" w:hAnsiTheme="majorHAnsi" w:cstheme="majorHAnsi"/>
                <w:lang w:val="pt-BR"/>
              </w:rPr>
              <w:t xml:space="preserve">Orientado, olhos podem estar fechados mas pode responder a “Você pode me dizer seu nome?” </w:t>
            </w:r>
            <w:r w:rsidRPr="00B16F99">
              <w:rPr>
                <w:rFonts w:asciiTheme="majorHAnsi" w:eastAsia="inherit" w:hAnsiTheme="majorHAnsi" w:cstheme="majorHAnsi"/>
              </w:rPr>
              <w:t>“Você pode me dizer onde você está neste momento?” </w:t>
            </w:r>
          </w:p>
        </w:tc>
      </w:tr>
      <w:tr w:rsidR="000F3C68" w:rsidRPr="000242A7" w14:paraId="27C5B4C9" w14:textId="77777777" w:rsidTr="00DB54E6">
        <w:tc>
          <w:tcPr>
            <w:tcW w:w="122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</w:tcPr>
          <w:p w14:paraId="5CF0AFF8" w14:textId="77777777" w:rsidR="000F3C68" w:rsidRPr="00B16F99" w:rsidRDefault="000F3C68" w:rsidP="00DB54E6">
            <w:pPr>
              <w:rPr>
                <w:rFonts w:asciiTheme="majorHAnsi" w:eastAsia="inherit" w:hAnsiTheme="majorHAnsi" w:cstheme="majorHAnsi"/>
              </w:rPr>
            </w:pPr>
            <w:r w:rsidRPr="00B16F99">
              <w:rPr>
                <w:rFonts w:asciiTheme="majorHAnsi" w:eastAsia="inherit" w:hAnsiTheme="majorHAnsi" w:cstheme="majorHAnsi"/>
              </w:rPr>
              <w:t>2 </w:t>
            </w:r>
          </w:p>
        </w:tc>
        <w:tc>
          <w:tcPr>
            <w:tcW w:w="888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</w:tcPr>
          <w:p w14:paraId="189BB043" w14:textId="77777777" w:rsidR="000F3C68" w:rsidRPr="000242A7" w:rsidRDefault="000F3C68" w:rsidP="00DB54E6">
            <w:pPr>
              <w:rPr>
                <w:rFonts w:asciiTheme="majorHAnsi" w:eastAsia="inherit" w:hAnsiTheme="majorHAnsi" w:cstheme="majorHAnsi"/>
                <w:lang w:val="pt-BR"/>
              </w:rPr>
            </w:pPr>
            <w:r w:rsidRPr="000242A7">
              <w:rPr>
                <w:rFonts w:asciiTheme="majorHAnsi" w:eastAsia="inherit" w:hAnsiTheme="majorHAnsi" w:cstheme="majorHAnsi"/>
                <w:lang w:val="pt-BR"/>
              </w:rPr>
              <w:t>Sonolento; olhos podem estar fechados, desperta somente após comando: “(nome), abra os olhos por favor”. </w:t>
            </w:r>
          </w:p>
        </w:tc>
      </w:tr>
      <w:tr w:rsidR="000F3C68" w:rsidRPr="000242A7" w14:paraId="4ED10B8A" w14:textId="77777777" w:rsidTr="00DB54E6">
        <w:tc>
          <w:tcPr>
            <w:tcW w:w="122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</w:tcPr>
          <w:p w14:paraId="66B55091" w14:textId="77777777" w:rsidR="000F3C68" w:rsidRPr="00B16F99" w:rsidRDefault="000F3C68" w:rsidP="00DB54E6">
            <w:pPr>
              <w:rPr>
                <w:rFonts w:asciiTheme="majorHAnsi" w:eastAsia="inherit" w:hAnsiTheme="majorHAnsi" w:cstheme="majorHAnsi"/>
              </w:rPr>
            </w:pPr>
            <w:r w:rsidRPr="00B16F99">
              <w:rPr>
                <w:rFonts w:asciiTheme="majorHAnsi" w:eastAsia="inherit" w:hAnsiTheme="majorHAnsi" w:cstheme="majorHAnsi"/>
              </w:rPr>
              <w:t>3 </w:t>
            </w:r>
          </w:p>
        </w:tc>
        <w:tc>
          <w:tcPr>
            <w:tcW w:w="888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</w:tcPr>
          <w:p w14:paraId="54E0CACD" w14:textId="77777777" w:rsidR="000F3C68" w:rsidRPr="000242A7" w:rsidRDefault="000F3C68" w:rsidP="00DB54E6">
            <w:pPr>
              <w:rPr>
                <w:rFonts w:asciiTheme="majorHAnsi" w:eastAsia="inherit" w:hAnsiTheme="majorHAnsi" w:cstheme="majorHAnsi"/>
                <w:lang w:val="pt-BR"/>
              </w:rPr>
            </w:pPr>
            <w:r w:rsidRPr="000242A7">
              <w:rPr>
                <w:rFonts w:asciiTheme="majorHAnsi" w:eastAsia="inherit" w:hAnsiTheme="majorHAnsi" w:cstheme="majorHAnsi"/>
                <w:lang w:val="pt-BR"/>
              </w:rPr>
              <w:t>Desperta somente com estímulo físico leve (pressão em lobo de orelha)</w:t>
            </w:r>
          </w:p>
        </w:tc>
      </w:tr>
      <w:tr w:rsidR="000F3C68" w:rsidRPr="000242A7" w14:paraId="3B79A005" w14:textId="77777777" w:rsidTr="00DB54E6">
        <w:tc>
          <w:tcPr>
            <w:tcW w:w="122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</w:tcPr>
          <w:p w14:paraId="44B48AA5" w14:textId="77777777" w:rsidR="000F3C68" w:rsidRPr="00B16F99" w:rsidRDefault="000F3C68" w:rsidP="00DB54E6">
            <w:pPr>
              <w:rPr>
                <w:rFonts w:asciiTheme="majorHAnsi" w:eastAsia="inherit" w:hAnsiTheme="majorHAnsi" w:cstheme="majorHAnsi"/>
              </w:rPr>
            </w:pPr>
            <w:r w:rsidRPr="00B16F99">
              <w:rPr>
                <w:rFonts w:asciiTheme="majorHAnsi" w:eastAsia="inherit" w:hAnsiTheme="majorHAnsi" w:cstheme="majorHAnsi"/>
              </w:rPr>
              <w:t>4 </w:t>
            </w:r>
          </w:p>
        </w:tc>
        <w:tc>
          <w:tcPr>
            <w:tcW w:w="888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92" w:type="dxa"/>
              <w:left w:w="240" w:type="dxa"/>
              <w:bottom w:w="192" w:type="dxa"/>
              <w:right w:w="240" w:type="dxa"/>
            </w:tcMar>
            <w:vAlign w:val="bottom"/>
          </w:tcPr>
          <w:p w14:paraId="5D37A9CA" w14:textId="77777777" w:rsidR="000F3C68" w:rsidRPr="000242A7" w:rsidRDefault="000F3C68" w:rsidP="00DB54E6">
            <w:pPr>
              <w:rPr>
                <w:rFonts w:asciiTheme="majorHAnsi" w:eastAsia="inherit" w:hAnsiTheme="majorHAnsi" w:cstheme="majorHAnsi"/>
                <w:lang w:val="pt-BR"/>
              </w:rPr>
            </w:pPr>
            <w:r w:rsidRPr="000242A7">
              <w:rPr>
                <w:rFonts w:asciiTheme="majorHAnsi" w:eastAsia="inherit" w:hAnsiTheme="majorHAnsi" w:cstheme="majorHAnsi"/>
                <w:lang w:val="pt-BR"/>
              </w:rPr>
              <w:t>Não desperta após estímulo físico leve. </w:t>
            </w:r>
          </w:p>
        </w:tc>
      </w:tr>
    </w:tbl>
    <w:p w14:paraId="3A9C9F41" w14:textId="77777777" w:rsidR="009C1377" w:rsidRPr="000242A7" w:rsidRDefault="009C1377" w:rsidP="00FF14B4">
      <w:pPr>
        <w:jc w:val="both"/>
        <w:rPr>
          <w:lang w:val="pt-BR"/>
        </w:rPr>
      </w:pPr>
    </w:p>
    <w:sectPr w:rsidR="009C1377" w:rsidRPr="000242A7" w:rsidSect="00A82A3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7D52E3B"/>
    <w:multiLevelType w:val="multilevel"/>
    <w:tmpl w:val="769C9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E71294A"/>
    <w:multiLevelType w:val="multilevel"/>
    <w:tmpl w:val="8158A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11800F1"/>
    <w:multiLevelType w:val="multilevel"/>
    <w:tmpl w:val="AD287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55F19DE"/>
    <w:multiLevelType w:val="multilevel"/>
    <w:tmpl w:val="1102F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917EAB"/>
    <w:multiLevelType w:val="multilevel"/>
    <w:tmpl w:val="94C4C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AB4752"/>
    <w:multiLevelType w:val="multilevel"/>
    <w:tmpl w:val="96384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9300AA"/>
    <w:multiLevelType w:val="multilevel"/>
    <w:tmpl w:val="4E520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036385"/>
    <w:multiLevelType w:val="hybridMultilevel"/>
    <w:tmpl w:val="51A6AF80"/>
    <w:lvl w:ilvl="0" w:tplc="3DEAA1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707252"/>
    <w:multiLevelType w:val="multilevel"/>
    <w:tmpl w:val="E918F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7878A7"/>
    <w:multiLevelType w:val="hybridMultilevel"/>
    <w:tmpl w:val="C0F86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305979"/>
    <w:multiLevelType w:val="multilevel"/>
    <w:tmpl w:val="8278D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8C16F5"/>
    <w:multiLevelType w:val="multilevel"/>
    <w:tmpl w:val="CD54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A06B48"/>
    <w:multiLevelType w:val="multilevel"/>
    <w:tmpl w:val="E0F00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6"/>
  </w:num>
  <w:num w:numId="11">
    <w:abstractNumId w:val="15"/>
  </w:num>
  <w:num w:numId="12">
    <w:abstractNumId w:val="9"/>
  </w:num>
  <w:num w:numId="13">
    <w:abstractNumId w:val="17"/>
  </w:num>
  <w:num w:numId="14">
    <w:abstractNumId w:val="14"/>
  </w:num>
  <w:num w:numId="15">
    <w:abstractNumId w:val="20"/>
  </w:num>
  <w:num w:numId="16">
    <w:abstractNumId w:val="12"/>
  </w:num>
  <w:num w:numId="17">
    <w:abstractNumId w:val="21"/>
  </w:num>
  <w:num w:numId="18">
    <w:abstractNumId w:val="11"/>
  </w:num>
  <w:num w:numId="19">
    <w:abstractNumId w:val="19"/>
  </w:num>
  <w:num w:numId="20">
    <w:abstractNumId w:val="18"/>
  </w:num>
  <w:num w:numId="21">
    <w:abstractNumId w:val="10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B56"/>
    <w:rsid w:val="000242A7"/>
    <w:rsid w:val="0003110E"/>
    <w:rsid w:val="00034616"/>
    <w:rsid w:val="000430F0"/>
    <w:rsid w:val="0006063C"/>
    <w:rsid w:val="00077130"/>
    <w:rsid w:val="00080A61"/>
    <w:rsid w:val="000B6932"/>
    <w:rsid w:val="000F1681"/>
    <w:rsid w:val="000F3C68"/>
    <w:rsid w:val="0011163C"/>
    <w:rsid w:val="00135EE3"/>
    <w:rsid w:val="00147C4B"/>
    <w:rsid w:val="0015074B"/>
    <w:rsid w:val="00153248"/>
    <w:rsid w:val="0015742E"/>
    <w:rsid w:val="001823A0"/>
    <w:rsid w:val="001924C1"/>
    <w:rsid w:val="00195931"/>
    <w:rsid w:val="00195D93"/>
    <w:rsid w:val="001A5CF8"/>
    <w:rsid w:val="001C09CB"/>
    <w:rsid w:val="001E0F27"/>
    <w:rsid w:val="001E49BA"/>
    <w:rsid w:val="001E792A"/>
    <w:rsid w:val="00202D19"/>
    <w:rsid w:val="00210544"/>
    <w:rsid w:val="00240C41"/>
    <w:rsid w:val="00243B7D"/>
    <w:rsid w:val="002722C5"/>
    <w:rsid w:val="00292777"/>
    <w:rsid w:val="002960A0"/>
    <w:rsid w:val="0029639D"/>
    <w:rsid w:val="002B31DB"/>
    <w:rsid w:val="002C6748"/>
    <w:rsid w:val="002E086C"/>
    <w:rsid w:val="002E7A67"/>
    <w:rsid w:val="00326F90"/>
    <w:rsid w:val="00332088"/>
    <w:rsid w:val="003374D6"/>
    <w:rsid w:val="00367616"/>
    <w:rsid w:val="00375137"/>
    <w:rsid w:val="003A2DD5"/>
    <w:rsid w:val="003B51A2"/>
    <w:rsid w:val="003D2692"/>
    <w:rsid w:val="003E2B24"/>
    <w:rsid w:val="003F31D5"/>
    <w:rsid w:val="00415D7A"/>
    <w:rsid w:val="0041754F"/>
    <w:rsid w:val="00421C66"/>
    <w:rsid w:val="00441301"/>
    <w:rsid w:val="004636A5"/>
    <w:rsid w:val="0047721B"/>
    <w:rsid w:val="004A3761"/>
    <w:rsid w:val="004B5ED1"/>
    <w:rsid w:val="004D5C04"/>
    <w:rsid w:val="004F270B"/>
    <w:rsid w:val="004F39D5"/>
    <w:rsid w:val="004F5BC8"/>
    <w:rsid w:val="00500099"/>
    <w:rsid w:val="0050172E"/>
    <w:rsid w:val="00510736"/>
    <w:rsid w:val="0052052E"/>
    <w:rsid w:val="00557AE2"/>
    <w:rsid w:val="005610AD"/>
    <w:rsid w:val="005719EA"/>
    <w:rsid w:val="00595064"/>
    <w:rsid w:val="005A00BA"/>
    <w:rsid w:val="005A1808"/>
    <w:rsid w:val="005A3EE6"/>
    <w:rsid w:val="005B2ADE"/>
    <w:rsid w:val="005D20DF"/>
    <w:rsid w:val="00605957"/>
    <w:rsid w:val="006135BA"/>
    <w:rsid w:val="0062487E"/>
    <w:rsid w:val="0064715E"/>
    <w:rsid w:val="00672512"/>
    <w:rsid w:val="00681043"/>
    <w:rsid w:val="006A376A"/>
    <w:rsid w:val="006B2973"/>
    <w:rsid w:val="006C4191"/>
    <w:rsid w:val="006D5BE9"/>
    <w:rsid w:val="006E53BF"/>
    <w:rsid w:val="007129BF"/>
    <w:rsid w:val="00720D0D"/>
    <w:rsid w:val="00736A54"/>
    <w:rsid w:val="00785F87"/>
    <w:rsid w:val="007954F4"/>
    <w:rsid w:val="0079619C"/>
    <w:rsid w:val="007D273D"/>
    <w:rsid w:val="007D51AC"/>
    <w:rsid w:val="007E1859"/>
    <w:rsid w:val="00805F55"/>
    <w:rsid w:val="00807F43"/>
    <w:rsid w:val="008136A7"/>
    <w:rsid w:val="0084792F"/>
    <w:rsid w:val="008527B0"/>
    <w:rsid w:val="00857C3E"/>
    <w:rsid w:val="0087020A"/>
    <w:rsid w:val="008E7C0F"/>
    <w:rsid w:val="0092552E"/>
    <w:rsid w:val="00930E25"/>
    <w:rsid w:val="00940D62"/>
    <w:rsid w:val="009A45E5"/>
    <w:rsid w:val="009A4AA3"/>
    <w:rsid w:val="009B26B0"/>
    <w:rsid w:val="009B5E25"/>
    <w:rsid w:val="009C1323"/>
    <w:rsid w:val="009C1377"/>
    <w:rsid w:val="009D0DD6"/>
    <w:rsid w:val="009D5F91"/>
    <w:rsid w:val="009D7769"/>
    <w:rsid w:val="00A14AD3"/>
    <w:rsid w:val="00A2722B"/>
    <w:rsid w:val="00A82A37"/>
    <w:rsid w:val="00A8611D"/>
    <w:rsid w:val="00A963FB"/>
    <w:rsid w:val="00AA1D8D"/>
    <w:rsid w:val="00AB3BC5"/>
    <w:rsid w:val="00AE3657"/>
    <w:rsid w:val="00AE72D3"/>
    <w:rsid w:val="00AF28D8"/>
    <w:rsid w:val="00B00EB4"/>
    <w:rsid w:val="00B031E4"/>
    <w:rsid w:val="00B21FC8"/>
    <w:rsid w:val="00B34490"/>
    <w:rsid w:val="00B44231"/>
    <w:rsid w:val="00B47730"/>
    <w:rsid w:val="00B5304C"/>
    <w:rsid w:val="00B56677"/>
    <w:rsid w:val="00B6521D"/>
    <w:rsid w:val="00B6571A"/>
    <w:rsid w:val="00B808B4"/>
    <w:rsid w:val="00B8118D"/>
    <w:rsid w:val="00B97FBE"/>
    <w:rsid w:val="00BB4571"/>
    <w:rsid w:val="00BD39A6"/>
    <w:rsid w:val="00BE052E"/>
    <w:rsid w:val="00BE4190"/>
    <w:rsid w:val="00C23211"/>
    <w:rsid w:val="00C47844"/>
    <w:rsid w:val="00C6453C"/>
    <w:rsid w:val="00C953D0"/>
    <w:rsid w:val="00CA2654"/>
    <w:rsid w:val="00CA2A8A"/>
    <w:rsid w:val="00CB0664"/>
    <w:rsid w:val="00CB0AEB"/>
    <w:rsid w:val="00CC3E11"/>
    <w:rsid w:val="00CD1868"/>
    <w:rsid w:val="00D0034F"/>
    <w:rsid w:val="00D258AF"/>
    <w:rsid w:val="00D53684"/>
    <w:rsid w:val="00D55AC2"/>
    <w:rsid w:val="00D6524C"/>
    <w:rsid w:val="00D87091"/>
    <w:rsid w:val="00DA5C97"/>
    <w:rsid w:val="00DC0D49"/>
    <w:rsid w:val="00DD21D2"/>
    <w:rsid w:val="00DD7472"/>
    <w:rsid w:val="00E1591D"/>
    <w:rsid w:val="00E40FEE"/>
    <w:rsid w:val="00E473E2"/>
    <w:rsid w:val="00E50440"/>
    <w:rsid w:val="00E50B31"/>
    <w:rsid w:val="00E569D3"/>
    <w:rsid w:val="00E66AF9"/>
    <w:rsid w:val="00E7087D"/>
    <w:rsid w:val="00E823C5"/>
    <w:rsid w:val="00E87E56"/>
    <w:rsid w:val="00EA3D36"/>
    <w:rsid w:val="00EB035B"/>
    <w:rsid w:val="00EB2346"/>
    <w:rsid w:val="00EC66D8"/>
    <w:rsid w:val="00ED62E0"/>
    <w:rsid w:val="00EE7A5C"/>
    <w:rsid w:val="00EF4505"/>
    <w:rsid w:val="00EF5122"/>
    <w:rsid w:val="00F04243"/>
    <w:rsid w:val="00F50174"/>
    <w:rsid w:val="00F53211"/>
    <w:rsid w:val="00F60F6C"/>
    <w:rsid w:val="00FB1E44"/>
    <w:rsid w:val="00FC693F"/>
    <w:rsid w:val="00FD14E0"/>
    <w:rsid w:val="00FF1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8CFA58"/>
  <w14:defaultImageDpi w14:val="300"/>
  <w15:docId w15:val="{7A473D8A-6872-4D4D-AE23-1FC046713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EndNoteBibliography">
    <w:name w:val="EndNote Bibliography"/>
    <w:basedOn w:val="Normal"/>
    <w:link w:val="EndNoteBibliographyChar"/>
    <w:rsid w:val="003B51A2"/>
    <w:pPr>
      <w:spacing w:line="240" w:lineRule="auto"/>
      <w:jc w:val="both"/>
    </w:pPr>
    <w:rPr>
      <w:rFonts w:ascii="Arial" w:eastAsiaTheme="minorHAnsi" w:hAnsi="Arial" w:cs="Arial"/>
      <w:noProof/>
    </w:rPr>
  </w:style>
  <w:style w:type="character" w:customStyle="1" w:styleId="EndNoteBibliographyChar">
    <w:name w:val="EndNote Bibliography Char"/>
    <w:basedOn w:val="Fontepargpadro"/>
    <w:link w:val="EndNoteBibliography"/>
    <w:rsid w:val="003B51A2"/>
    <w:rPr>
      <w:rFonts w:ascii="Arial" w:eastAsiaTheme="minorHAnsi" w:hAnsi="Arial" w:cs="Arial"/>
      <w:noProof/>
      <w:sz w:val="24"/>
    </w:rPr>
  </w:style>
  <w:style w:type="paragraph" w:styleId="NormalWeb">
    <w:name w:val="Normal (Web)"/>
    <w:basedOn w:val="Normal"/>
    <w:uiPriority w:val="99"/>
    <w:semiHidden/>
    <w:unhideWhenUsed/>
    <w:rsid w:val="001A5CF8"/>
    <w:rPr>
      <w:rFonts w:cs="Times New Roman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A82A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pt-BR"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A82A37"/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styleId="Hyperlink">
    <w:name w:val="Hyperlink"/>
    <w:uiPriority w:val="99"/>
    <w:unhideWhenUsed/>
    <w:rsid w:val="004F5BC8"/>
    <w:rPr>
      <w:color w:val="0000FF"/>
      <w:u w:val="single"/>
    </w:rPr>
  </w:style>
  <w:style w:type="character" w:customStyle="1" w:styleId="selected">
    <w:name w:val="selected"/>
    <w:basedOn w:val="Fontepargpadro"/>
    <w:rsid w:val="004F5B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p@una.br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hyperlink" Target="https://conselho.saude.gov.br/images/comissoes/conep/documentos/Cartilha_Direitos_Eticos_2020.pdf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358E3CF4F954E6E92D54B46E7C45F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DA3277-C3B7-4B67-9C33-EF80E1451439}"/>
      </w:docPartPr>
      <w:docPartBody>
        <w:p w:rsidR="00502BB8" w:rsidRDefault="00DD2ECD" w:rsidP="00DD2ECD">
          <w:pPr>
            <w:pStyle w:val="4358E3CF4F954E6E92D54B46E7C45F36"/>
          </w:pPr>
          <w:r w:rsidRPr="00BA1AF0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ECD"/>
    <w:rsid w:val="00266EB6"/>
    <w:rsid w:val="00502BB8"/>
    <w:rsid w:val="00D27AA2"/>
    <w:rsid w:val="00DD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D2ECD"/>
    <w:rPr>
      <w:color w:val="808080"/>
    </w:rPr>
  </w:style>
  <w:style w:type="paragraph" w:customStyle="1" w:styleId="4358E3CF4F954E6E92D54B46E7C45F36">
    <w:name w:val="4358E3CF4F954E6E92D54B46E7C45F36"/>
    <w:rsid w:val="00DD2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21</Pages>
  <Words>5119</Words>
  <Characters>27644</Characters>
  <Application>Microsoft Office Word</Application>
  <DocSecurity>0</DocSecurity>
  <Lines>230</Lines>
  <Paragraphs>65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32698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19</cp:revision>
  <dcterms:created xsi:type="dcterms:W3CDTF">2025-08-31T21:00:00Z</dcterms:created>
  <dcterms:modified xsi:type="dcterms:W3CDTF">2025-09-28T23:16:00Z</dcterms:modified>
  <cp:category/>
</cp:coreProperties>
</file>