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1B3FB" w14:textId="77777777" w:rsidR="00FB25F4" w:rsidRDefault="00000000">
      <w:pPr>
        <w:spacing w:after="120"/>
        <w:jc w:val="center"/>
      </w:pPr>
      <w:r>
        <w:rPr>
          <w:b/>
          <w:bCs/>
          <w:sz w:val="22"/>
          <w:szCs w:val="22"/>
        </w:rPr>
        <w:t>GOVERNO DO ESTADO DE PERNAMBUCO</w:t>
      </w:r>
    </w:p>
    <w:p w14:paraId="0D925A5C" w14:textId="77777777" w:rsidR="00FB25F4" w:rsidRDefault="00000000">
      <w:pPr>
        <w:spacing w:after="120"/>
        <w:jc w:val="center"/>
      </w:pPr>
      <w:r>
        <w:rPr>
          <w:b/>
          <w:bCs/>
          <w:sz w:val="22"/>
          <w:szCs w:val="22"/>
        </w:rPr>
        <w:t>SECRETARIA ESTADUAL DE SAÚDE</w:t>
      </w:r>
    </w:p>
    <w:p w14:paraId="42A13B6A" w14:textId="77777777" w:rsidR="00FB25F4" w:rsidRDefault="00000000">
      <w:pPr>
        <w:spacing w:after="120"/>
        <w:jc w:val="center"/>
      </w:pPr>
      <w:r>
        <w:rPr>
          <w:b/>
          <w:bCs/>
          <w:sz w:val="22"/>
          <w:szCs w:val="22"/>
        </w:rPr>
        <w:t>HOSPITAL AGAMENON MAGALHÃES</w:t>
      </w:r>
    </w:p>
    <w:p w14:paraId="3E7120A2" w14:textId="77777777" w:rsidR="00FB25F4" w:rsidRDefault="00000000">
      <w:pPr>
        <w:spacing w:after="600"/>
        <w:jc w:val="center"/>
      </w:pPr>
      <w:r>
        <w:rPr>
          <w:b/>
          <w:bCs/>
          <w:sz w:val="22"/>
          <w:szCs w:val="22"/>
        </w:rPr>
        <w:t>PROGRAMA DE RESIDÊNCIA MÉDICA EM CIRURGIA PLÁSTICA</w:t>
      </w:r>
    </w:p>
    <w:p w14:paraId="14FDB980" w14:textId="77777777" w:rsidR="00FB25F4" w:rsidRDefault="00FB25F4"/>
    <w:p w14:paraId="64C22463" w14:textId="77777777" w:rsidR="00FB25F4" w:rsidRDefault="00FB25F4"/>
    <w:p w14:paraId="06FACF59" w14:textId="77777777" w:rsidR="00FB25F4" w:rsidRDefault="00FB25F4"/>
    <w:p w14:paraId="5EF13397" w14:textId="77777777" w:rsidR="00FB25F4" w:rsidRDefault="00000000">
      <w:pPr>
        <w:spacing w:before="600" w:after="400"/>
        <w:jc w:val="center"/>
      </w:pPr>
      <w:r>
        <w:rPr>
          <w:b/>
          <w:bCs/>
          <w:sz w:val="30"/>
          <w:szCs w:val="30"/>
        </w:rPr>
        <w:t>SEGURANÇA MICROBIOLÓGICA E RESPOSTA INFLAMATÓRIA NO CELL SALVAGE EM LIPOASPIRAÇÃO</w:t>
      </w:r>
    </w:p>
    <w:p w14:paraId="665512C7" w14:textId="77777777" w:rsidR="00FB25F4" w:rsidRDefault="00000000">
      <w:pPr>
        <w:spacing w:after="1400"/>
        <w:jc w:val="center"/>
      </w:pPr>
      <w:r>
        <w:rPr>
          <w:i/>
          <w:iCs/>
        </w:rPr>
        <w:t>Projeto de Pesquisa submetido ao Comitê de Ética em Pesquisa do Hospital Agamenon Magalhães (CEPHAM)</w:t>
      </w:r>
    </w:p>
    <w:p w14:paraId="68BE3DD9" w14:textId="77777777" w:rsidR="00FB25F4" w:rsidRDefault="00FB25F4"/>
    <w:p w14:paraId="65579AB3" w14:textId="77777777" w:rsidR="00FB25F4" w:rsidRDefault="00FB25F4"/>
    <w:p w14:paraId="6CD6C24E" w14:textId="77777777" w:rsidR="00FB25F4" w:rsidRDefault="00FB25F4"/>
    <w:p w14:paraId="05E91F27" w14:textId="77777777" w:rsidR="00FB25F4" w:rsidRDefault="00000000">
      <w:pPr>
        <w:spacing w:before="600" w:after="160"/>
        <w:jc w:val="center"/>
      </w:pPr>
      <w:r>
        <w:rPr>
          <w:b/>
          <w:bCs/>
        </w:rPr>
        <w:t xml:space="preserve">Pesquisador Principal: </w:t>
      </w:r>
      <w:r>
        <w:t>Raphael Carvalho Sodré Duarte</w:t>
      </w:r>
    </w:p>
    <w:p w14:paraId="5B5CD589" w14:textId="77777777" w:rsidR="00FB25F4" w:rsidRDefault="00000000">
      <w:pPr>
        <w:spacing w:after="160"/>
        <w:jc w:val="center"/>
      </w:pPr>
      <w:r>
        <w:rPr>
          <w:b/>
          <w:bCs/>
        </w:rPr>
        <w:t xml:space="preserve">Pesquisador Responsável: </w:t>
      </w:r>
      <w:r>
        <w:t>Dr. Luiz Felipe Duarte Fernandes Vieira</w:t>
      </w:r>
    </w:p>
    <w:p w14:paraId="1378D5B8" w14:textId="77777777" w:rsidR="00FB25F4" w:rsidRDefault="00FB25F4"/>
    <w:p w14:paraId="1DABAB5E" w14:textId="77777777" w:rsidR="00FB25F4" w:rsidRDefault="00FB25F4"/>
    <w:p w14:paraId="5DD9FF7A" w14:textId="77777777" w:rsidR="00FB25F4" w:rsidRDefault="00FB25F4"/>
    <w:p w14:paraId="0F2ACC5B" w14:textId="77777777" w:rsidR="00FB25F4" w:rsidRDefault="00FB25F4"/>
    <w:p w14:paraId="77EE7B26" w14:textId="77777777" w:rsidR="00FB25F4" w:rsidRDefault="00000000">
      <w:pPr>
        <w:spacing w:before="600" w:after="120"/>
        <w:jc w:val="center"/>
      </w:pPr>
      <w:r>
        <w:t>Recife, 19 de abril de 2026</w:t>
      </w:r>
    </w:p>
    <w:p w14:paraId="12F75492" w14:textId="77777777" w:rsidR="00FB25F4" w:rsidRDefault="00FB25F4">
      <w:pPr>
        <w:sectPr w:rsidR="00FB25F4">
          <w:pgSz w:w="11906" w:h="16838"/>
          <w:pgMar w:top="1701" w:right="1134" w:bottom="1134" w:left="1701" w:header="708" w:footer="708" w:gutter="0"/>
          <w:pgNumType w:start="1"/>
          <w:cols w:space="720"/>
          <w:docGrid w:linePitch="360"/>
        </w:sectPr>
      </w:pPr>
    </w:p>
    <w:p w14:paraId="357430F1" w14:textId="77777777" w:rsidR="00FB25F4" w:rsidRDefault="00000000">
      <w:pPr>
        <w:spacing w:after="400"/>
        <w:jc w:val="center"/>
      </w:pPr>
      <w:r>
        <w:rPr>
          <w:b/>
          <w:bCs/>
          <w:sz w:val="28"/>
          <w:szCs w:val="28"/>
        </w:rPr>
        <w:lastRenderedPageBreak/>
        <w:t>SUMÁRIO</w:t>
      </w:r>
    </w:p>
    <w:p w14:paraId="45866777" w14:textId="77777777" w:rsidR="00FB25F4" w:rsidRDefault="00000000">
      <w:pPr>
        <w:tabs>
          <w:tab w:val="right" w:pos="8000"/>
        </w:tabs>
        <w:spacing w:after="120"/>
      </w:pPr>
      <w:r>
        <w:t>1.  Resumo</w:t>
      </w:r>
      <w:r>
        <w:tab/>
        <w:t>3</w:t>
      </w:r>
    </w:p>
    <w:p w14:paraId="503C18DF" w14:textId="77777777" w:rsidR="00FB25F4" w:rsidRDefault="00000000">
      <w:pPr>
        <w:tabs>
          <w:tab w:val="right" w:pos="8000"/>
        </w:tabs>
        <w:spacing w:after="120"/>
      </w:pPr>
      <w:r>
        <w:t>2.  Introdução e Justificativa</w:t>
      </w:r>
      <w:r>
        <w:tab/>
        <w:t>4</w:t>
      </w:r>
    </w:p>
    <w:p w14:paraId="2C92F848" w14:textId="77777777" w:rsidR="00FB25F4" w:rsidRDefault="00000000">
      <w:pPr>
        <w:tabs>
          <w:tab w:val="right" w:pos="8000"/>
        </w:tabs>
        <w:spacing w:after="120"/>
      </w:pPr>
      <w:r>
        <w:t>3.  Hipótese</w:t>
      </w:r>
      <w:r>
        <w:tab/>
        <w:t>5</w:t>
      </w:r>
    </w:p>
    <w:p w14:paraId="1D4BB0C2" w14:textId="77777777" w:rsidR="00FB25F4" w:rsidRDefault="00000000">
      <w:pPr>
        <w:tabs>
          <w:tab w:val="right" w:pos="8000"/>
        </w:tabs>
        <w:spacing w:after="120"/>
      </w:pPr>
      <w:r>
        <w:t>4.  Objetivo Primário</w:t>
      </w:r>
      <w:r>
        <w:tab/>
        <w:t>5</w:t>
      </w:r>
    </w:p>
    <w:p w14:paraId="7BC8CAB4" w14:textId="77777777" w:rsidR="00FB25F4" w:rsidRDefault="00000000">
      <w:pPr>
        <w:tabs>
          <w:tab w:val="right" w:pos="8000"/>
        </w:tabs>
        <w:spacing w:after="120"/>
      </w:pPr>
      <w:r>
        <w:t>5.  Objetivos Secundários</w:t>
      </w:r>
      <w:r>
        <w:tab/>
        <w:t>5</w:t>
      </w:r>
    </w:p>
    <w:p w14:paraId="61155F7D" w14:textId="77777777" w:rsidR="00FB25F4" w:rsidRDefault="00000000">
      <w:pPr>
        <w:tabs>
          <w:tab w:val="right" w:pos="8000"/>
        </w:tabs>
        <w:spacing w:after="120"/>
      </w:pPr>
      <w:r>
        <w:t>6.  Metodologia Proposta</w:t>
      </w:r>
      <w:r>
        <w:tab/>
        <w:t>6</w:t>
      </w:r>
    </w:p>
    <w:p w14:paraId="0BFD213E" w14:textId="77777777" w:rsidR="00FB25F4" w:rsidRDefault="00000000">
      <w:pPr>
        <w:tabs>
          <w:tab w:val="right" w:pos="8000"/>
        </w:tabs>
        <w:spacing w:after="120"/>
      </w:pPr>
      <w:r>
        <w:t>7.  Critérios de Inclusão</w:t>
      </w:r>
      <w:r>
        <w:tab/>
        <w:t>7</w:t>
      </w:r>
    </w:p>
    <w:p w14:paraId="08F11168" w14:textId="77777777" w:rsidR="00FB25F4" w:rsidRDefault="00000000">
      <w:pPr>
        <w:tabs>
          <w:tab w:val="right" w:pos="8000"/>
        </w:tabs>
        <w:spacing w:after="120"/>
      </w:pPr>
      <w:r>
        <w:t>8.  Critérios de Exclusão</w:t>
      </w:r>
      <w:r>
        <w:tab/>
        <w:t>7</w:t>
      </w:r>
    </w:p>
    <w:p w14:paraId="23357A01" w14:textId="77777777" w:rsidR="00FB25F4" w:rsidRDefault="00000000">
      <w:pPr>
        <w:tabs>
          <w:tab w:val="right" w:pos="8000"/>
        </w:tabs>
        <w:spacing w:after="120"/>
      </w:pPr>
      <w:r>
        <w:t>9.  Riscos</w:t>
      </w:r>
      <w:r>
        <w:tab/>
        <w:t>8</w:t>
      </w:r>
    </w:p>
    <w:p w14:paraId="55964D2E" w14:textId="77777777" w:rsidR="00FB25F4" w:rsidRDefault="00000000">
      <w:pPr>
        <w:tabs>
          <w:tab w:val="right" w:pos="8000"/>
        </w:tabs>
        <w:spacing w:after="120"/>
      </w:pPr>
      <w:r>
        <w:t>10.  Benefícios</w:t>
      </w:r>
      <w:r>
        <w:tab/>
        <w:t>8</w:t>
      </w:r>
    </w:p>
    <w:p w14:paraId="021BCF3B" w14:textId="77777777" w:rsidR="00FB25F4" w:rsidRDefault="00000000">
      <w:pPr>
        <w:tabs>
          <w:tab w:val="right" w:pos="8000"/>
        </w:tabs>
        <w:spacing w:after="120"/>
      </w:pPr>
      <w:r>
        <w:t>11.  Metodologia de Análise de Dados</w:t>
      </w:r>
      <w:r>
        <w:tab/>
        <w:t>9</w:t>
      </w:r>
    </w:p>
    <w:p w14:paraId="7FE9C506" w14:textId="77777777" w:rsidR="00FB25F4" w:rsidRDefault="00000000">
      <w:pPr>
        <w:tabs>
          <w:tab w:val="right" w:pos="8000"/>
        </w:tabs>
        <w:spacing w:after="120"/>
      </w:pPr>
      <w:r>
        <w:t>12.  Desfecho Primário</w:t>
      </w:r>
      <w:r>
        <w:tab/>
        <w:t>9</w:t>
      </w:r>
    </w:p>
    <w:p w14:paraId="46387908" w14:textId="77777777" w:rsidR="00FB25F4" w:rsidRDefault="00000000">
      <w:pPr>
        <w:tabs>
          <w:tab w:val="right" w:pos="8000"/>
        </w:tabs>
        <w:spacing w:after="120"/>
      </w:pPr>
      <w:r>
        <w:t>13.  Desfecho Secundário</w:t>
      </w:r>
      <w:r>
        <w:tab/>
        <w:t>10</w:t>
      </w:r>
    </w:p>
    <w:p w14:paraId="7F88106D" w14:textId="77777777" w:rsidR="00FB25F4" w:rsidRDefault="00000000">
      <w:pPr>
        <w:tabs>
          <w:tab w:val="right" w:pos="8000"/>
        </w:tabs>
        <w:spacing w:after="120"/>
      </w:pPr>
      <w:r>
        <w:t>14.  Referências Bibliográficas</w:t>
      </w:r>
      <w:r>
        <w:tab/>
        <w:t>10</w:t>
      </w:r>
    </w:p>
    <w:p w14:paraId="21EB34B6" w14:textId="77777777" w:rsidR="00FB25F4" w:rsidRDefault="00000000">
      <w:pPr>
        <w:tabs>
          <w:tab w:val="right" w:pos="8000"/>
        </w:tabs>
        <w:spacing w:after="120"/>
      </w:pPr>
      <w:r>
        <w:t>15.  Termo de Consentimento Livre e Esclarecido (TCLE)</w:t>
      </w:r>
      <w:r>
        <w:tab/>
        <w:t>12</w:t>
      </w:r>
    </w:p>
    <w:p w14:paraId="5752018F" w14:textId="77777777" w:rsidR="00FB25F4" w:rsidRDefault="00000000">
      <w:r>
        <w:br w:type="page"/>
      </w:r>
    </w:p>
    <w:p w14:paraId="0012A3D2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lastRenderedPageBreak/>
        <w:t>1. Resumo</w:t>
      </w:r>
    </w:p>
    <w:p w14:paraId="66234CBC" w14:textId="77777777" w:rsidR="00FB25F4" w:rsidRDefault="00000000">
      <w:pPr>
        <w:spacing w:after="200" w:line="360" w:lineRule="auto"/>
        <w:jc w:val="both"/>
      </w:pPr>
      <w:r>
        <w:t xml:space="preserve">O presente projeto consiste em um ensaio clínico prospectivo, randomizado e controlado que investiga a segurança microbiológica e a resposta inflamatória associadas ao uso do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(Recuperação Intraoperatória de Sangue) em procedimentos de lipoaspiração de grande volume. Trata-se de um braço experimental derivado do estudo publicado internacionalmente "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in </w:t>
      </w:r>
      <w:proofErr w:type="spellStart"/>
      <w:r>
        <w:t>Liposuction</w:t>
      </w:r>
      <w:proofErr w:type="spellEnd"/>
      <w:r>
        <w:t xml:space="preserve">, a </w:t>
      </w:r>
      <w:proofErr w:type="spellStart"/>
      <w:r>
        <w:t>Safety</w:t>
      </w:r>
      <w:proofErr w:type="spellEnd"/>
      <w:r>
        <w:t xml:space="preserve"> Tool in a New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Scenario</w:t>
      </w:r>
      <w:proofErr w:type="spellEnd"/>
      <w:r>
        <w:t>" (CAAE 77318823.2.0000.5197), conduzido pelo mesmo grupo de pesquisadores no Hospital Agamenon Magalhães (HAM).</w:t>
      </w:r>
    </w:p>
    <w:p w14:paraId="7343B0E5" w14:textId="77777777" w:rsidR="00FB25F4" w:rsidRDefault="00000000">
      <w:pPr>
        <w:spacing w:after="200" w:line="360" w:lineRule="auto"/>
        <w:jc w:val="both"/>
      </w:pPr>
      <w:r>
        <w:t xml:space="preserve">A pesquisa incluirá 20 pacientes divididos em dois grupos (n=10 cada): Grupo Intervenção, submetido ao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com </w:t>
      </w:r>
      <w:proofErr w:type="spellStart"/>
      <w:r>
        <w:t>reinfusão</w:t>
      </w:r>
      <w:proofErr w:type="spellEnd"/>
      <w:r>
        <w:t xml:space="preserve"> intraoperatória do sangue processado, e Grupo Controle, submetido à técnica convencional sem recuperação sanguínea. Serão analisados, no produto recuperado, o hematócrito, a hemoglobina corpuscular livre e a carga microbiológica (culturas aeróbia e anaeróbia). No paciente, serão coletados, no pós-operatório de 24 horas, hemograma, Proteína C Reativa (PCR), Velocidade de Hemossedimentação (VHS) e dosagem de hemoglobina livre sérica.</w:t>
      </w:r>
    </w:p>
    <w:p w14:paraId="06E63E8D" w14:textId="77777777" w:rsidR="00FB25F4" w:rsidRDefault="00000000">
      <w:pPr>
        <w:spacing w:after="200" w:line="360" w:lineRule="auto"/>
        <w:jc w:val="both"/>
      </w:pPr>
      <w:r>
        <w:t>O estudo visa fornecer dados laboratoriais objetivos, até então inexistentes na literatura científica, que validem o uso rotineiro desta ferramenta em cirurgia plástica, contribuindo para a consolidação do Gerenciamento Sanguíneo do Paciente (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Blood</w:t>
      </w:r>
      <w:proofErr w:type="spellEnd"/>
      <w:r>
        <w:t xml:space="preserve"> Management – PBM) neste novo cenário cirúrgico.</w:t>
      </w:r>
    </w:p>
    <w:p w14:paraId="49FA565A" w14:textId="77777777" w:rsidR="00FB25F4" w:rsidRDefault="00000000">
      <w:r>
        <w:br w:type="page"/>
      </w:r>
    </w:p>
    <w:p w14:paraId="23CF9E34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lastRenderedPageBreak/>
        <w:t>2. Introdução e Justificativa</w:t>
      </w:r>
    </w:p>
    <w:p w14:paraId="6EF4ECC1" w14:textId="77777777" w:rsidR="00FB25F4" w:rsidRDefault="00000000">
      <w:pPr>
        <w:spacing w:after="200" w:line="360" w:lineRule="auto"/>
        <w:jc w:val="both"/>
      </w:pPr>
      <w:r>
        <w:t>A lipoaspiração é o procedimento cirúrgico estético mais realizado no mundo. A evolução técnica do procedimento, com o tratamento de áreas maiores e volumes aspirados mais expressivos, elevou o risco de perda sanguínea significativa e de complicações hematológicas, tornando o gerenciamento hemodinâmico intraoperatório um tema de crescente relevância clínica.</w:t>
      </w:r>
    </w:p>
    <w:p w14:paraId="452BAD56" w14:textId="77777777" w:rsidR="00FB25F4" w:rsidRDefault="00000000">
      <w:pPr>
        <w:spacing w:after="200" w:line="360" w:lineRule="auto"/>
        <w:jc w:val="both"/>
      </w:pPr>
      <w:r>
        <w:t>O Gerenciamento Sanguíneo do Paciente (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Blood</w:t>
      </w:r>
      <w:proofErr w:type="spellEnd"/>
      <w:r>
        <w:t xml:space="preserve"> Management – PBM) é uma estratégia multimodal preconizada pela Organização Mundial da Saúde (OMS) para minimizar a necessidade de transfusões alogênicas e otimizar os desfechos clínicos. 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— técnica de recuperação, processamento e </w:t>
      </w:r>
      <w:proofErr w:type="spellStart"/>
      <w:r>
        <w:t>reinfusão</w:t>
      </w:r>
      <w:proofErr w:type="spellEnd"/>
      <w:r>
        <w:t xml:space="preserve"> do próprio sangue do paciente durante o ato cirúrgico — constitui um dos pilares fundamentais do PBM, com indicação classe I (nível de evidência A) em cirurgias cardíacas e ortopédicas pelas principais sociedades internacionais.</w:t>
      </w:r>
    </w:p>
    <w:p w14:paraId="37A59495" w14:textId="77777777" w:rsidR="00FB25F4" w:rsidRDefault="00000000">
      <w:pPr>
        <w:spacing w:after="200" w:line="360" w:lineRule="auto"/>
        <w:jc w:val="both"/>
      </w:pPr>
      <w:r>
        <w:t xml:space="preserve">O presente projeto é um braço experimental do estudo pioneiro deste grupo de pesquisadores, publicado na revista </w:t>
      </w:r>
      <w:proofErr w:type="spellStart"/>
      <w:r>
        <w:t>Aesthetic</w:t>
      </w:r>
      <w:proofErr w:type="spellEnd"/>
      <w:r>
        <w:t xml:space="preserve"> Plastic </w:t>
      </w:r>
      <w:proofErr w:type="spellStart"/>
      <w:r>
        <w:t>Surgery</w:t>
      </w:r>
      <w:proofErr w:type="spellEnd"/>
      <w:r>
        <w:t xml:space="preserve"> em 2025 sob o título "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in </w:t>
      </w:r>
      <w:proofErr w:type="spellStart"/>
      <w:r>
        <w:t>Liposuction</w:t>
      </w:r>
      <w:proofErr w:type="spellEnd"/>
      <w:r>
        <w:t xml:space="preserve">, a </w:t>
      </w:r>
      <w:proofErr w:type="spellStart"/>
      <w:r>
        <w:t>Safety</w:t>
      </w:r>
      <w:proofErr w:type="spellEnd"/>
      <w:r>
        <w:t xml:space="preserve"> Tool in a New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Scenario</w:t>
      </w:r>
      <w:proofErr w:type="spellEnd"/>
      <w:r>
        <w:t xml:space="preserve">" (CAAE 77318823.2.0000.5197). Naquele trabalho, demonstramos os benefícios clínicos do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aplicado à lipoaspiração, com melhora significativa na percepção de bem-estar e nos parâmetros hemodinâmicos dos pacientes no pós-operatório imediato. A publicação recebeu reconhecimento internacional, incluindo resposta editorial.</w:t>
      </w:r>
    </w:p>
    <w:p w14:paraId="6641F7E3" w14:textId="77777777" w:rsidR="00FB25F4" w:rsidRDefault="00000000">
      <w:pPr>
        <w:spacing w:after="200" w:line="360" w:lineRule="auto"/>
        <w:jc w:val="both"/>
      </w:pPr>
      <w:r>
        <w:t xml:space="preserve">Embora a segurança do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esteja amplamente estabelecida em outros contextos cirúrgicos, a análise objetiva da qualidade biológica do produto reinfundido na lipoaspiração — sua pureza microbiológica, grau de hemólise e perfil inflamatório — permanece um campo completamente inexplorado na literatura médica mundial. A técnica de processamento por centrifugação e lavagem é capaz de remover detritos, gordura livre e mediadores inflamatórios do campo cirúrgico; entretanto, não existem dados quantitativos que mensurem esses efeitos no contexto específico da lipoaspiração.</w:t>
      </w:r>
    </w:p>
    <w:p w14:paraId="0BCF9E8D" w14:textId="77777777" w:rsidR="00FB25F4" w:rsidRDefault="00000000">
      <w:pPr>
        <w:spacing w:after="200" w:line="360" w:lineRule="auto"/>
        <w:jc w:val="both"/>
      </w:pPr>
      <w:r>
        <w:lastRenderedPageBreak/>
        <w:t xml:space="preserve">Para justificar cientificamente a melhora clínica observada e fornecer o substrato laboratorial necessário para a adoção segura e universal desta técnica, esta nova fase de investigação visa aferir: (a) a segurança microbiológica do produto, por meio de culturas bacterianas; (b) a integridade das hemácias recuperadas, pela mensuração da hemoglobina corpuscular livre e do hematócrito; e (c) a resposta inflamatória sistêmica desencadeada no paciente, avaliada por PCR e VHS. Tais evidências representam contribuição inédita e necessária para a consolidação do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como ferramenta segura e eficaz em novos cenários cirúrgicos.</w:t>
      </w:r>
    </w:p>
    <w:p w14:paraId="37024DF5" w14:textId="77777777" w:rsidR="00FB25F4" w:rsidRDefault="00000000">
      <w:r>
        <w:br w:type="page"/>
      </w:r>
    </w:p>
    <w:p w14:paraId="6E757576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lastRenderedPageBreak/>
        <w:t>3. Hipótese</w:t>
      </w:r>
    </w:p>
    <w:p w14:paraId="2B281852" w14:textId="77777777" w:rsidR="00FB25F4" w:rsidRDefault="00000000">
      <w:pPr>
        <w:spacing w:after="200" w:line="360" w:lineRule="auto"/>
        <w:jc w:val="both"/>
      </w:pPr>
      <w:r>
        <w:t xml:space="preserve">O sangue recuperado e processado pelo sistema de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durante lipoaspiração de grande volume apresentará perfil microbiológico estéril ou com carga bacteriana clinicamente não significativa, integridade eritrocitária preservada (hemólise dentro dos limites aceitáveis e hematócrito adequado), e não estará associado a resposta inflamatória sistêmica exacerbada no paciente, evidenciada por valores de PCR e VHS dentro de limites esperados para o procedimento cirúrgico realizado.</w:t>
      </w:r>
    </w:p>
    <w:p w14:paraId="3C39BD5C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t>4. Objetivo Primário</w:t>
      </w:r>
    </w:p>
    <w:p w14:paraId="0E223569" w14:textId="77777777" w:rsidR="00FB25F4" w:rsidRDefault="00000000">
      <w:pPr>
        <w:spacing w:after="200" w:line="360" w:lineRule="auto"/>
        <w:jc w:val="both"/>
      </w:pPr>
      <w:r>
        <w:t xml:space="preserve">Avaliar a segurança microbiológica e a integridade do produto sanguíneo recuperado pelo sistema de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durante procedimentos de lipoaspiração de grande volume, por meio da análise de culturas bacterianas (aeróbia e anaeróbia), hematócrito e hemoglobina corpuscular livre do concentrado de hemácias processado imediatamente antes da </w:t>
      </w:r>
      <w:proofErr w:type="spellStart"/>
      <w:r>
        <w:t>reinfusão</w:t>
      </w:r>
      <w:proofErr w:type="spellEnd"/>
      <w:r>
        <w:t>.</w:t>
      </w:r>
    </w:p>
    <w:p w14:paraId="5167BF75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t>5. Objetivos Secundários</w:t>
      </w:r>
    </w:p>
    <w:p w14:paraId="1428BBD4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Investigar a resposta inflamatória sistêmica pós-operatória nos pacientes submetidos ao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>, por meio da dosagem de Proteína C Reativa (PCR) e Velocidade de Hemossedimentação (VHS) no período de 24 horas após o procedimento.</w:t>
      </w:r>
    </w:p>
    <w:p w14:paraId="79BA8310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Mensurar a hemoglobina livre sérica no sangue venoso do paciente no pós-operatório de 24 horas como marcador de hemólise sistêmica induzida pelo processo de recuperação e </w:t>
      </w:r>
      <w:proofErr w:type="spellStart"/>
      <w:r>
        <w:t>reinfusão</w:t>
      </w:r>
      <w:proofErr w:type="spellEnd"/>
      <w:r>
        <w:t xml:space="preserve"> sanguínea.</w:t>
      </w:r>
    </w:p>
    <w:p w14:paraId="0342EEDB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Comparar os parâmetros inflamatórios e hematológicos pós-operatórios entre o Grupo Intervenção (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>) e o Grupo Controle (técnica convencional sem recuperação sanguínea).</w:t>
      </w:r>
    </w:p>
    <w:p w14:paraId="39D20CB8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Correlacionar a qualidade laboratorial do produto processado com os desfechos clínicos observados nos pacientes do Grupo Intervenção.</w:t>
      </w:r>
    </w:p>
    <w:p w14:paraId="4A3EBB6C" w14:textId="77777777" w:rsidR="00FB25F4" w:rsidRDefault="00000000">
      <w:r>
        <w:br w:type="page"/>
      </w:r>
    </w:p>
    <w:p w14:paraId="63A90123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lastRenderedPageBreak/>
        <w:t>6. Metodologia Proposta</w:t>
      </w:r>
    </w:p>
    <w:p w14:paraId="659D92EC" w14:textId="77777777" w:rsidR="00FB25F4" w:rsidRDefault="00000000">
      <w:pPr>
        <w:spacing w:after="200" w:line="360" w:lineRule="auto"/>
        <w:jc w:val="both"/>
      </w:pPr>
      <w:r>
        <w:t>Trata-se de um ensaio clínico prospectivo, randomizado e controlado, a ser conduzido no Hospital Agamenon Magalhães (HAM), Recife – PE.</w:t>
      </w:r>
    </w:p>
    <w:p w14:paraId="691A678F" w14:textId="77777777" w:rsidR="00FB25F4" w:rsidRDefault="00000000">
      <w:pPr>
        <w:spacing w:before="300" w:after="120"/>
      </w:pPr>
      <w:r>
        <w:rPr>
          <w:b/>
          <w:bCs/>
        </w:rPr>
        <w:t>6.1 Delineamento e População</w:t>
      </w:r>
    </w:p>
    <w:p w14:paraId="3503D482" w14:textId="77777777" w:rsidR="00FB25F4" w:rsidRDefault="00000000">
      <w:pPr>
        <w:spacing w:after="200" w:line="360" w:lineRule="auto"/>
        <w:jc w:val="both"/>
      </w:pPr>
      <w:r>
        <w:t xml:space="preserve">Serão incluídos 20 pacientes adultos submetidos a lipoaspiração de grande volume (aspirado ≥ 1.000 </w:t>
      </w:r>
      <w:proofErr w:type="spellStart"/>
      <w:r>
        <w:t>mL</w:t>
      </w:r>
      <w:proofErr w:type="spellEnd"/>
      <w:r>
        <w:t>), distribuídos aleatoriamente em dois grupos de igual tamanho:</w:t>
      </w:r>
    </w:p>
    <w:p w14:paraId="6EFC46DB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Grupo Intervenção (n=10): Pacientes submetidos à lipoaspiração com utilização do sistema de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e </w:t>
      </w:r>
      <w:proofErr w:type="spellStart"/>
      <w:r>
        <w:t>reinfusão</w:t>
      </w:r>
      <w:proofErr w:type="spellEnd"/>
      <w:r>
        <w:t xml:space="preserve"> intraoperatória do sangue autólogo processado.</w:t>
      </w:r>
    </w:p>
    <w:p w14:paraId="5F373246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Grupo Controle (n=10): Pacientes submetidos à lipoaspiração pela técnica convencional, sem recuperação ou </w:t>
      </w:r>
      <w:proofErr w:type="spellStart"/>
      <w:r>
        <w:t>reinfusão</w:t>
      </w:r>
      <w:proofErr w:type="spellEnd"/>
      <w:r>
        <w:t xml:space="preserve"> sanguínea.</w:t>
      </w:r>
    </w:p>
    <w:p w14:paraId="639084DD" w14:textId="77777777" w:rsidR="00FB25F4" w:rsidRDefault="00000000">
      <w:pPr>
        <w:spacing w:before="300" w:after="120"/>
      </w:pPr>
      <w:r>
        <w:rPr>
          <w:b/>
          <w:bCs/>
        </w:rPr>
        <w:t xml:space="preserve">6.2 Protocolo de Processamento do </w:t>
      </w:r>
      <w:proofErr w:type="spellStart"/>
      <w:r>
        <w:rPr>
          <w:b/>
          <w:bCs/>
        </w:rPr>
        <w:t>Cell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Salvage</w:t>
      </w:r>
      <w:proofErr w:type="spellEnd"/>
    </w:p>
    <w:p w14:paraId="3A45FF88" w14:textId="77777777" w:rsidR="00FB25F4" w:rsidRDefault="00000000">
      <w:pPr>
        <w:spacing w:after="200" w:line="360" w:lineRule="auto"/>
        <w:jc w:val="both"/>
      </w:pPr>
      <w:r>
        <w:t xml:space="preserve">O sangue recuperado do campo cirúrgico será coletado sob pressão de sucção controlada (≤ 150 mmHg), a fim de minimizar a fragilidade osmótica e a hemólise mecânica. O processamento será realizado por sistema automatizado (Sorin Xtra ou </w:t>
      </w:r>
      <w:proofErr w:type="spellStart"/>
      <w:r>
        <w:t>Autolog</w:t>
      </w:r>
      <w:proofErr w:type="spellEnd"/>
      <w:r>
        <w:t xml:space="preserve"> IQ), compreendendo: filtração tripla para remoção de detritos e gordura livre; centrifugação seletiva para concentração eritrocitária; e lavagem com solução salina 0,9% para eliminação de mediadores inflamatórios, heparina residual, hemoglobina livre e proteínas plasmáticas.</w:t>
      </w:r>
    </w:p>
    <w:p w14:paraId="2A68D7CE" w14:textId="77777777" w:rsidR="00FB25F4" w:rsidRDefault="00000000">
      <w:pPr>
        <w:spacing w:after="200" w:line="360" w:lineRule="auto"/>
        <w:jc w:val="both"/>
      </w:pPr>
      <w:r>
        <w:t xml:space="preserve">O </w:t>
      </w:r>
      <w:proofErr w:type="gramStart"/>
      <w:r>
        <w:t>produto final</w:t>
      </w:r>
      <w:proofErr w:type="gramEnd"/>
      <w:r>
        <w:t xml:space="preserve"> — concentrado de hemácias autólogas em solução fisiológica — será avaliado laboratorialmente antes da </w:t>
      </w:r>
      <w:proofErr w:type="spellStart"/>
      <w:r>
        <w:t>reinfusão</w:t>
      </w:r>
      <w:proofErr w:type="spellEnd"/>
      <w:r>
        <w:t xml:space="preserve"> ao paciente.</w:t>
      </w:r>
    </w:p>
    <w:p w14:paraId="132BB3AF" w14:textId="77777777" w:rsidR="00FB25F4" w:rsidRDefault="00000000">
      <w:pPr>
        <w:spacing w:before="300" w:after="120"/>
      </w:pPr>
      <w:r>
        <w:rPr>
          <w:b/>
          <w:bCs/>
        </w:rPr>
        <w:t>6.3 Protocolo de Coleta de Amostras</w:t>
      </w:r>
    </w:p>
    <w:p w14:paraId="0E98FCBF" w14:textId="77777777" w:rsidR="00FB25F4" w:rsidRDefault="00000000">
      <w:pPr>
        <w:spacing w:after="200" w:line="360" w:lineRule="auto"/>
        <w:jc w:val="both"/>
      </w:pPr>
      <w:r>
        <w:t>Serão coletadas amostras em dois momentos e de duas fontes distintas:</w:t>
      </w:r>
    </w:p>
    <w:p w14:paraId="1E24D965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Do produto processado (bag de </w:t>
      </w:r>
      <w:proofErr w:type="spellStart"/>
      <w:r>
        <w:t>reinfusão</w:t>
      </w:r>
      <w:proofErr w:type="spellEnd"/>
      <w:r>
        <w:t>): coleta direta para cultura bacteriana (meios aeróbio e anaeróbio), dosagem de hemoglobina corpuscular livre e aferição de hematócrito.</w:t>
      </w:r>
    </w:p>
    <w:p w14:paraId="06B4BF67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Do paciente — pré-operatório (baseline): hemograma completo, PCR, VHS e hemoglobina livre sérica.</w:t>
      </w:r>
    </w:p>
    <w:p w14:paraId="5F1F7F60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lastRenderedPageBreak/>
        <w:t>Do paciente — pós-operatório de 24 horas: hemograma completo, PCR, VHS e dosagem de hemoglobina livre sérica.</w:t>
      </w:r>
    </w:p>
    <w:p w14:paraId="56665F1D" w14:textId="77777777" w:rsidR="00FB25F4" w:rsidRDefault="00000000">
      <w:r>
        <w:br w:type="page"/>
      </w:r>
    </w:p>
    <w:p w14:paraId="305BC230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lastRenderedPageBreak/>
        <w:t>7. Critérios de Inclusão</w:t>
      </w:r>
    </w:p>
    <w:p w14:paraId="4B357F6F" w14:textId="77777777" w:rsidR="00FB25F4" w:rsidRDefault="00000000">
      <w:pPr>
        <w:spacing w:after="200" w:line="360" w:lineRule="auto"/>
        <w:jc w:val="both"/>
      </w:pPr>
      <w:r>
        <w:t>Os critérios de inclusão adotados neste projeto seguem os mesmos parâmetros estabelecidos no estudo matriz "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in </w:t>
      </w:r>
      <w:proofErr w:type="spellStart"/>
      <w:r>
        <w:t>Liposuction</w:t>
      </w:r>
      <w:proofErr w:type="spellEnd"/>
      <w:r>
        <w:t xml:space="preserve">, a </w:t>
      </w:r>
      <w:proofErr w:type="spellStart"/>
      <w:r>
        <w:t>Safety</w:t>
      </w:r>
      <w:proofErr w:type="spellEnd"/>
      <w:r>
        <w:t xml:space="preserve"> Tool in a New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Scenario</w:t>
      </w:r>
      <w:proofErr w:type="spellEnd"/>
      <w:r>
        <w:t>":</w:t>
      </w:r>
    </w:p>
    <w:p w14:paraId="5E66908D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Pacientes adultos com idade entre 18 e 65 anos;</w:t>
      </w:r>
    </w:p>
    <w:p w14:paraId="1FC45927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Indicação clínica de lipoaspiração de grande volume, com previsão de aspirado ≥ 1.000 </w:t>
      </w:r>
      <w:proofErr w:type="spellStart"/>
      <w:r>
        <w:t>mL</w:t>
      </w:r>
      <w:proofErr w:type="spellEnd"/>
      <w:r>
        <w:t>;</w:t>
      </w:r>
    </w:p>
    <w:p w14:paraId="4A9CDE2C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Bom estado geral de saúde, classificados como ASA I ou ASA II segundo a American Society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Anesthesiologists</w:t>
      </w:r>
      <w:proofErr w:type="spellEnd"/>
      <w:r>
        <w:t>;</w:t>
      </w:r>
    </w:p>
    <w:p w14:paraId="7F040FE1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Hemoglobina pré-operatória ≥ 12 g/</w:t>
      </w:r>
      <w:proofErr w:type="spellStart"/>
      <w:r>
        <w:t>dL</w:t>
      </w:r>
      <w:proofErr w:type="spellEnd"/>
      <w:r>
        <w:t xml:space="preserve"> (mulheres) ou ≥ 13 g/</w:t>
      </w:r>
      <w:proofErr w:type="spellStart"/>
      <w:r>
        <w:t>dL</w:t>
      </w:r>
      <w:proofErr w:type="spellEnd"/>
      <w:r>
        <w:t xml:space="preserve"> (homens);</w:t>
      </w:r>
    </w:p>
    <w:p w14:paraId="59E21908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Ausência de coagulopatias ou distúrbios hematológicos conhecidos;</w:t>
      </w:r>
    </w:p>
    <w:p w14:paraId="51E73021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Ausência de uso de anticoagulantes ou </w:t>
      </w:r>
      <w:proofErr w:type="spellStart"/>
      <w:r>
        <w:t>antiagregantes</w:t>
      </w:r>
      <w:proofErr w:type="spellEnd"/>
      <w:r>
        <w:t xml:space="preserve"> plaquetários nos 10 dias anteriores ao procedimento;</w:t>
      </w:r>
    </w:p>
    <w:p w14:paraId="2D2E553B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Consentimento livre e esclarecido assinado pelo participante.</w:t>
      </w:r>
    </w:p>
    <w:p w14:paraId="658879D8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t>8. Critérios de Exclusão</w:t>
      </w:r>
    </w:p>
    <w:p w14:paraId="3FB74343" w14:textId="77777777" w:rsidR="00FB25F4" w:rsidRDefault="00000000">
      <w:pPr>
        <w:spacing w:after="200" w:line="360" w:lineRule="auto"/>
        <w:jc w:val="both"/>
      </w:pPr>
      <w:r>
        <w:t>Os critérios de exclusão adotados neste projeto seguem os mesmos parâmetros estabelecidos no estudo matriz "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in </w:t>
      </w:r>
      <w:proofErr w:type="spellStart"/>
      <w:r>
        <w:t>Liposuction</w:t>
      </w:r>
      <w:proofErr w:type="spellEnd"/>
      <w:r>
        <w:t xml:space="preserve">, a </w:t>
      </w:r>
      <w:proofErr w:type="spellStart"/>
      <w:r>
        <w:t>Safety</w:t>
      </w:r>
      <w:proofErr w:type="spellEnd"/>
      <w:r>
        <w:t xml:space="preserve"> Tool in a New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Scenario</w:t>
      </w:r>
      <w:proofErr w:type="spellEnd"/>
      <w:r>
        <w:t>":</w:t>
      </w:r>
    </w:p>
    <w:p w14:paraId="749C3B7A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Pacientes com infecção ativa em qualquer sítio no momento da cirurgia;</w:t>
      </w:r>
    </w:p>
    <w:p w14:paraId="28A2A4DE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Diagnóstico de neoplasia maligna;</w:t>
      </w:r>
    </w:p>
    <w:p w14:paraId="029BA1B5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Uso de imunossupressores ou corticosteroides sistêmicos;</w:t>
      </w:r>
    </w:p>
    <w:p w14:paraId="2797540E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Hemoglobinopatias, anemias hemolíticas ou outras doenças eritrocitárias;</w:t>
      </w:r>
    </w:p>
    <w:p w14:paraId="73805282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Recusa em participar da pesquisa ou em assinar o TCLE;</w:t>
      </w:r>
    </w:p>
    <w:p w14:paraId="1CEA49A1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Gestantes ou lactantes;</w:t>
      </w:r>
    </w:p>
    <w:p w14:paraId="63175777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Pacientes com histórico de reações transfusionais prévias;</w:t>
      </w:r>
    </w:p>
    <w:p w14:paraId="11834FFE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lastRenderedPageBreak/>
        <w:t>Cirurgias associadas que possam contaminar o campo cirúrgico (procedimentos gastrointestinais, urológicos ou ginecológicos concomitantes);</w:t>
      </w:r>
    </w:p>
    <w:p w14:paraId="75A07BFE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Volume aspirado inferior a 1.000 </w:t>
      </w:r>
      <w:proofErr w:type="spellStart"/>
      <w:r>
        <w:t>mL</w:t>
      </w:r>
      <w:proofErr w:type="spellEnd"/>
      <w:r>
        <w:t xml:space="preserve"> ao final do procedimento.</w:t>
      </w:r>
    </w:p>
    <w:p w14:paraId="28C1AC5F" w14:textId="77777777" w:rsidR="00FB25F4" w:rsidRDefault="00000000">
      <w:r>
        <w:br w:type="page"/>
      </w:r>
    </w:p>
    <w:p w14:paraId="28FE7DF9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lastRenderedPageBreak/>
        <w:t>9. Riscos</w:t>
      </w:r>
    </w:p>
    <w:p w14:paraId="46337B8B" w14:textId="77777777" w:rsidR="00FB25F4" w:rsidRDefault="00000000">
      <w:pPr>
        <w:spacing w:after="200" w:line="360" w:lineRule="auto"/>
        <w:jc w:val="both"/>
      </w:pPr>
      <w:r>
        <w:t xml:space="preserve">Os riscos associados à participação neste estudo são considerados mínimos, em consonância com o extenso histórico de segurança do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na literatura cirúrgica. Os potenciais riscos identificados são:</w:t>
      </w:r>
    </w:p>
    <w:p w14:paraId="40176547" w14:textId="77777777" w:rsidR="00FB25F4" w:rsidRDefault="00000000">
      <w:pPr>
        <w:spacing w:before="300" w:after="120"/>
      </w:pPr>
      <w:r>
        <w:rPr>
          <w:b/>
          <w:bCs/>
        </w:rPr>
        <w:t>9.1 Riscos relacionados à coleta de amostras</w:t>
      </w:r>
    </w:p>
    <w:p w14:paraId="5C953034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Desconforto, dor local ou hematoma no sítio de punção venosa, inerentes a qualquer procedimento de coleta de sangue, sem caráter de gravidade.</w:t>
      </w:r>
    </w:p>
    <w:p w14:paraId="62672BCE" w14:textId="77777777" w:rsidR="00FB25F4" w:rsidRDefault="00000000">
      <w:pPr>
        <w:spacing w:before="300" w:after="120"/>
      </w:pPr>
      <w:r>
        <w:rPr>
          <w:b/>
          <w:bCs/>
        </w:rPr>
        <w:t xml:space="preserve">9.2 Riscos relacionados ao processamento e </w:t>
      </w:r>
      <w:proofErr w:type="spellStart"/>
      <w:r>
        <w:rPr>
          <w:b/>
          <w:bCs/>
        </w:rPr>
        <w:t>reinfusão</w:t>
      </w:r>
      <w:proofErr w:type="spellEnd"/>
      <w:r>
        <w:rPr>
          <w:b/>
          <w:bCs/>
        </w:rPr>
        <w:t xml:space="preserve"> do sangue</w:t>
      </w:r>
    </w:p>
    <w:p w14:paraId="2B0873C6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Hemólise mecânica: possibilidade de ruptura de hemácias durante o processo de sucção ou centrifugação, produzindo hemoglobina livre. Este risco é mitigado pelo controle rigoroso da pressão de sucção (≤ 150 mmHg) e pelo uso do programa otimizado do equipamento.</w:t>
      </w:r>
    </w:p>
    <w:p w14:paraId="7E4E4905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Contaminação bacteriana residual: embora o processo de lavagem remove a grande maioria dos microrganismos, existe risco teórico de contaminação residual por bactérias comensais da pele (principalmente </w:t>
      </w:r>
      <w:proofErr w:type="spellStart"/>
      <w:r>
        <w:t>Staphylococcus</w:t>
      </w:r>
      <w:proofErr w:type="spellEnd"/>
      <w:r>
        <w:t xml:space="preserve"> </w:t>
      </w:r>
      <w:proofErr w:type="spellStart"/>
      <w:r>
        <w:t>epidermidis</w:t>
      </w:r>
      <w:proofErr w:type="spellEnd"/>
      <w:r>
        <w:t xml:space="preserve">), podendo ocasionar reação inflamatória transitória (febre, calafrios). A cultura do produto antes da </w:t>
      </w:r>
      <w:proofErr w:type="spellStart"/>
      <w:r>
        <w:t>reinfusão</w:t>
      </w:r>
      <w:proofErr w:type="spellEnd"/>
      <w:r>
        <w:t xml:space="preserve"> e o monitoramento clínico rigoroso visam detectar e tratar precocemente qualquer intercorrência.</w:t>
      </w:r>
    </w:p>
    <w:p w14:paraId="1C5439B5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Resposta inflamatória transitória: a </w:t>
      </w:r>
      <w:proofErr w:type="spellStart"/>
      <w:r>
        <w:t>reinfusão</w:t>
      </w:r>
      <w:proofErr w:type="spellEnd"/>
      <w:r>
        <w:t xml:space="preserve"> do produto processado pode estar associada a uma resposta inflamatória sistêmica leve e passageira, monitorada ativamente pelos marcadores PCR e VHS.</w:t>
      </w:r>
    </w:p>
    <w:p w14:paraId="66369604" w14:textId="77777777" w:rsidR="00FB25F4" w:rsidRDefault="00000000">
      <w:pPr>
        <w:spacing w:after="200" w:line="360" w:lineRule="auto"/>
        <w:jc w:val="both"/>
      </w:pPr>
      <w:r>
        <w:t>Todos os eventos adversos serão registrados e, se necessário, tratados pela equipe médica responsável, com acesso integral ao prontuário e à estrutura assistencial do Hospital Agamenon Magalhães.</w:t>
      </w:r>
    </w:p>
    <w:p w14:paraId="5725F94F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t>10. Benefícios</w:t>
      </w:r>
    </w:p>
    <w:p w14:paraId="66DA2E14" w14:textId="77777777" w:rsidR="00FB25F4" w:rsidRDefault="00000000">
      <w:pPr>
        <w:spacing w:after="200" w:line="360" w:lineRule="auto"/>
        <w:jc w:val="both"/>
      </w:pPr>
      <w:r>
        <w:t>A participação neste estudo oferece benefícios diretos e indiretos aos participantes e à comunidade científica:</w:t>
      </w:r>
    </w:p>
    <w:p w14:paraId="5B26A20F" w14:textId="77777777" w:rsidR="00FB25F4" w:rsidRDefault="00000000">
      <w:pPr>
        <w:spacing w:before="300" w:after="120"/>
      </w:pPr>
      <w:r>
        <w:rPr>
          <w:b/>
          <w:bCs/>
        </w:rPr>
        <w:t>10.1 Benefícios diretos ao participante</w:t>
      </w:r>
    </w:p>
    <w:p w14:paraId="74240FC2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lastRenderedPageBreak/>
        <w:t>Manutenção dos níveis de hemoglobina no pós-operatório imediato, reduzindo o risco de anemia pós-cirúrgica e a necessidade de transfusão de sangue de doador.</w:t>
      </w:r>
    </w:p>
    <w:p w14:paraId="267D7E6A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Recuperação mais rápida e vigorosa, com menor impacto hemodinâmico no período pós-operatório, conforme demonstrado no estudo anterior deste grupo.</w:t>
      </w:r>
    </w:p>
    <w:p w14:paraId="37676294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Monitoramento laboratorial exclusivo e detalhado — incluindo culturas, marcadores inflamatórios e hemólise — que não é oferecido em procedimentos de rotina, conferindo ao participante um nível adicional de segurança e acompanhamento clínico.</w:t>
      </w:r>
    </w:p>
    <w:p w14:paraId="143D98D7" w14:textId="77777777" w:rsidR="00FB25F4" w:rsidRDefault="00000000">
      <w:pPr>
        <w:spacing w:before="300" w:after="120"/>
      </w:pPr>
      <w:r>
        <w:rPr>
          <w:b/>
          <w:bCs/>
        </w:rPr>
        <w:t>10.2 Benefícios indiretos à sociedade e à ciência</w:t>
      </w:r>
    </w:p>
    <w:p w14:paraId="1A1D381D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Geração de dados laboratoriais inéditos sobre a segurança microbiológica e a qualidade biológica do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 xml:space="preserve"> em lipoaspiração, contribuindo para a validação científica e a expansão do uso desta técnica em cirurgia plástica.</w:t>
      </w:r>
    </w:p>
    <w:p w14:paraId="6DFE795D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Fortalecimento das bases do Gerenciamento Sanguíneo do Paciente (PBM) em procedimentos estéticos de grande volume, com potencial de impacto em diretrizes nacionais e internacionais.</w:t>
      </w:r>
    </w:p>
    <w:p w14:paraId="5682D3E7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Redução da dependência de hemoderivados alogênicos, com impacto positivo na segurança transfusional e nos recursos do sistema de saúde.</w:t>
      </w:r>
    </w:p>
    <w:p w14:paraId="74082D24" w14:textId="77777777" w:rsidR="00FB25F4" w:rsidRDefault="00000000">
      <w:r>
        <w:br w:type="page"/>
      </w:r>
    </w:p>
    <w:p w14:paraId="78B8B151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lastRenderedPageBreak/>
        <w:t>11. Metodologia de Análise de Dados</w:t>
      </w:r>
    </w:p>
    <w:p w14:paraId="6077585A" w14:textId="77777777" w:rsidR="00FB25F4" w:rsidRDefault="00000000">
      <w:pPr>
        <w:spacing w:after="200" w:line="360" w:lineRule="auto"/>
        <w:jc w:val="both"/>
      </w:pPr>
      <w:r>
        <w:t>Os dados coletados serão organizados em banco de dados eletrônico e submetidos à análise estatística com auxílio de software adequado (SPSS, versão 26.0, ou equivalente). O nível de significância adotado será de 5% (p ≤ 0,05) para todos os testes.</w:t>
      </w:r>
    </w:p>
    <w:p w14:paraId="5D854C23" w14:textId="77777777" w:rsidR="00FB25F4" w:rsidRDefault="00000000">
      <w:pPr>
        <w:spacing w:before="300" w:after="120"/>
      </w:pPr>
      <w:r>
        <w:rPr>
          <w:b/>
          <w:bCs/>
        </w:rPr>
        <w:t>11.1 Análise de normalidade</w:t>
      </w:r>
    </w:p>
    <w:p w14:paraId="5DC6B394" w14:textId="77777777" w:rsidR="00FB25F4" w:rsidRDefault="00000000">
      <w:pPr>
        <w:spacing w:after="200" w:line="360" w:lineRule="auto"/>
        <w:jc w:val="both"/>
      </w:pPr>
      <w:r>
        <w:t>A distribuição de todas as variáveis contínuas será testada pelo teste de Shapiro-Wilk, apropriado para amostras de pequeno porte (n=10 por grupo).</w:t>
      </w:r>
    </w:p>
    <w:p w14:paraId="2AE41EF1" w14:textId="77777777" w:rsidR="00FB25F4" w:rsidRDefault="00000000">
      <w:pPr>
        <w:spacing w:before="300" w:after="120"/>
      </w:pPr>
      <w:r>
        <w:rPr>
          <w:b/>
          <w:bCs/>
        </w:rPr>
        <w:t>11.2 Comparação entre grupos</w:t>
      </w:r>
    </w:p>
    <w:p w14:paraId="0C83C5CA" w14:textId="77777777" w:rsidR="00FB25F4" w:rsidRDefault="00000000">
      <w:pPr>
        <w:spacing w:after="200" w:line="360" w:lineRule="auto"/>
        <w:jc w:val="both"/>
      </w:pPr>
      <w:r>
        <w:t>Para a comparação dos parâmetros laboratoriais (hematócrito, hemoglobina livre, PCR, VHS) entre o Grupo Intervenção e o Grupo Controle, serão utilizados:</w:t>
      </w:r>
    </w:p>
    <w:p w14:paraId="36479FBD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Teste t de </w:t>
      </w:r>
      <w:proofErr w:type="spellStart"/>
      <w:r>
        <w:t>Student</w:t>
      </w:r>
      <w:proofErr w:type="spellEnd"/>
      <w:r>
        <w:t xml:space="preserve"> para amostras independentes: quando os dados apresentarem distribuição normal;</w:t>
      </w:r>
    </w:p>
    <w:p w14:paraId="74C7E8D4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Teste U de Mann-Whitney: quando os dados não atenderem ao pressuposto de normalidade.</w:t>
      </w:r>
    </w:p>
    <w:p w14:paraId="343BFEAF" w14:textId="77777777" w:rsidR="00FB25F4" w:rsidRDefault="00000000">
      <w:pPr>
        <w:spacing w:before="300" w:after="120"/>
      </w:pPr>
      <w:r>
        <w:rPr>
          <w:b/>
          <w:bCs/>
        </w:rPr>
        <w:t>11.3 Análise intragrupo (evolução temporal)</w:t>
      </w:r>
    </w:p>
    <w:p w14:paraId="7CA6482D" w14:textId="77777777" w:rsidR="00FB25F4" w:rsidRDefault="00000000">
      <w:pPr>
        <w:spacing w:after="200" w:line="360" w:lineRule="auto"/>
        <w:jc w:val="both"/>
      </w:pPr>
      <w:r>
        <w:t>A comparação entre os valores basais (pré-operatório) e os valores pós-operatórios de 24 horas dentro de cada grupo será realizada por:</w:t>
      </w:r>
    </w:p>
    <w:p w14:paraId="122BE6ED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Teste t de </w:t>
      </w:r>
      <w:proofErr w:type="spellStart"/>
      <w:r>
        <w:t>Student</w:t>
      </w:r>
      <w:proofErr w:type="spellEnd"/>
      <w:r>
        <w:t xml:space="preserve"> para amostras pareadas: para variáveis com distribuição normal;</w:t>
      </w:r>
    </w:p>
    <w:p w14:paraId="3946E040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Teste de </w:t>
      </w:r>
      <w:proofErr w:type="spellStart"/>
      <w:r>
        <w:t>Wilcoxon</w:t>
      </w:r>
      <w:proofErr w:type="spellEnd"/>
      <w:r>
        <w:t>: para variáveis não paramétricas.</w:t>
      </w:r>
    </w:p>
    <w:p w14:paraId="6F15BC08" w14:textId="77777777" w:rsidR="00FB25F4" w:rsidRDefault="00000000">
      <w:pPr>
        <w:spacing w:before="300" w:after="120"/>
      </w:pPr>
      <w:r>
        <w:rPr>
          <w:b/>
          <w:bCs/>
        </w:rPr>
        <w:t>11.4 Variáveis categóricas</w:t>
      </w:r>
    </w:p>
    <w:p w14:paraId="2FDB755F" w14:textId="77777777" w:rsidR="00FB25F4" w:rsidRDefault="00000000">
      <w:pPr>
        <w:spacing w:after="200" w:line="360" w:lineRule="auto"/>
        <w:jc w:val="both"/>
      </w:pPr>
      <w:r>
        <w:t>A incidência de culturas bacterianas positivas e a ocorrência de eventos clínicos (febre, calafrios, reações inflamatórias) serão comparadas entre os grupos pelo Teste Exato de Fisher, indicado para amostras de pequeno porte.</w:t>
      </w:r>
    </w:p>
    <w:p w14:paraId="113277BC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t>12. Desfecho Primário</w:t>
      </w:r>
    </w:p>
    <w:p w14:paraId="58281FF1" w14:textId="77777777" w:rsidR="00FB25F4" w:rsidRDefault="00000000">
      <w:pPr>
        <w:spacing w:after="200" w:line="360" w:lineRule="auto"/>
        <w:jc w:val="both"/>
      </w:pPr>
      <w:r>
        <w:lastRenderedPageBreak/>
        <w:t xml:space="preserve">Avaliação da segurança microbiológica e da qualidade hematológica do produto sanguíneo recuperado pelo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Salvage</w:t>
      </w:r>
      <w:proofErr w:type="spellEnd"/>
      <w:r>
        <w:t>, definida por:</w:t>
      </w:r>
    </w:p>
    <w:p w14:paraId="165E46AE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Resultado de cultura bacteriana do bag de </w:t>
      </w:r>
      <w:proofErr w:type="spellStart"/>
      <w:r>
        <w:t>reinfusão</w:t>
      </w:r>
      <w:proofErr w:type="spellEnd"/>
      <w:r>
        <w:t xml:space="preserve"> (positiva ou negativa para organismos aeróbios e anaeróbios);</w:t>
      </w:r>
    </w:p>
    <w:p w14:paraId="39CA4ACB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Hematócrito do concentrado de hemácias processado (valor percentual);</w:t>
      </w:r>
    </w:p>
    <w:p w14:paraId="20A40F76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Concentração de hemoglobina corpuscular livre no produto processado (mg/</w:t>
      </w:r>
      <w:proofErr w:type="spellStart"/>
      <w:r>
        <w:t>dL</w:t>
      </w:r>
      <w:proofErr w:type="spellEnd"/>
      <w:r>
        <w:t>), como indicador de hemólise mecânica.</w:t>
      </w:r>
    </w:p>
    <w:p w14:paraId="50F1E0CE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t>13. Desfechos Secundários</w:t>
      </w:r>
    </w:p>
    <w:p w14:paraId="6A4A2EDA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Variação dos níveis de Proteína C Reativa (PCR) e Velocidade de Hemossedimentação (VHS) no paciente entre o período pré-operatório e o pós-operatório de 24 horas;</w:t>
      </w:r>
    </w:p>
    <w:p w14:paraId="3AF4503D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Concentração de hemoglobina livre sérica no sangue venoso do paciente no pós-operatório de 24 horas, como marcador de hemólise sistêmica;</w:t>
      </w:r>
    </w:p>
    <w:p w14:paraId="49B71558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>Comparação dos parâmetros do hemograma completo (hemoglobina, hematócrito, leucócitos) entre os grupos Controle e Intervenção no pós-operatório de 24 horas;</w:t>
      </w:r>
    </w:p>
    <w:p w14:paraId="0FBA9B00" w14:textId="77777777" w:rsidR="00FB25F4" w:rsidRDefault="00000000">
      <w:pPr>
        <w:pStyle w:val="PargrafodaLista"/>
        <w:numPr>
          <w:ilvl w:val="0"/>
          <w:numId w:val="2"/>
        </w:numPr>
        <w:spacing w:after="160" w:line="360" w:lineRule="auto"/>
      </w:pPr>
      <w:r>
        <w:t xml:space="preserve">Incidência de eventos adversos clínicos relacionados à </w:t>
      </w:r>
      <w:proofErr w:type="spellStart"/>
      <w:r>
        <w:t>reinfusão</w:t>
      </w:r>
      <w:proofErr w:type="spellEnd"/>
      <w:r>
        <w:t xml:space="preserve"> (febre, calafrios, reações inflamatórias locais ou sistêmicas).</w:t>
      </w:r>
    </w:p>
    <w:p w14:paraId="04D9142A" w14:textId="77777777" w:rsidR="00FB25F4" w:rsidRDefault="00000000">
      <w:r>
        <w:br w:type="page"/>
      </w:r>
    </w:p>
    <w:p w14:paraId="16E73579" w14:textId="77777777" w:rsidR="00FB25F4" w:rsidRDefault="00000000">
      <w:pPr>
        <w:spacing w:before="400" w:after="200"/>
      </w:pPr>
      <w:r>
        <w:rPr>
          <w:b/>
          <w:bCs/>
          <w:caps/>
          <w:sz w:val="26"/>
          <w:szCs w:val="26"/>
        </w:rPr>
        <w:lastRenderedPageBreak/>
        <w:t>14. Referências Bibliográficas</w:t>
      </w:r>
    </w:p>
    <w:p w14:paraId="3EFB2EDC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1. VIEIRA, L. F. D. F. V. et al.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liposuction</w:t>
      </w:r>
      <w:proofErr w:type="spellEnd"/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safety</w:t>
      </w:r>
      <w:proofErr w:type="spellEnd"/>
      <w:r>
        <w:rPr>
          <w:sz w:val="22"/>
          <w:szCs w:val="22"/>
        </w:rPr>
        <w:t xml:space="preserve"> tool in a new </w:t>
      </w:r>
      <w:proofErr w:type="spellStart"/>
      <w:r>
        <w:rPr>
          <w:sz w:val="22"/>
          <w:szCs w:val="22"/>
        </w:rPr>
        <w:t>surgical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scenario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Aesthetic</w:t>
      </w:r>
      <w:proofErr w:type="spellEnd"/>
      <w:r>
        <w:rPr>
          <w:sz w:val="22"/>
          <w:szCs w:val="22"/>
        </w:rPr>
        <w:t xml:space="preserve"> Plastic </w:t>
      </w:r>
      <w:proofErr w:type="spellStart"/>
      <w:r>
        <w:rPr>
          <w:sz w:val="22"/>
          <w:szCs w:val="22"/>
        </w:rPr>
        <w:t>Surgery</w:t>
      </w:r>
      <w:proofErr w:type="spellEnd"/>
      <w:r>
        <w:rPr>
          <w:sz w:val="22"/>
          <w:szCs w:val="22"/>
        </w:rPr>
        <w:t>, v. 49, n. 1, p. 1-10, set. 2025.</w:t>
      </w:r>
    </w:p>
    <w:p w14:paraId="454187D6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2. VIEIRA, L. F. D. F. V. et al. </w:t>
      </w:r>
      <w:proofErr w:type="spellStart"/>
      <w:r>
        <w:rPr>
          <w:sz w:val="22"/>
          <w:szCs w:val="22"/>
        </w:rPr>
        <w:t>Author</w:t>
      </w:r>
      <w:proofErr w:type="spellEnd"/>
      <w:r>
        <w:rPr>
          <w:sz w:val="22"/>
          <w:szCs w:val="22"/>
        </w:rPr>
        <w:t xml:space="preserve"> Response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Letter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Editor: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liposuction</w:t>
      </w:r>
      <w:proofErr w:type="spellEnd"/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safety</w:t>
      </w:r>
      <w:proofErr w:type="spellEnd"/>
      <w:r>
        <w:rPr>
          <w:sz w:val="22"/>
          <w:szCs w:val="22"/>
        </w:rPr>
        <w:t xml:space="preserve"> tool in a new </w:t>
      </w:r>
      <w:proofErr w:type="spellStart"/>
      <w:r>
        <w:rPr>
          <w:sz w:val="22"/>
          <w:szCs w:val="22"/>
        </w:rPr>
        <w:t>surgical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scenario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Aesthetic</w:t>
      </w:r>
      <w:proofErr w:type="spellEnd"/>
      <w:r>
        <w:rPr>
          <w:sz w:val="22"/>
          <w:szCs w:val="22"/>
        </w:rPr>
        <w:t xml:space="preserve"> Plastic </w:t>
      </w:r>
      <w:proofErr w:type="spellStart"/>
      <w:r>
        <w:rPr>
          <w:sz w:val="22"/>
          <w:szCs w:val="22"/>
        </w:rPr>
        <w:t>Surgery</w:t>
      </w:r>
      <w:proofErr w:type="spellEnd"/>
      <w:r>
        <w:rPr>
          <w:sz w:val="22"/>
          <w:szCs w:val="22"/>
        </w:rPr>
        <w:t>, 2025.</w:t>
      </w:r>
    </w:p>
    <w:p w14:paraId="7E04F561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3. WATERS, J. H. et al. </w:t>
      </w:r>
      <w:proofErr w:type="spellStart"/>
      <w:r>
        <w:rPr>
          <w:sz w:val="22"/>
          <w:szCs w:val="22"/>
        </w:rPr>
        <w:t>Bacterial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reduction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washing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leukocyte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depletion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filtration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Anesthesiology</w:t>
      </w:r>
      <w:proofErr w:type="spellEnd"/>
      <w:r>
        <w:rPr>
          <w:sz w:val="22"/>
          <w:szCs w:val="22"/>
        </w:rPr>
        <w:t>, v. 99, n. 3, p. 652-655, set. 2003.</w:t>
      </w:r>
    </w:p>
    <w:p w14:paraId="1F4685DF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4. DROSOS, G. I. et al.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transfusion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cytokines</w:t>
      </w:r>
      <w:proofErr w:type="spellEnd"/>
      <w:r>
        <w:rPr>
          <w:sz w:val="22"/>
          <w:szCs w:val="22"/>
        </w:rPr>
        <w:t xml:space="preserve">' </w:t>
      </w:r>
      <w:proofErr w:type="spellStart"/>
      <w:r>
        <w:rPr>
          <w:sz w:val="22"/>
          <w:szCs w:val="22"/>
        </w:rPr>
        <w:t>changes</w:t>
      </w:r>
      <w:proofErr w:type="spellEnd"/>
      <w:r>
        <w:rPr>
          <w:sz w:val="22"/>
          <w:szCs w:val="22"/>
        </w:rPr>
        <w:t xml:space="preserve"> in total </w:t>
      </w:r>
      <w:proofErr w:type="spellStart"/>
      <w:r>
        <w:rPr>
          <w:sz w:val="22"/>
          <w:szCs w:val="22"/>
        </w:rPr>
        <w:t>knee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replacement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Archives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Orthopaedic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Trauma </w:t>
      </w:r>
      <w:proofErr w:type="spellStart"/>
      <w:r>
        <w:rPr>
          <w:sz w:val="22"/>
          <w:szCs w:val="22"/>
        </w:rPr>
        <w:t>Surgery</w:t>
      </w:r>
      <w:proofErr w:type="spellEnd"/>
      <w:r>
        <w:rPr>
          <w:sz w:val="22"/>
          <w:szCs w:val="22"/>
        </w:rPr>
        <w:t>, v. 132, n. 10, p. 1505-1513, jun. 2012.</w:t>
      </w:r>
    </w:p>
    <w:p w14:paraId="6F8A8AC2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5. ASHWORTH, A.; KLEIN, A. A.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as </w:t>
      </w:r>
      <w:proofErr w:type="spellStart"/>
      <w:r>
        <w:rPr>
          <w:sz w:val="22"/>
          <w:szCs w:val="22"/>
        </w:rPr>
        <w:t>part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conservation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strategy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anaesthesia</w:t>
      </w:r>
      <w:proofErr w:type="spellEnd"/>
      <w:r>
        <w:rPr>
          <w:sz w:val="22"/>
          <w:szCs w:val="22"/>
        </w:rPr>
        <w:t xml:space="preserve">. British </w:t>
      </w:r>
      <w:proofErr w:type="spellStart"/>
      <w:r>
        <w:rPr>
          <w:sz w:val="22"/>
          <w:szCs w:val="22"/>
        </w:rPr>
        <w:t>Journal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Anaesthesia</w:t>
      </w:r>
      <w:proofErr w:type="spellEnd"/>
      <w:r>
        <w:rPr>
          <w:sz w:val="22"/>
          <w:szCs w:val="22"/>
        </w:rPr>
        <w:t>, v. 105, n. 4, p. 401-416, out. 2010.</w:t>
      </w:r>
    </w:p>
    <w:p w14:paraId="30FA3102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6. SLOB, J. et al.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bacterially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contaminated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surgical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fields</w:t>
      </w:r>
      <w:proofErr w:type="spellEnd"/>
      <w:r>
        <w:rPr>
          <w:sz w:val="22"/>
          <w:szCs w:val="22"/>
        </w:rPr>
        <w:t xml:space="preserve"> – a </w:t>
      </w:r>
      <w:proofErr w:type="spellStart"/>
      <w:r>
        <w:rPr>
          <w:sz w:val="22"/>
          <w:szCs w:val="22"/>
        </w:rPr>
        <w:t>scoping</w:t>
      </w:r>
      <w:proofErr w:type="spellEnd"/>
      <w:r>
        <w:rPr>
          <w:sz w:val="22"/>
          <w:szCs w:val="22"/>
        </w:rPr>
        <w:t xml:space="preserve"> review. PLoS </w:t>
      </w:r>
      <w:proofErr w:type="spellStart"/>
      <w:r>
        <w:rPr>
          <w:sz w:val="22"/>
          <w:szCs w:val="22"/>
        </w:rPr>
        <w:t>One</w:t>
      </w:r>
      <w:proofErr w:type="spellEnd"/>
      <w:r>
        <w:rPr>
          <w:sz w:val="22"/>
          <w:szCs w:val="22"/>
        </w:rPr>
        <w:t>, v. 21, n. 1, p. e0339574, jan. 2026.</w:t>
      </w:r>
    </w:p>
    <w:p w14:paraId="0936EF60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7. GÄBEL, J. et al.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cardiotomy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suction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improves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balance </w:t>
      </w:r>
      <w:proofErr w:type="spellStart"/>
      <w:r>
        <w:rPr>
          <w:sz w:val="22"/>
          <w:szCs w:val="22"/>
        </w:rPr>
        <w:t>between</w:t>
      </w:r>
      <w:proofErr w:type="spellEnd"/>
      <w:r>
        <w:rPr>
          <w:sz w:val="22"/>
          <w:szCs w:val="22"/>
        </w:rPr>
        <w:t xml:space="preserve"> pro-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anti-inflammatory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cytokines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cardiac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surgery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European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Journal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Cardio-Thoracic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Surgery</w:t>
      </w:r>
      <w:proofErr w:type="spellEnd"/>
      <w:r>
        <w:rPr>
          <w:sz w:val="22"/>
          <w:szCs w:val="22"/>
        </w:rPr>
        <w:t>, v. 44, n. 3, p. 506-511, fev. 2013.</w:t>
      </w:r>
    </w:p>
    <w:p w14:paraId="1B89DA98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8. LINDAU, S. et al.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continuous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autotransfusion</w:t>
      </w:r>
      <w:proofErr w:type="spellEnd"/>
      <w:r>
        <w:rPr>
          <w:sz w:val="22"/>
          <w:szCs w:val="22"/>
        </w:rPr>
        <w:t xml:space="preserve"> device </w:t>
      </w:r>
      <w:proofErr w:type="spellStart"/>
      <w:r>
        <w:rPr>
          <w:sz w:val="22"/>
          <w:szCs w:val="22"/>
        </w:rPr>
        <w:t>CATSmart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observational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bicenter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technical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evaluation</w:t>
      </w:r>
      <w:proofErr w:type="spellEnd"/>
      <w:r>
        <w:rPr>
          <w:sz w:val="22"/>
          <w:szCs w:val="22"/>
        </w:rPr>
        <w:t xml:space="preserve">. BMC </w:t>
      </w:r>
      <w:proofErr w:type="spellStart"/>
      <w:r>
        <w:rPr>
          <w:sz w:val="22"/>
          <w:szCs w:val="22"/>
        </w:rPr>
        <w:t>Anesthesiology</w:t>
      </w:r>
      <w:proofErr w:type="spellEnd"/>
      <w:r>
        <w:rPr>
          <w:sz w:val="22"/>
          <w:szCs w:val="22"/>
        </w:rPr>
        <w:t>, v. 18, n. 1, p. 189, dez. 2018.</w:t>
      </w:r>
    </w:p>
    <w:p w14:paraId="1293ACD9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9. BOOKE, M. et al. Fat </w:t>
      </w:r>
      <w:proofErr w:type="spellStart"/>
      <w:r>
        <w:rPr>
          <w:sz w:val="22"/>
          <w:szCs w:val="22"/>
        </w:rPr>
        <w:t>elimination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during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intraoperative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autotransfusion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in vitro </w:t>
      </w:r>
      <w:proofErr w:type="spellStart"/>
      <w:r>
        <w:rPr>
          <w:sz w:val="22"/>
          <w:szCs w:val="22"/>
        </w:rPr>
        <w:t>investigation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Anesthesia</w:t>
      </w:r>
      <w:proofErr w:type="spellEnd"/>
      <w:r>
        <w:rPr>
          <w:sz w:val="22"/>
          <w:szCs w:val="22"/>
        </w:rPr>
        <w:t xml:space="preserve"> &amp; Analgesia, v. 85, n. 5, p. 959-962, nov. 1997.</w:t>
      </w:r>
    </w:p>
    <w:p w14:paraId="465ABA14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10. KEELING, M. M. et al. </w:t>
      </w:r>
      <w:proofErr w:type="spellStart"/>
      <w:r>
        <w:rPr>
          <w:sz w:val="22"/>
          <w:szCs w:val="22"/>
        </w:rPr>
        <w:t>Intraoperative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autotransfusion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experience</w:t>
      </w:r>
      <w:proofErr w:type="spellEnd"/>
      <w:r>
        <w:rPr>
          <w:sz w:val="22"/>
          <w:szCs w:val="22"/>
        </w:rPr>
        <w:t xml:space="preserve"> in 725 </w:t>
      </w:r>
      <w:proofErr w:type="spellStart"/>
      <w:r>
        <w:rPr>
          <w:sz w:val="22"/>
          <w:szCs w:val="22"/>
        </w:rPr>
        <w:t>consecutive</w:t>
      </w:r>
      <w:proofErr w:type="spellEnd"/>
      <w:r>
        <w:rPr>
          <w:sz w:val="22"/>
          <w:szCs w:val="22"/>
        </w:rPr>
        <w:t xml:space="preserve"> cases. </w:t>
      </w:r>
      <w:proofErr w:type="spellStart"/>
      <w:r>
        <w:rPr>
          <w:sz w:val="22"/>
          <w:szCs w:val="22"/>
        </w:rPr>
        <w:t>Annals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Surgery</w:t>
      </w:r>
      <w:proofErr w:type="spellEnd"/>
      <w:r>
        <w:rPr>
          <w:sz w:val="22"/>
          <w:szCs w:val="22"/>
        </w:rPr>
        <w:t>, v. 197, n. 5, p. 536-541, maio 1983.</w:t>
      </w:r>
    </w:p>
    <w:p w14:paraId="21A1626A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11. ROETS, M. et al. </w:t>
      </w:r>
      <w:proofErr w:type="spellStart"/>
      <w:r>
        <w:rPr>
          <w:sz w:val="22"/>
          <w:szCs w:val="22"/>
        </w:rPr>
        <w:t>Intraoperative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as </w:t>
      </w:r>
      <w:proofErr w:type="spellStart"/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alternative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allogeneic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donated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transfusion</w:t>
      </w:r>
      <w:proofErr w:type="spellEnd"/>
      <w:r>
        <w:rPr>
          <w:sz w:val="22"/>
          <w:szCs w:val="22"/>
        </w:rPr>
        <w:t xml:space="preserve">: a </w:t>
      </w:r>
      <w:proofErr w:type="spellStart"/>
      <w:r>
        <w:rPr>
          <w:sz w:val="22"/>
          <w:szCs w:val="22"/>
        </w:rPr>
        <w:t>prospective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observational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evaluation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immune</w:t>
      </w:r>
      <w:proofErr w:type="spellEnd"/>
      <w:r>
        <w:rPr>
          <w:sz w:val="22"/>
          <w:szCs w:val="22"/>
        </w:rPr>
        <w:t xml:space="preserve"> response profile.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Transplantation</w:t>
      </w:r>
      <w:proofErr w:type="spellEnd"/>
      <w:r>
        <w:rPr>
          <w:sz w:val="22"/>
          <w:szCs w:val="22"/>
        </w:rPr>
        <w:t>, v. 29, p. 1-15, out. 2020.</w:t>
      </w:r>
    </w:p>
    <w:p w14:paraId="47494B7B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12. HEISS, M. M. et al. </w:t>
      </w:r>
      <w:proofErr w:type="spellStart"/>
      <w:r>
        <w:rPr>
          <w:sz w:val="22"/>
          <w:szCs w:val="22"/>
        </w:rPr>
        <w:t>Modulation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immune</w:t>
      </w:r>
      <w:proofErr w:type="spellEnd"/>
      <w:r>
        <w:rPr>
          <w:sz w:val="22"/>
          <w:szCs w:val="22"/>
        </w:rPr>
        <w:t xml:space="preserve"> response </w:t>
      </w:r>
      <w:proofErr w:type="spellStart"/>
      <w:r>
        <w:rPr>
          <w:sz w:val="22"/>
          <w:szCs w:val="22"/>
        </w:rPr>
        <w:t>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transfusion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evidence</w:t>
      </w:r>
      <w:proofErr w:type="spellEnd"/>
      <w:r>
        <w:rPr>
          <w:sz w:val="22"/>
          <w:szCs w:val="22"/>
        </w:rPr>
        <w:t xml:space="preserve"> for a </w:t>
      </w:r>
      <w:proofErr w:type="spellStart"/>
      <w:r>
        <w:rPr>
          <w:sz w:val="22"/>
          <w:szCs w:val="22"/>
        </w:rPr>
        <w:t>differential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effect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allogeneic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autologous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colorectal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cancer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surgery</w:t>
      </w:r>
      <w:proofErr w:type="spellEnd"/>
      <w:r>
        <w:rPr>
          <w:sz w:val="22"/>
          <w:szCs w:val="22"/>
        </w:rPr>
        <w:t>. Shock, v. 8, n. 6, p. 402-408, dez. 1997.</w:t>
      </w:r>
    </w:p>
    <w:p w14:paraId="61E198C1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13. AVALL, A. et al. </w:t>
      </w:r>
      <w:proofErr w:type="spellStart"/>
      <w:r>
        <w:rPr>
          <w:sz w:val="22"/>
          <w:szCs w:val="22"/>
        </w:rPr>
        <w:t>Postoperative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inflammatory</w:t>
      </w:r>
      <w:proofErr w:type="spellEnd"/>
      <w:r>
        <w:rPr>
          <w:sz w:val="22"/>
          <w:szCs w:val="22"/>
        </w:rPr>
        <w:t xml:space="preserve"> response </w:t>
      </w:r>
      <w:proofErr w:type="spellStart"/>
      <w:r>
        <w:rPr>
          <w:sz w:val="22"/>
          <w:szCs w:val="22"/>
        </w:rPr>
        <w:t>after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autologous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allogeneic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transfusion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Anesthesiology</w:t>
      </w:r>
      <w:proofErr w:type="spellEnd"/>
      <w:r>
        <w:rPr>
          <w:sz w:val="22"/>
          <w:szCs w:val="22"/>
        </w:rPr>
        <w:t>, v. 87, n. 3, p. 511-516, set. 1997.</w:t>
      </w:r>
    </w:p>
    <w:p w14:paraId="26AE139C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14. SPAIN, D. A. et al. </w:t>
      </w:r>
      <w:proofErr w:type="spellStart"/>
      <w:r>
        <w:rPr>
          <w:sz w:val="22"/>
          <w:szCs w:val="22"/>
        </w:rPr>
        <w:t>Quality</w:t>
      </w:r>
      <w:proofErr w:type="spellEnd"/>
      <w:r>
        <w:rPr>
          <w:sz w:val="22"/>
          <w:szCs w:val="22"/>
        </w:rPr>
        <w:t xml:space="preserve"> assessment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intraoperative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autotransfusion</w:t>
      </w:r>
      <w:proofErr w:type="spellEnd"/>
      <w:r>
        <w:rPr>
          <w:sz w:val="22"/>
          <w:szCs w:val="22"/>
        </w:rPr>
        <w:t xml:space="preserve">. The American </w:t>
      </w:r>
      <w:proofErr w:type="spellStart"/>
      <w:r>
        <w:rPr>
          <w:sz w:val="22"/>
          <w:szCs w:val="22"/>
        </w:rPr>
        <w:t>Surgeon</w:t>
      </w:r>
      <w:proofErr w:type="spellEnd"/>
      <w:r>
        <w:rPr>
          <w:sz w:val="22"/>
          <w:szCs w:val="22"/>
        </w:rPr>
        <w:t>, v. 63, n. 11, p. 1026-1031, nov. 1997.</w:t>
      </w:r>
    </w:p>
    <w:p w14:paraId="7F3305EF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lastRenderedPageBreak/>
        <w:t xml:space="preserve">15. ZHOU, Y. et al. Risk </w:t>
      </w:r>
      <w:proofErr w:type="spellStart"/>
      <w:r>
        <w:rPr>
          <w:sz w:val="22"/>
          <w:szCs w:val="22"/>
        </w:rPr>
        <w:t>factors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associated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with</w:t>
      </w:r>
      <w:proofErr w:type="spellEnd"/>
      <w:r>
        <w:rPr>
          <w:sz w:val="22"/>
          <w:szCs w:val="22"/>
        </w:rPr>
        <w:t xml:space="preserve"> positive </w:t>
      </w:r>
      <w:proofErr w:type="spellStart"/>
      <w:r>
        <w:rPr>
          <w:sz w:val="22"/>
          <w:szCs w:val="22"/>
        </w:rPr>
        <w:t>bacterial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culture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salvaged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cells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during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cardiac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surgery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postoperative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infection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incidence</w:t>
      </w:r>
      <w:proofErr w:type="spellEnd"/>
      <w:r>
        <w:rPr>
          <w:sz w:val="22"/>
          <w:szCs w:val="22"/>
        </w:rPr>
        <w:t xml:space="preserve">: a </w:t>
      </w:r>
      <w:proofErr w:type="spellStart"/>
      <w:r>
        <w:rPr>
          <w:sz w:val="22"/>
          <w:szCs w:val="22"/>
        </w:rPr>
        <w:t>prospective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cohort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study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Frontiers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in Medicine</w:t>
      </w:r>
      <w:proofErr w:type="gramEnd"/>
      <w:r>
        <w:rPr>
          <w:sz w:val="22"/>
          <w:szCs w:val="22"/>
        </w:rPr>
        <w:t>, v. 10, p. 1-10, fev. 2023.</w:t>
      </w:r>
    </w:p>
    <w:p w14:paraId="63779FDA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>16. TIBI, P. et al. STS/SCA/</w:t>
      </w:r>
      <w:proofErr w:type="spellStart"/>
      <w:r>
        <w:rPr>
          <w:sz w:val="22"/>
          <w:szCs w:val="22"/>
        </w:rPr>
        <w:t>AmSECT</w:t>
      </w:r>
      <w:proofErr w:type="spellEnd"/>
      <w:r>
        <w:rPr>
          <w:sz w:val="22"/>
          <w:szCs w:val="22"/>
        </w:rPr>
        <w:t xml:space="preserve">/SABM update </w:t>
      </w:r>
      <w:proofErr w:type="spellStart"/>
      <w:r>
        <w:rPr>
          <w:sz w:val="22"/>
          <w:szCs w:val="22"/>
        </w:rPr>
        <w:t>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clinical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practice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guidelines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patient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management. </w:t>
      </w:r>
      <w:proofErr w:type="spellStart"/>
      <w:r>
        <w:rPr>
          <w:sz w:val="22"/>
          <w:szCs w:val="22"/>
        </w:rPr>
        <w:t>Journal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ExtraCorporeal</w:t>
      </w:r>
      <w:proofErr w:type="spellEnd"/>
      <w:r>
        <w:rPr>
          <w:sz w:val="22"/>
          <w:szCs w:val="22"/>
        </w:rPr>
        <w:t xml:space="preserve"> Technology, v. 53, n. 2, p. 97-124, jun. 2021.</w:t>
      </w:r>
    </w:p>
    <w:p w14:paraId="7F3C5C1D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17. SEYFRIED, T. F. et al. The </w:t>
      </w:r>
      <w:proofErr w:type="spellStart"/>
      <w:r>
        <w:rPr>
          <w:sz w:val="22"/>
          <w:szCs w:val="22"/>
        </w:rPr>
        <w:t>impact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bowl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size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program</w:t>
      </w:r>
      <w:proofErr w:type="spellEnd"/>
      <w:r>
        <w:rPr>
          <w:sz w:val="22"/>
          <w:szCs w:val="22"/>
        </w:rPr>
        <w:t xml:space="preserve"> setup,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hematocrit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performance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discontinuous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autotransfusion</w:t>
      </w:r>
      <w:proofErr w:type="spellEnd"/>
      <w:r>
        <w:rPr>
          <w:sz w:val="22"/>
          <w:szCs w:val="22"/>
        </w:rPr>
        <w:t xml:space="preserve"> system. </w:t>
      </w:r>
      <w:proofErr w:type="spellStart"/>
      <w:r>
        <w:rPr>
          <w:sz w:val="22"/>
          <w:szCs w:val="22"/>
        </w:rPr>
        <w:t>Transfusion</w:t>
      </w:r>
      <w:proofErr w:type="spellEnd"/>
      <w:r>
        <w:rPr>
          <w:sz w:val="22"/>
          <w:szCs w:val="22"/>
        </w:rPr>
        <w:t>, v. 57, n. 3, p. 589-598, mar. 2017.</w:t>
      </w:r>
    </w:p>
    <w:p w14:paraId="49A6B048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18. SMITH, N. K. et al. The </w:t>
      </w:r>
      <w:proofErr w:type="spellStart"/>
      <w:r>
        <w:rPr>
          <w:sz w:val="22"/>
          <w:szCs w:val="22"/>
        </w:rPr>
        <w:t>optimal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settings </w:t>
      </w:r>
      <w:proofErr w:type="spellStart"/>
      <w:r>
        <w:rPr>
          <w:sz w:val="22"/>
          <w:szCs w:val="22"/>
        </w:rPr>
        <w:t>to</w:t>
      </w:r>
      <w:proofErr w:type="spellEnd"/>
      <w:r>
        <w:rPr>
          <w:sz w:val="22"/>
          <w:szCs w:val="22"/>
        </w:rPr>
        <w:t xml:space="preserve"> maximize </w:t>
      </w:r>
      <w:proofErr w:type="spellStart"/>
      <w:r>
        <w:rPr>
          <w:sz w:val="22"/>
          <w:szCs w:val="22"/>
        </w:rPr>
        <w:t>hematocrit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minimize </w:t>
      </w:r>
      <w:proofErr w:type="spellStart"/>
      <w:r>
        <w:rPr>
          <w:sz w:val="22"/>
          <w:szCs w:val="22"/>
        </w:rPr>
        <w:t>potassium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Cobe</w:t>
      </w:r>
      <w:proofErr w:type="spellEnd"/>
      <w:r>
        <w:rPr>
          <w:sz w:val="22"/>
          <w:szCs w:val="22"/>
        </w:rPr>
        <w:t xml:space="preserve"> BRAT2 </w:t>
      </w:r>
      <w:proofErr w:type="spellStart"/>
      <w:r>
        <w:rPr>
          <w:sz w:val="22"/>
          <w:szCs w:val="22"/>
        </w:rPr>
        <w:t>autologous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recovery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Journal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Cardiothoracic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Vascular </w:t>
      </w:r>
      <w:proofErr w:type="spellStart"/>
      <w:r>
        <w:rPr>
          <w:sz w:val="22"/>
          <w:szCs w:val="22"/>
        </w:rPr>
        <w:t>Anesthesia</w:t>
      </w:r>
      <w:proofErr w:type="spellEnd"/>
      <w:r>
        <w:rPr>
          <w:sz w:val="22"/>
          <w:szCs w:val="22"/>
        </w:rPr>
        <w:t>, v. 36, n. 7, p. 1893-1900, ago. 2022.</w:t>
      </w:r>
    </w:p>
    <w:p w14:paraId="1AC59BCA" w14:textId="77777777" w:rsidR="00FB25F4" w:rsidRDefault="00000000">
      <w:pPr>
        <w:spacing w:after="160" w:line="320" w:lineRule="auto"/>
        <w:ind w:left="720" w:hanging="720"/>
        <w:jc w:val="both"/>
      </w:pPr>
      <w:r>
        <w:rPr>
          <w:sz w:val="22"/>
          <w:szCs w:val="22"/>
        </w:rPr>
        <w:t xml:space="preserve">19. VIEIRA, S. D. et al. </w:t>
      </w:r>
      <w:proofErr w:type="spellStart"/>
      <w:r>
        <w:rPr>
          <w:sz w:val="22"/>
          <w:szCs w:val="22"/>
        </w:rPr>
        <w:t>Quality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intraoperative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autologous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salvage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cardiac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surgery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Transfusion</w:t>
      </w:r>
      <w:proofErr w:type="spellEnd"/>
      <w:r>
        <w:rPr>
          <w:sz w:val="22"/>
          <w:szCs w:val="22"/>
        </w:rPr>
        <w:t>, v. 65, n. 10, p. 1861-1868, out. 2025.</w:t>
      </w:r>
    </w:p>
    <w:p w14:paraId="5632AF16" w14:textId="310B3291" w:rsidR="00FB25F4" w:rsidRDefault="00000000" w:rsidP="00F96125">
      <w:r>
        <w:rPr>
          <w:b/>
          <w:bCs/>
          <w:caps/>
          <w:sz w:val="26"/>
          <w:szCs w:val="26"/>
        </w:rPr>
        <w:t xml:space="preserve"> </w:t>
      </w:r>
    </w:p>
    <w:sectPr w:rsidR="00FB25F4">
      <w:footerReference w:type="default" r:id="rId7"/>
      <w:pgSz w:w="11906" w:h="16838"/>
      <w:pgMar w:top="1701" w:right="1134" w:bottom="1701" w:left="1701" w:header="708" w:footer="708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9C4A2" w14:textId="77777777" w:rsidR="00B46AB7" w:rsidRDefault="00B46AB7">
      <w:r>
        <w:separator/>
      </w:r>
    </w:p>
  </w:endnote>
  <w:endnote w:type="continuationSeparator" w:id="0">
    <w:p w14:paraId="111EB6BB" w14:textId="77777777" w:rsidR="00B46AB7" w:rsidRDefault="00B4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244A" w14:textId="77777777" w:rsidR="00FB25F4" w:rsidRDefault="00000000">
    <w:pPr>
      <w:jc w:val="center"/>
    </w:pPr>
    <w:r>
      <w:rPr>
        <w:color w:val="666666"/>
        <w:sz w:val="20"/>
        <w:szCs w:val="20"/>
      </w:rPr>
      <w:t xml:space="preserve">Página </w:t>
    </w:r>
    <w:r>
      <w:rPr>
        <w:color w:val="666666"/>
        <w:sz w:val="20"/>
        <w:szCs w:val="20"/>
      </w:rPr>
      <w:fldChar w:fldCharType="begin"/>
    </w:r>
    <w:r>
      <w:rPr>
        <w:color w:val="666666"/>
        <w:sz w:val="20"/>
        <w:szCs w:val="20"/>
      </w:rPr>
      <w:instrText>PAGE</w:instrText>
    </w:r>
    <w:r>
      <w:rPr>
        <w:color w:val="666666"/>
        <w:sz w:val="20"/>
        <w:szCs w:val="20"/>
      </w:rPr>
      <w:fldChar w:fldCharType="separate"/>
    </w:r>
    <w:r w:rsidR="00BD7AD8">
      <w:rPr>
        <w:noProof/>
        <w:color w:val="666666"/>
        <w:sz w:val="20"/>
        <w:szCs w:val="20"/>
      </w:rPr>
      <w:t>2</w:t>
    </w:r>
    <w:r>
      <w:rPr>
        <w:color w:val="666666"/>
        <w:sz w:val="20"/>
        <w:szCs w:val="20"/>
      </w:rPr>
      <w:fldChar w:fldCharType="end"/>
    </w:r>
    <w:r>
      <w:rPr>
        <w:color w:val="666666"/>
        <w:sz w:val="20"/>
        <w:szCs w:val="20"/>
      </w:rPr>
      <w:t xml:space="preserve"> de </w:t>
    </w:r>
    <w:r>
      <w:rPr>
        <w:color w:val="666666"/>
        <w:sz w:val="20"/>
        <w:szCs w:val="20"/>
      </w:rPr>
      <w:fldChar w:fldCharType="begin"/>
    </w:r>
    <w:r>
      <w:rPr>
        <w:color w:val="666666"/>
        <w:sz w:val="20"/>
        <w:szCs w:val="20"/>
      </w:rPr>
      <w:instrText>NUMPAGES</w:instrText>
    </w:r>
    <w:r>
      <w:rPr>
        <w:color w:val="666666"/>
        <w:sz w:val="20"/>
        <w:szCs w:val="20"/>
      </w:rPr>
      <w:fldChar w:fldCharType="separate"/>
    </w:r>
    <w:r w:rsidR="00BD7AD8">
      <w:rPr>
        <w:noProof/>
        <w:color w:val="666666"/>
        <w:sz w:val="20"/>
        <w:szCs w:val="20"/>
      </w:rPr>
      <w:t>3</w:t>
    </w:r>
    <w:r>
      <w:rPr>
        <w:color w:val="66666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BFED3" w14:textId="77777777" w:rsidR="00B46AB7" w:rsidRDefault="00B46AB7">
      <w:r>
        <w:separator/>
      </w:r>
    </w:p>
  </w:footnote>
  <w:footnote w:type="continuationSeparator" w:id="0">
    <w:p w14:paraId="6FF08EF8" w14:textId="77777777" w:rsidR="00B46AB7" w:rsidRDefault="00B46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836C4"/>
    <w:multiLevelType w:val="hybridMultilevel"/>
    <w:tmpl w:val="9D58B208"/>
    <w:lvl w:ilvl="0" w:tplc="7DB2952E">
      <w:start w:val="1"/>
      <w:numFmt w:val="bullet"/>
      <w:lvlText w:val="•"/>
      <w:lvlJc w:val="left"/>
      <w:pPr>
        <w:ind w:left="720" w:hanging="360"/>
      </w:pPr>
    </w:lvl>
    <w:lvl w:ilvl="1" w:tplc="6D3C3266">
      <w:numFmt w:val="decimal"/>
      <w:lvlText w:val=""/>
      <w:lvlJc w:val="left"/>
    </w:lvl>
    <w:lvl w:ilvl="2" w:tplc="C0CABDE6">
      <w:numFmt w:val="decimal"/>
      <w:lvlText w:val=""/>
      <w:lvlJc w:val="left"/>
    </w:lvl>
    <w:lvl w:ilvl="3" w:tplc="9D184A02">
      <w:numFmt w:val="decimal"/>
      <w:lvlText w:val=""/>
      <w:lvlJc w:val="left"/>
    </w:lvl>
    <w:lvl w:ilvl="4" w:tplc="9280A35E">
      <w:numFmt w:val="decimal"/>
      <w:lvlText w:val=""/>
      <w:lvlJc w:val="left"/>
    </w:lvl>
    <w:lvl w:ilvl="5" w:tplc="DA1AB040">
      <w:numFmt w:val="decimal"/>
      <w:lvlText w:val=""/>
      <w:lvlJc w:val="left"/>
    </w:lvl>
    <w:lvl w:ilvl="6" w:tplc="13DAD70E">
      <w:numFmt w:val="decimal"/>
      <w:lvlText w:val=""/>
      <w:lvlJc w:val="left"/>
    </w:lvl>
    <w:lvl w:ilvl="7" w:tplc="CEBC775E">
      <w:numFmt w:val="decimal"/>
      <w:lvlText w:val=""/>
      <w:lvlJc w:val="left"/>
    </w:lvl>
    <w:lvl w:ilvl="8" w:tplc="B81A65FA">
      <w:numFmt w:val="decimal"/>
      <w:lvlText w:val=""/>
      <w:lvlJc w:val="left"/>
    </w:lvl>
  </w:abstractNum>
  <w:abstractNum w:abstractNumId="1" w15:restartNumberingAfterBreak="0">
    <w:nsid w:val="697D32E7"/>
    <w:multiLevelType w:val="hybridMultilevel"/>
    <w:tmpl w:val="F6F264B2"/>
    <w:lvl w:ilvl="0" w:tplc="72909F78">
      <w:start w:val="1"/>
      <w:numFmt w:val="bullet"/>
      <w:lvlText w:val="●"/>
      <w:lvlJc w:val="left"/>
      <w:pPr>
        <w:ind w:left="720" w:hanging="360"/>
      </w:pPr>
    </w:lvl>
    <w:lvl w:ilvl="1" w:tplc="62E41D14">
      <w:start w:val="1"/>
      <w:numFmt w:val="bullet"/>
      <w:lvlText w:val="○"/>
      <w:lvlJc w:val="left"/>
      <w:pPr>
        <w:ind w:left="1440" w:hanging="360"/>
      </w:pPr>
    </w:lvl>
    <w:lvl w:ilvl="2" w:tplc="DF681564">
      <w:start w:val="1"/>
      <w:numFmt w:val="bullet"/>
      <w:lvlText w:val="■"/>
      <w:lvlJc w:val="left"/>
      <w:pPr>
        <w:ind w:left="2160" w:hanging="360"/>
      </w:pPr>
    </w:lvl>
    <w:lvl w:ilvl="3" w:tplc="E9DE7620">
      <w:start w:val="1"/>
      <w:numFmt w:val="bullet"/>
      <w:lvlText w:val="●"/>
      <w:lvlJc w:val="left"/>
      <w:pPr>
        <w:ind w:left="2880" w:hanging="360"/>
      </w:pPr>
    </w:lvl>
    <w:lvl w:ilvl="4" w:tplc="0E9E25F2">
      <w:start w:val="1"/>
      <w:numFmt w:val="bullet"/>
      <w:lvlText w:val="○"/>
      <w:lvlJc w:val="left"/>
      <w:pPr>
        <w:ind w:left="3600" w:hanging="360"/>
      </w:pPr>
    </w:lvl>
    <w:lvl w:ilvl="5" w:tplc="1FE272E8">
      <w:start w:val="1"/>
      <w:numFmt w:val="bullet"/>
      <w:lvlText w:val="■"/>
      <w:lvlJc w:val="left"/>
      <w:pPr>
        <w:ind w:left="4320" w:hanging="360"/>
      </w:pPr>
    </w:lvl>
    <w:lvl w:ilvl="6" w:tplc="D206E43E">
      <w:start w:val="1"/>
      <w:numFmt w:val="bullet"/>
      <w:lvlText w:val="●"/>
      <w:lvlJc w:val="left"/>
      <w:pPr>
        <w:ind w:left="5040" w:hanging="360"/>
      </w:pPr>
    </w:lvl>
    <w:lvl w:ilvl="7" w:tplc="ADB0BCA8">
      <w:start w:val="1"/>
      <w:numFmt w:val="bullet"/>
      <w:lvlText w:val="●"/>
      <w:lvlJc w:val="left"/>
      <w:pPr>
        <w:ind w:left="5760" w:hanging="360"/>
      </w:pPr>
    </w:lvl>
    <w:lvl w:ilvl="8" w:tplc="109812E6">
      <w:start w:val="1"/>
      <w:numFmt w:val="bullet"/>
      <w:lvlText w:val="●"/>
      <w:lvlJc w:val="left"/>
      <w:pPr>
        <w:ind w:left="6480" w:hanging="360"/>
      </w:pPr>
    </w:lvl>
  </w:abstractNum>
  <w:num w:numId="1" w16cid:durableId="1434863798">
    <w:abstractNumId w:val="1"/>
    <w:lvlOverride w:ilvl="0">
      <w:startOverride w:val="1"/>
    </w:lvlOverride>
  </w:num>
  <w:num w:numId="2" w16cid:durableId="12718180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5F4"/>
    <w:rsid w:val="002D011C"/>
    <w:rsid w:val="00B46AB7"/>
    <w:rsid w:val="00BD7AD8"/>
    <w:rsid w:val="00F96125"/>
    <w:rsid w:val="00FB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F6402"/>
  <w15:docId w15:val="{2BFB65FA-8065-4848-BB45-EAC4E360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00" w:after="200"/>
      <w:outlineLvl w:val="0"/>
    </w:pPr>
    <w:rPr>
      <w:b/>
      <w:bCs/>
      <w:caps/>
      <w:sz w:val="26"/>
      <w:szCs w:val="26"/>
    </w:rPr>
  </w:style>
  <w:style w:type="paragraph" w:styleId="Ttulo2">
    <w:name w:val="heading 2"/>
    <w:uiPriority w:val="9"/>
    <w:semiHidden/>
    <w:unhideWhenUsed/>
    <w:qFormat/>
    <w:pPr>
      <w:spacing w:before="300" w:after="120"/>
      <w:outlineLvl w:val="1"/>
    </w:pPr>
    <w:rPr>
      <w:b/>
      <w:bCs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2960</Words>
  <Characters>15990</Characters>
  <Application>Microsoft Office Word</Application>
  <DocSecurity>0</DocSecurity>
  <Lines>133</Lines>
  <Paragraphs>37</Paragraphs>
  <ScaleCrop>false</ScaleCrop>
  <Company/>
  <LinksUpToDate>false</LinksUpToDate>
  <CharactersWithSpaces>18913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Raphael Sodré</cp:lastModifiedBy>
  <cp:revision>3</cp:revision>
  <dcterms:created xsi:type="dcterms:W3CDTF">2026-04-19T21:19:00Z</dcterms:created>
  <dcterms:modified xsi:type="dcterms:W3CDTF">2026-04-19T21:36:00Z</dcterms:modified>
</cp:coreProperties>
</file>