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16424" w14:textId="6490B8AA" w:rsidR="00302CB8" w:rsidRDefault="0043742D" w:rsidP="00302CB8">
      <w:pPr>
        <w:jc w:val="center"/>
        <w:rPr>
          <w:rFonts w:cstheme="minorHAnsi"/>
          <w:b/>
          <w:bCs/>
          <w:sz w:val="24"/>
          <w:szCs w:val="24"/>
        </w:rPr>
      </w:pPr>
      <w:r w:rsidRPr="0043742D">
        <w:rPr>
          <w:rFonts w:cstheme="minorHAnsi"/>
          <w:b/>
          <w:bCs/>
          <w:sz w:val="24"/>
          <w:szCs w:val="24"/>
        </w:rPr>
        <w:t>Avaliação dos padrões de contato dentário durante o bruxismo do sono em pacientes tratados com alinhadores ortodônticos</w:t>
      </w:r>
    </w:p>
    <w:p w14:paraId="7BFAEEC5" w14:textId="77777777" w:rsidR="0043742D" w:rsidRPr="00302CB8" w:rsidRDefault="0043742D" w:rsidP="00302CB8">
      <w:pPr>
        <w:jc w:val="center"/>
        <w:rPr>
          <w:rFonts w:cstheme="minorHAnsi"/>
          <w:b/>
          <w:bCs/>
        </w:rPr>
      </w:pPr>
    </w:p>
    <w:p w14:paraId="79D3C64F" w14:textId="7E4B072D" w:rsidR="00302CB8" w:rsidRPr="00302CB8" w:rsidRDefault="00302CB8" w:rsidP="00302CB8">
      <w:pPr>
        <w:jc w:val="center"/>
        <w:rPr>
          <w:rFonts w:cstheme="minorHAnsi"/>
          <w:b/>
          <w:bCs/>
        </w:rPr>
      </w:pPr>
      <w:r w:rsidRPr="00302CB8">
        <w:rPr>
          <w:rFonts w:cstheme="minorHAnsi"/>
          <w:b/>
          <w:bCs/>
        </w:rPr>
        <w:t>Projeto de pesquisa – Curso de Mestrado do aluno Genésio Aparecido Rosani</w:t>
      </w:r>
    </w:p>
    <w:p w14:paraId="369F8A79" w14:textId="77777777" w:rsidR="008430B9" w:rsidRDefault="008430B9" w:rsidP="008430B9">
      <w:pPr>
        <w:spacing w:line="360" w:lineRule="auto"/>
        <w:jc w:val="center"/>
        <w:rPr>
          <w:b/>
          <w:color w:val="000000" w:themeColor="text1"/>
          <w:sz w:val="24"/>
          <w:szCs w:val="24"/>
        </w:rPr>
      </w:pPr>
    </w:p>
    <w:p w14:paraId="3DB8672C" w14:textId="77777777" w:rsidR="00302CB8" w:rsidRDefault="00302CB8" w:rsidP="008430B9">
      <w:pPr>
        <w:spacing w:line="360" w:lineRule="auto"/>
        <w:jc w:val="center"/>
        <w:rPr>
          <w:bCs/>
          <w:color w:val="000000" w:themeColor="text1"/>
          <w:sz w:val="24"/>
          <w:szCs w:val="24"/>
        </w:rPr>
      </w:pPr>
      <w:r>
        <w:rPr>
          <w:b/>
          <w:color w:val="000000" w:themeColor="text1"/>
          <w:sz w:val="24"/>
          <w:szCs w:val="24"/>
        </w:rPr>
        <w:t>Equipe de Pesquisa:</w:t>
      </w:r>
      <w:r w:rsidR="008430B9" w:rsidRPr="00332FF5">
        <w:rPr>
          <w:bCs/>
          <w:color w:val="000000" w:themeColor="text1"/>
          <w:sz w:val="24"/>
          <w:szCs w:val="24"/>
        </w:rPr>
        <w:t xml:space="preserve"> </w:t>
      </w:r>
    </w:p>
    <w:p w14:paraId="43A49D1B" w14:textId="1D2BF219" w:rsidR="00302CB8" w:rsidRDefault="00302CB8" w:rsidP="008430B9">
      <w:pPr>
        <w:spacing w:line="360" w:lineRule="auto"/>
        <w:jc w:val="center"/>
        <w:rPr>
          <w:bCs/>
          <w:color w:val="000000" w:themeColor="text1"/>
          <w:sz w:val="24"/>
          <w:szCs w:val="24"/>
        </w:rPr>
      </w:pPr>
      <w:r w:rsidRPr="00332FF5">
        <w:rPr>
          <w:bCs/>
          <w:color w:val="000000" w:themeColor="text1"/>
          <w:sz w:val="24"/>
          <w:szCs w:val="24"/>
        </w:rPr>
        <w:t xml:space="preserve">Genésio Aparecido Rosani </w:t>
      </w:r>
      <w:r w:rsidRPr="00302CB8">
        <w:rPr>
          <w:b/>
          <w:color w:val="000000" w:themeColor="text1"/>
          <w:sz w:val="24"/>
          <w:szCs w:val="24"/>
        </w:rPr>
        <w:t>(Mestrado)</w:t>
      </w:r>
    </w:p>
    <w:p w14:paraId="7F7DD261" w14:textId="18FCBD90" w:rsidR="00302CB8" w:rsidRDefault="00302CB8" w:rsidP="008430B9">
      <w:pPr>
        <w:spacing w:line="360" w:lineRule="auto"/>
        <w:jc w:val="center"/>
        <w:rPr>
          <w:bCs/>
          <w:color w:val="000000" w:themeColor="text1"/>
          <w:sz w:val="24"/>
          <w:szCs w:val="24"/>
        </w:rPr>
      </w:pPr>
      <w:r w:rsidRPr="00332FF5">
        <w:rPr>
          <w:bCs/>
          <w:color w:val="000000" w:themeColor="text1"/>
          <w:sz w:val="24"/>
          <w:szCs w:val="24"/>
        </w:rPr>
        <w:t xml:space="preserve">Murilo Henrique Cruz </w:t>
      </w:r>
      <w:r w:rsidRPr="00302CB8">
        <w:rPr>
          <w:b/>
          <w:color w:val="000000" w:themeColor="text1"/>
          <w:sz w:val="24"/>
          <w:szCs w:val="24"/>
        </w:rPr>
        <w:t>(Doutorado)</w:t>
      </w:r>
    </w:p>
    <w:p w14:paraId="047D374F" w14:textId="7A47CEF9" w:rsidR="00302CB8" w:rsidRDefault="00302CB8" w:rsidP="00302CB8">
      <w:pPr>
        <w:spacing w:line="360" w:lineRule="auto"/>
        <w:jc w:val="center"/>
        <w:rPr>
          <w:bCs/>
          <w:color w:val="000000" w:themeColor="text1"/>
          <w:sz w:val="24"/>
          <w:szCs w:val="24"/>
        </w:rPr>
      </w:pPr>
      <w:r w:rsidRPr="00332FF5">
        <w:rPr>
          <w:bCs/>
          <w:color w:val="000000" w:themeColor="text1"/>
          <w:sz w:val="24"/>
          <w:szCs w:val="24"/>
        </w:rPr>
        <w:t>Jefferson Vinicius Bozelli</w:t>
      </w:r>
    </w:p>
    <w:p w14:paraId="72460D68" w14:textId="77777777" w:rsidR="00302CB8" w:rsidRPr="00332FF5" w:rsidRDefault="00302CB8" w:rsidP="008430B9">
      <w:pPr>
        <w:spacing w:line="360" w:lineRule="auto"/>
        <w:jc w:val="center"/>
        <w:rPr>
          <w:bCs/>
          <w:color w:val="000000" w:themeColor="text1"/>
          <w:sz w:val="24"/>
          <w:szCs w:val="24"/>
        </w:rPr>
      </w:pPr>
    </w:p>
    <w:p w14:paraId="7F63F497" w14:textId="77777777" w:rsidR="008430B9" w:rsidRDefault="008430B9" w:rsidP="008430B9">
      <w:pPr>
        <w:spacing w:line="360" w:lineRule="auto"/>
        <w:jc w:val="center"/>
        <w:rPr>
          <w:color w:val="000000" w:themeColor="text1"/>
          <w:sz w:val="24"/>
          <w:szCs w:val="24"/>
        </w:rPr>
      </w:pPr>
      <w:r w:rsidRPr="00483C97">
        <w:rPr>
          <w:b/>
          <w:color w:val="000000" w:themeColor="text1"/>
          <w:sz w:val="24"/>
          <w:szCs w:val="24"/>
        </w:rPr>
        <w:t xml:space="preserve">Pesquisador Responsável: </w:t>
      </w:r>
      <w:r w:rsidRPr="00483C97">
        <w:rPr>
          <w:color w:val="000000" w:themeColor="text1"/>
          <w:sz w:val="24"/>
          <w:szCs w:val="24"/>
        </w:rPr>
        <w:t>Prof. Dr. João Batista de Paiva</w:t>
      </w:r>
    </w:p>
    <w:p w14:paraId="1B6845F1" w14:textId="2190030D" w:rsidR="00104EEF" w:rsidRDefault="008430B9" w:rsidP="008430B9">
      <w:pPr>
        <w:jc w:val="center"/>
        <w:rPr>
          <w:rFonts w:cstheme="minorHAnsi"/>
          <w:b/>
          <w:bCs/>
          <w:sz w:val="24"/>
          <w:szCs w:val="24"/>
        </w:rPr>
      </w:pPr>
      <w:r w:rsidRPr="00483C97">
        <w:rPr>
          <w:b/>
          <w:color w:val="000000" w:themeColor="text1"/>
          <w:sz w:val="24"/>
          <w:szCs w:val="24"/>
        </w:rPr>
        <w:t>Instituição Sede</w:t>
      </w:r>
      <w:r w:rsidRPr="00483C97">
        <w:rPr>
          <w:color w:val="000000" w:themeColor="text1"/>
          <w:sz w:val="24"/>
          <w:szCs w:val="24"/>
        </w:rPr>
        <w:t>: Faculdade de Odontologia da Universidade de São Paulo</w:t>
      </w:r>
    </w:p>
    <w:p w14:paraId="1AFD5833" w14:textId="77777777" w:rsidR="008430B9" w:rsidRDefault="008430B9" w:rsidP="00104EEF">
      <w:pPr>
        <w:jc w:val="both"/>
        <w:rPr>
          <w:rFonts w:cstheme="minorHAnsi"/>
          <w:b/>
          <w:bCs/>
          <w:sz w:val="24"/>
          <w:szCs w:val="24"/>
        </w:rPr>
      </w:pPr>
    </w:p>
    <w:p w14:paraId="33307478" w14:textId="251FF948" w:rsidR="00104EEF" w:rsidRDefault="00041756" w:rsidP="00104EEF">
      <w:pPr>
        <w:jc w:val="both"/>
        <w:rPr>
          <w:rFonts w:cstheme="minorHAnsi"/>
          <w:b/>
          <w:bCs/>
          <w:sz w:val="24"/>
          <w:szCs w:val="24"/>
        </w:rPr>
      </w:pPr>
      <w:r w:rsidRPr="00104EEF">
        <w:rPr>
          <w:rFonts w:cstheme="minorHAnsi"/>
          <w:b/>
          <w:bCs/>
          <w:sz w:val="24"/>
          <w:szCs w:val="24"/>
        </w:rPr>
        <w:t>Resumo</w:t>
      </w:r>
    </w:p>
    <w:p w14:paraId="7886D2DF" w14:textId="77777777" w:rsidR="00332FF5" w:rsidRPr="00104EEF" w:rsidRDefault="00332FF5" w:rsidP="00104EEF">
      <w:pPr>
        <w:jc w:val="both"/>
        <w:rPr>
          <w:rFonts w:cstheme="minorHAnsi"/>
          <w:b/>
          <w:bCs/>
          <w:sz w:val="24"/>
          <w:szCs w:val="24"/>
        </w:rPr>
      </w:pPr>
    </w:p>
    <w:p w14:paraId="734E6FC8" w14:textId="73050B48" w:rsidR="00041756" w:rsidRPr="00104EEF" w:rsidRDefault="00041756" w:rsidP="00104EEF">
      <w:pPr>
        <w:ind w:firstLine="708"/>
        <w:jc w:val="both"/>
        <w:rPr>
          <w:rFonts w:cstheme="minorHAnsi"/>
          <w:sz w:val="24"/>
          <w:szCs w:val="24"/>
        </w:rPr>
      </w:pPr>
      <w:r w:rsidRPr="00104EEF">
        <w:rPr>
          <w:rFonts w:cstheme="minorHAnsi"/>
          <w:sz w:val="24"/>
          <w:szCs w:val="24"/>
        </w:rPr>
        <w:t>Durante o bruxismo do sono, forças excessivas podem ser geradas por longos períodos de tempo que excedem o contato dentário natural. Como resultado, uma carga significativa pode ser distribuída à dentição, às estruturas de suporte alveolar e periodontal, e às articulações temporomandibulares. Não existe um protocolo ou estratégia de tratamento único que resulte na remissão do bruxismo do sono, além disso, o tratamento é baseado em uma combinação de tratamentos comportamentais, farmacológicos e odontológicos de acordo com o perfil do portador</w:t>
      </w:r>
    </w:p>
    <w:p w14:paraId="2B37EBEF" w14:textId="77777777" w:rsidR="00205D9A" w:rsidRDefault="00041756" w:rsidP="00104EEF">
      <w:pPr>
        <w:ind w:firstLine="708"/>
        <w:jc w:val="both"/>
        <w:rPr>
          <w:rFonts w:cstheme="minorHAnsi"/>
          <w:sz w:val="24"/>
          <w:szCs w:val="24"/>
        </w:rPr>
      </w:pPr>
      <w:r w:rsidRPr="00104EEF">
        <w:rPr>
          <w:rFonts w:cstheme="minorHAnsi"/>
          <w:sz w:val="24"/>
          <w:szCs w:val="24"/>
        </w:rPr>
        <w:t xml:space="preserve">O </w:t>
      </w:r>
      <w:r w:rsidRPr="00104EEF">
        <w:rPr>
          <w:rFonts w:cstheme="minorHAnsi"/>
          <w:i/>
          <w:iCs/>
          <w:sz w:val="24"/>
          <w:szCs w:val="24"/>
        </w:rPr>
        <w:t>BruxChecker®</w:t>
      </w:r>
      <w:r w:rsidRPr="00104EEF">
        <w:rPr>
          <w:rFonts w:cstheme="minorHAnsi"/>
          <w:sz w:val="24"/>
          <w:szCs w:val="24"/>
        </w:rPr>
        <w:t xml:space="preserve"> é uma placa fina, com 0,1 mm de espessura, composta por policloreto de vinila (Scheu-Dental, Alemanha), pigmentada em uma face com corante alimentar que pode ser termoplastificada sobre modelos dentários utilizada para avaliação de contatos dentários durante o bruxismo do sono.</w:t>
      </w:r>
    </w:p>
    <w:p w14:paraId="3F94A08E" w14:textId="563474A9" w:rsidR="00041756" w:rsidRPr="00104EEF" w:rsidRDefault="00205D9A" w:rsidP="00104EEF">
      <w:pPr>
        <w:ind w:firstLine="708"/>
        <w:jc w:val="both"/>
        <w:rPr>
          <w:rFonts w:cstheme="minorHAnsi"/>
          <w:sz w:val="24"/>
          <w:szCs w:val="24"/>
        </w:rPr>
      </w:pPr>
      <w:r>
        <w:rPr>
          <w:rFonts w:cstheme="minorHAnsi"/>
          <w:sz w:val="24"/>
          <w:szCs w:val="24"/>
        </w:rPr>
        <w:t>Um efeito colateral conhecido do tratamento ortodôntico com alinhadores é a alteração, e consequente diminuição, de contatos oclusais durante a terapêutica.</w:t>
      </w:r>
    </w:p>
    <w:p w14:paraId="61A54B03" w14:textId="77777777" w:rsidR="00041756" w:rsidRPr="00104EEF" w:rsidRDefault="00041756" w:rsidP="00104EEF">
      <w:pPr>
        <w:ind w:firstLine="708"/>
        <w:jc w:val="both"/>
        <w:rPr>
          <w:rFonts w:cstheme="minorHAnsi"/>
          <w:sz w:val="24"/>
          <w:szCs w:val="24"/>
        </w:rPr>
      </w:pPr>
      <w:r w:rsidRPr="00104EEF">
        <w:rPr>
          <w:rFonts w:cstheme="minorHAnsi"/>
          <w:sz w:val="24"/>
          <w:szCs w:val="24"/>
        </w:rPr>
        <w:t>O objetivo deste estudo é avaliar e comparar os padrões de bruxismo do sono em pacientes que utilizaram alinhadores ortodônticos antes de depois do tratamento juntamente com possíveis alterações em sinais e sintomas de DTM.</w:t>
      </w:r>
    </w:p>
    <w:p w14:paraId="1509EE86" w14:textId="77777777" w:rsidR="00041756" w:rsidRPr="00104EEF" w:rsidRDefault="00041756" w:rsidP="00104EEF">
      <w:pPr>
        <w:jc w:val="both"/>
        <w:rPr>
          <w:rFonts w:cstheme="minorHAnsi"/>
          <w:sz w:val="24"/>
          <w:szCs w:val="24"/>
        </w:rPr>
      </w:pPr>
    </w:p>
    <w:p w14:paraId="180060DF" w14:textId="2B98B383" w:rsidR="00CD719B" w:rsidRDefault="00CD719B" w:rsidP="00104EEF">
      <w:pPr>
        <w:jc w:val="both"/>
        <w:rPr>
          <w:rFonts w:cstheme="minorHAnsi"/>
          <w:b/>
          <w:bCs/>
          <w:sz w:val="24"/>
          <w:szCs w:val="24"/>
        </w:rPr>
      </w:pPr>
      <w:r w:rsidRPr="00104EEF">
        <w:rPr>
          <w:rFonts w:cstheme="minorHAnsi"/>
          <w:b/>
          <w:bCs/>
          <w:sz w:val="24"/>
          <w:szCs w:val="24"/>
        </w:rPr>
        <w:lastRenderedPageBreak/>
        <w:t>Introdução</w:t>
      </w:r>
    </w:p>
    <w:p w14:paraId="2E0A78C7" w14:textId="77777777" w:rsidR="00104EEF" w:rsidRPr="00104EEF" w:rsidRDefault="00104EEF" w:rsidP="00104EEF">
      <w:pPr>
        <w:jc w:val="both"/>
        <w:rPr>
          <w:rFonts w:cstheme="minorHAnsi"/>
          <w:b/>
          <w:bCs/>
          <w:sz w:val="24"/>
          <w:szCs w:val="24"/>
        </w:rPr>
      </w:pPr>
    </w:p>
    <w:p w14:paraId="3F4DDFBF" w14:textId="3E6E2466" w:rsidR="00D65301" w:rsidRPr="00104EEF" w:rsidRDefault="00AE4B76" w:rsidP="00DF06EC">
      <w:pPr>
        <w:ind w:left="708" w:firstLine="708"/>
        <w:jc w:val="both"/>
        <w:rPr>
          <w:rFonts w:cstheme="minorHAnsi"/>
          <w:sz w:val="24"/>
          <w:szCs w:val="24"/>
        </w:rPr>
      </w:pPr>
      <w:r w:rsidRPr="00104EEF">
        <w:rPr>
          <w:rFonts w:cstheme="minorHAnsi"/>
          <w:sz w:val="24"/>
          <w:szCs w:val="24"/>
        </w:rPr>
        <w:t xml:space="preserve">O bruxismo é geralmente definido como uma atividade parafuncional diurna ou noturna envolvendo: apertar, ranger, contrair e </w:t>
      </w:r>
      <w:r w:rsidR="00CD719B" w:rsidRPr="00104EEF">
        <w:rPr>
          <w:rFonts w:cstheme="minorHAnsi"/>
          <w:sz w:val="24"/>
          <w:szCs w:val="24"/>
        </w:rPr>
        <w:t>esmerilar</w:t>
      </w:r>
      <w:r w:rsidRPr="00104EEF">
        <w:rPr>
          <w:rFonts w:cstheme="minorHAnsi"/>
          <w:sz w:val="24"/>
          <w:szCs w:val="24"/>
        </w:rPr>
        <w:t xml:space="preserve"> dos dentes. Durante o bruxismo, forças excessivas podem ser geradas por longos períodos de tempo que excedem o contato dentário </w:t>
      </w:r>
      <w:r w:rsidR="00CD719B" w:rsidRPr="00104EEF">
        <w:rPr>
          <w:rFonts w:cstheme="minorHAnsi"/>
          <w:sz w:val="24"/>
          <w:szCs w:val="24"/>
        </w:rPr>
        <w:t xml:space="preserve">natural. </w:t>
      </w:r>
      <w:r w:rsidRPr="00104EEF">
        <w:rPr>
          <w:rFonts w:cstheme="minorHAnsi"/>
          <w:sz w:val="24"/>
          <w:szCs w:val="24"/>
        </w:rPr>
        <w:t>Como resultado, uma carga significativa pode ser distribuída à dentição, às estruturas de suporte alveolar e periodontal</w:t>
      </w:r>
      <w:r w:rsidR="00CD719B" w:rsidRPr="00104EEF">
        <w:rPr>
          <w:rFonts w:cstheme="minorHAnsi"/>
          <w:sz w:val="24"/>
          <w:szCs w:val="24"/>
        </w:rPr>
        <w:t>,</w:t>
      </w:r>
      <w:r w:rsidRPr="00104EEF">
        <w:rPr>
          <w:rFonts w:cstheme="minorHAnsi"/>
          <w:sz w:val="24"/>
          <w:szCs w:val="24"/>
        </w:rPr>
        <w:t xml:space="preserve"> e às articulações temporomandibulares</w:t>
      </w:r>
      <w:r w:rsidR="00CD719B" w:rsidRPr="00104EEF">
        <w:rPr>
          <w:rFonts w:cstheme="minorHAnsi"/>
          <w:sz w:val="24"/>
          <w:szCs w:val="24"/>
        </w:rPr>
        <w:t xml:space="preserve">. </w:t>
      </w:r>
      <w:r w:rsidRPr="00104EEF">
        <w:rPr>
          <w:rFonts w:cstheme="minorHAnsi"/>
          <w:sz w:val="24"/>
          <w:szCs w:val="24"/>
        </w:rPr>
        <w:t>Simultaneamente ocorre hiperatividade dos músculos mastigatórios, comprometendo assim a saúde desses músculos</w:t>
      </w:r>
      <w:r w:rsidR="00CD719B" w:rsidRPr="00104EEF">
        <w:rPr>
          <w:rFonts w:cstheme="minorHAnsi"/>
          <w:sz w:val="24"/>
          <w:szCs w:val="24"/>
        </w:rPr>
        <w:t>¹</w:t>
      </w:r>
      <w:r w:rsidRPr="00104EEF">
        <w:rPr>
          <w:rFonts w:cstheme="minorHAnsi"/>
          <w:sz w:val="24"/>
          <w:szCs w:val="24"/>
        </w:rPr>
        <w:t>.</w:t>
      </w:r>
    </w:p>
    <w:p w14:paraId="6D59064B" w14:textId="4386B188" w:rsidR="00CD719B" w:rsidRPr="00104EEF" w:rsidRDefault="00CD719B" w:rsidP="00DF06EC">
      <w:pPr>
        <w:ind w:left="708" w:firstLine="708"/>
        <w:jc w:val="both"/>
        <w:rPr>
          <w:rFonts w:cstheme="minorHAnsi"/>
          <w:sz w:val="24"/>
          <w:szCs w:val="24"/>
        </w:rPr>
      </w:pPr>
      <w:r w:rsidRPr="00104EEF">
        <w:rPr>
          <w:rFonts w:cstheme="minorHAnsi"/>
          <w:sz w:val="24"/>
          <w:szCs w:val="24"/>
        </w:rPr>
        <w:t>Sua ocorrência é atribuída a diversos fatores, como má oclusão, drogas e álcool, personalidade, fatores psicológicos e relacionados ao estresse². De acordo com os atuais critérios diagnósticos da medicina do sono, o bruxismo do sono é classificado como um distúrbio do movimento relacionado à parassonia. A etiologia do bruxismo é controversa e inclui fatores oclusais e psicológicos, sendo primários ou idiopáticos, ou secundários a outras condições médicas, muitas vezes neurológicas (por exemplo, doença de Parkinson, síndrome de Tourette, etc.) ou psiquiátricas (por exemplo, retardo mental, demência, depressão). Também pode ser iatrogênica, associada ao fumo, álcool, medicamentos, antipsicóticos e drogas (cocaína, anfetamina)³.</w:t>
      </w:r>
    </w:p>
    <w:p w14:paraId="19659185" w14:textId="6F04171D" w:rsidR="0041597F" w:rsidRPr="00104EEF" w:rsidRDefault="00CD719B" w:rsidP="00DF06EC">
      <w:pPr>
        <w:ind w:left="708" w:firstLine="708"/>
        <w:jc w:val="both"/>
        <w:rPr>
          <w:rFonts w:cstheme="minorHAnsi"/>
          <w:sz w:val="24"/>
          <w:szCs w:val="24"/>
        </w:rPr>
      </w:pPr>
      <w:r w:rsidRPr="00104EEF">
        <w:rPr>
          <w:rFonts w:cstheme="minorHAnsi"/>
          <w:sz w:val="24"/>
          <w:szCs w:val="24"/>
        </w:rPr>
        <w:t>Atualmente, não existe um protocolo ou estratégia de tratamento único que resulte na remissão do bruxismo do sono, além disso, o tratamento é baseado em uma combinação de tratamentos comportamentais, farmacológicos e odontológicos de acordo com o perfil do portador³.</w:t>
      </w:r>
      <w:r w:rsidR="0041597F" w:rsidRPr="00104EEF">
        <w:rPr>
          <w:rFonts w:cstheme="minorHAnsi"/>
          <w:sz w:val="24"/>
          <w:szCs w:val="24"/>
        </w:rPr>
        <w:t xml:space="preserve"> No entanto, as tremendas forças oclusais durante o bruxismo do sono são, por vezes, significativamente maiores do que os esforços conscientes de um indivíduo durante a vigília</w:t>
      </w:r>
      <w:r w:rsidR="0041597F" w:rsidRPr="00104EEF">
        <w:rPr>
          <w:rFonts w:cstheme="minorHAnsi"/>
          <w:sz w:val="24"/>
          <w:szCs w:val="24"/>
          <w:vertAlign w:val="superscript"/>
        </w:rPr>
        <w:t>4</w:t>
      </w:r>
      <w:r w:rsidR="0041597F" w:rsidRPr="00104EEF">
        <w:rPr>
          <w:rFonts w:cstheme="minorHAnsi"/>
          <w:sz w:val="24"/>
          <w:szCs w:val="24"/>
        </w:rPr>
        <w:t>.</w:t>
      </w:r>
    </w:p>
    <w:p w14:paraId="3E282363" w14:textId="0AF798FE" w:rsidR="00E82D1E" w:rsidRPr="00104EEF" w:rsidRDefault="00AE4B76" w:rsidP="00DF06EC">
      <w:pPr>
        <w:ind w:left="708" w:firstLine="708"/>
        <w:jc w:val="both"/>
        <w:rPr>
          <w:rFonts w:cstheme="minorHAnsi"/>
          <w:sz w:val="24"/>
          <w:szCs w:val="24"/>
        </w:rPr>
      </w:pPr>
      <w:r w:rsidRPr="00104EEF">
        <w:rPr>
          <w:rFonts w:cstheme="minorHAnsi"/>
          <w:sz w:val="24"/>
          <w:szCs w:val="24"/>
        </w:rPr>
        <w:t xml:space="preserve">O </w:t>
      </w:r>
      <w:r w:rsidRPr="00104EEF">
        <w:rPr>
          <w:rFonts w:cstheme="minorHAnsi"/>
          <w:i/>
          <w:iCs/>
          <w:sz w:val="24"/>
          <w:szCs w:val="24"/>
        </w:rPr>
        <w:t>BruxChecker</w:t>
      </w:r>
      <w:r w:rsidR="00CD719B" w:rsidRPr="00104EEF">
        <w:rPr>
          <w:rFonts w:cstheme="minorHAnsi"/>
          <w:i/>
          <w:iCs/>
          <w:sz w:val="24"/>
          <w:szCs w:val="24"/>
        </w:rPr>
        <w:t>®</w:t>
      </w:r>
      <w:r w:rsidRPr="00104EEF">
        <w:rPr>
          <w:rFonts w:cstheme="minorHAnsi"/>
          <w:sz w:val="24"/>
          <w:szCs w:val="24"/>
        </w:rPr>
        <w:t xml:space="preserve"> é uma placa fina, com 0,1 mm de espessura, folha transparente, composta por policloreto de vinila (Scheu-Dent</w:t>
      </w:r>
      <w:r w:rsidR="0041597F" w:rsidRPr="00104EEF">
        <w:rPr>
          <w:rFonts w:cstheme="minorHAnsi"/>
          <w:sz w:val="24"/>
          <w:szCs w:val="24"/>
        </w:rPr>
        <w:t>al</w:t>
      </w:r>
      <w:r w:rsidRPr="00104EEF">
        <w:rPr>
          <w:rFonts w:cstheme="minorHAnsi"/>
          <w:sz w:val="24"/>
          <w:szCs w:val="24"/>
        </w:rPr>
        <w:t xml:space="preserve">, Alemanha). </w:t>
      </w:r>
      <w:r w:rsidR="00CD719B" w:rsidRPr="00104EEF">
        <w:rPr>
          <w:rFonts w:cstheme="minorHAnsi"/>
          <w:sz w:val="24"/>
          <w:szCs w:val="24"/>
        </w:rPr>
        <w:t>É</w:t>
      </w:r>
      <w:r w:rsidRPr="00104EEF">
        <w:rPr>
          <w:rFonts w:cstheme="minorHAnsi"/>
          <w:sz w:val="24"/>
          <w:szCs w:val="24"/>
        </w:rPr>
        <w:t xml:space="preserve"> fabricado em prensa a vácuo na qual a folha transparente de 0,1 mm de espessura </w:t>
      </w:r>
      <w:r w:rsidR="00CD719B" w:rsidRPr="00104EEF">
        <w:rPr>
          <w:rFonts w:cstheme="minorHAnsi"/>
          <w:sz w:val="24"/>
          <w:szCs w:val="24"/>
        </w:rPr>
        <w:t>é</w:t>
      </w:r>
      <w:r w:rsidRPr="00104EEF">
        <w:rPr>
          <w:rFonts w:cstheme="minorHAnsi"/>
          <w:sz w:val="24"/>
          <w:szCs w:val="24"/>
        </w:rPr>
        <w:t xml:space="preserve"> aquecid</w:t>
      </w:r>
      <w:r w:rsidR="00CD719B" w:rsidRPr="00104EEF">
        <w:rPr>
          <w:rFonts w:cstheme="minorHAnsi"/>
          <w:sz w:val="24"/>
          <w:szCs w:val="24"/>
        </w:rPr>
        <w:t>a</w:t>
      </w:r>
      <w:r w:rsidRPr="00104EEF">
        <w:rPr>
          <w:rFonts w:cstheme="minorHAnsi"/>
          <w:sz w:val="24"/>
          <w:szCs w:val="24"/>
        </w:rPr>
        <w:t xml:space="preserve"> a 230</w:t>
      </w:r>
      <w:r w:rsidR="00CD719B" w:rsidRPr="00104EEF">
        <w:rPr>
          <w:rFonts w:cstheme="minorHAnsi"/>
          <w:sz w:val="24"/>
          <w:szCs w:val="24"/>
          <w:vertAlign w:val="superscript"/>
        </w:rPr>
        <w:t>o</w:t>
      </w:r>
      <w:r w:rsidR="00CD719B" w:rsidRPr="00104EEF">
        <w:rPr>
          <w:rFonts w:cstheme="minorHAnsi"/>
          <w:sz w:val="24"/>
          <w:szCs w:val="24"/>
        </w:rPr>
        <w:t>e termoplastificada a vácuo sobre um modelo maxilar.</w:t>
      </w:r>
      <w:r w:rsidRPr="00104EEF">
        <w:rPr>
          <w:rFonts w:cstheme="minorHAnsi"/>
          <w:sz w:val="24"/>
          <w:szCs w:val="24"/>
        </w:rPr>
        <w:t xml:space="preserve"> O dispositivo </w:t>
      </w:r>
      <w:r w:rsidR="0041597F" w:rsidRPr="00104EEF">
        <w:rPr>
          <w:rFonts w:cstheme="minorHAnsi"/>
          <w:sz w:val="24"/>
          <w:szCs w:val="24"/>
        </w:rPr>
        <w:t>é cortado acima da margem gengival</w:t>
      </w:r>
      <w:r w:rsidRPr="00104EEF">
        <w:rPr>
          <w:rFonts w:cstheme="minorHAnsi"/>
          <w:sz w:val="24"/>
          <w:szCs w:val="24"/>
        </w:rPr>
        <w:t>, e a superfície oclusal pintada com corante vermelho (Acid Red 51, Morimoto Chemical Co. Ltd, Tóquio, Japão) dissolvido em solução de goma-laca-etanol (Shellac Co. Ltd, Tóquio, Japão</w:t>
      </w:r>
      <w:r w:rsidR="0041597F" w:rsidRPr="00104EEF">
        <w:rPr>
          <w:rFonts w:cstheme="minorHAnsi"/>
          <w:sz w:val="24"/>
          <w:szCs w:val="24"/>
        </w:rPr>
        <w:t>), utilizados em corantes alimentares),</w:t>
      </w:r>
      <w:r w:rsidRPr="00104EEF">
        <w:rPr>
          <w:rFonts w:cstheme="minorHAnsi"/>
          <w:sz w:val="24"/>
          <w:szCs w:val="24"/>
        </w:rPr>
        <w:t xml:space="preserve"> para visualizar </w:t>
      </w:r>
      <w:r w:rsidR="0041597F" w:rsidRPr="00104EEF">
        <w:rPr>
          <w:rFonts w:cstheme="minorHAnsi"/>
          <w:sz w:val="24"/>
          <w:szCs w:val="24"/>
        </w:rPr>
        <w:t xml:space="preserve">as </w:t>
      </w:r>
      <w:r w:rsidRPr="00104EEF">
        <w:rPr>
          <w:rFonts w:cstheme="minorHAnsi"/>
          <w:sz w:val="24"/>
          <w:szCs w:val="24"/>
        </w:rPr>
        <w:t xml:space="preserve">facetas de </w:t>
      </w:r>
      <w:r w:rsidR="0041597F" w:rsidRPr="00104EEF">
        <w:rPr>
          <w:rFonts w:cstheme="minorHAnsi"/>
          <w:sz w:val="24"/>
          <w:szCs w:val="24"/>
        </w:rPr>
        <w:t>contato durante o bruxismo do sono¹</w:t>
      </w:r>
      <w:r w:rsidRPr="00104EEF">
        <w:rPr>
          <w:rFonts w:cstheme="minorHAnsi"/>
          <w:sz w:val="24"/>
          <w:szCs w:val="24"/>
        </w:rPr>
        <w:t xml:space="preserve">. </w:t>
      </w:r>
    </w:p>
    <w:p w14:paraId="5B460F15" w14:textId="0158DE97" w:rsidR="00AE4B76" w:rsidRDefault="00AE4B76" w:rsidP="00DF06EC">
      <w:pPr>
        <w:ind w:left="708" w:firstLine="708"/>
        <w:jc w:val="both"/>
        <w:rPr>
          <w:rFonts w:cstheme="minorHAnsi"/>
          <w:sz w:val="24"/>
          <w:szCs w:val="24"/>
        </w:rPr>
      </w:pPr>
      <w:r w:rsidRPr="00104EEF">
        <w:rPr>
          <w:rFonts w:cstheme="minorHAnsi"/>
          <w:sz w:val="24"/>
          <w:szCs w:val="24"/>
        </w:rPr>
        <w:t xml:space="preserve">Depois de usar o </w:t>
      </w:r>
      <w:r w:rsidRPr="00104EEF">
        <w:rPr>
          <w:rFonts w:cstheme="minorHAnsi"/>
          <w:i/>
          <w:iCs/>
          <w:sz w:val="24"/>
          <w:szCs w:val="24"/>
        </w:rPr>
        <w:t xml:space="preserve">BruxChecker </w:t>
      </w:r>
      <w:r w:rsidRPr="00104EEF">
        <w:rPr>
          <w:rFonts w:cstheme="minorHAnsi"/>
          <w:sz w:val="24"/>
          <w:szCs w:val="24"/>
        </w:rPr>
        <w:t xml:space="preserve">por duas noites consecutivas, os contatos dentários dos participantes durante o sono correspondem aos locais onde o corante revelador foi desgastado. A área de contato pode então ser avaliada e observada facilmente. Na avaliação da área de contato, o contato dentário e o ranger dentário </w:t>
      </w:r>
      <w:r w:rsidR="0041597F" w:rsidRPr="00104EEF">
        <w:rPr>
          <w:rFonts w:cstheme="minorHAnsi"/>
          <w:sz w:val="24"/>
          <w:szCs w:val="24"/>
        </w:rPr>
        <w:t xml:space="preserve">podem ser diferenciados. </w:t>
      </w:r>
      <w:r w:rsidRPr="00104EEF">
        <w:rPr>
          <w:rFonts w:cstheme="minorHAnsi"/>
          <w:sz w:val="24"/>
          <w:szCs w:val="24"/>
        </w:rPr>
        <w:t>Sua aplicação na boca do paciente não causa apreensão aos pacientes porque o dispositivo não é invasivo</w:t>
      </w:r>
      <w:r w:rsidR="0041597F" w:rsidRPr="00104EEF">
        <w:rPr>
          <w:rFonts w:cstheme="minorHAnsi"/>
          <w:sz w:val="24"/>
          <w:szCs w:val="24"/>
          <w:vertAlign w:val="superscript"/>
        </w:rPr>
        <w:t>4</w:t>
      </w:r>
      <w:r w:rsidRPr="00104EEF">
        <w:rPr>
          <w:rFonts w:cstheme="minorHAnsi"/>
          <w:sz w:val="24"/>
          <w:szCs w:val="24"/>
        </w:rPr>
        <w:t>.</w:t>
      </w:r>
      <w:r w:rsidR="0041597F" w:rsidRPr="00104EEF">
        <w:rPr>
          <w:rFonts w:cstheme="minorHAnsi"/>
          <w:sz w:val="24"/>
          <w:szCs w:val="24"/>
        </w:rPr>
        <w:t xml:space="preserve"> (Figura 1)</w:t>
      </w:r>
    </w:p>
    <w:p w14:paraId="4999C5C4" w14:textId="77777777" w:rsidR="00104EEF" w:rsidRPr="00104EEF" w:rsidRDefault="00104EEF" w:rsidP="00104EEF">
      <w:pPr>
        <w:ind w:firstLine="708"/>
        <w:jc w:val="both"/>
        <w:rPr>
          <w:rFonts w:cstheme="minorHAnsi"/>
          <w:sz w:val="24"/>
          <w:szCs w:val="24"/>
        </w:rPr>
      </w:pPr>
    </w:p>
    <w:p w14:paraId="005EF493" w14:textId="70ABB908" w:rsidR="008A5C32" w:rsidRPr="00104EEF" w:rsidRDefault="008A5C32" w:rsidP="00104EEF">
      <w:pPr>
        <w:jc w:val="both"/>
        <w:rPr>
          <w:rFonts w:cstheme="minorHAnsi"/>
          <w:sz w:val="24"/>
          <w:szCs w:val="24"/>
        </w:rPr>
      </w:pPr>
      <w:r w:rsidRPr="00104EEF">
        <w:rPr>
          <w:rFonts w:cstheme="minorHAnsi"/>
          <w:noProof/>
          <w:sz w:val="24"/>
          <w:szCs w:val="24"/>
          <w:lang w:val="en-US"/>
        </w:rPr>
        <w:drawing>
          <wp:inline distT="0" distB="0" distL="0" distR="0" wp14:anchorId="3254B75C" wp14:editId="56D31255">
            <wp:extent cx="2664757" cy="1775460"/>
            <wp:effectExtent l="0" t="0" r="2540" b="0"/>
            <wp:docPr id="828041006"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678800" cy="1784816"/>
                    </a:xfrm>
                    <a:prstGeom prst="rect">
                      <a:avLst/>
                    </a:prstGeom>
                    <a:noFill/>
                    <a:ln>
                      <a:noFill/>
                    </a:ln>
                  </pic:spPr>
                </pic:pic>
              </a:graphicData>
            </a:graphic>
          </wp:inline>
        </w:drawing>
      </w:r>
      <w:r w:rsidR="00104EEF">
        <w:rPr>
          <w:rFonts w:cstheme="minorHAnsi"/>
          <w:sz w:val="24"/>
          <w:szCs w:val="24"/>
        </w:rPr>
        <w:t xml:space="preserve"> </w:t>
      </w:r>
      <w:r w:rsidR="00104EEF" w:rsidRPr="00104EEF">
        <w:rPr>
          <w:rFonts w:cstheme="minorHAnsi"/>
          <w:noProof/>
          <w:sz w:val="24"/>
          <w:szCs w:val="24"/>
          <w:lang w:val="en-US"/>
        </w:rPr>
        <w:drawing>
          <wp:inline distT="0" distB="0" distL="0" distR="0" wp14:anchorId="360E257B" wp14:editId="31461037">
            <wp:extent cx="2676766" cy="1790700"/>
            <wp:effectExtent l="0" t="0" r="9525" b="0"/>
            <wp:docPr id="1869883857"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687941" cy="1798176"/>
                    </a:xfrm>
                    <a:prstGeom prst="rect">
                      <a:avLst/>
                    </a:prstGeom>
                    <a:noFill/>
                    <a:ln>
                      <a:noFill/>
                    </a:ln>
                  </pic:spPr>
                </pic:pic>
              </a:graphicData>
            </a:graphic>
          </wp:inline>
        </w:drawing>
      </w:r>
    </w:p>
    <w:p w14:paraId="36136AE9" w14:textId="3072B500" w:rsidR="00E82D1E" w:rsidRPr="008430B9" w:rsidRDefault="0041597F" w:rsidP="00104EEF">
      <w:pPr>
        <w:jc w:val="center"/>
        <w:rPr>
          <w:rFonts w:cstheme="minorHAnsi"/>
          <w:sz w:val="24"/>
          <w:szCs w:val="24"/>
          <w:vertAlign w:val="superscript"/>
        </w:rPr>
      </w:pPr>
      <w:r w:rsidRPr="00104EEF">
        <w:rPr>
          <w:rFonts w:cstheme="minorHAnsi"/>
          <w:sz w:val="24"/>
          <w:szCs w:val="24"/>
        </w:rPr>
        <w:t xml:space="preserve">Figura 1 – </w:t>
      </w:r>
      <w:r w:rsidRPr="00104EEF">
        <w:rPr>
          <w:rFonts w:cstheme="minorHAnsi"/>
          <w:i/>
          <w:iCs/>
          <w:sz w:val="24"/>
          <w:szCs w:val="24"/>
        </w:rPr>
        <w:t>Bruxchecker</w:t>
      </w:r>
      <w:r w:rsidRPr="00104EEF">
        <w:rPr>
          <w:rFonts w:cstheme="minorHAnsi"/>
          <w:sz w:val="24"/>
          <w:szCs w:val="24"/>
        </w:rPr>
        <w:t xml:space="preserve"> sobre modelo de gesso</w:t>
      </w:r>
      <w:r w:rsidR="008430B9">
        <w:rPr>
          <w:rFonts w:cstheme="minorHAnsi"/>
          <w:sz w:val="24"/>
          <w:szCs w:val="24"/>
          <w:vertAlign w:val="superscript"/>
        </w:rPr>
        <w:t>4</w:t>
      </w:r>
    </w:p>
    <w:p w14:paraId="4EF2DA67" w14:textId="77777777" w:rsidR="00104EEF" w:rsidRPr="00104EEF" w:rsidRDefault="00104EEF" w:rsidP="00104EEF">
      <w:pPr>
        <w:jc w:val="center"/>
        <w:rPr>
          <w:rFonts w:cstheme="minorHAnsi"/>
          <w:sz w:val="24"/>
          <w:szCs w:val="24"/>
        </w:rPr>
      </w:pPr>
    </w:p>
    <w:p w14:paraId="7BF25F7C" w14:textId="08872896" w:rsidR="00205D9A" w:rsidRDefault="00205D9A" w:rsidP="00205D9A">
      <w:pPr>
        <w:ind w:firstLine="708"/>
        <w:jc w:val="both"/>
        <w:rPr>
          <w:rFonts w:cstheme="minorHAnsi"/>
          <w:sz w:val="24"/>
          <w:szCs w:val="24"/>
        </w:rPr>
      </w:pPr>
      <w:r>
        <w:rPr>
          <w:rFonts w:cstheme="minorHAnsi"/>
          <w:sz w:val="24"/>
          <w:szCs w:val="24"/>
        </w:rPr>
        <w:t>Um efeito colateral conhecido do tratamento ortodôntico com alinhadores</w:t>
      </w:r>
      <w:r>
        <w:rPr>
          <w:rFonts w:cstheme="minorHAnsi"/>
          <w:sz w:val="24"/>
          <w:szCs w:val="24"/>
          <w:vertAlign w:val="superscript"/>
        </w:rPr>
        <w:t>5,6</w:t>
      </w:r>
      <w:r>
        <w:rPr>
          <w:rFonts w:cstheme="minorHAnsi"/>
          <w:sz w:val="24"/>
          <w:szCs w:val="24"/>
        </w:rPr>
        <w:t xml:space="preserve"> é a alteração, e consequente diminuição, de contatos oclusais durante a terapêutica.</w:t>
      </w:r>
    </w:p>
    <w:p w14:paraId="756009E3" w14:textId="381E42B8" w:rsidR="0041597F" w:rsidRPr="00104EEF" w:rsidRDefault="0041597F" w:rsidP="00104EEF">
      <w:pPr>
        <w:ind w:firstLine="708"/>
        <w:jc w:val="both"/>
        <w:rPr>
          <w:rFonts w:cstheme="minorHAnsi"/>
          <w:sz w:val="24"/>
          <w:szCs w:val="24"/>
        </w:rPr>
      </w:pPr>
      <w:r w:rsidRPr="00104EEF">
        <w:rPr>
          <w:rFonts w:cstheme="minorHAnsi"/>
          <w:sz w:val="24"/>
          <w:szCs w:val="24"/>
        </w:rPr>
        <w:t>O objetivo deste estudo é avaliar e comparar os padrões de bruxismo do sono em pacientes que utilizaram alinhadores ortodônticos antes de depois do tratamento</w:t>
      </w:r>
      <w:r w:rsidR="00041756" w:rsidRPr="00104EEF">
        <w:rPr>
          <w:rFonts w:cstheme="minorHAnsi"/>
          <w:sz w:val="24"/>
          <w:szCs w:val="24"/>
        </w:rPr>
        <w:t xml:space="preserve"> juntamente com possíveis alterações em sinais e sintomas de DTM.</w:t>
      </w:r>
    </w:p>
    <w:p w14:paraId="38CA1487" w14:textId="77777777" w:rsidR="00E82D1E" w:rsidRPr="00104EEF" w:rsidRDefault="00E82D1E" w:rsidP="00104EEF">
      <w:pPr>
        <w:jc w:val="both"/>
        <w:rPr>
          <w:rFonts w:cstheme="minorHAnsi"/>
          <w:sz w:val="24"/>
          <w:szCs w:val="24"/>
        </w:rPr>
      </w:pPr>
    </w:p>
    <w:p w14:paraId="3B0480B2" w14:textId="0F92BFC6" w:rsidR="0041597F" w:rsidRDefault="0041597F" w:rsidP="00104EEF">
      <w:pPr>
        <w:jc w:val="both"/>
        <w:rPr>
          <w:rFonts w:cstheme="minorHAnsi"/>
          <w:b/>
          <w:bCs/>
          <w:sz w:val="24"/>
          <w:szCs w:val="24"/>
        </w:rPr>
      </w:pPr>
      <w:r w:rsidRPr="00104EEF">
        <w:rPr>
          <w:rFonts w:cstheme="minorHAnsi"/>
          <w:b/>
          <w:bCs/>
          <w:sz w:val="24"/>
          <w:szCs w:val="24"/>
        </w:rPr>
        <w:t>Revisão da literatura</w:t>
      </w:r>
    </w:p>
    <w:p w14:paraId="15FA7755" w14:textId="77777777" w:rsidR="00104EEF" w:rsidRPr="00104EEF" w:rsidRDefault="00104EEF" w:rsidP="00104EEF">
      <w:pPr>
        <w:jc w:val="both"/>
        <w:rPr>
          <w:rFonts w:cstheme="minorHAnsi"/>
          <w:b/>
          <w:bCs/>
          <w:sz w:val="24"/>
          <w:szCs w:val="24"/>
        </w:rPr>
      </w:pPr>
    </w:p>
    <w:p w14:paraId="57C72B14" w14:textId="37934BA1" w:rsidR="0041597F" w:rsidRPr="00104EEF" w:rsidRDefault="0041597F" w:rsidP="00104EEF">
      <w:pPr>
        <w:ind w:firstLine="708"/>
        <w:jc w:val="both"/>
        <w:rPr>
          <w:rFonts w:cstheme="minorHAnsi"/>
          <w:sz w:val="24"/>
          <w:szCs w:val="24"/>
        </w:rPr>
      </w:pPr>
      <w:r w:rsidRPr="00104EEF">
        <w:rPr>
          <w:rFonts w:cstheme="minorHAnsi"/>
          <w:sz w:val="24"/>
          <w:szCs w:val="24"/>
        </w:rPr>
        <w:t>Onodera et al. (2006) desenvolveram um dispositivo muito simples (</w:t>
      </w:r>
      <w:r w:rsidRPr="00104EEF">
        <w:rPr>
          <w:rFonts w:cstheme="minorHAnsi"/>
          <w:i/>
          <w:iCs/>
          <w:sz w:val="24"/>
          <w:szCs w:val="24"/>
        </w:rPr>
        <w:t>BruxChecker</w:t>
      </w:r>
      <w:r w:rsidRPr="00104EEF">
        <w:rPr>
          <w:rFonts w:cstheme="minorHAnsi"/>
          <w:sz w:val="24"/>
          <w:szCs w:val="24"/>
        </w:rPr>
        <w:t>) para avaliar</w:t>
      </w:r>
      <w:r w:rsidR="00282557" w:rsidRPr="00104EEF">
        <w:rPr>
          <w:rFonts w:cstheme="minorHAnsi"/>
          <w:sz w:val="24"/>
          <w:szCs w:val="24"/>
        </w:rPr>
        <w:t xml:space="preserve"> </w:t>
      </w:r>
      <w:r w:rsidRPr="00104EEF">
        <w:rPr>
          <w:rFonts w:cstheme="minorHAnsi"/>
          <w:sz w:val="24"/>
          <w:szCs w:val="24"/>
        </w:rPr>
        <w:t xml:space="preserve">os padrões </w:t>
      </w:r>
      <w:r w:rsidR="00282557" w:rsidRPr="00104EEF">
        <w:rPr>
          <w:rFonts w:cstheme="minorHAnsi"/>
          <w:sz w:val="24"/>
          <w:szCs w:val="24"/>
        </w:rPr>
        <w:t>do</w:t>
      </w:r>
      <w:r w:rsidRPr="00104EEF">
        <w:rPr>
          <w:rFonts w:cstheme="minorHAnsi"/>
          <w:sz w:val="24"/>
          <w:szCs w:val="24"/>
        </w:rPr>
        <w:t xml:space="preserve"> bruxismo do sono. Utilizando o </w:t>
      </w:r>
      <w:r w:rsidRPr="00104EEF">
        <w:rPr>
          <w:rFonts w:cstheme="minorHAnsi"/>
          <w:i/>
          <w:iCs/>
          <w:sz w:val="24"/>
          <w:szCs w:val="24"/>
        </w:rPr>
        <w:t>BruxChecker</w:t>
      </w:r>
      <w:r w:rsidRPr="00104EEF">
        <w:rPr>
          <w:rFonts w:cstheme="minorHAnsi"/>
          <w:sz w:val="24"/>
          <w:szCs w:val="24"/>
        </w:rPr>
        <w:t xml:space="preserve"> foi possível visualizar</w:t>
      </w:r>
      <w:r w:rsidR="00282557" w:rsidRPr="00104EEF">
        <w:rPr>
          <w:rFonts w:cstheme="minorHAnsi"/>
          <w:sz w:val="24"/>
          <w:szCs w:val="24"/>
        </w:rPr>
        <w:t xml:space="preserve"> </w:t>
      </w:r>
      <w:r w:rsidRPr="00104EEF">
        <w:rPr>
          <w:rFonts w:cstheme="minorHAnsi"/>
          <w:sz w:val="24"/>
          <w:szCs w:val="24"/>
        </w:rPr>
        <w:t xml:space="preserve">interferências reais durante o bruxismo do sono. </w:t>
      </w:r>
      <w:r w:rsidR="00282557" w:rsidRPr="00104EEF">
        <w:rPr>
          <w:rFonts w:cstheme="minorHAnsi"/>
          <w:sz w:val="24"/>
          <w:szCs w:val="24"/>
        </w:rPr>
        <w:t>Concluíram que</w:t>
      </w:r>
      <w:r w:rsidRPr="00104EEF">
        <w:rPr>
          <w:rFonts w:cstheme="minorHAnsi"/>
          <w:sz w:val="24"/>
          <w:szCs w:val="24"/>
        </w:rPr>
        <w:t xml:space="preserve"> o exame do padrão de retificação usando este</w:t>
      </w:r>
      <w:r w:rsidR="00282557" w:rsidRPr="00104EEF">
        <w:rPr>
          <w:rFonts w:cstheme="minorHAnsi"/>
          <w:sz w:val="24"/>
          <w:szCs w:val="24"/>
        </w:rPr>
        <w:t xml:space="preserve"> </w:t>
      </w:r>
      <w:r w:rsidRPr="00104EEF">
        <w:rPr>
          <w:rFonts w:cstheme="minorHAnsi"/>
          <w:sz w:val="24"/>
          <w:szCs w:val="24"/>
        </w:rPr>
        <w:t>dispositivo é necessário e crucial para fazer o plano de tratamento adequado para cada paciente</w:t>
      </w:r>
      <w:r w:rsidR="00282557" w:rsidRPr="00104EEF">
        <w:rPr>
          <w:rFonts w:cstheme="minorHAnsi"/>
          <w:sz w:val="24"/>
          <w:szCs w:val="24"/>
        </w:rPr>
        <w:t>.</w:t>
      </w:r>
    </w:p>
    <w:p w14:paraId="3393E527" w14:textId="53350615" w:rsidR="00282557" w:rsidRPr="00104EEF" w:rsidRDefault="00282557" w:rsidP="00104EEF">
      <w:pPr>
        <w:ind w:firstLine="708"/>
        <w:jc w:val="both"/>
        <w:rPr>
          <w:rFonts w:cstheme="minorHAnsi"/>
          <w:sz w:val="24"/>
          <w:szCs w:val="24"/>
        </w:rPr>
      </w:pPr>
      <w:r w:rsidRPr="00104EEF">
        <w:rPr>
          <w:rFonts w:cstheme="minorHAnsi"/>
          <w:sz w:val="24"/>
          <w:szCs w:val="24"/>
        </w:rPr>
        <w:t xml:space="preserve">Park et al. (2008) investigaram a relação entre o padrão de ranger dos dentes durante o bruxismo do sono e o estado da articulação temporomandibular (ATM) com base no movimento condilar. Os padrões de bruxismo foram avaliados através do </w:t>
      </w:r>
      <w:r w:rsidRPr="00104EEF">
        <w:rPr>
          <w:rFonts w:cstheme="minorHAnsi"/>
          <w:i/>
          <w:iCs/>
          <w:sz w:val="24"/>
          <w:szCs w:val="24"/>
        </w:rPr>
        <w:t>Bruxchecker</w:t>
      </w:r>
      <w:r w:rsidRPr="00104EEF">
        <w:rPr>
          <w:rFonts w:cstheme="minorHAnsi"/>
          <w:sz w:val="24"/>
          <w:szCs w:val="24"/>
        </w:rPr>
        <w:t xml:space="preserve"> e os movimentos condilares foram registrados usando axiógrafo digital. Concluíram que a separação máxima média entre excursão e incursão no movimento condilar e a média máxima desvio lateral condilar durante movimentos de protrusão/retrusão e abertura/fechamento no grupo com padrão ICPM e ICPM+MG de bruxismo foram maiores que os dos tipos IC e ICP.</w:t>
      </w:r>
    </w:p>
    <w:p w14:paraId="39AEEA73" w14:textId="02A0058F" w:rsidR="008A7770" w:rsidRPr="00104EEF" w:rsidRDefault="008A7770" w:rsidP="00104EEF">
      <w:pPr>
        <w:ind w:firstLine="708"/>
        <w:jc w:val="both"/>
        <w:rPr>
          <w:rFonts w:cstheme="minorHAnsi"/>
          <w:sz w:val="24"/>
          <w:szCs w:val="24"/>
        </w:rPr>
      </w:pPr>
      <w:r w:rsidRPr="00104EEF">
        <w:rPr>
          <w:rFonts w:cstheme="minorHAnsi"/>
          <w:sz w:val="24"/>
          <w:szCs w:val="24"/>
        </w:rPr>
        <w:t xml:space="preserve">Sugimoto et al. (2011) avaliaram a relação entre a magnitude da atividade muscular durante o sono e os tipos de contato dentário examinados, incluindo orientação guiada protrusiva e retrusiva, a fim de esclarecer como os fatores de oclusão contribuem para o bruxismo do sono. Concluíram que o padrão de contato deve ser controlado para evitar bruxismo forte e que a atividade muscular durante o bruxismo </w:t>
      </w:r>
      <w:r w:rsidRPr="00104EEF">
        <w:rPr>
          <w:rFonts w:cstheme="minorHAnsi"/>
          <w:sz w:val="24"/>
          <w:szCs w:val="24"/>
        </w:rPr>
        <w:lastRenderedPageBreak/>
        <w:t>pode ser reduzido controlando o padrão de contato do dente durante o bruxismo do sono.</w:t>
      </w:r>
    </w:p>
    <w:p w14:paraId="337D0E68" w14:textId="0F12EC87" w:rsidR="008A7770" w:rsidRPr="00104EEF" w:rsidRDefault="008A7770" w:rsidP="00104EEF">
      <w:pPr>
        <w:ind w:firstLine="708"/>
        <w:jc w:val="both"/>
        <w:rPr>
          <w:rFonts w:cstheme="minorHAnsi"/>
          <w:sz w:val="24"/>
          <w:szCs w:val="24"/>
        </w:rPr>
      </w:pPr>
      <w:r w:rsidRPr="00104EEF">
        <w:rPr>
          <w:rFonts w:cstheme="minorHAnsi"/>
          <w:sz w:val="24"/>
          <w:szCs w:val="24"/>
        </w:rPr>
        <w:t>Tao et al. (2015) investigaram os padrões de contato dentário e discutiram os fatores que influenciam a relação de posição entre a posição intercuspidação e a área de contato durante o bruxismo do sono. Concluíram que a liberdade na posição cêntrica longa tem um efeito significativo na relação de posição entre intercuspidação e a área de contato dentário durante o bruximo do sono.</w:t>
      </w:r>
    </w:p>
    <w:p w14:paraId="09AAE8B4" w14:textId="77777777" w:rsidR="008A7770" w:rsidRPr="00104EEF" w:rsidRDefault="008A7770" w:rsidP="00104EEF">
      <w:pPr>
        <w:jc w:val="both"/>
        <w:rPr>
          <w:rFonts w:cstheme="minorHAnsi"/>
          <w:sz w:val="24"/>
          <w:szCs w:val="24"/>
        </w:rPr>
      </w:pPr>
    </w:p>
    <w:p w14:paraId="37670808" w14:textId="37EE9147" w:rsidR="008A7770" w:rsidRDefault="008A7770" w:rsidP="00104EEF">
      <w:pPr>
        <w:jc w:val="both"/>
        <w:rPr>
          <w:rFonts w:cstheme="minorHAnsi"/>
          <w:b/>
          <w:bCs/>
          <w:sz w:val="24"/>
          <w:szCs w:val="24"/>
        </w:rPr>
      </w:pPr>
      <w:r w:rsidRPr="00104EEF">
        <w:rPr>
          <w:rFonts w:cstheme="minorHAnsi"/>
          <w:b/>
          <w:bCs/>
          <w:sz w:val="24"/>
          <w:szCs w:val="24"/>
        </w:rPr>
        <w:t>Justificativa</w:t>
      </w:r>
    </w:p>
    <w:p w14:paraId="0CD73AE7" w14:textId="77777777" w:rsidR="00104EEF" w:rsidRPr="00104EEF" w:rsidRDefault="00104EEF" w:rsidP="00104EEF">
      <w:pPr>
        <w:jc w:val="both"/>
        <w:rPr>
          <w:rFonts w:cstheme="minorHAnsi"/>
          <w:b/>
          <w:bCs/>
          <w:sz w:val="24"/>
          <w:szCs w:val="24"/>
        </w:rPr>
      </w:pPr>
    </w:p>
    <w:p w14:paraId="18EC7324" w14:textId="2E3CE8D7" w:rsidR="008A7770" w:rsidRPr="00104EEF" w:rsidRDefault="008A7770" w:rsidP="00332FF5">
      <w:pPr>
        <w:ind w:firstLine="708"/>
        <w:jc w:val="both"/>
        <w:rPr>
          <w:rFonts w:cstheme="minorHAnsi"/>
          <w:sz w:val="24"/>
          <w:szCs w:val="24"/>
        </w:rPr>
      </w:pPr>
      <w:r w:rsidRPr="00104EEF">
        <w:rPr>
          <w:rFonts w:cstheme="minorHAnsi"/>
          <w:sz w:val="24"/>
          <w:szCs w:val="24"/>
        </w:rPr>
        <w:t xml:space="preserve">A diminuição de contato dentário posterior é um efeito colateral conhecido </w:t>
      </w:r>
      <w:r w:rsidR="006E1CE7" w:rsidRPr="00104EEF">
        <w:rPr>
          <w:rFonts w:cstheme="minorHAnsi"/>
          <w:sz w:val="24"/>
          <w:szCs w:val="24"/>
        </w:rPr>
        <w:t>da utilização de alinhadores ortodônticos. Investigar as possíveis alterações nos padrões de bruxismo do sono em pacientes que optaram por esse tipo de tratamento é extremamente importante para a proteção da articulação temporomandibular e para a estabilidade do tratamento.</w:t>
      </w:r>
    </w:p>
    <w:p w14:paraId="275C5443" w14:textId="77777777" w:rsidR="008A7770" w:rsidRPr="00104EEF" w:rsidRDefault="008A7770" w:rsidP="00104EEF">
      <w:pPr>
        <w:jc w:val="both"/>
        <w:rPr>
          <w:rFonts w:cstheme="minorHAnsi"/>
          <w:sz w:val="24"/>
          <w:szCs w:val="24"/>
        </w:rPr>
      </w:pPr>
    </w:p>
    <w:p w14:paraId="1218486B" w14:textId="7A12B0B4" w:rsidR="008A7770" w:rsidRPr="00332FF5" w:rsidRDefault="008A7770" w:rsidP="00104EEF">
      <w:pPr>
        <w:jc w:val="both"/>
        <w:rPr>
          <w:rFonts w:cstheme="minorHAnsi"/>
          <w:b/>
          <w:bCs/>
          <w:sz w:val="28"/>
          <w:szCs w:val="28"/>
        </w:rPr>
      </w:pPr>
      <w:r w:rsidRPr="00332FF5">
        <w:rPr>
          <w:rFonts w:cstheme="minorHAnsi"/>
          <w:b/>
          <w:bCs/>
          <w:sz w:val="28"/>
          <w:szCs w:val="28"/>
        </w:rPr>
        <w:t>Objetivos</w:t>
      </w:r>
    </w:p>
    <w:p w14:paraId="43BBF8DF" w14:textId="77777777" w:rsidR="00104EEF" w:rsidRPr="00104EEF" w:rsidRDefault="00104EEF" w:rsidP="00104EEF">
      <w:pPr>
        <w:jc w:val="both"/>
        <w:rPr>
          <w:rFonts w:cstheme="minorHAnsi"/>
          <w:b/>
          <w:bCs/>
          <w:sz w:val="24"/>
          <w:szCs w:val="24"/>
        </w:rPr>
      </w:pPr>
    </w:p>
    <w:p w14:paraId="5D2CB31A" w14:textId="550CB5F5" w:rsidR="008A7770" w:rsidRPr="00104EEF" w:rsidRDefault="008A7770" w:rsidP="00332FF5">
      <w:pPr>
        <w:ind w:firstLine="708"/>
        <w:jc w:val="both"/>
        <w:rPr>
          <w:rFonts w:cstheme="minorHAnsi"/>
          <w:b/>
          <w:bCs/>
          <w:sz w:val="24"/>
          <w:szCs w:val="24"/>
        </w:rPr>
      </w:pPr>
      <w:r w:rsidRPr="00104EEF">
        <w:rPr>
          <w:rFonts w:cstheme="minorHAnsi"/>
          <w:b/>
          <w:bCs/>
          <w:sz w:val="24"/>
          <w:szCs w:val="24"/>
        </w:rPr>
        <w:t>Objetivo Geral</w:t>
      </w:r>
    </w:p>
    <w:p w14:paraId="04BDF24B" w14:textId="6237F923" w:rsidR="006E1CE7" w:rsidRPr="00104EEF" w:rsidRDefault="006E1CE7" w:rsidP="00104EEF">
      <w:pPr>
        <w:ind w:firstLine="708"/>
        <w:jc w:val="both"/>
        <w:rPr>
          <w:rFonts w:cstheme="minorHAnsi"/>
          <w:sz w:val="24"/>
          <w:szCs w:val="24"/>
        </w:rPr>
      </w:pPr>
      <w:r w:rsidRPr="00104EEF">
        <w:rPr>
          <w:rFonts w:cstheme="minorHAnsi"/>
          <w:sz w:val="24"/>
          <w:szCs w:val="24"/>
        </w:rPr>
        <w:t>Avaliar e comparar os padrões de bruxismo do sono em pa</w:t>
      </w:r>
      <w:r w:rsidR="00B654EA">
        <w:rPr>
          <w:rFonts w:cstheme="minorHAnsi"/>
          <w:sz w:val="24"/>
          <w:szCs w:val="24"/>
        </w:rPr>
        <w:t>cientes</w:t>
      </w:r>
      <w:r w:rsidRPr="00104EEF">
        <w:rPr>
          <w:rFonts w:cstheme="minorHAnsi"/>
          <w:sz w:val="24"/>
          <w:szCs w:val="24"/>
        </w:rPr>
        <w:t xml:space="preserve"> que realizarão tratamento ortodôntico com alinhadores.</w:t>
      </w:r>
    </w:p>
    <w:p w14:paraId="539CE191" w14:textId="448664EC" w:rsidR="00104EEF" w:rsidRPr="00104EEF" w:rsidRDefault="008A7770" w:rsidP="00332FF5">
      <w:pPr>
        <w:ind w:firstLine="708"/>
        <w:jc w:val="both"/>
        <w:rPr>
          <w:rFonts w:cstheme="minorHAnsi"/>
          <w:b/>
          <w:bCs/>
          <w:sz w:val="24"/>
          <w:szCs w:val="24"/>
        </w:rPr>
      </w:pPr>
      <w:r w:rsidRPr="00104EEF">
        <w:rPr>
          <w:rFonts w:cstheme="minorHAnsi"/>
          <w:b/>
          <w:bCs/>
          <w:sz w:val="24"/>
          <w:szCs w:val="24"/>
        </w:rPr>
        <w:t>Objetivo Específico</w:t>
      </w:r>
    </w:p>
    <w:p w14:paraId="64AC31FE" w14:textId="4093B777" w:rsidR="006E1CE7" w:rsidRPr="00104EEF" w:rsidRDefault="006E1CE7" w:rsidP="00332FF5">
      <w:pPr>
        <w:ind w:firstLine="708"/>
        <w:jc w:val="both"/>
        <w:rPr>
          <w:rFonts w:cstheme="minorHAnsi"/>
          <w:sz w:val="24"/>
          <w:szCs w:val="24"/>
        </w:rPr>
      </w:pPr>
      <w:r w:rsidRPr="00104EEF">
        <w:rPr>
          <w:rFonts w:cstheme="minorHAnsi"/>
          <w:sz w:val="24"/>
          <w:szCs w:val="24"/>
        </w:rPr>
        <w:t>Verificar se a diminuição de suporte oclusal posterior resultante do uso de alinhadores ortodônticos altera o padrão de bruxismo dos p</w:t>
      </w:r>
      <w:r w:rsidR="00B654EA">
        <w:rPr>
          <w:rFonts w:cstheme="minorHAnsi"/>
          <w:sz w:val="24"/>
          <w:szCs w:val="24"/>
        </w:rPr>
        <w:t>acientes</w:t>
      </w:r>
      <w:r w:rsidRPr="00104EEF">
        <w:rPr>
          <w:rFonts w:cstheme="minorHAnsi"/>
          <w:sz w:val="24"/>
          <w:szCs w:val="24"/>
        </w:rPr>
        <w:t>.</w:t>
      </w:r>
    </w:p>
    <w:p w14:paraId="712A4227" w14:textId="77777777" w:rsidR="008A7770" w:rsidRPr="00104EEF" w:rsidRDefault="008A7770" w:rsidP="00104EEF">
      <w:pPr>
        <w:jc w:val="both"/>
        <w:rPr>
          <w:rFonts w:cstheme="minorHAnsi"/>
          <w:sz w:val="24"/>
          <w:szCs w:val="24"/>
        </w:rPr>
      </w:pPr>
    </w:p>
    <w:p w14:paraId="04FA3A25" w14:textId="2AF65DE6" w:rsidR="008A7770" w:rsidRPr="00332FF5" w:rsidRDefault="008A7770" w:rsidP="00104EEF">
      <w:pPr>
        <w:jc w:val="both"/>
        <w:rPr>
          <w:rFonts w:cstheme="minorHAnsi"/>
          <w:b/>
          <w:bCs/>
          <w:sz w:val="28"/>
          <w:szCs w:val="28"/>
        </w:rPr>
      </w:pPr>
      <w:r w:rsidRPr="00332FF5">
        <w:rPr>
          <w:rFonts w:cstheme="minorHAnsi"/>
          <w:b/>
          <w:bCs/>
          <w:sz w:val="28"/>
          <w:szCs w:val="28"/>
        </w:rPr>
        <w:t>Material e Método</w:t>
      </w:r>
      <w:r w:rsidR="00332FF5">
        <w:rPr>
          <w:rFonts w:cstheme="minorHAnsi"/>
          <w:b/>
          <w:bCs/>
          <w:sz w:val="28"/>
          <w:szCs w:val="28"/>
        </w:rPr>
        <w:t>s</w:t>
      </w:r>
    </w:p>
    <w:p w14:paraId="44322332" w14:textId="77777777" w:rsidR="00104EEF" w:rsidRPr="00104EEF" w:rsidRDefault="00104EEF" w:rsidP="00104EEF">
      <w:pPr>
        <w:jc w:val="both"/>
        <w:rPr>
          <w:rFonts w:cstheme="minorHAnsi"/>
          <w:b/>
          <w:bCs/>
          <w:sz w:val="24"/>
          <w:szCs w:val="24"/>
        </w:rPr>
      </w:pPr>
    </w:p>
    <w:p w14:paraId="5C4AAEA2" w14:textId="51D83053" w:rsidR="008A7770" w:rsidRPr="00104EEF" w:rsidRDefault="008A7770" w:rsidP="00332FF5">
      <w:pPr>
        <w:ind w:firstLine="708"/>
        <w:jc w:val="both"/>
        <w:rPr>
          <w:rFonts w:cstheme="minorHAnsi"/>
          <w:b/>
          <w:bCs/>
          <w:sz w:val="24"/>
          <w:szCs w:val="24"/>
        </w:rPr>
      </w:pPr>
      <w:r w:rsidRPr="00104EEF">
        <w:rPr>
          <w:rFonts w:cstheme="minorHAnsi"/>
          <w:b/>
          <w:bCs/>
          <w:sz w:val="24"/>
          <w:szCs w:val="24"/>
        </w:rPr>
        <w:t>Seleção da amostra</w:t>
      </w:r>
    </w:p>
    <w:p w14:paraId="7FC7E4E8" w14:textId="650E5904" w:rsidR="006E1CE7" w:rsidRPr="00104EEF" w:rsidRDefault="006E1CE7" w:rsidP="00104EEF">
      <w:pPr>
        <w:ind w:firstLine="708"/>
        <w:jc w:val="both"/>
        <w:rPr>
          <w:rFonts w:cstheme="minorHAnsi"/>
          <w:sz w:val="24"/>
          <w:szCs w:val="24"/>
        </w:rPr>
      </w:pPr>
      <w:r w:rsidRPr="00104EEF">
        <w:rPr>
          <w:rFonts w:cstheme="minorHAnsi"/>
          <w:sz w:val="24"/>
          <w:szCs w:val="24"/>
        </w:rPr>
        <w:t xml:space="preserve">Será composta de </w:t>
      </w:r>
      <w:r w:rsidR="00332FF5">
        <w:rPr>
          <w:rFonts w:cstheme="minorHAnsi"/>
          <w:sz w:val="24"/>
          <w:szCs w:val="24"/>
        </w:rPr>
        <w:t>30</w:t>
      </w:r>
      <w:r w:rsidRPr="00104EEF">
        <w:rPr>
          <w:rFonts w:cstheme="minorHAnsi"/>
          <w:sz w:val="24"/>
          <w:szCs w:val="24"/>
        </w:rPr>
        <w:t xml:space="preserve"> pa</w:t>
      </w:r>
      <w:r w:rsidR="00097958">
        <w:rPr>
          <w:rFonts w:cstheme="minorHAnsi"/>
          <w:sz w:val="24"/>
          <w:szCs w:val="24"/>
        </w:rPr>
        <w:t>rticipantes</w:t>
      </w:r>
      <w:r w:rsidR="00332FF5">
        <w:rPr>
          <w:rFonts w:cstheme="minorHAnsi"/>
          <w:sz w:val="24"/>
          <w:szCs w:val="24"/>
        </w:rPr>
        <w:t xml:space="preserve"> </w:t>
      </w:r>
      <w:r w:rsidRPr="00104EEF">
        <w:rPr>
          <w:rFonts w:cstheme="minorHAnsi"/>
          <w:sz w:val="24"/>
          <w:szCs w:val="24"/>
        </w:rPr>
        <w:t xml:space="preserve">maiores de 18 anos de idade, </w:t>
      </w:r>
      <w:r w:rsidR="00332FF5">
        <w:rPr>
          <w:rFonts w:cstheme="minorHAnsi"/>
          <w:sz w:val="24"/>
          <w:szCs w:val="24"/>
        </w:rPr>
        <w:t xml:space="preserve">sendo </w:t>
      </w:r>
      <w:r w:rsidR="00097958">
        <w:rPr>
          <w:rFonts w:cstheme="minorHAnsi"/>
          <w:sz w:val="24"/>
          <w:szCs w:val="24"/>
        </w:rPr>
        <w:t>20</w:t>
      </w:r>
      <w:r w:rsidR="00332FF5">
        <w:rPr>
          <w:rFonts w:cstheme="minorHAnsi"/>
          <w:sz w:val="24"/>
          <w:szCs w:val="24"/>
        </w:rPr>
        <w:t xml:space="preserve"> </w:t>
      </w:r>
      <w:r w:rsidRPr="00104EEF">
        <w:rPr>
          <w:rFonts w:cstheme="minorHAnsi"/>
          <w:sz w:val="24"/>
          <w:szCs w:val="24"/>
        </w:rPr>
        <w:t>que passarão por tratamento ortodôntico no curso de Especialização em Ortodontia da Fundecto-FFO com alinhadores ortodônticos da marca Invisalign® (Align Technology)</w:t>
      </w:r>
      <w:r w:rsidR="00332FF5">
        <w:rPr>
          <w:rFonts w:cstheme="minorHAnsi"/>
          <w:sz w:val="24"/>
          <w:szCs w:val="24"/>
        </w:rPr>
        <w:t>, e 1</w:t>
      </w:r>
      <w:r w:rsidR="00097958">
        <w:rPr>
          <w:rFonts w:cstheme="minorHAnsi"/>
          <w:sz w:val="24"/>
          <w:szCs w:val="24"/>
        </w:rPr>
        <w:t>0</w:t>
      </w:r>
      <w:r w:rsidR="00332FF5">
        <w:rPr>
          <w:rFonts w:cstheme="minorHAnsi"/>
          <w:sz w:val="24"/>
          <w:szCs w:val="24"/>
        </w:rPr>
        <w:t xml:space="preserve"> voluntários (Grupo Controle) que não realizarão tratamento ortodôntico.</w:t>
      </w:r>
    </w:p>
    <w:p w14:paraId="18DF1CE3" w14:textId="77777777" w:rsidR="008430B9" w:rsidRDefault="008430B9" w:rsidP="00104EEF">
      <w:pPr>
        <w:jc w:val="both"/>
        <w:rPr>
          <w:rFonts w:cstheme="minorHAnsi"/>
          <w:b/>
          <w:bCs/>
          <w:sz w:val="24"/>
          <w:szCs w:val="24"/>
        </w:rPr>
      </w:pPr>
    </w:p>
    <w:p w14:paraId="0B900621" w14:textId="3B9687A8" w:rsidR="006E1CE7" w:rsidRDefault="006E1CE7" w:rsidP="00332FF5">
      <w:pPr>
        <w:ind w:firstLine="708"/>
        <w:jc w:val="both"/>
        <w:rPr>
          <w:rFonts w:cstheme="minorHAnsi"/>
          <w:b/>
          <w:bCs/>
          <w:sz w:val="24"/>
          <w:szCs w:val="24"/>
        </w:rPr>
      </w:pPr>
      <w:r w:rsidRPr="00104EEF">
        <w:rPr>
          <w:rFonts w:cstheme="minorHAnsi"/>
          <w:b/>
          <w:bCs/>
          <w:sz w:val="24"/>
          <w:szCs w:val="24"/>
        </w:rPr>
        <w:t>Material</w:t>
      </w:r>
    </w:p>
    <w:p w14:paraId="2402DC09" w14:textId="77777777" w:rsidR="00104EEF" w:rsidRPr="00104EEF" w:rsidRDefault="00104EEF" w:rsidP="00104EEF">
      <w:pPr>
        <w:jc w:val="both"/>
        <w:rPr>
          <w:rFonts w:cstheme="minorHAnsi"/>
          <w:b/>
          <w:bCs/>
          <w:sz w:val="24"/>
          <w:szCs w:val="24"/>
        </w:rPr>
      </w:pPr>
    </w:p>
    <w:p w14:paraId="2AF08889" w14:textId="2F6590F5" w:rsidR="006E1CE7" w:rsidRPr="00104EEF" w:rsidRDefault="006E1CE7" w:rsidP="008430B9">
      <w:pPr>
        <w:ind w:firstLine="708"/>
        <w:jc w:val="both"/>
        <w:rPr>
          <w:rFonts w:cstheme="minorHAnsi"/>
          <w:b/>
          <w:bCs/>
          <w:sz w:val="24"/>
          <w:szCs w:val="24"/>
        </w:rPr>
      </w:pPr>
      <w:r w:rsidRPr="00104EEF">
        <w:rPr>
          <w:rFonts w:cstheme="minorHAnsi"/>
          <w:b/>
          <w:bCs/>
          <w:sz w:val="24"/>
          <w:szCs w:val="24"/>
        </w:rPr>
        <w:t>Exames</w:t>
      </w:r>
    </w:p>
    <w:p w14:paraId="7F3A373D" w14:textId="1CC00CFA" w:rsidR="006E1CE7" w:rsidRPr="00104EEF" w:rsidRDefault="006E1CE7" w:rsidP="00104EEF">
      <w:pPr>
        <w:ind w:firstLine="708"/>
        <w:jc w:val="both"/>
        <w:rPr>
          <w:rFonts w:cstheme="minorHAnsi"/>
          <w:sz w:val="24"/>
          <w:szCs w:val="24"/>
        </w:rPr>
      </w:pPr>
      <w:r w:rsidRPr="00104EEF">
        <w:rPr>
          <w:rFonts w:cstheme="minorHAnsi"/>
          <w:sz w:val="24"/>
          <w:szCs w:val="24"/>
        </w:rPr>
        <w:t>Serão coletados exames dos participantes em duas fases sendo T0 (antes do tratamento) e T1 (após 6 meses de tratamento) contendo:</w:t>
      </w:r>
    </w:p>
    <w:p w14:paraId="3A1F8A7A" w14:textId="5C0B57A8" w:rsidR="006E1CE7" w:rsidRDefault="006E1CE7" w:rsidP="00104EEF">
      <w:pPr>
        <w:jc w:val="both"/>
        <w:rPr>
          <w:rFonts w:cstheme="minorHAnsi"/>
          <w:b/>
          <w:bCs/>
          <w:sz w:val="24"/>
          <w:szCs w:val="24"/>
        </w:rPr>
      </w:pPr>
      <w:r w:rsidRPr="00104EEF">
        <w:rPr>
          <w:rFonts w:cstheme="minorHAnsi"/>
          <w:sz w:val="24"/>
          <w:szCs w:val="24"/>
        </w:rPr>
        <w:tab/>
      </w:r>
      <w:r w:rsidRPr="00302CB8">
        <w:rPr>
          <w:rFonts w:cstheme="minorHAnsi"/>
          <w:b/>
          <w:bCs/>
          <w:sz w:val="24"/>
          <w:szCs w:val="24"/>
        </w:rPr>
        <w:t>- Bruxchecker®</w:t>
      </w:r>
    </w:p>
    <w:p w14:paraId="223FBE75" w14:textId="0D9CDFC1" w:rsidR="00302CB8" w:rsidRPr="00302CB8" w:rsidRDefault="00302CB8" w:rsidP="00104EEF">
      <w:pPr>
        <w:jc w:val="both"/>
        <w:rPr>
          <w:rFonts w:cstheme="minorHAnsi"/>
          <w:sz w:val="24"/>
          <w:szCs w:val="24"/>
        </w:rPr>
      </w:pPr>
      <w:r>
        <w:rPr>
          <w:rFonts w:cstheme="minorHAnsi"/>
          <w:b/>
          <w:bCs/>
          <w:sz w:val="24"/>
          <w:szCs w:val="24"/>
        </w:rPr>
        <w:tab/>
      </w:r>
      <w:r>
        <w:rPr>
          <w:rFonts w:cstheme="minorHAnsi"/>
          <w:b/>
          <w:bCs/>
          <w:sz w:val="24"/>
          <w:szCs w:val="24"/>
        </w:rPr>
        <w:tab/>
      </w:r>
      <w:r w:rsidRPr="00302CB8">
        <w:rPr>
          <w:rFonts w:cstheme="minorHAnsi"/>
          <w:sz w:val="24"/>
          <w:szCs w:val="24"/>
        </w:rPr>
        <w:t xml:space="preserve">Utilização da placa superior </w:t>
      </w:r>
      <w:r>
        <w:rPr>
          <w:rFonts w:cstheme="minorHAnsi"/>
          <w:sz w:val="24"/>
          <w:szCs w:val="24"/>
        </w:rPr>
        <w:t xml:space="preserve">pelo participante </w:t>
      </w:r>
      <w:r w:rsidRPr="00302CB8">
        <w:rPr>
          <w:rFonts w:cstheme="minorHAnsi"/>
          <w:sz w:val="24"/>
          <w:szCs w:val="24"/>
        </w:rPr>
        <w:t>em 2 noites de sono</w:t>
      </w:r>
    </w:p>
    <w:p w14:paraId="2AB411CC" w14:textId="11143272" w:rsidR="006E1CE7" w:rsidRDefault="006E1CE7" w:rsidP="00104EEF">
      <w:pPr>
        <w:jc w:val="both"/>
        <w:rPr>
          <w:rFonts w:cstheme="minorHAnsi"/>
          <w:b/>
          <w:bCs/>
          <w:sz w:val="24"/>
          <w:szCs w:val="24"/>
        </w:rPr>
      </w:pPr>
      <w:r w:rsidRPr="00302CB8">
        <w:rPr>
          <w:rFonts w:cstheme="minorHAnsi"/>
          <w:b/>
          <w:bCs/>
          <w:sz w:val="24"/>
          <w:szCs w:val="24"/>
        </w:rPr>
        <w:tab/>
        <w:t>- Questionário de avaliação de risco de DTM (DC-TMD)</w:t>
      </w:r>
    </w:p>
    <w:p w14:paraId="22A29D46" w14:textId="52C2FE89" w:rsidR="00302CB8" w:rsidRPr="00302CB8" w:rsidRDefault="00302CB8" w:rsidP="00104EEF">
      <w:pPr>
        <w:jc w:val="both"/>
        <w:rPr>
          <w:rFonts w:cstheme="minorHAnsi"/>
          <w:sz w:val="24"/>
          <w:szCs w:val="24"/>
        </w:rPr>
      </w:pPr>
      <w:r>
        <w:rPr>
          <w:rFonts w:cstheme="minorHAnsi"/>
          <w:b/>
          <w:bCs/>
          <w:sz w:val="24"/>
          <w:szCs w:val="24"/>
        </w:rPr>
        <w:tab/>
      </w:r>
      <w:r w:rsidRPr="00302CB8">
        <w:rPr>
          <w:rFonts w:cstheme="minorHAnsi"/>
          <w:sz w:val="24"/>
          <w:szCs w:val="24"/>
        </w:rPr>
        <w:tab/>
        <w:t>Aplicado por operador previamente treinado e calibrado</w:t>
      </w:r>
    </w:p>
    <w:p w14:paraId="7F7EB19E" w14:textId="500DE604" w:rsidR="006E1CE7" w:rsidRDefault="006E1CE7" w:rsidP="00104EEF">
      <w:pPr>
        <w:jc w:val="both"/>
        <w:rPr>
          <w:rFonts w:cstheme="minorHAnsi"/>
          <w:b/>
          <w:bCs/>
          <w:sz w:val="24"/>
          <w:szCs w:val="24"/>
        </w:rPr>
      </w:pPr>
      <w:r w:rsidRPr="00302CB8">
        <w:rPr>
          <w:rFonts w:cstheme="minorHAnsi"/>
          <w:b/>
          <w:bCs/>
          <w:sz w:val="24"/>
          <w:szCs w:val="24"/>
        </w:rPr>
        <w:tab/>
        <w:t>- Questionário de avaliação de ansiedade</w:t>
      </w:r>
    </w:p>
    <w:p w14:paraId="5D77DB46" w14:textId="18D866CC" w:rsidR="00302CB8" w:rsidRPr="00302CB8" w:rsidRDefault="00302CB8" w:rsidP="00104EEF">
      <w:pPr>
        <w:jc w:val="both"/>
        <w:rPr>
          <w:rFonts w:cstheme="minorHAnsi"/>
          <w:sz w:val="24"/>
          <w:szCs w:val="24"/>
        </w:rPr>
      </w:pPr>
      <w:r>
        <w:rPr>
          <w:rFonts w:cstheme="minorHAnsi"/>
          <w:b/>
          <w:bCs/>
          <w:sz w:val="24"/>
          <w:szCs w:val="24"/>
        </w:rPr>
        <w:tab/>
      </w:r>
      <w:r>
        <w:rPr>
          <w:rFonts w:cstheme="minorHAnsi"/>
          <w:b/>
          <w:bCs/>
          <w:sz w:val="24"/>
          <w:szCs w:val="24"/>
        </w:rPr>
        <w:tab/>
      </w:r>
      <w:r w:rsidRPr="00302CB8">
        <w:rPr>
          <w:rFonts w:cstheme="minorHAnsi"/>
          <w:sz w:val="24"/>
          <w:szCs w:val="24"/>
        </w:rPr>
        <w:t>Respondido pelo próprio p</w:t>
      </w:r>
      <w:r w:rsidR="00097958">
        <w:rPr>
          <w:rFonts w:cstheme="minorHAnsi"/>
          <w:sz w:val="24"/>
          <w:szCs w:val="24"/>
        </w:rPr>
        <w:t>articipante</w:t>
      </w:r>
      <w:r w:rsidRPr="00302CB8">
        <w:rPr>
          <w:rFonts w:cstheme="minorHAnsi"/>
          <w:sz w:val="24"/>
          <w:szCs w:val="24"/>
        </w:rPr>
        <w:t>, apenas com identificação numérica e sem supervisão</w:t>
      </w:r>
    </w:p>
    <w:p w14:paraId="42F88C51" w14:textId="77777777" w:rsidR="00104EEF" w:rsidRPr="00104EEF" w:rsidRDefault="00104EEF" w:rsidP="00104EEF">
      <w:pPr>
        <w:jc w:val="both"/>
        <w:rPr>
          <w:rFonts w:cstheme="minorHAnsi"/>
          <w:sz w:val="24"/>
          <w:szCs w:val="24"/>
        </w:rPr>
      </w:pPr>
    </w:p>
    <w:p w14:paraId="6590B279" w14:textId="02E798FD" w:rsidR="008A7770" w:rsidRDefault="008A7770" w:rsidP="00332FF5">
      <w:pPr>
        <w:ind w:firstLine="708"/>
        <w:jc w:val="both"/>
        <w:rPr>
          <w:rFonts w:cstheme="minorHAnsi"/>
          <w:b/>
          <w:bCs/>
          <w:sz w:val="24"/>
          <w:szCs w:val="24"/>
        </w:rPr>
      </w:pPr>
      <w:r w:rsidRPr="00104EEF">
        <w:rPr>
          <w:rFonts w:cstheme="minorHAnsi"/>
          <w:b/>
          <w:bCs/>
          <w:sz w:val="24"/>
          <w:szCs w:val="24"/>
        </w:rPr>
        <w:t>Métodos</w:t>
      </w:r>
    </w:p>
    <w:p w14:paraId="33266143" w14:textId="77777777" w:rsidR="00104EEF" w:rsidRPr="00104EEF" w:rsidRDefault="00104EEF" w:rsidP="00104EEF">
      <w:pPr>
        <w:jc w:val="both"/>
        <w:rPr>
          <w:rFonts w:cstheme="minorHAnsi"/>
          <w:b/>
          <w:bCs/>
          <w:sz w:val="24"/>
          <w:szCs w:val="24"/>
        </w:rPr>
      </w:pPr>
    </w:p>
    <w:p w14:paraId="4F596817" w14:textId="508A973E" w:rsidR="00041756" w:rsidRPr="00104EEF" w:rsidRDefault="00041756" w:rsidP="00104EEF">
      <w:pPr>
        <w:ind w:firstLine="708"/>
        <w:jc w:val="both"/>
        <w:rPr>
          <w:rFonts w:cstheme="minorHAnsi"/>
          <w:b/>
          <w:bCs/>
          <w:sz w:val="24"/>
          <w:szCs w:val="24"/>
        </w:rPr>
      </w:pPr>
      <w:r w:rsidRPr="00104EEF">
        <w:rPr>
          <w:rFonts w:cstheme="minorHAnsi"/>
          <w:b/>
          <w:bCs/>
          <w:sz w:val="24"/>
          <w:szCs w:val="24"/>
        </w:rPr>
        <w:t>Desenho</w:t>
      </w:r>
    </w:p>
    <w:p w14:paraId="26DE1F3F" w14:textId="2A56CC01" w:rsidR="006E1CE7" w:rsidRPr="00104EEF" w:rsidRDefault="006E1CE7" w:rsidP="00FE514B">
      <w:pPr>
        <w:ind w:firstLine="708"/>
        <w:jc w:val="both"/>
        <w:rPr>
          <w:rFonts w:cstheme="minorHAnsi"/>
          <w:sz w:val="24"/>
          <w:szCs w:val="24"/>
        </w:rPr>
      </w:pPr>
      <w:r w:rsidRPr="00104EEF">
        <w:rPr>
          <w:rFonts w:cstheme="minorHAnsi"/>
          <w:sz w:val="24"/>
          <w:szCs w:val="24"/>
        </w:rPr>
        <w:t xml:space="preserve">Este é um estudo </w:t>
      </w:r>
      <w:r w:rsidR="00041756" w:rsidRPr="00104EEF">
        <w:rPr>
          <w:rFonts w:cstheme="minorHAnsi"/>
          <w:sz w:val="24"/>
          <w:szCs w:val="24"/>
        </w:rPr>
        <w:t xml:space="preserve">observacional longitudinal. </w:t>
      </w:r>
      <w:bookmarkStart w:id="0" w:name="_Hlk198449953"/>
      <w:r w:rsidR="008B1183">
        <w:rPr>
          <w:rFonts w:cstheme="minorHAnsi"/>
          <w:sz w:val="24"/>
          <w:szCs w:val="24"/>
        </w:rPr>
        <w:t>O Bruxchecker é um exame diagnóstico. Não gera efeito terapêutico ou alteração no tratamento do participante, sendo assim, n</w:t>
      </w:r>
      <w:r w:rsidR="00041756" w:rsidRPr="00104EEF">
        <w:rPr>
          <w:rFonts w:cstheme="minorHAnsi"/>
          <w:sz w:val="24"/>
          <w:szCs w:val="24"/>
        </w:rPr>
        <w:t>ão será realizada intervenção nos participantes, apenas a coleta de dados. O tratamento ortodôntico é conduzido pelos alunos do curso de especialização sob supervisão dos professores de maneira independente da pesquisa.</w:t>
      </w:r>
      <w:bookmarkEnd w:id="0"/>
    </w:p>
    <w:p w14:paraId="34DE9319" w14:textId="77777777" w:rsidR="00041756" w:rsidRPr="00104EEF" w:rsidRDefault="00041756" w:rsidP="00104EEF">
      <w:pPr>
        <w:jc w:val="both"/>
        <w:rPr>
          <w:rFonts w:cstheme="minorHAnsi"/>
          <w:b/>
          <w:bCs/>
          <w:sz w:val="24"/>
          <w:szCs w:val="24"/>
        </w:rPr>
      </w:pPr>
    </w:p>
    <w:p w14:paraId="08CA39A5" w14:textId="4263F6AC" w:rsidR="008430B9" w:rsidRDefault="00041756" w:rsidP="008430B9">
      <w:pPr>
        <w:ind w:firstLine="708"/>
        <w:jc w:val="both"/>
        <w:rPr>
          <w:rFonts w:cstheme="minorHAnsi"/>
          <w:b/>
          <w:bCs/>
          <w:sz w:val="24"/>
          <w:szCs w:val="24"/>
        </w:rPr>
      </w:pPr>
      <w:r w:rsidRPr="00104EEF">
        <w:rPr>
          <w:rFonts w:cstheme="minorHAnsi"/>
          <w:b/>
          <w:bCs/>
          <w:sz w:val="24"/>
          <w:szCs w:val="24"/>
        </w:rPr>
        <w:t>Critérios de Inclusão</w:t>
      </w:r>
    </w:p>
    <w:p w14:paraId="47F88241" w14:textId="3633B874" w:rsidR="008430B9" w:rsidRPr="00483C97" w:rsidRDefault="008430B9" w:rsidP="008430B9">
      <w:pPr>
        <w:autoSpaceDE w:val="0"/>
        <w:autoSpaceDN w:val="0"/>
        <w:adjustRightInd w:val="0"/>
        <w:spacing w:line="360" w:lineRule="auto"/>
        <w:ind w:firstLine="708"/>
        <w:jc w:val="both"/>
        <w:rPr>
          <w:b/>
          <w:color w:val="000000" w:themeColor="text1"/>
          <w:sz w:val="24"/>
          <w:szCs w:val="24"/>
        </w:rPr>
      </w:pPr>
      <w:r w:rsidRPr="00483C97">
        <w:rPr>
          <w:color w:val="000000" w:themeColor="text1"/>
          <w:sz w:val="24"/>
          <w:szCs w:val="24"/>
        </w:rPr>
        <w:t>- Oclusão Classe I de Angle</w:t>
      </w:r>
    </w:p>
    <w:p w14:paraId="23A9CD09" w14:textId="77777777" w:rsidR="008430B9" w:rsidRPr="00483C97" w:rsidRDefault="008430B9" w:rsidP="008430B9">
      <w:pPr>
        <w:tabs>
          <w:tab w:val="left" w:pos="0"/>
        </w:tabs>
        <w:spacing w:line="360" w:lineRule="auto"/>
        <w:jc w:val="both"/>
        <w:rPr>
          <w:color w:val="000000" w:themeColor="text1"/>
          <w:sz w:val="24"/>
          <w:szCs w:val="24"/>
        </w:rPr>
      </w:pPr>
      <w:r w:rsidRPr="00483C97">
        <w:rPr>
          <w:color w:val="000000" w:themeColor="text1"/>
          <w:sz w:val="24"/>
          <w:szCs w:val="24"/>
        </w:rPr>
        <w:tab/>
        <w:t>- Apinhamento leve ou moderado (índice de Little de 1 a 6mm)</w:t>
      </w:r>
    </w:p>
    <w:p w14:paraId="442B8871" w14:textId="77777777" w:rsidR="008430B9" w:rsidRPr="00483C97" w:rsidRDefault="008430B9" w:rsidP="008430B9">
      <w:pPr>
        <w:tabs>
          <w:tab w:val="left" w:pos="0"/>
        </w:tabs>
        <w:spacing w:line="360" w:lineRule="auto"/>
        <w:jc w:val="both"/>
        <w:rPr>
          <w:color w:val="000000" w:themeColor="text1"/>
          <w:sz w:val="24"/>
          <w:szCs w:val="24"/>
        </w:rPr>
      </w:pPr>
      <w:r w:rsidRPr="00483C97">
        <w:rPr>
          <w:color w:val="000000" w:themeColor="text1"/>
          <w:sz w:val="24"/>
          <w:szCs w:val="24"/>
        </w:rPr>
        <w:tab/>
        <w:t>- Ausência de reabilitações protéticas ou restaurações extensas.</w:t>
      </w:r>
    </w:p>
    <w:p w14:paraId="551E3D67" w14:textId="77777777" w:rsidR="008430B9" w:rsidRPr="00483C97" w:rsidRDefault="008430B9" w:rsidP="008430B9">
      <w:pPr>
        <w:tabs>
          <w:tab w:val="left" w:pos="0"/>
        </w:tabs>
        <w:spacing w:line="360" w:lineRule="auto"/>
        <w:jc w:val="both"/>
        <w:rPr>
          <w:color w:val="000000" w:themeColor="text1"/>
          <w:sz w:val="24"/>
          <w:szCs w:val="24"/>
        </w:rPr>
      </w:pPr>
      <w:r w:rsidRPr="00483C97">
        <w:rPr>
          <w:color w:val="000000" w:themeColor="text1"/>
          <w:sz w:val="24"/>
          <w:szCs w:val="24"/>
        </w:rPr>
        <w:tab/>
        <w:t>- Ausência de lesões cariosas ou fraturas de esmalte</w:t>
      </w:r>
    </w:p>
    <w:p w14:paraId="042676E8" w14:textId="77777777" w:rsidR="008430B9" w:rsidRPr="00483C97" w:rsidRDefault="008430B9" w:rsidP="008430B9">
      <w:pPr>
        <w:tabs>
          <w:tab w:val="left" w:pos="0"/>
        </w:tabs>
        <w:spacing w:line="360" w:lineRule="auto"/>
        <w:jc w:val="both"/>
        <w:rPr>
          <w:color w:val="000000" w:themeColor="text1"/>
          <w:sz w:val="24"/>
          <w:szCs w:val="24"/>
        </w:rPr>
      </w:pPr>
      <w:r w:rsidRPr="00483C97">
        <w:rPr>
          <w:color w:val="000000" w:themeColor="text1"/>
          <w:sz w:val="24"/>
          <w:szCs w:val="24"/>
        </w:rPr>
        <w:tab/>
        <w:t>- Ausência de doenças periodontais</w:t>
      </w:r>
    </w:p>
    <w:p w14:paraId="52AC57A1" w14:textId="77777777" w:rsidR="008430B9" w:rsidRDefault="008430B9" w:rsidP="008430B9">
      <w:pPr>
        <w:tabs>
          <w:tab w:val="left" w:pos="0"/>
        </w:tabs>
        <w:spacing w:line="360" w:lineRule="auto"/>
        <w:jc w:val="both"/>
        <w:rPr>
          <w:color w:val="000000" w:themeColor="text1"/>
          <w:sz w:val="24"/>
          <w:szCs w:val="24"/>
        </w:rPr>
      </w:pPr>
      <w:r w:rsidRPr="00483C97">
        <w:rPr>
          <w:color w:val="000000" w:themeColor="text1"/>
          <w:sz w:val="24"/>
          <w:szCs w:val="24"/>
        </w:rPr>
        <w:tab/>
        <w:t>- Indivíduos saudáveis</w:t>
      </w:r>
    </w:p>
    <w:p w14:paraId="690C49D3" w14:textId="7F87DC03" w:rsidR="00014E3A" w:rsidRPr="00483C97" w:rsidRDefault="00014E3A" w:rsidP="008430B9">
      <w:pPr>
        <w:tabs>
          <w:tab w:val="left" w:pos="0"/>
        </w:tabs>
        <w:spacing w:line="360" w:lineRule="auto"/>
        <w:jc w:val="both"/>
        <w:rPr>
          <w:color w:val="000000" w:themeColor="text1"/>
          <w:sz w:val="24"/>
          <w:szCs w:val="24"/>
        </w:rPr>
      </w:pPr>
      <w:r>
        <w:rPr>
          <w:color w:val="000000" w:themeColor="text1"/>
          <w:sz w:val="24"/>
          <w:szCs w:val="24"/>
        </w:rPr>
        <w:tab/>
        <w:t xml:space="preserve">- Voluntários sem queixa e/ou sintomatologia relacionada ao bruxismo </w:t>
      </w:r>
    </w:p>
    <w:p w14:paraId="2F46BE1F" w14:textId="77777777" w:rsidR="008430B9" w:rsidRPr="00104EEF" w:rsidRDefault="008430B9" w:rsidP="00104EEF">
      <w:pPr>
        <w:jc w:val="both"/>
        <w:rPr>
          <w:rFonts w:cstheme="minorHAnsi"/>
          <w:b/>
          <w:bCs/>
          <w:sz w:val="24"/>
          <w:szCs w:val="24"/>
        </w:rPr>
      </w:pPr>
    </w:p>
    <w:p w14:paraId="29CCFD3C" w14:textId="2C1DDAC4" w:rsidR="008430B9" w:rsidRPr="008430B9" w:rsidRDefault="00041756" w:rsidP="008430B9">
      <w:pPr>
        <w:ind w:firstLine="708"/>
        <w:jc w:val="both"/>
        <w:rPr>
          <w:rFonts w:cstheme="minorHAnsi"/>
          <w:b/>
          <w:bCs/>
          <w:sz w:val="24"/>
          <w:szCs w:val="24"/>
        </w:rPr>
      </w:pPr>
      <w:r w:rsidRPr="00104EEF">
        <w:rPr>
          <w:rFonts w:cstheme="minorHAnsi"/>
          <w:b/>
          <w:bCs/>
          <w:sz w:val="24"/>
          <w:szCs w:val="24"/>
        </w:rPr>
        <w:t>Critérios de Exclusão</w:t>
      </w:r>
    </w:p>
    <w:p w14:paraId="2F4D65D5" w14:textId="381BBB18" w:rsidR="008430B9" w:rsidRDefault="008430B9" w:rsidP="008430B9">
      <w:pPr>
        <w:tabs>
          <w:tab w:val="left" w:pos="0"/>
        </w:tabs>
        <w:spacing w:line="360" w:lineRule="auto"/>
        <w:jc w:val="both"/>
        <w:rPr>
          <w:color w:val="000000" w:themeColor="text1"/>
          <w:sz w:val="24"/>
          <w:szCs w:val="24"/>
        </w:rPr>
      </w:pPr>
      <w:r>
        <w:rPr>
          <w:color w:val="000000" w:themeColor="text1"/>
          <w:sz w:val="24"/>
          <w:szCs w:val="24"/>
        </w:rPr>
        <w:tab/>
      </w:r>
      <w:r w:rsidRPr="00483C97">
        <w:rPr>
          <w:color w:val="000000" w:themeColor="text1"/>
          <w:sz w:val="24"/>
          <w:szCs w:val="24"/>
        </w:rPr>
        <w:t xml:space="preserve">- </w:t>
      </w:r>
      <w:r>
        <w:rPr>
          <w:color w:val="000000" w:themeColor="text1"/>
          <w:sz w:val="24"/>
          <w:szCs w:val="24"/>
        </w:rPr>
        <w:t>Ausências dentárias</w:t>
      </w:r>
    </w:p>
    <w:p w14:paraId="47486270" w14:textId="77777777" w:rsidR="008430B9" w:rsidRDefault="008430B9" w:rsidP="008430B9">
      <w:pPr>
        <w:tabs>
          <w:tab w:val="left" w:pos="0"/>
        </w:tabs>
        <w:spacing w:line="360" w:lineRule="auto"/>
        <w:jc w:val="both"/>
        <w:rPr>
          <w:color w:val="000000" w:themeColor="text1"/>
          <w:sz w:val="24"/>
          <w:szCs w:val="24"/>
        </w:rPr>
      </w:pPr>
      <w:r>
        <w:rPr>
          <w:color w:val="000000" w:themeColor="text1"/>
          <w:sz w:val="24"/>
          <w:szCs w:val="24"/>
        </w:rPr>
        <w:tab/>
        <w:t>- Reabilitações protéticas insatisfatórias</w:t>
      </w:r>
    </w:p>
    <w:p w14:paraId="3EF53628" w14:textId="77777777" w:rsidR="008430B9" w:rsidRDefault="008430B9" w:rsidP="008430B9">
      <w:pPr>
        <w:tabs>
          <w:tab w:val="left" w:pos="0"/>
        </w:tabs>
        <w:spacing w:line="360" w:lineRule="auto"/>
        <w:jc w:val="both"/>
        <w:rPr>
          <w:color w:val="000000" w:themeColor="text1"/>
          <w:sz w:val="24"/>
          <w:szCs w:val="24"/>
        </w:rPr>
      </w:pPr>
      <w:r>
        <w:rPr>
          <w:color w:val="000000" w:themeColor="text1"/>
          <w:sz w:val="24"/>
          <w:szCs w:val="24"/>
        </w:rPr>
        <w:tab/>
        <w:t>- Sintomas de DTM moderada e severa</w:t>
      </w:r>
    </w:p>
    <w:p w14:paraId="51D38C89" w14:textId="382BE5C4" w:rsidR="00014E3A" w:rsidRDefault="00014E3A" w:rsidP="008430B9">
      <w:pPr>
        <w:tabs>
          <w:tab w:val="left" w:pos="0"/>
        </w:tabs>
        <w:spacing w:line="360" w:lineRule="auto"/>
        <w:jc w:val="both"/>
        <w:rPr>
          <w:color w:val="000000" w:themeColor="text1"/>
          <w:sz w:val="24"/>
          <w:szCs w:val="24"/>
        </w:rPr>
      </w:pPr>
      <w:r>
        <w:rPr>
          <w:color w:val="000000" w:themeColor="text1"/>
          <w:sz w:val="24"/>
          <w:szCs w:val="24"/>
        </w:rPr>
        <w:tab/>
        <w:t>- Voluntários com queixa e/ou sintomatologia relacionada ao bruxismo</w:t>
      </w:r>
    </w:p>
    <w:p w14:paraId="2C9E5456" w14:textId="77777777" w:rsidR="008A7770" w:rsidRPr="00104EEF" w:rsidRDefault="008A7770" w:rsidP="00104EEF">
      <w:pPr>
        <w:jc w:val="both"/>
        <w:rPr>
          <w:rFonts w:cstheme="minorHAnsi"/>
          <w:sz w:val="24"/>
          <w:szCs w:val="24"/>
        </w:rPr>
      </w:pPr>
    </w:p>
    <w:p w14:paraId="5C330AB0" w14:textId="6E5D32F5" w:rsidR="008A7770" w:rsidRPr="00332FF5" w:rsidRDefault="008A7770" w:rsidP="00332FF5">
      <w:pPr>
        <w:jc w:val="both"/>
        <w:rPr>
          <w:rFonts w:cstheme="minorHAnsi"/>
          <w:b/>
          <w:bCs/>
          <w:sz w:val="28"/>
          <w:szCs w:val="28"/>
        </w:rPr>
      </w:pPr>
      <w:r w:rsidRPr="00332FF5">
        <w:rPr>
          <w:rFonts w:cstheme="minorHAnsi"/>
          <w:b/>
          <w:bCs/>
          <w:sz w:val="28"/>
          <w:szCs w:val="28"/>
        </w:rPr>
        <w:t>Análise estatística</w:t>
      </w:r>
    </w:p>
    <w:p w14:paraId="2FF27A52" w14:textId="77777777" w:rsidR="008430B9" w:rsidRDefault="008430B9" w:rsidP="008430B9">
      <w:pPr>
        <w:spacing w:line="360" w:lineRule="auto"/>
        <w:ind w:firstLine="708"/>
        <w:jc w:val="both"/>
        <w:rPr>
          <w:color w:val="000000" w:themeColor="text1"/>
          <w:sz w:val="24"/>
          <w:szCs w:val="24"/>
        </w:rPr>
      </w:pPr>
    </w:p>
    <w:p w14:paraId="138127C8" w14:textId="599478FD" w:rsidR="008430B9" w:rsidRPr="008430B9" w:rsidRDefault="008430B9" w:rsidP="008430B9">
      <w:pPr>
        <w:spacing w:line="360" w:lineRule="auto"/>
        <w:ind w:firstLine="708"/>
        <w:jc w:val="both"/>
        <w:rPr>
          <w:color w:val="000000" w:themeColor="text1"/>
          <w:sz w:val="24"/>
          <w:szCs w:val="24"/>
        </w:rPr>
      </w:pPr>
      <w:r>
        <w:rPr>
          <w:color w:val="000000" w:themeColor="text1"/>
          <w:sz w:val="24"/>
          <w:szCs w:val="24"/>
        </w:rPr>
        <w:t>Todas as análises estatísticas serão realizadas no software de licença livre Jamovi 2.2</w:t>
      </w:r>
      <w:r w:rsidRPr="00154790">
        <w:rPr>
          <w:color w:val="000000" w:themeColor="text1"/>
          <w:sz w:val="24"/>
          <w:szCs w:val="24"/>
        </w:rPr>
        <w:t>.5.</w:t>
      </w:r>
      <w:r w:rsidRPr="00154790">
        <w:rPr>
          <w:rFonts w:cstheme="minorHAnsi"/>
          <w:color w:val="000000" w:themeColor="text1"/>
          <w:sz w:val="24"/>
          <w:szCs w:val="24"/>
        </w:rPr>
        <w:t>0 (Sydney, Australia)</w:t>
      </w:r>
    </w:p>
    <w:p w14:paraId="35C4FDFA" w14:textId="691987F1" w:rsidR="00041756" w:rsidRDefault="00041756" w:rsidP="008430B9">
      <w:pPr>
        <w:ind w:firstLine="708"/>
        <w:jc w:val="both"/>
        <w:rPr>
          <w:rFonts w:cstheme="minorHAnsi"/>
          <w:sz w:val="24"/>
          <w:szCs w:val="24"/>
        </w:rPr>
      </w:pPr>
      <w:r w:rsidRPr="00104EEF">
        <w:rPr>
          <w:rFonts w:cstheme="minorHAnsi"/>
          <w:sz w:val="24"/>
          <w:szCs w:val="24"/>
        </w:rPr>
        <w:t>Serão realizados testes para comparação pareada em variáveis qualitativas.</w:t>
      </w:r>
    </w:p>
    <w:p w14:paraId="1C3637B3" w14:textId="77777777" w:rsidR="00302CB8" w:rsidRDefault="00302CB8" w:rsidP="008430B9">
      <w:pPr>
        <w:ind w:firstLine="708"/>
        <w:jc w:val="both"/>
        <w:rPr>
          <w:rFonts w:cstheme="minorHAnsi"/>
          <w:sz w:val="24"/>
          <w:szCs w:val="24"/>
        </w:rPr>
      </w:pPr>
    </w:p>
    <w:p w14:paraId="09FDD792" w14:textId="4CB07434" w:rsidR="00302CB8" w:rsidRDefault="00302CB8" w:rsidP="00302CB8">
      <w:pPr>
        <w:jc w:val="both"/>
        <w:rPr>
          <w:rFonts w:cstheme="minorHAnsi"/>
          <w:b/>
          <w:bCs/>
          <w:sz w:val="28"/>
          <w:szCs w:val="28"/>
        </w:rPr>
      </w:pPr>
      <w:r>
        <w:rPr>
          <w:rFonts w:cstheme="minorHAnsi"/>
          <w:b/>
          <w:bCs/>
          <w:sz w:val="28"/>
          <w:szCs w:val="28"/>
        </w:rPr>
        <w:t>Riscos e Benefícios</w:t>
      </w:r>
    </w:p>
    <w:p w14:paraId="2B306E09" w14:textId="77777777" w:rsidR="00302CB8" w:rsidRDefault="00302CB8" w:rsidP="00302CB8">
      <w:pPr>
        <w:jc w:val="both"/>
        <w:rPr>
          <w:rFonts w:cstheme="minorHAnsi"/>
          <w:b/>
          <w:bCs/>
          <w:sz w:val="28"/>
          <w:szCs w:val="28"/>
        </w:rPr>
      </w:pPr>
    </w:p>
    <w:p w14:paraId="0BED0B90" w14:textId="3B3C73DB" w:rsidR="00302CB8" w:rsidRPr="00E530AE" w:rsidRDefault="00302CB8" w:rsidP="00302CB8">
      <w:pPr>
        <w:ind w:firstLine="708"/>
        <w:jc w:val="both"/>
        <w:rPr>
          <w:rFonts w:cstheme="minorHAnsi"/>
          <w:sz w:val="24"/>
          <w:szCs w:val="24"/>
        </w:rPr>
      </w:pPr>
      <w:r w:rsidRPr="00E530AE">
        <w:rPr>
          <w:rFonts w:cstheme="minorHAnsi"/>
          <w:sz w:val="24"/>
          <w:szCs w:val="24"/>
        </w:rPr>
        <w:t>Os possíveis riscos resultantes da participação nesta pesquisa seriam pela possibilidade de desconforto ao utilizar o dispositivo durante o sono. Estes eventos, caso ocorram, devem ser relatados ao pesquisador responsável imediatamente e o uso deve ser interrompido sem gerar dano ou efeito colateral.</w:t>
      </w:r>
      <w:r w:rsidR="00E530AE" w:rsidRPr="00E530AE">
        <w:rPr>
          <w:rFonts w:cstheme="minorHAnsi"/>
          <w:sz w:val="24"/>
          <w:szCs w:val="24"/>
        </w:rPr>
        <w:t xml:space="preserve"> </w:t>
      </w:r>
      <w:r w:rsidR="00E530AE" w:rsidRPr="00E530AE">
        <w:rPr>
          <w:sz w:val="24"/>
          <w:szCs w:val="24"/>
        </w:rPr>
        <w:t>Os pesquisadores asseguram o sigilo das informações que possam identificar os participantes da pesquisa.</w:t>
      </w:r>
    </w:p>
    <w:p w14:paraId="73ABEA85" w14:textId="2BFF3286" w:rsidR="00302CB8" w:rsidRPr="00E530AE" w:rsidRDefault="00302CB8" w:rsidP="00302CB8">
      <w:pPr>
        <w:ind w:firstLine="708"/>
        <w:jc w:val="both"/>
        <w:rPr>
          <w:rFonts w:cstheme="minorHAnsi"/>
          <w:sz w:val="24"/>
          <w:szCs w:val="24"/>
        </w:rPr>
      </w:pPr>
      <w:r w:rsidRPr="00E530AE">
        <w:rPr>
          <w:rFonts w:cstheme="minorHAnsi"/>
          <w:sz w:val="24"/>
          <w:szCs w:val="24"/>
        </w:rPr>
        <w:t>Como benefício esperado desta pesquisa, todos os pa</w:t>
      </w:r>
      <w:r w:rsidR="00097958" w:rsidRPr="00E530AE">
        <w:rPr>
          <w:rFonts w:cstheme="minorHAnsi"/>
          <w:sz w:val="24"/>
          <w:szCs w:val="24"/>
        </w:rPr>
        <w:t>rticipantes</w:t>
      </w:r>
      <w:r w:rsidRPr="00E530AE">
        <w:rPr>
          <w:rFonts w:cstheme="minorHAnsi"/>
          <w:sz w:val="24"/>
          <w:szCs w:val="24"/>
        </w:rPr>
        <w:t xml:space="preserve"> terão acesso ao diagnóstico de padrões de bruxismo e avaliação de riscos de disfunção temporomandibular, recebendo todas as orientações possíveis para cuidados e terapêuticas.</w:t>
      </w:r>
    </w:p>
    <w:p w14:paraId="0D04BE1B" w14:textId="77777777" w:rsidR="00302CB8" w:rsidRPr="00104EEF" w:rsidRDefault="00302CB8" w:rsidP="008430B9">
      <w:pPr>
        <w:ind w:firstLine="708"/>
        <w:jc w:val="both"/>
        <w:rPr>
          <w:rFonts w:cstheme="minorHAnsi"/>
          <w:sz w:val="24"/>
          <w:szCs w:val="24"/>
        </w:rPr>
      </w:pPr>
    </w:p>
    <w:p w14:paraId="71D85CC1" w14:textId="77777777" w:rsidR="00041756" w:rsidRPr="00104EEF" w:rsidRDefault="00041756" w:rsidP="00104EEF">
      <w:pPr>
        <w:jc w:val="both"/>
        <w:rPr>
          <w:rFonts w:cstheme="minorHAnsi"/>
          <w:sz w:val="24"/>
          <w:szCs w:val="24"/>
        </w:rPr>
      </w:pPr>
    </w:p>
    <w:p w14:paraId="5C917CFE" w14:textId="6D15A142" w:rsidR="008A7770" w:rsidRPr="00332FF5" w:rsidRDefault="008A7770" w:rsidP="00332FF5">
      <w:pPr>
        <w:jc w:val="both"/>
        <w:rPr>
          <w:rFonts w:cstheme="minorHAnsi"/>
          <w:b/>
          <w:bCs/>
          <w:sz w:val="28"/>
          <w:szCs w:val="28"/>
        </w:rPr>
      </w:pPr>
      <w:r w:rsidRPr="00332FF5">
        <w:rPr>
          <w:rFonts w:cstheme="minorHAnsi"/>
          <w:b/>
          <w:bCs/>
          <w:sz w:val="28"/>
          <w:szCs w:val="28"/>
        </w:rPr>
        <w:t>Referências</w:t>
      </w:r>
    </w:p>
    <w:p w14:paraId="6F59772D" w14:textId="77777777" w:rsidR="00282557" w:rsidRPr="00104EEF" w:rsidRDefault="00282557" w:rsidP="00104EEF">
      <w:pPr>
        <w:jc w:val="both"/>
        <w:rPr>
          <w:rFonts w:cstheme="minorHAnsi"/>
          <w:sz w:val="24"/>
          <w:szCs w:val="24"/>
        </w:rPr>
      </w:pPr>
    </w:p>
    <w:p w14:paraId="62C52822" w14:textId="2CC0EEB8" w:rsidR="00CD719B" w:rsidRPr="00104EEF" w:rsidRDefault="00CD719B" w:rsidP="00104EEF">
      <w:pPr>
        <w:pStyle w:val="PargrafodaLista"/>
        <w:numPr>
          <w:ilvl w:val="0"/>
          <w:numId w:val="1"/>
        </w:numPr>
        <w:jc w:val="both"/>
        <w:rPr>
          <w:rFonts w:cstheme="minorHAnsi"/>
          <w:sz w:val="24"/>
          <w:szCs w:val="24"/>
          <w:lang w:val="en-US"/>
        </w:rPr>
      </w:pPr>
      <w:r w:rsidRPr="00104EEF">
        <w:rPr>
          <w:rFonts w:cstheme="minorHAnsi"/>
          <w:sz w:val="24"/>
          <w:szCs w:val="24"/>
          <w:lang w:val="en-US"/>
        </w:rPr>
        <w:t>Kanji Onodera, Toshimi Kawagoe, Kenichi Sasaguri, Cynthia Protacio-</w:t>
      </w:r>
      <w:r w:rsidR="00041756" w:rsidRPr="00104EEF">
        <w:rPr>
          <w:rFonts w:cstheme="minorHAnsi"/>
          <w:sz w:val="24"/>
          <w:szCs w:val="24"/>
          <w:lang w:val="en-US"/>
        </w:rPr>
        <w:t xml:space="preserve"> </w:t>
      </w:r>
      <w:r w:rsidRPr="00104EEF">
        <w:rPr>
          <w:rFonts w:cstheme="minorHAnsi"/>
          <w:sz w:val="24"/>
          <w:szCs w:val="24"/>
          <w:lang w:val="en-US"/>
        </w:rPr>
        <w:t>Quismundo &amp; Sadao Sato (2006) The Use of a BruxChecker in the Evaluation of Different</w:t>
      </w:r>
      <w:r w:rsidR="00041756" w:rsidRPr="00104EEF">
        <w:rPr>
          <w:rFonts w:cstheme="minorHAnsi"/>
          <w:sz w:val="24"/>
          <w:szCs w:val="24"/>
          <w:lang w:val="en-US"/>
        </w:rPr>
        <w:t xml:space="preserve"> </w:t>
      </w:r>
      <w:r w:rsidRPr="00104EEF">
        <w:rPr>
          <w:rFonts w:cstheme="minorHAnsi"/>
          <w:sz w:val="24"/>
          <w:szCs w:val="24"/>
          <w:lang w:val="en-US"/>
        </w:rPr>
        <w:lastRenderedPageBreak/>
        <w:t>Grinding Patterns During Sleep Bruxism, CRANIO®, 24:4, 292-299, DOI: 10.1179/crn.2006.045</w:t>
      </w:r>
    </w:p>
    <w:p w14:paraId="7CF6694E" w14:textId="77777777" w:rsidR="00CD719B" w:rsidRPr="00104EEF" w:rsidRDefault="00CD719B" w:rsidP="00104EEF">
      <w:pPr>
        <w:jc w:val="both"/>
        <w:rPr>
          <w:rFonts w:cstheme="minorHAnsi"/>
          <w:sz w:val="24"/>
          <w:szCs w:val="24"/>
          <w:lang w:val="en-US"/>
        </w:rPr>
      </w:pPr>
    </w:p>
    <w:p w14:paraId="4F4899CD" w14:textId="068B6659" w:rsidR="00CD719B" w:rsidRPr="00104EEF" w:rsidRDefault="00CD719B" w:rsidP="00104EEF">
      <w:pPr>
        <w:pStyle w:val="PargrafodaLista"/>
        <w:numPr>
          <w:ilvl w:val="0"/>
          <w:numId w:val="1"/>
        </w:numPr>
        <w:jc w:val="both"/>
        <w:rPr>
          <w:rFonts w:cstheme="minorHAnsi"/>
          <w:sz w:val="24"/>
          <w:szCs w:val="24"/>
          <w:lang w:val="en-US"/>
        </w:rPr>
      </w:pPr>
      <w:r w:rsidRPr="00104EEF">
        <w:rPr>
          <w:rFonts w:cstheme="minorHAnsi"/>
          <w:sz w:val="24"/>
          <w:szCs w:val="24"/>
          <w:lang w:val="en-US"/>
        </w:rPr>
        <w:t>Byung-Kyu Park, Osamu Tokiwa, Yasumasa Takezawa, Youichi Takahashi, Kenichi Sasaguri &amp; Sadao Sato (2008) Relationship of Tooth Grinding Pattern During Sleep Bruxism and Temporomandibular Joint Status, CRANIO®, 26:1, 8-15, DOI: 10.1179/ crn.2008.003</w:t>
      </w:r>
    </w:p>
    <w:p w14:paraId="7C9E87CE" w14:textId="7FABA63D" w:rsidR="00CD719B" w:rsidRPr="00104EEF" w:rsidRDefault="00CD719B" w:rsidP="00104EEF">
      <w:pPr>
        <w:pStyle w:val="PargrafodaLista"/>
        <w:jc w:val="both"/>
        <w:rPr>
          <w:rFonts w:cstheme="minorHAnsi"/>
          <w:sz w:val="24"/>
          <w:szCs w:val="24"/>
          <w:lang w:val="en-US"/>
        </w:rPr>
      </w:pPr>
    </w:p>
    <w:p w14:paraId="6B89DBE9" w14:textId="06452BAA" w:rsidR="00CD719B" w:rsidRPr="00104EEF" w:rsidRDefault="00CD719B" w:rsidP="00104EEF">
      <w:pPr>
        <w:pStyle w:val="PargrafodaLista"/>
        <w:numPr>
          <w:ilvl w:val="0"/>
          <w:numId w:val="1"/>
        </w:numPr>
        <w:jc w:val="both"/>
        <w:rPr>
          <w:rFonts w:cstheme="minorHAnsi"/>
          <w:sz w:val="24"/>
          <w:szCs w:val="24"/>
          <w:lang w:val="en-US"/>
        </w:rPr>
      </w:pPr>
      <w:r w:rsidRPr="00104EEF">
        <w:rPr>
          <w:rFonts w:cstheme="minorHAnsi"/>
          <w:sz w:val="24"/>
          <w:szCs w:val="24"/>
          <w:lang w:val="en-US"/>
        </w:rPr>
        <w:t>Koichi Sugimoto, Hidehiro Yoshimi, Kenichi Sasaguri &amp; Sadao Sato (2011)</w:t>
      </w:r>
      <w:r w:rsidR="00041756" w:rsidRPr="00104EEF">
        <w:rPr>
          <w:rFonts w:cstheme="minorHAnsi"/>
          <w:sz w:val="24"/>
          <w:szCs w:val="24"/>
          <w:lang w:val="en-US"/>
        </w:rPr>
        <w:t xml:space="preserve"> </w:t>
      </w:r>
      <w:r w:rsidRPr="00104EEF">
        <w:rPr>
          <w:rFonts w:cstheme="minorHAnsi"/>
          <w:sz w:val="24"/>
          <w:szCs w:val="24"/>
          <w:lang w:val="en-US"/>
        </w:rPr>
        <w:t>Occlusion Factors Influencing the Magnitude of Sleep Bruxism Activity, CRANIO®, 29:2,</w:t>
      </w:r>
      <w:r w:rsidR="00041756" w:rsidRPr="00104EEF">
        <w:rPr>
          <w:rFonts w:cstheme="minorHAnsi"/>
          <w:sz w:val="24"/>
          <w:szCs w:val="24"/>
          <w:lang w:val="en-US"/>
        </w:rPr>
        <w:t xml:space="preserve"> </w:t>
      </w:r>
      <w:r w:rsidRPr="00104EEF">
        <w:rPr>
          <w:rFonts w:cstheme="minorHAnsi"/>
          <w:sz w:val="24"/>
          <w:szCs w:val="24"/>
          <w:lang w:val="en-US"/>
        </w:rPr>
        <w:t>127-137, DOI: 10.1179/crn.2011.021</w:t>
      </w:r>
    </w:p>
    <w:p w14:paraId="13509F80" w14:textId="3B5E595C" w:rsidR="00E82D1E" w:rsidRPr="00104EEF" w:rsidRDefault="00E82D1E" w:rsidP="00104EEF">
      <w:pPr>
        <w:jc w:val="both"/>
        <w:rPr>
          <w:rFonts w:cstheme="minorHAnsi"/>
          <w:sz w:val="24"/>
          <w:szCs w:val="24"/>
          <w:lang w:val="en-US"/>
        </w:rPr>
      </w:pPr>
    </w:p>
    <w:p w14:paraId="35582E12" w14:textId="6CF3767F" w:rsidR="00205D9A" w:rsidRDefault="00041756" w:rsidP="00205D9A">
      <w:pPr>
        <w:pStyle w:val="PargrafodaLista"/>
        <w:numPr>
          <w:ilvl w:val="0"/>
          <w:numId w:val="1"/>
        </w:numPr>
        <w:jc w:val="both"/>
        <w:rPr>
          <w:rFonts w:cstheme="minorHAnsi"/>
          <w:sz w:val="24"/>
          <w:szCs w:val="24"/>
          <w:lang w:val="en-US"/>
        </w:rPr>
      </w:pPr>
      <w:r w:rsidRPr="00104EEF">
        <w:rPr>
          <w:rFonts w:cstheme="minorHAnsi"/>
          <w:sz w:val="24"/>
          <w:szCs w:val="24"/>
          <w:lang w:val="en-US"/>
        </w:rPr>
        <w:t xml:space="preserve">Jianxiang Taoa, Weicai Liua, Junhua Wua, Xuying Zhanga, Yongting Zhangb (2015) </w:t>
      </w:r>
      <w:r w:rsidR="0041597F" w:rsidRPr="00104EEF">
        <w:rPr>
          <w:rFonts w:cstheme="minorHAnsi"/>
          <w:sz w:val="24"/>
          <w:szCs w:val="24"/>
          <w:lang w:val="en-US"/>
        </w:rPr>
        <w:t>The study of grinding patterns and factors influencing the grinding areas during sleep bruxism</w:t>
      </w:r>
      <w:r w:rsidR="00104EEF" w:rsidRPr="00104EEF">
        <w:rPr>
          <w:rFonts w:cstheme="minorHAnsi"/>
          <w:sz w:val="24"/>
          <w:szCs w:val="24"/>
          <w:lang w:val="en-US"/>
        </w:rPr>
        <w:t xml:space="preserve">. </w:t>
      </w:r>
      <w:hyperlink r:id="rId7" w:history="1">
        <w:r w:rsidR="00205D9A" w:rsidRPr="003A4807">
          <w:rPr>
            <w:rStyle w:val="Hyperlink"/>
            <w:rFonts w:cstheme="minorHAnsi"/>
            <w:sz w:val="24"/>
            <w:szCs w:val="24"/>
            <w:lang w:val="en-US"/>
          </w:rPr>
          <w:t>http://dx.doi.org/10.1016/j.archoralbio.2015.07.009</w:t>
        </w:r>
      </w:hyperlink>
    </w:p>
    <w:p w14:paraId="5315D328" w14:textId="77777777" w:rsidR="00205D9A" w:rsidRPr="00205D9A" w:rsidRDefault="00205D9A" w:rsidP="00205D9A">
      <w:pPr>
        <w:pStyle w:val="PargrafodaLista"/>
        <w:rPr>
          <w:rFonts w:cstheme="minorHAnsi"/>
          <w:sz w:val="24"/>
          <w:szCs w:val="24"/>
          <w:lang w:val="en-US"/>
        </w:rPr>
      </w:pPr>
    </w:p>
    <w:p w14:paraId="4E269CED" w14:textId="73F912EE" w:rsidR="00205D9A" w:rsidRDefault="00205D9A" w:rsidP="00205D9A">
      <w:pPr>
        <w:pStyle w:val="PargrafodaLista"/>
        <w:numPr>
          <w:ilvl w:val="0"/>
          <w:numId w:val="1"/>
        </w:numPr>
        <w:jc w:val="both"/>
        <w:rPr>
          <w:rFonts w:cstheme="minorHAnsi"/>
          <w:sz w:val="24"/>
          <w:szCs w:val="24"/>
          <w:lang w:val="en-US"/>
        </w:rPr>
      </w:pPr>
      <w:r w:rsidRPr="00205D9A">
        <w:rPr>
          <w:rFonts w:cstheme="minorHAnsi"/>
          <w:sz w:val="24"/>
          <w:szCs w:val="24"/>
          <w:lang w:val="en-US"/>
        </w:rPr>
        <w:t>Marcelino V, Baptista S, Marcelino S, Paço M, Rocha D, Gonçalves MDP, Azevedo R, Guimarães AS, Fernandes GVO, Pinho T. Occlusal Changes with Clear Aligners and the Case Complexity Influence: A Longitudinal Cohort Clinical Study. J Clin Med. 2023 May 12;12(10):3435. doi: 10.3390/jcm12103435. PMID: 37240538; PMCID: PMC10219537.</w:t>
      </w:r>
    </w:p>
    <w:p w14:paraId="7B97A64E" w14:textId="77777777" w:rsidR="00205D9A" w:rsidRPr="00205D9A" w:rsidRDefault="00205D9A" w:rsidP="00205D9A">
      <w:pPr>
        <w:pStyle w:val="PargrafodaLista"/>
        <w:rPr>
          <w:rFonts w:cstheme="minorHAnsi"/>
          <w:sz w:val="24"/>
          <w:szCs w:val="24"/>
          <w:lang w:val="en-US"/>
        </w:rPr>
      </w:pPr>
    </w:p>
    <w:p w14:paraId="72492830" w14:textId="03F6DD3E" w:rsidR="00205D9A" w:rsidRPr="00205D9A" w:rsidRDefault="00205D9A" w:rsidP="00205D9A">
      <w:pPr>
        <w:pStyle w:val="PargrafodaLista"/>
        <w:numPr>
          <w:ilvl w:val="0"/>
          <w:numId w:val="1"/>
        </w:numPr>
        <w:jc w:val="both"/>
        <w:rPr>
          <w:rFonts w:cstheme="minorHAnsi"/>
          <w:sz w:val="24"/>
          <w:szCs w:val="24"/>
          <w:lang w:val="en-US"/>
        </w:rPr>
      </w:pPr>
      <w:r w:rsidRPr="00205D9A">
        <w:rPr>
          <w:rFonts w:cstheme="minorHAnsi"/>
          <w:sz w:val="24"/>
          <w:szCs w:val="24"/>
          <w:lang w:val="en-US"/>
        </w:rPr>
        <w:t xml:space="preserve">Tepedino M, Colasante P, Staderini E, Masedu F, Ciavarella D. Short-term effect of orthodontic clear aligners on muscular activity and occlusal contacts: A cohort study. </w:t>
      </w:r>
      <w:r w:rsidRPr="00205D9A">
        <w:rPr>
          <w:rFonts w:cstheme="minorHAnsi"/>
          <w:sz w:val="24"/>
          <w:szCs w:val="24"/>
        </w:rPr>
        <w:t>Am J Orthod Dentofacial Orthop. 2023 Jul;164(1):34-44. doi: 10.1016/j.ajodo.2022.10.025. Epub 2023 Mar 3. PMID: 36870918.</w:t>
      </w:r>
    </w:p>
    <w:sectPr w:rsidR="00205D9A" w:rsidRPr="00205D9A">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F81001"/>
    <w:multiLevelType w:val="hybridMultilevel"/>
    <w:tmpl w:val="F13ACDEC"/>
    <w:lvl w:ilvl="0" w:tplc="E9EEF9E8">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11899039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0C5A"/>
    <w:rsid w:val="00014E3A"/>
    <w:rsid w:val="00041756"/>
    <w:rsid w:val="00082AAE"/>
    <w:rsid w:val="00097958"/>
    <w:rsid w:val="00104EEF"/>
    <w:rsid w:val="001A4F83"/>
    <w:rsid w:val="00205D9A"/>
    <w:rsid w:val="002809DB"/>
    <w:rsid w:val="00282557"/>
    <w:rsid w:val="00302CB8"/>
    <w:rsid w:val="00332FF5"/>
    <w:rsid w:val="0041597F"/>
    <w:rsid w:val="0043742D"/>
    <w:rsid w:val="004F26DE"/>
    <w:rsid w:val="00576F52"/>
    <w:rsid w:val="00604057"/>
    <w:rsid w:val="006964DF"/>
    <w:rsid w:val="006E1CE7"/>
    <w:rsid w:val="00711CE3"/>
    <w:rsid w:val="00793961"/>
    <w:rsid w:val="00801C71"/>
    <w:rsid w:val="008430B9"/>
    <w:rsid w:val="008A5C32"/>
    <w:rsid w:val="008A7770"/>
    <w:rsid w:val="008B1183"/>
    <w:rsid w:val="009B42F1"/>
    <w:rsid w:val="009D0C5A"/>
    <w:rsid w:val="00A32E2A"/>
    <w:rsid w:val="00A57CD7"/>
    <w:rsid w:val="00A94A64"/>
    <w:rsid w:val="00AE4B76"/>
    <w:rsid w:val="00B654EA"/>
    <w:rsid w:val="00CD719B"/>
    <w:rsid w:val="00D65301"/>
    <w:rsid w:val="00DF06EC"/>
    <w:rsid w:val="00E20156"/>
    <w:rsid w:val="00E530AE"/>
    <w:rsid w:val="00E82D1E"/>
    <w:rsid w:val="00E86ADE"/>
    <w:rsid w:val="00F31E4B"/>
    <w:rsid w:val="00FE514B"/>
    <w:rsid w:val="00FF0CEA"/>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E4BDF9"/>
  <w15:chartTrackingRefBased/>
  <w15:docId w15:val="{F52C4A9B-C68C-405D-A850-03ACA2576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PargrafodaLista">
    <w:name w:val="List Paragraph"/>
    <w:basedOn w:val="Normal"/>
    <w:uiPriority w:val="34"/>
    <w:qFormat/>
    <w:rsid w:val="00CD719B"/>
    <w:pPr>
      <w:ind w:left="720"/>
      <w:contextualSpacing/>
    </w:pPr>
  </w:style>
  <w:style w:type="character" w:styleId="Hyperlink">
    <w:name w:val="Hyperlink"/>
    <w:basedOn w:val="Fontepargpadro"/>
    <w:uiPriority w:val="99"/>
    <w:unhideWhenUsed/>
    <w:rsid w:val="00205D9A"/>
    <w:rPr>
      <w:color w:val="0563C1" w:themeColor="hyperlink"/>
      <w:u w:val="single"/>
    </w:rPr>
  </w:style>
  <w:style w:type="character" w:styleId="MenoPendente">
    <w:name w:val="Unresolved Mention"/>
    <w:basedOn w:val="Fontepargpadro"/>
    <w:uiPriority w:val="99"/>
    <w:semiHidden/>
    <w:unhideWhenUsed/>
    <w:rsid w:val="00205D9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dx.doi.org/10.1016/j.archoralbio.2015.07.009"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emf"/><Relationship Id="rId5" Type="http://schemas.openxmlformats.org/officeDocument/2006/relationships/image" Target="media/image1.emf"/><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240</TotalTime>
  <Pages>7</Pages>
  <Words>1842</Words>
  <Characters>9948</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11767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Murilo Cruz</dc:creator>
  <cp:keywords/>
  <dc:description/>
  <cp:lastModifiedBy>Murilo Cruz</cp:lastModifiedBy>
  <cp:revision>17</cp:revision>
  <dcterms:created xsi:type="dcterms:W3CDTF">2025-01-03T11:37:00Z</dcterms:created>
  <dcterms:modified xsi:type="dcterms:W3CDTF">2025-06-18T11:58:00Z</dcterms:modified>
</cp:coreProperties>
</file>