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68784" w14:textId="555C1772" w:rsidR="00A17128" w:rsidRPr="00E01A60" w:rsidRDefault="006A4A67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>Estudo comparativo de Trabeculoplastia Seletiva a Laser versus Trabeluloplastia Micropulsada a L</w:t>
      </w:r>
      <w:r w:rsidR="00A17128" w:rsidRPr="00E01A60">
        <w:rPr>
          <w:rFonts w:ascii="Arial" w:hAnsi="Arial" w:cs="Arial"/>
          <w:sz w:val="28"/>
          <w:szCs w:val="28"/>
          <w:lang w:val="pt-PT"/>
        </w:rPr>
        <w:t>aser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para Controle de Pressão Intra-ocular em Pacientes com Glaucoma Primário de Ângulo Abe</w:t>
      </w:r>
      <w:r w:rsidR="00B8280E" w:rsidRPr="00E01A60">
        <w:rPr>
          <w:rFonts w:ascii="Arial" w:hAnsi="Arial" w:cs="Arial"/>
          <w:sz w:val="28"/>
          <w:szCs w:val="28"/>
          <w:lang w:val="pt-PT"/>
        </w:rPr>
        <w:t>rto.</w:t>
      </w:r>
    </w:p>
    <w:p w14:paraId="0979A18E" w14:textId="77777777" w:rsidR="00A17128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</w:p>
    <w:p w14:paraId="1A378CD2" w14:textId="15859E7D" w:rsidR="00A17128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Lauande R., </w:t>
      </w:r>
      <w:r w:rsidR="005B460A">
        <w:rPr>
          <w:rFonts w:ascii="Arial" w:hAnsi="Arial" w:cs="Arial"/>
          <w:sz w:val="28"/>
          <w:szCs w:val="28"/>
          <w:lang w:val="pt-PT"/>
        </w:rPr>
        <w:t>Dantas L., Lisboa W., Vidal R.</w:t>
      </w:r>
    </w:p>
    <w:p w14:paraId="60220BA9" w14:textId="77777777" w:rsidR="00A17128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</w:p>
    <w:p w14:paraId="15263527" w14:textId="45F11A20" w:rsidR="00A17128" w:rsidRPr="00E01A60" w:rsidRDefault="00A8481D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b/>
          <w:sz w:val="28"/>
          <w:szCs w:val="28"/>
          <w:lang w:val="pt-PT"/>
        </w:rPr>
      </w:pPr>
      <w:r w:rsidRPr="00E01A60">
        <w:rPr>
          <w:rFonts w:ascii="Arial" w:hAnsi="Arial" w:cs="Arial"/>
          <w:b/>
          <w:sz w:val="28"/>
          <w:szCs w:val="28"/>
          <w:lang w:val="pt-PT"/>
        </w:rPr>
        <w:t>Introdução</w:t>
      </w:r>
    </w:p>
    <w:p w14:paraId="240098C2" w14:textId="77777777" w:rsidR="00A8481D" w:rsidRPr="00E01A60" w:rsidRDefault="00A8481D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</w:p>
    <w:p w14:paraId="670395E7" w14:textId="3BF4FA44" w:rsidR="00A8481D" w:rsidRPr="00E01A60" w:rsidRDefault="006A4A67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>O glaucoma é uma clássicamente definido como uma neuropatia do nervo óptico, secundária a pressão ocular aumentada e com consequente dano ao campo visual</w:t>
      </w:r>
      <w:r w:rsidR="000729B0" w:rsidRPr="00E01A60">
        <w:rPr>
          <w:rFonts w:ascii="Arial" w:hAnsi="Arial" w:cs="Arial"/>
          <w:sz w:val="28"/>
          <w:szCs w:val="28"/>
          <w:lang w:val="pt-PT"/>
        </w:rPr>
        <w:t>, que pode levar a cegueira</w:t>
      </w:r>
      <w:r w:rsidR="00A8481D" w:rsidRPr="00E01A60">
        <w:rPr>
          <w:rFonts w:ascii="Arial" w:hAnsi="Arial" w:cs="Arial"/>
          <w:sz w:val="28"/>
          <w:szCs w:val="28"/>
          <w:lang w:val="pt-PT"/>
        </w:rPr>
        <w:t xml:space="preserve">, caso não seja </w:t>
      </w:r>
      <w:r w:rsidR="00666868" w:rsidRPr="00E01A60">
        <w:rPr>
          <w:rFonts w:ascii="Arial" w:hAnsi="Arial" w:cs="Arial"/>
          <w:sz w:val="28"/>
          <w:szCs w:val="28"/>
          <w:lang w:val="pt-PT"/>
        </w:rPr>
        <w:t xml:space="preserve">tratada corretamente (1,2) </w:t>
      </w:r>
    </w:p>
    <w:p w14:paraId="72681E0C" w14:textId="094D8FF5" w:rsidR="00A82A65" w:rsidRPr="00E01A60" w:rsidRDefault="000729B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>A diminuição</w:t>
      </w:r>
      <w:r w:rsidR="006A4A67" w:rsidRPr="00E01A60">
        <w:rPr>
          <w:rFonts w:ascii="Arial" w:hAnsi="Arial" w:cs="Arial"/>
          <w:sz w:val="28"/>
          <w:szCs w:val="28"/>
          <w:lang w:val="pt-PT"/>
        </w:rPr>
        <w:t xml:space="preserve"> da pressão intra-ocular é, na prática, a única forma de conter a progressão da patologia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="00666868" w:rsidRPr="00E01A60">
        <w:rPr>
          <w:rFonts w:ascii="Arial" w:hAnsi="Arial" w:cs="Arial"/>
          <w:sz w:val="28"/>
          <w:szCs w:val="28"/>
          <w:lang w:val="pt-PT"/>
        </w:rPr>
        <w:t>(3</w:t>
      </w:r>
      <w:r w:rsidR="00602074" w:rsidRPr="00E01A60">
        <w:rPr>
          <w:rFonts w:ascii="Arial" w:hAnsi="Arial" w:cs="Arial"/>
          <w:sz w:val="28"/>
          <w:szCs w:val="28"/>
          <w:lang w:val="pt-PT"/>
        </w:rPr>
        <w:t>,4).</w:t>
      </w:r>
      <w:r w:rsidR="00602074" w:rsidRPr="00E01A60">
        <w:rPr>
          <w:rFonts w:ascii="Arial" w:hAnsi="Arial" w:cs="Arial"/>
          <w:sz w:val="28"/>
          <w:szCs w:val="28"/>
          <w:lang w:val="en-US"/>
        </w:rPr>
        <w:t xml:space="preserve">  </w:t>
      </w:r>
      <w:r w:rsidR="00A8481D" w:rsidRPr="00E01A60">
        <w:rPr>
          <w:rFonts w:ascii="Arial" w:hAnsi="Arial" w:cs="Arial"/>
          <w:sz w:val="28"/>
          <w:szCs w:val="28"/>
          <w:lang w:val="pt-PT"/>
        </w:rPr>
        <w:t>Rotineiramente</w:t>
      </w:r>
      <w:r w:rsidR="006A4A67" w:rsidRPr="00E01A60">
        <w:rPr>
          <w:rFonts w:ascii="Arial" w:hAnsi="Arial" w:cs="Arial"/>
          <w:sz w:val="28"/>
          <w:szCs w:val="28"/>
          <w:lang w:val="pt-PT"/>
        </w:rPr>
        <w:t xml:space="preserve"> o uso de medicamentos é o primeira linha de tratamento</w:t>
      </w:r>
      <w:r w:rsidR="00A8481D" w:rsidRPr="00E01A60">
        <w:rPr>
          <w:rFonts w:ascii="Arial" w:hAnsi="Arial" w:cs="Arial"/>
          <w:sz w:val="28"/>
          <w:szCs w:val="28"/>
          <w:lang w:val="pt-PT"/>
        </w:rPr>
        <w:t xml:space="preserve"> clínico</w:t>
      </w:r>
      <w:r w:rsidR="006A4A67" w:rsidRPr="00E01A60">
        <w:rPr>
          <w:rFonts w:ascii="Arial" w:hAnsi="Arial" w:cs="Arial"/>
          <w:sz w:val="28"/>
          <w:szCs w:val="28"/>
          <w:lang w:val="pt-PT"/>
        </w:rPr>
        <w:t xml:space="preserve">.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Todavia, o uso contínuo de medicamentos requer múltiplas visitas para ajuste, tem custos significativos e contínuos</w:t>
      </w:r>
      <w:r w:rsidR="00A8481D" w:rsidRPr="00E01A60">
        <w:rPr>
          <w:rFonts w:ascii="Arial" w:hAnsi="Arial" w:cs="Arial"/>
          <w:sz w:val="28"/>
          <w:szCs w:val="28"/>
          <w:lang w:val="pt-PT"/>
        </w:rPr>
        <w:t>,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além </w:t>
      </w:r>
      <w:r w:rsidR="00A8481D" w:rsidRPr="00E01A60">
        <w:rPr>
          <w:rFonts w:ascii="Arial" w:hAnsi="Arial" w:cs="Arial"/>
          <w:sz w:val="28"/>
          <w:szCs w:val="28"/>
          <w:lang w:val="pt-PT"/>
        </w:rPr>
        <w:t>de efeitos colaterais sistê</w:t>
      </w:r>
      <w:r w:rsidRPr="00E01A60">
        <w:rPr>
          <w:rFonts w:ascii="Arial" w:hAnsi="Arial" w:cs="Arial"/>
          <w:sz w:val="28"/>
          <w:szCs w:val="28"/>
          <w:lang w:val="pt-PT"/>
        </w:rPr>
        <w:t>micos.  Estas qu</w:t>
      </w:r>
      <w:r w:rsidR="00A8481D" w:rsidRPr="00E01A60">
        <w:rPr>
          <w:rFonts w:ascii="Arial" w:hAnsi="Arial" w:cs="Arial"/>
          <w:sz w:val="28"/>
          <w:szCs w:val="28"/>
          <w:lang w:val="pt-PT"/>
        </w:rPr>
        <w:t>estões podem levar a baixa aderê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ncia </w:t>
      </w:r>
      <w:r w:rsidR="0076097A">
        <w:rPr>
          <w:rFonts w:ascii="Arial" w:hAnsi="Arial" w:cs="Arial"/>
          <w:sz w:val="28"/>
          <w:szCs w:val="28"/>
          <w:lang w:val="pt-PT"/>
        </w:rPr>
        <w:t xml:space="preserve">ao tratamento ou mesmo abandono </w:t>
      </w:r>
      <w:r w:rsidR="009800DE" w:rsidRPr="00E01A60">
        <w:rPr>
          <w:rFonts w:ascii="Arial" w:hAnsi="Arial" w:cs="Arial"/>
          <w:sz w:val="28"/>
          <w:szCs w:val="28"/>
          <w:lang w:val="pt-PT"/>
        </w:rPr>
        <w:t>(5,6)</w:t>
      </w:r>
      <w:r w:rsidR="0076097A">
        <w:rPr>
          <w:rFonts w:ascii="Arial" w:hAnsi="Arial" w:cs="Arial"/>
          <w:sz w:val="28"/>
          <w:szCs w:val="28"/>
          <w:lang w:val="pt-PT"/>
        </w:rPr>
        <w:t>.</w:t>
      </w:r>
    </w:p>
    <w:p w14:paraId="21B29934" w14:textId="6A7522ED" w:rsidR="00C00EF9" w:rsidRPr="0076097A" w:rsidRDefault="006A4A67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>O tratam</w:t>
      </w:r>
      <w:r w:rsidR="000729B0" w:rsidRPr="00E01A60">
        <w:rPr>
          <w:rFonts w:ascii="Arial" w:hAnsi="Arial" w:cs="Arial"/>
          <w:sz w:val="28"/>
          <w:szCs w:val="28"/>
          <w:lang w:val="pt-PT"/>
        </w:rPr>
        <w:t xml:space="preserve">ento a laser </w:t>
      </w:r>
      <w:r w:rsidR="0076097A">
        <w:rPr>
          <w:rFonts w:ascii="Arial" w:hAnsi="Arial" w:cs="Arial"/>
          <w:sz w:val="28"/>
          <w:szCs w:val="28"/>
          <w:lang w:val="pt-PT"/>
        </w:rPr>
        <w:t xml:space="preserve">do trabeculado, também denominada de </w:t>
      </w:r>
      <w:r w:rsidR="0076097A">
        <w:rPr>
          <w:rFonts w:ascii="Arial" w:hAnsi="Arial" w:cs="Arial"/>
          <w:sz w:val="28"/>
          <w:szCs w:val="28"/>
          <w:lang w:val="pt-PT"/>
        </w:rPr>
        <w:lastRenderedPageBreak/>
        <w:t xml:space="preserve">trabeculoplastia a laser,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vem sendo </w:t>
      </w:r>
      <w:r w:rsidR="0076097A">
        <w:rPr>
          <w:rFonts w:ascii="Arial" w:hAnsi="Arial" w:cs="Arial"/>
          <w:sz w:val="28"/>
          <w:szCs w:val="28"/>
          <w:lang w:val="pt-PT"/>
        </w:rPr>
        <w:t xml:space="preserve">largamente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empregado </w:t>
      </w:r>
      <w:r w:rsidR="000729B0" w:rsidRPr="00E01A60">
        <w:rPr>
          <w:rFonts w:ascii="Arial" w:hAnsi="Arial" w:cs="Arial"/>
          <w:sz w:val="28"/>
          <w:szCs w:val="28"/>
          <w:lang w:val="pt-PT"/>
        </w:rPr>
        <w:t>na prática clínica</w:t>
      </w:r>
      <w:r w:rsidR="0076097A">
        <w:rPr>
          <w:rFonts w:ascii="Arial" w:hAnsi="Arial" w:cs="Arial"/>
          <w:sz w:val="28"/>
          <w:szCs w:val="28"/>
          <w:lang w:val="pt-PT"/>
        </w:rPr>
        <w:t>, há algumas décadas,</w:t>
      </w:r>
      <w:r w:rsidR="000729B0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Pr="00E01A60">
        <w:rPr>
          <w:rFonts w:ascii="Arial" w:hAnsi="Arial" w:cs="Arial"/>
          <w:sz w:val="28"/>
          <w:szCs w:val="28"/>
          <w:lang w:val="pt-PT"/>
        </w:rPr>
        <w:t>em pacientes com diagnóstico inicial</w:t>
      </w:r>
      <w:r w:rsidR="00FB152E" w:rsidRPr="00E01A60">
        <w:rPr>
          <w:rFonts w:ascii="Arial" w:hAnsi="Arial" w:cs="Arial"/>
          <w:sz w:val="28"/>
          <w:szCs w:val="28"/>
          <w:lang w:val="pt-PT"/>
        </w:rPr>
        <w:t xml:space="preserve"> de GPAA, tanto como tratamento primário, quanto como tratamento adjuvante (associado a medicações)</w:t>
      </w:r>
      <w:r w:rsidR="00C00EF9" w:rsidRPr="00E01A60">
        <w:rPr>
          <w:rFonts w:ascii="Arial" w:hAnsi="Arial" w:cs="Arial"/>
          <w:sz w:val="28"/>
          <w:szCs w:val="28"/>
          <w:lang w:val="pt-PT"/>
        </w:rPr>
        <w:t xml:space="preserve"> (7</w:t>
      </w:r>
      <w:r w:rsidR="00B90D3D" w:rsidRPr="00E01A60">
        <w:rPr>
          <w:rFonts w:ascii="Arial" w:hAnsi="Arial" w:cs="Arial"/>
          <w:sz w:val="28"/>
          <w:szCs w:val="28"/>
          <w:lang w:val="pt-PT"/>
        </w:rPr>
        <w:t>,8</w:t>
      </w:r>
      <w:r w:rsidR="0076097A">
        <w:rPr>
          <w:rFonts w:ascii="Arial" w:hAnsi="Arial" w:cs="Arial"/>
          <w:sz w:val="28"/>
          <w:szCs w:val="28"/>
          <w:lang w:val="pt-PT"/>
        </w:rPr>
        <w:t xml:space="preserve">).  </w:t>
      </w:r>
      <w:r w:rsidR="00987AA9" w:rsidRPr="00E01A60">
        <w:rPr>
          <w:rFonts w:ascii="Arial" w:hAnsi="Arial" w:cs="Arial"/>
          <w:sz w:val="28"/>
          <w:szCs w:val="28"/>
          <w:lang w:val="pt-PT"/>
        </w:rPr>
        <w:t>A trabeculoplastia seletiva (SLT), sucessora da trabeculoplastia com laser argônio verde (ALT),</w:t>
      </w:r>
      <w:r w:rsidR="000729B0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="00A8481D" w:rsidRPr="00E01A60">
        <w:rPr>
          <w:rFonts w:ascii="Arial" w:hAnsi="Arial" w:cs="Arial"/>
          <w:sz w:val="28"/>
          <w:szCs w:val="28"/>
          <w:lang w:val="pt-PT"/>
        </w:rPr>
        <w:t xml:space="preserve">vem </w:t>
      </w:r>
      <w:r w:rsidR="000729B0" w:rsidRPr="00E01A60">
        <w:rPr>
          <w:rFonts w:ascii="Arial" w:hAnsi="Arial" w:cs="Arial"/>
          <w:sz w:val="28"/>
          <w:szCs w:val="28"/>
          <w:lang w:val="pt-PT"/>
        </w:rPr>
        <w:t>mostrando-se</w:t>
      </w:r>
      <w:r w:rsidR="00987AA9" w:rsidRPr="00E01A60">
        <w:rPr>
          <w:rFonts w:ascii="Arial" w:hAnsi="Arial" w:cs="Arial"/>
          <w:sz w:val="28"/>
          <w:szCs w:val="28"/>
          <w:lang w:val="pt-PT"/>
        </w:rPr>
        <w:t xml:space="preserve"> método</w:t>
      </w:r>
      <w:r w:rsidR="000729B0" w:rsidRPr="00E01A60">
        <w:rPr>
          <w:rFonts w:ascii="Arial" w:hAnsi="Arial" w:cs="Arial"/>
          <w:sz w:val="28"/>
          <w:szCs w:val="28"/>
          <w:lang w:val="pt-PT"/>
        </w:rPr>
        <w:t xml:space="preserve"> eficaz, praticamente indolor, relativamente simples de </w:t>
      </w:r>
      <w:r w:rsidR="00A8481D" w:rsidRPr="00E01A60">
        <w:rPr>
          <w:rFonts w:ascii="Arial" w:hAnsi="Arial" w:cs="Arial"/>
          <w:sz w:val="28"/>
          <w:szCs w:val="28"/>
          <w:lang w:val="pt-PT"/>
        </w:rPr>
        <w:t>executar e com poucos efeitos colaterais significativos</w:t>
      </w:r>
      <w:r w:rsidR="00B90D3D" w:rsidRPr="00E01A60">
        <w:rPr>
          <w:rFonts w:ascii="Arial" w:hAnsi="Arial" w:cs="Arial"/>
          <w:sz w:val="28"/>
          <w:szCs w:val="28"/>
          <w:lang w:val="pt-PT"/>
        </w:rPr>
        <w:t>. (9</w:t>
      </w:r>
      <w:r w:rsidR="00E01A60" w:rsidRPr="00E01A60">
        <w:rPr>
          <w:rFonts w:ascii="Arial" w:hAnsi="Arial" w:cs="Arial"/>
          <w:sz w:val="28"/>
          <w:szCs w:val="28"/>
          <w:lang w:val="pt-PT"/>
        </w:rPr>
        <w:t>)</w:t>
      </w:r>
    </w:p>
    <w:p w14:paraId="7EA4DE90" w14:textId="26F04FCB" w:rsidR="00925E3E" w:rsidRPr="00E01A60" w:rsidRDefault="00987AA9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O efeito da trabeculoplastia </w:t>
      </w:r>
      <w:r w:rsidR="00AD6404" w:rsidRPr="00E01A60">
        <w:rPr>
          <w:rFonts w:ascii="Arial" w:hAnsi="Arial" w:cs="Arial"/>
          <w:sz w:val="28"/>
          <w:szCs w:val="28"/>
          <w:lang w:val="pt-PT"/>
        </w:rPr>
        <w:t xml:space="preserve">seletiva </w:t>
      </w:r>
      <w:r w:rsidR="0076097A">
        <w:rPr>
          <w:rFonts w:ascii="Arial" w:hAnsi="Arial" w:cs="Arial"/>
          <w:sz w:val="28"/>
          <w:szCs w:val="28"/>
          <w:lang w:val="pt-PT"/>
        </w:rPr>
        <w:t xml:space="preserve">(SLT)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é comparável ao uso de monoterapia com colírios </w:t>
      </w:r>
      <w:r w:rsidR="00AD6404" w:rsidRPr="00E01A60">
        <w:rPr>
          <w:rFonts w:ascii="Arial" w:hAnsi="Arial" w:cs="Arial"/>
          <w:sz w:val="28"/>
          <w:szCs w:val="28"/>
          <w:lang w:val="pt-PT"/>
        </w:rPr>
        <w:t>de prostaglandina</w:t>
      </w:r>
      <w:r w:rsidR="00925E3E" w:rsidRPr="00E01A60">
        <w:rPr>
          <w:rFonts w:ascii="Arial" w:hAnsi="Arial" w:cs="Arial"/>
          <w:sz w:val="28"/>
          <w:szCs w:val="28"/>
          <w:lang w:val="pt-PT"/>
        </w:rPr>
        <w:t xml:space="preserve"> (10)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e pode diminuir ou </w:t>
      </w:r>
      <w:r w:rsidR="00AD6404" w:rsidRPr="00E01A60">
        <w:rPr>
          <w:rFonts w:ascii="Arial" w:hAnsi="Arial" w:cs="Arial"/>
          <w:sz w:val="28"/>
          <w:szCs w:val="28"/>
          <w:lang w:val="pt-PT"/>
        </w:rPr>
        <w:t xml:space="preserve">até, em muitos casos, </w:t>
      </w:r>
      <w:r w:rsidRPr="00E01A60">
        <w:rPr>
          <w:rFonts w:ascii="Arial" w:hAnsi="Arial" w:cs="Arial"/>
          <w:sz w:val="28"/>
          <w:szCs w:val="28"/>
          <w:lang w:val="pt-PT"/>
        </w:rPr>
        <w:t>evitar o uso de colírios para atingir a pressão alvo designada pa</w:t>
      </w:r>
      <w:r w:rsidR="00133139" w:rsidRPr="00E01A60">
        <w:rPr>
          <w:rFonts w:ascii="Arial" w:hAnsi="Arial" w:cs="Arial"/>
          <w:sz w:val="28"/>
          <w:szCs w:val="28"/>
          <w:lang w:val="pt-PT"/>
        </w:rPr>
        <w:t>ra controle clínico do glaucoma</w:t>
      </w:r>
      <w:r w:rsidR="0076097A">
        <w:rPr>
          <w:rFonts w:ascii="Arial" w:hAnsi="Arial" w:cs="Arial"/>
          <w:sz w:val="28"/>
          <w:szCs w:val="28"/>
          <w:lang w:val="pt-PT"/>
        </w:rPr>
        <w:t xml:space="preserve"> (12-14).</w:t>
      </w:r>
    </w:p>
    <w:p w14:paraId="75811D9E" w14:textId="361B70E6" w:rsidR="00BA1208" w:rsidRPr="00E01A60" w:rsidRDefault="00AD6404" w:rsidP="00E01A60">
      <w:pPr>
        <w:spacing w:line="480" w:lineRule="auto"/>
        <w:jc w:val="both"/>
        <w:rPr>
          <w:rFonts w:ascii="Arial" w:eastAsia="Times New Roman" w:hAnsi="Arial" w:cs="Times New Roman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>Tod</w:t>
      </w:r>
      <w:r w:rsidR="00133139" w:rsidRPr="00E01A60">
        <w:rPr>
          <w:rFonts w:ascii="Arial" w:hAnsi="Arial" w:cs="Arial"/>
          <w:sz w:val="28"/>
          <w:szCs w:val="28"/>
          <w:lang w:val="pt-PT"/>
        </w:rPr>
        <w:t>avia, seu efeito não é permanente, podendo ser repetido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seguramente,</w:t>
      </w:r>
      <w:r w:rsidR="00133139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pelo menos uma vez, </w:t>
      </w:r>
      <w:r w:rsidR="00133139" w:rsidRPr="00E01A60">
        <w:rPr>
          <w:rFonts w:ascii="Arial" w:hAnsi="Arial" w:cs="Arial"/>
          <w:sz w:val="28"/>
          <w:szCs w:val="28"/>
          <w:lang w:val="pt-PT"/>
        </w:rPr>
        <w:t>a critério médico</w:t>
      </w:r>
      <w:r w:rsidRPr="00E01A60">
        <w:rPr>
          <w:rFonts w:ascii="Arial" w:hAnsi="Arial" w:cs="Arial"/>
          <w:sz w:val="28"/>
          <w:szCs w:val="28"/>
          <w:lang w:val="pt-PT"/>
        </w:rPr>
        <w:t>, com bons resultados pressóricos</w:t>
      </w:r>
      <w:r w:rsidR="00925E3E" w:rsidRPr="00E01A60">
        <w:rPr>
          <w:rFonts w:ascii="Arial" w:hAnsi="Arial" w:cs="Arial"/>
          <w:sz w:val="28"/>
          <w:szCs w:val="28"/>
          <w:lang w:val="pt-PT"/>
        </w:rPr>
        <w:t xml:space="preserve"> (15</w:t>
      </w:r>
      <w:r w:rsidR="00EA4FF8" w:rsidRPr="00E01A60">
        <w:rPr>
          <w:rFonts w:ascii="Arial" w:hAnsi="Arial" w:cs="Arial"/>
          <w:sz w:val="28"/>
          <w:szCs w:val="28"/>
          <w:lang w:val="pt-PT"/>
        </w:rPr>
        <w:t>)</w:t>
      </w:r>
      <w:r w:rsidR="00E01A60" w:rsidRPr="00E01A60">
        <w:rPr>
          <w:rFonts w:ascii="Arial" w:hAnsi="Arial" w:cs="Arial"/>
          <w:sz w:val="28"/>
          <w:szCs w:val="28"/>
          <w:lang w:val="pt-PT"/>
        </w:rPr>
        <w:t>.</w:t>
      </w:r>
    </w:p>
    <w:p w14:paraId="23D5E714" w14:textId="478256EB" w:rsidR="00FD7E78" w:rsidRPr="00E01A60" w:rsidRDefault="00133139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>A trabeculoplastia micropulsada a laser (MLT) é um método alterna</w:t>
      </w:r>
      <w:r w:rsidR="00A82A65" w:rsidRPr="00E01A60">
        <w:rPr>
          <w:rFonts w:ascii="Arial" w:hAnsi="Arial" w:cs="Arial"/>
          <w:sz w:val="28"/>
          <w:szCs w:val="28"/>
          <w:lang w:val="pt-PT"/>
        </w:rPr>
        <w:t>tivo ao SLT</w:t>
      </w:r>
      <w:r w:rsidR="00A8481D" w:rsidRPr="00E01A60">
        <w:rPr>
          <w:rFonts w:ascii="Arial" w:hAnsi="Arial" w:cs="Arial"/>
          <w:sz w:val="28"/>
          <w:szCs w:val="28"/>
          <w:lang w:val="pt-PT"/>
        </w:rPr>
        <w:t xml:space="preserve"> com </w:t>
      </w:r>
      <w:r w:rsidRPr="00E01A60">
        <w:rPr>
          <w:rFonts w:ascii="Arial" w:hAnsi="Arial" w:cs="Arial"/>
          <w:sz w:val="28"/>
          <w:szCs w:val="28"/>
          <w:lang w:val="pt-PT"/>
        </w:rPr>
        <w:t>efeitos biológicos semelhantes</w:t>
      </w:r>
      <w:r w:rsidR="009F571C" w:rsidRPr="00E01A60">
        <w:rPr>
          <w:rFonts w:ascii="Arial" w:hAnsi="Arial" w:cs="Arial"/>
          <w:sz w:val="28"/>
          <w:szCs w:val="28"/>
          <w:lang w:val="pt-PT"/>
        </w:rPr>
        <w:t xml:space="preserve"> a este método</w:t>
      </w:r>
      <w:r w:rsidR="00CC171D" w:rsidRPr="00E01A60">
        <w:rPr>
          <w:rFonts w:ascii="Arial" w:hAnsi="Arial" w:cs="Arial"/>
          <w:sz w:val="28"/>
          <w:szCs w:val="28"/>
          <w:lang w:val="pt-PT"/>
        </w:rPr>
        <w:t xml:space="preserve"> (</w:t>
      </w:r>
      <w:r w:rsidR="00EA4FF8" w:rsidRPr="00E01A60">
        <w:rPr>
          <w:rFonts w:ascii="Arial" w:hAnsi="Arial" w:cs="Arial"/>
          <w:sz w:val="28"/>
          <w:szCs w:val="28"/>
          <w:lang w:val="pt-PT"/>
        </w:rPr>
        <w:t>16</w:t>
      </w:r>
      <w:r w:rsidR="00D06CE4" w:rsidRPr="00E01A60">
        <w:rPr>
          <w:rFonts w:ascii="Arial" w:hAnsi="Arial" w:cs="Arial"/>
          <w:sz w:val="28"/>
          <w:szCs w:val="28"/>
          <w:lang w:val="pt-PT"/>
        </w:rPr>
        <w:t>)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. 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Esta técnica utiliza um pulso de laser</w:t>
      </w:r>
      <w:r w:rsidR="00861473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que, </w:t>
      </w:r>
      <w:r w:rsidR="00AD6404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através do emprego de 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um</w:t>
      </w:r>
      <w:r w:rsidR="00A8481D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</w:t>
      </w:r>
      <w:r w:rsidR="00861473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algoritmo de ciclo de trabalho, fraciona a energia do pulso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</w:t>
      </w:r>
      <w:r w:rsidR="00A8481D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e</w:t>
      </w:r>
      <w:r w:rsidR="00861473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, desta forma, faz com que 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não haja dissipação </w:t>
      </w:r>
      <w:r w:rsidR="00A8481D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significativa 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de calor</w:t>
      </w:r>
      <w:r w:rsidR="00861473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.  Consequentemente</w:t>
      </w:r>
      <w:r w:rsidR="005B460A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há</w:t>
      </w:r>
      <w:r w:rsidR="00861473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um menor </w:t>
      </w:r>
      <w:r w:rsidR="00A82A65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dano ao tecido trabecular</w:t>
      </w:r>
      <w:r w:rsidR="00A8481D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e </w:t>
      </w:r>
      <w:r w:rsidR="00D3042C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aos tecidos adjacentes </w:t>
      </w:r>
      <w:r w:rsidR="00E01A60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(</w:t>
      </w:r>
      <w:r w:rsidR="00D3042C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17</w:t>
      </w:r>
      <w:r w:rsidR="00E01A60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).</w:t>
      </w:r>
      <w:r w:rsidR="0076097A">
        <w:rPr>
          <w:rFonts w:ascii="Arial" w:hAnsi="Arial" w:cs="Arial"/>
          <w:sz w:val="28"/>
          <w:szCs w:val="28"/>
          <w:lang w:val="en-US"/>
        </w:rPr>
        <w:t xml:space="preserve">  </w:t>
      </w:r>
      <w:r w:rsidR="00D06CE4" w:rsidRPr="00E01A60">
        <w:rPr>
          <w:rFonts w:ascii="Arial" w:hAnsi="Arial" w:cs="Arial"/>
          <w:sz w:val="28"/>
          <w:szCs w:val="28"/>
          <w:lang w:val="en-US"/>
        </w:rPr>
        <w:t>Relatos anteriores reportam reduções de PIO entre 19,5 a 22% com o emprego de ML</w:t>
      </w:r>
      <w:r w:rsidR="000261DF" w:rsidRPr="00E01A60">
        <w:rPr>
          <w:rFonts w:ascii="Arial" w:hAnsi="Arial" w:cs="Arial"/>
          <w:sz w:val="28"/>
          <w:szCs w:val="28"/>
          <w:lang w:val="en-US"/>
        </w:rPr>
        <w:t>T, com bom perfil de segurança (</w:t>
      </w:r>
      <w:r w:rsidR="00FD7E78" w:rsidRPr="00E01A60">
        <w:rPr>
          <w:rFonts w:ascii="Arial" w:hAnsi="Arial" w:cs="Arial"/>
          <w:sz w:val="28"/>
          <w:szCs w:val="28"/>
          <w:lang w:val="en-US"/>
        </w:rPr>
        <w:t>18)</w:t>
      </w:r>
      <w:r w:rsidR="000261DF" w:rsidRPr="00E01A60">
        <w:rPr>
          <w:rFonts w:ascii="Arial" w:hAnsi="Arial" w:cs="Arial"/>
          <w:sz w:val="28"/>
          <w:szCs w:val="28"/>
          <w:lang w:val="en-US"/>
        </w:rPr>
        <w:t>.</w:t>
      </w:r>
      <w:r w:rsidR="00FD7E78" w:rsidRPr="00E01A6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5AAF06F" w14:textId="34D29129" w:rsidR="00A8481D" w:rsidRPr="00E01A60" w:rsidRDefault="0076097A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Até o momento, </w:t>
      </w:r>
      <w:r w:rsidR="000261DF" w:rsidRPr="00E01A60">
        <w:rPr>
          <w:rFonts w:ascii="Arial" w:hAnsi="Arial" w:cs="Arial"/>
          <w:sz w:val="28"/>
          <w:szCs w:val="28"/>
          <w:lang w:val="en-US"/>
        </w:rPr>
        <w:t xml:space="preserve">exitem </w:t>
      </w:r>
      <w:r>
        <w:rPr>
          <w:rFonts w:ascii="Arial" w:hAnsi="Arial" w:cs="Arial"/>
          <w:sz w:val="28"/>
          <w:szCs w:val="28"/>
          <w:lang w:val="en-US"/>
        </w:rPr>
        <w:t xml:space="preserve">poucos estudos </w:t>
      </w:r>
      <w:r w:rsidR="000261DF" w:rsidRPr="00E01A60">
        <w:rPr>
          <w:rFonts w:ascii="Arial" w:hAnsi="Arial" w:cs="Arial"/>
          <w:sz w:val="28"/>
          <w:szCs w:val="28"/>
          <w:lang w:val="en-US"/>
        </w:rPr>
        <w:t>casuística</w:t>
      </w:r>
      <w:r>
        <w:rPr>
          <w:rFonts w:ascii="Arial" w:hAnsi="Arial" w:cs="Arial"/>
          <w:sz w:val="28"/>
          <w:szCs w:val="28"/>
          <w:lang w:val="en-US"/>
        </w:rPr>
        <w:t xml:space="preserve"> significativa</w:t>
      </w:r>
      <w:r w:rsidR="000261DF" w:rsidRPr="00E01A60">
        <w:rPr>
          <w:rFonts w:ascii="Arial" w:hAnsi="Arial" w:cs="Arial"/>
          <w:sz w:val="28"/>
          <w:szCs w:val="28"/>
          <w:lang w:val="en-US"/>
        </w:rPr>
        <w:t xml:space="preserve"> que comparem o SLT e MLT.</w:t>
      </w:r>
    </w:p>
    <w:p w14:paraId="14FD64FA" w14:textId="19353132" w:rsidR="00A8481D" w:rsidRPr="00E01A60" w:rsidRDefault="00A8481D" w:rsidP="00E01A60">
      <w:pPr>
        <w:spacing w:line="480" w:lineRule="auto"/>
        <w:jc w:val="both"/>
        <w:rPr>
          <w:rFonts w:ascii="Arial" w:eastAsia="Times New Roman" w:hAnsi="Arial" w:cs="Arial"/>
          <w:b/>
          <w:sz w:val="28"/>
          <w:szCs w:val="28"/>
          <w:shd w:val="clear" w:color="auto" w:fill="F8F9FA"/>
          <w:lang w:val="en-US"/>
        </w:rPr>
      </w:pPr>
      <w:r w:rsidRPr="00E01A60">
        <w:rPr>
          <w:rFonts w:ascii="Arial" w:eastAsia="Times New Roman" w:hAnsi="Arial" w:cs="Arial"/>
          <w:b/>
          <w:sz w:val="28"/>
          <w:szCs w:val="28"/>
          <w:shd w:val="clear" w:color="auto" w:fill="F8F9FA"/>
          <w:lang w:val="en-US"/>
        </w:rPr>
        <w:t>Objetivo</w:t>
      </w:r>
    </w:p>
    <w:p w14:paraId="58178424" w14:textId="42952777" w:rsidR="00A8481D" w:rsidRPr="00E01A60" w:rsidRDefault="00A8481D" w:rsidP="00E01A60">
      <w:pPr>
        <w:spacing w:line="480" w:lineRule="auto"/>
        <w:jc w:val="both"/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</w:pPr>
      <w:r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O objetivo do presente estudo é comparar o efeito sobre a pressão ocular do tratamento com SL</w:t>
      </w:r>
      <w:r w:rsidR="00FB152E"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>T e da MLT, como terapia inicial ou adjuvante</w:t>
      </w:r>
      <w:r w:rsidRPr="00E01A60"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  <w:t xml:space="preserve"> em pacientes com GPAA.</w:t>
      </w:r>
    </w:p>
    <w:p w14:paraId="692EBD23" w14:textId="77777777" w:rsidR="00A8481D" w:rsidRPr="00E01A60" w:rsidRDefault="00A8481D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</w:pPr>
    </w:p>
    <w:p w14:paraId="58D150CF" w14:textId="77777777" w:rsidR="00A8481D" w:rsidRPr="00E01A60" w:rsidRDefault="00A8481D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eastAsia="Times New Roman" w:hAnsi="Arial" w:cs="Arial"/>
          <w:b/>
          <w:sz w:val="28"/>
          <w:szCs w:val="28"/>
          <w:shd w:val="clear" w:color="auto" w:fill="F8F9FA"/>
          <w:lang w:val="en-US"/>
        </w:rPr>
      </w:pPr>
      <w:r w:rsidRPr="00E01A60">
        <w:rPr>
          <w:rFonts w:ascii="Arial" w:eastAsia="Times New Roman" w:hAnsi="Arial" w:cs="Arial"/>
          <w:b/>
          <w:sz w:val="28"/>
          <w:szCs w:val="28"/>
          <w:shd w:val="clear" w:color="auto" w:fill="F8F9FA"/>
          <w:lang w:val="en-US"/>
        </w:rPr>
        <w:t>Materiais e Métodos</w:t>
      </w:r>
    </w:p>
    <w:p w14:paraId="127A9D9C" w14:textId="77777777" w:rsidR="00A8481D" w:rsidRPr="00E01A60" w:rsidRDefault="00A8481D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eastAsia="Times New Roman" w:hAnsi="Arial" w:cs="Arial"/>
          <w:sz w:val="28"/>
          <w:szCs w:val="28"/>
          <w:shd w:val="clear" w:color="auto" w:fill="F8F9FA"/>
          <w:lang w:val="en-US"/>
        </w:rPr>
      </w:pPr>
    </w:p>
    <w:p w14:paraId="0F42FA46" w14:textId="6F482B7E" w:rsidR="00EA4FF8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A aprovação do protocolo de pesquisa será previamente obtida junto ao conselho de ética médica ligado a instituição.  O protocolo seguirá todas as premissas da Declaração de Helsinque. </w:t>
      </w:r>
    </w:p>
    <w:p w14:paraId="6F975794" w14:textId="59541BAD" w:rsidR="00EA4FF8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>Este est</w:t>
      </w:r>
      <w:r w:rsidR="006A4A67" w:rsidRPr="00E01A60">
        <w:rPr>
          <w:rFonts w:ascii="Arial" w:hAnsi="Arial" w:cs="Arial"/>
          <w:sz w:val="28"/>
          <w:szCs w:val="28"/>
          <w:lang w:val="pt-PT"/>
        </w:rPr>
        <w:t>udo retrospectivo incluirá todos os pacientes</w:t>
      </w:r>
      <w:r w:rsidR="00DA37AD" w:rsidRPr="00E01A60">
        <w:rPr>
          <w:rFonts w:ascii="Arial" w:hAnsi="Arial" w:cs="Arial"/>
          <w:sz w:val="28"/>
          <w:szCs w:val="28"/>
          <w:lang w:val="pt-PT"/>
        </w:rPr>
        <w:t xml:space="preserve"> com diagnóstico </w:t>
      </w:r>
      <w:r w:rsidR="00E22129" w:rsidRPr="00E01A60">
        <w:rPr>
          <w:rFonts w:ascii="Arial" w:hAnsi="Arial" w:cs="Arial"/>
          <w:sz w:val="28"/>
          <w:szCs w:val="28"/>
          <w:lang w:val="pt-PT"/>
        </w:rPr>
        <w:t xml:space="preserve">clínico </w:t>
      </w:r>
      <w:r w:rsidR="00DA37AD" w:rsidRPr="00E01A60">
        <w:rPr>
          <w:rFonts w:ascii="Arial" w:hAnsi="Arial" w:cs="Arial"/>
          <w:sz w:val="28"/>
          <w:szCs w:val="28"/>
          <w:lang w:val="pt-PT"/>
        </w:rPr>
        <w:t xml:space="preserve">de </w:t>
      </w:r>
      <w:r w:rsidR="006C7D15" w:rsidRPr="00E01A60">
        <w:rPr>
          <w:rFonts w:ascii="Arial" w:hAnsi="Arial" w:cs="Arial"/>
          <w:sz w:val="28"/>
          <w:szCs w:val="28"/>
          <w:lang w:val="pt-PT"/>
        </w:rPr>
        <w:t>glaucoma primário de ângulo aberto (</w:t>
      </w:r>
      <w:r w:rsidR="00DA37AD" w:rsidRPr="00E01A60">
        <w:rPr>
          <w:rFonts w:ascii="Arial" w:hAnsi="Arial" w:cs="Arial"/>
          <w:sz w:val="28"/>
          <w:szCs w:val="28"/>
          <w:lang w:val="pt-PT"/>
        </w:rPr>
        <w:t>GPAA</w:t>
      </w:r>
      <w:r w:rsidR="006C7D15" w:rsidRPr="00E01A60">
        <w:rPr>
          <w:rFonts w:ascii="Arial" w:hAnsi="Arial" w:cs="Arial"/>
          <w:sz w:val="28"/>
          <w:szCs w:val="28"/>
          <w:lang w:val="pt-PT"/>
        </w:rPr>
        <w:t>)</w:t>
      </w:r>
      <w:r w:rsidR="006A4A67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="006C7D15" w:rsidRPr="00E01A60">
        <w:rPr>
          <w:rFonts w:ascii="Arial" w:hAnsi="Arial" w:cs="Arial"/>
          <w:sz w:val="28"/>
          <w:szCs w:val="28"/>
          <w:lang w:val="pt-PT"/>
        </w:rPr>
        <w:t xml:space="preserve">ou Hipertensão ocular (HO) </w:t>
      </w:r>
      <w:r w:rsidR="006A4A67" w:rsidRPr="00E01A60">
        <w:rPr>
          <w:rFonts w:ascii="Arial" w:hAnsi="Arial" w:cs="Arial"/>
          <w:sz w:val="28"/>
          <w:szCs w:val="28"/>
          <w:lang w:val="pt-PT"/>
        </w:rPr>
        <w:t xml:space="preserve">que foram submetidos a trabeculoplastia a laser </w:t>
      </w:r>
      <w:r w:rsidR="00A41EFA" w:rsidRPr="00E01A60">
        <w:rPr>
          <w:rFonts w:ascii="Arial" w:hAnsi="Arial" w:cs="Arial"/>
          <w:sz w:val="28"/>
          <w:szCs w:val="28"/>
          <w:lang w:val="pt-PT"/>
        </w:rPr>
        <w:t>(com SLT ou MLT</w:t>
      </w:r>
      <w:r w:rsidR="00861473" w:rsidRPr="00E01A60">
        <w:rPr>
          <w:rFonts w:ascii="Arial" w:hAnsi="Arial" w:cs="Arial"/>
          <w:sz w:val="28"/>
          <w:szCs w:val="28"/>
          <w:lang w:val="pt-PT"/>
        </w:rPr>
        <w:t>) acompanhados</w:t>
      </w:r>
      <w:r w:rsidR="00A41EFA" w:rsidRPr="00E01A60">
        <w:rPr>
          <w:rFonts w:ascii="Arial" w:hAnsi="Arial" w:cs="Arial"/>
          <w:sz w:val="28"/>
          <w:szCs w:val="28"/>
          <w:lang w:val="pt-PT"/>
        </w:rPr>
        <w:t xml:space="preserve"> na clínica </w:t>
      </w:r>
      <w:r w:rsidR="00861473" w:rsidRPr="00E01A60">
        <w:rPr>
          <w:rFonts w:ascii="Arial" w:hAnsi="Arial" w:cs="Arial"/>
          <w:sz w:val="28"/>
          <w:szCs w:val="28"/>
          <w:lang w:val="pt-PT"/>
        </w:rPr>
        <w:t xml:space="preserve">oftalmológica </w:t>
      </w:r>
      <w:r w:rsidR="00A41EFA" w:rsidRPr="00E01A60">
        <w:rPr>
          <w:rFonts w:ascii="Arial" w:hAnsi="Arial" w:cs="Arial"/>
          <w:sz w:val="28"/>
          <w:szCs w:val="28"/>
          <w:lang w:val="pt-PT"/>
        </w:rPr>
        <w:t>de referência de glau</w:t>
      </w:r>
      <w:r w:rsidR="00861473" w:rsidRPr="00E01A60">
        <w:rPr>
          <w:rFonts w:ascii="Arial" w:hAnsi="Arial" w:cs="Arial"/>
          <w:sz w:val="28"/>
          <w:szCs w:val="28"/>
          <w:lang w:val="pt-PT"/>
        </w:rPr>
        <w:t>coma da</w:t>
      </w:r>
      <w:r w:rsidR="00A41EFA" w:rsidRPr="00E01A60">
        <w:rPr>
          <w:rFonts w:ascii="Arial" w:hAnsi="Arial" w:cs="Arial"/>
          <w:sz w:val="28"/>
          <w:szCs w:val="28"/>
          <w:lang w:val="pt-PT"/>
        </w:rPr>
        <w:t xml:space="preserve"> Unime/Univisão</w:t>
      </w:r>
      <w:r w:rsidR="00C127D6" w:rsidRPr="00E01A60">
        <w:rPr>
          <w:rFonts w:ascii="Arial" w:hAnsi="Arial" w:cs="Arial"/>
          <w:sz w:val="28"/>
          <w:szCs w:val="28"/>
          <w:lang w:val="pt-PT"/>
        </w:rPr>
        <w:t xml:space="preserve"> que tenham completado pelo menos um ano de seguimento pós laser</w:t>
      </w:r>
      <w:r w:rsidR="00A41EFA" w:rsidRPr="00E01A60">
        <w:rPr>
          <w:rFonts w:ascii="Arial" w:hAnsi="Arial" w:cs="Arial"/>
          <w:sz w:val="28"/>
          <w:szCs w:val="28"/>
          <w:lang w:val="pt-PT"/>
        </w:rPr>
        <w:t xml:space="preserve">. </w:t>
      </w:r>
      <w:r w:rsidR="00DA37AD" w:rsidRPr="00E01A60">
        <w:rPr>
          <w:rFonts w:ascii="Arial" w:hAnsi="Arial" w:cs="Arial"/>
          <w:sz w:val="28"/>
          <w:szCs w:val="28"/>
          <w:lang w:val="pt-PT"/>
        </w:rPr>
        <w:t xml:space="preserve">  Os pacientes serão divididos em dois grupos:  Grupo A- SLT (submetidos a trabeculoplastia seletiva a laser) e Grupo B- MLT (subemtidos a trabeculoplastia com laser multipulsado).  </w:t>
      </w:r>
      <w:r w:rsidR="00155DDF" w:rsidRPr="00E01A60">
        <w:rPr>
          <w:rFonts w:ascii="Arial" w:hAnsi="Arial" w:cs="Arial"/>
          <w:sz w:val="28"/>
          <w:szCs w:val="28"/>
          <w:lang w:val="pt-PT"/>
        </w:rPr>
        <w:t xml:space="preserve">Pacientes com diagnóstico de outros tipos de glaucoma </w:t>
      </w:r>
      <w:r w:rsidR="00E22129" w:rsidRPr="00E01A60">
        <w:rPr>
          <w:rFonts w:ascii="Arial" w:hAnsi="Arial" w:cs="Arial"/>
          <w:sz w:val="28"/>
          <w:szCs w:val="28"/>
          <w:lang w:val="pt-PT"/>
        </w:rPr>
        <w:t xml:space="preserve">que não o glaucoma primário de ângulo aberto </w:t>
      </w:r>
      <w:r w:rsidR="00155DDF" w:rsidRPr="00E01A60">
        <w:rPr>
          <w:rFonts w:ascii="Arial" w:hAnsi="Arial" w:cs="Arial"/>
          <w:sz w:val="28"/>
          <w:szCs w:val="28"/>
          <w:lang w:val="pt-PT"/>
        </w:rPr>
        <w:t>(ex</w:t>
      </w:r>
      <w:r w:rsidR="00861473" w:rsidRPr="00E01A60">
        <w:rPr>
          <w:rFonts w:ascii="Arial" w:hAnsi="Arial" w:cs="Arial"/>
          <w:sz w:val="28"/>
          <w:szCs w:val="28"/>
          <w:lang w:val="pt-PT"/>
        </w:rPr>
        <w:t>.</w:t>
      </w:r>
      <w:r w:rsidR="00155DDF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="00E22129" w:rsidRPr="00E01A60">
        <w:rPr>
          <w:rFonts w:ascii="Arial" w:hAnsi="Arial" w:cs="Arial"/>
          <w:sz w:val="28"/>
          <w:szCs w:val="28"/>
          <w:lang w:val="pt-PT"/>
        </w:rPr>
        <w:t>glaucoma primário de ângulo estreito, g</w:t>
      </w:r>
      <w:r w:rsidR="00861473" w:rsidRPr="00E01A60">
        <w:rPr>
          <w:rFonts w:ascii="Arial" w:hAnsi="Arial" w:cs="Arial"/>
          <w:sz w:val="28"/>
          <w:szCs w:val="28"/>
          <w:lang w:val="pt-PT"/>
        </w:rPr>
        <w:t xml:space="preserve">laucoma </w:t>
      </w:r>
      <w:r w:rsidR="00E22129" w:rsidRPr="00E01A60">
        <w:rPr>
          <w:rFonts w:ascii="Arial" w:hAnsi="Arial" w:cs="Arial"/>
          <w:sz w:val="28"/>
          <w:szCs w:val="28"/>
          <w:lang w:val="pt-PT"/>
        </w:rPr>
        <w:t xml:space="preserve">pigmentar, glaucomas secundários, glaucoma </w:t>
      </w:r>
      <w:r w:rsidR="00155DDF" w:rsidRPr="00E01A60">
        <w:rPr>
          <w:rFonts w:ascii="Arial" w:hAnsi="Arial" w:cs="Arial"/>
          <w:sz w:val="28"/>
          <w:szCs w:val="28"/>
          <w:lang w:val="pt-PT"/>
        </w:rPr>
        <w:t>pseudoexfoliativo</w:t>
      </w:r>
      <w:r w:rsidR="00E22129" w:rsidRPr="00E01A60">
        <w:rPr>
          <w:rFonts w:ascii="Arial" w:hAnsi="Arial" w:cs="Arial"/>
          <w:sz w:val="28"/>
          <w:szCs w:val="28"/>
          <w:lang w:val="pt-PT"/>
        </w:rPr>
        <w:t>) ou que já haviam sido submetido</w:t>
      </w:r>
      <w:r w:rsidR="00F90C34">
        <w:rPr>
          <w:rFonts w:ascii="Arial" w:hAnsi="Arial" w:cs="Arial"/>
          <w:sz w:val="28"/>
          <w:szCs w:val="28"/>
          <w:lang w:val="pt-PT"/>
        </w:rPr>
        <w:t>s</w:t>
      </w:r>
      <w:bookmarkStart w:id="0" w:name="_GoBack"/>
      <w:bookmarkEnd w:id="0"/>
      <w:r w:rsidR="00E22129" w:rsidRPr="00E01A60">
        <w:rPr>
          <w:rFonts w:ascii="Arial" w:hAnsi="Arial" w:cs="Arial"/>
          <w:sz w:val="28"/>
          <w:szCs w:val="28"/>
          <w:lang w:val="pt-PT"/>
        </w:rPr>
        <w:t xml:space="preserve"> a laser </w:t>
      </w:r>
      <w:r w:rsidR="005B460A">
        <w:rPr>
          <w:rFonts w:ascii="Arial" w:hAnsi="Arial" w:cs="Arial"/>
          <w:sz w:val="28"/>
          <w:szCs w:val="28"/>
          <w:lang w:val="pt-PT"/>
        </w:rPr>
        <w:t>e/</w:t>
      </w:r>
      <w:r w:rsidR="00E22129" w:rsidRPr="00E01A60">
        <w:rPr>
          <w:rFonts w:ascii="Arial" w:hAnsi="Arial" w:cs="Arial"/>
          <w:sz w:val="28"/>
          <w:szCs w:val="28"/>
          <w:lang w:val="pt-PT"/>
        </w:rPr>
        <w:t xml:space="preserve">ou cirurgia fistulizantes para o controle do glaucoma </w:t>
      </w:r>
      <w:r w:rsidR="00155DDF" w:rsidRPr="00E01A60">
        <w:rPr>
          <w:rFonts w:ascii="Arial" w:hAnsi="Arial" w:cs="Arial"/>
          <w:sz w:val="28"/>
          <w:szCs w:val="28"/>
          <w:lang w:val="pt-PT"/>
        </w:rPr>
        <w:t>serão excluídos.</w:t>
      </w:r>
      <w:r w:rsidR="00E421C7" w:rsidRPr="00E01A60">
        <w:rPr>
          <w:rFonts w:ascii="Arial" w:hAnsi="Arial" w:cs="Arial"/>
          <w:sz w:val="28"/>
          <w:szCs w:val="28"/>
          <w:lang w:val="pt-PT"/>
        </w:rPr>
        <w:t xml:space="preserve"> </w:t>
      </w:r>
      <w:r w:rsidRPr="00E01A60">
        <w:rPr>
          <w:rFonts w:ascii="Arial" w:hAnsi="Arial" w:cs="Arial"/>
          <w:sz w:val="28"/>
          <w:szCs w:val="28"/>
          <w:lang w:val="pt-PT"/>
        </w:rPr>
        <w:t>Todos os pacientes</w:t>
      </w:r>
      <w:r w:rsidR="00E421C7" w:rsidRPr="00E01A60">
        <w:rPr>
          <w:rFonts w:ascii="Arial" w:hAnsi="Arial" w:cs="Arial"/>
          <w:sz w:val="28"/>
          <w:szCs w:val="28"/>
          <w:lang w:val="pt-PT"/>
        </w:rPr>
        <w:t xml:space="preserve"> elegíveis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terão apenas um olho incluído no estudo. </w:t>
      </w:r>
    </w:p>
    <w:p w14:paraId="7458E77F" w14:textId="146238C8" w:rsidR="00A32568" w:rsidRPr="00E01A60" w:rsidRDefault="00A3256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>Conforme a padronização do serviço de glaucoma da clínica, os tratamentos seguiram os seguintes parâmetros: o</w:t>
      </w:r>
      <w:r w:rsidR="00861473" w:rsidRPr="00E01A60">
        <w:rPr>
          <w:rFonts w:ascii="Arial" w:hAnsi="Arial" w:cs="Arial"/>
          <w:sz w:val="28"/>
          <w:szCs w:val="28"/>
          <w:lang w:val="pt-PT"/>
        </w:rPr>
        <w:t xml:space="preserve"> grupo MLT</w:t>
      </w:r>
      <w:r w:rsidR="00A41EFA" w:rsidRPr="00E01A60">
        <w:rPr>
          <w:rFonts w:ascii="Arial" w:hAnsi="Arial" w:cs="Arial"/>
          <w:sz w:val="28"/>
          <w:szCs w:val="28"/>
          <w:lang w:val="pt-PT"/>
        </w:rPr>
        <w:t xml:space="preserve"> foi</w:t>
      </w:r>
      <w:r w:rsidR="00A17128" w:rsidRPr="00E01A60">
        <w:rPr>
          <w:rFonts w:ascii="Arial" w:hAnsi="Arial" w:cs="Arial"/>
          <w:sz w:val="28"/>
          <w:szCs w:val="28"/>
          <w:lang w:val="pt-PT"/>
        </w:rPr>
        <w:t xml:space="preserve"> submetido ao tratamento </w:t>
      </w:r>
      <w:r w:rsidR="00861473" w:rsidRPr="00E01A60">
        <w:rPr>
          <w:rFonts w:ascii="Arial" w:hAnsi="Arial" w:cs="Arial"/>
          <w:sz w:val="28"/>
          <w:szCs w:val="28"/>
          <w:lang w:val="pt-PT"/>
        </w:rPr>
        <w:t>padrã</w:t>
      </w:r>
      <w:r w:rsidR="002B0564">
        <w:rPr>
          <w:rFonts w:ascii="Arial" w:hAnsi="Arial" w:cs="Arial"/>
          <w:sz w:val="28"/>
          <w:szCs w:val="28"/>
          <w:lang w:val="pt-PT"/>
        </w:rPr>
        <w:t>o com aplicação do laser verde IQ 532</w:t>
      </w:r>
      <w:r w:rsidR="00A17128" w:rsidRPr="00E01A60">
        <w:rPr>
          <w:rFonts w:ascii="Arial" w:hAnsi="Arial" w:cs="Arial"/>
          <w:sz w:val="28"/>
          <w:szCs w:val="28"/>
          <w:lang w:val="pt-PT"/>
        </w:rPr>
        <w:t xml:space="preserve"> nm ™ (Iridex Corporation, Mountain View, CA, EUA) </w:t>
      </w:r>
      <w:r w:rsidR="00861473" w:rsidRPr="00E01A60">
        <w:rPr>
          <w:rFonts w:ascii="Arial" w:hAnsi="Arial" w:cs="Arial"/>
          <w:sz w:val="28"/>
          <w:szCs w:val="28"/>
          <w:lang w:val="pt-PT"/>
        </w:rPr>
        <w:t xml:space="preserve">em 360°, diretamente sobre o trabeculado pigmentado e não pigmentado, </w:t>
      </w:r>
      <w:r w:rsidR="00A17128" w:rsidRPr="00E01A60">
        <w:rPr>
          <w:rFonts w:ascii="Arial" w:hAnsi="Arial" w:cs="Arial"/>
          <w:sz w:val="28"/>
          <w:szCs w:val="28"/>
          <w:lang w:val="pt-PT"/>
        </w:rPr>
        <w:t>de forma não confluente, porém com marcas adjacentes (100 spots, 25 por quadrante). As confi</w:t>
      </w:r>
      <w:r w:rsidR="00A41EFA" w:rsidRPr="00E01A60">
        <w:rPr>
          <w:rFonts w:ascii="Arial" w:hAnsi="Arial" w:cs="Arial"/>
          <w:sz w:val="28"/>
          <w:szCs w:val="28"/>
          <w:lang w:val="pt-PT"/>
        </w:rPr>
        <w:t>gurações do laser para MLT foram padronizadas</w:t>
      </w:r>
      <w:r w:rsidR="00A17128" w:rsidRPr="00E01A60">
        <w:rPr>
          <w:rFonts w:ascii="Arial" w:hAnsi="Arial" w:cs="Arial"/>
          <w:sz w:val="28"/>
          <w:szCs w:val="28"/>
          <w:lang w:val="pt-PT"/>
        </w:rPr>
        <w:t xml:space="preserve">: 1.000 mW, 300 ms de duração, 300 µm de tamanho do ponto e um ciclo de trabalho de 15%. 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</w:t>
      </w:r>
    </w:p>
    <w:p w14:paraId="2E51C6D0" w14:textId="47871BD4" w:rsidR="009B5750" w:rsidRPr="00E01A60" w:rsidRDefault="00A17128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O grupo </w:t>
      </w:r>
      <w:r w:rsidR="00A32568" w:rsidRPr="00E01A60">
        <w:rPr>
          <w:rFonts w:ascii="Arial" w:hAnsi="Arial" w:cs="Arial"/>
          <w:sz w:val="28"/>
          <w:szCs w:val="28"/>
          <w:lang w:val="pt-PT"/>
        </w:rPr>
        <w:t>SLT recebeu tratamento de 360</w:t>
      </w:r>
      <w:r w:rsidRPr="00E01A60">
        <w:rPr>
          <w:rFonts w:ascii="Arial" w:hAnsi="Arial" w:cs="Arial"/>
          <w:sz w:val="28"/>
          <w:szCs w:val="28"/>
          <w:lang w:val="pt-PT"/>
        </w:rPr>
        <w:t>°</w:t>
      </w:r>
      <w:r w:rsidR="00A32568" w:rsidRPr="00E01A60">
        <w:rPr>
          <w:rFonts w:ascii="Arial" w:hAnsi="Arial" w:cs="Arial"/>
          <w:sz w:val="28"/>
          <w:szCs w:val="28"/>
          <w:lang w:val="pt-PT"/>
        </w:rPr>
        <w:t>,</w:t>
      </w:r>
      <w:r w:rsidRPr="00E01A60">
        <w:rPr>
          <w:rFonts w:ascii="Arial" w:hAnsi="Arial" w:cs="Arial"/>
          <w:sz w:val="28"/>
          <w:szCs w:val="28"/>
          <w:lang w:val="pt-PT"/>
        </w:rPr>
        <w:t xml:space="preserve"> com 532 nm Q-comutado, Nd: YAG Selecta II ™ de frequência dupla (Lumenis Inc, San Jose, CA</w:t>
      </w:r>
      <w:r w:rsidR="00A41EFA" w:rsidRPr="00E01A60">
        <w:rPr>
          <w:rFonts w:ascii="Arial" w:hAnsi="Arial" w:cs="Arial"/>
          <w:sz w:val="28"/>
          <w:szCs w:val="28"/>
          <w:lang w:val="pt-PT"/>
        </w:rPr>
        <w:t xml:space="preserve">, EUA). A energia para SLT foi </w:t>
      </w:r>
      <w:r w:rsidR="00861473" w:rsidRPr="00E01A60">
        <w:rPr>
          <w:rFonts w:ascii="Arial" w:hAnsi="Arial" w:cs="Arial"/>
          <w:sz w:val="28"/>
          <w:szCs w:val="28"/>
          <w:lang w:val="pt-PT"/>
        </w:rPr>
        <w:t>padronizada</w:t>
      </w:r>
      <w:r w:rsidRPr="00E01A60">
        <w:rPr>
          <w:rFonts w:ascii="Arial" w:hAnsi="Arial" w:cs="Arial"/>
          <w:sz w:val="28"/>
          <w:szCs w:val="28"/>
          <w:lang w:val="pt-PT"/>
        </w:rPr>
        <w:t>, entre ~ 0,6 e ~ 2,0 mJ, com base na pigmentação da malha trabecular para atingir uma resposta de bolha de gás perceptível em redor de 50% das aplicações, utilizando um tamanho de ponto de 400 µm e uma duração de 3 ns.</w:t>
      </w:r>
    </w:p>
    <w:p w14:paraId="776D53D8" w14:textId="1D7F16B0" w:rsidR="00897889" w:rsidRPr="00E01A60" w:rsidRDefault="0076097A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>
        <w:rPr>
          <w:rFonts w:ascii="Arial" w:hAnsi="Arial" w:cs="Arial"/>
          <w:sz w:val="28"/>
          <w:szCs w:val="28"/>
          <w:lang w:val="pt-PT"/>
        </w:rPr>
        <w:t xml:space="preserve">Seguindo </w:t>
      </w:r>
      <w:r w:rsidR="00922C41" w:rsidRPr="00E01A60">
        <w:rPr>
          <w:rFonts w:ascii="Arial" w:hAnsi="Arial" w:cs="Arial"/>
          <w:sz w:val="28"/>
          <w:szCs w:val="28"/>
          <w:lang w:val="pt-PT"/>
        </w:rPr>
        <w:t xml:space="preserve">a rotina da </w:t>
      </w:r>
      <w:r>
        <w:rPr>
          <w:rFonts w:ascii="Arial" w:hAnsi="Arial" w:cs="Arial"/>
          <w:sz w:val="28"/>
          <w:szCs w:val="28"/>
          <w:lang w:val="pt-PT"/>
        </w:rPr>
        <w:t xml:space="preserve">preconizada na clínica de glaucoma da Univisão/Unime, </w:t>
      </w:r>
      <w:r w:rsidR="00922C41" w:rsidRPr="00E01A60">
        <w:rPr>
          <w:rFonts w:ascii="Arial" w:hAnsi="Arial" w:cs="Arial"/>
          <w:sz w:val="28"/>
          <w:szCs w:val="28"/>
          <w:lang w:val="pt-PT"/>
        </w:rPr>
        <w:t xml:space="preserve">antes dos </w:t>
      </w:r>
      <w:r w:rsidR="00897889" w:rsidRPr="00E01A60">
        <w:rPr>
          <w:rFonts w:ascii="Arial" w:hAnsi="Arial" w:cs="Arial"/>
          <w:sz w:val="28"/>
          <w:szCs w:val="28"/>
          <w:lang w:val="pt-PT"/>
        </w:rPr>
        <w:t>proc</w:t>
      </w:r>
      <w:r>
        <w:rPr>
          <w:rFonts w:ascii="Arial" w:hAnsi="Arial" w:cs="Arial"/>
          <w:sz w:val="28"/>
          <w:szCs w:val="28"/>
          <w:lang w:val="pt-PT"/>
        </w:rPr>
        <w:t xml:space="preserve">edimentos a laser </w:t>
      </w:r>
      <w:r w:rsidR="00922C41" w:rsidRPr="00E01A60">
        <w:rPr>
          <w:rFonts w:ascii="Arial" w:hAnsi="Arial" w:cs="Arial"/>
          <w:sz w:val="28"/>
          <w:szCs w:val="28"/>
          <w:lang w:val="pt-PT"/>
        </w:rPr>
        <w:t>instilamos colírios de tartarato de brimonidina e anestésico</w:t>
      </w:r>
      <w:r w:rsidR="00897889" w:rsidRPr="00E01A60">
        <w:rPr>
          <w:rFonts w:ascii="Arial" w:hAnsi="Arial" w:cs="Arial"/>
          <w:sz w:val="28"/>
          <w:szCs w:val="28"/>
          <w:lang w:val="pt-PT"/>
        </w:rPr>
        <w:t xml:space="preserve">. </w:t>
      </w:r>
      <w:r w:rsidR="00922C41" w:rsidRPr="00E01A60">
        <w:rPr>
          <w:rFonts w:ascii="Arial" w:hAnsi="Arial" w:cs="Arial"/>
          <w:sz w:val="28"/>
          <w:szCs w:val="28"/>
          <w:lang w:val="pt-PT"/>
        </w:rPr>
        <w:t xml:space="preserve">O procedimento foi realizado por apenas um dos pesquisadores (RLP).  </w:t>
      </w:r>
      <w:r w:rsidR="00897889" w:rsidRPr="00E01A60">
        <w:rPr>
          <w:rFonts w:ascii="Arial" w:hAnsi="Arial" w:cs="Arial"/>
          <w:sz w:val="28"/>
          <w:szCs w:val="28"/>
          <w:lang w:val="pt-PT"/>
        </w:rPr>
        <w:t>A PIO era mensurada após cerca de 1h do procedimento.  Colírio</w:t>
      </w:r>
      <w:r w:rsidR="00922C41" w:rsidRPr="00E01A60">
        <w:rPr>
          <w:rFonts w:ascii="Arial" w:hAnsi="Arial" w:cs="Arial"/>
          <w:sz w:val="28"/>
          <w:szCs w:val="28"/>
          <w:lang w:val="pt-PT"/>
        </w:rPr>
        <w:t>s anti-inflamatórios (</w:t>
      </w:r>
      <w:r w:rsidR="00897889" w:rsidRPr="00E01A60">
        <w:rPr>
          <w:rFonts w:ascii="Arial" w:hAnsi="Arial" w:cs="Arial"/>
          <w:sz w:val="28"/>
          <w:szCs w:val="28"/>
          <w:lang w:val="pt-PT"/>
        </w:rPr>
        <w:t>cetrolac ou prenisolona</w:t>
      </w:r>
      <w:r w:rsidR="00922C41" w:rsidRPr="00E01A60">
        <w:rPr>
          <w:rFonts w:ascii="Arial" w:hAnsi="Arial" w:cs="Arial"/>
          <w:sz w:val="28"/>
          <w:szCs w:val="28"/>
          <w:lang w:val="pt-PT"/>
        </w:rPr>
        <w:t xml:space="preserve"> 1%) foram</w:t>
      </w:r>
      <w:r>
        <w:rPr>
          <w:rFonts w:ascii="Arial" w:hAnsi="Arial" w:cs="Arial"/>
          <w:sz w:val="28"/>
          <w:szCs w:val="28"/>
          <w:lang w:val="pt-PT"/>
        </w:rPr>
        <w:t xml:space="preserve"> prescritos </w:t>
      </w:r>
      <w:r w:rsidR="00922C41" w:rsidRPr="00E01A60">
        <w:rPr>
          <w:rFonts w:ascii="Arial" w:hAnsi="Arial" w:cs="Arial"/>
          <w:sz w:val="28"/>
          <w:szCs w:val="28"/>
          <w:lang w:val="pt-PT"/>
        </w:rPr>
        <w:t>de 6/6h</w:t>
      </w:r>
      <w:r w:rsidR="00897889" w:rsidRPr="00E01A60">
        <w:rPr>
          <w:rFonts w:ascii="Arial" w:hAnsi="Arial" w:cs="Arial"/>
          <w:sz w:val="28"/>
          <w:szCs w:val="28"/>
          <w:lang w:val="pt-PT"/>
        </w:rPr>
        <w:t>, por 5 a 7 dias.  As medicaçõ</w:t>
      </w:r>
      <w:r>
        <w:rPr>
          <w:rFonts w:ascii="Arial" w:hAnsi="Arial" w:cs="Arial"/>
          <w:sz w:val="28"/>
          <w:szCs w:val="28"/>
          <w:lang w:val="pt-PT"/>
        </w:rPr>
        <w:t xml:space="preserve">es anti-glaucomatosas habituais, já anteriormente utilizadas pelos pacientes, </w:t>
      </w:r>
      <w:r w:rsidR="00897889" w:rsidRPr="00E01A60">
        <w:rPr>
          <w:rFonts w:ascii="Arial" w:hAnsi="Arial" w:cs="Arial"/>
          <w:sz w:val="28"/>
          <w:szCs w:val="28"/>
          <w:lang w:val="pt-PT"/>
        </w:rPr>
        <w:t>eram mantidas no pós operatório.  Caso o paciente não utilizasse colírios anti-glaucomatosos pré laser, colírio de Tartarato de Brimonidina era prescrito de 8/8h por 5 a 7 dias.  O paciente era rotineiramente revisado com 7, 30 e 60 dias após o procedimento.  Os colírios anti-glaucomatosos eram diminuídos após o 30</w:t>
      </w:r>
      <w:r w:rsidR="00897889" w:rsidRPr="00E01A60">
        <w:rPr>
          <w:rFonts w:ascii="Arial" w:hAnsi="Arial" w:cs="Arial"/>
          <w:sz w:val="28"/>
          <w:szCs w:val="28"/>
          <w:vertAlign w:val="superscript"/>
          <w:lang w:val="pt-PT"/>
        </w:rPr>
        <w:t>O</w:t>
      </w:r>
      <w:r w:rsidR="00897889" w:rsidRPr="00E01A60">
        <w:rPr>
          <w:rFonts w:ascii="Arial" w:hAnsi="Arial" w:cs="Arial"/>
          <w:sz w:val="28"/>
          <w:szCs w:val="28"/>
          <w:lang w:val="pt-PT"/>
        </w:rPr>
        <w:t xml:space="preserve"> dia de após os procedimentos</w:t>
      </w:r>
      <w:r w:rsidR="00EB1E1D" w:rsidRPr="00E01A60">
        <w:rPr>
          <w:rFonts w:ascii="Arial" w:hAnsi="Arial" w:cs="Arial"/>
          <w:sz w:val="28"/>
          <w:szCs w:val="28"/>
          <w:lang w:val="pt-PT"/>
        </w:rPr>
        <w:t>.</w:t>
      </w:r>
      <w:r w:rsidR="00897889" w:rsidRPr="00E01A60">
        <w:rPr>
          <w:rFonts w:ascii="Arial" w:hAnsi="Arial" w:cs="Arial"/>
          <w:sz w:val="28"/>
          <w:szCs w:val="28"/>
          <w:lang w:val="pt-PT"/>
        </w:rPr>
        <w:t xml:space="preserve"> A</w:t>
      </w:r>
      <w:r>
        <w:rPr>
          <w:rFonts w:ascii="Arial" w:hAnsi="Arial" w:cs="Arial"/>
          <w:sz w:val="28"/>
          <w:szCs w:val="28"/>
          <w:lang w:val="pt-PT"/>
        </w:rPr>
        <w:t xml:space="preserve"> seguinte</w:t>
      </w:r>
      <w:r w:rsidR="00897889" w:rsidRPr="00E01A60">
        <w:rPr>
          <w:rFonts w:ascii="Arial" w:hAnsi="Arial" w:cs="Arial"/>
          <w:sz w:val="28"/>
          <w:szCs w:val="28"/>
          <w:lang w:val="pt-PT"/>
        </w:rPr>
        <w:t xml:space="preserve"> sequência de </w:t>
      </w:r>
      <w:r w:rsidR="00922C41" w:rsidRPr="00E01A60">
        <w:rPr>
          <w:rFonts w:ascii="Arial" w:hAnsi="Arial" w:cs="Arial"/>
          <w:sz w:val="28"/>
          <w:szCs w:val="28"/>
          <w:lang w:val="pt-PT"/>
        </w:rPr>
        <w:t xml:space="preserve">parada dos colírios anti-glaucomatosos </w:t>
      </w:r>
      <w:r>
        <w:rPr>
          <w:rFonts w:ascii="Arial" w:hAnsi="Arial" w:cs="Arial"/>
          <w:sz w:val="28"/>
          <w:szCs w:val="28"/>
          <w:lang w:val="pt-PT"/>
        </w:rPr>
        <w:t>pós laser foi padronizada</w:t>
      </w:r>
      <w:r w:rsidR="00922C41" w:rsidRPr="00E01A60">
        <w:rPr>
          <w:rFonts w:ascii="Arial" w:hAnsi="Arial" w:cs="Arial"/>
          <w:sz w:val="28"/>
          <w:szCs w:val="28"/>
          <w:lang w:val="pt-PT"/>
        </w:rPr>
        <w:t>: beta-bloqueadores, alpha-agonistas, bloqueadores da anidrase carbônica e prostaglandinas.</w:t>
      </w:r>
      <w:r w:rsidR="00EB1E1D" w:rsidRPr="00E01A60">
        <w:rPr>
          <w:rFonts w:ascii="Arial" w:hAnsi="Arial" w:cs="Arial"/>
          <w:sz w:val="28"/>
          <w:szCs w:val="28"/>
          <w:lang w:val="pt-PT"/>
        </w:rPr>
        <w:t xml:space="preserve">  A cada 30 dias o paciente era reexaminado caso estivesse ajustando a parada dos colírios.  Caso contrário, as visitas subsequentes eram agendadas a critério do médico assistente para avaliar progressão ou ajuste da PIO alvo.</w:t>
      </w:r>
      <w:r w:rsidR="009A4FCE">
        <w:rPr>
          <w:rFonts w:ascii="Arial" w:hAnsi="Arial" w:cs="Arial"/>
          <w:sz w:val="28"/>
          <w:szCs w:val="28"/>
          <w:lang w:val="pt-PT"/>
        </w:rPr>
        <w:t xml:space="preserve">  O procedimento a laser poderia ser repetido uma vez para atingir a pressão alvo pré determinada.</w:t>
      </w:r>
    </w:p>
    <w:p w14:paraId="3CCB06DD" w14:textId="0F02641D" w:rsidR="0063736C" w:rsidRPr="00E01A60" w:rsidRDefault="00EC4F86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/>
          <w:sz w:val="28"/>
          <w:szCs w:val="28"/>
        </w:rPr>
        <w:t xml:space="preserve">Os principais mensurações clínicas extaídas deste estudo serão: idade, sexo, doenças oculares concomitantes, história de cirurgia intra-ocular ou extra-ocular, lateralidade do olho que foi realizado o procedimento a laser.   Além disto avaliaremos </w:t>
      </w:r>
      <w:r w:rsidR="006C7D15" w:rsidRPr="00E01A60">
        <w:rPr>
          <w:rFonts w:ascii="Arial" w:hAnsi="Arial" w:cs="Arial"/>
          <w:sz w:val="28"/>
          <w:szCs w:val="28"/>
        </w:rPr>
        <w:t xml:space="preserve">no exame pré laser </w:t>
      </w:r>
      <w:r w:rsidR="0076097A">
        <w:rPr>
          <w:rFonts w:ascii="Arial" w:hAnsi="Arial" w:cs="Arial"/>
          <w:sz w:val="28"/>
          <w:szCs w:val="28"/>
        </w:rPr>
        <w:t>(ba</w:t>
      </w:r>
      <w:r w:rsidR="00A0167A">
        <w:rPr>
          <w:rFonts w:ascii="Arial" w:hAnsi="Arial" w:cs="Arial"/>
          <w:sz w:val="28"/>
          <w:szCs w:val="28"/>
        </w:rPr>
        <w:t xml:space="preserve">seline) e no </w:t>
      </w:r>
      <w:r w:rsidR="00E22129" w:rsidRPr="00E01A60">
        <w:rPr>
          <w:rFonts w:ascii="Arial" w:hAnsi="Arial" w:cs="Arial"/>
          <w:sz w:val="28"/>
          <w:szCs w:val="28"/>
        </w:rPr>
        <w:t xml:space="preserve">seguimento </w:t>
      </w:r>
      <w:r w:rsidR="006C7D15" w:rsidRPr="00E01A60">
        <w:rPr>
          <w:rFonts w:ascii="Arial" w:hAnsi="Arial" w:cs="Arial"/>
          <w:sz w:val="28"/>
          <w:szCs w:val="28"/>
        </w:rPr>
        <w:t>pós laser</w:t>
      </w:r>
      <w:r w:rsidR="004D765E">
        <w:rPr>
          <w:rFonts w:ascii="Arial" w:hAnsi="Arial" w:cs="Arial"/>
          <w:sz w:val="28"/>
          <w:szCs w:val="28"/>
        </w:rPr>
        <w:t xml:space="preserve"> (1</w:t>
      </w:r>
      <w:r w:rsidR="004D765E" w:rsidRPr="004D765E">
        <w:rPr>
          <w:rFonts w:ascii="Arial" w:hAnsi="Arial" w:cs="Arial"/>
          <w:sz w:val="28"/>
          <w:szCs w:val="28"/>
          <w:vertAlign w:val="superscript"/>
        </w:rPr>
        <w:t>O</w:t>
      </w:r>
      <w:r w:rsidR="004D765E">
        <w:rPr>
          <w:rFonts w:ascii="Arial" w:hAnsi="Arial" w:cs="Arial"/>
          <w:sz w:val="28"/>
          <w:szCs w:val="28"/>
        </w:rPr>
        <w:t xml:space="preserve"> mês </w:t>
      </w:r>
      <w:r w:rsidR="00A0167A">
        <w:rPr>
          <w:rFonts w:ascii="Arial" w:hAnsi="Arial" w:cs="Arial"/>
          <w:sz w:val="28"/>
          <w:szCs w:val="28"/>
        </w:rPr>
        <w:t>dpo, 6</w:t>
      </w:r>
      <w:r w:rsidR="00A0167A" w:rsidRPr="00A0167A">
        <w:rPr>
          <w:rFonts w:ascii="Arial" w:hAnsi="Arial" w:cs="Arial"/>
          <w:sz w:val="28"/>
          <w:szCs w:val="28"/>
          <w:vertAlign w:val="superscript"/>
        </w:rPr>
        <w:t>O</w:t>
      </w:r>
      <w:r w:rsidR="00A0167A">
        <w:rPr>
          <w:rFonts w:ascii="Arial" w:hAnsi="Arial" w:cs="Arial"/>
          <w:sz w:val="28"/>
          <w:szCs w:val="28"/>
        </w:rPr>
        <w:t xml:space="preserve"> mês, 12</w:t>
      </w:r>
      <w:r w:rsidR="00A0167A" w:rsidRPr="00A0167A">
        <w:rPr>
          <w:rFonts w:ascii="Arial" w:hAnsi="Arial" w:cs="Arial"/>
          <w:sz w:val="28"/>
          <w:szCs w:val="28"/>
          <w:vertAlign w:val="superscript"/>
        </w:rPr>
        <w:t>O</w:t>
      </w:r>
      <w:r w:rsidR="00A0167A">
        <w:rPr>
          <w:rFonts w:ascii="Arial" w:hAnsi="Arial" w:cs="Arial"/>
          <w:sz w:val="28"/>
          <w:szCs w:val="28"/>
        </w:rPr>
        <w:t xml:space="preserve"> mês e no último seguimento de dpo) a </w:t>
      </w:r>
      <w:r w:rsidR="00861473" w:rsidRPr="00E01A60">
        <w:rPr>
          <w:rFonts w:ascii="Arial" w:hAnsi="Arial" w:cs="Arial"/>
          <w:sz w:val="28"/>
          <w:szCs w:val="28"/>
        </w:rPr>
        <w:t>m</w:t>
      </w:r>
      <w:r w:rsidR="00467E68" w:rsidRPr="00E01A60">
        <w:rPr>
          <w:rFonts w:ascii="Arial" w:hAnsi="Arial" w:cs="Arial"/>
          <w:sz w:val="28"/>
          <w:szCs w:val="28"/>
        </w:rPr>
        <w:t xml:space="preserve">édia das pressões oculares (pelo menos </w:t>
      </w:r>
      <w:r w:rsidR="00DA37AD" w:rsidRPr="00E01A60">
        <w:rPr>
          <w:rFonts w:ascii="Arial" w:hAnsi="Arial" w:cs="Arial"/>
          <w:sz w:val="28"/>
          <w:szCs w:val="28"/>
        </w:rPr>
        <w:t xml:space="preserve">3 </w:t>
      </w:r>
      <w:r w:rsidR="00C127D6" w:rsidRPr="00E01A60">
        <w:rPr>
          <w:rFonts w:ascii="Arial" w:hAnsi="Arial" w:cs="Arial"/>
          <w:sz w:val="28"/>
          <w:szCs w:val="28"/>
        </w:rPr>
        <w:t>medida</w:t>
      </w:r>
      <w:r w:rsidR="003925A1" w:rsidRPr="00E01A60">
        <w:rPr>
          <w:rFonts w:ascii="Arial" w:hAnsi="Arial" w:cs="Arial"/>
          <w:sz w:val="28"/>
          <w:szCs w:val="28"/>
        </w:rPr>
        <w:t xml:space="preserve">s, </w:t>
      </w:r>
      <w:r w:rsidR="00E22129" w:rsidRPr="00E01A60">
        <w:rPr>
          <w:rFonts w:ascii="Arial" w:hAnsi="Arial" w:cs="Arial"/>
          <w:sz w:val="28"/>
          <w:szCs w:val="28"/>
        </w:rPr>
        <w:t xml:space="preserve">em </w:t>
      </w:r>
      <w:r w:rsidR="003925A1" w:rsidRPr="00E01A60">
        <w:rPr>
          <w:rFonts w:ascii="Arial" w:hAnsi="Arial" w:cs="Arial"/>
          <w:sz w:val="28"/>
          <w:szCs w:val="28"/>
        </w:rPr>
        <w:t>mmHg</w:t>
      </w:r>
      <w:r w:rsidR="00E22129" w:rsidRPr="00E01A60">
        <w:rPr>
          <w:rFonts w:ascii="Arial" w:hAnsi="Arial" w:cs="Arial"/>
          <w:sz w:val="28"/>
          <w:szCs w:val="28"/>
        </w:rPr>
        <w:t>, medidas entre 7</w:t>
      </w:r>
      <w:r w:rsidR="0063736C" w:rsidRPr="00E01A60">
        <w:rPr>
          <w:rFonts w:ascii="Arial" w:hAnsi="Arial" w:cs="Arial"/>
          <w:sz w:val="28"/>
          <w:szCs w:val="28"/>
        </w:rPr>
        <w:t xml:space="preserve"> a 10h</w:t>
      </w:r>
      <w:r w:rsidR="00A32568" w:rsidRPr="00E01A60">
        <w:rPr>
          <w:rFonts w:ascii="Arial" w:hAnsi="Arial" w:cs="Arial"/>
          <w:sz w:val="28"/>
          <w:szCs w:val="28"/>
        </w:rPr>
        <w:t>)</w:t>
      </w:r>
      <w:r w:rsidR="0063736C" w:rsidRPr="00E01A60">
        <w:rPr>
          <w:rFonts w:ascii="Arial" w:hAnsi="Arial" w:cs="Arial"/>
          <w:sz w:val="28"/>
          <w:szCs w:val="28"/>
        </w:rPr>
        <w:t xml:space="preserve">, </w:t>
      </w:r>
      <w:r w:rsidR="00E22129" w:rsidRPr="00E01A60">
        <w:rPr>
          <w:rFonts w:ascii="Arial" w:hAnsi="Arial" w:cs="Arial"/>
          <w:sz w:val="28"/>
          <w:szCs w:val="28"/>
        </w:rPr>
        <w:t xml:space="preserve">e </w:t>
      </w:r>
      <w:r w:rsidR="00A32568" w:rsidRPr="00E01A60">
        <w:rPr>
          <w:rFonts w:ascii="Arial" w:hAnsi="Arial" w:cs="Arial"/>
          <w:sz w:val="28"/>
          <w:szCs w:val="28"/>
        </w:rPr>
        <w:t xml:space="preserve">número de medicações </w:t>
      </w:r>
      <w:r w:rsidR="0063736C" w:rsidRPr="00E01A60">
        <w:rPr>
          <w:rFonts w:ascii="Arial" w:hAnsi="Arial" w:cs="Arial"/>
          <w:sz w:val="28"/>
          <w:szCs w:val="28"/>
        </w:rPr>
        <w:t>anti-glaucomatosas</w:t>
      </w:r>
      <w:r w:rsidR="00BF5D1A" w:rsidRPr="00E01A60">
        <w:rPr>
          <w:rFonts w:ascii="Arial" w:hAnsi="Arial" w:cs="Arial"/>
          <w:sz w:val="28"/>
          <w:szCs w:val="28"/>
        </w:rPr>
        <w:t>.  Adicionalmente avaliaremos</w:t>
      </w:r>
      <w:r w:rsidRPr="00E01A60">
        <w:rPr>
          <w:rFonts w:ascii="Arial" w:hAnsi="Arial" w:cs="Arial"/>
          <w:sz w:val="28"/>
          <w:szCs w:val="28"/>
        </w:rPr>
        <w:t xml:space="preserve"> os </w:t>
      </w:r>
      <w:r w:rsidR="0063736C" w:rsidRPr="00E01A60">
        <w:rPr>
          <w:rFonts w:ascii="Arial" w:hAnsi="Arial" w:cs="Arial"/>
          <w:sz w:val="28"/>
          <w:szCs w:val="28"/>
        </w:rPr>
        <w:t xml:space="preserve">dados </w:t>
      </w:r>
      <w:r w:rsidR="00BF5D1A" w:rsidRPr="00E01A60">
        <w:rPr>
          <w:rFonts w:ascii="Arial" w:hAnsi="Arial" w:cs="Arial"/>
          <w:sz w:val="28"/>
          <w:szCs w:val="28"/>
        </w:rPr>
        <w:t>pré e pós laser referentes a</w:t>
      </w:r>
      <w:r w:rsidR="0063736C" w:rsidRPr="00E01A60">
        <w:rPr>
          <w:rFonts w:ascii="Arial" w:hAnsi="Arial" w:cs="Arial"/>
          <w:sz w:val="28"/>
          <w:szCs w:val="28"/>
        </w:rPr>
        <w:t xml:space="preserve"> </w:t>
      </w:r>
      <w:r w:rsidR="00A0167A">
        <w:rPr>
          <w:rFonts w:ascii="Arial" w:hAnsi="Arial" w:cs="Arial"/>
          <w:sz w:val="28"/>
          <w:szCs w:val="28"/>
        </w:rPr>
        <w:t xml:space="preserve">acuidade visual (tabela ETDRS logMar), </w:t>
      </w:r>
      <w:r w:rsidR="0063736C" w:rsidRPr="00E01A60">
        <w:rPr>
          <w:rFonts w:ascii="Arial" w:hAnsi="Arial" w:cs="Arial"/>
          <w:sz w:val="28"/>
          <w:szCs w:val="28"/>
        </w:rPr>
        <w:t>perimetria computadorizada (Humphrey, Zeiss), dados do exame fundoscópico do nervo óptico, dados do OCT d</w:t>
      </w:r>
      <w:r w:rsidR="00E22129" w:rsidRPr="00E01A60">
        <w:rPr>
          <w:rFonts w:ascii="Arial" w:hAnsi="Arial" w:cs="Arial"/>
          <w:sz w:val="28"/>
          <w:szCs w:val="28"/>
        </w:rPr>
        <w:t>o nervo óptico e</w:t>
      </w:r>
      <w:r w:rsidR="0063736C" w:rsidRPr="00E01A60">
        <w:rPr>
          <w:rFonts w:ascii="Arial" w:hAnsi="Arial" w:cs="Arial"/>
          <w:sz w:val="28"/>
          <w:szCs w:val="28"/>
        </w:rPr>
        <w:t xml:space="preserve"> paquimetria ultrassô</w:t>
      </w:r>
      <w:r w:rsidRPr="00E01A60">
        <w:rPr>
          <w:rFonts w:ascii="Arial" w:hAnsi="Arial" w:cs="Arial"/>
          <w:sz w:val="28"/>
          <w:szCs w:val="28"/>
        </w:rPr>
        <w:t xml:space="preserve">nica da córnea. As </w:t>
      </w:r>
      <w:r w:rsidR="00BF5D1A" w:rsidRPr="00E01A60">
        <w:rPr>
          <w:rFonts w:ascii="Arial" w:hAnsi="Arial" w:cs="Arial"/>
          <w:sz w:val="28"/>
          <w:szCs w:val="28"/>
        </w:rPr>
        <w:t xml:space="preserve">possíveis </w:t>
      </w:r>
      <w:r w:rsidR="0063736C" w:rsidRPr="00E01A60">
        <w:rPr>
          <w:rFonts w:ascii="Arial" w:hAnsi="Arial" w:cs="Arial"/>
          <w:sz w:val="28"/>
          <w:szCs w:val="28"/>
        </w:rPr>
        <w:t xml:space="preserve">complicações </w:t>
      </w:r>
      <w:r w:rsidRPr="00E01A60">
        <w:rPr>
          <w:rFonts w:ascii="Arial" w:hAnsi="Arial" w:cs="Arial"/>
          <w:sz w:val="28"/>
          <w:szCs w:val="28"/>
        </w:rPr>
        <w:t xml:space="preserve">do procedimento a laser e ocorrência de </w:t>
      </w:r>
      <w:r w:rsidR="00E22129" w:rsidRPr="00E01A60">
        <w:rPr>
          <w:rFonts w:ascii="Arial" w:hAnsi="Arial" w:cs="Arial"/>
          <w:sz w:val="28"/>
          <w:szCs w:val="28"/>
        </w:rPr>
        <w:t>pico pressórico pós-</w:t>
      </w:r>
      <w:r w:rsidR="0063736C" w:rsidRPr="00E01A60">
        <w:rPr>
          <w:rFonts w:ascii="Arial" w:hAnsi="Arial" w:cs="Arial"/>
          <w:sz w:val="28"/>
          <w:szCs w:val="28"/>
        </w:rPr>
        <w:t>laser (definido como aumento da PIO de pelo menos 5mmHg)</w:t>
      </w:r>
      <w:r w:rsidRPr="00E01A60">
        <w:rPr>
          <w:rFonts w:ascii="Arial" w:hAnsi="Arial" w:cs="Arial"/>
          <w:sz w:val="28"/>
          <w:szCs w:val="28"/>
        </w:rPr>
        <w:t xml:space="preserve"> serão também reportadas</w:t>
      </w:r>
      <w:r w:rsidR="0063736C" w:rsidRPr="00E01A60">
        <w:rPr>
          <w:rFonts w:ascii="Arial" w:hAnsi="Arial" w:cs="Arial"/>
          <w:sz w:val="28"/>
          <w:szCs w:val="28"/>
        </w:rPr>
        <w:t>.</w:t>
      </w:r>
    </w:p>
    <w:p w14:paraId="37E9AF60" w14:textId="45D5F6B5" w:rsidR="00E421C7" w:rsidRPr="00E01A60" w:rsidRDefault="001C395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</w:rPr>
        <w:t xml:space="preserve"> </w:t>
      </w:r>
      <w:r w:rsidR="00E421C7" w:rsidRPr="00E01A60">
        <w:rPr>
          <w:rFonts w:ascii="Arial" w:hAnsi="Arial"/>
          <w:sz w:val="28"/>
          <w:szCs w:val="28"/>
        </w:rPr>
        <w:t xml:space="preserve">O sucesso </w:t>
      </w:r>
      <w:r w:rsidR="009B7BFC">
        <w:rPr>
          <w:rFonts w:ascii="Arial" w:hAnsi="Arial"/>
          <w:sz w:val="28"/>
          <w:szCs w:val="28"/>
        </w:rPr>
        <w:t xml:space="preserve">do tratmento terá um critétrio mais rígido e outro menos rigido de diminuição percentual de PIO basal e pós laser.  </w:t>
      </w:r>
      <w:r w:rsidR="00A71207">
        <w:rPr>
          <w:rFonts w:ascii="Arial" w:hAnsi="Arial"/>
          <w:sz w:val="28"/>
          <w:szCs w:val="28"/>
        </w:rPr>
        <w:t>Desta forma</w:t>
      </w:r>
      <w:r w:rsidR="009B7BFC">
        <w:rPr>
          <w:rFonts w:ascii="Arial" w:hAnsi="Arial"/>
          <w:sz w:val="28"/>
          <w:szCs w:val="28"/>
        </w:rPr>
        <w:t xml:space="preserve">, o sucesso </w:t>
      </w:r>
      <w:r w:rsidR="00E421C7" w:rsidRPr="00E01A60">
        <w:rPr>
          <w:rFonts w:ascii="Arial" w:hAnsi="Arial"/>
          <w:sz w:val="28"/>
          <w:szCs w:val="28"/>
        </w:rPr>
        <w:t>completo do tratament</w:t>
      </w:r>
      <w:r w:rsidR="00E22129" w:rsidRPr="00E01A60">
        <w:rPr>
          <w:rFonts w:ascii="Arial" w:hAnsi="Arial"/>
          <w:sz w:val="28"/>
          <w:szCs w:val="28"/>
        </w:rPr>
        <w:t>o a laser será definido como medida da</w:t>
      </w:r>
      <w:r w:rsidR="00E421C7" w:rsidRPr="00E01A60">
        <w:rPr>
          <w:rFonts w:ascii="Arial" w:hAnsi="Arial"/>
          <w:sz w:val="28"/>
          <w:szCs w:val="28"/>
        </w:rPr>
        <w:t xml:space="preserve"> PIO &lt;21 mmHg sem medicamentos anti-</w:t>
      </w:r>
      <w:r w:rsidR="009B7BFC">
        <w:rPr>
          <w:rFonts w:ascii="Arial" w:hAnsi="Arial"/>
          <w:sz w:val="28"/>
          <w:szCs w:val="28"/>
        </w:rPr>
        <w:t>glaucomatosos com</w:t>
      </w:r>
      <w:r w:rsidR="00E421C7" w:rsidRPr="00E01A60">
        <w:rPr>
          <w:rFonts w:ascii="Arial" w:hAnsi="Arial"/>
          <w:sz w:val="28"/>
          <w:szCs w:val="28"/>
        </w:rPr>
        <w:t xml:space="preserve"> pelo menos uma redução de </w:t>
      </w:r>
      <w:r w:rsidR="009B7BFC">
        <w:rPr>
          <w:rFonts w:ascii="Arial" w:hAnsi="Arial"/>
          <w:sz w:val="28"/>
          <w:szCs w:val="28"/>
        </w:rPr>
        <w:t xml:space="preserve">20% (e </w:t>
      </w:r>
      <w:r w:rsidR="00E421C7" w:rsidRPr="00E01A60">
        <w:rPr>
          <w:rFonts w:ascii="Arial" w:hAnsi="Arial"/>
          <w:sz w:val="28"/>
          <w:szCs w:val="28"/>
        </w:rPr>
        <w:t>30%</w:t>
      </w:r>
      <w:r w:rsidR="009B7BFC">
        <w:rPr>
          <w:rFonts w:ascii="Arial" w:hAnsi="Arial"/>
          <w:sz w:val="28"/>
          <w:szCs w:val="28"/>
        </w:rPr>
        <w:t>)</w:t>
      </w:r>
      <w:r w:rsidR="00E421C7" w:rsidRPr="00E01A60">
        <w:rPr>
          <w:rFonts w:ascii="Arial" w:hAnsi="Arial"/>
          <w:sz w:val="28"/>
          <w:szCs w:val="28"/>
        </w:rPr>
        <w:t xml:space="preserve"> em relação à PIO inicial.  O sucesso qualificado será defi</w:t>
      </w:r>
      <w:r w:rsidR="009B7BFC">
        <w:rPr>
          <w:rFonts w:ascii="Arial" w:hAnsi="Arial"/>
          <w:sz w:val="28"/>
          <w:szCs w:val="28"/>
        </w:rPr>
        <w:t>nido como uma PIO de &lt;21 mmHg com</w:t>
      </w:r>
      <w:r w:rsidR="00E421C7" w:rsidRPr="00E01A60">
        <w:rPr>
          <w:rFonts w:ascii="Arial" w:hAnsi="Arial"/>
          <w:sz w:val="28"/>
          <w:szCs w:val="28"/>
        </w:rPr>
        <w:t xml:space="preserve"> pelo menos </w:t>
      </w:r>
      <w:r w:rsidR="009B7BFC">
        <w:rPr>
          <w:rFonts w:ascii="Arial" w:hAnsi="Arial"/>
          <w:sz w:val="28"/>
          <w:szCs w:val="28"/>
        </w:rPr>
        <w:t xml:space="preserve">20% (e </w:t>
      </w:r>
      <w:r w:rsidR="00E421C7" w:rsidRPr="00E01A60">
        <w:rPr>
          <w:rFonts w:ascii="Arial" w:hAnsi="Arial"/>
          <w:sz w:val="28"/>
          <w:szCs w:val="28"/>
        </w:rPr>
        <w:t>30%</w:t>
      </w:r>
      <w:r w:rsidR="009B7BFC">
        <w:rPr>
          <w:rFonts w:ascii="Arial" w:hAnsi="Arial"/>
          <w:sz w:val="28"/>
          <w:szCs w:val="28"/>
        </w:rPr>
        <w:t>)</w:t>
      </w:r>
      <w:r w:rsidR="00E421C7" w:rsidRPr="00E01A60">
        <w:rPr>
          <w:rFonts w:ascii="Arial" w:hAnsi="Arial"/>
          <w:sz w:val="28"/>
          <w:szCs w:val="28"/>
        </w:rPr>
        <w:t xml:space="preserve"> de redução da PIO com um ou mais medicamentos anti-glaucomatosos. A falha do procedimento a laser será definida como PIO&gt; 21mmHg ou não reduzida em </w:t>
      </w:r>
      <w:r w:rsidR="009B7BFC">
        <w:rPr>
          <w:rFonts w:ascii="Arial" w:hAnsi="Arial"/>
          <w:sz w:val="28"/>
          <w:szCs w:val="28"/>
        </w:rPr>
        <w:t xml:space="preserve">20% (e </w:t>
      </w:r>
      <w:r w:rsidR="00E421C7" w:rsidRPr="00E01A60">
        <w:rPr>
          <w:rFonts w:ascii="Arial" w:hAnsi="Arial"/>
          <w:sz w:val="28"/>
          <w:szCs w:val="28"/>
        </w:rPr>
        <w:t>30%</w:t>
      </w:r>
      <w:r w:rsidR="009B7BFC">
        <w:rPr>
          <w:rFonts w:ascii="Arial" w:hAnsi="Arial"/>
          <w:sz w:val="28"/>
          <w:szCs w:val="28"/>
        </w:rPr>
        <w:t>)</w:t>
      </w:r>
      <w:r w:rsidR="00E421C7" w:rsidRPr="00E01A60">
        <w:rPr>
          <w:rFonts w:ascii="Arial" w:hAnsi="Arial"/>
          <w:sz w:val="28"/>
          <w:szCs w:val="28"/>
        </w:rPr>
        <w:t xml:space="preserve"> abaixo da linha de base em duas visitas consecutivas de acompanhamento, apesar da medicação</w:t>
      </w:r>
      <w:r w:rsidR="002A6685" w:rsidRPr="00E01A60">
        <w:rPr>
          <w:rFonts w:ascii="Arial" w:hAnsi="Arial"/>
          <w:sz w:val="28"/>
          <w:szCs w:val="28"/>
        </w:rPr>
        <w:t>.</w:t>
      </w:r>
    </w:p>
    <w:p w14:paraId="2C225DCB" w14:textId="411398A5" w:rsidR="000315E5" w:rsidRPr="00E01A60" w:rsidRDefault="001C3950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</w:rPr>
        <w:t xml:space="preserve">Os critérios clínicos </w:t>
      </w:r>
      <w:r w:rsidR="0079300C" w:rsidRPr="00E01A60">
        <w:rPr>
          <w:rFonts w:ascii="Arial" w:hAnsi="Arial" w:cs="Arial"/>
          <w:sz w:val="28"/>
          <w:szCs w:val="28"/>
        </w:rPr>
        <w:t>para p</w:t>
      </w:r>
      <w:r w:rsidR="000315E5" w:rsidRPr="00E01A60">
        <w:rPr>
          <w:rFonts w:ascii="Arial" w:hAnsi="Arial" w:cs="Arial"/>
          <w:sz w:val="28"/>
          <w:szCs w:val="28"/>
        </w:rPr>
        <w:t>rogressão de campo visual serão os seguintes: 2 campos visuais confiáveis de baseline (basedos nos critérios de confiabilidade)</w:t>
      </w:r>
      <w:r w:rsidR="00E22129" w:rsidRPr="00E01A60">
        <w:rPr>
          <w:rFonts w:ascii="Arial" w:hAnsi="Arial" w:cs="Arial"/>
          <w:sz w:val="28"/>
          <w:szCs w:val="28"/>
        </w:rPr>
        <w:t xml:space="preserve"> e pelo menos um campo de seguimento</w:t>
      </w:r>
      <w:r w:rsidR="000315E5" w:rsidRPr="00E01A60">
        <w:rPr>
          <w:rFonts w:ascii="Arial" w:hAnsi="Arial" w:cs="Arial"/>
          <w:sz w:val="28"/>
          <w:szCs w:val="28"/>
        </w:rPr>
        <w:t>.  Progressão será considerada possível com piora significativa de sensibilidade em 3 ou mais pontos determinados pelo software glaucoma progression analysis (GPA) do Humphrey, em pelo menos 3 campos consecutivos, além de diminuição do</w:t>
      </w:r>
      <w:r w:rsidR="002E2472" w:rsidRPr="00E01A60">
        <w:rPr>
          <w:rFonts w:ascii="Arial" w:hAnsi="Arial" w:cs="Arial"/>
          <w:sz w:val="28"/>
          <w:szCs w:val="28"/>
        </w:rPr>
        <w:t xml:space="preserve"> visual field index (VFI)</w:t>
      </w:r>
      <w:r w:rsidR="000315E5" w:rsidRPr="00E01A60">
        <w:rPr>
          <w:rFonts w:ascii="Arial" w:hAnsi="Arial" w:cs="Arial"/>
          <w:sz w:val="28"/>
          <w:szCs w:val="28"/>
        </w:rPr>
        <w:t>, julgado pelo clínico assistente</w:t>
      </w:r>
      <w:r w:rsidRPr="00E01A60">
        <w:rPr>
          <w:rFonts w:ascii="Arial" w:hAnsi="Arial" w:cs="Arial"/>
          <w:sz w:val="28"/>
          <w:szCs w:val="28"/>
        </w:rPr>
        <w:t>.</w:t>
      </w:r>
    </w:p>
    <w:p w14:paraId="408984CB" w14:textId="52EBA112" w:rsidR="002A6685" w:rsidRPr="00E01A60" w:rsidRDefault="002A6685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</w:rPr>
        <w:t>A estimativa do tamanho da amostra foi feita assumindo uma diferença clinicamente significativa de 3mmHg entre os grupos, com desvio padrão de 4mmHg, um alfa de 0,005 e poder de 0,80.</w:t>
      </w:r>
    </w:p>
    <w:p w14:paraId="179E3D0A" w14:textId="77777777" w:rsidR="00940D42" w:rsidRPr="00940D42" w:rsidRDefault="002A6685" w:rsidP="00940D42">
      <w:pPr>
        <w:spacing w:line="480" w:lineRule="auto"/>
        <w:jc w:val="both"/>
        <w:rPr>
          <w:rFonts w:ascii="Arial" w:hAnsi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</w:rPr>
        <w:t xml:space="preserve">Com estes parâmetros calculamos que pelo menos 30 pacientes terão de ser analizados em cada grupo. </w:t>
      </w:r>
      <w:r w:rsidR="00940D42" w:rsidRPr="00940D42">
        <w:rPr>
          <w:rFonts w:ascii="Arial" w:hAnsi="Arial"/>
          <w:sz w:val="28"/>
          <w:szCs w:val="28"/>
        </w:rPr>
        <w:t>As comparações entre os grupos de tratamento serão feitas pelo teste t de Student bilateral, teste do χ2 ou teste exato de Fisher. As curvas de Kaplan Meier serão construídas para comparar as taxas de sucesso de ambos os grupos. Um teste z será empregado para avaliar se as curvas eram significativamente diferentes. Um valor de p menor que 0,05 foi considerado estatisticamente significativo.</w:t>
      </w:r>
    </w:p>
    <w:p w14:paraId="783A4E5D" w14:textId="15268001" w:rsidR="00E01A60" w:rsidRPr="00E01A60" w:rsidRDefault="00E01A60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010967A1" w14:textId="77777777" w:rsidR="00E01A60" w:rsidRPr="00E01A60" w:rsidRDefault="00E01A60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52CFBEB6" w14:textId="1619BEA6" w:rsidR="00602074" w:rsidRPr="00E01A60" w:rsidRDefault="00602074" w:rsidP="00E01A60">
      <w:pPr>
        <w:spacing w:line="480" w:lineRule="auto"/>
        <w:jc w:val="both"/>
        <w:rPr>
          <w:rFonts w:ascii="Arial" w:hAnsi="Arial" w:cs="Arial"/>
          <w:b/>
          <w:sz w:val="28"/>
          <w:szCs w:val="28"/>
        </w:rPr>
      </w:pPr>
      <w:r w:rsidRPr="00E01A60">
        <w:rPr>
          <w:rFonts w:ascii="Arial" w:hAnsi="Arial" w:cs="Arial"/>
          <w:b/>
          <w:sz w:val="28"/>
          <w:szCs w:val="28"/>
        </w:rPr>
        <w:t>Bibliografia</w:t>
      </w:r>
    </w:p>
    <w:p w14:paraId="06D4359F" w14:textId="77777777" w:rsidR="00602074" w:rsidRPr="00E01A60" w:rsidRDefault="00602074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18A88424" w14:textId="77777777" w:rsidR="00602074" w:rsidRPr="00E01A60" w:rsidRDefault="00602074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1.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Bunce C, Wormald R. Leading causes of certification for blindness and partial sight in England &amp; Wales.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BMC Public Health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2006;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6: </w:t>
      </w:r>
      <w:r w:rsidRPr="00E01A60">
        <w:rPr>
          <w:rFonts w:ascii="Arial" w:hAnsi="Arial" w:cs="Arial"/>
          <w:sz w:val="28"/>
          <w:szCs w:val="28"/>
          <w:lang w:val="en-US"/>
        </w:rPr>
        <w:t>58.</w:t>
      </w:r>
    </w:p>
    <w:p w14:paraId="0122CEA0" w14:textId="77777777" w:rsidR="00602074" w:rsidRPr="00E01A60" w:rsidRDefault="00602074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2. Quigley HA, Broman AT. The number of people with glaucoma worldwide in 2010 and 2020.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Br J Ophthalmol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2006;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90: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262–67. </w:t>
      </w:r>
    </w:p>
    <w:p w14:paraId="039B8899" w14:textId="77777777" w:rsidR="00E01A60" w:rsidRPr="00E01A60" w:rsidRDefault="00E01A60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3. Garway-Heath DF, Crabb DP, Bunce C, et al. Latanoprost for open-angle glaucoma (UKGTS): a randomised, multicentre, placebo-controlled trial.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Lancet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2015;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385: </w:t>
      </w:r>
      <w:r w:rsidRPr="00E01A60">
        <w:rPr>
          <w:rFonts w:ascii="Arial" w:hAnsi="Arial" w:cs="Arial"/>
          <w:sz w:val="28"/>
          <w:szCs w:val="28"/>
          <w:lang w:val="en-US"/>
        </w:rPr>
        <w:t>1295–304.</w:t>
      </w:r>
    </w:p>
    <w:p w14:paraId="490027A9" w14:textId="77777777" w:rsidR="00E01A60" w:rsidRPr="00E01A60" w:rsidRDefault="00E01A60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4. Kass MA, Heuer DK, Higginbotham EJ, et al. The Ocular Hypertension Treatment Study: a randomized trial determines that topical ocular hypotensive medication delays or prevents the onset of  primary open-angle glaucoma.  </w:t>
      </w:r>
      <w:r w:rsidRPr="00E01A60">
        <w:rPr>
          <w:rFonts w:ascii="Arial" w:hAnsi="Arial" w:cs="Arial"/>
          <w:i/>
          <w:sz w:val="28"/>
          <w:szCs w:val="28"/>
          <w:lang w:val="en-US"/>
        </w:rPr>
        <w:t>Arch Ophtthalmol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 2002;120:701-13.</w:t>
      </w:r>
    </w:p>
    <w:p w14:paraId="4343C34B" w14:textId="77777777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5.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Kirwan JF, Nightingale JA, Bunce C, Wormald R. Beta blockers for glaucoma and excess risk of airways obstruction: population based cohort study.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BMJ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2002;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325: </w:t>
      </w:r>
      <w:r w:rsidRPr="00E01A60">
        <w:rPr>
          <w:rFonts w:ascii="Arial" w:hAnsi="Arial" w:cs="Arial"/>
          <w:sz w:val="28"/>
          <w:szCs w:val="28"/>
          <w:lang w:val="en-US"/>
        </w:rPr>
        <w:t>1396–97.  </w:t>
      </w:r>
    </w:p>
    <w:p w14:paraId="752FBBC7" w14:textId="19A7F3C8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6. Broadway DC, Grierson I, O’Brien C, Hitchings RA. Adverse effects of topical antiglaucoma medication. II. The outcome of filtration surgery.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Arch Ophthalmol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1994;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112: </w:t>
      </w:r>
      <w:r w:rsidRPr="00E01A60">
        <w:rPr>
          <w:rFonts w:ascii="Arial" w:hAnsi="Arial" w:cs="Arial"/>
          <w:sz w:val="28"/>
          <w:szCs w:val="28"/>
          <w:lang w:val="en-US"/>
        </w:rPr>
        <w:t>1446–54.)</w:t>
      </w:r>
    </w:p>
    <w:p w14:paraId="699EDCB4" w14:textId="0E85DB2E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7. McAlinden C. Selective laser trabeculoplasty (SLT) vs other treatment modalities for glaucoma: systematic review. Eye (Lond) 2014;28(3):249-258. 8. Leahy KE, White AJ.  Selective laser trabeculoplasty: current perspectives. Clin Ophthalmol 2015;9:833-841.  </w:t>
      </w:r>
    </w:p>
    <w:p w14:paraId="54468B6F" w14:textId="77777777" w:rsidR="00E01A60" w:rsidRPr="00E01A60" w:rsidRDefault="00E01A60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9.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Garg A, Gazzard G. Selective laser trabeculoplasty: past, present, and future. </w:t>
      </w:r>
      <w:r w:rsidRPr="00E01A60">
        <w:rPr>
          <w:rFonts w:ascii="Arial" w:hAnsi="Arial" w:cs="Arial"/>
          <w:i/>
          <w:iCs/>
          <w:sz w:val="28"/>
          <w:szCs w:val="28"/>
          <w:lang w:val="en-US"/>
        </w:rPr>
        <w:t xml:space="preserve">Eye </w:t>
      </w:r>
      <w:r w:rsidRPr="00E01A60">
        <w:rPr>
          <w:rFonts w:ascii="Arial" w:hAnsi="Arial" w:cs="Arial"/>
          <w:sz w:val="28"/>
          <w:szCs w:val="28"/>
          <w:lang w:val="en-US"/>
        </w:rPr>
        <w:t xml:space="preserve">2018; </w:t>
      </w:r>
      <w:r w:rsidRPr="00E01A60">
        <w:rPr>
          <w:rFonts w:ascii="Arial" w:hAnsi="Arial" w:cs="Arial"/>
          <w:b/>
          <w:bCs/>
          <w:sz w:val="28"/>
          <w:szCs w:val="28"/>
          <w:lang w:val="en-US"/>
        </w:rPr>
        <w:t xml:space="preserve">32: </w:t>
      </w:r>
      <w:r w:rsidRPr="00E01A60">
        <w:rPr>
          <w:rFonts w:ascii="Arial" w:hAnsi="Arial" w:cs="Arial"/>
          <w:sz w:val="28"/>
          <w:szCs w:val="28"/>
          <w:lang w:val="en-US"/>
        </w:rPr>
        <w:t>863–76.)</w:t>
      </w:r>
    </w:p>
    <w:p w14:paraId="7180F715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10. </w:t>
      </w:r>
      <w:r w:rsidRPr="00E01A60">
        <w:rPr>
          <w:rFonts w:ascii="Arial" w:hAnsi="Arial" w:cs="Arial"/>
          <w:sz w:val="28"/>
          <w:szCs w:val="28"/>
          <w:lang w:val="en-US"/>
        </w:rPr>
        <w:t>Nagar M, Ogunyomade A, O'Brart DP, Howes F, Marshall J. A randomised, prospective study comparing selective laser trabeculoplasty with latanoprost for the control of intraocular pressure in ocular hypertension and open angle glaucoma. Br J Ophthalmol 2005; 89(11): 1413–1417.</w:t>
      </w:r>
    </w:p>
    <w:p w14:paraId="008EB871" w14:textId="72E0203A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11. </w:t>
      </w:r>
      <w:r w:rsidRPr="00E01A60">
        <w:rPr>
          <w:rFonts w:ascii="Arial" w:hAnsi="Arial" w:cs="Arial"/>
          <w:sz w:val="28"/>
          <w:szCs w:val="28"/>
        </w:rPr>
        <w:t>Nagar M, Luhishi E, Shah N. Intraocular pressure control and fluctuation: the effect of treatment with selective laser trabeculoplasty. Br J Ophthalmol 2009; 93(4): 497–501.</w:t>
      </w:r>
    </w:p>
    <w:p w14:paraId="6796FE27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12 </w:t>
      </w:r>
      <w:r w:rsidRPr="00E01A60">
        <w:rPr>
          <w:rFonts w:ascii="Arial" w:hAnsi="Arial" w:cs="Arial"/>
          <w:sz w:val="28"/>
          <w:szCs w:val="28"/>
          <w:lang w:val="en-US"/>
        </w:rPr>
        <w:t>McIlraith I, Strasfeld M, Colev G, Hutnik CM. Selective laser trabeculoplasty as initial and adjunctive treatment for open-angle glaucoma. J Glaucoma 2006; 15(2): 124–130.</w:t>
      </w:r>
    </w:p>
    <w:p w14:paraId="06A4B841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13. </w:t>
      </w:r>
      <w:r w:rsidRPr="00E01A60">
        <w:rPr>
          <w:rFonts w:ascii="Arial" w:hAnsi="Arial" w:cs="Arial"/>
          <w:sz w:val="28"/>
          <w:szCs w:val="28"/>
        </w:rPr>
        <w:t xml:space="preserve">Patel V, El Hawy E, Waisbourd M, Zangalli C, Shapiro DM, Gupta L et al. Long-term outcomes in patients initially responsive to selective laser trabeculoplasty. Int J Ophthalmol 2015; 8(5): 960–964. </w:t>
      </w:r>
    </w:p>
    <w:p w14:paraId="72C2D1E7" w14:textId="783D3CCC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</w:rPr>
        <w:t xml:space="preserve">14. </w:t>
      </w:r>
      <w:r w:rsidRPr="00E01A60">
        <w:rPr>
          <w:rFonts w:ascii="Arial" w:hAnsi="Arial" w:cs="Arial"/>
          <w:sz w:val="28"/>
          <w:szCs w:val="28"/>
          <w:lang w:val="en-US"/>
        </w:rPr>
        <w:t>Francis BA, Ianchulev T, Schofield JK, Minckler DS. Selective laser trabeculoplasty as a replacement for medical therapy in open-angle glaucoma. Am J Ophthalmol 2005; 140(3): 524–525.</w:t>
      </w:r>
    </w:p>
    <w:p w14:paraId="4EE66D5B" w14:textId="77777777" w:rsidR="00E01A60" w:rsidRPr="00E01A60" w:rsidRDefault="00E01A60" w:rsidP="00E01A60">
      <w:pPr>
        <w:spacing w:line="480" w:lineRule="auto"/>
        <w:jc w:val="both"/>
        <w:rPr>
          <w:rFonts w:ascii="Arial" w:eastAsia="Times New Roman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15. </w:t>
      </w:r>
      <w:r w:rsidRPr="00E01A60">
        <w:rPr>
          <w:rFonts w:ascii="Arial" w:eastAsia="Times New Roman" w:hAnsi="Arial" w:cs="Arial"/>
          <w:sz w:val="28"/>
          <w:szCs w:val="28"/>
        </w:rPr>
        <w:t>Anurag G, Vickerstaff V, Nathwani N, et. al, Laser in glaucoma and Ocular Hypertension Trial Study Group.  Efficacy of Repeat Selective Laser Trabeculoplasty in Medication-Naive Open-Angle Glaucoma and Ocular Hypertension during the LiGHT Trial.  O</w:t>
      </w:r>
      <w:r w:rsidRPr="00E01A60">
        <w:rPr>
          <w:rFonts w:ascii="Arial" w:eastAsia="Times New Roman" w:hAnsi="Arial" w:cs="Arial"/>
          <w:sz w:val="28"/>
          <w:szCs w:val="28"/>
          <w:lang w:val="en-US"/>
        </w:rPr>
        <w:t>phthalmology 2020 Apr;127(4):467-476.</w:t>
      </w:r>
    </w:p>
    <w:p w14:paraId="5DF629AB" w14:textId="47A9657B" w:rsidR="00E01A60" w:rsidRPr="00E01A60" w:rsidRDefault="00E01A60" w:rsidP="00E01A60">
      <w:pPr>
        <w:spacing w:line="480" w:lineRule="auto"/>
        <w:jc w:val="both"/>
        <w:rPr>
          <w:rFonts w:ascii="Arial" w:hAnsi="Arial" w:cs="Arial"/>
          <w:sz w:val="28"/>
          <w:szCs w:val="28"/>
          <w:lang w:val="pt-PT"/>
        </w:rPr>
      </w:pPr>
      <w:r w:rsidRPr="00E01A60">
        <w:rPr>
          <w:rFonts w:ascii="Arial" w:hAnsi="Arial" w:cs="Arial"/>
          <w:sz w:val="28"/>
          <w:szCs w:val="28"/>
          <w:lang w:val="pt-PT"/>
        </w:rPr>
        <w:t xml:space="preserve">16. </w:t>
      </w:r>
      <w:r w:rsidRPr="00E01A60">
        <w:rPr>
          <w:rFonts w:ascii="Arial" w:hAnsi="Arial" w:cs="Times"/>
          <w:sz w:val="28"/>
          <w:szCs w:val="28"/>
          <w:lang w:val="en-US"/>
        </w:rPr>
        <w:t>Ekici F, Waisbourd M, Katz LJ. Current and future of laser therapy in the management of glaucoma. Open Ophthalmol J 2016; 10: 56–67.</w:t>
      </w:r>
      <w:r w:rsidRPr="00E01A60">
        <w:rPr>
          <w:rFonts w:ascii="Arial" w:hAnsi="Arial" w:cs="Arial"/>
          <w:sz w:val="28"/>
          <w:szCs w:val="28"/>
          <w:lang w:val="pt-PT"/>
        </w:rPr>
        <w:t>)</w:t>
      </w:r>
    </w:p>
    <w:p w14:paraId="713900A2" w14:textId="32DA43C2" w:rsidR="00E01A60" w:rsidRPr="00E01A60" w:rsidRDefault="00E01A60" w:rsidP="00E01A60">
      <w:pPr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>17.  Lee JW, Yau GS, Yick DW, Yuen CY. MicroPulse laser trabeculoplasty for the treatment of open-angle glaucoma. Medicine 2015; 94(49): e2075.</w:t>
      </w:r>
    </w:p>
    <w:p w14:paraId="29E11972" w14:textId="3B99ED53" w:rsidR="00E01A60" w:rsidRPr="00E01A60" w:rsidRDefault="00E01A60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18. Fea AM, Bosone A, Rolle T, Brogliatti B, Grignolo FM. Micropulse diode laser trabeculoplasty (MDLT): A phase II clinical study with 12 months follow-up. Clin Ophthalmol 2008; 2(2): 247–252. </w:t>
      </w:r>
    </w:p>
    <w:p w14:paraId="1B326ADD" w14:textId="77777777" w:rsidR="00E01A60" w:rsidRPr="00E01A60" w:rsidRDefault="00E01A60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04FE4671" w14:textId="77777777" w:rsidR="00E01A60" w:rsidRPr="00E01A60" w:rsidRDefault="00E01A60" w:rsidP="00E01A60">
      <w:pPr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7A663B85" w14:textId="77777777" w:rsidR="00E01A60" w:rsidRPr="00E01A60" w:rsidRDefault="00E01A60" w:rsidP="00E01A60">
      <w:pPr>
        <w:spacing w:line="480" w:lineRule="auto"/>
        <w:jc w:val="both"/>
        <w:rPr>
          <w:rFonts w:ascii="Arial" w:eastAsia="Times New Roman" w:hAnsi="Arial" w:cs="Times New Roman"/>
          <w:sz w:val="28"/>
          <w:szCs w:val="28"/>
          <w:lang w:val="en-US"/>
        </w:rPr>
      </w:pPr>
    </w:p>
    <w:p w14:paraId="55C703B7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60525E3C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1B4147AF" w14:textId="77777777" w:rsidR="00E01A60" w:rsidRPr="00E01A60" w:rsidRDefault="00E01A60" w:rsidP="00E0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15733A42" w14:textId="77777777" w:rsidR="00E01A60" w:rsidRPr="00E01A60" w:rsidRDefault="00E01A60" w:rsidP="00E01A60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4986D281" w14:textId="77777777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pt-PT"/>
        </w:rPr>
      </w:pPr>
    </w:p>
    <w:p w14:paraId="40363BDE" w14:textId="77777777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5B4009D5" w14:textId="77777777" w:rsidR="00E01A60" w:rsidRPr="00E01A60" w:rsidRDefault="00E01A60" w:rsidP="00E01A6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5D0A74CD" w14:textId="77777777" w:rsidR="00E01A60" w:rsidRPr="00E01A60" w:rsidRDefault="00E01A60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</w:p>
    <w:p w14:paraId="2C35DBC4" w14:textId="25FE534A" w:rsidR="00602074" w:rsidRPr="00E01A60" w:rsidRDefault="00E01A60" w:rsidP="00E01A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ind w:left="220"/>
        <w:jc w:val="both"/>
        <w:rPr>
          <w:rFonts w:ascii="Arial" w:hAnsi="Arial" w:cs="Arial"/>
          <w:sz w:val="28"/>
          <w:szCs w:val="28"/>
          <w:lang w:val="en-US"/>
        </w:rPr>
      </w:pPr>
      <w:r w:rsidRPr="00E01A60">
        <w:rPr>
          <w:rFonts w:ascii="Arial" w:hAnsi="Arial" w:cs="Arial"/>
          <w:sz w:val="28"/>
          <w:szCs w:val="28"/>
          <w:lang w:val="en-US"/>
        </w:rPr>
        <w:t xml:space="preserve"> </w:t>
      </w:r>
      <w:r w:rsidR="00602074" w:rsidRPr="00E01A60">
        <w:rPr>
          <w:rFonts w:ascii="Arial" w:hAnsi="Arial" w:cs="Arial"/>
          <w:sz w:val="28"/>
          <w:szCs w:val="28"/>
          <w:lang w:val="en-US"/>
        </w:rPr>
        <w:t> </w:t>
      </w:r>
      <w:r w:rsidR="00602074" w:rsidRPr="00E01A60">
        <w:rPr>
          <w:rFonts w:ascii="Arial" w:hAnsi="Arial" w:cs="Arial"/>
          <w:sz w:val="28"/>
          <w:szCs w:val="28"/>
          <w:lang w:val="pt-PT"/>
        </w:rPr>
        <w:t xml:space="preserve"> </w:t>
      </w:r>
    </w:p>
    <w:p w14:paraId="74B3AE62" w14:textId="77777777" w:rsidR="00602074" w:rsidRPr="00E01A60" w:rsidRDefault="00602074" w:rsidP="00E01A60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4BDA1B4D" w14:textId="77777777" w:rsidR="000315E5" w:rsidRPr="00E01A60" w:rsidRDefault="000315E5" w:rsidP="00E01A60">
      <w:pPr>
        <w:jc w:val="both"/>
        <w:rPr>
          <w:rFonts w:ascii="Arial" w:hAnsi="Arial" w:cs="Arial"/>
          <w:sz w:val="28"/>
          <w:szCs w:val="28"/>
          <w:lang w:val="en-US"/>
        </w:rPr>
      </w:pPr>
    </w:p>
    <w:sectPr w:rsidR="000315E5" w:rsidRPr="00E01A60" w:rsidSect="009E155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26270" w14:textId="77777777" w:rsidR="009B7BFC" w:rsidRDefault="009B7BFC" w:rsidP="00C00EF9">
      <w:r>
        <w:separator/>
      </w:r>
    </w:p>
  </w:endnote>
  <w:endnote w:type="continuationSeparator" w:id="0">
    <w:p w14:paraId="168CCF88" w14:textId="77777777" w:rsidR="009B7BFC" w:rsidRDefault="009B7BFC" w:rsidP="00C0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FB135" w14:textId="77777777" w:rsidR="009B7BFC" w:rsidRDefault="009B7BFC" w:rsidP="00C00EF9">
      <w:r>
        <w:separator/>
      </w:r>
    </w:p>
  </w:footnote>
  <w:footnote w:type="continuationSeparator" w:id="0">
    <w:p w14:paraId="3ABEA557" w14:textId="77777777" w:rsidR="009B7BFC" w:rsidRDefault="009B7BFC" w:rsidP="00C00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1F05EB0"/>
    <w:multiLevelType w:val="multilevel"/>
    <w:tmpl w:val="C302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28"/>
    <w:rsid w:val="000261DF"/>
    <w:rsid w:val="000315E5"/>
    <w:rsid w:val="000729B0"/>
    <w:rsid w:val="00133139"/>
    <w:rsid w:val="00155DDF"/>
    <w:rsid w:val="001C3950"/>
    <w:rsid w:val="002A6685"/>
    <w:rsid w:val="002B0564"/>
    <w:rsid w:val="002E2472"/>
    <w:rsid w:val="003925A1"/>
    <w:rsid w:val="004531C7"/>
    <w:rsid w:val="00467E68"/>
    <w:rsid w:val="004D765E"/>
    <w:rsid w:val="004E77DF"/>
    <w:rsid w:val="005B460A"/>
    <w:rsid w:val="00602074"/>
    <w:rsid w:val="0063736C"/>
    <w:rsid w:val="00666868"/>
    <w:rsid w:val="0068421F"/>
    <w:rsid w:val="006A4A67"/>
    <w:rsid w:val="006C7D15"/>
    <w:rsid w:val="0076097A"/>
    <w:rsid w:val="0079300C"/>
    <w:rsid w:val="00861473"/>
    <w:rsid w:val="00897889"/>
    <w:rsid w:val="00922C41"/>
    <w:rsid w:val="00925E3E"/>
    <w:rsid w:val="00940D42"/>
    <w:rsid w:val="009800DE"/>
    <w:rsid w:val="00987AA9"/>
    <w:rsid w:val="009A4FCE"/>
    <w:rsid w:val="009B5750"/>
    <w:rsid w:val="009B7BFC"/>
    <w:rsid w:val="009D068E"/>
    <w:rsid w:val="009E1553"/>
    <w:rsid w:val="009F571C"/>
    <w:rsid w:val="00A0167A"/>
    <w:rsid w:val="00A17128"/>
    <w:rsid w:val="00A24F51"/>
    <w:rsid w:val="00A32568"/>
    <w:rsid w:val="00A41EFA"/>
    <w:rsid w:val="00A71207"/>
    <w:rsid w:val="00A82A65"/>
    <w:rsid w:val="00A8481D"/>
    <w:rsid w:val="00AD6404"/>
    <w:rsid w:val="00B8280E"/>
    <w:rsid w:val="00B90D3D"/>
    <w:rsid w:val="00BA1208"/>
    <w:rsid w:val="00BF5D1A"/>
    <w:rsid w:val="00C00EF9"/>
    <w:rsid w:val="00C127D6"/>
    <w:rsid w:val="00C42AAD"/>
    <w:rsid w:val="00CC171D"/>
    <w:rsid w:val="00D06CE4"/>
    <w:rsid w:val="00D3042C"/>
    <w:rsid w:val="00DA37AD"/>
    <w:rsid w:val="00E01A60"/>
    <w:rsid w:val="00E22129"/>
    <w:rsid w:val="00E421C7"/>
    <w:rsid w:val="00EA4FF8"/>
    <w:rsid w:val="00EB1E1D"/>
    <w:rsid w:val="00EC4F86"/>
    <w:rsid w:val="00F90C34"/>
    <w:rsid w:val="00FB152E"/>
    <w:rsid w:val="00F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FDFF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link w:val="Heading1Char"/>
    <w:uiPriority w:val="9"/>
    <w:qFormat/>
    <w:rsid w:val="00925E3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7128"/>
    <w:rPr>
      <w:rFonts w:ascii="Courier" w:hAnsi="Courier" w:cs="Courier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0EF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00E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EF9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C00E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EF9"/>
    <w:rPr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925E3E"/>
    <w:rPr>
      <w:rFonts w:ascii="Times" w:hAnsi="Times"/>
      <w:b/>
      <w:bCs/>
      <w:kern w:val="36"/>
      <w:sz w:val="48"/>
      <w:szCs w:val="48"/>
    </w:rPr>
  </w:style>
  <w:style w:type="character" w:customStyle="1" w:styleId="authors-list-item">
    <w:name w:val="authors-list-item"/>
    <w:basedOn w:val="DefaultParagraphFont"/>
    <w:rsid w:val="00925E3E"/>
  </w:style>
  <w:style w:type="character" w:styleId="Hyperlink">
    <w:name w:val="Hyperlink"/>
    <w:basedOn w:val="DefaultParagraphFont"/>
    <w:uiPriority w:val="99"/>
    <w:semiHidden/>
    <w:unhideWhenUsed/>
    <w:rsid w:val="00925E3E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925E3E"/>
  </w:style>
  <w:style w:type="character" w:customStyle="1" w:styleId="comma">
    <w:name w:val="comma"/>
    <w:basedOn w:val="DefaultParagraphFont"/>
    <w:rsid w:val="00925E3E"/>
  </w:style>
  <w:style w:type="character" w:customStyle="1" w:styleId="period">
    <w:name w:val="period"/>
    <w:basedOn w:val="DefaultParagraphFont"/>
    <w:rsid w:val="00BA1208"/>
  </w:style>
  <w:style w:type="character" w:customStyle="1" w:styleId="apple-converted-space">
    <w:name w:val="apple-converted-space"/>
    <w:basedOn w:val="DefaultParagraphFont"/>
    <w:rsid w:val="00BA1208"/>
  </w:style>
  <w:style w:type="character" w:customStyle="1" w:styleId="cit">
    <w:name w:val="cit"/>
    <w:basedOn w:val="DefaultParagraphFont"/>
    <w:rsid w:val="00BA1208"/>
  </w:style>
  <w:style w:type="paragraph" w:customStyle="1" w:styleId="p">
    <w:name w:val="p"/>
    <w:basedOn w:val="Normal"/>
    <w:rsid w:val="00EA4FF8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link w:val="Heading1Char"/>
    <w:uiPriority w:val="9"/>
    <w:qFormat/>
    <w:rsid w:val="00925E3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7128"/>
    <w:rPr>
      <w:rFonts w:ascii="Courier" w:hAnsi="Courier" w:cs="Courier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0EF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00E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EF9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C00E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EF9"/>
    <w:rPr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925E3E"/>
    <w:rPr>
      <w:rFonts w:ascii="Times" w:hAnsi="Times"/>
      <w:b/>
      <w:bCs/>
      <w:kern w:val="36"/>
      <w:sz w:val="48"/>
      <w:szCs w:val="48"/>
    </w:rPr>
  </w:style>
  <w:style w:type="character" w:customStyle="1" w:styleId="authors-list-item">
    <w:name w:val="authors-list-item"/>
    <w:basedOn w:val="DefaultParagraphFont"/>
    <w:rsid w:val="00925E3E"/>
  </w:style>
  <w:style w:type="character" w:styleId="Hyperlink">
    <w:name w:val="Hyperlink"/>
    <w:basedOn w:val="DefaultParagraphFont"/>
    <w:uiPriority w:val="99"/>
    <w:semiHidden/>
    <w:unhideWhenUsed/>
    <w:rsid w:val="00925E3E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925E3E"/>
  </w:style>
  <w:style w:type="character" w:customStyle="1" w:styleId="comma">
    <w:name w:val="comma"/>
    <w:basedOn w:val="DefaultParagraphFont"/>
    <w:rsid w:val="00925E3E"/>
  </w:style>
  <w:style w:type="character" w:customStyle="1" w:styleId="period">
    <w:name w:val="period"/>
    <w:basedOn w:val="DefaultParagraphFont"/>
    <w:rsid w:val="00BA1208"/>
  </w:style>
  <w:style w:type="character" w:customStyle="1" w:styleId="apple-converted-space">
    <w:name w:val="apple-converted-space"/>
    <w:basedOn w:val="DefaultParagraphFont"/>
    <w:rsid w:val="00BA1208"/>
  </w:style>
  <w:style w:type="character" w:customStyle="1" w:styleId="cit">
    <w:name w:val="cit"/>
    <w:basedOn w:val="DefaultParagraphFont"/>
    <w:rsid w:val="00BA1208"/>
  </w:style>
  <w:style w:type="paragraph" w:customStyle="1" w:styleId="p">
    <w:name w:val="p"/>
    <w:basedOn w:val="Normal"/>
    <w:rsid w:val="00EA4FF8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1799</Words>
  <Characters>10257</Characters>
  <Application>Microsoft Macintosh Word</Application>
  <DocSecurity>0</DocSecurity>
  <Lines>85</Lines>
  <Paragraphs>24</Paragraphs>
  <ScaleCrop>false</ScaleCrop>
  <Company/>
  <LinksUpToDate>false</LinksUpToDate>
  <CharactersWithSpaces>12032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5</cp:revision>
  <dcterms:created xsi:type="dcterms:W3CDTF">2020-11-10T21:20:00Z</dcterms:created>
  <dcterms:modified xsi:type="dcterms:W3CDTF">2021-05-07T11:27:00Z</dcterms:modified>
</cp:coreProperties>
</file>