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A2BD0"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Academia do Laser</w:t>
      </w:r>
    </w:p>
    <w:p w14:paraId="47EFC4D8"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Projeto de Pesquisa</w:t>
      </w:r>
    </w:p>
    <w:p w14:paraId="545F7D17"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6E4EC766"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5F449168"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648B3EA3"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4CEED6B8"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01B03314"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bookmarkStart w:id="0" w:name="_Hlk205144830"/>
      <w:r w:rsidRPr="00217196">
        <w:rPr>
          <w:rFonts w:ascii="Times New Roman" w:eastAsia="Times New Roman" w:hAnsi="Times New Roman" w:cs="Times New Roman"/>
          <w:b/>
          <w:sz w:val="24"/>
          <w:szCs w:val="24"/>
        </w:rPr>
        <w:t xml:space="preserve"> </w:t>
      </w:r>
    </w:p>
    <w:p w14:paraId="5FA43EC3"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b/>
          <w:sz w:val="24"/>
          <w:szCs w:val="24"/>
        </w:rPr>
        <w:t>COMPARAÇÃO ENTRE BISTURI DE RADIOFREQUÊNCIA, ELETROCAUTÉRIO  E LASER DE CO2 NA HEMORROIDECTOMIA CONVENCIONAL EM PACIENTES COM DOENÇA HEMORROIDÁRIA GRAU IV: UM ENSAIO CLÍNICO RANDOMIZADO</w:t>
      </w:r>
    </w:p>
    <w:bookmarkEnd w:id="0"/>
    <w:p w14:paraId="3B089709"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5396F6BB"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61844231"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29EC3EF9"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6738A2E2"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02CD9C6F"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24F70A1E"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344BF8CB"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619450B2"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11E8AB69"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2025</w:t>
      </w:r>
    </w:p>
    <w:p w14:paraId="20046B39" w14:textId="77777777" w:rsidR="00217196" w:rsidRDefault="00217196">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Resumo</w:t>
      </w:r>
    </w:p>
    <w:p w14:paraId="0787D23D" w14:textId="0BD7820E" w:rsidR="00217196" w:rsidRDefault="00217196" w:rsidP="00217196">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b/>
          <w:bCs/>
          <w:sz w:val="24"/>
          <w:szCs w:val="24"/>
        </w:rPr>
        <w:t>Introdução:</w:t>
      </w:r>
      <w:r>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 doença hemorroidária é altamente prevalente e representa uma das principais causas de morbidade proctológica em adultos. Em pacientes com hemorroidas internas grau IV, particularmente quando há prolapso volumoso irreversível, a hemorroidectomia convencional pela técnica de Milligan-Morgan ainda é o tratamento padrão. No entanto, essa técnica está associada a dor intensa no pós-operatório, sangramento, risco de complicações locais e tempo de recuperação prolongado, o que tem motivado a introdução de tecnologias alternativas que promovam menor agressão tecidual.</w:t>
      </w:r>
      <w:r>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Entre essas alternativas, o bisturi de radiofrequência e o laser de CO₂ vêm sendo utilizados em diversas especialidades cirúrgicas, apresentando vantagens como corte preciso, menor dispersão térmica e redução de resposta inflamatória. Contudo, ainda há escassez de estudos clínicos randomizados que comparem diretamente essas tecnologias.</w:t>
      </w:r>
      <w:r>
        <w:rPr>
          <w:rFonts w:ascii="Times New Roman" w:eastAsia="Times New Roman" w:hAnsi="Times New Roman" w:cs="Times New Roman"/>
          <w:sz w:val="24"/>
          <w:szCs w:val="24"/>
        </w:rPr>
        <w:t xml:space="preserve"> </w:t>
      </w:r>
      <w:r w:rsidRPr="00217196">
        <w:rPr>
          <w:rFonts w:ascii="Times New Roman" w:eastAsia="Times New Roman" w:hAnsi="Times New Roman" w:cs="Times New Roman"/>
          <w:b/>
          <w:bCs/>
          <w:sz w:val="24"/>
          <w:szCs w:val="24"/>
        </w:rPr>
        <w:t>Objetivo:</w:t>
      </w:r>
      <w:r>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Pr="00217196">
        <w:rPr>
          <w:rFonts w:ascii="Times New Roman" w:eastAsia="Times New Roman" w:hAnsi="Times New Roman" w:cs="Times New Roman"/>
          <w:sz w:val="24"/>
          <w:szCs w:val="24"/>
        </w:rPr>
        <w:t>omparar os desfechos clínicos pós-operatórios da hemorroidectomia realizada com bisturi de radiofrequência, laser de CO₂ e eletrocautério, em pacientes com doença hemorroidária grau IV.</w:t>
      </w:r>
      <w:r>
        <w:rPr>
          <w:rFonts w:ascii="Times New Roman" w:eastAsia="Times New Roman" w:hAnsi="Times New Roman" w:cs="Times New Roman"/>
          <w:sz w:val="24"/>
          <w:szCs w:val="24"/>
        </w:rPr>
        <w:t xml:space="preserve"> </w:t>
      </w:r>
      <w:r w:rsidRPr="00217196">
        <w:rPr>
          <w:rFonts w:ascii="Times New Roman" w:eastAsia="Times New Roman" w:hAnsi="Times New Roman" w:cs="Times New Roman"/>
          <w:b/>
          <w:bCs/>
          <w:sz w:val="24"/>
          <w:szCs w:val="24"/>
        </w:rPr>
        <w:t>Métodos:</w:t>
      </w:r>
      <w:r>
        <w:rPr>
          <w:rFonts w:ascii="Times New Roman" w:eastAsia="Times New Roman" w:hAnsi="Times New Roman" w:cs="Times New Roman"/>
          <w:sz w:val="24"/>
          <w:szCs w:val="24"/>
        </w:rPr>
        <w:t xml:space="preserve"> </w:t>
      </w:r>
      <w:r w:rsidRPr="00217196">
        <w:rPr>
          <w:rFonts w:ascii="Times New Roman" w:eastAsia="Gungsuh" w:hAnsi="Times New Roman" w:cs="Times New Roman"/>
          <w:sz w:val="24"/>
          <w:szCs w:val="24"/>
        </w:rPr>
        <w:t xml:space="preserve">Trata-se de um ensaio clínico randomizado, controlado, de natureza multicêntrica, com alocação de 90 pacientes adultos (≥18 anos) em três grupos paralelos (n = 30 cada). Os critérios de inclusão incluem diagnóstico clínico de hemorroidas grau IV, ASA I a III e indicação formal de hemorroidectomia.. Todos os procedimentos serão padronizados quanto à técnica cirúrgica, anestesia, analgesia e seguimento. O desfecho primário será a intensidade da dor no 7º dia pós-operatório, mensurada pela Escala Visual Analógica (VAS). Os desfechos secundários incluirão sangramento, uso de analgésicos, tempo operatório, tempo de internação, incontinência (escala de </w:t>
      </w:r>
      <w:proofErr w:type="spellStart"/>
      <w:r w:rsidRPr="00217196">
        <w:rPr>
          <w:rFonts w:ascii="Times New Roman" w:eastAsia="Gungsuh" w:hAnsi="Times New Roman" w:cs="Times New Roman"/>
          <w:sz w:val="24"/>
          <w:szCs w:val="24"/>
        </w:rPr>
        <w:t>Wexner</w:t>
      </w:r>
      <w:proofErr w:type="spellEnd"/>
      <w:r w:rsidRPr="00217196">
        <w:rPr>
          <w:rFonts w:ascii="Times New Roman" w:eastAsia="Gungsuh" w:hAnsi="Times New Roman" w:cs="Times New Roman"/>
          <w:sz w:val="24"/>
          <w:szCs w:val="24"/>
        </w:rPr>
        <w:t>) e complicações precoces e tardias (classificadas por Clavien-Dindo).</w:t>
      </w:r>
      <w:r w:rsidRPr="00217196">
        <w:rPr>
          <w:rFonts w:ascii="Times New Roman" w:eastAsia="Times New Roman" w:hAnsi="Times New Roman" w:cs="Times New Roman"/>
          <w:sz w:val="24"/>
          <w:szCs w:val="24"/>
        </w:rPr>
        <w:t xml:space="preserve">A coleta de dados será realizada por meio da plataforma </w:t>
      </w:r>
      <w:proofErr w:type="spellStart"/>
      <w:r w:rsidRPr="00217196">
        <w:rPr>
          <w:rFonts w:ascii="Times New Roman" w:eastAsia="Times New Roman" w:hAnsi="Times New Roman" w:cs="Times New Roman"/>
          <w:sz w:val="24"/>
          <w:szCs w:val="24"/>
        </w:rPr>
        <w:t>REDCap</w:t>
      </w:r>
      <w:proofErr w:type="spellEnd"/>
      <w:r w:rsidRPr="00217196">
        <w:rPr>
          <w:rFonts w:ascii="Times New Roman" w:eastAsia="Times New Roman" w:hAnsi="Times New Roman" w:cs="Times New Roman"/>
          <w:sz w:val="24"/>
          <w:szCs w:val="24"/>
        </w:rPr>
        <w:t xml:space="preserve"> com controle de qualidade, dupla checagem e auditoria externa. A análise estatística seguirá os princípios de intenção de tratar e utilizará ANOVA, modelos lineares mistos e regressões multivariadas conforme o tipo de variável. O projeto será submetido ao CEP da instituição coordenadora e registrado no ClinicalTrials.gov. Todos os participantes assinarão o Termo de Consentimento Livre e Esclarecido, sendo garantidos o sigilo dos dados e assistência integral em caso de eventos adversos.</w:t>
      </w:r>
      <w:r>
        <w:rPr>
          <w:rFonts w:ascii="Times New Roman" w:eastAsia="Times New Roman" w:hAnsi="Times New Roman" w:cs="Times New Roman"/>
          <w:sz w:val="24"/>
          <w:szCs w:val="24"/>
        </w:rPr>
        <w:t xml:space="preserve"> Resultados esperados: </w:t>
      </w:r>
      <w:r w:rsidRPr="00217196">
        <w:rPr>
          <w:rFonts w:ascii="Times New Roman" w:eastAsia="Times New Roman" w:hAnsi="Times New Roman" w:cs="Times New Roman"/>
          <w:sz w:val="24"/>
          <w:szCs w:val="24"/>
        </w:rPr>
        <w:t>Espera-se que os resultados contribuam para o aperfeiçoamento das condutas cirúrgicas no tratamento da doença hemorroidária avançada.</w:t>
      </w:r>
    </w:p>
    <w:p w14:paraId="08A8C097" w14:textId="77777777" w:rsidR="00217196" w:rsidRDefault="00217196" w:rsidP="00217196">
      <w:pPr>
        <w:spacing w:before="240" w:after="240" w:line="360" w:lineRule="auto"/>
        <w:jc w:val="both"/>
        <w:rPr>
          <w:rFonts w:ascii="Times New Roman" w:eastAsia="Times New Roman" w:hAnsi="Times New Roman" w:cs="Times New Roman"/>
          <w:sz w:val="24"/>
          <w:szCs w:val="24"/>
        </w:rPr>
      </w:pPr>
    </w:p>
    <w:p w14:paraId="2604A075" w14:textId="17D6A1A8"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lastRenderedPageBreak/>
        <w:t>Sumário</w:t>
      </w:r>
    </w:p>
    <w:p w14:paraId="1A8C5CA8"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1. Introdução.................................................................................................. 3</w:t>
      </w:r>
    </w:p>
    <w:p w14:paraId="15CB5CB2"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2. Objetivos.................................................................................................... 5</w:t>
      </w:r>
    </w:p>
    <w:p w14:paraId="35AFCCF7"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2.1 Objetivo geral........................................................................................... 5</w:t>
      </w:r>
    </w:p>
    <w:p w14:paraId="3456F154"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2.2 Objetivos específicos.................................................................................5</w:t>
      </w:r>
    </w:p>
    <w:p w14:paraId="0674F5F1"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 Métodos.......................................................................................................6</w:t>
      </w:r>
    </w:p>
    <w:p w14:paraId="500BCA88"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3.1 Desenho do estudo....................................................................................6</w:t>
      </w:r>
    </w:p>
    <w:p w14:paraId="6F65B525"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3.2 Local do estudo........................................................................................ 6</w:t>
      </w:r>
    </w:p>
    <w:p w14:paraId="2BE3424E"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3.3 Critérios de elegibilidade..........................................................................6</w:t>
      </w:r>
    </w:p>
    <w:p w14:paraId="48737989"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3.4 Randomização e mascaramento............................................................... 7</w:t>
      </w:r>
    </w:p>
    <w:p w14:paraId="110A5663"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3.5 Intervenções cirúrgicas............................................................................ 7</w:t>
      </w:r>
    </w:p>
    <w:p w14:paraId="54A0D0BB"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3.6 Cuidados pós-operatórios......................................................................... 8</w:t>
      </w:r>
    </w:p>
    <w:p w14:paraId="38747BB0"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3.7 Desfechos do estudo................................................................................  8</w:t>
      </w:r>
    </w:p>
    <w:p w14:paraId="67B9DC09"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3.8 Avaliações clínicas....................................................................................9</w:t>
      </w:r>
    </w:p>
    <w:p w14:paraId="603B41F3"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3.9 Coleta e gestão de dados.......................................................................... 9</w:t>
      </w:r>
    </w:p>
    <w:p w14:paraId="5C5DEAB5"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3.10 Cálculo do tamanho amostral................................................................. 9</w:t>
      </w:r>
    </w:p>
    <w:p w14:paraId="1A01FD05"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3.11 Análise estatística..................................................................................10</w:t>
      </w:r>
    </w:p>
    <w:p w14:paraId="5954656F"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3.12 Aspectos éticos, benefícios e riscos...................................................... 10</w:t>
      </w:r>
    </w:p>
    <w:p w14:paraId="15C42B25"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4. Cronograma............................................................................................... 11</w:t>
      </w:r>
    </w:p>
    <w:p w14:paraId="21B7D96C" w14:textId="77777777" w:rsidR="00E47BC1" w:rsidRPr="00217196" w:rsidRDefault="00000000">
      <w:pPr>
        <w:spacing w:before="240" w:after="240" w:line="276"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5. Orçamento................................................................................................. 12</w:t>
      </w:r>
    </w:p>
    <w:p w14:paraId="2526BFCF" w14:textId="77777777" w:rsidR="00217196" w:rsidRDefault="00217196">
      <w:pPr>
        <w:spacing w:before="240" w:after="240" w:line="360" w:lineRule="auto"/>
        <w:jc w:val="both"/>
        <w:rPr>
          <w:rFonts w:ascii="Times New Roman" w:eastAsia="Times New Roman" w:hAnsi="Times New Roman" w:cs="Times New Roman"/>
          <w:sz w:val="24"/>
          <w:szCs w:val="24"/>
        </w:rPr>
      </w:pPr>
    </w:p>
    <w:p w14:paraId="40C73680" w14:textId="77777777" w:rsidR="00217196" w:rsidRDefault="00217196">
      <w:pPr>
        <w:spacing w:before="240" w:after="240" w:line="360" w:lineRule="auto"/>
        <w:jc w:val="both"/>
        <w:rPr>
          <w:rFonts w:ascii="Times New Roman" w:eastAsia="Times New Roman" w:hAnsi="Times New Roman" w:cs="Times New Roman"/>
          <w:sz w:val="24"/>
          <w:szCs w:val="24"/>
        </w:rPr>
      </w:pPr>
    </w:p>
    <w:p w14:paraId="6F70B212" w14:textId="77777777" w:rsidR="00217196" w:rsidRDefault="00217196">
      <w:pPr>
        <w:spacing w:before="240" w:after="240" w:line="360" w:lineRule="auto"/>
        <w:jc w:val="both"/>
        <w:rPr>
          <w:rFonts w:ascii="Times New Roman" w:eastAsia="Times New Roman" w:hAnsi="Times New Roman" w:cs="Times New Roman"/>
          <w:sz w:val="24"/>
          <w:szCs w:val="24"/>
        </w:rPr>
      </w:pPr>
    </w:p>
    <w:p w14:paraId="411E2596" w14:textId="77777777" w:rsidR="00217196" w:rsidRDefault="00217196">
      <w:pPr>
        <w:spacing w:before="240" w:after="240" w:line="360" w:lineRule="auto"/>
        <w:jc w:val="both"/>
        <w:rPr>
          <w:rFonts w:ascii="Times New Roman" w:eastAsia="Times New Roman" w:hAnsi="Times New Roman" w:cs="Times New Roman"/>
          <w:sz w:val="24"/>
          <w:szCs w:val="24"/>
        </w:rPr>
      </w:pPr>
    </w:p>
    <w:p w14:paraId="0B24EC00" w14:textId="77777777" w:rsidR="00E47BC1" w:rsidRPr="00217196" w:rsidRDefault="00000000">
      <w:pPr>
        <w:spacing w:before="240" w:after="240" w:line="360" w:lineRule="auto"/>
        <w:ind w:left="360"/>
        <w:jc w:val="both"/>
        <w:rPr>
          <w:rFonts w:ascii="Times New Roman" w:eastAsia="Times New Roman" w:hAnsi="Times New Roman" w:cs="Times New Roman"/>
          <w:b/>
          <w:sz w:val="24"/>
          <w:szCs w:val="24"/>
        </w:rPr>
      </w:pPr>
      <w:bookmarkStart w:id="1" w:name="_365mwb6tsskc" w:colFirst="0" w:colLast="0"/>
      <w:bookmarkEnd w:id="1"/>
      <w:r w:rsidRPr="00217196">
        <w:rPr>
          <w:rFonts w:ascii="Times New Roman" w:eastAsia="Times New Roman" w:hAnsi="Times New Roman" w:cs="Times New Roman"/>
          <w:b/>
          <w:sz w:val="24"/>
          <w:szCs w:val="24"/>
        </w:rPr>
        <w:lastRenderedPageBreak/>
        <w:t xml:space="preserve"> 1.Introdução</w:t>
      </w:r>
    </w:p>
    <w:p w14:paraId="227E6510" w14:textId="77777777" w:rsidR="00E47BC1" w:rsidRPr="00217196" w:rsidRDefault="00000000">
      <w:pPr>
        <w:spacing w:before="240" w:after="240" w:line="360" w:lineRule="auto"/>
        <w:ind w:left="720"/>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65F7DEF7"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As diretrizes mais recentes recomendam que pacientes com doença hemorroidária avançada — graus III e IV, segundo a classificação de Goligher —, assim como aqueles com hemorroidas de graus I e II refratárias ao tratamento conservador, sejam encaminhados para tratamento cirúrgico. Atualmente, diversas técnicas minimamente invasivas estão disponíveis, como a hemorroidopexia grampeada, a mucopexia com ligadura alta e a hemorroidoplastia a laser (1,2). No entanto, a hemorroidectomia convencional permanece especialmente indicada para casos de hemorroidas de IV ou recorrentes após intervenções minimamente invasivas, demonstrando boa eficácia, sobretudo no acompanhamento a longo prazo(3).</w:t>
      </w:r>
    </w:p>
    <w:p w14:paraId="7131A6DC"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18DB2CCD"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Embora a ocorrência de complicações graves após a hemorroidectomia convencional seja rara, a técnica excisional — particularmente a de Milligan-Morgan — está associada a dor pós-operatória intensa, tempo prolongado de recuperação e possíveis desfechos adversos, como estenose anal e incontinência fecal(1,2). Nesse cenário, novas tecnologias têm sido incorporadas com o objetivo de reduzir os efeitos adversos relacionados ao uso do eletrocautério na hemorroidectomia convencional para tratamento de hemorroidas de IV.</w:t>
      </w:r>
    </w:p>
    <w:p w14:paraId="2B527716"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15AF4CD4"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Equipamentos como o bisturi de radiofrequência apresentam menor dispersão térmica para os tecidos adjacentes, promovendo corte mais preciso e minimizando o dano tecidual. Ao contrário do eletrocautério, que opera com baixa frequência (até 450 </w:t>
      </w:r>
      <w:proofErr w:type="spellStart"/>
      <w:r w:rsidRPr="00217196">
        <w:rPr>
          <w:rFonts w:ascii="Times New Roman" w:eastAsia="Times New Roman" w:hAnsi="Times New Roman" w:cs="Times New Roman"/>
          <w:sz w:val="24"/>
          <w:szCs w:val="24"/>
        </w:rPr>
        <w:t>kilohertz</w:t>
      </w:r>
      <w:proofErr w:type="spellEnd"/>
      <w:r w:rsidRPr="00217196">
        <w:rPr>
          <w:rFonts w:ascii="Times New Roman" w:eastAsia="Times New Roman" w:hAnsi="Times New Roman" w:cs="Times New Roman"/>
          <w:sz w:val="24"/>
          <w:szCs w:val="24"/>
        </w:rPr>
        <w:t xml:space="preserve"> – kHz), a radiofrequência utiliza frequências elevadas, variando entre 350 kHz e 3,8 </w:t>
      </w:r>
      <w:proofErr w:type="spellStart"/>
      <w:r w:rsidRPr="00217196">
        <w:rPr>
          <w:rFonts w:ascii="Times New Roman" w:eastAsia="Times New Roman" w:hAnsi="Times New Roman" w:cs="Times New Roman"/>
          <w:sz w:val="24"/>
          <w:szCs w:val="24"/>
        </w:rPr>
        <w:t>megahertz</w:t>
      </w:r>
      <w:proofErr w:type="spellEnd"/>
      <w:r w:rsidRPr="00217196">
        <w:rPr>
          <w:rFonts w:ascii="Times New Roman" w:eastAsia="Times New Roman" w:hAnsi="Times New Roman" w:cs="Times New Roman"/>
          <w:sz w:val="24"/>
          <w:szCs w:val="24"/>
        </w:rPr>
        <w:t xml:space="preserve"> (MHz) (4,5) . </w:t>
      </w:r>
      <w:proofErr w:type="spellStart"/>
      <w:r w:rsidRPr="00217196">
        <w:rPr>
          <w:rFonts w:ascii="Times New Roman" w:eastAsia="Times New Roman" w:hAnsi="Times New Roman" w:cs="Times New Roman"/>
          <w:sz w:val="24"/>
          <w:szCs w:val="24"/>
        </w:rPr>
        <w:t>Filingeri</w:t>
      </w:r>
      <w:proofErr w:type="spellEnd"/>
      <w:r w:rsidRPr="00217196">
        <w:rPr>
          <w:rFonts w:ascii="Times New Roman" w:eastAsia="Times New Roman" w:hAnsi="Times New Roman" w:cs="Times New Roman"/>
          <w:sz w:val="24"/>
          <w:szCs w:val="24"/>
        </w:rPr>
        <w:t xml:space="preserve"> et al., (6) ao empregar o bisturi de radiofrequência na hemorroidectomia submucosa (técnica de Parks), observaram redução do tempo operatório, da dor e do sangramento pós-operatório, além de promover uma recuperação hospitalar mais rápida. Assim como o laser, a radiofrequência pode favorecer um pós-operatório menos traumático, promovendo reabilitação mais ágil.</w:t>
      </w:r>
    </w:p>
    <w:p w14:paraId="01231F96"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3B7F644E"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lastRenderedPageBreak/>
        <w:t>Da mesma forma, o uso do laser tem sido progressivamente incorporado ao tratamento de diversas afecções proctológicas, destacando-se por sua ação menos invasiva e maior preservação tecidual. Essa característica resulta em menor agressão aos tecidos, menor resposta inflamatória e, consequentemente, em uma recuperação pós-operatória mais rápida e confortável. Entre as vantagens associadas à sua utilização, destaca-se também a relativa simplicidade técnica, que favorece sua difusão entre cirurgiões devidamente treinados.(1)</w:t>
      </w:r>
    </w:p>
    <w:p w14:paraId="2137E1A0"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77D77B88"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Diante desse contexto, o presente estudo tem como objetivo comparar os resultados do uso da radiofrequência e laser de Co2 em relação ao eletrocautério no tratamento de hemorroidas de quarto grau com prolapso volumoso, condição clínica que inviabiliza o uso de técnicas minimamente invasivas e exige ressecção do prolapso para controle adequado dos sintomas.</w:t>
      </w:r>
    </w:p>
    <w:p w14:paraId="20AB0A64"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5CBA6D14"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76F76E6E"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0D546DD2"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7B05CE81"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28D01410"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519E848D"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494FEDCA"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1A622CAF"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4359084C" w14:textId="77777777" w:rsidR="00E47BC1"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03530F06" w14:textId="77777777" w:rsidR="00217196" w:rsidRPr="00217196" w:rsidRDefault="00217196">
      <w:pPr>
        <w:spacing w:before="240" w:after="240" w:line="360" w:lineRule="auto"/>
        <w:jc w:val="both"/>
        <w:rPr>
          <w:rFonts w:ascii="Times New Roman" w:eastAsia="Times New Roman" w:hAnsi="Times New Roman" w:cs="Times New Roman"/>
          <w:sz w:val="24"/>
          <w:szCs w:val="24"/>
        </w:rPr>
      </w:pPr>
    </w:p>
    <w:p w14:paraId="49A01377"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1D179D7D"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sz w:val="24"/>
          <w:szCs w:val="24"/>
        </w:rPr>
        <w:lastRenderedPageBreak/>
        <w:t xml:space="preserve"> </w:t>
      </w:r>
      <w:r w:rsidRPr="00217196">
        <w:rPr>
          <w:rFonts w:ascii="Times New Roman" w:eastAsia="Times New Roman" w:hAnsi="Times New Roman" w:cs="Times New Roman"/>
          <w:b/>
          <w:sz w:val="24"/>
          <w:szCs w:val="24"/>
        </w:rPr>
        <w:t>2. Objetivos</w:t>
      </w:r>
    </w:p>
    <w:p w14:paraId="2E019569"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2.1 Objetivo geral</w:t>
      </w:r>
    </w:p>
    <w:p w14:paraId="0DCD9E30"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b/>
          <w:sz w:val="24"/>
          <w:szCs w:val="24"/>
        </w:rPr>
        <w:br/>
      </w:r>
      <w:r w:rsidRPr="00217196">
        <w:rPr>
          <w:rFonts w:ascii="Times New Roman" w:eastAsia="Times New Roman" w:hAnsi="Times New Roman" w:cs="Times New Roman"/>
          <w:sz w:val="24"/>
          <w:szCs w:val="24"/>
        </w:rPr>
        <w:t xml:space="preserve"> Comparar os desfechos clínicos pós-operatórios da hemorroidectomia convencional realizada com bisturi de radiofrequência versus laser cO2 versus eletrocautério em pacientes com hemorroidas internas grau IV com prolapso volumoso.</w:t>
      </w:r>
    </w:p>
    <w:p w14:paraId="243A3E07"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696A5AEC"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2.2 Objetivos específicos</w:t>
      </w:r>
    </w:p>
    <w:p w14:paraId="302EFB68" w14:textId="77777777" w:rsidR="00E47BC1" w:rsidRPr="00217196" w:rsidRDefault="00000000">
      <w:pPr>
        <w:spacing w:before="240" w:after="240" w:line="360" w:lineRule="auto"/>
        <w:ind w:left="1080" w:hanging="360"/>
        <w:jc w:val="both"/>
        <w:rPr>
          <w:rFonts w:ascii="Times New Roman" w:eastAsia="Times New Roman" w:hAnsi="Times New Roman" w:cs="Times New Roman"/>
          <w:sz w:val="24"/>
          <w:szCs w:val="24"/>
        </w:rPr>
      </w:pPr>
      <w:r w:rsidRPr="00217196">
        <w:rPr>
          <w:rFonts w:ascii="Times New Roman" w:eastAsia="Noto Sans Symbols" w:hAnsi="Times New Roman" w:cs="Times New Roman"/>
          <w:sz w:val="24"/>
          <w:szCs w:val="24"/>
        </w:rPr>
        <w:t>●</w:t>
      </w:r>
      <w:r w:rsidRPr="00217196">
        <w:rPr>
          <w:rFonts w:ascii="Times New Roman" w:eastAsia="Times New Roman" w:hAnsi="Times New Roman" w:cs="Times New Roman"/>
          <w:sz w:val="24"/>
          <w:szCs w:val="24"/>
        </w:rPr>
        <w:t xml:space="preserve">        Avaliar e comparar a intensidade da dor pós-operatória entre os grupos em diferentes momentos do seguimento (imediato, dias 1, 3, 7, 14, 30 e 60);</w:t>
      </w:r>
    </w:p>
    <w:p w14:paraId="156F9F4C" w14:textId="77777777" w:rsidR="00E47BC1" w:rsidRPr="00217196" w:rsidRDefault="00000000">
      <w:pPr>
        <w:spacing w:before="240" w:after="240" w:line="360" w:lineRule="auto"/>
        <w:ind w:left="1080" w:hanging="360"/>
        <w:jc w:val="both"/>
        <w:rPr>
          <w:rFonts w:ascii="Times New Roman" w:eastAsia="Times New Roman" w:hAnsi="Times New Roman" w:cs="Times New Roman"/>
          <w:sz w:val="24"/>
          <w:szCs w:val="24"/>
        </w:rPr>
      </w:pPr>
      <w:r w:rsidRPr="00217196">
        <w:rPr>
          <w:rFonts w:ascii="Times New Roman" w:eastAsia="Noto Sans Symbols" w:hAnsi="Times New Roman" w:cs="Times New Roman"/>
          <w:sz w:val="24"/>
          <w:szCs w:val="24"/>
        </w:rPr>
        <w:t>●</w:t>
      </w:r>
      <w:r w:rsidRPr="00217196">
        <w:rPr>
          <w:rFonts w:ascii="Times New Roman" w:eastAsia="Times New Roman" w:hAnsi="Times New Roman" w:cs="Times New Roman"/>
          <w:sz w:val="24"/>
          <w:szCs w:val="24"/>
        </w:rPr>
        <w:t xml:space="preserve">        Avaliar a evolução dos sintomas proctológicos, com base na Escala de Sintomas Proctológicos (PSS), nos dias 7, 14, 30, 60, 180 e 360;</w:t>
      </w:r>
    </w:p>
    <w:p w14:paraId="763EEA44" w14:textId="77777777" w:rsidR="00E47BC1" w:rsidRPr="00217196" w:rsidRDefault="00000000">
      <w:pPr>
        <w:spacing w:before="240" w:after="240" w:line="360" w:lineRule="auto"/>
        <w:ind w:left="1080" w:hanging="360"/>
        <w:jc w:val="both"/>
        <w:rPr>
          <w:rFonts w:ascii="Times New Roman" w:eastAsia="Times New Roman" w:hAnsi="Times New Roman" w:cs="Times New Roman"/>
          <w:sz w:val="24"/>
          <w:szCs w:val="24"/>
        </w:rPr>
      </w:pPr>
      <w:r w:rsidRPr="00217196">
        <w:rPr>
          <w:rFonts w:ascii="Times New Roman" w:eastAsia="Noto Sans Symbols" w:hAnsi="Times New Roman" w:cs="Times New Roman"/>
          <w:sz w:val="24"/>
          <w:szCs w:val="24"/>
        </w:rPr>
        <w:t>●</w:t>
      </w:r>
      <w:r w:rsidRPr="00217196">
        <w:rPr>
          <w:rFonts w:ascii="Times New Roman" w:eastAsia="Times New Roman" w:hAnsi="Times New Roman" w:cs="Times New Roman"/>
          <w:sz w:val="24"/>
          <w:szCs w:val="24"/>
        </w:rPr>
        <w:t xml:space="preserve">        Comparar a incidência e a gravidade do sangramento pós-operatório, conforme escala operacional de 4 níveis (graus 0 a 3), nos primeiros 30 dias;</w:t>
      </w:r>
    </w:p>
    <w:p w14:paraId="66AE33BA" w14:textId="77777777" w:rsidR="00E47BC1" w:rsidRPr="00217196" w:rsidRDefault="00000000">
      <w:pPr>
        <w:spacing w:before="240" w:after="240" w:line="360" w:lineRule="auto"/>
        <w:ind w:left="1080" w:hanging="360"/>
        <w:jc w:val="both"/>
        <w:rPr>
          <w:rFonts w:ascii="Times New Roman" w:eastAsia="Times New Roman" w:hAnsi="Times New Roman" w:cs="Times New Roman"/>
          <w:sz w:val="24"/>
          <w:szCs w:val="24"/>
        </w:rPr>
      </w:pPr>
      <w:r w:rsidRPr="00217196">
        <w:rPr>
          <w:rFonts w:ascii="Times New Roman" w:eastAsia="Noto Sans Symbols" w:hAnsi="Times New Roman" w:cs="Times New Roman"/>
          <w:sz w:val="24"/>
          <w:szCs w:val="24"/>
        </w:rPr>
        <w:t>●</w:t>
      </w:r>
      <w:r w:rsidRPr="00217196">
        <w:rPr>
          <w:rFonts w:ascii="Times New Roman" w:eastAsia="Times New Roman" w:hAnsi="Times New Roman" w:cs="Times New Roman"/>
          <w:sz w:val="24"/>
          <w:szCs w:val="24"/>
        </w:rPr>
        <w:t xml:space="preserve">        Avaliar a ocorrência de incontinência fecal ao longo do seguimento, por meio do escore de </w:t>
      </w:r>
      <w:proofErr w:type="spellStart"/>
      <w:r w:rsidRPr="00217196">
        <w:rPr>
          <w:rFonts w:ascii="Times New Roman" w:eastAsia="Times New Roman" w:hAnsi="Times New Roman" w:cs="Times New Roman"/>
          <w:sz w:val="24"/>
          <w:szCs w:val="24"/>
        </w:rPr>
        <w:t>Wexner</w:t>
      </w:r>
      <w:proofErr w:type="spellEnd"/>
      <w:r w:rsidRPr="00217196">
        <w:rPr>
          <w:rFonts w:ascii="Times New Roman" w:eastAsia="Times New Roman" w:hAnsi="Times New Roman" w:cs="Times New Roman"/>
          <w:sz w:val="24"/>
          <w:szCs w:val="24"/>
        </w:rPr>
        <w:t xml:space="preserve"> (30, 60, 180 e 360 dias);</w:t>
      </w:r>
    </w:p>
    <w:p w14:paraId="44035EAE" w14:textId="77777777" w:rsidR="00E47BC1" w:rsidRPr="00217196" w:rsidRDefault="00000000">
      <w:pPr>
        <w:spacing w:before="240" w:after="240" w:line="360" w:lineRule="auto"/>
        <w:ind w:left="1080" w:hanging="360"/>
        <w:jc w:val="both"/>
        <w:rPr>
          <w:rFonts w:ascii="Times New Roman" w:eastAsia="Times New Roman" w:hAnsi="Times New Roman" w:cs="Times New Roman"/>
          <w:sz w:val="24"/>
          <w:szCs w:val="24"/>
        </w:rPr>
      </w:pPr>
      <w:r w:rsidRPr="00217196">
        <w:rPr>
          <w:rFonts w:ascii="Times New Roman" w:eastAsia="Noto Sans Symbols" w:hAnsi="Times New Roman" w:cs="Times New Roman"/>
          <w:sz w:val="24"/>
          <w:szCs w:val="24"/>
        </w:rPr>
        <w:t>●</w:t>
      </w:r>
      <w:r w:rsidRPr="00217196">
        <w:rPr>
          <w:rFonts w:ascii="Times New Roman" w:eastAsia="Times New Roman" w:hAnsi="Times New Roman" w:cs="Times New Roman"/>
          <w:sz w:val="24"/>
          <w:szCs w:val="24"/>
        </w:rPr>
        <w:t xml:space="preserve">        Analisar o número total de doses de analgésicos e laxantes utilizadas até o 30º dia de pós-operatório;</w:t>
      </w:r>
    </w:p>
    <w:p w14:paraId="50541991" w14:textId="77777777" w:rsidR="00E47BC1" w:rsidRPr="00217196" w:rsidRDefault="00000000">
      <w:pPr>
        <w:spacing w:before="240" w:after="240" w:line="360" w:lineRule="auto"/>
        <w:ind w:left="1080" w:hanging="360"/>
        <w:jc w:val="both"/>
        <w:rPr>
          <w:rFonts w:ascii="Times New Roman" w:eastAsia="Times New Roman" w:hAnsi="Times New Roman" w:cs="Times New Roman"/>
          <w:sz w:val="24"/>
          <w:szCs w:val="24"/>
        </w:rPr>
      </w:pPr>
      <w:r w:rsidRPr="00217196">
        <w:rPr>
          <w:rFonts w:ascii="Times New Roman" w:eastAsia="Noto Sans Symbols" w:hAnsi="Times New Roman" w:cs="Times New Roman"/>
          <w:sz w:val="24"/>
          <w:szCs w:val="24"/>
        </w:rPr>
        <w:t>●</w:t>
      </w:r>
      <w:r w:rsidRPr="00217196">
        <w:rPr>
          <w:rFonts w:ascii="Times New Roman" w:eastAsia="Times New Roman" w:hAnsi="Times New Roman" w:cs="Times New Roman"/>
          <w:sz w:val="24"/>
          <w:szCs w:val="24"/>
        </w:rPr>
        <w:t xml:space="preserve">        Comparar o tempo cirúrgico e o tempo de permanência hospitalar entre os grupos;</w:t>
      </w:r>
    </w:p>
    <w:p w14:paraId="4565C025" w14:textId="77777777" w:rsidR="00E47BC1" w:rsidRPr="00217196" w:rsidRDefault="00000000">
      <w:pPr>
        <w:spacing w:before="240" w:after="240" w:line="360" w:lineRule="auto"/>
        <w:ind w:left="1080" w:hanging="360"/>
        <w:jc w:val="both"/>
        <w:rPr>
          <w:rFonts w:ascii="Times New Roman" w:eastAsia="Times New Roman" w:hAnsi="Times New Roman" w:cs="Times New Roman"/>
          <w:sz w:val="24"/>
          <w:szCs w:val="24"/>
        </w:rPr>
      </w:pPr>
      <w:r w:rsidRPr="00217196">
        <w:rPr>
          <w:rFonts w:ascii="Times New Roman" w:eastAsia="Noto Sans Symbols" w:hAnsi="Times New Roman" w:cs="Times New Roman"/>
          <w:sz w:val="24"/>
          <w:szCs w:val="24"/>
        </w:rPr>
        <w:t>●</w:t>
      </w:r>
      <w:r w:rsidRPr="00217196">
        <w:rPr>
          <w:rFonts w:ascii="Times New Roman" w:eastAsia="Times New Roman" w:hAnsi="Times New Roman" w:cs="Times New Roman"/>
          <w:sz w:val="24"/>
          <w:szCs w:val="24"/>
        </w:rPr>
        <w:t xml:space="preserve">        Identificar e comparar a incidência de complicações precoces (até 30 dias) e tardias (a partir do 30º dia), incluindo estenose anal, plicoma residual, recidiva hemorroidária, dor persistente e incontinência de nova ocorrência.[2] , assim como avaliar as complicações </w:t>
      </w:r>
      <w:proofErr w:type="spellStart"/>
      <w:r w:rsidRPr="00217196">
        <w:rPr>
          <w:rFonts w:ascii="Times New Roman" w:eastAsia="Times New Roman" w:hAnsi="Times New Roman" w:cs="Times New Roman"/>
          <w:sz w:val="24"/>
          <w:szCs w:val="24"/>
        </w:rPr>
        <w:t>poe</w:t>
      </w:r>
      <w:proofErr w:type="spellEnd"/>
      <w:r w:rsidRPr="00217196">
        <w:rPr>
          <w:rFonts w:ascii="Times New Roman" w:eastAsia="Times New Roman" w:hAnsi="Times New Roman" w:cs="Times New Roman"/>
          <w:sz w:val="24"/>
          <w:szCs w:val="24"/>
        </w:rPr>
        <w:t xml:space="preserve"> meio da Escala </w:t>
      </w:r>
      <w:proofErr w:type="spellStart"/>
      <w:r w:rsidRPr="00217196">
        <w:rPr>
          <w:rFonts w:ascii="Times New Roman" w:eastAsia="Times New Roman" w:hAnsi="Times New Roman" w:cs="Times New Roman"/>
          <w:sz w:val="24"/>
          <w:szCs w:val="24"/>
        </w:rPr>
        <w:t>Calavien</w:t>
      </w:r>
      <w:proofErr w:type="spellEnd"/>
      <w:r w:rsidRPr="00217196">
        <w:rPr>
          <w:rFonts w:ascii="Times New Roman" w:eastAsia="Times New Roman" w:hAnsi="Times New Roman" w:cs="Times New Roman"/>
          <w:sz w:val="24"/>
          <w:szCs w:val="24"/>
        </w:rPr>
        <w:t>-Dindo.</w:t>
      </w:r>
    </w:p>
    <w:p w14:paraId="6B891791"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055A0480"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5AD92E3E"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lastRenderedPageBreak/>
        <w:t>3. Métodos</w:t>
      </w:r>
    </w:p>
    <w:p w14:paraId="58CFD7F7"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389CF799"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3.1 Desenho do estudo</w:t>
      </w:r>
    </w:p>
    <w:p w14:paraId="78D36C64" w14:textId="677FB740"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Será conduzido um ensaio clínico randomizado, controlado e cego para os pacientes e para o estatístico responsável pela análise dos dados. O objetivo principal será comparar os desfechos pós-operatórios da hemorroidectomia convencional utilizando bisturi de radiofrequência (RF), laser de CO2 com aqueles obtidos pelo eletrocautério convencional (EC) em pacientes com hemorroidas internas grau IV com prolapso volumoso. O estudo será multicêntrico, </w:t>
      </w:r>
      <w:r w:rsidR="004C6F7F" w:rsidRPr="00217196">
        <w:rPr>
          <w:rFonts w:ascii="Times New Roman" w:eastAsia="Times New Roman" w:hAnsi="Times New Roman" w:cs="Times New Roman"/>
          <w:sz w:val="24"/>
          <w:szCs w:val="24"/>
        </w:rPr>
        <w:t>ocorrendo</w:t>
      </w:r>
      <w:r w:rsidRPr="00217196">
        <w:rPr>
          <w:rFonts w:ascii="Times New Roman" w:eastAsia="Times New Roman" w:hAnsi="Times New Roman" w:cs="Times New Roman"/>
          <w:sz w:val="24"/>
          <w:szCs w:val="24"/>
        </w:rPr>
        <w:t xml:space="preserve"> em Santa Catarina (Concórdia), Bahia (Salvadore) e .  </w:t>
      </w:r>
    </w:p>
    <w:p w14:paraId="61F220ED"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3.2 Local e período do estudo</w:t>
      </w:r>
    </w:p>
    <w:p w14:paraId="20E613D1"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O estudo será, multicêntrico, realizado em três cidades brasileiras (nordeste, sudeste e sul), durante o período compreendido entre janeiro de 2026 e dezembro de 2027.</w:t>
      </w:r>
    </w:p>
    <w:p w14:paraId="35930C19"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6543E662"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3.3 Critérios de elegibilidade</w:t>
      </w:r>
    </w:p>
    <w:p w14:paraId="78EA2C7E"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Gungsuh" w:hAnsi="Times New Roman" w:cs="Times New Roman"/>
          <w:sz w:val="24"/>
          <w:szCs w:val="24"/>
        </w:rPr>
        <w:t>Serão incluídos pacientes adultos (idade ≥ 18 anos) com diagnóstico clínico de hemorroidas internas grau IV com prolapso volumoso, classificados como ASA I a III, e com indicação formal de tratamento cirúrgico. Todos os participantes deverão assinar o Termo de Consentimento Livre e Esclarecido (TCLE). Serão excluídos pacientes com doença inflamatória intestinal, distúrbios de coagulação, uso crônico de anticoagulantes de difícil reversão, gestantes, indivíduos que tenham sido submetidos a cirurgias anorretais nos últimos 12 meses ou com história de alergia aos anestésicos utilizados no protocolo.</w:t>
      </w:r>
    </w:p>
    <w:p w14:paraId="4AB9D762"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56889CF2"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3.4 Randomização e mascaramento</w:t>
      </w:r>
    </w:p>
    <w:p w14:paraId="51F9E1A8"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Como o estudo será conduzido em três centros hospitalares distintos, </w:t>
      </w:r>
      <w:proofErr w:type="spellStart"/>
      <w:r w:rsidRPr="00217196">
        <w:rPr>
          <w:rFonts w:ascii="Times New Roman" w:eastAsia="Times New Roman" w:hAnsi="Times New Roman" w:cs="Times New Roman"/>
          <w:sz w:val="24"/>
          <w:szCs w:val="24"/>
        </w:rPr>
        <w:t>a</w:t>
      </w:r>
      <w:proofErr w:type="spellEnd"/>
      <w:r w:rsidRPr="00217196">
        <w:rPr>
          <w:rFonts w:ascii="Times New Roman" w:eastAsia="Times New Roman" w:hAnsi="Times New Roman" w:cs="Times New Roman"/>
          <w:sz w:val="24"/>
          <w:szCs w:val="24"/>
        </w:rPr>
        <w:t xml:space="preserve"> randomização será estratificada por centro, de modo a garantir o equilíbrio da alocação dos participantes entre os grupos dentro de cada instituição.</w:t>
      </w:r>
    </w:p>
    <w:p w14:paraId="7A52B987"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Gungsuh" w:hAnsi="Times New Roman" w:cs="Times New Roman"/>
          <w:sz w:val="24"/>
          <w:szCs w:val="24"/>
        </w:rPr>
        <w:lastRenderedPageBreak/>
        <w:t>A sequência de alocação será gerada por um software estatístico (</w:t>
      </w:r>
      <w:proofErr w:type="spellStart"/>
      <w:r w:rsidRPr="00217196">
        <w:rPr>
          <w:rFonts w:ascii="Times New Roman" w:eastAsia="Gungsuh" w:hAnsi="Times New Roman" w:cs="Times New Roman"/>
          <w:sz w:val="24"/>
          <w:szCs w:val="24"/>
        </w:rPr>
        <w:t>Stata</w:t>
      </w:r>
      <w:proofErr w:type="spellEnd"/>
      <w:r w:rsidRPr="00217196">
        <w:rPr>
          <w:rFonts w:ascii="Times New Roman" w:eastAsia="Gungsuh" w:hAnsi="Times New Roman" w:cs="Times New Roman"/>
          <w:sz w:val="24"/>
          <w:szCs w:val="24"/>
        </w:rPr>
        <w:t xml:space="preserve"> ou R), utilizando blocos aleatórios de tamanhos variáveis (4, 6 e 8), com estratificação dupla: por centro de origem (Hospital A, Hospital B e Hospital C) e por faixa etária (&lt; 50 anos ou ≥ 50 anos). Isso visa evitar desequilíbrios entre os grupos de tratamento em termos de características demográficas e do volume de pacientes de cada centro.</w:t>
      </w:r>
    </w:p>
    <w:p w14:paraId="52A46588"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07D7E50E"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As listas de randomização por centro serão preparadas por um pesquisador independente, que não participará da seleção ou acompanhamento dos pacientes. A alocação será implementada por meio de envelopes opacos, numerados sequencialmente e lacrados, distintos para cada centro e armazenados em local seguro sob a responsabilidade do pesquisador local.</w:t>
      </w:r>
    </w:p>
    <w:p w14:paraId="007B0AFA"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0B60D7D7"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O mascaramento será aplicado aos pacientes e ao estatístico que realizará a análise dos dados. Os cirurgiões e demais membros da equipe assistencial não serão cegos à intervenção, devido à natureza dos procedimentos.</w:t>
      </w:r>
    </w:p>
    <w:p w14:paraId="1D44FD5E"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7AB8CF35"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Os dados coletados serão identificados por códigos numéricos, e a identidade dos grupos (radiofrequência, laser de cO2 ou eletrocautério) será mantida em sigilo até a conclusão da análise primária. A quebra do cegamento só será permitida em situações clínicas que exijam mudança de conduta por risco à segurança do paciente.</w:t>
      </w:r>
    </w:p>
    <w:p w14:paraId="1EF21476"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4807B9D3"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3.5 Intervenções cirúrgicas</w:t>
      </w:r>
    </w:p>
    <w:p w14:paraId="6B70AE03"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Todos os pacientes, independentemente do grupo, serão submetidos à técnica convencional de hemorroidectomia de Milligan-Morgan. A ligadura dos pedículos hemorroidários será realizada com fio de </w:t>
      </w:r>
      <w:proofErr w:type="spellStart"/>
      <w:r w:rsidRPr="00217196">
        <w:rPr>
          <w:rFonts w:ascii="Times New Roman" w:eastAsia="Times New Roman" w:hAnsi="Times New Roman" w:cs="Times New Roman"/>
          <w:sz w:val="24"/>
          <w:szCs w:val="24"/>
        </w:rPr>
        <w:t>poliglactina</w:t>
      </w:r>
      <w:proofErr w:type="spellEnd"/>
      <w:r w:rsidRPr="00217196">
        <w:rPr>
          <w:rFonts w:ascii="Times New Roman" w:eastAsia="Times New Roman" w:hAnsi="Times New Roman" w:cs="Times New Roman"/>
          <w:sz w:val="24"/>
          <w:szCs w:val="24"/>
        </w:rPr>
        <w:t xml:space="preserve"> 2-0 (Vicryl®). Nos grupos intervenção (RF), será utilizado bisturi de radiofrequência com frequência de 4,0 MHz, eletrodo tipo lâmina e potência de 30 W para corte e coagulação. Para a coagulação também poderá ser utilizado o eletrodo bipolar para RF, caso sangramento persistente e </w:t>
      </w:r>
      <w:r w:rsidRPr="00217196">
        <w:rPr>
          <w:rFonts w:ascii="Times New Roman" w:eastAsia="Times New Roman" w:hAnsi="Times New Roman" w:cs="Times New Roman"/>
          <w:sz w:val="24"/>
          <w:szCs w:val="24"/>
        </w:rPr>
        <w:lastRenderedPageBreak/>
        <w:t xml:space="preserve">bisturi laser Co2  que opera com comprimento de onda de 10.600 </w:t>
      </w:r>
      <w:proofErr w:type="spellStart"/>
      <w:r w:rsidRPr="00217196">
        <w:rPr>
          <w:rFonts w:ascii="Times New Roman" w:eastAsia="Times New Roman" w:hAnsi="Times New Roman" w:cs="Times New Roman"/>
          <w:sz w:val="24"/>
          <w:szCs w:val="24"/>
        </w:rPr>
        <w:t>nm</w:t>
      </w:r>
      <w:proofErr w:type="spellEnd"/>
      <w:r w:rsidRPr="00217196">
        <w:rPr>
          <w:rFonts w:ascii="Times New Roman" w:eastAsia="Times New Roman" w:hAnsi="Times New Roman" w:cs="Times New Roman"/>
          <w:sz w:val="24"/>
          <w:szCs w:val="24"/>
        </w:rPr>
        <w:t xml:space="preserve">, (Plataforma </w:t>
      </w:r>
      <w:proofErr w:type="spellStart"/>
      <w:r w:rsidRPr="00217196">
        <w:rPr>
          <w:rFonts w:ascii="Times New Roman" w:eastAsia="Times New Roman" w:hAnsi="Times New Roman" w:cs="Times New Roman"/>
          <w:sz w:val="24"/>
          <w:szCs w:val="24"/>
        </w:rPr>
        <w:t>Duoglide</w:t>
      </w:r>
      <w:proofErr w:type="spellEnd"/>
      <w:r w:rsidRPr="00217196">
        <w:rPr>
          <w:rFonts w:ascii="Times New Roman" w:eastAsia="Times New Roman" w:hAnsi="Times New Roman" w:cs="Times New Roman"/>
          <w:sz w:val="24"/>
          <w:szCs w:val="24"/>
        </w:rPr>
        <w:t xml:space="preserve"> ou </w:t>
      </w:r>
      <w:proofErr w:type="spellStart"/>
      <w:r w:rsidRPr="00217196">
        <w:rPr>
          <w:rFonts w:ascii="Times New Roman" w:eastAsia="Times New Roman" w:hAnsi="Times New Roman" w:cs="Times New Roman"/>
          <w:sz w:val="24"/>
          <w:szCs w:val="24"/>
        </w:rPr>
        <w:t>SmartXide</w:t>
      </w:r>
      <w:proofErr w:type="spellEnd"/>
      <w:r w:rsidRPr="00217196">
        <w:rPr>
          <w:rFonts w:ascii="Times New Roman" w:eastAsia="Times New Roman" w:hAnsi="Times New Roman" w:cs="Times New Roman"/>
          <w:sz w:val="24"/>
          <w:szCs w:val="24"/>
        </w:rPr>
        <w:t xml:space="preserve"> Touch, </w:t>
      </w:r>
      <w:proofErr w:type="spellStart"/>
      <w:r w:rsidRPr="00217196">
        <w:rPr>
          <w:rFonts w:ascii="Times New Roman" w:eastAsia="Times New Roman" w:hAnsi="Times New Roman" w:cs="Times New Roman"/>
          <w:sz w:val="24"/>
          <w:szCs w:val="24"/>
        </w:rPr>
        <w:t>Deka</w:t>
      </w:r>
      <w:proofErr w:type="spellEnd"/>
      <w:r w:rsidRPr="00217196">
        <w:rPr>
          <w:rFonts w:ascii="Times New Roman" w:eastAsia="Times New Roman" w:hAnsi="Times New Roman" w:cs="Times New Roman"/>
          <w:sz w:val="24"/>
          <w:szCs w:val="24"/>
        </w:rPr>
        <w:t xml:space="preserve">, </w:t>
      </w:r>
      <w:proofErr w:type="spellStart"/>
      <w:r w:rsidRPr="00217196">
        <w:rPr>
          <w:rFonts w:ascii="Times New Roman" w:eastAsia="Times New Roman" w:hAnsi="Times New Roman" w:cs="Times New Roman"/>
          <w:sz w:val="24"/>
          <w:szCs w:val="24"/>
        </w:rPr>
        <w:t>Calenzano</w:t>
      </w:r>
      <w:proofErr w:type="spellEnd"/>
      <w:r w:rsidRPr="00217196">
        <w:rPr>
          <w:rFonts w:ascii="Times New Roman" w:eastAsia="Times New Roman" w:hAnsi="Times New Roman" w:cs="Times New Roman"/>
          <w:sz w:val="24"/>
          <w:szCs w:val="24"/>
        </w:rPr>
        <w:t xml:space="preserve"> - Itália) ajustado no modo UP, com intensidade de 3-6W, de acordo com a espessura do tecido e sensibilidade local[GE3] </w:t>
      </w:r>
      <w:r w:rsidRPr="00217196">
        <w:rPr>
          <w:rFonts w:ascii="Times New Roman" w:eastAsia="Times New Roman" w:hAnsi="Times New Roman" w:cs="Times New Roman"/>
          <w:sz w:val="24"/>
          <w:szCs w:val="24"/>
          <w:highlight w:val="yellow"/>
        </w:rPr>
        <w:t>.</w:t>
      </w:r>
      <w:r w:rsidRPr="00217196">
        <w:rPr>
          <w:rFonts w:ascii="Times New Roman" w:eastAsia="Gungsuh" w:hAnsi="Times New Roman" w:cs="Times New Roman"/>
          <w:sz w:val="24"/>
          <w:szCs w:val="24"/>
        </w:rPr>
        <w:t xml:space="preserve">  No grupo controle (EC), será empregado eletrocautério monopolar com frequência ≤ 450 kHz, com potência de 40 W para corte e 35 W para coagulação. Todos os procedimentos serão realizados por cirurgiões experientes, sob sedação associada a bloqueio do nervo pudendo e perianal com </w:t>
      </w:r>
      <w:proofErr w:type="spellStart"/>
      <w:r w:rsidRPr="00217196">
        <w:rPr>
          <w:rFonts w:ascii="Times New Roman" w:eastAsia="Gungsuh" w:hAnsi="Times New Roman" w:cs="Times New Roman"/>
          <w:sz w:val="24"/>
          <w:szCs w:val="24"/>
        </w:rPr>
        <w:t>bupivacaína</w:t>
      </w:r>
      <w:proofErr w:type="spellEnd"/>
      <w:r w:rsidRPr="00217196">
        <w:rPr>
          <w:rFonts w:ascii="Times New Roman" w:eastAsia="Gungsuh" w:hAnsi="Times New Roman" w:cs="Times New Roman"/>
          <w:sz w:val="24"/>
          <w:szCs w:val="24"/>
        </w:rPr>
        <w:t xml:space="preserve"> a 0,25%. Será administrada profilaxia antibiótica padrão com </w:t>
      </w:r>
      <w:proofErr w:type="spellStart"/>
      <w:r w:rsidRPr="00217196">
        <w:rPr>
          <w:rFonts w:ascii="Times New Roman" w:eastAsia="Gungsuh" w:hAnsi="Times New Roman" w:cs="Times New Roman"/>
          <w:sz w:val="24"/>
          <w:szCs w:val="24"/>
        </w:rPr>
        <w:t>cefazolina</w:t>
      </w:r>
      <w:proofErr w:type="spellEnd"/>
      <w:r w:rsidRPr="00217196">
        <w:rPr>
          <w:rFonts w:ascii="Times New Roman" w:eastAsia="Gungsuh" w:hAnsi="Times New Roman" w:cs="Times New Roman"/>
          <w:sz w:val="24"/>
          <w:szCs w:val="24"/>
        </w:rPr>
        <w:t xml:space="preserve"> 2 g intravenosa no intraoperatório.[4] </w:t>
      </w:r>
    </w:p>
    <w:p w14:paraId="5CD0AB8A"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4C51B01D"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3.6 Cuidados pós-operatórios</w:t>
      </w:r>
    </w:p>
    <w:p w14:paraId="74DE2059"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Gungsuh" w:hAnsi="Times New Roman" w:cs="Times New Roman"/>
          <w:sz w:val="24"/>
          <w:szCs w:val="24"/>
        </w:rPr>
        <w:t>A analgesia será realizada com dipirona 1 g por via oral a cada 6 horas durante o período ambulatorial. Durante o período de permanência hospitalar (até 12 horas), será permitida a administração de dipirona e opioides por via intravenosa conforme necessidade. Casos de dor com VAS ≥ 4, poderá ser utilizado cetorolaco (10mg de 8/8h) como analgesia complementar. Caso necessário, será administrado tramadol 50 mg por via oral como medicação de resgate. Todos os pacientes receberão laxante à base de polietilenoglicol, na dose de 34g/dia por via oral. Caso o paciente refira dificuldade para defecar, poderá ser adicionado laxante estimulante (</w:t>
      </w:r>
      <w:proofErr w:type="spellStart"/>
      <w:r w:rsidRPr="00217196">
        <w:rPr>
          <w:rFonts w:ascii="Times New Roman" w:eastAsia="Gungsuh" w:hAnsi="Times New Roman" w:cs="Times New Roman"/>
          <w:sz w:val="24"/>
          <w:szCs w:val="24"/>
        </w:rPr>
        <w:t>bisacodil</w:t>
      </w:r>
      <w:proofErr w:type="spellEnd"/>
      <w:r w:rsidRPr="00217196">
        <w:rPr>
          <w:rFonts w:ascii="Times New Roman" w:eastAsia="Gungsuh" w:hAnsi="Times New Roman" w:cs="Times New Roman"/>
          <w:sz w:val="24"/>
          <w:szCs w:val="24"/>
        </w:rPr>
        <w:t>/</w:t>
      </w:r>
      <w:proofErr w:type="spellStart"/>
      <w:r w:rsidRPr="00217196">
        <w:rPr>
          <w:rFonts w:ascii="Times New Roman" w:eastAsia="Gungsuh" w:hAnsi="Times New Roman" w:cs="Times New Roman"/>
          <w:sz w:val="24"/>
          <w:szCs w:val="24"/>
        </w:rPr>
        <w:t>picossulfato</w:t>
      </w:r>
      <w:proofErr w:type="spellEnd"/>
      <w:r w:rsidRPr="00217196">
        <w:rPr>
          <w:rFonts w:ascii="Times New Roman" w:eastAsia="Gungsuh" w:hAnsi="Times New Roman" w:cs="Times New Roman"/>
          <w:sz w:val="24"/>
          <w:szCs w:val="24"/>
        </w:rPr>
        <w:t>) A alta hospitalar está prevista para ocorrer até 12 horas após o procedimento, desde que o paciente esteja sem sangramento ativo, apresente dor controlada (VAS &lt; 4) e consiga urinar espontaneamente.</w:t>
      </w:r>
    </w:p>
    <w:p w14:paraId="088BF20B"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7BD13F46"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3.7 Desfechos do estudo</w:t>
      </w:r>
    </w:p>
    <w:p w14:paraId="257551E0"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b/>
          <w:sz w:val="24"/>
          <w:szCs w:val="24"/>
        </w:rPr>
        <w:br/>
      </w:r>
      <w:r w:rsidRPr="00217196">
        <w:rPr>
          <w:rFonts w:ascii="Times New Roman" w:eastAsia="Times New Roman" w:hAnsi="Times New Roman" w:cs="Times New Roman"/>
          <w:sz w:val="24"/>
          <w:szCs w:val="24"/>
        </w:rPr>
        <w:t xml:space="preserve"> O desfecho primário será a avaliação da dor em repouso, medida pela escala visual analógica (VAS)(7). A dor será avaliada no pós-operatório imediato e em todos os períodos do seguimento até o 60º dia. Os desfechos secundários incluirão, desde o pós-operatório inicial, a avaliação de: sintomas proctológicos por meio da Escala de Sintomas Proctológicos (PSS)(8), aplicados no 7º, 14º, 30º, 60º, 180º e 360º dias pós-operatórios; </w:t>
      </w:r>
      <w:r w:rsidRPr="00217196">
        <w:rPr>
          <w:rFonts w:ascii="Times New Roman" w:eastAsia="Times New Roman" w:hAnsi="Times New Roman" w:cs="Times New Roman"/>
          <w:sz w:val="24"/>
          <w:szCs w:val="24"/>
        </w:rPr>
        <w:lastRenderedPageBreak/>
        <w:t>intensidade do sangramento, classificada segundo a seguinte escala operacional proposta pelo presente estudo:</w:t>
      </w:r>
    </w:p>
    <w:p w14:paraId="20D2B227" w14:textId="77777777" w:rsidR="00E47BC1" w:rsidRPr="00217196" w:rsidRDefault="00000000">
      <w:pPr>
        <w:spacing w:before="240" w:after="240" w:line="360" w:lineRule="auto"/>
        <w:ind w:left="1080" w:hanging="360"/>
        <w:jc w:val="both"/>
        <w:rPr>
          <w:rFonts w:ascii="Times New Roman" w:eastAsia="Times New Roman" w:hAnsi="Times New Roman" w:cs="Times New Roman"/>
          <w:sz w:val="24"/>
          <w:szCs w:val="24"/>
        </w:rPr>
      </w:pPr>
      <w:r w:rsidRPr="00217196">
        <w:rPr>
          <w:rFonts w:ascii="Times New Roman" w:eastAsia="Noto Sans Symbols" w:hAnsi="Times New Roman" w:cs="Times New Roman"/>
          <w:sz w:val="24"/>
          <w:szCs w:val="24"/>
        </w:rPr>
        <w:t>●</w:t>
      </w:r>
      <w:r w:rsidRPr="00217196">
        <w:rPr>
          <w:rFonts w:ascii="Times New Roman" w:eastAsia="Times New Roman" w:hAnsi="Times New Roman" w:cs="Times New Roman"/>
          <w:sz w:val="24"/>
          <w:szCs w:val="24"/>
        </w:rPr>
        <w:t xml:space="preserve">        Grau 0 – Ausência de sangramento;</w:t>
      </w:r>
    </w:p>
    <w:p w14:paraId="4E094959" w14:textId="77777777" w:rsidR="00E47BC1" w:rsidRPr="00217196" w:rsidRDefault="00000000">
      <w:pPr>
        <w:spacing w:before="240" w:after="240" w:line="360" w:lineRule="auto"/>
        <w:ind w:left="1080" w:hanging="360"/>
        <w:jc w:val="both"/>
        <w:rPr>
          <w:rFonts w:ascii="Times New Roman" w:eastAsia="Times New Roman" w:hAnsi="Times New Roman" w:cs="Times New Roman"/>
          <w:sz w:val="24"/>
          <w:szCs w:val="24"/>
        </w:rPr>
      </w:pPr>
      <w:r w:rsidRPr="00217196">
        <w:rPr>
          <w:rFonts w:ascii="Times New Roman" w:eastAsia="Noto Sans Symbols" w:hAnsi="Times New Roman" w:cs="Times New Roman"/>
          <w:sz w:val="24"/>
          <w:szCs w:val="24"/>
        </w:rPr>
        <w:t>●</w:t>
      </w:r>
      <w:r w:rsidRPr="00217196">
        <w:rPr>
          <w:rFonts w:ascii="Times New Roman" w:eastAsia="Times New Roman" w:hAnsi="Times New Roman" w:cs="Times New Roman"/>
          <w:sz w:val="24"/>
          <w:szCs w:val="24"/>
        </w:rPr>
        <w:t xml:space="preserve">    Grau 1 – Sangramento leve, autolimitado, sem necessidade de intervenção clínica;</w:t>
      </w:r>
    </w:p>
    <w:p w14:paraId="554FCA99" w14:textId="77777777" w:rsidR="00E47BC1" w:rsidRPr="00217196" w:rsidRDefault="00000000">
      <w:pPr>
        <w:spacing w:before="240" w:after="240" w:line="360" w:lineRule="auto"/>
        <w:ind w:left="1080" w:hanging="360"/>
        <w:jc w:val="both"/>
        <w:rPr>
          <w:rFonts w:ascii="Times New Roman" w:eastAsia="Times New Roman" w:hAnsi="Times New Roman" w:cs="Times New Roman"/>
          <w:sz w:val="24"/>
          <w:szCs w:val="24"/>
        </w:rPr>
      </w:pPr>
      <w:r w:rsidRPr="00217196">
        <w:rPr>
          <w:rFonts w:ascii="Times New Roman" w:eastAsia="Noto Sans Symbols" w:hAnsi="Times New Roman" w:cs="Times New Roman"/>
          <w:sz w:val="24"/>
          <w:szCs w:val="24"/>
        </w:rPr>
        <w:t>●</w:t>
      </w:r>
      <w:r w:rsidRPr="00217196">
        <w:rPr>
          <w:rFonts w:ascii="Times New Roman" w:eastAsia="Times New Roman" w:hAnsi="Times New Roman" w:cs="Times New Roman"/>
          <w:sz w:val="24"/>
          <w:szCs w:val="24"/>
        </w:rPr>
        <w:t xml:space="preserve">       Grau 2 – Sangramento moderado, exigindo medicação adicional, compressas ou cuidados ambulatoriais;</w:t>
      </w:r>
    </w:p>
    <w:p w14:paraId="711C45AB" w14:textId="77777777" w:rsidR="00E47BC1" w:rsidRPr="00217196" w:rsidRDefault="00000000">
      <w:pPr>
        <w:spacing w:before="240" w:after="240" w:line="360" w:lineRule="auto"/>
        <w:ind w:left="1080" w:hanging="360"/>
        <w:jc w:val="both"/>
        <w:rPr>
          <w:rFonts w:ascii="Times New Roman" w:eastAsia="Times New Roman" w:hAnsi="Times New Roman" w:cs="Times New Roman"/>
          <w:sz w:val="24"/>
          <w:szCs w:val="24"/>
        </w:rPr>
      </w:pPr>
      <w:r w:rsidRPr="00217196">
        <w:rPr>
          <w:rFonts w:ascii="Times New Roman" w:eastAsia="Noto Sans Symbols" w:hAnsi="Times New Roman" w:cs="Times New Roman"/>
          <w:sz w:val="24"/>
          <w:szCs w:val="24"/>
        </w:rPr>
        <w:t>●</w:t>
      </w:r>
      <w:r w:rsidRPr="00217196">
        <w:rPr>
          <w:rFonts w:ascii="Times New Roman" w:eastAsia="Times New Roman" w:hAnsi="Times New Roman" w:cs="Times New Roman"/>
          <w:sz w:val="24"/>
          <w:szCs w:val="24"/>
        </w:rPr>
        <w:t xml:space="preserve">     Grau 3 – Sangramento intenso, com necessidade de reintervenção cirúrgica, hospitalização ou transfusão.</w:t>
      </w:r>
    </w:p>
    <w:p w14:paraId="64A99526"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A presença de incontinência fecal será medida pelo escore de </w:t>
      </w:r>
      <w:proofErr w:type="spellStart"/>
      <w:r w:rsidRPr="00217196">
        <w:rPr>
          <w:rFonts w:ascii="Times New Roman" w:eastAsia="Times New Roman" w:hAnsi="Times New Roman" w:cs="Times New Roman"/>
          <w:sz w:val="24"/>
          <w:szCs w:val="24"/>
        </w:rPr>
        <w:t>Wexner</w:t>
      </w:r>
      <w:proofErr w:type="spellEnd"/>
      <w:r w:rsidRPr="00217196">
        <w:rPr>
          <w:rFonts w:ascii="Times New Roman" w:eastAsia="Times New Roman" w:hAnsi="Times New Roman" w:cs="Times New Roman"/>
          <w:sz w:val="24"/>
          <w:szCs w:val="24"/>
        </w:rPr>
        <w:t>(9) nos dias 30, 60, 180 e 360.</w:t>
      </w:r>
    </w:p>
    <w:p w14:paraId="58CBBF86"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Gungsuh" w:hAnsi="Times New Roman" w:cs="Times New Roman"/>
          <w:sz w:val="24"/>
          <w:szCs w:val="24"/>
        </w:rPr>
        <w:t>As complicações consideradas tardias — aquelas que serão avaliadas a partir do 30º dia pós-operatório — incluirão: (1) estenose anal (definida como diâmetro anal digital ≤ 15 mm); (2) plicoma residual sintomático; (3) recidiva do prolapso hemorroidário; (4) dor persistente além de 30 dias; e (5) incontinência fecal de nova ocorrência ou persistente. Outras complicações agudas, como edema, infecção local, trombose, sangramento significativo e retenção urinária, serão monitoradas até o 30º dia.</w:t>
      </w:r>
    </w:p>
    <w:p w14:paraId="1B7F6707"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Além disso, serão registrados o número total de doses de analgésicos e laxantes utilizadas até o 30 º dia, o tempo cirúrgico (em minutos) e o tempo de permanência hospitalar (em horas).</w:t>
      </w:r>
    </w:p>
    <w:p w14:paraId="01A027E0"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Para  avaliação das complicações será utilizada a escala Clavien-Dindo.</w:t>
      </w:r>
    </w:p>
    <w:p w14:paraId="782675EB"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7686A564"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3.8 Avaliações clínicas</w:t>
      </w:r>
    </w:p>
    <w:p w14:paraId="2683DDCC"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Serão realizadas oito visitas de avaliação, conforme o seguinte cronograma: V0 (pré-operatória), V1 (1º dia pós-</w:t>
      </w:r>
      <w:proofErr w:type="spellStart"/>
      <w:r w:rsidRPr="00217196">
        <w:rPr>
          <w:rFonts w:ascii="Times New Roman" w:eastAsia="Times New Roman" w:hAnsi="Times New Roman" w:cs="Times New Roman"/>
          <w:sz w:val="24"/>
          <w:szCs w:val="24"/>
        </w:rPr>
        <w:t>op</w:t>
      </w:r>
      <w:proofErr w:type="spellEnd"/>
      <w:r w:rsidRPr="00217196">
        <w:rPr>
          <w:rFonts w:ascii="Times New Roman" w:eastAsia="Times New Roman" w:hAnsi="Times New Roman" w:cs="Times New Roman"/>
          <w:sz w:val="24"/>
          <w:szCs w:val="24"/>
        </w:rPr>
        <w:t xml:space="preserve">, por telefone), V2 (3º dia, por telefone), V3 (7º dia, presencial), V4 (14º dia, presencial), V5 (30º dia, presencial), V6 (60º dia, presencial), </w:t>
      </w:r>
      <w:r w:rsidRPr="00217196">
        <w:rPr>
          <w:rFonts w:ascii="Times New Roman" w:eastAsia="Times New Roman" w:hAnsi="Times New Roman" w:cs="Times New Roman"/>
          <w:sz w:val="24"/>
          <w:szCs w:val="24"/>
        </w:rPr>
        <w:lastRenderedPageBreak/>
        <w:t xml:space="preserve">V7 (180º dia), V8 (360º dia). As variáveis coletadas incluirão VAS, sangramento, uso de analgésicos, PSS, </w:t>
      </w:r>
      <w:proofErr w:type="spellStart"/>
      <w:r w:rsidRPr="00217196">
        <w:rPr>
          <w:rFonts w:ascii="Times New Roman" w:eastAsia="Times New Roman" w:hAnsi="Times New Roman" w:cs="Times New Roman"/>
          <w:sz w:val="24"/>
          <w:szCs w:val="24"/>
        </w:rPr>
        <w:t>Wexner</w:t>
      </w:r>
      <w:proofErr w:type="spellEnd"/>
      <w:r w:rsidRPr="00217196">
        <w:rPr>
          <w:rFonts w:ascii="Times New Roman" w:eastAsia="Times New Roman" w:hAnsi="Times New Roman" w:cs="Times New Roman"/>
          <w:sz w:val="24"/>
          <w:szCs w:val="24"/>
        </w:rPr>
        <w:t>, exame físico completo e registro de complicações.</w:t>
      </w:r>
    </w:p>
    <w:p w14:paraId="2BE0A750"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647F777C"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3.9 Coleta, armazenamento e gestão de dados</w:t>
      </w:r>
    </w:p>
    <w:p w14:paraId="0917BE92"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A coleta de dados será realizada de forma sistematizada, utilizando instrumentos eletrônicos seguros, com armazenamento em plataforma específica para estudos clínicos. Todos os dados clínicos, laboratoriais e demográficos dos participantes serão coletados por meio de formulários estruturados eletrônicos, desenvolvidos na plataforma </w:t>
      </w:r>
      <w:proofErr w:type="spellStart"/>
      <w:r w:rsidRPr="00217196">
        <w:rPr>
          <w:rFonts w:ascii="Times New Roman" w:eastAsia="Times New Roman" w:hAnsi="Times New Roman" w:cs="Times New Roman"/>
          <w:sz w:val="24"/>
          <w:szCs w:val="24"/>
        </w:rPr>
        <w:t>REDCap</w:t>
      </w:r>
      <w:proofErr w:type="spellEnd"/>
      <w:r w:rsidRPr="00217196">
        <w:rPr>
          <w:rFonts w:ascii="Times New Roman" w:eastAsia="Times New Roman" w:hAnsi="Times New Roman" w:cs="Times New Roman"/>
          <w:sz w:val="24"/>
          <w:szCs w:val="24"/>
        </w:rPr>
        <w:t xml:space="preserve"> (</w:t>
      </w:r>
      <w:proofErr w:type="spellStart"/>
      <w:r w:rsidRPr="00217196">
        <w:rPr>
          <w:rFonts w:ascii="Times New Roman" w:eastAsia="Times New Roman" w:hAnsi="Times New Roman" w:cs="Times New Roman"/>
          <w:sz w:val="24"/>
          <w:szCs w:val="24"/>
        </w:rPr>
        <w:t>Research</w:t>
      </w:r>
      <w:proofErr w:type="spellEnd"/>
      <w:r w:rsidRPr="00217196">
        <w:rPr>
          <w:rFonts w:ascii="Times New Roman" w:eastAsia="Times New Roman" w:hAnsi="Times New Roman" w:cs="Times New Roman"/>
          <w:sz w:val="24"/>
          <w:szCs w:val="24"/>
        </w:rPr>
        <w:t xml:space="preserve"> </w:t>
      </w:r>
      <w:proofErr w:type="spellStart"/>
      <w:r w:rsidRPr="00217196">
        <w:rPr>
          <w:rFonts w:ascii="Times New Roman" w:eastAsia="Times New Roman" w:hAnsi="Times New Roman" w:cs="Times New Roman"/>
          <w:sz w:val="24"/>
          <w:szCs w:val="24"/>
        </w:rPr>
        <w:t>Electronic</w:t>
      </w:r>
      <w:proofErr w:type="spellEnd"/>
      <w:r w:rsidRPr="00217196">
        <w:rPr>
          <w:rFonts w:ascii="Times New Roman" w:eastAsia="Times New Roman" w:hAnsi="Times New Roman" w:cs="Times New Roman"/>
          <w:sz w:val="24"/>
          <w:szCs w:val="24"/>
        </w:rPr>
        <w:t xml:space="preserve"> Data Capture), hospedada em servidor institucional seguro e com acesso restrito aos pesquisadores autorizados.</w:t>
      </w:r>
    </w:p>
    <w:p w14:paraId="6EF69771" w14:textId="77777777" w:rsidR="00E47BC1" w:rsidRPr="00217196" w:rsidRDefault="00000000">
      <w:pPr>
        <w:pStyle w:val="Ttulo4"/>
        <w:keepNext w:val="0"/>
        <w:keepLines w:val="0"/>
        <w:spacing w:before="240" w:line="360" w:lineRule="auto"/>
        <w:jc w:val="both"/>
        <w:rPr>
          <w:rFonts w:ascii="Times New Roman" w:eastAsia="Times New Roman" w:hAnsi="Times New Roman" w:cs="Times New Roman"/>
          <w:b/>
          <w:i w:val="0"/>
          <w:color w:val="000000"/>
          <w:sz w:val="24"/>
          <w:szCs w:val="24"/>
        </w:rPr>
      </w:pPr>
      <w:bookmarkStart w:id="2" w:name="_71qkmgqk79jv" w:colFirst="0" w:colLast="0"/>
      <w:bookmarkEnd w:id="2"/>
      <w:r w:rsidRPr="00217196">
        <w:rPr>
          <w:rFonts w:ascii="Times New Roman" w:eastAsia="Times New Roman" w:hAnsi="Times New Roman" w:cs="Times New Roman"/>
          <w:b/>
          <w:i w:val="0"/>
          <w:color w:val="000000"/>
          <w:sz w:val="24"/>
          <w:szCs w:val="24"/>
        </w:rPr>
        <w:t>Procedimentos de coleta:</w:t>
      </w:r>
    </w:p>
    <w:p w14:paraId="051CB0EE" w14:textId="77777777" w:rsidR="00E47BC1" w:rsidRPr="00217196" w:rsidRDefault="00000000">
      <w:pPr>
        <w:spacing w:before="240"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A coleta será realizada em tempo real, durante as consultas presenciais e contatos telefônicos, conforme cronograma de visitas estabelecido (V0 a V8).</w:t>
      </w:r>
      <w:r w:rsidRPr="00217196">
        <w:rPr>
          <w:rFonts w:ascii="Times New Roman" w:eastAsia="Times New Roman" w:hAnsi="Times New Roman" w:cs="Times New Roman"/>
          <w:sz w:val="24"/>
          <w:szCs w:val="24"/>
        </w:rPr>
        <w:br/>
      </w:r>
      <w:r w:rsidRPr="00217196">
        <w:rPr>
          <w:rFonts w:ascii="Times New Roman" w:eastAsia="Times New Roman" w:hAnsi="Times New Roman" w:cs="Times New Roman"/>
          <w:sz w:val="24"/>
          <w:szCs w:val="24"/>
        </w:rPr>
        <w:br/>
      </w:r>
    </w:p>
    <w:p w14:paraId="19BFFC49" w14:textId="77777777" w:rsid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Todas as variáveis avaliadas (VAS, escala de sintomas proctológicos, escore de </w:t>
      </w:r>
      <w:proofErr w:type="spellStart"/>
      <w:r w:rsidRPr="00217196">
        <w:rPr>
          <w:rFonts w:ascii="Times New Roman" w:eastAsia="Times New Roman" w:hAnsi="Times New Roman" w:cs="Times New Roman"/>
          <w:sz w:val="24"/>
          <w:szCs w:val="24"/>
        </w:rPr>
        <w:t>Wexner</w:t>
      </w:r>
      <w:proofErr w:type="spellEnd"/>
      <w:r w:rsidRPr="00217196">
        <w:rPr>
          <w:rFonts w:ascii="Times New Roman" w:eastAsia="Times New Roman" w:hAnsi="Times New Roman" w:cs="Times New Roman"/>
          <w:sz w:val="24"/>
          <w:szCs w:val="24"/>
        </w:rPr>
        <w:t>, registro de complicações, uso de medicamentos, tempo cirúrgico, etc.) serão lançadas no sistema imediatamente após a coleta, com identificação por código alfanumérico individual (ex: P001, P002), garantindo o anonimato do participante.</w:t>
      </w:r>
    </w:p>
    <w:p w14:paraId="38BC5D13" w14:textId="70AF79AE" w:rsidR="00E47BC1" w:rsidRPr="00217196" w:rsidRDefault="00E47BC1">
      <w:pPr>
        <w:spacing w:after="0" w:line="360" w:lineRule="auto"/>
        <w:ind w:left="1080" w:hanging="360"/>
        <w:jc w:val="both"/>
        <w:rPr>
          <w:rFonts w:ascii="Times New Roman" w:eastAsia="Times New Roman" w:hAnsi="Times New Roman" w:cs="Times New Roman"/>
          <w:sz w:val="24"/>
          <w:szCs w:val="24"/>
        </w:rPr>
      </w:pPr>
    </w:p>
    <w:p w14:paraId="2D4B67BD" w14:textId="77777777" w:rsidR="00E47BC1" w:rsidRPr="00217196" w:rsidRDefault="00000000">
      <w:pPr>
        <w:spacing w:after="24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Os dados clínicos serão coletados apenas por profissionais previamente capacitados, que atuarão sob supervisão do investigador local.</w:t>
      </w:r>
      <w:r w:rsidRPr="00217196">
        <w:rPr>
          <w:rFonts w:ascii="Times New Roman" w:eastAsia="Times New Roman" w:hAnsi="Times New Roman" w:cs="Times New Roman"/>
          <w:sz w:val="24"/>
          <w:szCs w:val="24"/>
        </w:rPr>
        <w:br/>
      </w:r>
      <w:r w:rsidRPr="00217196">
        <w:rPr>
          <w:rFonts w:ascii="Times New Roman" w:eastAsia="Times New Roman" w:hAnsi="Times New Roman" w:cs="Times New Roman"/>
          <w:sz w:val="24"/>
          <w:szCs w:val="24"/>
        </w:rPr>
        <w:br/>
      </w:r>
    </w:p>
    <w:p w14:paraId="40D77C3A" w14:textId="77777777" w:rsidR="00E47BC1" w:rsidRPr="00217196" w:rsidRDefault="00000000">
      <w:pPr>
        <w:pStyle w:val="Ttulo4"/>
        <w:keepNext w:val="0"/>
        <w:keepLines w:val="0"/>
        <w:spacing w:before="240" w:line="360" w:lineRule="auto"/>
        <w:jc w:val="both"/>
        <w:rPr>
          <w:rFonts w:ascii="Times New Roman" w:eastAsia="Times New Roman" w:hAnsi="Times New Roman" w:cs="Times New Roman"/>
          <w:b/>
          <w:i w:val="0"/>
          <w:color w:val="000000"/>
          <w:sz w:val="24"/>
          <w:szCs w:val="24"/>
        </w:rPr>
      </w:pPr>
      <w:bookmarkStart w:id="3" w:name="_156ho1e836na" w:colFirst="0" w:colLast="0"/>
      <w:bookmarkEnd w:id="3"/>
      <w:r w:rsidRPr="00217196">
        <w:rPr>
          <w:rFonts w:ascii="Times New Roman" w:eastAsia="Times New Roman" w:hAnsi="Times New Roman" w:cs="Times New Roman"/>
          <w:b/>
          <w:i w:val="0"/>
          <w:color w:val="000000"/>
          <w:sz w:val="24"/>
          <w:szCs w:val="24"/>
        </w:rPr>
        <w:t>Qualidade e controle de dados:</w:t>
      </w:r>
    </w:p>
    <w:p w14:paraId="25C58A40" w14:textId="77777777" w:rsidR="00E47BC1" w:rsidRPr="00217196" w:rsidRDefault="00000000">
      <w:pPr>
        <w:spacing w:before="240"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Será adotado o princípio da dupla digitação independente, com reconciliação automatizada de inconsistências.</w:t>
      </w:r>
    </w:p>
    <w:p w14:paraId="2655702D" w14:textId="77777777" w:rsidR="00E47BC1" w:rsidRPr="00217196" w:rsidRDefault="00000000">
      <w:pPr>
        <w:spacing w:after="0" w:line="360" w:lineRule="auto"/>
        <w:ind w:left="7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36BD274B" w14:textId="77777777" w:rsidR="00E47BC1" w:rsidRP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lastRenderedPageBreak/>
        <w:t>●       Um sistema de validação em tempo real será utilizado para impedir registros incompletos, incoerentes ou fora dos limites esperados.</w:t>
      </w:r>
    </w:p>
    <w:p w14:paraId="119943E3"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3FCE148F" w14:textId="77777777" w:rsidR="00E47BC1" w:rsidRPr="00217196" w:rsidRDefault="00000000">
      <w:pPr>
        <w:spacing w:after="24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Serão realizadas auditorias internas mensais e auditorias externas trimestrais, conduzidas por pesquisador independente da equipe de coleta, garantindo integridade e rastreabilidade das informações.</w:t>
      </w:r>
    </w:p>
    <w:p w14:paraId="5FF79B86"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39163AE6" w14:textId="77777777" w:rsidR="00E47BC1" w:rsidRPr="00217196" w:rsidRDefault="00000000">
      <w:pPr>
        <w:pStyle w:val="Ttulo4"/>
        <w:keepNext w:val="0"/>
        <w:keepLines w:val="0"/>
        <w:spacing w:before="240" w:line="360" w:lineRule="auto"/>
        <w:jc w:val="both"/>
        <w:rPr>
          <w:rFonts w:ascii="Times New Roman" w:eastAsia="Times New Roman" w:hAnsi="Times New Roman" w:cs="Times New Roman"/>
          <w:b/>
          <w:i w:val="0"/>
          <w:color w:val="000000"/>
          <w:sz w:val="24"/>
          <w:szCs w:val="24"/>
        </w:rPr>
      </w:pPr>
      <w:bookmarkStart w:id="4" w:name="_egfjaqw5z8ls" w:colFirst="0" w:colLast="0"/>
      <w:bookmarkEnd w:id="4"/>
      <w:r w:rsidRPr="00217196">
        <w:rPr>
          <w:rFonts w:ascii="Times New Roman" w:eastAsia="Times New Roman" w:hAnsi="Times New Roman" w:cs="Times New Roman"/>
          <w:b/>
          <w:i w:val="0"/>
          <w:color w:val="000000"/>
          <w:sz w:val="24"/>
          <w:szCs w:val="24"/>
        </w:rPr>
        <w:t>Codificação e sigilo:</w:t>
      </w:r>
    </w:p>
    <w:p w14:paraId="24DE4D84" w14:textId="77777777" w:rsidR="00E47BC1" w:rsidRPr="00217196" w:rsidRDefault="00000000">
      <w:pPr>
        <w:spacing w:before="240"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Os participantes não serão identificados por nome ou número de prontuário em nenhuma fase do estudo. Os dados serão codificados por meio de identificadores numéricos únicos, protegidos por senha e acessíveis apenas à coordenação central da pesquisa.</w:t>
      </w:r>
    </w:p>
    <w:p w14:paraId="7F50911F" w14:textId="77777777" w:rsidR="00E47BC1" w:rsidRPr="00217196" w:rsidRDefault="00000000">
      <w:pPr>
        <w:spacing w:before="240" w:after="0" w:line="360" w:lineRule="auto"/>
        <w:ind w:left="7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50DC601A" w14:textId="77777777" w:rsidR="00E47BC1" w:rsidRP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O banco de dados principal será armazenado em servidor criptografado com backup automático e diário.</w:t>
      </w:r>
    </w:p>
    <w:p w14:paraId="315F9971" w14:textId="77777777" w:rsidR="00E47BC1" w:rsidRPr="00217196" w:rsidRDefault="00000000">
      <w:pPr>
        <w:spacing w:after="0" w:line="360" w:lineRule="auto"/>
        <w:ind w:left="7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3B8E4F48" w14:textId="77777777" w:rsidR="00E47BC1" w:rsidRPr="00217196" w:rsidRDefault="00000000">
      <w:pPr>
        <w:spacing w:after="24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A chave de identificação entre os códigos e os nomes dos pacientes será mantida em documento físico lacrado, sob responsabilidade exclusiva do investigador principal de cada centro, e será destruída após o término do estudo, conforme política de retenção de dados aprovada pelo CEP.</w:t>
      </w:r>
    </w:p>
    <w:p w14:paraId="5D843EB8"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3566F036" w14:textId="77777777" w:rsidR="00E47BC1" w:rsidRPr="00217196" w:rsidRDefault="00000000">
      <w:pPr>
        <w:pStyle w:val="Ttulo4"/>
        <w:keepNext w:val="0"/>
        <w:keepLines w:val="0"/>
        <w:spacing w:before="240" w:line="360" w:lineRule="auto"/>
        <w:jc w:val="both"/>
        <w:rPr>
          <w:rFonts w:ascii="Times New Roman" w:eastAsia="Times New Roman" w:hAnsi="Times New Roman" w:cs="Times New Roman"/>
          <w:b/>
          <w:i w:val="0"/>
          <w:color w:val="000000"/>
          <w:sz w:val="24"/>
          <w:szCs w:val="24"/>
        </w:rPr>
      </w:pPr>
      <w:bookmarkStart w:id="5" w:name="_fg23dgqvuxo5" w:colFirst="0" w:colLast="0"/>
      <w:bookmarkEnd w:id="5"/>
      <w:r w:rsidRPr="00217196">
        <w:rPr>
          <w:rFonts w:ascii="Times New Roman" w:eastAsia="Times New Roman" w:hAnsi="Times New Roman" w:cs="Times New Roman"/>
          <w:b/>
          <w:i w:val="0"/>
          <w:color w:val="000000"/>
          <w:sz w:val="24"/>
          <w:szCs w:val="24"/>
        </w:rPr>
        <w:t>Acesso e auditoria:</w:t>
      </w:r>
    </w:p>
    <w:p w14:paraId="491A1983" w14:textId="77777777" w:rsidR="00E47BC1" w:rsidRPr="00217196" w:rsidRDefault="00000000">
      <w:pPr>
        <w:spacing w:before="240"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O acesso ao sistema </w:t>
      </w:r>
      <w:proofErr w:type="spellStart"/>
      <w:r w:rsidRPr="00217196">
        <w:rPr>
          <w:rFonts w:ascii="Times New Roman" w:eastAsia="Times New Roman" w:hAnsi="Times New Roman" w:cs="Times New Roman"/>
          <w:sz w:val="24"/>
          <w:szCs w:val="24"/>
        </w:rPr>
        <w:t>REDCap</w:t>
      </w:r>
      <w:proofErr w:type="spellEnd"/>
      <w:r w:rsidRPr="00217196">
        <w:rPr>
          <w:rFonts w:ascii="Times New Roman" w:eastAsia="Times New Roman" w:hAnsi="Times New Roman" w:cs="Times New Roman"/>
          <w:sz w:val="24"/>
          <w:szCs w:val="24"/>
        </w:rPr>
        <w:t xml:space="preserve"> será controlado por login individual com autenticação de dois fatores.</w:t>
      </w:r>
    </w:p>
    <w:p w14:paraId="0951A4E3" w14:textId="77777777" w:rsidR="00E47BC1" w:rsidRPr="00217196" w:rsidRDefault="00000000">
      <w:pPr>
        <w:spacing w:after="0" w:line="360" w:lineRule="auto"/>
        <w:ind w:left="7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1C2F5A54" w14:textId="77777777" w:rsidR="00E47BC1" w:rsidRP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Todas as atividades no banco de dados (inserção, exclusão, alteração) serão registradas por meio de log de auditoria automática, contendo identificação do usuário, data, hora e natureza da alteração.</w:t>
      </w:r>
    </w:p>
    <w:p w14:paraId="5FA91564"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lastRenderedPageBreak/>
        <w:t xml:space="preserve"> </w:t>
      </w:r>
    </w:p>
    <w:p w14:paraId="74A6851A" w14:textId="77777777" w:rsidR="00E47BC1" w:rsidRPr="00217196" w:rsidRDefault="00000000">
      <w:pPr>
        <w:spacing w:after="24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A equipe estatística só terá acesso aos dados desidentificados, após a conclusão da fase de coleta.</w:t>
      </w:r>
    </w:p>
    <w:p w14:paraId="334D263D" w14:textId="77777777" w:rsidR="00E47BC1" w:rsidRPr="00217196" w:rsidRDefault="00000000">
      <w:pPr>
        <w:spacing w:after="240" w:line="360" w:lineRule="auto"/>
        <w:ind w:left="7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br/>
        <w:t xml:space="preserve"> Proteção de dados pessoais e confidencialidade:</w:t>
      </w:r>
    </w:p>
    <w:p w14:paraId="31C0CC4D" w14:textId="77777777" w:rsidR="00E47BC1" w:rsidRPr="00217196" w:rsidRDefault="00000000">
      <w:pPr>
        <w:spacing w:before="240"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O tratamento das informações estará em conformidade com a Lei Geral de Proteção de Dados Pessoais (LGPD - Lei nº 13.709/2018).</w:t>
      </w:r>
      <w:r w:rsidRPr="00217196">
        <w:rPr>
          <w:rFonts w:ascii="Times New Roman" w:eastAsia="Times New Roman" w:hAnsi="Times New Roman" w:cs="Times New Roman"/>
          <w:sz w:val="24"/>
          <w:szCs w:val="24"/>
        </w:rPr>
        <w:br/>
      </w:r>
      <w:r w:rsidRPr="00217196">
        <w:rPr>
          <w:rFonts w:ascii="Times New Roman" w:eastAsia="Times New Roman" w:hAnsi="Times New Roman" w:cs="Times New Roman"/>
          <w:sz w:val="24"/>
          <w:szCs w:val="24"/>
        </w:rPr>
        <w:br/>
      </w:r>
    </w:p>
    <w:p w14:paraId="4C6A6D27" w14:textId="77777777" w:rsidR="00E47BC1" w:rsidRP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As informações coletadas serão utilizadas exclusivamente para os fins previstos no projeto, sendo proibida sua reprodução, compartilhamento ou divulgação sem autorização expressa e específica do participante.</w:t>
      </w:r>
    </w:p>
    <w:p w14:paraId="29EA6070" w14:textId="77777777" w:rsidR="00E47BC1" w:rsidRPr="00217196" w:rsidRDefault="00000000">
      <w:pPr>
        <w:spacing w:after="0" w:line="360" w:lineRule="auto"/>
        <w:ind w:left="7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1F82786A" w14:textId="77777777" w:rsidR="00E47BC1" w:rsidRPr="00217196" w:rsidRDefault="00000000">
      <w:pPr>
        <w:spacing w:after="24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Ao final da pesquisa, os dados serão armazenados por, no mínimo, 5 anos, em ambiente seguro, podendo ser acessados apenas para fins de auditoria ou reanálise estatística.</w:t>
      </w:r>
    </w:p>
    <w:p w14:paraId="6B52382C"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4C41DCA1"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3.10 Cálculo do tamanho amostral</w:t>
      </w:r>
    </w:p>
    <w:p w14:paraId="15B9F504"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O tamanho amostral foi calculado com base na comparação entre três grupos independentes (eletrocautério, radiofrequência e laser de CO₂), tendo como desfecho principal a intensidade de dor no 7 º dia pós-operatório, mensurada pela escala visual analógica (EVA). Considerou-se uma diferença mínima clinicamente relevante de 2 pontos na EVA, com desvio padrão estimado de 2,0, nível de significância de 5% (α = 0,05) e poder estatístico de 80% (1-β = 0,80). O cálculo indicou a necessidade de 27 participantes por grupo. Considerando uma perda estimada de 10%, serão recrutados 30 pacientes por grupo, totalizando 90 pacientes na amostra final.</w:t>
      </w:r>
    </w:p>
    <w:p w14:paraId="19F95CD8"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0E6B7B66"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3.11 Análise estatística</w:t>
      </w:r>
    </w:p>
    <w:p w14:paraId="4C69C2FC"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lastRenderedPageBreak/>
        <w:t xml:space="preserve">O desfecho primário (intensidade de dor no 7º dia, medida pela escala visual analógica) será analisado por meio da análise de variância (ANOVA) de um fator, caso os pressupostos de normalidade e </w:t>
      </w:r>
      <w:proofErr w:type="spellStart"/>
      <w:r w:rsidRPr="00217196">
        <w:rPr>
          <w:rFonts w:ascii="Times New Roman" w:eastAsia="Times New Roman" w:hAnsi="Times New Roman" w:cs="Times New Roman"/>
          <w:sz w:val="24"/>
          <w:szCs w:val="24"/>
        </w:rPr>
        <w:t>homocedasticidade</w:t>
      </w:r>
      <w:proofErr w:type="spellEnd"/>
      <w:r w:rsidRPr="00217196">
        <w:rPr>
          <w:rFonts w:ascii="Times New Roman" w:eastAsia="Times New Roman" w:hAnsi="Times New Roman" w:cs="Times New Roman"/>
          <w:sz w:val="24"/>
          <w:szCs w:val="24"/>
        </w:rPr>
        <w:t xml:space="preserve"> sejam atendidos. Na presença de distribuição não normal ou variância heterogênea, será utilizado o teste de </w:t>
      </w:r>
      <w:proofErr w:type="spellStart"/>
      <w:r w:rsidRPr="00217196">
        <w:rPr>
          <w:rFonts w:ascii="Times New Roman" w:eastAsia="Times New Roman" w:hAnsi="Times New Roman" w:cs="Times New Roman"/>
          <w:sz w:val="24"/>
          <w:szCs w:val="24"/>
        </w:rPr>
        <w:t>Kruskal</w:t>
      </w:r>
      <w:proofErr w:type="spellEnd"/>
      <w:r w:rsidRPr="00217196">
        <w:rPr>
          <w:rFonts w:ascii="Times New Roman" w:eastAsia="Times New Roman" w:hAnsi="Times New Roman" w:cs="Times New Roman"/>
          <w:sz w:val="24"/>
          <w:szCs w:val="24"/>
        </w:rPr>
        <w:t>-Wallis. Comparações pareadas entre grupos serão realizadas com testes post hoc com correção de Bonferroni ou Dunn, conforme apropriado.</w:t>
      </w:r>
    </w:p>
    <w:p w14:paraId="106A099A"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Para os desfechos secundários, serão utilizados modelos lineares mistos para dados repetidos (dor em múltiplos momentos), teste do </w:t>
      </w:r>
      <w:proofErr w:type="spellStart"/>
      <w:r w:rsidRPr="00217196">
        <w:rPr>
          <w:rFonts w:ascii="Times New Roman" w:eastAsia="Times New Roman" w:hAnsi="Times New Roman" w:cs="Times New Roman"/>
          <w:sz w:val="24"/>
          <w:szCs w:val="24"/>
        </w:rPr>
        <w:t>qui-quadrado</w:t>
      </w:r>
      <w:proofErr w:type="spellEnd"/>
      <w:r w:rsidRPr="00217196">
        <w:rPr>
          <w:rFonts w:ascii="Times New Roman" w:eastAsia="Times New Roman" w:hAnsi="Times New Roman" w:cs="Times New Roman"/>
          <w:sz w:val="24"/>
          <w:szCs w:val="24"/>
        </w:rPr>
        <w:t xml:space="preserve"> ou exato de Fisher para variáveis categóricas (como presença de complicações), curvas de Kaplan-Meier com teste de log-rank para recidiva e regressão logística multivariada para fatores associados a complicações, ajustando-se para variáveis como idade, sexo e tempo operatório.</w:t>
      </w:r>
    </w:p>
    <w:p w14:paraId="4EFF1A6F"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As análises serão conduzidas segundo os princípios de intenção de tratar e por protocolo, e o nível de significância adotado será de 5%.</w:t>
      </w:r>
    </w:p>
    <w:p w14:paraId="2BA5E4B9"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1644633A" w14:textId="77777777" w:rsidR="00E47BC1" w:rsidRPr="00217196" w:rsidRDefault="00000000">
      <w:pPr>
        <w:pStyle w:val="Ttulo3"/>
        <w:keepNext w:val="0"/>
        <w:keepLines w:val="0"/>
        <w:spacing w:before="280" w:line="360" w:lineRule="auto"/>
        <w:jc w:val="both"/>
        <w:rPr>
          <w:rFonts w:ascii="Times New Roman" w:eastAsia="Times New Roman" w:hAnsi="Times New Roman" w:cs="Times New Roman"/>
          <w:b/>
          <w:color w:val="000000"/>
          <w:sz w:val="24"/>
          <w:szCs w:val="24"/>
        </w:rPr>
      </w:pPr>
      <w:bookmarkStart w:id="6" w:name="_ste61hi7dmq4" w:colFirst="0" w:colLast="0"/>
      <w:bookmarkEnd w:id="6"/>
      <w:r w:rsidRPr="00217196">
        <w:rPr>
          <w:rFonts w:ascii="Times New Roman" w:eastAsia="Times New Roman" w:hAnsi="Times New Roman" w:cs="Times New Roman"/>
          <w:b/>
          <w:color w:val="000000"/>
          <w:sz w:val="24"/>
          <w:szCs w:val="24"/>
        </w:rPr>
        <w:t>3.12 Aspectos éticos, riscos e benefícios</w:t>
      </w:r>
    </w:p>
    <w:p w14:paraId="589F6FA0"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Este estudo será submetido à aprovação do Comitê de Ética em Pesquisa do Hospital São Camilo, acompanhado de carta de anuência dos demais centros participantes, e será registrado na plataforma ClinicalTrials.gov. Todos os participantes deverão assinar o Termo de Consentimento Livre e Esclarecido (TCLE) antes da inclusão no estudo, após receberem informações detalhadas, claras e acessíveis sobre os objetivos, métodos, riscos, benefícios e alternativas disponíveis. A confidencialidade dos dados será rigorosamente preservada, conforme as normas da Resolução CNS nº 466/2012 e demais regulamentações éticas aplicáveis.</w:t>
      </w:r>
    </w:p>
    <w:p w14:paraId="778A38DE" w14:textId="77777777" w:rsidR="00E47BC1" w:rsidRPr="00217196" w:rsidRDefault="00000000">
      <w:pPr>
        <w:pStyle w:val="Ttulo4"/>
        <w:keepNext w:val="0"/>
        <w:keepLines w:val="0"/>
        <w:spacing w:before="240" w:line="360" w:lineRule="auto"/>
        <w:jc w:val="both"/>
        <w:rPr>
          <w:rFonts w:ascii="Times New Roman" w:eastAsia="Times New Roman" w:hAnsi="Times New Roman" w:cs="Times New Roman"/>
          <w:b/>
          <w:i w:val="0"/>
          <w:color w:val="000000"/>
          <w:sz w:val="24"/>
          <w:szCs w:val="24"/>
        </w:rPr>
      </w:pPr>
      <w:bookmarkStart w:id="7" w:name="_im6jem7xjw8u" w:colFirst="0" w:colLast="0"/>
      <w:bookmarkEnd w:id="7"/>
      <w:r w:rsidRPr="00217196">
        <w:rPr>
          <w:rFonts w:ascii="Times New Roman" w:eastAsia="Times New Roman" w:hAnsi="Times New Roman" w:cs="Times New Roman"/>
          <w:b/>
          <w:i w:val="0"/>
          <w:color w:val="000000"/>
          <w:sz w:val="24"/>
          <w:szCs w:val="24"/>
        </w:rPr>
        <w:t>Riscos</w:t>
      </w:r>
    </w:p>
    <w:p w14:paraId="0CB4A47F"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Os riscos associados à participação são compatíveis com aqueles esperados em procedimentos cirúrgicos para tratamento de hemorroidas de grau IV. Entre os riscos potenciais destacam-se:</w:t>
      </w:r>
    </w:p>
    <w:p w14:paraId="1297981F" w14:textId="77777777" w:rsidR="00217196" w:rsidRDefault="00000000">
      <w:pPr>
        <w:spacing w:before="240"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Dor pós-operatória de intensidade variável;</w:t>
      </w:r>
    </w:p>
    <w:p w14:paraId="52B2CB83" w14:textId="77777777" w:rsid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Sangramento leve a moderado, e raramente intenso;</w:t>
      </w:r>
    </w:p>
    <w:p w14:paraId="3EF83134" w14:textId="77777777" w:rsid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lastRenderedPageBreak/>
        <w:t xml:space="preserve">●   </w:t>
      </w:r>
      <w:r w:rsidRPr="00217196">
        <w:rPr>
          <w:rFonts w:ascii="Times New Roman" w:eastAsia="Times New Roman" w:hAnsi="Times New Roman" w:cs="Times New Roman"/>
          <w:sz w:val="24"/>
          <w:szCs w:val="24"/>
        </w:rPr>
        <w:tab/>
        <w:t>Infecção local;</w:t>
      </w:r>
    </w:p>
    <w:p w14:paraId="521DDF9C" w14:textId="77777777" w:rsid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Edema e desconforto perianal;</w:t>
      </w:r>
    </w:p>
    <w:p w14:paraId="7F1B2EE6" w14:textId="77777777" w:rsid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Retenção urinária transitória;</w:t>
      </w:r>
    </w:p>
    <w:p w14:paraId="44AF74F9" w14:textId="77777777" w:rsid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Complicações tardias, como estenose anal, plicoma residual sintomático, recidiva hemorroidária e incontinência fecal;</w:t>
      </w:r>
    </w:p>
    <w:p w14:paraId="128242C7" w14:textId="77777777" w:rsid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Reações adversas à anestesia;</w:t>
      </w:r>
    </w:p>
    <w:p w14:paraId="6BF24BC1" w14:textId="77777777" w:rsidR="00217196" w:rsidRDefault="00000000">
      <w:pPr>
        <w:spacing w:after="24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Desconforto associado a entrevistas, exames físicos e preenchimento de escalas clínicas.</w:t>
      </w:r>
    </w:p>
    <w:p w14:paraId="79806825"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Esses riscos serão minimizados mediante:</w:t>
      </w:r>
    </w:p>
    <w:p w14:paraId="4E28572A" w14:textId="5057FCE2" w:rsidR="00E47BC1" w:rsidRPr="00217196" w:rsidRDefault="00000000">
      <w:pPr>
        <w:spacing w:before="240"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Utilização de protocolo cirúrgico padronizado, baseado em boas práticas clínicas;</w:t>
      </w:r>
    </w:p>
    <w:p w14:paraId="7B8502EA" w14:textId="77777777" w:rsid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Treinamento da equipe cirúrgica e de pesquisa, garantindo padronização técnica entre os centros participantes;</w:t>
      </w:r>
    </w:p>
    <w:p w14:paraId="02192774" w14:textId="77777777" w:rsid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Aplicação criteriosa dos critérios de inclusão e exclusão</w:t>
      </w:r>
      <w:r w:rsidR="00217196">
        <w:rPr>
          <w:rFonts w:ascii="Times New Roman" w:eastAsia="Times New Roman" w:hAnsi="Times New Roman" w:cs="Times New Roman"/>
          <w:sz w:val="24"/>
          <w:szCs w:val="24"/>
        </w:rPr>
        <w:t>;</w:t>
      </w:r>
    </w:p>
    <w:p w14:paraId="02DE534A" w14:textId="7B4AD9C3" w:rsidR="00E47BC1" w:rsidRP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Monitoramento clínico intensivo durante o seguimento pós-operatório;</w:t>
      </w:r>
    </w:p>
    <w:p w14:paraId="262DE5E5" w14:textId="01911AC9" w:rsidR="00E47BC1" w:rsidRPr="00217196" w:rsidRDefault="00000000">
      <w:pPr>
        <w:spacing w:after="24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Uso de protocolo analgésico escalonado, com medicamentos seguros e bem estabelecidos.</w:t>
      </w:r>
      <w:r w:rsidRPr="00217196">
        <w:rPr>
          <w:rFonts w:ascii="Times New Roman" w:eastAsia="Times New Roman" w:hAnsi="Times New Roman" w:cs="Times New Roman"/>
          <w:sz w:val="24"/>
          <w:szCs w:val="24"/>
        </w:rPr>
        <w:br/>
      </w:r>
    </w:p>
    <w:p w14:paraId="49D95BE2"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Em caso de qualquer dano decorrente da participação na pesquisa, o participante terá garantido o atendimento médico imediato, gratuito e integral, em conformidade com a Resolução CNS nº 466/2012, incluindo encaminhamento para especialistas se necessário. Todas as intercorrências serão registradas, analisadas e tratadas conforme gravidade, com classificação pela escala de Clavien-Dindo.</w:t>
      </w:r>
    </w:p>
    <w:p w14:paraId="32A6C7D7" w14:textId="77777777" w:rsidR="00E47BC1" w:rsidRPr="00217196" w:rsidRDefault="00000000">
      <w:pPr>
        <w:pStyle w:val="Ttulo4"/>
        <w:keepNext w:val="0"/>
        <w:keepLines w:val="0"/>
        <w:spacing w:before="240" w:line="360" w:lineRule="auto"/>
        <w:jc w:val="both"/>
        <w:rPr>
          <w:rFonts w:ascii="Times New Roman" w:eastAsia="Times New Roman" w:hAnsi="Times New Roman" w:cs="Times New Roman"/>
          <w:b/>
          <w:i w:val="0"/>
          <w:color w:val="000000"/>
          <w:sz w:val="24"/>
          <w:szCs w:val="24"/>
        </w:rPr>
      </w:pPr>
      <w:bookmarkStart w:id="8" w:name="_3gg2qbete5qb" w:colFirst="0" w:colLast="0"/>
      <w:bookmarkEnd w:id="8"/>
      <w:r w:rsidRPr="00217196">
        <w:rPr>
          <w:rFonts w:ascii="Times New Roman" w:eastAsia="Times New Roman" w:hAnsi="Times New Roman" w:cs="Times New Roman"/>
          <w:b/>
          <w:i w:val="0"/>
          <w:color w:val="000000"/>
          <w:sz w:val="24"/>
          <w:szCs w:val="24"/>
        </w:rPr>
        <w:t>Benefícios</w:t>
      </w:r>
    </w:p>
    <w:p w14:paraId="434D5BAC"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Embora não se possa assegurar benefício direto a todos os participantes, é possível que pacientes alocados em grupos que utilizem tecnologias avançadas (radiofrequência ou laser de CO₂) apresentem:</w:t>
      </w:r>
    </w:p>
    <w:p w14:paraId="504FC596" w14:textId="77777777" w:rsidR="00217196" w:rsidRDefault="00000000">
      <w:pPr>
        <w:spacing w:before="240"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Redução da dor no pós-operatório</w:t>
      </w:r>
      <w:r w:rsidR="00217196">
        <w:rPr>
          <w:rFonts w:ascii="Times New Roman" w:eastAsia="Times New Roman" w:hAnsi="Times New Roman" w:cs="Times New Roman"/>
          <w:sz w:val="24"/>
          <w:szCs w:val="24"/>
        </w:rPr>
        <w:t>;</w:t>
      </w:r>
    </w:p>
    <w:p w14:paraId="09C2A3CA" w14:textId="3AE723A8" w:rsidR="00E47BC1" w:rsidRPr="00217196" w:rsidRDefault="00000000">
      <w:pPr>
        <w:spacing w:before="240"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lastRenderedPageBreak/>
        <w:br/>
      </w:r>
      <w:r w:rsidRPr="00217196">
        <w:rPr>
          <w:rFonts w:ascii="Times New Roman" w:eastAsia="Times New Roman" w:hAnsi="Times New Roman" w:cs="Times New Roman"/>
          <w:sz w:val="24"/>
          <w:szCs w:val="24"/>
        </w:rPr>
        <w:br/>
      </w:r>
    </w:p>
    <w:p w14:paraId="2653DEB4" w14:textId="77777777" w:rsidR="00217196" w:rsidRDefault="00000000">
      <w:pPr>
        <w:spacing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Menor sangramento e tempo de recuperação;</w:t>
      </w:r>
    </w:p>
    <w:p w14:paraId="0B1228BE" w14:textId="04E9B1C4" w:rsidR="00E47BC1" w:rsidRPr="00217196" w:rsidRDefault="00E47BC1">
      <w:pPr>
        <w:spacing w:after="0" w:line="360" w:lineRule="auto"/>
        <w:ind w:left="1080" w:hanging="360"/>
        <w:jc w:val="both"/>
        <w:rPr>
          <w:rFonts w:ascii="Times New Roman" w:eastAsia="Times New Roman" w:hAnsi="Times New Roman" w:cs="Times New Roman"/>
          <w:sz w:val="24"/>
          <w:szCs w:val="24"/>
        </w:rPr>
      </w:pPr>
    </w:p>
    <w:p w14:paraId="2C1BD2AD" w14:textId="77777777" w:rsidR="00217196" w:rsidRDefault="00000000">
      <w:pPr>
        <w:spacing w:after="24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Menor risco de complicações tardias.</w:t>
      </w:r>
    </w:p>
    <w:p w14:paraId="09744100"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Além disso, todos os participantes terão acesso a:</w:t>
      </w:r>
    </w:p>
    <w:p w14:paraId="4BEE47A2" w14:textId="6F506644" w:rsidR="00E47BC1" w:rsidRPr="00217196" w:rsidRDefault="00000000">
      <w:pPr>
        <w:spacing w:before="240" w:after="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Acompanhamento clínico sistematizado e individualizado durante um ano;</w:t>
      </w:r>
      <w:r w:rsidRPr="00217196">
        <w:rPr>
          <w:rFonts w:ascii="Times New Roman" w:eastAsia="Times New Roman" w:hAnsi="Times New Roman" w:cs="Times New Roman"/>
          <w:sz w:val="24"/>
          <w:szCs w:val="24"/>
        </w:rPr>
        <w:br/>
      </w:r>
    </w:p>
    <w:p w14:paraId="3C97D9B8" w14:textId="77777777" w:rsidR="00217196" w:rsidRDefault="00000000">
      <w:pPr>
        <w:spacing w:after="240" w:line="360" w:lineRule="auto"/>
        <w:ind w:left="1080" w:hanging="36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Conduta padronizada de alta qualidade, com vigilância ativa e tratamento precoce de possíveis complicações.</w:t>
      </w:r>
    </w:p>
    <w:p w14:paraId="7DECFF90"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A contribuição dos participantes é essencial para ampliar o conhecimento científico sobre tecnologias cirúrgicas potencialmente menos traumáticas, o que poderá beneficiar milhares de pacientes no futuro.</w:t>
      </w:r>
    </w:p>
    <w:p w14:paraId="0815260F" w14:textId="77777777" w:rsidR="00E47BC1" w:rsidRPr="00217196" w:rsidRDefault="00000000">
      <w:pPr>
        <w:pStyle w:val="Ttulo4"/>
        <w:keepNext w:val="0"/>
        <w:keepLines w:val="0"/>
        <w:spacing w:before="240" w:line="360" w:lineRule="auto"/>
        <w:jc w:val="both"/>
        <w:rPr>
          <w:rFonts w:ascii="Times New Roman" w:eastAsia="Times New Roman" w:hAnsi="Times New Roman" w:cs="Times New Roman"/>
          <w:b/>
          <w:i w:val="0"/>
          <w:color w:val="000000"/>
          <w:sz w:val="24"/>
          <w:szCs w:val="24"/>
        </w:rPr>
      </w:pPr>
      <w:bookmarkStart w:id="9" w:name="_qzyb44u0cfy3" w:colFirst="0" w:colLast="0"/>
      <w:bookmarkEnd w:id="9"/>
      <w:r w:rsidRPr="00217196">
        <w:rPr>
          <w:rFonts w:ascii="Times New Roman" w:eastAsia="Times New Roman" w:hAnsi="Times New Roman" w:cs="Times New Roman"/>
          <w:b/>
          <w:i w:val="0"/>
          <w:color w:val="000000"/>
          <w:sz w:val="24"/>
          <w:szCs w:val="24"/>
        </w:rPr>
        <w:t>Custos, ressarcimento e garantias</w:t>
      </w:r>
    </w:p>
    <w:p w14:paraId="2E61D2E9"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Os participantes não terão qualquer custo financeiro relacionado à sua participação. Caso haja necessidade de retorno para visitas de seguimento fora da rotina, será oferecido ressarcimento proporcional das despesas com transporte, mediante apresentação de comprovantes. Esse ressarcimento tem caráter compensatório e não constitui incentivo à participação.</w:t>
      </w:r>
    </w:p>
    <w:p w14:paraId="79E4F6BA"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A participação é totalmente voluntária, e os pacientes poderão se retirar do estudo a qualquer momento, sem necessidade de justificativa e sem prejuízo ao seu atendimento médico habitual.</w:t>
      </w:r>
    </w:p>
    <w:p w14:paraId="5FDA45B7"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53B158F8"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55AEF39D"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33C4BFDA"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1E00E4AA"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lastRenderedPageBreak/>
        <w:t>Referências</w:t>
      </w:r>
    </w:p>
    <w:p w14:paraId="235118C3" w14:textId="77777777" w:rsidR="00E47BC1" w:rsidRPr="00217196" w:rsidRDefault="00000000">
      <w:pPr>
        <w:spacing w:before="240" w:after="240" w:line="360" w:lineRule="auto"/>
        <w:ind w:left="640"/>
        <w:jc w:val="both"/>
        <w:rPr>
          <w:rFonts w:ascii="Times New Roman" w:eastAsia="Times New Roman" w:hAnsi="Times New Roman" w:cs="Times New Roman"/>
          <w:sz w:val="24"/>
          <w:szCs w:val="24"/>
          <w:lang w:val="en-US"/>
        </w:rPr>
      </w:pPr>
      <w:r w:rsidRPr="00217196">
        <w:rPr>
          <w:rFonts w:ascii="Times New Roman" w:eastAsia="Times New Roman" w:hAnsi="Times New Roman" w:cs="Times New Roman"/>
          <w:sz w:val="24"/>
          <w:szCs w:val="24"/>
        </w:rPr>
        <w:t xml:space="preserve">1.      </w:t>
      </w:r>
      <w:r w:rsidRPr="00217196">
        <w:rPr>
          <w:rFonts w:ascii="Times New Roman" w:eastAsia="Times New Roman" w:hAnsi="Times New Roman" w:cs="Times New Roman"/>
          <w:sz w:val="24"/>
          <w:szCs w:val="24"/>
        </w:rPr>
        <w:tab/>
      </w:r>
      <w:proofErr w:type="spellStart"/>
      <w:r w:rsidRPr="00217196">
        <w:rPr>
          <w:rFonts w:ascii="Times New Roman" w:eastAsia="Times New Roman" w:hAnsi="Times New Roman" w:cs="Times New Roman"/>
          <w:sz w:val="24"/>
          <w:szCs w:val="24"/>
        </w:rPr>
        <w:t>Brillantino</w:t>
      </w:r>
      <w:proofErr w:type="spellEnd"/>
      <w:r w:rsidRPr="00217196">
        <w:rPr>
          <w:rFonts w:ascii="Times New Roman" w:eastAsia="Times New Roman" w:hAnsi="Times New Roman" w:cs="Times New Roman"/>
          <w:sz w:val="24"/>
          <w:szCs w:val="24"/>
        </w:rPr>
        <w:t xml:space="preserve"> A, </w:t>
      </w:r>
      <w:proofErr w:type="spellStart"/>
      <w:r w:rsidRPr="00217196">
        <w:rPr>
          <w:rFonts w:ascii="Times New Roman" w:eastAsia="Times New Roman" w:hAnsi="Times New Roman" w:cs="Times New Roman"/>
          <w:sz w:val="24"/>
          <w:szCs w:val="24"/>
        </w:rPr>
        <w:t>Renzi</w:t>
      </w:r>
      <w:proofErr w:type="spellEnd"/>
      <w:r w:rsidRPr="00217196">
        <w:rPr>
          <w:rFonts w:ascii="Times New Roman" w:eastAsia="Times New Roman" w:hAnsi="Times New Roman" w:cs="Times New Roman"/>
          <w:sz w:val="24"/>
          <w:szCs w:val="24"/>
        </w:rPr>
        <w:t xml:space="preserve"> A, Talento P, </w:t>
      </w:r>
      <w:proofErr w:type="spellStart"/>
      <w:r w:rsidRPr="00217196">
        <w:rPr>
          <w:rFonts w:ascii="Times New Roman" w:eastAsia="Times New Roman" w:hAnsi="Times New Roman" w:cs="Times New Roman"/>
          <w:sz w:val="24"/>
          <w:szCs w:val="24"/>
        </w:rPr>
        <w:t>Brusciano</w:t>
      </w:r>
      <w:proofErr w:type="spellEnd"/>
      <w:r w:rsidRPr="00217196">
        <w:rPr>
          <w:rFonts w:ascii="Times New Roman" w:eastAsia="Times New Roman" w:hAnsi="Times New Roman" w:cs="Times New Roman"/>
          <w:sz w:val="24"/>
          <w:szCs w:val="24"/>
        </w:rPr>
        <w:t xml:space="preserve"> L, Marano L, Grillo M, et al. </w:t>
      </w:r>
      <w:r w:rsidRPr="00217196">
        <w:rPr>
          <w:rFonts w:ascii="Times New Roman" w:eastAsia="Times New Roman" w:hAnsi="Times New Roman" w:cs="Times New Roman"/>
          <w:sz w:val="24"/>
          <w:szCs w:val="24"/>
          <w:lang w:val="en-US"/>
        </w:rPr>
        <w:t xml:space="preserve">The Italian Unitary Society of Colon-Proctology (Società </w:t>
      </w:r>
      <w:proofErr w:type="spellStart"/>
      <w:r w:rsidRPr="00217196">
        <w:rPr>
          <w:rFonts w:ascii="Times New Roman" w:eastAsia="Times New Roman" w:hAnsi="Times New Roman" w:cs="Times New Roman"/>
          <w:sz w:val="24"/>
          <w:szCs w:val="24"/>
          <w:lang w:val="en-US"/>
        </w:rPr>
        <w:t>Italiana</w:t>
      </w:r>
      <w:proofErr w:type="spellEnd"/>
      <w:r w:rsidRPr="00217196">
        <w:rPr>
          <w:rFonts w:ascii="Times New Roman" w:eastAsia="Times New Roman" w:hAnsi="Times New Roman" w:cs="Times New Roman"/>
          <w:sz w:val="24"/>
          <w:szCs w:val="24"/>
          <w:lang w:val="en-US"/>
        </w:rPr>
        <w:t xml:space="preserve"> </w:t>
      </w:r>
      <w:proofErr w:type="spellStart"/>
      <w:r w:rsidRPr="00217196">
        <w:rPr>
          <w:rFonts w:ascii="Times New Roman" w:eastAsia="Times New Roman" w:hAnsi="Times New Roman" w:cs="Times New Roman"/>
          <w:sz w:val="24"/>
          <w:szCs w:val="24"/>
          <w:lang w:val="en-US"/>
        </w:rPr>
        <w:t>Unitaria</w:t>
      </w:r>
      <w:proofErr w:type="spellEnd"/>
      <w:r w:rsidRPr="00217196">
        <w:rPr>
          <w:rFonts w:ascii="Times New Roman" w:eastAsia="Times New Roman" w:hAnsi="Times New Roman" w:cs="Times New Roman"/>
          <w:sz w:val="24"/>
          <w:szCs w:val="24"/>
          <w:lang w:val="en-US"/>
        </w:rPr>
        <w:t xml:space="preserve"> di </w:t>
      </w:r>
      <w:proofErr w:type="spellStart"/>
      <w:r w:rsidRPr="00217196">
        <w:rPr>
          <w:rFonts w:ascii="Times New Roman" w:eastAsia="Times New Roman" w:hAnsi="Times New Roman" w:cs="Times New Roman"/>
          <w:sz w:val="24"/>
          <w:szCs w:val="24"/>
          <w:lang w:val="en-US"/>
        </w:rPr>
        <w:t>Colonproctologia</w:t>
      </w:r>
      <w:proofErr w:type="spellEnd"/>
      <w:r w:rsidRPr="00217196">
        <w:rPr>
          <w:rFonts w:ascii="Times New Roman" w:eastAsia="Times New Roman" w:hAnsi="Times New Roman" w:cs="Times New Roman"/>
          <w:sz w:val="24"/>
          <w:szCs w:val="24"/>
          <w:lang w:val="en-US"/>
        </w:rPr>
        <w:t>) guidelines for the management of acute and chronic hemorrhoidal disease. Ann Coloproctol. 2024 Aug 1;40(4):287–320.</w:t>
      </w:r>
    </w:p>
    <w:p w14:paraId="792FC3DB" w14:textId="77777777" w:rsidR="00E47BC1" w:rsidRPr="00217196" w:rsidRDefault="00000000">
      <w:pPr>
        <w:spacing w:before="240" w:after="240" w:line="360" w:lineRule="auto"/>
        <w:ind w:left="640"/>
        <w:jc w:val="both"/>
        <w:rPr>
          <w:rFonts w:ascii="Times New Roman" w:eastAsia="Times New Roman" w:hAnsi="Times New Roman" w:cs="Times New Roman"/>
          <w:sz w:val="24"/>
          <w:szCs w:val="24"/>
          <w:lang w:val="en-US"/>
        </w:rPr>
      </w:pPr>
      <w:r w:rsidRPr="00217196">
        <w:rPr>
          <w:rFonts w:ascii="Times New Roman" w:eastAsia="Times New Roman" w:hAnsi="Times New Roman" w:cs="Times New Roman"/>
          <w:sz w:val="24"/>
          <w:szCs w:val="24"/>
          <w:lang w:val="en-US"/>
        </w:rPr>
        <w:t xml:space="preserve">2.      </w:t>
      </w:r>
      <w:r w:rsidRPr="00217196">
        <w:rPr>
          <w:rFonts w:ascii="Times New Roman" w:eastAsia="Times New Roman" w:hAnsi="Times New Roman" w:cs="Times New Roman"/>
          <w:sz w:val="24"/>
          <w:szCs w:val="24"/>
          <w:lang w:val="en-US"/>
        </w:rPr>
        <w:tab/>
        <w:t>Hawkins AT, Davis BR, Bhama AR, Fang SH, Dawes AJ, Feingold DL, et al. The American Society of Colon and Rectal Surgeons Clinical Practice Guidelines for the Management of Hemorrhoids. Dis Colon Rectum. 2024 May 1;67(5):614–23.</w:t>
      </w:r>
    </w:p>
    <w:p w14:paraId="3879B2A7" w14:textId="77777777" w:rsidR="00E47BC1" w:rsidRPr="00217196" w:rsidRDefault="00000000">
      <w:pPr>
        <w:spacing w:before="240" w:after="240" w:line="360" w:lineRule="auto"/>
        <w:ind w:left="64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lang w:val="en-US"/>
        </w:rPr>
        <w:t xml:space="preserve">3.      </w:t>
      </w:r>
      <w:r w:rsidRPr="00217196">
        <w:rPr>
          <w:rFonts w:ascii="Times New Roman" w:eastAsia="Times New Roman" w:hAnsi="Times New Roman" w:cs="Times New Roman"/>
          <w:sz w:val="24"/>
          <w:szCs w:val="24"/>
          <w:lang w:val="en-US"/>
        </w:rPr>
        <w:tab/>
        <w:t xml:space="preserve">Giordano P, Gravante G, Sorge R. Long-term Outcomes of Stapled </w:t>
      </w:r>
      <w:proofErr w:type="spellStart"/>
      <w:r w:rsidRPr="00217196">
        <w:rPr>
          <w:rFonts w:ascii="Times New Roman" w:eastAsia="Times New Roman" w:hAnsi="Times New Roman" w:cs="Times New Roman"/>
          <w:sz w:val="24"/>
          <w:szCs w:val="24"/>
          <w:lang w:val="en-US"/>
        </w:rPr>
        <w:t>Hemorrhoidopexy</w:t>
      </w:r>
      <w:proofErr w:type="spellEnd"/>
      <w:r w:rsidRPr="00217196">
        <w:rPr>
          <w:rFonts w:ascii="Times New Roman" w:eastAsia="Times New Roman" w:hAnsi="Times New Roman" w:cs="Times New Roman"/>
          <w:sz w:val="24"/>
          <w:szCs w:val="24"/>
          <w:lang w:val="en-US"/>
        </w:rPr>
        <w:t xml:space="preserve"> vs Conventional Hemorrhoidectomy A Meta-analysis of Randomized Controlled Trials [Internet]. </w:t>
      </w:r>
      <w:r w:rsidRPr="00217196">
        <w:rPr>
          <w:rFonts w:ascii="Times New Roman" w:eastAsia="Times New Roman" w:hAnsi="Times New Roman" w:cs="Times New Roman"/>
          <w:sz w:val="24"/>
          <w:szCs w:val="24"/>
        </w:rPr>
        <w:t xml:space="preserve">Available </w:t>
      </w:r>
      <w:proofErr w:type="spellStart"/>
      <w:r w:rsidRPr="00217196">
        <w:rPr>
          <w:rFonts w:ascii="Times New Roman" w:eastAsia="Times New Roman" w:hAnsi="Times New Roman" w:cs="Times New Roman"/>
          <w:sz w:val="24"/>
          <w:szCs w:val="24"/>
        </w:rPr>
        <w:t>from</w:t>
      </w:r>
      <w:proofErr w:type="spellEnd"/>
      <w:r w:rsidRPr="00217196">
        <w:rPr>
          <w:rFonts w:ascii="Times New Roman" w:eastAsia="Times New Roman" w:hAnsi="Times New Roman" w:cs="Times New Roman"/>
          <w:sz w:val="24"/>
          <w:szCs w:val="24"/>
        </w:rPr>
        <w:t>: http://archsurg.jamanetwork.com/</w:t>
      </w:r>
    </w:p>
    <w:p w14:paraId="2FC78184" w14:textId="77777777" w:rsidR="00E47BC1" w:rsidRPr="00217196" w:rsidRDefault="00000000">
      <w:pPr>
        <w:spacing w:before="240" w:after="240" w:line="360" w:lineRule="auto"/>
        <w:ind w:left="64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4.      </w:t>
      </w:r>
      <w:r w:rsidRPr="00217196">
        <w:rPr>
          <w:rFonts w:ascii="Times New Roman" w:eastAsia="Times New Roman" w:hAnsi="Times New Roman" w:cs="Times New Roman"/>
          <w:sz w:val="24"/>
          <w:szCs w:val="24"/>
        </w:rPr>
        <w:tab/>
        <w:t xml:space="preserve">Barbi JSF, Diniz L, do Espírito Santo RO, Soares ÍP, Pires MC. </w:t>
      </w:r>
      <w:r w:rsidRPr="00217196">
        <w:rPr>
          <w:rFonts w:ascii="Times New Roman" w:eastAsia="Times New Roman" w:hAnsi="Times New Roman" w:cs="Times New Roman"/>
          <w:sz w:val="24"/>
          <w:szCs w:val="24"/>
          <w:lang w:val="en-US"/>
        </w:rPr>
        <w:t xml:space="preserve">Radiofrequency versus scalpel incision for upper blepharoplasty: A clinicopathologic and photo documentation comparison. </w:t>
      </w:r>
      <w:proofErr w:type="spellStart"/>
      <w:r w:rsidRPr="00217196">
        <w:rPr>
          <w:rFonts w:ascii="Times New Roman" w:eastAsia="Times New Roman" w:hAnsi="Times New Roman" w:cs="Times New Roman"/>
          <w:sz w:val="24"/>
          <w:szCs w:val="24"/>
        </w:rPr>
        <w:t>Rev</w:t>
      </w:r>
      <w:proofErr w:type="spellEnd"/>
      <w:r w:rsidRPr="00217196">
        <w:rPr>
          <w:rFonts w:ascii="Times New Roman" w:eastAsia="Times New Roman" w:hAnsi="Times New Roman" w:cs="Times New Roman"/>
          <w:sz w:val="24"/>
          <w:szCs w:val="24"/>
        </w:rPr>
        <w:t xml:space="preserve"> </w:t>
      </w:r>
      <w:proofErr w:type="spellStart"/>
      <w:r w:rsidRPr="00217196">
        <w:rPr>
          <w:rFonts w:ascii="Times New Roman" w:eastAsia="Times New Roman" w:hAnsi="Times New Roman" w:cs="Times New Roman"/>
          <w:sz w:val="24"/>
          <w:szCs w:val="24"/>
        </w:rPr>
        <w:t>Bras</w:t>
      </w:r>
      <w:proofErr w:type="spellEnd"/>
      <w:r w:rsidRPr="00217196">
        <w:rPr>
          <w:rFonts w:ascii="Times New Roman" w:eastAsia="Times New Roman" w:hAnsi="Times New Roman" w:cs="Times New Roman"/>
          <w:sz w:val="24"/>
          <w:szCs w:val="24"/>
        </w:rPr>
        <w:t xml:space="preserve"> Oftalmol. 2020 Mar 1;79(2):122–7.</w:t>
      </w:r>
    </w:p>
    <w:p w14:paraId="13C07E6C" w14:textId="77777777" w:rsidR="00E47BC1" w:rsidRPr="00217196" w:rsidRDefault="00000000">
      <w:pPr>
        <w:spacing w:before="240" w:after="240" w:line="360" w:lineRule="auto"/>
        <w:ind w:left="64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5.      </w:t>
      </w:r>
      <w:r w:rsidRPr="00217196">
        <w:rPr>
          <w:rFonts w:ascii="Times New Roman" w:eastAsia="Times New Roman" w:hAnsi="Times New Roman" w:cs="Times New Roman"/>
          <w:sz w:val="24"/>
          <w:szCs w:val="24"/>
        </w:rPr>
        <w:tab/>
      </w:r>
      <w:proofErr w:type="spellStart"/>
      <w:r w:rsidRPr="00217196">
        <w:rPr>
          <w:rFonts w:ascii="Times New Roman" w:eastAsia="Times New Roman" w:hAnsi="Times New Roman" w:cs="Times New Roman"/>
          <w:sz w:val="24"/>
          <w:szCs w:val="24"/>
        </w:rPr>
        <w:t>Sperli</w:t>
      </w:r>
      <w:proofErr w:type="spellEnd"/>
      <w:r w:rsidRPr="00217196">
        <w:rPr>
          <w:rFonts w:ascii="Times New Roman" w:eastAsia="Times New Roman" w:hAnsi="Times New Roman" w:cs="Times New Roman"/>
          <w:sz w:val="24"/>
          <w:szCs w:val="24"/>
        </w:rPr>
        <w:t xml:space="preserve"> AE, Octávio Gonçalves De Freitas J, Fischler R. </w:t>
      </w:r>
      <w:proofErr w:type="spellStart"/>
      <w:r w:rsidRPr="00217196">
        <w:rPr>
          <w:rFonts w:ascii="Times New Roman" w:eastAsia="Times New Roman" w:hAnsi="Times New Roman" w:cs="Times New Roman"/>
          <w:sz w:val="24"/>
          <w:szCs w:val="24"/>
        </w:rPr>
        <w:t>Rinofima</w:t>
      </w:r>
      <w:proofErr w:type="spellEnd"/>
      <w:r w:rsidRPr="00217196">
        <w:rPr>
          <w:rFonts w:ascii="Times New Roman" w:eastAsia="Times New Roman" w:hAnsi="Times New Roman" w:cs="Times New Roman"/>
          <w:sz w:val="24"/>
          <w:szCs w:val="24"/>
        </w:rPr>
        <w:t xml:space="preserve">: tratamento com equipamento de alta frequência (radiofrequência). </w:t>
      </w:r>
      <w:proofErr w:type="spellStart"/>
      <w:r w:rsidRPr="00217196">
        <w:rPr>
          <w:rFonts w:ascii="Times New Roman" w:eastAsia="Times New Roman" w:hAnsi="Times New Roman" w:cs="Times New Roman"/>
          <w:sz w:val="24"/>
          <w:szCs w:val="24"/>
        </w:rPr>
        <w:t>Rev</w:t>
      </w:r>
      <w:proofErr w:type="spellEnd"/>
      <w:r w:rsidRPr="00217196">
        <w:rPr>
          <w:rFonts w:ascii="Times New Roman" w:eastAsia="Times New Roman" w:hAnsi="Times New Roman" w:cs="Times New Roman"/>
          <w:sz w:val="24"/>
          <w:szCs w:val="24"/>
        </w:rPr>
        <w:t xml:space="preserve"> </w:t>
      </w:r>
      <w:proofErr w:type="spellStart"/>
      <w:r w:rsidRPr="00217196">
        <w:rPr>
          <w:rFonts w:ascii="Times New Roman" w:eastAsia="Times New Roman" w:hAnsi="Times New Roman" w:cs="Times New Roman"/>
          <w:sz w:val="24"/>
          <w:szCs w:val="24"/>
        </w:rPr>
        <w:t>Bras</w:t>
      </w:r>
      <w:proofErr w:type="spellEnd"/>
      <w:r w:rsidRPr="00217196">
        <w:rPr>
          <w:rFonts w:ascii="Times New Roman" w:eastAsia="Times New Roman" w:hAnsi="Times New Roman" w:cs="Times New Roman"/>
          <w:sz w:val="24"/>
          <w:szCs w:val="24"/>
        </w:rPr>
        <w:t xml:space="preserve"> </w:t>
      </w:r>
      <w:proofErr w:type="spellStart"/>
      <w:r w:rsidRPr="00217196">
        <w:rPr>
          <w:rFonts w:ascii="Times New Roman" w:eastAsia="Times New Roman" w:hAnsi="Times New Roman" w:cs="Times New Roman"/>
          <w:sz w:val="24"/>
          <w:szCs w:val="24"/>
        </w:rPr>
        <w:t>Cir</w:t>
      </w:r>
      <w:proofErr w:type="spellEnd"/>
      <w:r w:rsidRPr="00217196">
        <w:rPr>
          <w:rFonts w:ascii="Times New Roman" w:eastAsia="Times New Roman" w:hAnsi="Times New Roman" w:cs="Times New Roman"/>
          <w:sz w:val="24"/>
          <w:szCs w:val="24"/>
        </w:rPr>
        <w:t xml:space="preserve"> </w:t>
      </w:r>
      <w:proofErr w:type="spellStart"/>
      <w:r w:rsidRPr="00217196">
        <w:rPr>
          <w:rFonts w:ascii="Times New Roman" w:eastAsia="Times New Roman" w:hAnsi="Times New Roman" w:cs="Times New Roman"/>
          <w:sz w:val="24"/>
          <w:szCs w:val="24"/>
        </w:rPr>
        <w:t>Plást</w:t>
      </w:r>
      <w:proofErr w:type="spellEnd"/>
      <w:r w:rsidRPr="00217196">
        <w:rPr>
          <w:rFonts w:ascii="Times New Roman" w:eastAsia="Times New Roman" w:hAnsi="Times New Roman" w:cs="Times New Roman"/>
          <w:sz w:val="24"/>
          <w:szCs w:val="24"/>
        </w:rPr>
        <w:t>. 2009;24(4):504–8.</w:t>
      </w:r>
    </w:p>
    <w:p w14:paraId="5ABEA410" w14:textId="77777777" w:rsidR="00E47BC1" w:rsidRPr="00217196" w:rsidRDefault="00000000">
      <w:pPr>
        <w:spacing w:before="240" w:after="240" w:line="360" w:lineRule="auto"/>
        <w:ind w:left="640"/>
        <w:jc w:val="both"/>
        <w:rPr>
          <w:rFonts w:ascii="Times New Roman" w:eastAsia="Times New Roman" w:hAnsi="Times New Roman" w:cs="Times New Roman"/>
          <w:sz w:val="24"/>
          <w:szCs w:val="24"/>
          <w:lang w:val="en-US"/>
        </w:rPr>
      </w:pPr>
      <w:r w:rsidRPr="00217196">
        <w:rPr>
          <w:rFonts w:ascii="Times New Roman" w:eastAsia="Times New Roman" w:hAnsi="Times New Roman" w:cs="Times New Roman"/>
          <w:sz w:val="24"/>
          <w:szCs w:val="24"/>
        </w:rPr>
        <w:t xml:space="preserve">6.      </w:t>
      </w:r>
      <w:r w:rsidRPr="00217196">
        <w:rPr>
          <w:rFonts w:ascii="Times New Roman" w:eastAsia="Times New Roman" w:hAnsi="Times New Roman" w:cs="Times New Roman"/>
          <w:sz w:val="24"/>
          <w:szCs w:val="24"/>
        </w:rPr>
        <w:tab/>
      </w:r>
      <w:proofErr w:type="spellStart"/>
      <w:r w:rsidRPr="00217196">
        <w:rPr>
          <w:rFonts w:ascii="Times New Roman" w:eastAsia="Times New Roman" w:hAnsi="Times New Roman" w:cs="Times New Roman"/>
          <w:sz w:val="24"/>
          <w:szCs w:val="24"/>
        </w:rPr>
        <w:t>Filingeri</w:t>
      </w:r>
      <w:proofErr w:type="spellEnd"/>
      <w:r w:rsidRPr="00217196">
        <w:rPr>
          <w:rFonts w:ascii="Times New Roman" w:eastAsia="Times New Roman" w:hAnsi="Times New Roman" w:cs="Times New Roman"/>
          <w:sz w:val="24"/>
          <w:szCs w:val="24"/>
        </w:rPr>
        <w:t xml:space="preserve"> V, </w:t>
      </w:r>
      <w:proofErr w:type="spellStart"/>
      <w:r w:rsidRPr="00217196">
        <w:rPr>
          <w:rFonts w:ascii="Times New Roman" w:eastAsia="Times New Roman" w:hAnsi="Times New Roman" w:cs="Times New Roman"/>
          <w:sz w:val="24"/>
          <w:szCs w:val="24"/>
        </w:rPr>
        <w:t>Gravante</w:t>
      </w:r>
      <w:proofErr w:type="spellEnd"/>
      <w:r w:rsidRPr="00217196">
        <w:rPr>
          <w:rFonts w:ascii="Times New Roman" w:eastAsia="Times New Roman" w:hAnsi="Times New Roman" w:cs="Times New Roman"/>
          <w:sz w:val="24"/>
          <w:szCs w:val="24"/>
        </w:rPr>
        <w:t xml:space="preserve"> G, </w:t>
      </w:r>
      <w:proofErr w:type="spellStart"/>
      <w:r w:rsidRPr="00217196">
        <w:rPr>
          <w:rFonts w:ascii="Times New Roman" w:eastAsia="Times New Roman" w:hAnsi="Times New Roman" w:cs="Times New Roman"/>
          <w:sz w:val="24"/>
          <w:szCs w:val="24"/>
        </w:rPr>
        <w:t>Baldessari</w:t>
      </w:r>
      <w:proofErr w:type="spellEnd"/>
      <w:r w:rsidRPr="00217196">
        <w:rPr>
          <w:rFonts w:ascii="Times New Roman" w:eastAsia="Times New Roman" w:hAnsi="Times New Roman" w:cs="Times New Roman"/>
          <w:sz w:val="24"/>
          <w:szCs w:val="24"/>
        </w:rPr>
        <w:t xml:space="preserve"> E, Grimaldi M, </w:t>
      </w:r>
      <w:proofErr w:type="spellStart"/>
      <w:r w:rsidRPr="00217196">
        <w:rPr>
          <w:rFonts w:ascii="Times New Roman" w:eastAsia="Times New Roman" w:hAnsi="Times New Roman" w:cs="Times New Roman"/>
          <w:sz w:val="24"/>
          <w:szCs w:val="24"/>
        </w:rPr>
        <w:t>Casciani</w:t>
      </w:r>
      <w:proofErr w:type="spellEnd"/>
      <w:r w:rsidRPr="00217196">
        <w:rPr>
          <w:rFonts w:ascii="Times New Roman" w:eastAsia="Times New Roman" w:hAnsi="Times New Roman" w:cs="Times New Roman"/>
          <w:sz w:val="24"/>
          <w:szCs w:val="24"/>
        </w:rPr>
        <w:t xml:space="preserve"> CU. </w:t>
      </w:r>
      <w:r w:rsidRPr="00217196">
        <w:rPr>
          <w:rFonts w:ascii="Times New Roman" w:eastAsia="Times New Roman" w:hAnsi="Times New Roman" w:cs="Times New Roman"/>
          <w:sz w:val="24"/>
          <w:szCs w:val="24"/>
          <w:lang w:val="en-US"/>
        </w:rPr>
        <w:t xml:space="preserve">Prospective randomized trial of submucosal hemorrhoidectomy with radiofrequency bistoury vs. conventional Parks’ operation. Tech </w:t>
      </w:r>
      <w:proofErr w:type="spellStart"/>
      <w:r w:rsidRPr="00217196">
        <w:rPr>
          <w:rFonts w:ascii="Times New Roman" w:eastAsia="Times New Roman" w:hAnsi="Times New Roman" w:cs="Times New Roman"/>
          <w:sz w:val="24"/>
          <w:szCs w:val="24"/>
          <w:lang w:val="en-US"/>
        </w:rPr>
        <w:t>Coloproctol</w:t>
      </w:r>
      <w:proofErr w:type="spellEnd"/>
      <w:r w:rsidRPr="00217196">
        <w:rPr>
          <w:rFonts w:ascii="Times New Roman" w:eastAsia="Times New Roman" w:hAnsi="Times New Roman" w:cs="Times New Roman"/>
          <w:sz w:val="24"/>
          <w:szCs w:val="24"/>
          <w:lang w:val="en-US"/>
        </w:rPr>
        <w:t>. 2004 Mar;8(1):31–6.</w:t>
      </w:r>
    </w:p>
    <w:p w14:paraId="5EA8E7CE" w14:textId="77777777" w:rsidR="00E47BC1" w:rsidRPr="00217196" w:rsidRDefault="00000000">
      <w:pPr>
        <w:spacing w:before="240" w:after="240" w:line="360" w:lineRule="auto"/>
        <w:ind w:left="640"/>
        <w:jc w:val="both"/>
        <w:rPr>
          <w:rFonts w:ascii="Times New Roman" w:eastAsia="Times New Roman" w:hAnsi="Times New Roman" w:cs="Times New Roman"/>
          <w:sz w:val="24"/>
          <w:szCs w:val="24"/>
          <w:lang w:val="en-US"/>
        </w:rPr>
      </w:pPr>
      <w:r w:rsidRPr="00217196">
        <w:rPr>
          <w:rFonts w:ascii="Times New Roman" w:eastAsia="Times New Roman" w:hAnsi="Times New Roman" w:cs="Times New Roman"/>
          <w:sz w:val="24"/>
          <w:szCs w:val="24"/>
          <w:lang w:val="en-US"/>
        </w:rPr>
        <w:t xml:space="preserve">7.      </w:t>
      </w:r>
      <w:r w:rsidRPr="00217196">
        <w:rPr>
          <w:rFonts w:ascii="Times New Roman" w:eastAsia="Times New Roman" w:hAnsi="Times New Roman" w:cs="Times New Roman"/>
          <w:sz w:val="24"/>
          <w:szCs w:val="24"/>
          <w:lang w:val="en-US"/>
        </w:rPr>
        <w:tab/>
        <w:t>Huskisson EC. MEASUREMENT OF PAIN. The Lancet. 1974 Nov;304(7880):1127–31.</w:t>
      </w:r>
    </w:p>
    <w:p w14:paraId="10D1BC8E" w14:textId="77777777" w:rsidR="00E47BC1" w:rsidRPr="00217196" w:rsidRDefault="00000000">
      <w:pPr>
        <w:spacing w:before="240" w:after="240" w:line="360" w:lineRule="auto"/>
        <w:ind w:left="64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lang w:val="en-US"/>
        </w:rPr>
        <w:t xml:space="preserve">8.      </w:t>
      </w:r>
      <w:r w:rsidRPr="00217196">
        <w:rPr>
          <w:rFonts w:ascii="Times New Roman" w:eastAsia="Times New Roman" w:hAnsi="Times New Roman" w:cs="Times New Roman"/>
          <w:sz w:val="24"/>
          <w:szCs w:val="24"/>
          <w:lang w:val="en-US"/>
        </w:rPr>
        <w:tab/>
        <w:t xml:space="preserve">Kraemer M, Kara D, Rzepisko M, </w:t>
      </w:r>
      <w:proofErr w:type="spellStart"/>
      <w:r w:rsidRPr="00217196">
        <w:rPr>
          <w:rFonts w:ascii="Times New Roman" w:eastAsia="Times New Roman" w:hAnsi="Times New Roman" w:cs="Times New Roman"/>
          <w:sz w:val="24"/>
          <w:szCs w:val="24"/>
          <w:lang w:val="en-US"/>
        </w:rPr>
        <w:t>Sayfan</w:t>
      </w:r>
      <w:proofErr w:type="spellEnd"/>
      <w:r w:rsidRPr="00217196">
        <w:rPr>
          <w:rFonts w:ascii="Times New Roman" w:eastAsia="Times New Roman" w:hAnsi="Times New Roman" w:cs="Times New Roman"/>
          <w:sz w:val="24"/>
          <w:szCs w:val="24"/>
          <w:lang w:val="en-US"/>
        </w:rPr>
        <w:t xml:space="preserve"> J. A simple tool to evaluate common disorders: validation of a “proctological symptom scale.” </w:t>
      </w:r>
      <w:proofErr w:type="spellStart"/>
      <w:r w:rsidRPr="00217196">
        <w:rPr>
          <w:rFonts w:ascii="Times New Roman" w:eastAsia="Times New Roman" w:hAnsi="Times New Roman" w:cs="Times New Roman"/>
          <w:sz w:val="24"/>
          <w:szCs w:val="24"/>
        </w:rPr>
        <w:t>Int</w:t>
      </w:r>
      <w:proofErr w:type="spellEnd"/>
      <w:r w:rsidRPr="00217196">
        <w:rPr>
          <w:rFonts w:ascii="Times New Roman" w:eastAsia="Times New Roman" w:hAnsi="Times New Roman" w:cs="Times New Roman"/>
          <w:sz w:val="24"/>
          <w:szCs w:val="24"/>
        </w:rPr>
        <w:t xml:space="preserve"> J </w:t>
      </w:r>
      <w:proofErr w:type="spellStart"/>
      <w:r w:rsidRPr="00217196">
        <w:rPr>
          <w:rFonts w:ascii="Times New Roman" w:eastAsia="Times New Roman" w:hAnsi="Times New Roman" w:cs="Times New Roman"/>
          <w:sz w:val="24"/>
          <w:szCs w:val="24"/>
        </w:rPr>
        <w:t>Colorectal</w:t>
      </w:r>
      <w:proofErr w:type="spellEnd"/>
      <w:r w:rsidRPr="00217196">
        <w:rPr>
          <w:rFonts w:ascii="Times New Roman" w:eastAsia="Times New Roman" w:hAnsi="Times New Roman" w:cs="Times New Roman"/>
          <w:sz w:val="24"/>
          <w:szCs w:val="24"/>
        </w:rPr>
        <w:t xml:space="preserve"> </w:t>
      </w:r>
      <w:proofErr w:type="spellStart"/>
      <w:r w:rsidRPr="00217196">
        <w:rPr>
          <w:rFonts w:ascii="Times New Roman" w:eastAsia="Times New Roman" w:hAnsi="Times New Roman" w:cs="Times New Roman"/>
          <w:sz w:val="24"/>
          <w:szCs w:val="24"/>
        </w:rPr>
        <w:t>Dis</w:t>
      </w:r>
      <w:proofErr w:type="spellEnd"/>
      <w:r w:rsidRPr="00217196">
        <w:rPr>
          <w:rFonts w:ascii="Times New Roman" w:eastAsia="Times New Roman" w:hAnsi="Times New Roman" w:cs="Times New Roman"/>
          <w:sz w:val="24"/>
          <w:szCs w:val="24"/>
        </w:rPr>
        <w:t>. 2015 May 28;30(5):679–82.</w:t>
      </w:r>
    </w:p>
    <w:p w14:paraId="593B4A95" w14:textId="77777777" w:rsidR="00E47BC1" w:rsidRPr="00217196" w:rsidRDefault="00000000">
      <w:pPr>
        <w:spacing w:before="240" w:after="240" w:line="360" w:lineRule="auto"/>
        <w:ind w:left="640"/>
        <w:jc w:val="both"/>
        <w:rPr>
          <w:rFonts w:ascii="Times New Roman" w:eastAsia="Times New Roman" w:hAnsi="Times New Roman" w:cs="Times New Roman"/>
          <w:sz w:val="24"/>
          <w:szCs w:val="24"/>
          <w:lang w:val="en-US"/>
        </w:rPr>
      </w:pPr>
      <w:r w:rsidRPr="00217196">
        <w:rPr>
          <w:rFonts w:ascii="Times New Roman" w:eastAsia="Times New Roman" w:hAnsi="Times New Roman" w:cs="Times New Roman"/>
          <w:sz w:val="24"/>
          <w:szCs w:val="24"/>
        </w:rPr>
        <w:lastRenderedPageBreak/>
        <w:t xml:space="preserve">9.      </w:t>
      </w:r>
      <w:r w:rsidRPr="00217196">
        <w:rPr>
          <w:rFonts w:ascii="Times New Roman" w:eastAsia="Times New Roman" w:hAnsi="Times New Roman" w:cs="Times New Roman"/>
          <w:sz w:val="24"/>
          <w:szCs w:val="24"/>
        </w:rPr>
        <w:tab/>
        <w:t xml:space="preserve">MARIANA FURTADO MEINBERG. ADAPTAÇÃO CULTURAL E VALIDAÇÃO DA ESCALA DE WEXNER EM MULHERES COM INCONTINÊNCIA ANAL NA POPULAÇÃO BRASILEIRA [Internet]. </w:t>
      </w:r>
      <w:r w:rsidRPr="00217196">
        <w:rPr>
          <w:rFonts w:ascii="Times New Roman" w:eastAsia="Times New Roman" w:hAnsi="Times New Roman" w:cs="Times New Roman"/>
          <w:sz w:val="24"/>
          <w:szCs w:val="24"/>
          <w:lang w:val="en-US"/>
        </w:rPr>
        <w:t>[Belo Horizonte]; 2014 [cited 2025 Jul 12]. Available from: http://hdl.handle.net/1843/BUBD-A2MG5Q</w:t>
      </w:r>
    </w:p>
    <w:p w14:paraId="52A91C68" w14:textId="77777777" w:rsidR="00E47BC1" w:rsidRPr="00217196" w:rsidRDefault="00000000">
      <w:pPr>
        <w:spacing w:before="240" w:after="240" w:line="360" w:lineRule="auto"/>
        <w:ind w:left="64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lang w:val="en-US"/>
        </w:rPr>
        <w:t xml:space="preserve">10.    </w:t>
      </w:r>
      <w:r w:rsidRPr="00217196">
        <w:rPr>
          <w:rFonts w:ascii="Times New Roman" w:eastAsia="Times New Roman" w:hAnsi="Times New Roman" w:cs="Times New Roman"/>
          <w:sz w:val="24"/>
          <w:szCs w:val="24"/>
          <w:lang w:val="en-US"/>
        </w:rPr>
        <w:tab/>
        <w:t xml:space="preserve">Carrington E V., Heinrich H, Knowles CH, Fox M, Rao S, Altomare DF, et al. The international anorectal physiology working group (IAPWG) recommendations: Standardized testing protocol and the London classification for disorders of anorectal function. </w:t>
      </w:r>
      <w:proofErr w:type="spellStart"/>
      <w:r w:rsidRPr="00217196">
        <w:rPr>
          <w:rFonts w:ascii="Times New Roman" w:eastAsia="Times New Roman" w:hAnsi="Times New Roman" w:cs="Times New Roman"/>
          <w:sz w:val="24"/>
          <w:szCs w:val="24"/>
        </w:rPr>
        <w:t>Neurogastroenterology</w:t>
      </w:r>
      <w:proofErr w:type="spellEnd"/>
      <w:r w:rsidRPr="00217196">
        <w:rPr>
          <w:rFonts w:ascii="Times New Roman" w:eastAsia="Times New Roman" w:hAnsi="Times New Roman" w:cs="Times New Roman"/>
          <w:sz w:val="24"/>
          <w:szCs w:val="24"/>
        </w:rPr>
        <w:t xml:space="preserve"> </w:t>
      </w:r>
      <w:proofErr w:type="spellStart"/>
      <w:r w:rsidRPr="00217196">
        <w:rPr>
          <w:rFonts w:ascii="Times New Roman" w:eastAsia="Times New Roman" w:hAnsi="Times New Roman" w:cs="Times New Roman"/>
          <w:sz w:val="24"/>
          <w:szCs w:val="24"/>
        </w:rPr>
        <w:t>and</w:t>
      </w:r>
      <w:proofErr w:type="spellEnd"/>
      <w:r w:rsidRPr="00217196">
        <w:rPr>
          <w:rFonts w:ascii="Times New Roman" w:eastAsia="Times New Roman" w:hAnsi="Times New Roman" w:cs="Times New Roman"/>
          <w:sz w:val="24"/>
          <w:szCs w:val="24"/>
        </w:rPr>
        <w:t xml:space="preserve"> </w:t>
      </w:r>
      <w:proofErr w:type="spellStart"/>
      <w:r w:rsidRPr="00217196">
        <w:rPr>
          <w:rFonts w:ascii="Times New Roman" w:eastAsia="Times New Roman" w:hAnsi="Times New Roman" w:cs="Times New Roman"/>
          <w:sz w:val="24"/>
          <w:szCs w:val="24"/>
        </w:rPr>
        <w:t>Motility</w:t>
      </w:r>
      <w:proofErr w:type="spellEnd"/>
      <w:r w:rsidRPr="00217196">
        <w:rPr>
          <w:rFonts w:ascii="Times New Roman" w:eastAsia="Times New Roman" w:hAnsi="Times New Roman" w:cs="Times New Roman"/>
          <w:sz w:val="24"/>
          <w:szCs w:val="24"/>
        </w:rPr>
        <w:t>. 2020 Jan 1;32(1).</w:t>
      </w:r>
    </w:p>
    <w:p w14:paraId="3CB3994C"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510CD871"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p w14:paraId="74D84D1A"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2912C76C"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50794024"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569E90F9"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1C2C8FE1"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74986208"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14F5CF0F"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3515398F"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0A4DE4E4"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6952AC4F"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23A9365B"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2D970ADD"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168896E8"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bookmarkStart w:id="10" w:name="_Hlk205141684"/>
      <w:r w:rsidRPr="00217196">
        <w:rPr>
          <w:rFonts w:ascii="Times New Roman" w:eastAsia="Times New Roman" w:hAnsi="Times New Roman" w:cs="Times New Roman"/>
          <w:sz w:val="24"/>
          <w:szCs w:val="24"/>
        </w:rPr>
        <w:lastRenderedPageBreak/>
        <w:t xml:space="preserve"> </w:t>
      </w:r>
      <w:r w:rsidRPr="00217196">
        <w:rPr>
          <w:rFonts w:ascii="Times New Roman" w:eastAsia="Times New Roman" w:hAnsi="Times New Roman" w:cs="Times New Roman"/>
          <w:b/>
          <w:sz w:val="24"/>
          <w:szCs w:val="24"/>
        </w:rPr>
        <w:t>4. Cronograma</w:t>
      </w:r>
    </w:p>
    <w:p w14:paraId="1111F4DC"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tbl>
      <w:tblPr>
        <w:tblStyle w:val="a"/>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89"/>
        <w:gridCol w:w="4214"/>
      </w:tblGrid>
      <w:tr w:rsidR="00E47BC1" w:rsidRPr="00217196" w14:paraId="32D8D608" w14:textId="77777777">
        <w:trPr>
          <w:trHeight w:val="270"/>
        </w:trPr>
        <w:tc>
          <w:tcPr>
            <w:tcW w:w="4288"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78EB66B2"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Etapa</w:t>
            </w:r>
          </w:p>
        </w:tc>
        <w:tc>
          <w:tcPr>
            <w:tcW w:w="4214"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79CFC581"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Período</w:t>
            </w:r>
          </w:p>
        </w:tc>
      </w:tr>
      <w:tr w:rsidR="00E47BC1" w:rsidRPr="00217196" w14:paraId="60A5606E" w14:textId="77777777">
        <w:trPr>
          <w:trHeight w:val="525"/>
        </w:trPr>
        <w:tc>
          <w:tcPr>
            <w:tcW w:w="428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397C799"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Realização da revisão bibliográfica e confecção do projeto de pesquisa</w:t>
            </w:r>
          </w:p>
        </w:tc>
        <w:tc>
          <w:tcPr>
            <w:tcW w:w="4214" w:type="dxa"/>
            <w:tcBorders>
              <w:top w:val="nil"/>
              <w:left w:val="nil"/>
              <w:bottom w:val="single" w:sz="6" w:space="0" w:color="000000"/>
              <w:right w:val="single" w:sz="6" w:space="0" w:color="000000"/>
            </w:tcBorders>
            <w:tcMar>
              <w:top w:w="0" w:type="dxa"/>
              <w:left w:w="100" w:type="dxa"/>
              <w:bottom w:w="0" w:type="dxa"/>
              <w:right w:w="100" w:type="dxa"/>
            </w:tcMar>
          </w:tcPr>
          <w:p w14:paraId="30D1187E"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Agosto/ 2025</w:t>
            </w:r>
          </w:p>
        </w:tc>
      </w:tr>
      <w:tr w:rsidR="00E47BC1" w:rsidRPr="00217196" w14:paraId="55D1F1C2" w14:textId="77777777">
        <w:trPr>
          <w:trHeight w:val="270"/>
        </w:trPr>
        <w:tc>
          <w:tcPr>
            <w:tcW w:w="428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37140D1"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Submissão ao CEP</w:t>
            </w:r>
          </w:p>
        </w:tc>
        <w:tc>
          <w:tcPr>
            <w:tcW w:w="4214" w:type="dxa"/>
            <w:tcBorders>
              <w:top w:val="nil"/>
              <w:left w:val="nil"/>
              <w:bottom w:val="single" w:sz="6" w:space="0" w:color="000000"/>
              <w:right w:val="single" w:sz="6" w:space="0" w:color="000000"/>
            </w:tcBorders>
            <w:tcMar>
              <w:top w:w="0" w:type="dxa"/>
              <w:left w:w="100" w:type="dxa"/>
              <w:bottom w:w="0" w:type="dxa"/>
              <w:right w:w="100" w:type="dxa"/>
            </w:tcMar>
          </w:tcPr>
          <w:p w14:paraId="6AD05822"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Agosto/ 2025</w:t>
            </w:r>
          </w:p>
        </w:tc>
      </w:tr>
      <w:tr w:rsidR="00E47BC1" w:rsidRPr="00217196" w14:paraId="21BBBB30" w14:textId="77777777">
        <w:trPr>
          <w:trHeight w:val="270"/>
        </w:trPr>
        <w:tc>
          <w:tcPr>
            <w:tcW w:w="428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2347E68"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Coleta de dados</w:t>
            </w:r>
          </w:p>
        </w:tc>
        <w:tc>
          <w:tcPr>
            <w:tcW w:w="4214" w:type="dxa"/>
            <w:tcBorders>
              <w:top w:val="nil"/>
              <w:left w:val="nil"/>
              <w:bottom w:val="single" w:sz="6" w:space="0" w:color="000000"/>
              <w:right w:val="single" w:sz="6" w:space="0" w:color="000000"/>
            </w:tcBorders>
            <w:tcMar>
              <w:top w:w="0" w:type="dxa"/>
              <w:left w:w="100" w:type="dxa"/>
              <w:bottom w:w="0" w:type="dxa"/>
              <w:right w:w="100" w:type="dxa"/>
            </w:tcMar>
          </w:tcPr>
          <w:p w14:paraId="62E2614D"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proofErr w:type="spellStart"/>
            <w:r w:rsidRPr="00217196">
              <w:rPr>
                <w:rFonts w:ascii="Times New Roman" w:eastAsia="Times New Roman" w:hAnsi="Times New Roman" w:cs="Times New Roman"/>
                <w:sz w:val="24"/>
                <w:szCs w:val="24"/>
              </w:rPr>
              <w:t>jan</w:t>
            </w:r>
            <w:proofErr w:type="spellEnd"/>
            <w:r w:rsidRPr="00217196">
              <w:rPr>
                <w:rFonts w:ascii="Times New Roman" w:eastAsia="Times New Roman" w:hAnsi="Times New Roman" w:cs="Times New Roman"/>
                <w:sz w:val="24"/>
                <w:szCs w:val="24"/>
              </w:rPr>
              <w:t xml:space="preserve">/ 2026 a </w:t>
            </w:r>
            <w:proofErr w:type="spellStart"/>
            <w:r w:rsidRPr="00217196">
              <w:rPr>
                <w:rFonts w:ascii="Times New Roman" w:eastAsia="Times New Roman" w:hAnsi="Times New Roman" w:cs="Times New Roman"/>
                <w:sz w:val="24"/>
                <w:szCs w:val="24"/>
              </w:rPr>
              <w:t>jan</w:t>
            </w:r>
            <w:proofErr w:type="spellEnd"/>
            <w:r w:rsidRPr="00217196">
              <w:rPr>
                <w:rFonts w:ascii="Times New Roman" w:eastAsia="Times New Roman" w:hAnsi="Times New Roman" w:cs="Times New Roman"/>
                <w:sz w:val="24"/>
                <w:szCs w:val="24"/>
              </w:rPr>
              <w:t>/ 2027</w:t>
            </w:r>
          </w:p>
        </w:tc>
      </w:tr>
      <w:tr w:rsidR="00E47BC1" w:rsidRPr="00217196" w14:paraId="68D82709" w14:textId="77777777">
        <w:trPr>
          <w:trHeight w:val="270"/>
        </w:trPr>
        <w:tc>
          <w:tcPr>
            <w:tcW w:w="428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08EFB6"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Análise parcial dos dados</w:t>
            </w:r>
          </w:p>
        </w:tc>
        <w:tc>
          <w:tcPr>
            <w:tcW w:w="4214" w:type="dxa"/>
            <w:tcBorders>
              <w:top w:val="nil"/>
              <w:left w:val="nil"/>
              <w:bottom w:val="single" w:sz="6" w:space="0" w:color="000000"/>
              <w:right w:val="single" w:sz="6" w:space="0" w:color="000000"/>
            </w:tcBorders>
            <w:tcMar>
              <w:top w:w="0" w:type="dxa"/>
              <w:left w:w="100" w:type="dxa"/>
              <w:bottom w:w="0" w:type="dxa"/>
              <w:right w:w="100" w:type="dxa"/>
            </w:tcMar>
          </w:tcPr>
          <w:p w14:paraId="03E0F9B4"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proofErr w:type="spellStart"/>
            <w:r w:rsidRPr="00217196">
              <w:rPr>
                <w:rFonts w:ascii="Times New Roman" w:eastAsia="Times New Roman" w:hAnsi="Times New Roman" w:cs="Times New Roman"/>
                <w:sz w:val="24"/>
                <w:szCs w:val="24"/>
              </w:rPr>
              <w:t>Jun</w:t>
            </w:r>
            <w:proofErr w:type="spellEnd"/>
            <w:r w:rsidRPr="00217196">
              <w:rPr>
                <w:rFonts w:ascii="Times New Roman" w:eastAsia="Times New Roman" w:hAnsi="Times New Roman" w:cs="Times New Roman"/>
                <w:sz w:val="24"/>
                <w:szCs w:val="24"/>
              </w:rPr>
              <w:t xml:space="preserve"> /2026</w:t>
            </w:r>
          </w:p>
        </w:tc>
      </w:tr>
      <w:tr w:rsidR="00E47BC1" w:rsidRPr="00217196" w14:paraId="7266F2ED" w14:textId="77777777">
        <w:trPr>
          <w:trHeight w:val="525"/>
        </w:trPr>
        <w:tc>
          <w:tcPr>
            <w:tcW w:w="428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75E6A66"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ENVIO do relatório da análise parcial dos dados</w:t>
            </w:r>
          </w:p>
        </w:tc>
        <w:tc>
          <w:tcPr>
            <w:tcW w:w="4214" w:type="dxa"/>
            <w:tcBorders>
              <w:top w:val="nil"/>
              <w:left w:val="nil"/>
              <w:bottom w:val="single" w:sz="6" w:space="0" w:color="000000"/>
              <w:right w:val="single" w:sz="6" w:space="0" w:color="000000"/>
            </w:tcBorders>
            <w:tcMar>
              <w:top w:w="0" w:type="dxa"/>
              <w:left w:w="100" w:type="dxa"/>
              <w:bottom w:w="0" w:type="dxa"/>
              <w:right w:w="100" w:type="dxa"/>
            </w:tcMar>
          </w:tcPr>
          <w:p w14:paraId="0C2494A3"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proofErr w:type="spellStart"/>
            <w:r w:rsidRPr="00217196">
              <w:rPr>
                <w:rFonts w:ascii="Times New Roman" w:eastAsia="Times New Roman" w:hAnsi="Times New Roman" w:cs="Times New Roman"/>
                <w:sz w:val="24"/>
                <w:szCs w:val="24"/>
              </w:rPr>
              <w:t>Jun</w:t>
            </w:r>
            <w:proofErr w:type="spellEnd"/>
            <w:r w:rsidRPr="00217196">
              <w:rPr>
                <w:rFonts w:ascii="Times New Roman" w:eastAsia="Times New Roman" w:hAnsi="Times New Roman" w:cs="Times New Roman"/>
                <w:sz w:val="24"/>
                <w:szCs w:val="24"/>
              </w:rPr>
              <w:t>/2026</w:t>
            </w:r>
          </w:p>
        </w:tc>
      </w:tr>
      <w:tr w:rsidR="00E47BC1" w:rsidRPr="00217196" w14:paraId="316081A9" w14:textId="77777777">
        <w:trPr>
          <w:trHeight w:val="525"/>
        </w:trPr>
        <w:tc>
          <w:tcPr>
            <w:tcW w:w="428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2825366"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Encaminhamento ao CEP da análise parcial</w:t>
            </w:r>
          </w:p>
        </w:tc>
        <w:tc>
          <w:tcPr>
            <w:tcW w:w="4214" w:type="dxa"/>
            <w:tcBorders>
              <w:top w:val="nil"/>
              <w:left w:val="nil"/>
              <w:bottom w:val="single" w:sz="6" w:space="0" w:color="000000"/>
              <w:right w:val="single" w:sz="6" w:space="0" w:color="000000"/>
            </w:tcBorders>
            <w:tcMar>
              <w:top w:w="0" w:type="dxa"/>
              <w:left w:w="100" w:type="dxa"/>
              <w:bottom w:w="0" w:type="dxa"/>
              <w:right w:w="100" w:type="dxa"/>
            </w:tcMar>
          </w:tcPr>
          <w:p w14:paraId="0CC66013"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Jul /2026</w:t>
            </w:r>
          </w:p>
        </w:tc>
      </w:tr>
      <w:tr w:rsidR="00E47BC1" w:rsidRPr="00217196" w14:paraId="2A571B15" w14:textId="77777777">
        <w:trPr>
          <w:trHeight w:val="270"/>
        </w:trPr>
        <w:tc>
          <w:tcPr>
            <w:tcW w:w="428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5AF22E"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Análise total dos dados</w:t>
            </w:r>
          </w:p>
        </w:tc>
        <w:tc>
          <w:tcPr>
            <w:tcW w:w="4214" w:type="dxa"/>
            <w:tcBorders>
              <w:top w:val="nil"/>
              <w:left w:val="nil"/>
              <w:bottom w:val="single" w:sz="6" w:space="0" w:color="000000"/>
              <w:right w:val="single" w:sz="6" w:space="0" w:color="000000"/>
            </w:tcBorders>
            <w:tcMar>
              <w:top w:w="0" w:type="dxa"/>
              <w:left w:w="100" w:type="dxa"/>
              <w:bottom w:w="0" w:type="dxa"/>
              <w:right w:w="100" w:type="dxa"/>
            </w:tcMar>
          </w:tcPr>
          <w:p w14:paraId="6209BAFB"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proofErr w:type="spellStart"/>
            <w:r w:rsidRPr="00217196">
              <w:rPr>
                <w:rFonts w:ascii="Times New Roman" w:eastAsia="Times New Roman" w:hAnsi="Times New Roman" w:cs="Times New Roman"/>
                <w:sz w:val="24"/>
                <w:szCs w:val="24"/>
              </w:rPr>
              <w:t>jan</w:t>
            </w:r>
            <w:proofErr w:type="spellEnd"/>
            <w:r w:rsidRPr="00217196">
              <w:rPr>
                <w:rFonts w:ascii="Times New Roman" w:eastAsia="Times New Roman" w:hAnsi="Times New Roman" w:cs="Times New Roman"/>
                <w:sz w:val="24"/>
                <w:szCs w:val="24"/>
              </w:rPr>
              <w:t xml:space="preserve"> /2027</w:t>
            </w:r>
          </w:p>
        </w:tc>
      </w:tr>
      <w:tr w:rsidR="00E47BC1" w:rsidRPr="00217196" w14:paraId="7BB69995" w14:textId="77777777">
        <w:trPr>
          <w:trHeight w:val="555"/>
        </w:trPr>
        <w:tc>
          <w:tcPr>
            <w:tcW w:w="428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AB6BDAF" w14:textId="77777777" w:rsidR="00E47BC1" w:rsidRPr="00217196" w:rsidRDefault="00000000">
            <w:pPr>
              <w:spacing w:before="240" w:after="240" w:line="360" w:lineRule="auto"/>
              <w:ind w:left="-120"/>
              <w:jc w:val="both"/>
              <w:rPr>
                <w:rFonts w:ascii="Times New Roman" w:eastAsia="Arial" w:hAnsi="Times New Roman" w:cs="Times New Roman"/>
                <w:sz w:val="24"/>
                <w:szCs w:val="24"/>
              </w:rPr>
            </w:pPr>
            <w:r w:rsidRPr="00217196">
              <w:rPr>
                <w:rFonts w:ascii="Times New Roman" w:eastAsia="Times New Roman" w:hAnsi="Times New Roman" w:cs="Times New Roman"/>
                <w:sz w:val="24"/>
                <w:szCs w:val="24"/>
              </w:rPr>
              <w:t xml:space="preserve">Envio </w:t>
            </w:r>
            <w:r w:rsidRPr="00217196">
              <w:rPr>
                <w:rFonts w:ascii="Times New Roman" w:eastAsia="Arial" w:hAnsi="Times New Roman" w:cs="Times New Roman"/>
                <w:sz w:val="24"/>
                <w:szCs w:val="24"/>
              </w:rPr>
              <w:t>ao CEP do relatório da análise total dos dados</w:t>
            </w:r>
          </w:p>
        </w:tc>
        <w:tc>
          <w:tcPr>
            <w:tcW w:w="4214" w:type="dxa"/>
            <w:tcBorders>
              <w:top w:val="nil"/>
              <w:left w:val="nil"/>
              <w:bottom w:val="single" w:sz="6" w:space="0" w:color="000000"/>
              <w:right w:val="single" w:sz="6" w:space="0" w:color="000000"/>
            </w:tcBorders>
            <w:tcMar>
              <w:top w:w="0" w:type="dxa"/>
              <w:left w:w="100" w:type="dxa"/>
              <w:bottom w:w="0" w:type="dxa"/>
              <w:right w:w="100" w:type="dxa"/>
            </w:tcMar>
          </w:tcPr>
          <w:p w14:paraId="7F97C03B"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proofErr w:type="spellStart"/>
            <w:r w:rsidRPr="00217196">
              <w:rPr>
                <w:rFonts w:ascii="Times New Roman" w:eastAsia="Times New Roman" w:hAnsi="Times New Roman" w:cs="Times New Roman"/>
                <w:sz w:val="24"/>
                <w:szCs w:val="24"/>
              </w:rPr>
              <w:t>Fev</w:t>
            </w:r>
            <w:proofErr w:type="spellEnd"/>
            <w:r w:rsidRPr="00217196">
              <w:rPr>
                <w:rFonts w:ascii="Times New Roman" w:eastAsia="Times New Roman" w:hAnsi="Times New Roman" w:cs="Times New Roman"/>
                <w:sz w:val="24"/>
                <w:szCs w:val="24"/>
              </w:rPr>
              <w:t xml:space="preserve"> /2027</w:t>
            </w:r>
          </w:p>
        </w:tc>
      </w:tr>
      <w:tr w:rsidR="00E47BC1" w:rsidRPr="00217196" w14:paraId="4A97F8D1" w14:textId="77777777">
        <w:trPr>
          <w:trHeight w:val="525"/>
        </w:trPr>
        <w:tc>
          <w:tcPr>
            <w:tcW w:w="428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72ED69A"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Discussão dos resultados com equipe de pesquisa</w:t>
            </w:r>
          </w:p>
        </w:tc>
        <w:tc>
          <w:tcPr>
            <w:tcW w:w="4214" w:type="dxa"/>
            <w:tcBorders>
              <w:top w:val="nil"/>
              <w:left w:val="nil"/>
              <w:bottom w:val="single" w:sz="6" w:space="0" w:color="000000"/>
              <w:right w:val="single" w:sz="6" w:space="0" w:color="000000"/>
            </w:tcBorders>
            <w:tcMar>
              <w:top w:w="0" w:type="dxa"/>
              <w:left w:w="100" w:type="dxa"/>
              <w:bottom w:w="0" w:type="dxa"/>
              <w:right w:w="100" w:type="dxa"/>
            </w:tcMar>
          </w:tcPr>
          <w:p w14:paraId="4AEB93F5"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proofErr w:type="spellStart"/>
            <w:r w:rsidRPr="00217196">
              <w:rPr>
                <w:rFonts w:ascii="Times New Roman" w:eastAsia="Times New Roman" w:hAnsi="Times New Roman" w:cs="Times New Roman"/>
                <w:sz w:val="24"/>
                <w:szCs w:val="24"/>
              </w:rPr>
              <w:t>Fev</w:t>
            </w:r>
            <w:proofErr w:type="spellEnd"/>
            <w:r w:rsidRPr="00217196">
              <w:rPr>
                <w:rFonts w:ascii="Times New Roman" w:eastAsia="Times New Roman" w:hAnsi="Times New Roman" w:cs="Times New Roman"/>
                <w:sz w:val="24"/>
                <w:szCs w:val="24"/>
              </w:rPr>
              <w:t xml:space="preserve"> e Mar /2027</w:t>
            </w:r>
          </w:p>
        </w:tc>
      </w:tr>
      <w:tr w:rsidR="00E47BC1" w:rsidRPr="00217196" w14:paraId="16ADE575" w14:textId="77777777">
        <w:trPr>
          <w:trHeight w:val="270"/>
        </w:trPr>
        <w:tc>
          <w:tcPr>
            <w:tcW w:w="428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3314976"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Escrita do artigo científico</w:t>
            </w:r>
          </w:p>
        </w:tc>
        <w:tc>
          <w:tcPr>
            <w:tcW w:w="4214" w:type="dxa"/>
            <w:tcBorders>
              <w:top w:val="nil"/>
              <w:left w:val="nil"/>
              <w:bottom w:val="single" w:sz="6" w:space="0" w:color="000000"/>
              <w:right w:val="single" w:sz="6" w:space="0" w:color="000000"/>
            </w:tcBorders>
            <w:tcMar>
              <w:top w:w="0" w:type="dxa"/>
              <w:left w:w="100" w:type="dxa"/>
              <w:bottom w:w="0" w:type="dxa"/>
              <w:right w:w="100" w:type="dxa"/>
            </w:tcMar>
          </w:tcPr>
          <w:p w14:paraId="54DBFE0C"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Abril e Maio /2027</w:t>
            </w:r>
          </w:p>
        </w:tc>
      </w:tr>
      <w:tr w:rsidR="00E47BC1" w:rsidRPr="00217196" w14:paraId="114F7E5A" w14:textId="77777777">
        <w:trPr>
          <w:trHeight w:val="270"/>
        </w:trPr>
        <w:tc>
          <w:tcPr>
            <w:tcW w:w="428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487DD7"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Apresentação à comunidade de pesquisa</w:t>
            </w:r>
          </w:p>
        </w:tc>
        <w:tc>
          <w:tcPr>
            <w:tcW w:w="4214" w:type="dxa"/>
            <w:tcBorders>
              <w:top w:val="nil"/>
              <w:left w:val="nil"/>
              <w:bottom w:val="single" w:sz="6" w:space="0" w:color="000000"/>
              <w:right w:val="single" w:sz="6" w:space="0" w:color="000000"/>
            </w:tcBorders>
            <w:tcMar>
              <w:top w:w="0" w:type="dxa"/>
              <w:left w:w="100" w:type="dxa"/>
              <w:bottom w:w="0" w:type="dxa"/>
              <w:right w:w="100" w:type="dxa"/>
            </w:tcMar>
          </w:tcPr>
          <w:p w14:paraId="00106DC3" w14:textId="77777777" w:rsidR="00E47BC1" w:rsidRPr="00217196" w:rsidRDefault="00000000">
            <w:pPr>
              <w:spacing w:before="240" w:after="240" w:line="360" w:lineRule="auto"/>
              <w:ind w:left="-120"/>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Maio e Junho /2027</w:t>
            </w:r>
          </w:p>
        </w:tc>
      </w:tr>
    </w:tbl>
    <w:p w14:paraId="31AEF221"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bookmarkStart w:id="11" w:name="_Hlk205141740"/>
      <w:bookmarkEnd w:id="10"/>
      <w:r w:rsidRPr="00217196">
        <w:rPr>
          <w:rFonts w:ascii="Times New Roman" w:eastAsia="Times New Roman" w:hAnsi="Times New Roman" w:cs="Times New Roman"/>
          <w:sz w:val="24"/>
          <w:szCs w:val="24"/>
        </w:rPr>
        <w:lastRenderedPageBreak/>
        <w:t xml:space="preserve"> </w:t>
      </w:r>
      <w:r w:rsidRPr="00217196">
        <w:rPr>
          <w:rFonts w:ascii="Times New Roman" w:eastAsia="Times New Roman" w:hAnsi="Times New Roman" w:cs="Times New Roman"/>
          <w:b/>
          <w:sz w:val="24"/>
          <w:szCs w:val="24"/>
        </w:rPr>
        <w:t>6. Orçamento</w:t>
      </w:r>
    </w:p>
    <w:p w14:paraId="1F8B9C4C"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O financiamento será próprio</w:t>
      </w:r>
    </w:p>
    <w:tbl>
      <w:tblPr>
        <w:tblStyle w:val="a0"/>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19"/>
        <w:gridCol w:w="2108"/>
        <w:gridCol w:w="2081"/>
        <w:gridCol w:w="2095"/>
      </w:tblGrid>
      <w:tr w:rsidR="00E47BC1" w:rsidRPr="00217196" w14:paraId="15D96ED5" w14:textId="77777777">
        <w:trPr>
          <w:trHeight w:val="1970"/>
        </w:trPr>
        <w:tc>
          <w:tcPr>
            <w:tcW w:w="2218" w:type="dxa"/>
            <w:tcBorders>
              <w:top w:val="single" w:sz="6" w:space="0" w:color="000000"/>
              <w:left w:val="single" w:sz="6" w:space="0" w:color="000000"/>
              <w:bottom w:val="single" w:sz="6" w:space="0" w:color="000000"/>
              <w:right w:val="single" w:sz="6" w:space="0" w:color="000000"/>
            </w:tcBorders>
            <w:shd w:val="clear" w:color="auto" w:fill="E7E6E6"/>
            <w:tcMar>
              <w:top w:w="0" w:type="dxa"/>
              <w:left w:w="100" w:type="dxa"/>
              <w:bottom w:w="0" w:type="dxa"/>
              <w:right w:w="100" w:type="dxa"/>
            </w:tcMar>
          </w:tcPr>
          <w:p w14:paraId="49F7DBBC"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44B5AA1E"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Material</w:t>
            </w:r>
          </w:p>
        </w:tc>
        <w:tc>
          <w:tcPr>
            <w:tcW w:w="2108" w:type="dxa"/>
            <w:tcBorders>
              <w:top w:val="single" w:sz="6" w:space="0" w:color="000000"/>
              <w:left w:val="nil"/>
              <w:bottom w:val="single" w:sz="6" w:space="0" w:color="000000"/>
              <w:right w:val="single" w:sz="6" w:space="0" w:color="000000"/>
            </w:tcBorders>
            <w:shd w:val="clear" w:color="auto" w:fill="E7E6E6"/>
            <w:tcMar>
              <w:top w:w="0" w:type="dxa"/>
              <w:left w:w="100" w:type="dxa"/>
              <w:bottom w:w="0" w:type="dxa"/>
              <w:right w:w="100" w:type="dxa"/>
            </w:tcMar>
          </w:tcPr>
          <w:p w14:paraId="084C0D2E"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68A24DBD"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Quantidade</w:t>
            </w:r>
          </w:p>
          <w:p w14:paraId="358D360F"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p>
        </w:tc>
        <w:tc>
          <w:tcPr>
            <w:tcW w:w="2081" w:type="dxa"/>
            <w:tcBorders>
              <w:top w:val="single" w:sz="6" w:space="0" w:color="000000"/>
              <w:left w:val="nil"/>
              <w:bottom w:val="single" w:sz="6" w:space="0" w:color="000000"/>
              <w:right w:val="single" w:sz="6" w:space="0" w:color="000000"/>
            </w:tcBorders>
            <w:shd w:val="clear" w:color="auto" w:fill="E7E6E6"/>
            <w:tcMar>
              <w:top w:w="0" w:type="dxa"/>
              <w:left w:w="100" w:type="dxa"/>
              <w:bottom w:w="0" w:type="dxa"/>
              <w:right w:w="100" w:type="dxa"/>
            </w:tcMar>
          </w:tcPr>
          <w:p w14:paraId="055FB498"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439FE836"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Valor Unitário</w:t>
            </w:r>
          </w:p>
        </w:tc>
        <w:tc>
          <w:tcPr>
            <w:tcW w:w="2095" w:type="dxa"/>
            <w:tcBorders>
              <w:top w:val="single" w:sz="6" w:space="0" w:color="000000"/>
              <w:left w:val="nil"/>
              <w:bottom w:val="single" w:sz="6" w:space="0" w:color="000000"/>
              <w:right w:val="single" w:sz="6" w:space="0" w:color="000000"/>
            </w:tcBorders>
            <w:shd w:val="clear" w:color="auto" w:fill="E7E6E6"/>
            <w:tcMar>
              <w:top w:w="0" w:type="dxa"/>
              <w:left w:w="100" w:type="dxa"/>
              <w:bottom w:w="0" w:type="dxa"/>
              <w:right w:w="100" w:type="dxa"/>
            </w:tcMar>
          </w:tcPr>
          <w:p w14:paraId="689C33E9"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 xml:space="preserve"> </w:t>
            </w:r>
          </w:p>
          <w:p w14:paraId="4B8058BF"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Valor Total</w:t>
            </w:r>
          </w:p>
        </w:tc>
      </w:tr>
      <w:tr w:rsidR="00E47BC1" w:rsidRPr="00217196" w14:paraId="697402B1" w14:textId="77777777">
        <w:trPr>
          <w:trHeight w:val="570"/>
        </w:trPr>
        <w:tc>
          <w:tcPr>
            <w:tcW w:w="2218"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517D93E1"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proofErr w:type="spellStart"/>
            <w:r w:rsidRPr="00217196">
              <w:rPr>
                <w:rFonts w:ascii="Times New Roman" w:eastAsia="Times New Roman" w:hAnsi="Times New Roman" w:cs="Times New Roman"/>
                <w:sz w:val="24"/>
                <w:szCs w:val="24"/>
              </w:rPr>
              <w:t>Radiofrequencia</w:t>
            </w:r>
            <w:proofErr w:type="spellEnd"/>
          </w:p>
        </w:tc>
        <w:tc>
          <w:tcPr>
            <w:tcW w:w="21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99F08E9"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w:t>
            </w:r>
          </w:p>
        </w:tc>
        <w:tc>
          <w:tcPr>
            <w:tcW w:w="208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4525BB3F"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55.000,00</w:t>
            </w:r>
          </w:p>
        </w:tc>
        <w:tc>
          <w:tcPr>
            <w:tcW w:w="20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38D293E"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110.000,00</w:t>
            </w:r>
          </w:p>
        </w:tc>
      </w:tr>
      <w:tr w:rsidR="00E47BC1" w:rsidRPr="00217196" w14:paraId="0351A995" w14:textId="77777777">
        <w:trPr>
          <w:trHeight w:val="570"/>
        </w:trPr>
        <w:tc>
          <w:tcPr>
            <w:tcW w:w="2218"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229831F8"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Eletrocautério</w:t>
            </w:r>
          </w:p>
        </w:tc>
        <w:tc>
          <w:tcPr>
            <w:tcW w:w="21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43C1BFA0"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w:t>
            </w:r>
          </w:p>
        </w:tc>
        <w:tc>
          <w:tcPr>
            <w:tcW w:w="208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7AE1305E"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50.000,00</w:t>
            </w:r>
          </w:p>
        </w:tc>
        <w:tc>
          <w:tcPr>
            <w:tcW w:w="20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C097EC9"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100,000,00</w:t>
            </w:r>
          </w:p>
        </w:tc>
      </w:tr>
      <w:tr w:rsidR="00E47BC1" w:rsidRPr="00217196" w14:paraId="7AB9F9AD" w14:textId="77777777">
        <w:trPr>
          <w:trHeight w:val="570"/>
        </w:trPr>
        <w:tc>
          <w:tcPr>
            <w:tcW w:w="2218"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6EE37452"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Laser C02</w:t>
            </w:r>
          </w:p>
        </w:tc>
        <w:tc>
          <w:tcPr>
            <w:tcW w:w="21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6F25AAA"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w:t>
            </w:r>
          </w:p>
        </w:tc>
        <w:tc>
          <w:tcPr>
            <w:tcW w:w="208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3A8CF351"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120.000,00</w:t>
            </w:r>
          </w:p>
        </w:tc>
        <w:tc>
          <w:tcPr>
            <w:tcW w:w="20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4C5F2FCF"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120.000,00 </w:t>
            </w:r>
          </w:p>
        </w:tc>
      </w:tr>
      <w:tr w:rsidR="00E47BC1" w:rsidRPr="00217196" w14:paraId="6ECB08B8" w14:textId="77777777">
        <w:trPr>
          <w:trHeight w:val="570"/>
        </w:trPr>
        <w:tc>
          <w:tcPr>
            <w:tcW w:w="2218"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4BAC6E1D"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Computadores</w:t>
            </w:r>
          </w:p>
        </w:tc>
        <w:tc>
          <w:tcPr>
            <w:tcW w:w="21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31092993"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w:t>
            </w:r>
          </w:p>
        </w:tc>
        <w:tc>
          <w:tcPr>
            <w:tcW w:w="208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478CBA7A"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6.000,00</w:t>
            </w:r>
          </w:p>
        </w:tc>
        <w:tc>
          <w:tcPr>
            <w:tcW w:w="20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7CDABE7F"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12.000,00</w:t>
            </w:r>
          </w:p>
        </w:tc>
      </w:tr>
      <w:tr w:rsidR="00E47BC1" w:rsidRPr="00217196" w14:paraId="1F9F3FA9" w14:textId="77777777">
        <w:trPr>
          <w:trHeight w:val="570"/>
        </w:trPr>
        <w:tc>
          <w:tcPr>
            <w:tcW w:w="2218"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7E1A5AF9"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Impressoras</w:t>
            </w:r>
          </w:p>
        </w:tc>
        <w:tc>
          <w:tcPr>
            <w:tcW w:w="21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4210475"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w:t>
            </w:r>
          </w:p>
        </w:tc>
        <w:tc>
          <w:tcPr>
            <w:tcW w:w="208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11B4DC0A"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500,00</w:t>
            </w:r>
          </w:p>
        </w:tc>
        <w:tc>
          <w:tcPr>
            <w:tcW w:w="20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26A35CF"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1000,00</w:t>
            </w:r>
          </w:p>
        </w:tc>
      </w:tr>
      <w:tr w:rsidR="00E47BC1" w:rsidRPr="00217196" w14:paraId="289240C8" w14:textId="77777777">
        <w:trPr>
          <w:trHeight w:val="555"/>
        </w:trPr>
        <w:tc>
          <w:tcPr>
            <w:tcW w:w="22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B59FABB"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Cartucho preto para impressora</w:t>
            </w:r>
          </w:p>
        </w:tc>
        <w:tc>
          <w:tcPr>
            <w:tcW w:w="2108" w:type="dxa"/>
            <w:tcBorders>
              <w:top w:val="nil"/>
              <w:left w:val="nil"/>
              <w:bottom w:val="single" w:sz="6" w:space="0" w:color="000000"/>
              <w:right w:val="single" w:sz="6" w:space="0" w:color="000000"/>
            </w:tcBorders>
            <w:tcMar>
              <w:top w:w="0" w:type="dxa"/>
              <w:left w:w="100" w:type="dxa"/>
              <w:bottom w:w="0" w:type="dxa"/>
              <w:right w:w="100" w:type="dxa"/>
            </w:tcMar>
          </w:tcPr>
          <w:p w14:paraId="05F4A497"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w:t>
            </w:r>
          </w:p>
        </w:tc>
        <w:tc>
          <w:tcPr>
            <w:tcW w:w="2081" w:type="dxa"/>
            <w:tcBorders>
              <w:top w:val="nil"/>
              <w:left w:val="nil"/>
              <w:bottom w:val="single" w:sz="6" w:space="0" w:color="000000"/>
              <w:right w:val="single" w:sz="6" w:space="0" w:color="000000"/>
            </w:tcBorders>
            <w:tcMar>
              <w:top w:w="0" w:type="dxa"/>
              <w:left w:w="100" w:type="dxa"/>
              <w:bottom w:w="0" w:type="dxa"/>
              <w:right w:w="100" w:type="dxa"/>
            </w:tcMar>
          </w:tcPr>
          <w:p w14:paraId="155AE15E"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R$ 90,00</w:t>
            </w:r>
          </w:p>
        </w:tc>
        <w:tc>
          <w:tcPr>
            <w:tcW w:w="2095" w:type="dxa"/>
            <w:tcBorders>
              <w:top w:val="nil"/>
              <w:left w:val="nil"/>
              <w:bottom w:val="single" w:sz="6" w:space="0" w:color="000000"/>
              <w:right w:val="single" w:sz="6" w:space="0" w:color="000000"/>
            </w:tcBorders>
            <w:tcMar>
              <w:top w:w="0" w:type="dxa"/>
              <w:left w:w="100" w:type="dxa"/>
              <w:bottom w:w="0" w:type="dxa"/>
              <w:right w:w="100" w:type="dxa"/>
            </w:tcMar>
          </w:tcPr>
          <w:p w14:paraId="5A848294"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180,00</w:t>
            </w:r>
          </w:p>
        </w:tc>
      </w:tr>
      <w:tr w:rsidR="00E47BC1" w:rsidRPr="00217196" w14:paraId="2AE5A588" w14:textId="77777777">
        <w:trPr>
          <w:trHeight w:val="555"/>
        </w:trPr>
        <w:tc>
          <w:tcPr>
            <w:tcW w:w="22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DCC0A68"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Papel A4 pacote com 500 folhas</w:t>
            </w:r>
          </w:p>
        </w:tc>
        <w:tc>
          <w:tcPr>
            <w:tcW w:w="2108" w:type="dxa"/>
            <w:tcBorders>
              <w:top w:val="nil"/>
              <w:left w:val="nil"/>
              <w:bottom w:val="single" w:sz="6" w:space="0" w:color="000000"/>
              <w:right w:val="single" w:sz="6" w:space="0" w:color="000000"/>
            </w:tcBorders>
            <w:tcMar>
              <w:top w:w="0" w:type="dxa"/>
              <w:left w:w="100" w:type="dxa"/>
              <w:bottom w:w="0" w:type="dxa"/>
              <w:right w:w="100" w:type="dxa"/>
            </w:tcMar>
          </w:tcPr>
          <w:p w14:paraId="67B7F1C6"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w:t>
            </w:r>
          </w:p>
        </w:tc>
        <w:tc>
          <w:tcPr>
            <w:tcW w:w="2081" w:type="dxa"/>
            <w:tcBorders>
              <w:top w:val="nil"/>
              <w:left w:val="nil"/>
              <w:bottom w:val="single" w:sz="6" w:space="0" w:color="000000"/>
              <w:right w:val="single" w:sz="6" w:space="0" w:color="000000"/>
            </w:tcBorders>
            <w:tcMar>
              <w:top w:w="0" w:type="dxa"/>
              <w:left w:w="100" w:type="dxa"/>
              <w:bottom w:w="0" w:type="dxa"/>
              <w:right w:w="100" w:type="dxa"/>
            </w:tcMar>
          </w:tcPr>
          <w:p w14:paraId="16C32966"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R$ 27,00</w:t>
            </w:r>
          </w:p>
        </w:tc>
        <w:tc>
          <w:tcPr>
            <w:tcW w:w="2095" w:type="dxa"/>
            <w:tcBorders>
              <w:top w:val="nil"/>
              <w:left w:val="nil"/>
              <w:bottom w:val="single" w:sz="6" w:space="0" w:color="000000"/>
              <w:right w:val="single" w:sz="6" w:space="0" w:color="000000"/>
            </w:tcBorders>
            <w:tcMar>
              <w:top w:w="0" w:type="dxa"/>
              <w:left w:w="100" w:type="dxa"/>
              <w:bottom w:w="0" w:type="dxa"/>
              <w:right w:w="100" w:type="dxa"/>
            </w:tcMar>
          </w:tcPr>
          <w:p w14:paraId="5817FA2E"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w:t>
            </w:r>
            <w:r w:rsidRPr="00217196">
              <w:rPr>
                <w:rFonts w:ascii="Times New Roman" w:eastAsia="Times New Roman" w:hAnsi="Times New Roman" w:cs="Times New Roman"/>
                <w:sz w:val="24"/>
                <w:szCs w:val="24"/>
              </w:rPr>
              <w:tab/>
              <w:t>54,00</w:t>
            </w:r>
          </w:p>
        </w:tc>
      </w:tr>
      <w:tr w:rsidR="00E47BC1" w:rsidRPr="00217196" w14:paraId="66B98157" w14:textId="77777777">
        <w:trPr>
          <w:trHeight w:val="285"/>
        </w:trPr>
        <w:tc>
          <w:tcPr>
            <w:tcW w:w="22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70C1EAF"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Grampeador</w:t>
            </w:r>
          </w:p>
        </w:tc>
        <w:tc>
          <w:tcPr>
            <w:tcW w:w="2108" w:type="dxa"/>
            <w:tcBorders>
              <w:top w:val="nil"/>
              <w:left w:val="nil"/>
              <w:bottom w:val="single" w:sz="6" w:space="0" w:color="000000"/>
              <w:right w:val="single" w:sz="6" w:space="0" w:color="000000"/>
            </w:tcBorders>
            <w:tcMar>
              <w:top w:w="0" w:type="dxa"/>
              <w:left w:w="100" w:type="dxa"/>
              <w:bottom w:w="0" w:type="dxa"/>
              <w:right w:w="100" w:type="dxa"/>
            </w:tcMar>
          </w:tcPr>
          <w:p w14:paraId="3701F5F8"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w:t>
            </w:r>
          </w:p>
        </w:tc>
        <w:tc>
          <w:tcPr>
            <w:tcW w:w="2081" w:type="dxa"/>
            <w:tcBorders>
              <w:top w:val="nil"/>
              <w:left w:val="nil"/>
              <w:bottom w:val="single" w:sz="6" w:space="0" w:color="000000"/>
              <w:right w:val="single" w:sz="6" w:space="0" w:color="000000"/>
            </w:tcBorders>
            <w:tcMar>
              <w:top w:w="0" w:type="dxa"/>
              <w:left w:w="100" w:type="dxa"/>
              <w:bottom w:w="0" w:type="dxa"/>
              <w:right w:w="100" w:type="dxa"/>
            </w:tcMar>
          </w:tcPr>
          <w:p w14:paraId="6145EF20"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R$ 8,50</w:t>
            </w:r>
          </w:p>
        </w:tc>
        <w:tc>
          <w:tcPr>
            <w:tcW w:w="2095" w:type="dxa"/>
            <w:tcBorders>
              <w:top w:val="nil"/>
              <w:left w:val="nil"/>
              <w:bottom w:val="single" w:sz="6" w:space="0" w:color="000000"/>
              <w:right w:val="single" w:sz="6" w:space="0" w:color="000000"/>
            </w:tcBorders>
            <w:tcMar>
              <w:top w:w="0" w:type="dxa"/>
              <w:left w:w="100" w:type="dxa"/>
              <w:bottom w:w="0" w:type="dxa"/>
              <w:right w:w="100" w:type="dxa"/>
            </w:tcMar>
          </w:tcPr>
          <w:p w14:paraId="52F39C21"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17,00</w:t>
            </w:r>
          </w:p>
        </w:tc>
      </w:tr>
      <w:tr w:rsidR="00E47BC1" w:rsidRPr="00217196" w14:paraId="5BE2C563" w14:textId="77777777">
        <w:trPr>
          <w:trHeight w:val="570"/>
        </w:trPr>
        <w:tc>
          <w:tcPr>
            <w:tcW w:w="22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5A3E143"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Grampos para grampeador caixa</w:t>
            </w:r>
          </w:p>
        </w:tc>
        <w:tc>
          <w:tcPr>
            <w:tcW w:w="2108" w:type="dxa"/>
            <w:tcBorders>
              <w:top w:val="nil"/>
              <w:left w:val="nil"/>
              <w:bottom w:val="single" w:sz="6" w:space="0" w:color="000000"/>
              <w:right w:val="single" w:sz="6" w:space="0" w:color="000000"/>
            </w:tcBorders>
            <w:tcMar>
              <w:top w:w="0" w:type="dxa"/>
              <w:left w:w="100" w:type="dxa"/>
              <w:bottom w:w="0" w:type="dxa"/>
              <w:right w:w="100" w:type="dxa"/>
            </w:tcMar>
          </w:tcPr>
          <w:p w14:paraId="2B05AE71"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w:t>
            </w:r>
          </w:p>
        </w:tc>
        <w:tc>
          <w:tcPr>
            <w:tcW w:w="2081" w:type="dxa"/>
            <w:tcBorders>
              <w:top w:val="nil"/>
              <w:left w:val="nil"/>
              <w:bottom w:val="single" w:sz="6" w:space="0" w:color="000000"/>
              <w:right w:val="single" w:sz="6" w:space="0" w:color="000000"/>
            </w:tcBorders>
            <w:tcMar>
              <w:top w:w="0" w:type="dxa"/>
              <w:left w:w="100" w:type="dxa"/>
              <w:bottom w:w="0" w:type="dxa"/>
              <w:right w:w="100" w:type="dxa"/>
            </w:tcMar>
          </w:tcPr>
          <w:p w14:paraId="1401FC7F"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R$ 4,80</w:t>
            </w:r>
          </w:p>
        </w:tc>
        <w:tc>
          <w:tcPr>
            <w:tcW w:w="2095" w:type="dxa"/>
            <w:tcBorders>
              <w:top w:val="nil"/>
              <w:left w:val="nil"/>
              <w:bottom w:val="single" w:sz="6" w:space="0" w:color="000000"/>
              <w:right w:val="single" w:sz="6" w:space="0" w:color="000000"/>
            </w:tcBorders>
            <w:tcMar>
              <w:top w:w="0" w:type="dxa"/>
              <w:left w:w="100" w:type="dxa"/>
              <w:bottom w:w="0" w:type="dxa"/>
              <w:right w:w="100" w:type="dxa"/>
            </w:tcMar>
          </w:tcPr>
          <w:p w14:paraId="2B4046A4"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9,00</w:t>
            </w:r>
          </w:p>
        </w:tc>
      </w:tr>
      <w:tr w:rsidR="00E47BC1" w:rsidRPr="00217196" w14:paraId="70940113" w14:textId="77777777">
        <w:trPr>
          <w:trHeight w:val="285"/>
        </w:trPr>
        <w:tc>
          <w:tcPr>
            <w:tcW w:w="6407" w:type="dxa"/>
            <w:gridSpan w:val="3"/>
            <w:tcBorders>
              <w:top w:val="nil"/>
              <w:left w:val="single" w:sz="6" w:space="0" w:color="000000"/>
              <w:bottom w:val="single" w:sz="6" w:space="0" w:color="000000"/>
              <w:right w:val="single" w:sz="6" w:space="0" w:color="000000"/>
            </w:tcBorders>
            <w:shd w:val="clear" w:color="auto" w:fill="E7E6E6"/>
            <w:tcMar>
              <w:top w:w="0" w:type="dxa"/>
              <w:left w:w="100" w:type="dxa"/>
              <w:bottom w:w="0" w:type="dxa"/>
              <w:right w:w="100" w:type="dxa"/>
            </w:tcMar>
          </w:tcPr>
          <w:p w14:paraId="25BB4F91" w14:textId="77777777" w:rsidR="00E47BC1" w:rsidRPr="00217196" w:rsidRDefault="00000000">
            <w:pPr>
              <w:spacing w:before="240" w:after="240" w:line="360" w:lineRule="auto"/>
              <w:jc w:val="center"/>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TOTAL</w:t>
            </w:r>
          </w:p>
        </w:tc>
        <w:tc>
          <w:tcPr>
            <w:tcW w:w="2095" w:type="dxa"/>
            <w:tcBorders>
              <w:top w:val="nil"/>
              <w:left w:val="nil"/>
              <w:bottom w:val="single" w:sz="6" w:space="0" w:color="000000"/>
              <w:right w:val="single" w:sz="6" w:space="0" w:color="000000"/>
            </w:tcBorders>
            <w:shd w:val="clear" w:color="auto" w:fill="E7E6E6"/>
            <w:tcMar>
              <w:top w:w="0" w:type="dxa"/>
              <w:left w:w="100" w:type="dxa"/>
              <w:bottom w:w="0" w:type="dxa"/>
              <w:right w:w="100" w:type="dxa"/>
            </w:tcMar>
          </w:tcPr>
          <w:p w14:paraId="1DE83708" w14:textId="77777777" w:rsidR="00E47BC1" w:rsidRPr="00217196" w:rsidRDefault="00000000">
            <w:pPr>
              <w:spacing w:before="240" w:after="240" w:line="360" w:lineRule="auto"/>
              <w:jc w:val="center"/>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343.260,00</w:t>
            </w:r>
          </w:p>
        </w:tc>
      </w:tr>
    </w:tbl>
    <w:bookmarkEnd w:id="11"/>
    <w:p w14:paraId="78FA2791"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highlight w:val="yellow"/>
        </w:rPr>
        <w:lastRenderedPageBreak/>
        <w:t xml:space="preserve"> </w:t>
      </w:r>
      <w:r w:rsidRPr="00217196">
        <w:rPr>
          <w:rFonts w:ascii="Times New Roman" w:eastAsia="Times New Roman" w:hAnsi="Times New Roman" w:cs="Times New Roman"/>
          <w:sz w:val="24"/>
          <w:szCs w:val="24"/>
        </w:rPr>
        <w:t xml:space="preserve">Apêndice </w:t>
      </w:r>
    </w:p>
    <w:p w14:paraId="2FCCD4A5" w14:textId="77777777" w:rsidR="00E47BC1" w:rsidRPr="00217196" w:rsidRDefault="00000000">
      <w:pPr>
        <w:pStyle w:val="Ttulo1"/>
        <w:keepNext w:val="0"/>
        <w:keepLines w:val="0"/>
        <w:spacing w:before="480" w:after="120" w:line="360" w:lineRule="auto"/>
        <w:jc w:val="both"/>
        <w:rPr>
          <w:rFonts w:ascii="Times New Roman" w:eastAsia="Times New Roman" w:hAnsi="Times New Roman" w:cs="Times New Roman"/>
          <w:b/>
          <w:color w:val="000000"/>
          <w:sz w:val="24"/>
          <w:szCs w:val="24"/>
        </w:rPr>
      </w:pPr>
      <w:bookmarkStart w:id="12" w:name="_by87njvxi7gy" w:colFirst="0" w:colLast="0"/>
      <w:bookmarkEnd w:id="12"/>
      <w:r w:rsidRPr="00217196">
        <w:rPr>
          <w:rFonts w:ascii="Times New Roman" w:eastAsia="Times New Roman" w:hAnsi="Times New Roman" w:cs="Times New Roman"/>
          <w:b/>
          <w:color w:val="000000"/>
          <w:sz w:val="24"/>
          <w:szCs w:val="24"/>
        </w:rPr>
        <w:t>Termo de Consentimento Livre e Esclarecido</w:t>
      </w:r>
    </w:p>
    <w:p w14:paraId="6006983A" w14:textId="77777777" w:rsidR="00E47BC1" w:rsidRPr="00217196" w:rsidRDefault="00E47BC1">
      <w:pPr>
        <w:rPr>
          <w:rFonts w:ascii="Times New Roman" w:hAnsi="Times New Roman" w:cs="Times New Roman"/>
          <w:sz w:val="24"/>
          <w:szCs w:val="24"/>
        </w:rPr>
      </w:pPr>
    </w:p>
    <w:p w14:paraId="780AE48D"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Título do Projeto</w:t>
      </w:r>
    </w:p>
    <w:p w14:paraId="54EEDC40" w14:textId="77777777" w:rsidR="00E47BC1" w:rsidRPr="00217196" w:rsidRDefault="00000000">
      <w:pPr>
        <w:spacing w:before="240" w:after="240" w:line="360" w:lineRule="auto"/>
        <w:jc w:val="both"/>
        <w:rPr>
          <w:rFonts w:ascii="Times New Roman" w:eastAsia="Times New Roman" w:hAnsi="Times New Roman" w:cs="Times New Roman"/>
          <w:b/>
          <w:bCs/>
          <w:sz w:val="24"/>
          <w:szCs w:val="24"/>
        </w:rPr>
      </w:pPr>
      <w:r w:rsidRPr="00217196">
        <w:rPr>
          <w:rFonts w:ascii="Times New Roman" w:eastAsia="Times New Roman" w:hAnsi="Times New Roman" w:cs="Times New Roman"/>
          <w:b/>
          <w:bCs/>
          <w:sz w:val="24"/>
          <w:szCs w:val="24"/>
        </w:rPr>
        <w:t>Comparação entre bisturi de radiofrequência, eletrocautério e laser de CO₂ na hemorroidectomia convencional em pacientes com doença hemorroidária grau IV: um ensaio clínico randomizado multicêntrico.</w:t>
      </w:r>
    </w:p>
    <w:p w14:paraId="6A8453CC"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Pesquisador Responsável</w:t>
      </w:r>
    </w:p>
    <w:p w14:paraId="0FFBC7A7" w14:textId="77777777" w:rsid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Dr. Fabrício Doin Paz de Oliveira</w:t>
      </w:r>
    </w:p>
    <w:p w14:paraId="718F9D10" w14:textId="7CBD42EA"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Instituição Coordenadora: Hospital São Camilo – Concordia- SC</w:t>
      </w:r>
    </w:p>
    <w:p w14:paraId="2D89547E"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E-mail: dr.fabriciodoinpaz@academiadolaser.com</w:t>
      </w:r>
    </w:p>
    <w:p w14:paraId="087B2BFC"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1. Convite à Participação</w:t>
      </w:r>
    </w:p>
    <w:p w14:paraId="78531D96"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Você está sendo convidado(a) a participar de uma pesquisa científica que será realizada em três centros hospitalares no Brasil. Antes de decidir, é importante ler este documento com atenção, tirar todas as suas dúvidas com os profissionais responsáveis e, se desejar, conversar com sua família. Sua decisão é totalmente voluntária. Caso aceite participar, será solicitado que assine este termo em duas vias, ficando uma via em seu poder.</w:t>
      </w:r>
    </w:p>
    <w:p w14:paraId="27A308CB"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2. Objetivo do Estudo</w:t>
      </w:r>
    </w:p>
    <w:p w14:paraId="34950C9E"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Este estudo busca comparar os resultados pós-operatórios de três métodos utilizados em cirurgias para tratamento de hemorroidas avançadas, aquelas </w:t>
      </w:r>
      <w:proofErr w:type="spellStart"/>
      <w:r w:rsidRPr="00217196">
        <w:rPr>
          <w:rFonts w:ascii="Times New Roman" w:eastAsia="Times New Roman" w:hAnsi="Times New Roman" w:cs="Times New Roman"/>
          <w:sz w:val="24"/>
          <w:szCs w:val="24"/>
        </w:rPr>
        <w:t>ue</w:t>
      </w:r>
      <w:proofErr w:type="spellEnd"/>
      <w:r w:rsidRPr="00217196">
        <w:rPr>
          <w:rFonts w:ascii="Times New Roman" w:eastAsia="Times New Roman" w:hAnsi="Times New Roman" w:cs="Times New Roman"/>
          <w:sz w:val="24"/>
          <w:szCs w:val="24"/>
        </w:rPr>
        <w:t xml:space="preserve"> saem e ficam para fora:: eletrocautério, bisturi de radiofrequência e laser de CO₂. O objetivo principal é identificar se alguma dessas técnicas apresenta vantagens em relação à dor, complicações e recuperação dos pacientes.</w:t>
      </w:r>
    </w:p>
    <w:p w14:paraId="5511DE11"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3. Justificativa</w:t>
      </w:r>
    </w:p>
    <w:p w14:paraId="298115C2"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A cirurgia convencional para hemorroidas de grau IV é eficaz, mas frequentemente associada a dor intensa e recuperação prolongada. Novas tecnologias como o bisturi de </w:t>
      </w:r>
      <w:r w:rsidRPr="00217196">
        <w:rPr>
          <w:rFonts w:ascii="Times New Roman" w:eastAsia="Times New Roman" w:hAnsi="Times New Roman" w:cs="Times New Roman"/>
          <w:sz w:val="24"/>
          <w:szCs w:val="24"/>
        </w:rPr>
        <w:lastRenderedPageBreak/>
        <w:t>radiofrequência e o laser CO₂ podem oferecer benefícios, e este estudo visa avaliar essas possibilidades com rigor científico.</w:t>
      </w:r>
    </w:p>
    <w:p w14:paraId="582C7650"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4. Como será a Pesquisa</w:t>
      </w:r>
    </w:p>
    <w:p w14:paraId="3CC3B5CD"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Você será alocado aleatoriamente em um dos três grupos cirúrgicos. Todos os participantes serão submetidos à mesma técnica cirúrgica (Milligan-Morgan), com a única diferença sendo o equipamento usado para corte e coagulação dos tecidos. Após a cirurgia, haverá acompanhamento clínico por 12 meses, com visitas nos dias 1, 3, 7, 14, 30, 60, 180 e 360. Durante as consultas, serão avaliadas dor, sangramento, uso de medicamentos, complicações e sintomas proctológicos.</w:t>
      </w:r>
    </w:p>
    <w:p w14:paraId="3B22520A"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5. Riscos e Desconfortos</w:t>
      </w:r>
    </w:p>
    <w:p w14:paraId="2EB217EF"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Os riscos são semelhantes aos de qualquer cirurgia de hemorroidas: dor, sangramento, infecção, retenção urinária, estenose anal, incontinência fecal, desconforto durante entrevistas e exames. A equipe é treinada e está preparada para prevenir e tratar essas complicações. Não há riscos adicionais por participar do estudo.</w:t>
      </w:r>
    </w:p>
    <w:p w14:paraId="014CFE8D"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6. Benefícios Esperados</w:t>
      </w:r>
    </w:p>
    <w:p w14:paraId="01CE08B8"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Você poderá se beneficiar do acompanhamento rigoroso, da possibilidade de acesso a tecnologias modernas e contribuirá com o avanço da ciência, ajudando a melhorar os tratamentos cirúrgicos futuros.</w:t>
      </w:r>
    </w:p>
    <w:p w14:paraId="583135BD"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7. Custos e Ressarcimento</w:t>
      </w:r>
    </w:p>
    <w:p w14:paraId="72E77027"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Não haverá custos para você. Caso precise retornar ao hospital para as consultas do estudo, despesas com transporte poderão ser ressarcidas mediante apresentação de comprovantes. Este reembolso não constitui pagamento pela sua participação.</w:t>
      </w:r>
    </w:p>
    <w:p w14:paraId="33C68D9E"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8. Assistência em Caso de Danos</w:t>
      </w:r>
    </w:p>
    <w:p w14:paraId="6333AD34"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Caso ocorra qualquer complicação diretamente relacionada à pesquisa, será garantido tratamento médico gratuito e integral, conforme exigido pelas normas éticas nacionais.</w:t>
      </w:r>
    </w:p>
    <w:p w14:paraId="508896AE"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9. Confidencialidade</w:t>
      </w:r>
    </w:p>
    <w:p w14:paraId="2309758B"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lastRenderedPageBreak/>
        <w:t>Todas as informações obtidas durante a pesquisa serão mantidas sob sigilo. Seu nome não será divulgado em nenhum momento. Os dados serão codificados e protegidos conforme a Lei Geral de Proteção de Dados (LGPD).</w:t>
      </w:r>
    </w:p>
    <w:p w14:paraId="3CEF114A"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10. Liberdade de Participação</w:t>
      </w:r>
    </w:p>
    <w:p w14:paraId="3A771BC6"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Você pode desistir da pesquisa a qualquer momento, sem precisar justificar sua decisão e sem qualquer prejuízo ao seu atendimento médico.</w:t>
      </w:r>
    </w:p>
    <w:p w14:paraId="0671573F"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11. Centros Participantes</w:t>
      </w:r>
    </w:p>
    <w:p w14:paraId="452CB6F8"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Além do Hospital São Camilo (Concórdia - SC, participam deste estudo:</w:t>
      </w:r>
      <w:r w:rsidRPr="00217196">
        <w:rPr>
          <w:rFonts w:ascii="Times New Roman" w:eastAsia="Times New Roman" w:hAnsi="Times New Roman" w:cs="Times New Roman"/>
          <w:sz w:val="24"/>
          <w:szCs w:val="24"/>
        </w:rPr>
        <w:br/>
        <w:t xml:space="preserve"> - Centro 2: Centro de Coloproctologia da Bahia – Salvador- Bahia</w:t>
      </w:r>
    </w:p>
    <w:p w14:paraId="5F7432F1"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Centro 3:</w:t>
      </w:r>
    </w:p>
    <w:p w14:paraId="07D32225" w14:textId="77777777" w:rsidR="00E47BC1" w:rsidRPr="00217196" w:rsidRDefault="00000000">
      <w:pPr>
        <w:spacing w:before="240" w:after="240" w:line="360" w:lineRule="auto"/>
        <w:jc w:val="both"/>
        <w:rPr>
          <w:rFonts w:ascii="Times New Roman" w:eastAsia="Times New Roman" w:hAnsi="Times New Roman" w:cs="Times New Roman"/>
          <w:b/>
          <w:sz w:val="24"/>
          <w:szCs w:val="24"/>
        </w:rPr>
      </w:pPr>
      <w:r w:rsidRPr="00217196">
        <w:rPr>
          <w:rFonts w:ascii="Times New Roman" w:eastAsia="Times New Roman" w:hAnsi="Times New Roman" w:cs="Times New Roman"/>
          <w:b/>
          <w:sz w:val="24"/>
          <w:szCs w:val="24"/>
        </w:rPr>
        <w:t>12. Contato para Esclarecimentos</w:t>
      </w:r>
    </w:p>
    <w:p w14:paraId="0704E120" w14:textId="77777777" w:rsid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Dr. Fabrício Doin Paz de Oliveira</w:t>
      </w:r>
    </w:p>
    <w:p w14:paraId="49D189B5" w14:textId="339E9A71"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 E-mail: </w:t>
      </w:r>
      <w:hyperlink r:id="rId7" w:history="1">
        <w:r w:rsidR="00217196" w:rsidRPr="004D3262">
          <w:rPr>
            <w:rStyle w:val="Hyperlink"/>
            <w:rFonts w:ascii="Times New Roman" w:eastAsia="Times New Roman" w:hAnsi="Times New Roman" w:cs="Times New Roman"/>
            <w:sz w:val="24"/>
            <w:szCs w:val="24"/>
          </w:rPr>
          <w:t>dr.fabriciodoinpaz@academiadolaser.com</w:t>
        </w:r>
      </w:hyperlink>
      <w:r w:rsidRPr="00217196">
        <w:rPr>
          <w:rFonts w:ascii="Times New Roman" w:eastAsia="Times New Roman" w:hAnsi="Times New Roman" w:cs="Times New Roman"/>
          <w:sz w:val="24"/>
          <w:szCs w:val="24"/>
        </w:rPr>
        <w:br/>
        <w:t xml:space="preserve"> Telefone: 49 99999-7677</w:t>
      </w:r>
    </w:p>
    <w:p w14:paraId="66E0C360" w14:textId="77777777" w:rsid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highlight w:val="yellow"/>
        </w:rPr>
        <w:br/>
      </w:r>
      <w:r w:rsidRPr="00217196">
        <w:rPr>
          <w:rFonts w:ascii="Times New Roman" w:eastAsia="Times New Roman" w:hAnsi="Times New Roman" w:cs="Times New Roman"/>
          <w:sz w:val="24"/>
          <w:szCs w:val="24"/>
        </w:rPr>
        <w:t xml:space="preserve"> Declaro que fui informado(a) de forma clara e completa sobre os objetivos, procedimentos, riscos e benefícios deste estudo. Recebi uma via deste termo e tive a oportunidade de fazer perguntas, que foram devidamente esclarecidas. Concordo voluntariamente em participar da pesquisa.</w:t>
      </w:r>
    </w:p>
    <w:p w14:paraId="069CBB4D" w14:textId="6697C155"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br/>
      </w:r>
      <w:r w:rsidRPr="00217196">
        <w:rPr>
          <w:rFonts w:ascii="Times New Roman" w:eastAsia="Times New Roman" w:hAnsi="Times New Roman" w:cs="Times New Roman"/>
          <w:sz w:val="24"/>
          <w:szCs w:val="24"/>
        </w:rPr>
        <w:br/>
        <w:t xml:space="preserve"> Nome completo do(a) participante: _______________________________________________ </w:t>
      </w:r>
      <w:r w:rsidRPr="00217196">
        <w:rPr>
          <w:rFonts w:ascii="Times New Roman" w:eastAsia="Times New Roman" w:hAnsi="Times New Roman" w:cs="Times New Roman"/>
          <w:sz w:val="24"/>
          <w:szCs w:val="24"/>
        </w:rPr>
        <w:br/>
        <w:t xml:space="preserve"> Assinatura do(a) participante: _________________________________________________ </w:t>
      </w:r>
      <w:r w:rsidRPr="00217196">
        <w:rPr>
          <w:rFonts w:ascii="Times New Roman" w:eastAsia="Times New Roman" w:hAnsi="Times New Roman" w:cs="Times New Roman"/>
          <w:sz w:val="24"/>
          <w:szCs w:val="24"/>
        </w:rPr>
        <w:br/>
        <w:t xml:space="preserve"> Data: ____/____/________ </w:t>
      </w:r>
      <w:r w:rsidRPr="00217196">
        <w:rPr>
          <w:rFonts w:ascii="Times New Roman" w:eastAsia="Times New Roman" w:hAnsi="Times New Roman" w:cs="Times New Roman"/>
          <w:sz w:val="24"/>
          <w:szCs w:val="24"/>
        </w:rPr>
        <w:br/>
      </w:r>
      <w:r w:rsidRPr="00217196">
        <w:rPr>
          <w:rFonts w:ascii="Times New Roman" w:eastAsia="Times New Roman" w:hAnsi="Times New Roman" w:cs="Times New Roman"/>
          <w:sz w:val="24"/>
          <w:szCs w:val="24"/>
        </w:rPr>
        <w:br/>
        <w:t xml:space="preserve"> Assinatura do pesquisador responsável DO CENTRO DE PESQUISA: </w:t>
      </w:r>
    </w:p>
    <w:p w14:paraId="45CA2495"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lastRenderedPageBreak/>
        <w:t xml:space="preserve">_____________________________________________________ </w:t>
      </w:r>
    </w:p>
    <w:p w14:paraId="76EA3706"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______________________________________________________</w:t>
      </w:r>
    </w:p>
    <w:p w14:paraId="124DEBA6"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t xml:space="preserve">Assinatura do pesquisador responsável ( </w:t>
      </w:r>
      <w:bookmarkStart w:id="13" w:name="_Hlk205144864"/>
      <w:r w:rsidRPr="00217196">
        <w:rPr>
          <w:rFonts w:ascii="Times New Roman" w:eastAsia="Times New Roman" w:hAnsi="Times New Roman" w:cs="Times New Roman"/>
          <w:sz w:val="24"/>
          <w:szCs w:val="24"/>
        </w:rPr>
        <w:t>Fabrício Doin Paz de Oliveira</w:t>
      </w:r>
      <w:bookmarkEnd w:id="13"/>
      <w:r w:rsidRPr="00217196">
        <w:rPr>
          <w:rFonts w:ascii="Times New Roman" w:eastAsia="Times New Roman" w:hAnsi="Times New Roman" w:cs="Times New Roman"/>
          <w:sz w:val="24"/>
          <w:szCs w:val="24"/>
        </w:rPr>
        <w:t>)</w:t>
      </w:r>
    </w:p>
    <w:p w14:paraId="52560C8E" w14:textId="77777777" w:rsidR="00E47BC1" w:rsidRPr="00217196" w:rsidRDefault="00000000">
      <w:pPr>
        <w:spacing w:before="240" w:after="240" w:line="360" w:lineRule="auto"/>
        <w:jc w:val="both"/>
        <w:rPr>
          <w:rFonts w:ascii="Times New Roman" w:eastAsia="Times New Roman" w:hAnsi="Times New Roman" w:cs="Times New Roman"/>
          <w:sz w:val="24"/>
          <w:szCs w:val="24"/>
        </w:rPr>
      </w:pPr>
      <w:r w:rsidRPr="00217196">
        <w:rPr>
          <w:rFonts w:ascii="Times New Roman" w:eastAsia="Times New Roman" w:hAnsi="Times New Roman" w:cs="Times New Roman"/>
          <w:sz w:val="24"/>
          <w:szCs w:val="24"/>
        </w:rPr>
        <w:br/>
      </w:r>
      <w:r w:rsidRPr="00217196">
        <w:rPr>
          <w:rFonts w:ascii="Times New Roman" w:eastAsia="Times New Roman" w:hAnsi="Times New Roman" w:cs="Times New Roman"/>
          <w:sz w:val="24"/>
          <w:szCs w:val="24"/>
        </w:rPr>
        <w:br/>
      </w:r>
      <w:r w:rsidRPr="00217196">
        <w:rPr>
          <w:rFonts w:ascii="Times New Roman" w:eastAsia="Times New Roman" w:hAnsi="Times New Roman" w:cs="Times New Roman"/>
          <w:sz w:val="24"/>
          <w:szCs w:val="24"/>
        </w:rPr>
        <w:br/>
        <w:t xml:space="preserve"> Assinatura da testemunha (se necessário): ______________________________________ </w:t>
      </w:r>
      <w:r w:rsidRPr="00217196">
        <w:rPr>
          <w:rFonts w:ascii="Times New Roman" w:eastAsia="Times New Roman" w:hAnsi="Times New Roman" w:cs="Times New Roman"/>
          <w:sz w:val="24"/>
          <w:szCs w:val="24"/>
        </w:rPr>
        <w:br/>
        <w:t xml:space="preserve"> Data: ____/____/________ </w:t>
      </w:r>
      <w:r w:rsidRPr="00217196">
        <w:rPr>
          <w:rFonts w:ascii="Times New Roman" w:eastAsia="Times New Roman" w:hAnsi="Times New Roman" w:cs="Times New Roman"/>
          <w:sz w:val="24"/>
          <w:szCs w:val="24"/>
        </w:rPr>
        <w:br/>
      </w:r>
    </w:p>
    <w:p w14:paraId="4A2C87D7"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29641E4B"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00EAFF43"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524F62EA"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4A927FFA"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71447E5F"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6BB0F992"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7F634800"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1ECE32D8"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67815245"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673E1E0B"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55138B4C"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69D3D3C0"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7E6F513A"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p w14:paraId="0F8C0E2B" w14:textId="5FCB4629" w:rsidR="00E47BC1" w:rsidRPr="00217196" w:rsidRDefault="00120E6A">
      <w:pPr>
        <w:spacing w:before="240" w:after="240" w:line="360" w:lineRule="auto"/>
        <w:jc w:val="both"/>
        <w:rPr>
          <w:rFonts w:ascii="Times New Roman" w:eastAsia="Times New Roman" w:hAnsi="Times New Roman" w:cs="Times New Roman"/>
          <w:sz w:val="24"/>
          <w:szCs w:val="24"/>
        </w:rPr>
      </w:pPr>
      <w:r>
        <w:rPr>
          <w:noProof/>
        </w:rPr>
        <w:lastRenderedPageBreak/>
        <w:drawing>
          <wp:inline distT="0" distB="0" distL="0" distR="0" wp14:anchorId="144F81CB" wp14:editId="54FF6CD1">
            <wp:extent cx="5385926" cy="9076690"/>
            <wp:effectExtent l="0" t="0" r="5715" b="0"/>
            <wp:docPr id="676612295" name="Imagem 1" descr="Texto, Cart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612295" name="Imagem 1" descr="Texto, Carta&#10;&#10;O conteúdo gerado por IA pode estar incorreto."/>
                    <pic:cNvPicPr/>
                  </pic:nvPicPr>
                  <pic:blipFill>
                    <a:blip r:embed="rId8">
                      <a:extLst>
                        <a:ext uri="{BEBA8EAE-BF5A-486C-A8C5-ECC9F3942E4B}">
                          <a14:imgProps xmlns:a14="http://schemas.microsoft.com/office/drawing/2010/main">
                            <a14:imgLayer r:embed="rId9">
                              <a14:imgEffect>
                                <a14:sharpenSoften amount="50000"/>
                              </a14:imgEffect>
                            </a14:imgLayer>
                          </a14:imgProps>
                        </a:ext>
                      </a:extLst>
                    </a:blip>
                    <a:stretch>
                      <a:fillRect/>
                    </a:stretch>
                  </pic:blipFill>
                  <pic:spPr>
                    <a:xfrm>
                      <a:off x="0" y="0"/>
                      <a:ext cx="5403199" cy="9105799"/>
                    </a:xfrm>
                    <a:prstGeom prst="rect">
                      <a:avLst/>
                    </a:prstGeom>
                  </pic:spPr>
                </pic:pic>
              </a:graphicData>
            </a:graphic>
          </wp:inline>
        </w:drawing>
      </w:r>
    </w:p>
    <w:p w14:paraId="54491157" w14:textId="77777777" w:rsidR="00E47BC1" w:rsidRPr="00217196" w:rsidRDefault="00E47BC1">
      <w:pPr>
        <w:spacing w:before="240" w:after="240" w:line="360" w:lineRule="auto"/>
        <w:jc w:val="both"/>
        <w:rPr>
          <w:rFonts w:ascii="Times New Roman" w:eastAsia="Times New Roman" w:hAnsi="Times New Roman" w:cs="Times New Roman"/>
          <w:sz w:val="24"/>
          <w:szCs w:val="24"/>
        </w:rPr>
      </w:pPr>
    </w:p>
    <w:sectPr w:rsidR="00E47BC1" w:rsidRPr="00217196">
      <w:headerReference w:type="default" r:id="rId10"/>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8174B" w14:textId="77777777" w:rsidR="00206982" w:rsidRDefault="00206982">
      <w:pPr>
        <w:spacing w:after="0" w:line="240" w:lineRule="auto"/>
      </w:pPr>
      <w:r>
        <w:separator/>
      </w:r>
    </w:p>
  </w:endnote>
  <w:endnote w:type="continuationSeparator" w:id="0">
    <w:p w14:paraId="05766146" w14:textId="77777777" w:rsidR="00206982" w:rsidRDefault="00206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9FC8F607-6588-41C0-B795-273CF9FEF7D6}"/>
    <w:embedItalic r:id="rId2" w:fontKey="{D4932E5F-DA44-486B-9611-BFA6584B2F97}"/>
  </w:font>
  <w:font w:name="Play">
    <w:charset w:val="00"/>
    <w:family w:val="auto"/>
    <w:pitch w:val="default"/>
    <w:embedRegular r:id="rId3" w:fontKey="{B1915D2D-3497-406F-945A-1284694CFB79}"/>
  </w:font>
  <w:font w:name="Gungsuh">
    <w:charset w:val="81"/>
    <w:family w:val="roman"/>
    <w:pitch w:val="variable"/>
    <w:sig w:usb0="B00002AF" w:usb1="69D77CFB" w:usb2="00000030" w:usb3="00000000" w:csb0="0008009F" w:csb1="00000000"/>
  </w:font>
  <w:font w:name="Noto Sans Symbols">
    <w:altName w:val="Calibri"/>
    <w:charset w:val="00"/>
    <w:family w:val="auto"/>
    <w:pitch w:val="default"/>
    <w:embedRegular r:id="rId4" w:fontKey="{7C64D36D-7077-46C0-934B-60A577FE7A6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E98947FC-3F69-487C-B3CD-FB2575809A0F}"/>
  </w:font>
  <w:font w:name="Cambria">
    <w:panose1 w:val="02040503050406030204"/>
    <w:charset w:val="00"/>
    <w:family w:val="roman"/>
    <w:pitch w:val="variable"/>
    <w:sig w:usb0="E00006FF" w:usb1="420024FF" w:usb2="02000000" w:usb3="00000000" w:csb0="0000019F" w:csb1="00000000"/>
    <w:embedRegular r:id="rId6" w:fontKey="{F56599B0-B86F-41DE-85FF-7A92B434D7F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2E787" w14:textId="77777777" w:rsidR="00206982" w:rsidRDefault="00206982">
      <w:pPr>
        <w:spacing w:after="0" w:line="240" w:lineRule="auto"/>
      </w:pPr>
      <w:r>
        <w:separator/>
      </w:r>
    </w:p>
  </w:footnote>
  <w:footnote w:type="continuationSeparator" w:id="0">
    <w:p w14:paraId="483C4DB7" w14:textId="77777777" w:rsidR="00206982" w:rsidRDefault="002069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7E018" w14:textId="77777777" w:rsidR="00E47BC1" w:rsidRDefault="00000000">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F779A">
      <w:rPr>
        <w:noProof/>
        <w:color w:val="000000"/>
      </w:rPr>
      <w:t>1</w:t>
    </w:r>
    <w:r>
      <w:rPr>
        <w:color w:val="000000"/>
      </w:rPr>
      <w:fldChar w:fldCharType="end"/>
    </w:r>
  </w:p>
  <w:p w14:paraId="213CB843" w14:textId="77777777" w:rsidR="00E47BC1" w:rsidRDefault="00E47BC1">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75608C"/>
    <w:multiLevelType w:val="multilevel"/>
    <w:tmpl w:val="29668A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718042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BC1"/>
    <w:rsid w:val="00120E6A"/>
    <w:rsid w:val="00206982"/>
    <w:rsid w:val="00217196"/>
    <w:rsid w:val="004C6F7F"/>
    <w:rsid w:val="007379F6"/>
    <w:rsid w:val="00B552F1"/>
    <w:rsid w:val="00C61F6A"/>
    <w:rsid w:val="00C95834"/>
    <w:rsid w:val="00E47BC1"/>
    <w:rsid w:val="00FF77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C73EE"/>
  <w15:docId w15:val="{60F85283-2F3D-48D4-9B17-4C2DCAF0E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unhideWhenUsed/>
    <w:qFormat/>
    <w:pPr>
      <w:keepNext/>
      <w:keepLines/>
      <w:spacing w:before="160" w:after="80"/>
      <w:outlineLvl w:val="2"/>
    </w:pPr>
    <w:rPr>
      <w:color w:val="0F4761"/>
      <w:sz w:val="28"/>
      <w:szCs w:val="28"/>
    </w:rPr>
  </w:style>
  <w:style w:type="paragraph" w:styleId="Ttulo4">
    <w:name w:val="heading 4"/>
    <w:basedOn w:val="Normal"/>
    <w:next w:val="Normal"/>
    <w:uiPriority w:val="9"/>
    <w:unhideWhenUsed/>
    <w:qFormat/>
    <w:pPr>
      <w:keepNext/>
      <w:keepLines/>
      <w:spacing w:before="80" w:after="40"/>
      <w:outlineLvl w:val="3"/>
    </w:pPr>
    <w:rPr>
      <w:i/>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color w:val="59595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character" w:styleId="Hyperlink">
    <w:name w:val="Hyperlink"/>
    <w:basedOn w:val="Fontepargpadro"/>
    <w:uiPriority w:val="99"/>
    <w:unhideWhenUsed/>
    <w:rsid w:val="00217196"/>
    <w:rPr>
      <w:color w:val="0000FF" w:themeColor="hyperlink"/>
      <w:u w:val="single"/>
    </w:rPr>
  </w:style>
  <w:style w:type="character" w:styleId="MenoPendente">
    <w:name w:val="Unresolved Mention"/>
    <w:basedOn w:val="Fontepargpadro"/>
    <w:uiPriority w:val="99"/>
    <w:semiHidden/>
    <w:unhideWhenUsed/>
    <w:rsid w:val="002171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dr.fabriciodoinpaz@academiadolaser.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07/relationships/hdphoto" Target="media/hdphoto1.wdp"/></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26</Pages>
  <Words>5189</Words>
  <Characters>28025</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GLICIA</dc:creator>
  <cp:lastModifiedBy>GLICIA ESTEVAM DE ABREU</cp:lastModifiedBy>
  <cp:revision>4</cp:revision>
  <dcterms:created xsi:type="dcterms:W3CDTF">2025-08-03T22:20:00Z</dcterms:created>
  <dcterms:modified xsi:type="dcterms:W3CDTF">2025-08-03T23:58:00Z</dcterms:modified>
</cp:coreProperties>
</file>