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21F69" w14:textId="6BBDBDB1" w:rsidR="0052368A" w:rsidRDefault="0052368A" w:rsidP="0052368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bookmarkStart w:id="0" w:name="_Toc340135145"/>
      <w:bookmarkStart w:id="1" w:name="_Toc341119575"/>
      <w:r w:rsidRPr="00586724">
        <w:rPr>
          <w:b/>
          <w:sz w:val="28"/>
          <w:szCs w:val="28"/>
        </w:rPr>
        <w:t>Eficácia do ácido tranexâmi</w:t>
      </w:r>
      <w:r w:rsidR="00223F7F">
        <w:rPr>
          <w:b/>
          <w:sz w:val="28"/>
          <w:szCs w:val="28"/>
        </w:rPr>
        <w:t>co na redução do sangramento em</w:t>
      </w:r>
      <w:r w:rsidRPr="00586724">
        <w:rPr>
          <w:b/>
          <w:sz w:val="28"/>
          <w:szCs w:val="28"/>
        </w:rPr>
        <w:t xml:space="preserve"> pacientes submetidos à artroplastia total do joelho</w:t>
      </w:r>
      <w:r>
        <w:rPr>
          <w:sz w:val="28"/>
          <w:szCs w:val="28"/>
        </w:rPr>
        <w:t>.</w:t>
      </w:r>
    </w:p>
    <w:p w14:paraId="6E5B88DA" w14:textId="00567FD0" w:rsidR="0052368A" w:rsidRPr="00586724" w:rsidRDefault="0052368A" w:rsidP="0052368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586724">
        <w:rPr>
          <w:b/>
          <w:sz w:val="28"/>
          <w:szCs w:val="28"/>
        </w:rPr>
        <w:t>RESUMO</w:t>
      </w:r>
    </w:p>
    <w:p w14:paraId="2CFC0A97" w14:textId="0A3C699B" w:rsidR="0052368A" w:rsidRPr="00F14344" w:rsidRDefault="0052368A" w:rsidP="00F14344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color w:val="1A1A1A"/>
        </w:rPr>
      </w:pPr>
      <w:r w:rsidRPr="00586724">
        <w:rPr>
          <w:b/>
        </w:rPr>
        <w:t>Objetivos</w:t>
      </w:r>
      <w:r w:rsidRPr="00916058">
        <w:t>:</w:t>
      </w:r>
      <w:r w:rsidRPr="00916058">
        <w:rPr>
          <w:b/>
        </w:rPr>
        <w:t xml:space="preserve"> </w:t>
      </w:r>
      <w:r>
        <w:t>analisar</w:t>
      </w:r>
      <w:r w:rsidR="002E4C41">
        <w:t xml:space="preserve"> </w:t>
      </w:r>
      <w:r w:rsidRPr="00AE680F">
        <w:t xml:space="preserve">o efeito do </w:t>
      </w:r>
      <w:r>
        <w:t>ácido tranexâmico</w:t>
      </w:r>
      <w:r w:rsidR="00C05B1D">
        <w:t xml:space="preserve"> (TXA)</w:t>
      </w:r>
      <w:r w:rsidRPr="00AE680F">
        <w:t xml:space="preserve"> no controle do sangramento</w:t>
      </w:r>
      <w:r w:rsidR="00C05B1D">
        <w:t>,</w:t>
      </w:r>
      <w:r w:rsidRPr="00AE680F">
        <w:t xml:space="preserve"> a perda sanguínea </w:t>
      </w:r>
      <w:r w:rsidR="00C05B1D">
        <w:t>pós-operatória</w:t>
      </w:r>
      <w:r>
        <w:t xml:space="preserve">, </w:t>
      </w:r>
      <w:r w:rsidR="00C05B1D">
        <w:t xml:space="preserve">a </w:t>
      </w:r>
      <w:r w:rsidRPr="00AE680F">
        <w:t>queda da hemoglob</w:t>
      </w:r>
      <w:r>
        <w:t xml:space="preserve">ina e do hematócrito </w:t>
      </w:r>
      <w:r w:rsidR="00C05B1D">
        <w:t xml:space="preserve">e </w:t>
      </w:r>
      <w:r w:rsidRPr="00AE680F">
        <w:t>a necessidade</w:t>
      </w:r>
      <w:r w:rsidR="00C05B1D">
        <w:t xml:space="preserve"> de hemoderivados em </w:t>
      </w:r>
      <w:r w:rsidR="00C05B1D" w:rsidRPr="00AE680F">
        <w:t>pacientes submetidos</w:t>
      </w:r>
      <w:r w:rsidR="00C05B1D">
        <w:t xml:space="preserve"> a artroplastia total do joelho (ATJ).</w:t>
      </w:r>
      <w:r w:rsidR="00C05B1D">
        <w:rPr>
          <w:lang w:eastAsia="ar-SA"/>
        </w:rPr>
        <w:t xml:space="preserve"> </w:t>
      </w:r>
      <w:r w:rsidRPr="00586724">
        <w:rPr>
          <w:b/>
          <w:lang w:eastAsia="ar-SA"/>
        </w:rPr>
        <w:t>Métodos</w:t>
      </w:r>
      <w:r w:rsidRPr="00916058">
        <w:rPr>
          <w:lang w:eastAsia="ar-SA"/>
        </w:rPr>
        <w:t>:</w:t>
      </w:r>
      <w:r w:rsidR="00C05B1D">
        <w:rPr>
          <w:lang w:eastAsia="ar-SA"/>
        </w:rPr>
        <w:t xml:space="preserve"> </w:t>
      </w:r>
      <w:r w:rsidR="00C05B1D" w:rsidRPr="00AE680F">
        <w:rPr>
          <w:bCs/>
          <w:color w:val="000000"/>
        </w:rPr>
        <w:t>ensaio clinico randomizado</w:t>
      </w:r>
      <w:r w:rsidR="00C05B1D">
        <w:rPr>
          <w:bCs/>
          <w:color w:val="000000"/>
        </w:rPr>
        <w:t>,</w:t>
      </w:r>
      <w:r w:rsidR="00C05B1D" w:rsidRPr="00AE680F">
        <w:rPr>
          <w:bCs/>
          <w:color w:val="000000"/>
        </w:rPr>
        <w:t xml:space="preserve"> duplo cego com dois grupo</w:t>
      </w:r>
      <w:r w:rsidR="00F14344">
        <w:rPr>
          <w:bCs/>
          <w:color w:val="000000"/>
        </w:rPr>
        <w:t>s de pacientes que se submeteram</w:t>
      </w:r>
      <w:r w:rsidR="00C05B1D" w:rsidRPr="00AE680F">
        <w:rPr>
          <w:bCs/>
          <w:color w:val="000000"/>
        </w:rPr>
        <w:t xml:space="preserve"> à ATJ </w:t>
      </w:r>
      <w:r w:rsidR="00F14344">
        <w:rPr>
          <w:bCs/>
          <w:color w:val="000000"/>
        </w:rPr>
        <w:t>onde os mesmos receberam</w:t>
      </w:r>
      <w:r w:rsidR="00C05B1D" w:rsidRPr="00AE680F">
        <w:rPr>
          <w:bCs/>
          <w:color w:val="000000"/>
        </w:rPr>
        <w:t xml:space="preserve"> ou não </w:t>
      </w:r>
      <w:r w:rsidR="00C05B1D">
        <w:rPr>
          <w:bCs/>
          <w:color w:val="000000"/>
        </w:rPr>
        <w:t>TXA</w:t>
      </w:r>
      <w:r w:rsidR="00C05B1D" w:rsidRPr="00AE680F">
        <w:rPr>
          <w:bCs/>
          <w:color w:val="000000"/>
        </w:rPr>
        <w:t xml:space="preserve"> per-operatório</w:t>
      </w:r>
      <w:r w:rsidR="000E1A69">
        <w:t xml:space="preserve">; </w:t>
      </w:r>
      <w:r w:rsidR="00C05B1D">
        <w:t>calculou-se</w:t>
      </w:r>
      <w:r w:rsidR="00C05B1D" w:rsidRPr="00AE680F">
        <w:t xml:space="preserve"> o volume sanguíneo e a perda sanguínea estimada</w:t>
      </w:r>
      <w:r w:rsidR="00C05B1D">
        <w:t xml:space="preserve">, bem como </w:t>
      </w:r>
      <w:r w:rsidR="000E1A69">
        <w:t xml:space="preserve">a </w:t>
      </w:r>
      <w:r w:rsidR="00C05B1D">
        <w:t>análise do volume de sangue no dreno suctor.</w:t>
      </w:r>
      <w:r w:rsidR="00851B9D">
        <w:rPr>
          <w:color w:val="1A1A1A"/>
        </w:rPr>
        <w:t xml:space="preserve"> </w:t>
      </w:r>
      <w:r w:rsidR="00C05B1D" w:rsidRPr="00586724">
        <w:rPr>
          <w:b/>
          <w:lang w:eastAsia="ar-SA"/>
        </w:rPr>
        <w:t>Resultados</w:t>
      </w:r>
      <w:r w:rsidR="00C05B1D" w:rsidRPr="00916058">
        <w:rPr>
          <w:lang w:eastAsia="ar-SA"/>
        </w:rPr>
        <w:t>:</w:t>
      </w:r>
      <w:r w:rsidR="00851B9D">
        <w:rPr>
          <w:lang w:eastAsia="ar-SA"/>
        </w:rPr>
        <w:t xml:space="preserve"> </w:t>
      </w:r>
      <w:r w:rsidR="00851B9D">
        <w:rPr>
          <w:color w:val="131413"/>
        </w:rPr>
        <w:t>foram</w:t>
      </w:r>
      <w:r w:rsidR="00F14344">
        <w:rPr>
          <w:color w:val="131413"/>
        </w:rPr>
        <w:t xml:space="preserve"> operados</w:t>
      </w:r>
      <w:r w:rsidR="00851B9D">
        <w:rPr>
          <w:color w:val="131413"/>
        </w:rPr>
        <w:t xml:space="preserve"> 34 pacientes, sendo </w:t>
      </w:r>
      <w:r w:rsidR="000E1A69" w:rsidRPr="000E1A69">
        <w:rPr>
          <w:color w:val="131413"/>
        </w:rPr>
        <w:t>25 mulheres e 9</w:t>
      </w:r>
      <w:r w:rsidR="00851B9D" w:rsidRPr="000E1A69">
        <w:rPr>
          <w:color w:val="131413"/>
        </w:rPr>
        <w:t xml:space="preserve"> homens</w:t>
      </w:r>
      <w:r w:rsidR="00851B9D">
        <w:rPr>
          <w:color w:val="131413"/>
        </w:rPr>
        <w:t>, divididos em 2 grupos: I (uso de TXA) e II (sem TXA</w:t>
      </w:r>
      <w:r w:rsidR="000E1A69">
        <w:rPr>
          <w:color w:val="131413"/>
        </w:rPr>
        <w:t xml:space="preserve">), dois pacientes foram </w:t>
      </w:r>
      <w:r w:rsidR="000F0BF2">
        <w:rPr>
          <w:color w:val="131413"/>
        </w:rPr>
        <w:t>excluídos</w:t>
      </w:r>
      <w:r w:rsidR="000E1A69">
        <w:rPr>
          <w:color w:val="131413"/>
        </w:rPr>
        <w:t xml:space="preserve">; </w:t>
      </w:r>
      <w:r w:rsidR="00AD3B3C">
        <w:t>não</w:t>
      </w:r>
      <w:r w:rsidR="00206B42">
        <w:t xml:space="preserve"> se observaram diferenças estatisticamente significativas (</w:t>
      </w:r>
      <w:r w:rsidR="00206B42">
        <w:rPr>
          <w:i/>
        </w:rPr>
        <w:t xml:space="preserve">p </w:t>
      </w:r>
      <w:r w:rsidR="00206B42">
        <w:t>= 0,417)</w:t>
      </w:r>
      <w:r w:rsidR="00343997">
        <w:t>,</w:t>
      </w:r>
      <w:r w:rsidR="00206B42">
        <w:t xml:space="preserve"> </w:t>
      </w:r>
      <w:r w:rsidR="00343997">
        <w:t xml:space="preserve">entre os grupos, </w:t>
      </w:r>
      <w:r w:rsidR="00206B42">
        <w:t>na queda do hematócrito entre o pré-operatório e o quinto dia</w:t>
      </w:r>
      <w:r w:rsidR="00343997">
        <w:t>. A hemoglobina teve melhores índices no Grupo I no 15</w:t>
      </w:r>
      <w:r w:rsidR="00343997" w:rsidRPr="00343997">
        <w:rPr>
          <w:vertAlign w:val="superscript"/>
        </w:rPr>
        <w:t>o</w:t>
      </w:r>
      <w:r w:rsidR="00343997">
        <w:t xml:space="preserve">. dia </w:t>
      </w:r>
      <w:r w:rsidR="00DE77C9">
        <w:t>pós-operatório</w:t>
      </w:r>
      <w:r w:rsidR="00343997">
        <w:t>.</w:t>
      </w:r>
      <w:r w:rsidR="00AD3B3C">
        <w:t xml:space="preserve"> O volume sanguíneo estimado dos pacientes, </w:t>
      </w:r>
      <w:r w:rsidR="00AD3B3C">
        <w:rPr>
          <w:color w:val="1A1A1A"/>
        </w:rPr>
        <w:t>não apresentou diferenç</w:t>
      </w:r>
      <w:r w:rsidR="000F0BF2">
        <w:rPr>
          <w:color w:val="1A1A1A"/>
        </w:rPr>
        <w:t>as entre os g</w:t>
      </w:r>
      <w:r w:rsidR="00AD3B3C">
        <w:rPr>
          <w:color w:val="1A1A1A"/>
        </w:rPr>
        <w:t>rupos no</w:t>
      </w:r>
      <w:r w:rsidR="00DD1023">
        <w:rPr>
          <w:color w:val="1A1A1A"/>
        </w:rPr>
        <w:t>s</w:t>
      </w:r>
      <w:r w:rsidR="00AD3B3C">
        <w:rPr>
          <w:color w:val="1A1A1A"/>
        </w:rPr>
        <w:t xml:space="preserve"> 5</w:t>
      </w:r>
      <w:r w:rsidR="00AD3B3C" w:rsidRPr="00AD3B3C">
        <w:rPr>
          <w:color w:val="1A1A1A"/>
          <w:vertAlign w:val="superscript"/>
        </w:rPr>
        <w:t>o</w:t>
      </w:r>
      <w:r w:rsidR="00AD3B3C">
        <w:rPr>
          <w:color w:val="1A1A1A"/>
        </w:rPr>
        <w:t>. e 15</w:t>
      </w:r>
      <w:r w:rsidR="00AD3B3C" w:rsidRPr="007E425B">
        <w:rPr>
          <w:color w:val="1A1A1A"/>
          <w:vertAlign w:val="superscript"/>
        </w:rPr>
        <w:t>o</w:t>
      </w:r>
      <w:r w:rsidR="00AD3B3C">
        <w:rPr>
          <w:color w:val="1A1A1A"/>
        </w:rPr>
        <w:t>. dias de pós-operatório (</w:t>
      </w:r>
      <w:r w:rsidR="00AD3B3C">
        <w:rPr>
          <w:i/>
          <w:color w:val="1A1A1A"/>
        </w:rPr>
        <w:t>p</w:t>
      </w:r>
      <w:r w:rsidR="00AD3B3C">
        <w:rPr>
          <w:color w:val="1A1A1A"/>
        </w:rPr>
        <w:t xml:space="preserve"> = 0,842 e </w:t>
      </w:r>
      <w:r w:rsidR="00AD3B3C" w:rsidRPr="007E425B">
        <w:rPr>
          <w:i/>
          <w:color w:val="1A1A1A"/>
        </w:rPr>
        <w:t>p</w:t>
      </w:r>
      <w:r w:rsidR="00AD3B3C">
        <w:rPr>
          <w:color w:val="1A1A1A"/>
        </w:rPr>
        <w:t xml:space="preserve"> = 0,863)</w:t>
      </w:r>
      <w:r w:rsidR="000E1A69">
        <w:rPr>
          <w:color w:val="1A1A1A"/>
        </w:rPr>
        <w:t xml:space="preserve">. A </w:t>
      </w:r>
      <w:r w:rsidR="00662C62">
        <w:t>perda sanguínea estimada</w:t>
      </w:r>
      <w:r w:rsidR="00662C62">
        <w:rPr>
          <w:color w:val="1A1A1A"/>
        </w:rPr>
        <w:t xml:space="preserve"> foi maior no Grupo II quando verificada no 15</w:t>
      </w:r>
      <w:r w:rsidR="00662C62" w:rsidRPr="00571772">
        <w:rPr>
          <w:color w:val="1A1A1A"/>
          <w:vertAlign w:val="superscript"/>
        </w:rPr>
        <w:t>o</w:t>
      </w:r>
      <w:r w:rsidR="00662C62">
        <w:rPr>
          <w:color w:val="1A1A1A"/>
        </w:rPr>
        <w:t>. dia pós-operatório (</w:t>
      </w:r>
      <w:r w:rsidR="00662C62">
        <w:rPr>
          <w:i/>
          <w:color w:val="1A1A1A"/>
        </w:rPr>
        <w:t xml:space="preserve">p </w:t>
      </w:r>
      <w:r w:rsidR="00662C62">
        <w:rPr>
          <w:color w:val="1A1A1A"/>
        </w:rPr>
        <w:t>= 0,033). No quinto dia pós-operatório, houve maior sangramento no Grupo II, porém sem significância estatística (</w:t>
      </w:r>
      <w:r w:rsidR="00662C62">
        <w:rPr>
          <w:i/>
          <w:color w:val="1A1A1A"/>
        </w:rPr>
        <w:t xml:space="preserve">p </w:t>
      </w:r>
      <w:r w:rsidR="00662C62">
        <w:rPr>
          <w:color w:val="1A1A1A"/>
        </w:rPr>
        <w:t xml:space="preserve">= 0,206). </w:t>
      </w:r>
      <w:r w:rsidR="00662C62">
        <w:t>O volume de sangue no dreno suctor foi maior nos pacientes do Grupo II (</w:t>
      </w:r>
      <w:r w:rsidR="00662C62">
        <w:rPr>
          <w:i/>
        </w:rPr>
        <w:t>p</w:t>
      </w:r>
      <w:r w:rsidR="00662C62">
        <w:t xml:space="preserve"> &lt; 0,05).</w:t>
      </w:r>
      <w:r w:rsidR="00F14344">
        <w:rPr>
          <w:color w:val="1A1A1A"/>
        </w:rPr>
        <w:t xml:space="preserve"> </w:t>
      </w:r>
      <w:r w:rsidRPr="00586724">
        <w:rPr>
          <w:b/>
          <w:lang w:eastAsia="ar-SA"/>
        </w:rPr>
        <w:t>Conclusões</w:t>
      </w:r>
      <w:r w:rsidR="00662C62">
        <w:rPr>
          <w:lang w:eastAsia="ar-SA"/>
        </w:rPr>
        <w:t xml:space="preserve">: </w:t>
      </w:r>
      <w:r w:rsidR="00F14344">
        <w:rPr>
          <w:lang w:eastAsia="ar-SA"/>
        </w:rPr>
        <w:t>verificou-se que o uso do TXA evita maior perda sanguínea no dreno</w:t>
      </w:r>
      <w:r w:rsidR="000E1A69">
        <w:rPr>
          <w:lang w:eastAsia="ar-SA"/>
        </w:rPr>
        <w:t xml:space="preserve"> suctor</w:t>
      </w:r>
      <w:r w:rsidR="00F14344">
        <w:rPr>
          <w:lang w:eastAsia="ar-SA"/>
        </w:rPr>
        <w:t>, principalmente nas seis primeiras horas. Não houve diferenças</w:t>
      </w:r>
      <w:r w:rsidR="000E1A69">
        <w:rPr>
          <w:lang w:eastAsia="ar-SA"/>
        </w:rPr>
        <w:t xml:space="preserve"> nas taxas</w:t>
      </w:r>
      <w:r w:rsidR="00F14344">
        <w:rPr>
          <w:lang w:eastAsia="ar-SA"/>
        </w:rPr>
        <w:t xml:space="preserve"> de hemotransfusão, hemoglobina e hematócrito.</w:t>
      </w:r>
    </w:p>
    <w:p w14:paraId="3C83E92C" w14:textId="77777777" w:rsidR="0052368A" w:rsidRDefault="0052368A" w:rsidP="0052368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14:paraId="4414296B" w14:textId="5485CCA8" w:rsidR="006F0A71" w:rsidRPr="00B6447B" w:rsidRDefault="006F0A71" w:rsidP="00B516F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jc w:val="both"/>
      </w:pPr>
      <w:r w:rsidRPr="00586724">
        <w:rPr>
          <w:b/>
        </w:rPr>
        <w:t>Palavras-chave</w:t>
      </w:r>
      <w:r w:rsidRPr="00B6447B">
        <w:t>:</w:t>
      </w:r>
    </w:p>
    <w:p w14:paraId="768A34A9" w14:textId="77777777" w:rsidR="00427AA9" w:rsidRDefault="0052368A" w:rsidP="00B516F3">
      <w:pPr>
        <w:spacing w:line="360" w:lineRule="auto"/>
        <w:jc w:val="both"/>
      </w:pPr>
      <w:r w:rsidRPr="0052368A">
        <w:t xml:space="preserve">Ácido </w:t>
      </w:r>
      <w:r w:rsidR="00B6447B" w:rsidRPr="0052368A">
        <w:t>tranexâmico</w:t>
      </w:r>
    </w:p>
    <w:p w14:paraId="5DE2F8BE" w14:textId="7582FABD" w:rsidR="00427AA9" w:rsidRDefault="00427AA9" w:rsidP="00B516F3">
      <w:pPr>
        <w:spacing w:line="360" w:lineRule="auto"/>
        <w:jc w:val="both"/>
      </w:pPr>
      <w:r>
        <w:t>S</w:t>
      </w:r>
      <w:r w:rsidR="00B6447B" w:rsidRPr="00B6447B">
        <w:t>angramento</w:t>
      </w:r>
    </w:p>
    <w:p w14:paraId="6D27C0C1" w14:textId="3CDA24DD" w:rsidR="00427AA9" w:rsidRDefault="00427AA9" w:rsidP="00B516F3">
      <w:pPr>
        <w:spacing w:line="360" w:lineRule="auto"/>
        <w:jc w:val="both"/>
      </w:pPr>
      <w:r>
        <w:t>A</w:t>
      </w:r>
      <w:r w:rsidR="00B6447B" w:rsidRPr="00B6447B">
        <w:t>rtr</w:t>
      </w:r>
      <w:r w:rsidR="0052368A" w:rsidRPr="0052368A">
        <w:t xml:space="preserve">roplastia do </w:t>
      </w:r>
      <w:r w:rsidR="00B6447B" w:rsidRPr="0052368A">
        <w:t>joelho</w:t>
      </w:r>
    </w:p>
    <w:p w14:paraId="7D99A508" w14:textId="5491DEA0" w:rsidR="00427AA9" w:rsidRDefault="00427AA9" w:rsidP="00B516F3">
      <w:pPr>
        <w:spacing w:line="360" w:lineRule="auto"/>
        <w:jc w:val="both"/>
      </w:pPr>
      <w:r>
        <w:t>T</w:t>
      </w:r>
      <w:r w:rsidR="00B6447B" w:rsidRPr="00B6447B">
        <w:t>ransfusão</w:t>
      </w:r>
      <w:r w:rsidR="0052368A" w:rsidRPr="0052368A">
        <w:t xml:space="preserve"> de </w:t>
      </w:r>
      <w:r w:rsidR="00B6447B" w:rsidRPr="0052368A">
        <w:t>sangu</w:t>
      </w:r>
      <w:r>
        <w:t>e</w:t>
      </w:r>
    </w:p>
    <w:p w14:paraId="4F411F6D" w14:textId="58ADA266" w:rsidR="0052368A" w:rsidRPr="0052368A" w:rsidRDefault="00427AA9" w:rsidP="00B516F3">
      <w:pPr>
        <w:spacing w:line="360" w:lineRule="auto"/>
        <w:jc w:val="both"/>
      </w:pPr>
      <w:r>
        <w:t>V</w:t>
      </w:r>
      <w:r w:rsidR="00B6447B" w:rsidRPr="00B6447B">
        <w:t>olume</w:t>
      </w:r>
      <w:r w:rsidR="0052368A" w:rsidRPr="0052368A">
        <w:t xml:space="preserve"> sanguíneo</w:t>
      </w:r>
      <w:r w:rsidR="00B6447B">
        <w:t>.</w:t>
      </w:r>
    </w:p>
    <w:p w14:paraId="4768BEE0" w14:textId="77777777" w:rsidR="00586724" w:rsidRDefault="00586724" w:rsidP="00586724">
      <w:pPr>
        <w:jc w:val="both"/>
      </w:pPr>
    </w:p>
    <w:p w14:paraId="057406DF" w14:textId="77777777" w:rsidR="00586724" w:rsidRDefault="00586724" w:rsidP="00586724">
      <w:pPr>
        <w:jc w:val="both"/>
      </w:pPr>
    </w:p>
    <w:p w14:paraId="44DD7A6A" w14:textId="77777777" w:rsidR="00586724" w:rsidRDefault="00586724" w:rsidP="00586724">
      <w:pPr>
        <w:jc w:val="both"/>
      </w:pPr>
    </w:p>
    <w:p w14:paraId="7B1676E4" w14:textId="77777777" w:rsidR="00427AA9" w:rsidRDefault="00427AA9" w:rsidP="00586724">
      <w:pPr>
        <w:jc w:val="both"/>
      </w:pPr>
    </w:p>
    <w:p w14:paraId="3C8A2AF9" w14:textId="77777777" w:rsidR="00586724" w:rsidRDefault="00586724" w:rsidP="00586724">
      <w:pPr>
        <w:jc w:val="both"/>
      </w:pPr>
    </w:p>
    <w:p w14:paraId="1B9F77EA" w14:textId="77777777" w:rsidR="00586724" w:rsidRDefault="00586724" w:rsidP="00586724">
      <w:pPr>
        <w:jc w:val="both"/>
      </w:pPr>
    </w:p>
    <w:p w14:paraId="6C6C3A6B" w14:textId="4050320D" w:rsidR="00B516F3" w:rsidRPr="00586724" w:rsidRDefault="00586724" w:rsidP="00586724">
      <w:pPr>
        <w:jc w:val="both"/>
        <w:rPr>
          <w:rFonts w:eastAsia="Times New Roman"/>
          <w:b/>
          <w:sz w:val="28"/>
          <w:szCs w:val="28"/>
          <w:lang w:val="en-US"/>
        </w:rPr>
      </w:pPr>
      <w:r w:rsidRPr="00586724">
        <w:rPr>
          <w:b/>
          <w:sz w:val="28"/>
          <w:szCs w:val="28"/>
          <w:lang w:val="en-US"/>
        </w:rPr>
        <w:lastRenderedPageBreak/>
        <w:t>T</w:t>
      </w:r>
      <w:r w:rsidR="00C27E6F" w:rsidRPr="00586724">
        <w:rPr>
          <w:b/>
          <w:sz w:val="28"/>
          <w:szCs w:val="28"/>
          <w:lang w:val="en-US"/>
        </w:rPr>
        <w:t xml:space="preserve">ranexamic acid </w:t>
      </w:r>
      <w:r w:rsidRPr="00586724">
        <w:rPr>
          <w:rFonts w:eastAsia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effectiveness </w:t>
      </w:r>
      <w:r w:rsidR="00731EE0">
        <w:rPr>
          <w:b/>
          <w:sz w:val="28"/>
          <w:szCs w:val="28"/>
          <w:lang w:val="en-US"/>
        </w:rPr>
        <w:t>on</w:t>
      </w:r>
      <w:r w:rsidR="00C27E6F" w:rsidRPr="00586724">
        <w:rPr>
          <w:b/>
          <w:sz w:val="28"/>
          <w:szCs w:val="28"/>
          <w:lang w:val="en-US"/>
        </w:rPr>
        <w:t xml:space="preserve"> bleeding</w:t>
      </w:r>
      <w:r w:rsidRPr="00586724">
        <w:rPr>
          <w:b/>
          <w:sz w:val="28"/>
          <w:szCs w:val="28"/>
          <w:lang w:val="en-US"/>
        </w:rPr>
        <w:t xml:space="preserve"> reduction</w:t>
      </w:r>
      <w:r w:rsidR="00C27E6F" w:rsidRPr="00586724">
        <w:rPr>
          <w:b/>
          <w:sz w:val="28"/>
          <w:szCs w:val="28"/>
          <w:lang w:val="en-US"/>
        </w:rPr>
        <w:t xml:space="preserve"> in patients undergoing total knee </w:t>
      </w:r>
      <w:r w:rsidRPr="00586724">
        <w:rPr>
          <w:b/>
          <w:sz w:val="28"/>
          <w:szCs w:val="28"/>
          <w:lang w:val="en-US"/>
        </w:rPr>
        <w:t>replacement</w:t>
      </w:r>
      <w:r>
        <w:rPr>
          <w:b/>
          <w:sz w:val="28"/>
          <w:szCs w:val="28"/>
          <w:lang w:val="en-US"/>
        </w:rPr>
        <w:t>.</w:t>
      </w:r>
    </w:p>
    <w:p w14:paraId="31300275" w14:textId="77777777" w:rsidR="00586724" w:rsidRPr="00586724" w:rsidRDefault="00586724" w:rsidP="00B516F3">
      <w:pPr>
        <w:rPr>
          <w:lang w:val="en-US"/>
        </w:rPr>
      </w:pPr>
    </w:p>
    <w:p w14:paraId="064872FC" w14:textId="379D9A9C" w:rsidR="00B516F3" w:rsidRPr="00B779B2" w:rsidRDefault="00B516F3" w:rsidP="00731EE0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B779B2">
        <w:rPr>
          <w:b/>
          <w:sz w:val="28"/>
          <w:szCs w:val="28"/>
          <w:lang w:val="en-US"/>
        </w:rPr>
        <w:t>ABSTRACT</w:t>
      </w:r>
    </w:p>
    <w:p w14:paraId="0F09FD7B" w14:textId="72EDB63D" w:rsidR="00B516F3" w:rsidRDefault="00B516F3" w:rsidP="00731EE0">
      <w:pPr>
        <w:pStyle w:val="Ttulo1"/>
        <w:spacing w:line="360" w:lineRule="auto"/>
        <w:rPr>
          <w:b w:val="0"/>
          <w:sz w:val="24"/>
          <w:szCs w:val="24"/>
          <w:lang w:val="en-US"/>
        </w:rPr>
      </w:pPr>
      <w:r w:rsidRPr="00586724">
        <w:rPr>
          <w:sz w:val="24"/>
          <w:szCs w:val="24"/>
          <w:lang w:val="en-US"/>
        </w:rPr>
        <w:t>Objectives</w:t>
      </w:r>
      <w:r w:rsidRPr="00B516F3">
        <w:rPr>
          <w:b w:val="0"/>
          <w:sz w:val="24"/>
          <w:szCs w:val="24"/>
          <w:lang w:val="en-US"/>
        </w:rPr>
        <w:t xml:space="preserve">: To analyze the effect of tranexamic acid (TXA) on bleeding control, postoperative blood loss, hemoglobin and hematocrit decrease, and the need for blood </w:t>
      </w:r>
      <w:r w:rsidR="0054445C">
        <w:rPr>
          <w:b w:val="0"/>
          <w:sz w:val="24"/>
          <w:szCs w:val="24"/>
          <w:lang w:val="en-US"/>
        </w:rPr>
        <w:t>transfusion</w:t>
      </w:r>
      <w:r w:rsidRPr="00B516F3">
        <w:rPr>
          <w:b w:val="0"/>
          <w:sz w:val="24"/>
          <w:szCs w:val="24"/>
          <w:lang w:val="en-US"/>
        </w:rPr>
        <w:t xml:space="preserve"> in patients undergoing total knee arthropl</w:t>
      </w:r>
      <w:r>
        <w:rPr>
          <w:b w:val="0"/>
          <w:sz w:val="24"/>
          <w:szCs w:val="24"/>
          <w:lang w:val="en-US"/>
        </w:rPr>
        <w:t xml:space="preserve">asty (TKA). </w:t>
      </w:r>
      <w:r w:rsidRPr="00586724">
        <w:rPr>
          <w:sz w:val="24"/>
          <w:szCs w:val="24"/>
          <w:lang w:val="en-US"/>
        </w:rPr>
        <w:t>Methods</w:t>
      </w:r>
      <w:r>
        <w:rPr>
          <w:b w:val="0"/>
          <w:sz w:val="24"/>
          <w:szCs w:val="24"/>
          <w:lang w:val="en-US"/>
        </w:rPr>
        <w:t xml:space="preserve">: randomized </w:t>
      </w:r>
      <w:r w:rsidRPr="00B516F3">
        <w:rPr>
          <w:b w:val="0"/>
          <w:sz w:val="24"/>
          <w:szCs w:val="24"/>
          <w:lang w:val="en-US"/>
        </w:rPr>
        <w:t>double-blind clinical trial with two groups of patients who underwent TKA where they received perioperative TXA or not</w:t>
      </w:r>
      <w:r>
        <w:rPr>
          <w:b w:val="0"/>
          <w:sz w:val="24"/>
          <w:szCs w:val="24"/>
          <w:lang w:val="en-US"/>
        </w:rPr>
        <w:t xml:space="preserve">. The </w:t>
      </w:r>
      <w:r w:rsidRPr="00B516F3">
        <w:rPr>
          <w:b w:val="0"/>
          <w:sz w:val="24"/>
          <w:szCs w:val="24"/>
          <w:lang w:val="en-US"/>
        </w:rPr>
        <w:t xml:space="preserve">blood volume and estimated blood loss were </w:t>
      </w:r>
      <w:r>
        <w:rPr>
          <w:b w:val="0"/>
          <w:sz w:val="24"/>
          <w:szCs w:val="24"/>
          <w:lang w:val="en-US"/>
        </w:rPr>
        <w:t>calculated, as well the</w:t>
      </w:r>
      <w:r w:rsidRPr="00B516F3">
        <w:rPr>
          <w:b w:val="0"/>
          <w:sz w:val="24"/>
          <w:szCs w:val="24"/>
          <w:lang w:val="en-US"/>
        </w:rPr>
        <w:t xml:space="preserve"> analysis of the blood volume in the suction drain. </w:t>
      </w:r>
      <w:r w:rsidRPr="00586724">
        <w:rPr>
          <w:sz w:val="24"/>
          <w:szCs w:val="24"/>
          <w:lang w:val="en-US"/>
        </w:rPr>
        <w:t>Results</w:t>
      </w:r>
      <w:r w:rsidRPr="00B516F3">
        <w:rPr>
          <w:b w:val="0"/>
          <w:sz w:val="24"/>
          <w:szCs w:val="24"/>
          <w:lang w:val="en-US"/>
        </w:rPr>
        <w:t xml:space="preserve">: 34 patients were operated, 25 women and 9 men, divided into 2 groups: I (use of TXA) and II (without TXA), two patients were excluded; there were no statistically significant differences (p = 0.417) </w:t>
      </w:r>
      <w:r w:rsidR="00A658D2">
        <w:rPr>
          <w:b w:val="0"/>
          <w:sz w:val="24"/>
          <w:szCs w:val="24"/>
          <w:lang w:val="en-US"/>
        </w:rPr>
        <w:t>in</w:t>
      </w:r>
      <w:r w:rsidRPr="00B516F3">
        <w:rPr>
          <w:b w:val="0"/>
          <w:sz w:val="24"/>
          <w:szCs w:val="24"/>
          <w:lang w:val="en-US"/>
        </w:rPr>
        <w:t xml:space="preserve"> the groups </w:t>
      </w:r>
      <w:r w:rsidR="00A658D2">
        <w:rPr>
          <w:b w:val="0"/>
          <w:sz w:val="24"/>
          <w:szCs w:val="24"/>
          <w:lang w:val="en-US"/>
        </w:rPr>
        <w:t>concerning</w:t>
      </w:r>
      <w:r w:rsidRPr="00B516F3">
        <w:rPr>
          <w:b w:val="0"/>
          <w:sz w:val="24"/>
          <w:szCs w:val="24"/>
          <w:lang w:val="en-US"/>
        </w:rPr>
        <w:t xml:space="preserve"> the </w:t>
      </w:r>
      <w:r w:rsidR="00467E64">
        <w:rPr>
          <w:b w:val="0"/>
          <w:sz w:val="24"/>
          <w:szCs w:val="24"/>
          <w:lang w:val="en-US"/>
        </w:rPr>
        <w:t>drop</w:t>
      </w:r>
      <w:r w:rsidRPr="00B516F3">
        <w:rPr>
          <w:b w:val="0"/>
          <w:sz w:val="24"/>
          <w:szCs w:val="24"/>
          <w:lang w:val="en-US"/>
        </w:rPr>
        <w:t xml:space="preserve"> of the hematocrit </w:t>
      </w:r>
      <w:r w:rsidR="00A658D2">
        <w:rPr>
          <w:b w:val="0"/>
          <w:sz w:val="24"/>
          <w:szCs w:val="24"/>
          <w:lang w:val="en-US"/>
        </w:rPr>
        <w:t>trough</w:t>
      </w:r>
      <w:r w:rsidRPr="00B516F3">
        <w:rPr>
          <w:b w:val="0"/>
          <w:sz w:val="24"/>
          <w:szCs w:val="24"/>
          <w:lang w:val="en-US"/>
        </w:rPr>
        <w:t xml:space="preserve"> the preoperative </w:t>
      </w:r>
      <w:r w:rsidR="00A658D2">
        <w:rPr>
          <w:b w:val="0"/>
          <w:sz w:val="24"/>
          <w:szCs w:val="24"/>
          <w:lang w:val="en-US"/>
        </w:rPr>
        <w:t>to</w:t>
      </w:r>
      <w:r w:rsidRPr="00B516F3">
        <w:rPr>
          <w:b w:val="0"/>
          <w:sz w:val="24"/>
          <w:szCs w:val="24"/>
          <w:lang w:val="en-US"/>
        </w:rPr>
        <w:t xml:space="preserve"> the fifth day. Hemoglobi</w:t>
      </w:r>
      <w:r w:rsidR="00A658D2">
        <w:rPr>
          <w:b w:val="0"/>
          <w:sz w:val="24"/>
          <w:szCs w:val="24"/>
          <w:lang w:val="en-US"/>
        </w:rPr>
        <w:t>n had better rates in Group I at</w:t>
      </w:r>
      <w:r w:rsidRPr="00B516F3">
        <w:rPr>
          <w:b w:val="0"/>
          <w:sz w:val="24"/>
          <w:szCs w:val="24"/>
          <w:lang w:val="en-US"/>
        </w:rPr>
        <w:t xml:space="preserve"> the 15th. postoperative day. The patients' estimated blood volume </w:t>
      </w:r>
      <w:r w:rsidR="00A658D2">
        <w:rPr>
          <w:b w:val="0"/>
          <w:sz w:val="24"/>
          <w:szCs w:val="24"/>
          <w:lang w:val="en-US"/>
        </w:rPr>
        <w:t>did not differ between groups at</w:t>
      </w:r>
      <w:r w:rsidRPr="00B516F3">
        <w:rPr>
          <w:b w:val="0"/>
          <w:sz w:val="24"/>
          <w:szCs w:val="24"/>
          <w:lang w:val="en-US"/>
        </w:rPr>
        <w:t xml:space="preserve"> the 5th. and 15th. postoperative days (p = 0.842 and p = 0.863)</w:t>
      </w:r>
      <w:r w:rsidR="00467E64">
        <w:rPr>
          <w:b w:val="0"/>
          <w:sz w:val="24"/>
          <w:szCs w:val="24"/>
          <w:lang w:val="en-US"/>
        </w:rPr>
        <w:t xml:space="preserve">. </w:t>
      </w:r>
      <w:r w:rsidR="00467E64" w:rsidRPr="00467E64">
        <w:rPr>
          <w:b w:val="0"/>
          <w:sz w:val="24"/>
          <w:szCs w:val="24"/>
          <w:lang w:val="en-US"/>
        </w:rPr>
        <w:t xml:space="preserve">The estimated blood loss was higher in </w:t>
      </w:r>
      <w:r w:rsidR="00A658D2">
        <w:rPr>
          <w:b w:val="0"/>
          <w:sz w:val="24"/>
          <w:szCs w:val="24"/>
          <w:lang w:val="en-US"/>
        </w:rPr>
        <w:t>Group II when it was verified at</w:t>
      </w:r>
      <w:r w:rsidR="00467E64" w:rsidRPr="00467E64">
        <w:rPr>
          <w:b w:val="0"/>
          <w:sz w:val="24"/>
          <w:szCs w:val="24"/>
          <w:lang w:val="en-US"/>
        </w:rPr>
        <w:t xml:space="preserve"> the 15th. p</w:t>
      </w:r>
      <w:r w:rsidR="00A658D2">
        <w:rPr>
          <w:b w:val="0"/>
          <w:sz w:val="24"/>
          <w:szCs w:val="24"/>
          <w:lang w:val="en-US"/>
        </w:rPr>
        <w:t>ostoperative day (p = 0.033). At</w:t>
      </w:r>
      <w:r w:rsidR="00467E64" w:rsidRPr="00467E64">
        <w:rPr>
          <w:b w:val="0"/>
          <w:sz w:val="24"/>
          <w:szCs w:val="24"/>
          <w:lang w:val="en-US"/>
        </w:rPr>
        <w:t xml:space="preserve"> the fifth postoperative day, there was </w:t>
      </w:r>
      <w:r w:rsidR="00467E64">
        <w:rPr>
          <w:b w:val="0"/>
          <w:sz w:val="24"/>
          <w:szCs w:val="24"/>
          <w:lang w:val="en-US"/>
        </w:rPr>
        <w:t xml:space="preserve">a </w:t>
      </w:r>
      <w:r w:rsidR="00467E64" w:rsidRPr="00467E64">
        <w:rPr>
          <w:b w:val="0"/>
          <w:sz w:val="24"/>
          <w:szCs w:val="24"/>
          <w:lang w:val="en-US"/>
        </w:rPr>
        <w:t>greater bleeding in Group II, but without statistical significance (p = 0.206). Blood volume in the suction drain was higher in Group II patients (p &lt;</w:t>
      </w:r>
      <w:r w:rsidR="00A658D2">
        <w:rPr>
          <w:b w:val="0"/>
          <w:sz w:val="24"/>
          <w:szCs w:val="24"/>
          <w:lang w:val="en-US"/>
        </w:rPr>
        <w:t xml:space="preserve"> </w:t>
      </w:r>
      <w:r w:rsidR="00467E64" w:rsidRPr="00467E64">
        <w:rPr>
          <w:b w:val="0"/>
          <w:sz w:val="24"/>
          <w:szCs w:val="24"/>
          <w:lang w:val="en-US"/>
        </w:rPr>
        <w:t xml:space="preserve">0.05). </w:t>
      </w:r>
      <w:r w:rsidR="00467E64" w:rsidRPr="00586724">
        <w:rPr>
          <w:sz w:val="24"/>
          <w:szCs w:val="24"/>
          <w:lang w:val="en-US"/>
        </w:rPr>
        <w:t>Conclusions</w:t>
      </w:r>
      <w:r w:rsidR="00467E64" w:rsidRPr="00467E64">
        <w:rPr>
          <w:b w:val="0"/>
          <w:sz w:val="24"/>
          <w:szCs w:val="24"/>
          <w:lang w:val="en-US"/>
        </w:rPr>
        <w:t xml:space="preserve">: the use of TXA avoids greater blood loss in the suction drain, especially in the first six hours. There were no differences in blood transfusion, hemoglobin and hematocrit </w:t>
      </w:r>
      <w:r w:rsidR="00467E64">
        <w:rPr>
          <w:b w:val="0"/>
          <w:sz w:val="24"/>
          <w:szCs w:val="24"/>
          <w:lang w:val="en-US"/>
        </w:rPr>
        <w:t>count</w:t>
      </w:r>
      <w:r w:rsidR="00467E64" w:rsidRPr="00467E64">
        <w:rPr>
          <w:b w:val="0"/>
          <w:sz w:val="24"/>
          <w:szCs w:val="24"/>
          <w:lang w:val="en-US"/>
        </w:rPr>
        <w:t>.</w:t>
      </w:r>
    </w:p>
    <w:p w14:paraId="306BCA99" w14:textId="77777777" w:rsidR="00467E64" w:rsidRDefault="00467E64" w:rsidP="00B516F3">
      <w:pPr>
        <w:pStyle w:val="Ttulo1"/>
        <w:spacing w:line="360" w:lineRule="auto"/>
        <w:rPr>
          <w:b w:val="0"/>
          <w:sz w:val="24"/>
          <w:szCs w:val="24"/>
          <w:lang w:val="en-US"/>
        </w:rPr>
      </w:pPr>
    </w:p>
    <w:p w14:paraId="060EB1A5" w14:textId="4FC7FD3C" w:rsidR="00556878" w:rsidRPr="00586724" w:rsidRDefault="00B6447B" w:rsidP="00B516F3">
      <w:pPr>
        <w:pStyle w:val="Ttulo1"/>
        <w:spacing w:line="360" w:lineRule="auto"/>
        <w:rPr>
          <w:sz w:val="24"/>
          <w:szCs w:val="24"/>
          <w:lang w:val="en-US"/>
        </w:rPr>
      </w:pPr>
      <w:r w:rsidRPr="00586724">
        <w:rPr>
          <w:sz w:val="24"/>
          <w:szCs w:val="24"/>
          <w:lang w:val="en-US"/>
        </w:rPr>
        <w:t>Key Words</w:t>
      </w:r>
      <w:r w:rsidR="00586724">
        <w:rPr>
          <w:sz w:val="24"/>
          <w:szCs w:val="24"/>
          <w:lang w:val="en-US"/>
        </w:rPr>
        <w:t>:</w:t>
      </w:r>
    </w:p>
    <w:p w14:paraId="4D36E1E0" w14:textId="77777777" w:rsidR="00CA2E42" w:rsidRDefault="00CA2E42" w:rsidP="00B516F3">
      <w:pPr>
        <w:spacing w:line="360" w:lineRule="auto"/>
        <w:jc w:val="both"/>
        <w:rPr>
          <w:rFonts w:eastAsia="Times New Roman"/>
          <w:bCs/>
          <w:color w:val="000000"/>
          <w:lang w:val="en-US"/>
        </w:rPr>
      </w:pPr>
      <w:r>
        <w:rPr>
          <w:rFonts w:eastAsia="Times New Roman"/>
          <w:bCs/>
          <w:color w:val="000000"/>
          <w:lang w:val="en-US"/>
        </w:rPr>
        <w:t>Tranexamic acid</w:t>
      </w:r>
    </w:p>
    <w:p w14:paraId="7E39205D" w14:textId="77777777" w:rsidR="00CA2E42" w:rsidRDefault="00CA2E42" w:rsidP="00B516F3">
      <w:pPr>
        <w:spacing w:line="360" w:lineRule="auto"/>
        <w:jc w:val="both"/>
        <w:rPr>
          <w:rFonts w:eastAsia="Times New Roman"/>
          <w:bCs/>
          <w:color w:val="000000"/>
          <w:lang w:val="en-US"/>
        </w:rPr>
      </w:pPr>
      <w:r>
        <w:rPr>
          <w:rFonts w:eastAsia="Times New Roman"/>
          <w:bCs/>
          <w:color w:val="000000"/>
          <w:lang w:val="en-US"/>
        </w:rPr>
        <w:t>Bleeding</w:t>
      </w:r>
    </w:p>
    <w:p w14:paraId="50C1FAD6" w14:textId="77777777" w:rsidR="00CA2E42" w:rsidRDefault="00CA2E42" w:rsidP="00B516F3">
      <w:pPr>
        <w:spacing w:line="360" w:lineRule="auto"/>
        <w:jc w:val="both"/>
        <w:rPr>
          <w:rFonts w:eastAsia="Times New Roman"/>
          <w:bCs/>
          <w:color w:val="000000"/>
          <w:lang w:val="en-US"/>
        </w:rPr>
      </w:pPr>
      <w:r>
        <w:rPr>
          <w:rFonts w:eastAsia="Times New Roman"/>
          <w:bCs/>
          <w:color w:val="000000"/>
          <w:lang w:val="en-US"/>
        </w:rPr>
        <w:t>A</w:t>
      </w:r>
      <w:r w:rsidR="00B516F3" w:rsidRPr="00B516F3">
        <w:rPr>
          <w:rFonts w:eastAsia="Times New Roman"/>
          <w:bCs/>
          <w:color w:val="000000"/>
          <w:lang w:val="en-US"/>
        </w:rPr>
        <w:t>rthroplasty, replacement, knee</w:t>
      </w:r>
    </w:p>
    <w:p w14:paraId="6A0F5795" w14:textId="77777777" w:rsidR="00CA2E42" w:rsidRPr="00B779B2" w:rsidRDefault="00CA2E42" w:rsidP="00B516F3">
      <w:pPr>
        <w:spacing w:line="360" w:lineRule="auto"/>
        <w:jc w:val="both"/>
        <w:rPr>
          <w:rFonts w:eastAsia="Times New Roman"/>
          <w:bCs/>
          <w:color w:val="000000"/>
        </w:rPr>
      </w:pPr>
      <w:r w:rsidRPr="00B779B2">
        <w:rPr>
          <w:rFonts w:eastAsia="Times New Roman"/>
          <w:bCs/>
          <w:color w:val="000000"/>
        </w:rPr>
        <w:t>B</w:t>
      </w:r>
      <w:r w:rsidR="00B516F3" w:rsidRPr="00B779B2">
        <w:rPr>
          <w:rFonts w:eastAsia="Times New Roman"/>
          <w:bCs/>
          <w:color w:val="000000"/>
        </w:rPr>
        <w:t>lood transfusion</w:t>
      </w:r>
    </w:p>
    <w:p w14:paraId="253F21CB" w14:textId="5CB4CC9A" w:rsidR="00B516F3" w:rsidRPr="00B779B2" w:rsidRDefault="00CA2E42" w:rsidP="00B516F3">
      <w:pPr>
        <w:spacing w:line="360" w:lineRule="auto"/>
        <w:jc w:val="both"/>
        <w:rPr>
          <w:rFonts w:eastAsia="Times New Roman"/>
        </w:rPr>
      </w:pPr>
      <w:r w:rsidRPr="00B779B2">
        <w:rPr>
          <w:rFonts w:eastAsia="Times New Roman"/>
          <w:bCs/>
          <w:color w:val="000000"/>
        </w:rPr>
        <w:t>B</w:t>
      </w:r>
      <w:r w:rsidR="00B516F3" w:rsidRPr="00B779B2">
        <w:rPr>
          <w:rFonts w:eastAsia="Times New Roman"/>
          <w:bCs/>
          <w:color w:val="000000"/>
        </w:rPr>
        <w:t>lood volume</w:t>
      </w:r>
    </w:p>
    <w:p w14:paraId="2FC81458" w14:textId="00AB6AD4" w:rsidR="00B516F3" w:rsidRPr="00B779B2" w:rsidRDefault="00B516F3" w:rsidP="00B516F3">
      <w:pPr>
        <w:rPr>
          <w:rFonts w:eastAsia="Times New Roman"/>
        </w:rPr>
      </w:pPr>
    </w:p>
    <w:p w14:paraId="467D6F32" w14:textId="5523E2E6" w:rsidR="00B6447B" w:rsidRPr="00B779B2" w:rsidRDefault="00B6447B" w:rsidP="00B6447B">
      <w:pPr>
        <w:rPr>
          <w:rFonts w:eastAsia="Times New Roman"/>
        </w:rPr>
      </w:pPr>
    </w:p>
    <w:p w14:paraId="464ACD99" w14:textId="77777777" w:rsidR="00586724" w:rsidRPr="00B779B2" w:rsidRDefault="00586724" w:rsidP="00B6447B">
      <w:pPr>
        <w:rPr>
          <w:rFonts w:eastAsia="Times New Roman"/>
        </w:rPr>
      </w:pPr>
    </w:p>
    <w:p w14:paraId="3EBE4884" w14:textId="77777777" w:rsidR="00586724" w:rsidRPr="00B779B2" w:rsidRDefault="00586724" w:rsidP="00B6447B">
      <w:pPr>
        <w:rPr>
          <w:rFonts w:eastAsia="Times New Roman"/>
        </w:rPr>
      </w:pPr>
    </w:p>
    <w:p w14:paraId="24F0B2F1" w14:textId="77777777" w:rsidR="00586724" w:rsidRPr="00B779B2" w:rsidRDefault="00586724" w:rsidP="00B6447B">
      <w:pPr>
        <w:rPr>
          <w:rFonts w:eastAsia="Times New Roman"/>
        </w:rPr>
      </w:pPr>
    </w:p>
    <w:p w14:paraId="67A0FA68" w14:textId="77777777" w:rsidR="009323DB" w:rsidRPr="00B779B2" w:rsidRDefault="009323DB" w:rsidP="00B6447B">
      <w:pPr>
        <w:rPr>
          <w:rFonts w:eastAsia="Times New Roman"/>
        </w:rPr>
      </w:pPr>
    </w:p>
    <w:p w14:paraId="733176F7" w14:textId="77777777" w:rsidR="00B6447B" w:rsidRPr="00B779B2" w:rsidRDefault="00B6447B" w:rsidP="00B6447B"/>
    <w:p w14:paraId="025FB5E6" w14:textId="77777777" w:rsidR="006E2E7A" w:rsidRPr="00234B42" w:rsidRDefault="006E2E7A" w:rsidP="006E2E7A">
      <w:pPr>
        <w:pStyle w:val="Ttulo1"/>
      </w:pPr>
      <w:r w:rsidRPr="00AE680F">
        <w:lastRenderedPageBreak/>
        <w:t>1 INTRODUÇÃO</w:t>
      </w:r>
      <w:bookmarkEnd w:id="0"/>
      <w:bookmarkEnd w:id="1"/>
      <w:r w:rsidRPr="00AE680F">
        <w:t xml:space="preserve"> </w:t>
      </w:r>
    </w:p>
    <w:p w14:paraId="2CD1DCAC" w14:textId="25B357F3" w:rsidR="006E2E7A" w:rsidRPr="00DC75B5" w:rsidRDefault="0095117E" w:rsidP="0095117E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000000"/>
          <w:vertAlign w:val="subscript"/>
        </w:rPr>
      </w:pPr>
      <w:r w:rsidRPr="00AE680F">
        <w:rPr>
          <w:color w:val="000000"/>
        </w:rPr>
        <w:t xml:space="preserve">A osteoartrite degenerativa (OA), também conhecida como osteoartrose ou, simplesmente, artrose, é a queixa musculoesquelética mais comum na atualidade, atingindo </w:t>
      </w:r>
      <w:r>
        <w:rPr>
          <w:color w:val="000000"/>
        </w:rPr>
        <w:t>nos joelhos, até 26% da população</w:t>
      </w:r>
      <w:r w:rsidRPr="00AE680F">
        <w:rPr>
          <w:color w:val="000000"/>
        </w:rPr>
        <w:t xml:space="preserve"> com idade acima de 60 anos. A artrose influencia drasticamente na qualidade de vida dos pacientes, sobretudo nas mulheres da faixa etária supracitada, as quais possuem maior perda funcional, mais dor referida em relação a</w:t>
      </w:r>
      <w:r w:rsidR="00DC75B5">
        <w:rPr>
          <w:color w:val="000000"/>
        </w:rPr>
        <w:t>os homens da mesma faixa etária</w:t>
      </w:r>
      <w:r w:rsidR="00DC75B5">
        <w:rPr>
          <w:color w:val="000000"/>
          <w:vertAlign w:val="superscript"/>
        </w:rPr>
        <w:t>1</w:t>
      </w:r>
      <w:r w:rsidR="00DC75B5">
        <w:rPr>
          <w:color w:val="000000"/>
          <w:vertAlign w:val="subscript"/>
        </w:rPr>
        <w:t>.</w:t>
      </w:r>
    </w:p>
    <w:p w14:paraId="0A0B7B19" w14:textId="648D02EF" w:rsidR="006E2E7A" w:rsidRPr="00AE680F" w:rsidRDefault="006E2E7A" w:rsidP="006E2E7A">
      <w:pPr>
        <w:pStyle w:val="Padro"/>
        <w:spacing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AE680F">
        <w:rPr>
          <w:rFonts w:ascii="Times New Roman" w:hAnsi="Times New Roman" w:cs="Times New Roman"/>
          <w:sz w:val="24"/>
          <w:szCs w:val="24"/>
          <w:lang w:val="pt-BR"/>
        </w:rPr>
        <w:t xml:space="preserve">A artroplastia total do joelho (ATJ) é um procedimento cirúrgico com altos índices </w:t>
      </w:r>
      <w:r w:rsidR="00916062" w:rsidRPr="00AE680F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916062">
        <w:rPr>
          <w:rFonts w:ascii="Times New Roman" w:hAnsi="Times New Roman" w:cs="Times New Roman"/>
          <w:sz w:val="24"/>
          <w:szCs w:val="24"/>
          <w:lang w:val="pt-BR"/>
        </w:rPr>
        <w:t>bons</w:t>
      </w:r>
      <w:r w:rsidR="002540ED">
        <w:rPr>
          <w:rFonts w:ascii="Times New Roman" w:hAnsi="Times New Roman" w:cs="Times New Roman"/>
          <w:sz w:val="24"/>
          <w:szCs w:val="24"/>
          <w:lang w:val="pt-BR"/>
        </w:rPr>
        <w:t xml:space="preserve"> resultados</w:t>
      </w:r>
      <w:r w:rsidRPr="00AE680F">
        <w:rPr>
          <w:rFonts w:ascii="Times New Roman" w:hAnsi="Times New Roman" w:cs="Times New Roman"/>
          <w:sz w:val="24"/>
          <w:szCs w:val="24"/>
          <w:lang w:val="pt-BR"/>
        </w:rPr>
        <w:t xml:space="preserve"> no tratamento da OA e artrite reumatóide desta articulação. Um sangramento substancial pode ocorrer no espaço subcutâneo e intra-articular após a ATJ e este evento pode levar à transfusão de hemoderivados com suas potenciais complicações </w:t>
      </w:r>
      <w:r w:rsidR="007D04A0">
        <w:rPr>
          <w:rFonts w:ascii="Times New Roman" w:hAnsi="Times New Roman" w:cs="Times New Roman"/>
          <w:sz w:val="24"/>
          <w:szCs w:val="24"/>
          <w:vertAlign w:val="superscript"/>
          <w:lang w:val="pt-BR"/>
        </w:rPr>
        <w:t>2</w:t>
      </w:r>
      <w:r w:rsidRPr="00AE680F">
        <w:rPr>
          <w:rFonts w:ascii="Times New Roman" w:hAnsi="Times New Roman" w:cs="Times New Roman"/>
          <w:sz w:val="24"/>
          <w:szCs w:val="24"/>
          <w:lang w:val="pt-BR"/>
        </w:rPr>
        <w:t xml:space="preserve">.  </w:t>
      </w:r>
    </w:p>
    <w:p w14:paraId="757E1292" w14:textId="145916ED" w:rsidR="006E2E7A" w:rsidRDefault="006E2E7A" w:rsidP="006E2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>A ATJ assim como qualquer procedimento</w:t>
      </w:r>
      <w:r>
        <w:t xml:space="preserve"> cirúrgico, é passível de uma sé</w:t>
      </w:r>
      <w:r w:rsidRPr="00AE680F">
        <w:t xml:space="preserve">rie de complicações pós-operatórias, incluindo perda considerável de sangue, podendo chegar a cerca de 1000 a 1500 ml após a realização da cirurgia primária </w:t>
      </w:r>
      <w:r w:rsidRPr="007D04A0">
        <w:rPr>
          <w:color w:val="000000" w:themeColor="text1"/>
        </w:rPr>
        <w:t xml:space="preserve">convencional </w:t>
      </w:r>
      <w:r w:rsidR="008E6D9A">
        <w:rPr>
          <w:color w:val="000000" w:themeColor="text1"/>
          <w:vertAlign w:val="superscript"/>
        </w:rPr>
        <w:t>3</w:t>
      </w:r>
      <w:r w:rsidRPr="00AE680F">
        <w:t>, sendo necessária, em alguns casos, a transfusão sanguínea. Juntamente com esta perda sanguínea podem ser identificados maiores índices de anemia pós-operatória, aumento da predisposição a eventos cardiopulmonares, aumento do custo por internações prolongadas, além de complicações relacionadas à transfusão sanguínea como reações imunológicas e infecções além da diminuição da satisfação do paciente.</w:t>
      </w:r>
    </w:p>
    <w:p w14:paraId="3DFABB9C" w14:textId="0742B414" w:rsidR="00F63E95" w:rsidRPr="00AE680F" w:rsidRDefault="00F63E95" w:rsidP="00F63E9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>A ATJ primária pode levar a queda dos níveis hematimétricos dos pacientes. Várias estratégias com o objetivo de reduzir a necessidade do uso de hemoderivados têm sido empregadas, tais como o torniquete na raiz da coxa, coagulação por diatermia, posicionamento do joelho na confecção das suturas, drenos clampeados, infiltração com soluções vasoconstrictoras, medicamentos moduladores do sangramento (ácido tranexâmico, Floseal</w:t>
      </w:r>
      <w:r w:rsidRPr="00AE680F">
        <w:rPr>
          <w:vertAlign w:val="superscript"/>
        </w:rPr>
        <w:t>®</w:t>
      </w:r>
      <w:r w:rsidRPr="00AE680F">
        <w:t xml:space="preserve">) e cirurgias navegadas por computador </w:t>
      </w:r>
      <w:r w:rsidR="00D87715">
        <w:rPr>
          <w:vertAlign w:val="superscript"/>
        </w:rPr>
        <w:t>4</w:t>
      </w:r>
      <w:r w:rsidR="00E0603E">
        <w:t>.</w:t>
      </w:r>
    </w:p>
    <w:p w14:paraId="009B567E" w14:textId="0793AEEC" w:rsidR="006E2E7A" w:rsidRPr="00AE680F" w:rsidRDefault="00225423" w:rsidP="006E2E7A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</w:pPr>
      <w:r>
        <w:t>O</w:t>
      </w:r>
      <w:r w:rsidR="006E2E7A" w:rsidRPr="00AE680F">
        <w:t xml:space="preserve"> ácido tranexâmico</w:t>
      </w:r>
      <w:r w:rsidR="006E2E7A">
        <w:t xml:space="preserve"> (TXA)</w:t>
      </w:r>
      <w:r w:rsidR="006E2E7A" w:rsidRPr="00AE680F">
        <w:t xml:space="preserve"> </w:t>
      </w:r>
      <w:r>
        <w:t xml:space="preserve">pode ser utilizado </w:t>
      </w:r>
      <w:r w:rsidR="006E2E7A" w:rsidRPr="00AE680F">
        <w:t>por via endovenosa</w:t>
      </w:r>
      <w:r>
        <w:t xml:space="preserve"> (EV)</w:t>
      </w:r>
      <w:r w:rsidR="006E2E7A" w:rsidRPr="00AE680F">
        <w:t xml:space="preserve"> ou tópica. O </w:t>
      </w:r>
      <w:r w:rsidR="00115DE4">
        <w:t>TXA</w:t>
      </w:r>
      <w:r>
        <w:t xml:space="preserve"> é um </w:t>
      </w:r>
      <w:r w:rsidR="006E2E7A" w:rsidRPr="00AE680F">
        <w:t>agente antifibrinolític</w:t>
      </w:r>
      <w:r w:rsidR="00F63E95">
        <w:t>o sintético, apresenta em sua fó</w:t>
      </w:r>
      <w:r w:rsidR="006E2E7A" w:rsidRPr="00AE680F">
        <w:t>rmula o isômero tra</w:t>
      </w:r>
      <w:r w:rsidR="00F63E95">
        <w:t xml:space="preserve">ns do 4-amino-metil-ciclohexano </w:t>
      </w:r>
      <w:r w:rsidR="006E2E7A" w:rsidRPr="00AE680F">
        <w:t>carboxílico, é comercializado como Transamin</w:t>
      </w:r>
      <w:r w:rsidR="006E2E7A" w:rsidRPr="00156FAF">
        <w:rPr>
          <w:vertAlign w:val="superscript"/>
        </w:rPr>
        <w:t>®</w:t>
      </w:r>
      <w:r w:rsidR="006E2E7A" w:rsidRPr="00AE680F">
        <w:t xml:space="preserve"> no Brasil, </w:t>
      </w:r>
      <w:r w:rsidR="00AA285C">
        <w:t xml:space="preserve">e </w:t>
      </w:r>
      <w:r w:rsidR="006E2E7A" w:rsidRPr="00AE680F">
        <w:t>é um derivado sintético do aminoácido lisina. Esta fórmula possui forte atração pelo sitio de ligação da lisina no plasminogênio e na plasmina, inibindo assim por competição a ativação e ação da plasmina, reduzindo o sangramento</w:t>
      </w:r>
      <w:r w:rsidR="007E44C4">
        <w:rPr>
          <w:vertAlign w:val="superscript"/>
        </w:rPr>
        <w:t>5</w:t>
      </w:r>
      <w:r w:rsidR="007E44C4">
        <w:t>.</w:t>
      </w:r>
    </w:p>
    <w:p w14:paraId="751FB294" w14:textId="73EDF477" w:rsidR="006E2E7A" w:rsidRPr="00AE680F" w:rsidRDefault="006E2E7A" w:rsidP="00115DE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 xml:space="preserve">O uso do </w:t>
      </w:r>
      <w:r>
        <w:t>TXA</w:t>
      </w:r>
      <w:r w:rsidRPr="00AE680F">
        <w:t xml:space="preserve"> como estratégia de redução do sangramento diminui a necessidade de transfusões sanguíneas em no mínimo 50% e suas complicações, ao indicar que tal fármaco reduz as perdas sanguíneas em no mínimo 300 ml </w:t>
      </w:r>
      <w:r w:rsidR="007E44C4">
        <w:rPr>
          <w:vertAlign w:val="superscript"/>
        </w:rPr>
        <w:t>6</w:t>
      </w:r>
      <w:r w:rsidRPr="00AE680F">
        <w:t>.</w:t>
      </w:r>
    </w:p>
    <w:p w14:paraId="5C12DAE4" w14:textId="08B5536C" w:rsidR="00571772" w:rsidRDefault="006E2E7A" w:rsidP="006E2E7A">
      <w:pPr>
        <w:spacing w:line="360" w:lineRule="auto"/>
        <w:ind w:firstLine="708"/>
        <w:jc w:val="both"/>
      </w:pPr>
      <w:r w:rsidRPr="00AE680F">
        <w:lastRenderedPageBreak/>
        <w:t xml:space="preserve">Este </w:t>
      </w:r>
      <w:r>
        <w:t xml:space="preserve">trabalho </w:t>
      </w:r>
      <w:r w:rsidR="0040031B">
        <w:t>tem como objetivos analisar</w:t>
      </w:r>
      <w:r w:rsidRPr="00AE680F">
        <w:t xml:space="preserve"> o efeito do </w:t>
      </w:r>
      <w:r w:rsidR="0052368A">
        <w:t>TXA</w:t>
      </w:r>
      <w:r w:rsidRPr="00AE680F">
        <w:t xml:space="preserve"> no controle do sangramento nos pacientes submetidos</w:t>
      </w:r>
      <w:r w:rsidR="0040031B">
        <w:t xml:space="preserve"> a ATJ, observar</w:t>
      </w:r>
      <w:r w:rsidRPr="00AE680F">
        <w:t xml:space="preserve"> a perda sanguínea </w:t>
      </w:r>
      <w:r>
        <w:t>pós-operatória</w:t>
      </w:r>
      <w:r w:rsidR="0040031B">
        <w:t>, avaliar</w:t>
      </w:r>
      <w:r w:rsidRPr="00AE680F">
        <w:t xml:space="preserve"> a queda da hemoglob</w:t>
      </w:r>
      <w:r>
        <w:t xml:space="preserve">ina e do </w:t>
      </w:r>
      <w:r w:rsidR="0052368A">
        <w:t>hematócrito</w:t>
      </w:r>
      <w:r w:rsidR="0040031B">
        <w:t xml:space="preserve"> e verificar</w:t>
      </w:r>
      <w:r w:rsidRPr="00AE680F">
        <w:t xml:space="preserve"> a necessidade de hemoderivados após o uso</w:t>
      </w:r>
      <w:r w:rsidR="0040031B" w:rsidRPr="0040031B">
        <w:t xml:space="preserve"> </w:t>
      </w:r>
      <w:r w:rsidR="0040031B">
        <w:t>ou não</w:t>
      </w:r>
      <w:r w:rsidRPr="00AE680F">
        <w:t xml:space="preserve"> do </w:t>
      </w:r>
      <w:r>
        <w:t>TXA nos pacientes que realizaram o procedimento</w:t>
      </w:r>
      <w:r w:rsidRPr="00AE680F">
        <w:t>.</w:t>
      </w:r>
    </w:p>
    <w:p w14:paraId="5A6431DF" w14:textId="77777777" w:rsidR="000F72B9" w:rsidRDefault="000F72B9" w:rsidP="006E2E7A">
      <w:pPr>
        <w:spacing w:line="360" w:lineRule="auto"/>
        <w:ind w:firstLine="708"/>
        <w:jc w:val="both"/>
      </w:pPr>
    </w:p>
    <w:p w14:paraId="50DA1812" w14:textId="559C2379" w:rsidR="006E2E7A" w:rsidRPr="00586724" w:rsidRDefault="00586724" w:rsidP="006E2E7A">
      <w:pPr>
        <w:spacing w:line="360" w:lineRule="auto"/>
        <w:jc w:val="both"/>
        <w:rPr>
          <w:b/>
          <w:sz w:val="28"/>
          <w:szCs w:val="28"/>
        </w:rPr>
      </w:pPr>
      <w:r w:rsidRPr="00586724">
        <w:rPr>
          <w:b/>
          <w:sz w:val="28"/>
          <w:szCs w:val="28"/>
        </w:rPr>
        <w:t xml:space="preserve">2 </w:t>
      </w:r>
      <w:r w:rsidR="006E2E7A" w:rsidRPr="00586724">
        <w:rPr>
          <w:b/>
          <w:sz w:val="28"/>
          <w:szCs w:val="28"/>
        </w:rPr>
        <w:t>MÉTODO</w:t>
      </w:r>
      <w:r w:rsidRPr="00586724">
        <w:rPr>
          <w:b/>
          <w:sz w:val="28"/>
          <w:szCs w:val="28"/>
        </w:rPr>
        <w:t>S</w:t>
      </w:r>
    </w:p>
    <w:p w14:paraId="59DA3F22" w14:textId="4220AA02" w:rsidR="00FA6513" w:rsidRPr="00140C43" w:rsidRDefault="00916062" w:rsidP="00140C43">
      <w:pPr>
        <w:pStyle w:val="p1"/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Foi feito um ensaio clí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nico </w:t>
      </w:r>
      <w:r w:rsidR="005A6C0F" w:rsidRPr="00140C43">
        <w:rPr>
          <w:rFonts w:ascii="Times New Roman" w:hAnsi="Times New Roman"/>
          <w:bCs/>
          <w:color w:val="000000"/>
          <w:sz w:val="24"/>
          <w:szCs w:val="24"/>
        </w:rPr>
        <w:t>randomizado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r w:rsidR="005A6C0F" w:rsidRPr="00140C43">
        <w:rPr>
          <w:rFonts w:ascii="Times New Roman" w:hAnsi="Times New Roman"/>
          <w:bCs/>
          <w:color w:val="000000"/>
          <w:sz w:val="24"/>
          <w:szCs w:val="24"/>
        </w:rPr>
        <w:t>duplo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cego</w:t>
      </w:r>
      <w:r w:rsidR="00190EB1">
        <w:rPr>
          <w:rFonts w:ascii="Times New Roman" w:hAnsi="Times New Roman"/>
          <w:bCs/>
          <w:color w:val="000000"/>
          <w:sz w:val="24"/>
          <w:szCs w:val="24"/>
        </w:rPr>
        <w:t xml:space="preserve">, de janeiro a </w:t>
      </w:r>
      <w:r w:rsidR="00821AFF">
        <w:rPr>
          <w:rFonts w:ascii="Times New Roman" w:hAnsi="Times New Roman"/>
          <w:bCs/>
          <w:color w:val="000000"/>
          <w:sz w:val="24"/>
          <w:szCs w:val="24"/>
        </w:rPr>
        <w:t>outubro de 2017,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 xml:space="preserve">onde </w:t>
      </w:r>
      <w:r w:rsidR="00DB0F69">
        <w:rPr>
          <w:rFonts w:ascii="Times New Roman" w:hAnsi="Times New Roman"/>
          <w:bCs/>
          <w:color w:val="000000"/>
          <w:sz w:val="24"/>
          <w:szCs w:val="24"/>
        </w:rPr>
        <w:t xml:space="preserve">os 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 xml:space="preserve">pacientes </w:t>
      </w:r>
      <w:r w:rsidR="00DB0F69">
        <w:rPr>
          <w:rFonts w:ascii="Times New Roman" w:hAnsi="Times New Roman"/>
          <w:bCs/>
          <w:color w:val="000000"/>
          <w:sz w:val="24"/>
          <w:szCs w:val="24"/>
        </w:rPr>
        <w:t xml:space="preserve">foram divididos 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>em dois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grupos que s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>e submeteram à ATJ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>,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onde os mesmos 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>receberam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ou não TXA per-operatório, e </w:t>
      </w:r>
      <w:r w:rsidR="005A6C0F">
        <w:rPr>
          <w:rFonts w:ascii="Times New Roman" w:hAnsi="Times New Roman"/>
          <w:bCs/>
          <w:color w:val="000000"/>
          <w:sz w:val="24"/>
          <w:szCs w:val="24"/>
        </w:rPr>
        <w:t>foram</w:t>
      </w:r>
      <w:r w:rsidR="00FA651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verificados parâmetros com intuito de avaliar sangramento e perda sanguínea dos pacientes.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O projeto </w:t>
      </w:r>
      <w:r w:rsidR="00140C43" w:rsidRPr="00140C43">
        <w:rPr>
          <w:rFonts w:ascii="Times New Roman" w:hAnsi="Times New Roman"/>
          <w:color w:val="000000"/>
          <w:sz w:val="24"/>
          <w:szCs w:val="24"/>
        </w:rPr>
        <w:t xml:space="preserve">foi 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submetido ao Comitê de Ética em Pesquisa (CEP) da instituição </w:t>
      </w:r>
      <w:r w:rsidR="005A6C0F">
        <w:rPr>
          <w:rFonts w:ascii="Times New Roman" w:hAnsi="Times New Roman"/>
          <w:sz w:val="24"/>
          <w:szCs w:val="24"/>
        </w:rPr>
        <w:t>a</w:t>
      </w:r>
      <w:r w:rsidR="00FA6513" w:rsidRPr="00140C43">
        <w:rPr>
          <w:rFonts w:ascii="Times New Roman" w:hAnsi="Times New Roman"/>
          <w:sz w:val="24"/>
          <w:szCs w:val="24"/>
        </w:rPr>
        <w:t xml:space="preserve"> fim de ser apreciado, </w:t>
      </w:r>
      <w:r w:rsidR="00140C43" w:rsidRPr="00140C43">
        <w:rPr>
          <w:rFonts w:ascii="Times New Roman" w:hAnsi="Times New Roman"/>
          <w:sz w:val="24"/>
          <w:szCs w:val="24"/>
        </w:rPr>
        <w:t>com o número de Certificado de Apresentação para Apreciação Ética – CAAE:</w:t>
      </w:r>
      <w:r w:rsidR="00140C43" w:rsidRPr="00140C43">
        <w:rPr>
          <w:rStyle w:val="apple-converted-space"/>
          <w:rFonts w:ascii="Times New Roman" w:hAnsi="Times New Roman"/>
          <w:sz w:val="24"/>
          <w:szCs w:val="24"/>
        </w:rPr>
        <w:t> </w:t>
      </w:r>
      <w:r w:rsidR="00140C43" w:rsidRPr="00140C43">
        <w:rPr>
          <w:rFonts w:ascii="Times New Roman" w:hAnsi="Times New Roman"/>
          <w:sz w:val="24"/>
          <w:szCs w:val="24"/>
        </w:rPr>
        <w:t>63410816.4.0000.0007</w:t>
      </w:r>
      <w:r w:rsidR="00140C43">
        <w:rPr>
          <w:rFonts w:ascii="Times New Roman" w:hAnsi="Times New Roman"/>
          <w:sz w:val="24"/>
          <w:szCs w:val="24"/>
        </w:rPr>
        <w:t>,</w:t>
      </w:r>
      <w:r w:rsidR="00140C43" w:rsidRPr="00140C43">
        <w:rPr>
          <w:rFonts w:ascii="Times New Roman" w:hAnsi="Times New Roman"/>
          <w:sz w:val="24"/>
          <w:szCs w:val="24"/>
        </w:rPr>
        <w:t xml:space="preserve"> recebendo o número de pare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>cer</w:t>
      </w:r>
      <w:r w:rsidR="00140C43">
        <w:rPr>
          <w:rFonts w:ascii="Times New Roman" w:hAnsi="Times New Roman"/>
          <w:bCs/>
          <w:color w:val="000000"/>
        </w:rPr>
        <w:t xml:space="preserve"> 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>consubstanciado 1.894.599</w:t>
      </w:r>
      <w:r w:rsidR="00140C43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140C43" w:rsidRPr="00140C4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O </w:t>
      </w:r>
      <w:r w:rsidR="00FA6513" w:rsidRPr="00140C43">
        <w:rPr>
          <w:rFonts w:ascii="Times New Roman" w:hAnsi="Times New Roman"/>
          <w:sz w:val="24"/>
          <w:szCs w:val="24"/>
        </w:rPr>
        <w:t xml:space="preserve">termo de consentimento livre e esclarecido (TCLE) 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>foi devidamente preparado para o projeto</w:t>
      </w:r>
      <w:r w:rsidR="00FA6513" w:rsidRPr="00140C43">
        <w:rPr>
          <w:rFonts w:ascii="Times New Roman" w:hAnsi="Times New Roman"/>
          <w:sz w:val="24"/>
          <w:szCs w:val="24"/>
        </w:rPr>
        <w:t xml:space="preserve"> de acordo com a resolução 466/12 do Conselho Nacional de Saúde, onde t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odos os pacientes que por ventura </w:t>
      </w:r>
      <w:r w:rsidR="00140C43">
        <w:rPr>
          <w:rFonts w:ascii="Times New Roman" w:hAnsi="Times New Roman"/>
          <w:color w:val="000000"/>
          <w:sz w:val="24"/>
          <w:szCs w:val="24"/>
        </w:rPr>
        <w:t>desejassem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 participar da pesquisa </w:t>
      </w:r>
      <w:r w:rsidR="00140C43">
        <w:rPr>
          <w:rFonts w:ascii="Times New Roman" w:hAnsi="Times New Roman"/>
          <w:color w:val="000000"/>
          <w:sz w:val="24"/>
          <w:szCs w:val="24"/>
        </w:rPr>
        <w:t xml:space="preserve">liam 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e </w:t>
      </w:r>
      <w:r w:rsidR="00140C43">
        <w:rPr>
          <w:rFonts w:ascii="Times New Roman" w:hAnsi="Times New Roman"/>
          <w:color w:val="000000"/>
          <w:sz w:val="24"/>
          <w:szCs w:val="24"/>
        </w:rPr>
        <w:t>assinavam</w:t>
      </w:r>
      <w:r w:rsidR="00FA6513" w:rsidRPr="00140C43">
        <w:rPr>
          <w:rFonts w:ascii="Times New Roman" w:hAnsi="Times New Roman"/>
          <w:color w:val="000000"/>
          <w:sz w:val="24"/>
          <w:szCs w:val="24"/>
        </w:rPr>
        <w:t xml:space="preserve"> o termo</w:t>
      </w:r>
      <w:r w:rsidR="00140C43">
        <w:rPr>
          <w:rFonts w:ascii="Times New Roman" w:hAnsi="Times New Roman"/>
          <w:color w:val="000000"/>
          <w:sz w:val="24"/>
          <w:szCs w:val="24"/>
        </w:rPr>
        <w:t>.</w:t>
      </w:r>
    </w:p>
    <w:p w14:paraId="24B4D7F7" w14:textId="7E073ADA" w:rsidR="00FA6513" w:rsidRPr="000F72B9" w:rsidRDefault="00140C43" w:rsidP="000F72B9">
      <w:pPr>
        <w:spacing w:line="360" w:lineRule="auto"/>
        <w:ind w:firstLine="708"/>
        <w:jc w:val="both"/>
      </w:pPr>
      <w:r>
        <w:t xml:space="preserve">A amostra foi composta </w:t>
      </w:r>
      <w:r w:rsidR="000F72B9">
        <w:t>de</w:t>
      </w:r>
      <w:r w:rsidR="00FA6513" w:rsidRPr="00AE680F">
        <w:t xml:space="preserve"> pacientes com diagnóstico </w:t>
      </w:r>
      <w:r w:rsidR="000F72B9">
        <w:t>d</w:t>
      </w:r>
      <w:r w:rsidR="00FA6513" w:rsidRPr="00AE680F">
        <w:t xml:space="preserve">e </w:t>
      </w:r>
      <w:r w:rsidR="00DB0F69">
        <w:t>OA</w:t>
      </w:r>
      <w:r w:rsidR="00FA6513" w:rsidRPr="00AE680F">
        <w:t xml:space="preserve"> do joelho e</w:t>
      </w:r>
      <w:r>
        <w:t xml:space="preserve"> </w:t>
      </w:r>
      <w:r w:rsidR="000F72B9">
        <w:t xml:space="preserve">com </w:t>
      </w:r>
      <w:r>
        <w:t>indicação para</w:t>
      </w:r>
      <w:r w:rsidR="00FA6513" w:rsidRPr="00AE680F">
        <w:t xml:space="preserve"> tratamento cirúrgico</w:t>
      </w:r>
      <w:r w:rsidR="00DB0F69">
        <w:t xml:space="preserve"> com ATJ</w:t>
      </w:r>
      <w:r w:rsidR="005A6C0F">
        <w:t xml:space="preserve">, </w:t>
      </w:r>
      <w:r w:rsidR="009F32CB">
        <w:t xml:space="preserve">tendo o </w:t>
      </w:r>
      <w:r w:rsidR="005A6C0F">
        <w:t>tamanho</w:t>
      </w:r>
      <w:r w:rsidR="000F72B9" w:rsidRPr="00AE680F">
        <w:t xml:space="preserve"> estimado em relação ao total de pacie</w:t>
      </w:r>
      <w:r w:rsidR="000F72B9">
        <w:t xml:space="preserve">ntes atendidos na instituição. </w:t>
      </w:r>
      <w:r w:rsidR="000F72B9" w:rsidRPr="00AE680F">
        <w:t xml:space="preserve">Foi estabelecido um nível de 95% de confiança e uma precisão (margem de erro) de 5% </w:t>
      </w:r>
      <w:r w:rsidR="005A6C0F">
        <w:t>resultando</w:t>
      </w:r>
      <w:r w:rsidR="000F72B9" w:rsidRPr="00AE680F">
        <w:t xml:space="preserve"> </w:t>
      </w:r>
      <w:r w:rsidR="005A6C0F">
        <w:t>numa</w:t>
      </w:r>
      <w:r w:rsidR="000F72B9" w:rsidRPr="00AE680F">
        <w:t xml:space="preserve"> amostra de 30 pacientes. Optou-se por</w:t>
      </w:r>
      <w:r w:rsidR="005A6C0F">
        <w:t xml:space="preserve"> majorá-la </w:t>
      </w:r>
      <w:r w:rsidR="000F72B9" w:rsidRPr="00AE680F">
        <w:t>em 10% com intuito de se compensar as eventuais perdas com um número final de 33, sendo arredondado p</w:t>
      </w:r>
      <w:r w:rsidR="000F72B9">
        <w:t>ara 34 pacientes. F</w:t>
      </w:r>
      <w:r>
        <w:t>oram</w:t>
      </w:r>
      <w:r w:rsidR="00FA6513" w:rsidRPr="00AE680F">
        <w:t xml:space="preserve"> incluídos</w:t>
      </w:r>
      <w:r>
        <w:t>, assim, os</w:t>
      </w:r>
      <w:r w:rsidR="00FA6513" w:rsidRPr="00AE680F">
        <w:t xml:space="preserve"> pacientes regularmente cadastrados na instituição onde o estudo </w:t>
      </w:r>
      <w:r>
        <w:t>foi</w:t>
      </w:r>
      <w:r w:rsidR="00FA6513" w:rsidRPr="00AE680F">
        <w:t xml:space="preserve"> realizado com indicação clássica da ATJ, preconizada por Camanho: pinçamento medial ou lateral com obliteração do espaço articular, desvios em varo femoro-tibial maior que 15º; desvios em valgo femoro-tibial maior que 10º; subluxação femorotibial no plano frontal maior que 10</w:t>
      </w:r>
      <w:r w:rsidR="007A6EFE">
        <w:t xml:space="preserve"> </w:t>
      </w:r>
      <w:r w:rsidR="00FA6513" w:rsidRPr="00AE680F">
        <w:t xml:space="preserve">mm; anteriorização da tíbia em relação ao fêmur na radiografia de perfil; comprometimento grave de dois dos três compartimentos articulares do joelho (femorotibial medial, femorotibial lateral ou femoropatelar), e falha no tratamento conservador por pelo menos três meses, quando estes critérios não </w:t>
      </w:r>
      <w:r w:rsidR="00DB0F69">
        <w:t>fossem</w:t>
      </w:r>
      <w:r w:rsidR="00FA6513" w:rsidRPr="00AE680F">
        <w:t xml:space="preserve"> preenchidos</w:t>
      </w:r>
      <w:r w:rsidR="00712E5F">
        <w:t xml:space="preserve"> </w:t>
      </w:r>
      <w:r w:rsidR="00712E5F">
        <w:rPr>
          <w:vertAlign w:val="superscript"/>
        </w:rPr>
        <w:t>7</w:t>
      </w:r>
      <w:r w:rsidR="00FA6513" w:rsidRPr="00AE680F">
        <w:t xml:space="preserve">. Pacientes com </w:t>
      </w:r>
      <w:r w:rsidR="00DB0F69">
        <w:t>OA</w:t>
      </w:r>
      <w:r w:rsidR="00FA6513" w:rsidRPr="00AE680F">
        <w:t xml:space="preserve"> </w:t>
      </w:r>
      <w:r w:rsidR="00DB0F69">
        <w:t>degenerativa primária do joelho; para esta avaliação consideraram</w:t>
      </w:r>
      <w:r w:rsidR="00FA6513" w:rsidRPr="00AE680F">
        <w:t xml:space="preserve">-se os pacientes com estágio da artrose do joelho </w:t>
      </w:r>
      <w:r w:rsidR="00FA6513" w:rsidRPr="00AE680F">
        <w:rPr>
          <w:rStyle w:val="longtext"/>
          <w:shd w:val="clear" w:color="auto" w:fill="FFFFFF"/>
        </w:rPr>
        <w:t>≥ III</w:t>
      </w:r>
      <w:r w:rsidR="00FA6513">
        <w:t xml:space="preserve">, </w:t>
      </w:r>
      <w:r w:rsidR="00DB0F69">
        <w:t xml:space="preserve">de acordo </w:t>
      </w:r>
      <w:r w:rsidR="003074DB">
        <w:rPr>
          <w:rStyle w:val="longtext"/>
          <w:shd w:val="clear" w:color="auto" w:fill="FFFFFF"/>
        </w:rPr>
        <w:t>Ählba</w:t>
      </w:r>
      <w:r w:rsidR="00FA6513" w:rsidRPr="00AE680F">
        <w:rPr>
          <w:rStyle w:val="longtext"/>
          <w:shd w:val="clear" w:color="auto" w:fill="FFFFFF"/>
        </w:rPr>
        <w:t>ck</w:t>
      </w:r>
      <w:r w:rsidR="00712E5F">
        <w:rPr>
          <w:rStyle w:val="longtext"/>
          <w:shd w:val="clear" w:color="auto" w:fill="FFFFFF"/>
        </w:rPr>
        <w:t xml:space="preserve"> </w:t>
      </w:r>
      <w:r w:rsidR="00712E5F">
        <w:rPr>
          <w:rStyle w:val="longtext"/>
          <w:shd w:val="clear" w:color="auto" w:fill="FFFFFF"/>
          <w:vertAlign w:val="superscript"/>
        </w:rPr>
        <w:t>8</w:t>
      </w:r>
      <w:r w:rsidR="00FA6513" w:rsidRPr="00AE680F">
        <w:rPr>
          <w:rStyle w:val="longtext"/>
          <w:shd w:val="clear" w:color="auto" w:fill="FFFFFF"/>
        </w:rPr>
        <w:t>, modificado por Keys</w:t>
      </w:r>
      <w:r w:rsidR="00712E5F">
        <w:rPr>
          <w:rStyle w:val="longtext"/>
          <w:shd w:val="clear" w:color="auto" w:fill="FFFFFF"/>
        </w:rPr>
        <w:t xml:space="preserve"> </w:t>
      </w:r>
      <w:r w:rsidR="00712E5F">
        <w:rPr>
          <w:rStyle w:val="longtext"/>
          <w:shd w:val="clear" w:color="auto" w:fill="FFFFFF"/>
          <w:vertAlign w:val="superscript"/>
        </w:rPr>
        <w:t>9</w:t>
      </w:r>
      <w:r w:rsidR="00FA6513" w:rsidRPr="00E25638">
        <w:rPr>
          <w:rStyle w:val="longtext"/>
          <w:shd w:val="clear" w:color="auto" w:fill="FFFFFF"/>
        </w:rPr>
        <w:t>.</w:t>
      </w:r>
      <w:r>
        <w:rPr>
          <w:rStyle w:val="longtext"/>
        </w:rPr>
        <w:t xml:space="preserve"> </w:t>
      </w:r>
      <w:r>
        <w:t>Foram</w:t>
      </w:r>
      <w:r w:rsidR="00FA6513" w:rsidRPr="00AE680F">
        <w:t xml:space="preserve"> excluídos do estudo </w:t>
      </w:r>
      <w:r w:rsidR="00DB0F69">
        <w:t xml:space="preserve">os </w:t>
      </w:r>
      <w:r w:rsidR="00FA6513" w:rsidRPr="00AE680F">
        <w:t xml:space="preserve">pacientes submetidos à cirurgia de revisão de prótese do joelho, que não utilizaram o acesso articular medial, pacientes não operados pelo cirurgião sênior, </w:t>
      </w:r>
      <w:r w:rsidR="00FA6513" w:rsidRPr="00AE680F">
        <w:lastRenderedPageBreak/>
        <w:t xml:space="preserve">pacientes portadores de artrite reumatoide, com múltiplas cicatrizes e os que se recusaram a assinar ou não entenderam </w:t>
      </w:r>
      <w:r w:rsidR="00DB0F69">
        <w:t>TCLE</w:t>
      </w:r>
      <w:r w:rsidR="00FA6513" w:rsidRPr="00AE680F">
        <w:t xml:space="preserve">. Qualquer paciente com </w:t>
      </w:r>
      <w:r w:rsidR="00FA6513" w:rsidRPr="00AE680F">
        <w:rPr>
          <w:i/>
        </w:rPr>
        <w:t>diabetes mellitus</w:t>
      </w:r>
      <w:r w:rsidR="00FA6513" w:rsidRPr="00AE680F">
        <w:t xml:space="preserve"> descompensado (glicemia jejum &gt; 140 mg/dL), hipertensão arteri</w:t>
      </w:r>
      <w:r w:rsidR="001631D6">
        <w:t>al sistêmica descontrolada (PAS</w:t>
      </w:r>
      <w:r w:rsidR="003074DB">
        <w:t xml:space="preserve"> </w:t>
      </w:r>
      <w:r w:rsidR="00FA6513" w:rsidRPr="00AE680F">
        <w:t>&gt;</w:t>
      </w:r>
      <w:r w:rsidR="003074DB">
        <w:t xml:space="preserve"> 200</w:t>
      </w:r>
      <w:r w:rsidR="007A6EFE">
        <w:t xml:space="preserve"> </w:t>
      </w:r>
      <w:r w:rsidR="00FA6513" w:rsidRPr="00AE680F">
        <w:t xml:space="preserve">mmHg), doenças vasculares periféricas, </w:t>
      </w:r>
      <w:r w:rsidR="00C16D3E">
        <w:t>eventos tromboembólicos</w:t>
      </w:r>
      <w:r w:rsidR="00FA6513" w:rsidRPr="00AE680F">
        <w:t xml:space="preserve"> prévio</w:t>
      </w:r>
      <w:r w:rsidR="00C16D3E">
        <w:t>s</w:t>
      </w:r>
      <w:r w:rsidR="00FA6513" w:rsidRPr="00AE680F">
        <w:t xml:space="preserve">, </w:t>
      </w:r>
      <w:r w:rsidR="00C16D3E">
        <w:t>infarto agudo do miocárdio</w:t>
      </w:r>
      <w:r w:rsidR="002543C7">
        <w:t xml:space="preserve"> </w:t>
      </w:r>
      <w:r w:rsidR="002543C7">
        <w:rPr>
          <w:vertAlign w:val="superscript"/>
        </w:rPr>
        <w:t>10</w:t>
      </w:r>
      <w:r w:rsidR="00C16D3E">
        <w:t xml:space="preserve">, </w:t>
      </w:r>
      <w:r w:rsidR="00FA6513" w:rsidRPr="00AE680F">
        <w:t>neoplasia, infecção ativa, artrite reumatóide, obesos com índice de massa corpórea maior que 35 Kg/m</w:t>
      </w:r>
      <w:r w:rsidR="00FA6513" w:rsidRPr="00AE680F">
        <w:rPr>
          <w:vertAlign w:val="superscript"/>
        </w:rPr>
        <w:t>2</w:t>
      </w:r>
      <w:r w:rsidR="00FA6513" w:rsidRPr="00AE680F">
        <w:t>, sem condições cirúrgicas (</w:t>
      </w:r>
      <w:r w:rsidR="00FA6513" w:rsidRPr="002B3719">
        <w:rPr>
          <w:i/>
        </w:rPr>
        <w:t>American Society of Anesthesiologists</w:t>
      </w:r>
      <w:r w:rsidR="0091008C">
        <w:t xml:space="preserve"> – ASA escore &gt; III) e uso de anticoagulantes</w:t>
      </w:r>
      <w:r w:rsidR="00C16D3E">
        <w:t xml:space="preserve"> </w:t>
      </w:r>
      <w:r w:rsidR="00FA6513" w:rsidRPr="00AE680F">
        <w:t>tiveram sua condição clínica reavaliada e procedimento cirúrgico postergado.</w:t>
      </w:r>
      <w:r w:rsidR="00AD46A7">
        <w:t xml:space="preserve"> Pacientes que se auto declarara</w:t>
      </w:r>
      <w:r w:rsidR="00FA6513">
        <w:t>m indígenas.</w:t>
      </w:r>
    </w:p>
    <w:p w14:paraId="48CDE5B0" w14:textId="2BD6EE56" w:rsidR="00FA6513" w:rsidRPr="00AE680F" w:rsidRDefault="000F72B9" w:rsidP="000F72B9">
      <w:pPr>
        <w:spacing w:line="360" w:lineRule="auto"/>
        <w:ind w:firstLine="708"/>
        <w:jc w:val="both"/>
      </w:pPr>
      <w:r>
        <w:t>Foi confeccionado um instrumento de coleta de dados</w:t>
      </w:r>
      <w:r w:rsidR="00FA6513" w:rsidRPr="00AE680F">
        <w:t xml:space="preserve"> para esta pesquisa, onde </w:t>
      </w:r>
      <w:r w:rsidR="009F32CB">
        <w:t>foram anotada</w:t>
      </w:r>
      <w:r>
        <w:t xml:space="preserve">s as informações </w:t>
      </w:r>
      <w:r w:rsidR="00FA6513" w:rsidRPr="00AE680F">
        <w:t>pertinentes dos pacientes e da cirurgia, tais como: nome, peso, idade e registro; data da cirurgia, o lado operado, o grup</w:t>
      </w:r>
      <w:r w:rsidR="0091008C">
        <w:t xml:space="preserve">o ao qual o paciente pertenceu e </w:t>
      </w:r>
      <w:r w:rsidR="00FA6513" w:rsidRPr="00AE680F">
        <w:t xml:space="preserve">o tempo </w:t>
      </w:r>
      <w:r>
        <w:t>de isquemia durante a cirurgia.</w:t>
      </w:r>
    </w:p>
    <w:p w14:paraId="1DF16B4E" w14:textId="638EC6D4" w:rsidR="00FA6513" w:rsidRDefault="00FA6513" w:rsidP="000F72B9">
      <w:pPr>
        <w:spacing w:line="360" w:lineRule="auto"/>
        <w:ind w:firstLine="708"/>
        <w:jc w:val="both"/>
        <w:rPr>
          <w:color w:val="1A1A1A"/>
        </w:rPr>
      </w:pPr>
      <w:r w:rsidRPr="00AE680F">
        <w:t>As Normas Consolidadas dos Relatório de Ensaios clínicos (</w:t>
      </w:r>
      <w:r w:rsidRPr="00AE680F">
        <w:rPr>
          <w:b/>
          <w:i/>
        </w:rPr>
        <w:t>Conso</w:t>
      </w:r>
      <w:r w:rsidRPr="00AE680F">
        <w:rPr>
          <w:i/>
        </w:rPr>
        <w:t xml:space="preserve">lidated </w:t>
      </w:r>
      <w:r w:rsidRPr="00AE680F">
        <w:rPr>
          <w:b/>
          <w:i/>
        </w:rPr>
        <w:t>S</w:t>
      </w:r>
      <w:r w:rsidRPr="00AE680F">
        <w:rPr>
          <w:i/>
        </w:rPr>
        <w:t xml:space="preserve">tandards of </w:t>
      </w:r>
      <w:r w:rsidRPr="00AE680F">
        <w:rPr>
          <w:b/>
          <w:i/>
        </w:rPr>
        <w:t>R</w:t>
      </w:r>
      <w:r w:rsidRPr="00AE680F">
        <w:rPr>
          <w:i/>
        </w:rPr>
        <w:t xml:space="preserve">eporting </w:t>
      </w:r>
      <w:r w:rsidRPr="00AE680F">
        <w:rPr>
          <w:b/>
          <w:i/>
        </w:rPr>
        <w:t>T</w:t>
      </w:r>
      <w:r w:rsidRPr="00AE680F">
        <w:rPr>
          <w:i/>
        </w:rPr>
        <w:t>rials</w:t>
      </w:r>
      <w:r w:rsidRPr="00AE680F">
        <w:t xml:space="preserve"> – </w:t>
      </w:r>
      <w:r w:rsidRPr="00AE680F">
        <w:rPr>
          <w:b/>
        </w:rPr>
        <w:t>CONSORT</w:t>
      </w:r>
      <w:r w:rsidRPr="00AE680F">
        <w:t xml:space="preserve">) que foram desenvolvolvidas por um grupo internacional de ensaístas clínicos, estatísticos, epidemiologistas e editores de revistas biomédicas a fim melhorar o registro dos ensaios clínicos randomizados, permitindo assim aos leitores entenderem o desenho do estudo, o comportamento, a análise e interpretação através da total transparência </w:t>
      </w:r>
      <w:r w:rsidR="00D00CF8">
        <w:t>foram</w:t>
      </w:r>
      <w:r w:rsidRPr="00AE680F">
        <w:t xml:space="preserve"> seguidas para a realização do presente estudo </w:t>
      </w:r>
      <w:r w:rsidR="00712E5F">
        <w:rPr>
          <w:color w:val="1A1A1A"/>
          <w:vertAlign w:val="superscript"/>
        </w:rPr>
        <w:t>1</w:t>
      </w:r>
      <w:r w:rsidR="002543C7">
        <w:rPr>
          <w:color w:val="1A1A1A"/>
          <w:vertAlign w:val="superscript"/>
        </w:rPr>
        <w:t>1</w:t>
      </w:r>
      <w:r w:rsidR="00D00CF8">
        <w:rPr>
          <w:color w:val="1A1A1A"/>
        </w:rPr>
        <w:t xml:space="preserve"> (Figura 1).</w:t>
      </w:r>
    </w:p>
    <w:p w14:paraId="776EAA73" w14:textId="77777777" w:rsidR="00D00CF8" w:rsidRDefault="00D00CF8" w:rsidP="00D00CF8">
      <w:pPr>
        <w:spacing w:line="360" w:lineRule="auto"/>
        <w:jc w:val="both"/>
        <w:rPr>
          <w:color w:val="1A1A1A"/>
        </w:rPr>
      </w:pPr>
    </w:p>
    <w:p w14:paraId="6B8DEC25" w14:textId="6D1047FF" w:rsidR="00D00CF8" w:rsidRDefault="00D00CF8" w:rsidP="00D00CF8">
      <w:pPr>
        <w:spacing w:line="360" w:lineRule="auto"/>
        <w:jc w:val="both"/>
        <w:rPr>
          <w:color w:val="1A1A1A"/>
        </w:rPr>
      </w:pPr>
      <w:r w:rsidRPr="00D00CF8">
        <w:rPr>
          <w:b/>
          <w:color w:val="1A1A1A"/>
        </w:rPr>
        <w:t>Figura 1</w:t>
      </w:r>
      <w:r w:rsidR="00B01119">
        <w:rPr>
          <w:color w:val="1A1A1A"/>
        </w:rPr>
        <w:t xml:space="preserve"> – Fluxograma CON</w:t>
      </w:r>
      <w:r>
        <w:rPr>
          <w:color w:val="1A1A1A"/>
        </w:rPr>
        <w:t>SORT</w:t>
      </w:r>
    </w:p>
    <w:p w14:paraId="4CC95E37" w14:textId="42B60C0D" w:rsidR="00D00CF8" w:rsidRPr="00AE680F" w:rsidRDefault="00D00CF8" w:rsidP="00D00CF8">
      <w:pPr>
        <w:spacing w:line="360" w:lineRule="auto"/>
        <w:jc w:val="both"/>
        <w:rPr>
          <w:color w:val="1A1A1A"/>
        </w:rPr>
      </w:pPr>
      <w:r>
        <w:rPr>
          <w:noProof/>
          <w:color w:val="1A1A1A"/>
        </w:rPr>
        <w:drawing>
          <wp:inline distT="0" distB="0" distL="0" distR="0" wp14:anchorId="31AD107A" wp14:editId="0C6FE1E3">
            <wp:extent cx="5032375" cy="3525176"/>
            <wp:effectExtent l="0" t="0" r="0" b="5715"/>
            <wp:docPr id="2" name="Imagem 2" descr="../../Desktop/Captura%20de%20Tela%202018-01-17%20às%2014.39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Desktop/Captura%20de%20Tela%202018-01-17%20às%2014.39.5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716" cy="3551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E450F" w14:textId="702B7AFE" w:rsidR="00FA6513" w:rsidRPr="00AE680F" w:rsidRDefault="000F72B9" w:rsidP="00FA6513">
      <w:pPr>
        <w:spacing w:line="360" w:lineRule="auto"/>
        <w:ind w:firstLine="851"/>
        <w:jc w:val="both"/>
        <w:rPr>
          <w:rFonts w:eastAsia="Cambria"/>
        </w:rPr>
      </w:pPr>
      <w:r>
        <w:rPr>
          <w:rFonts w:eastAsia="Cambria"/>
        </w:rPr>
        <w:lastRenderedPageBreak/>
        <w:t>U</w:t>
      </w:r>
      <w:r w:rsidR="00FA6513" w:rsidRPr="00AE680F">
        <w:rPr>
          <w:rFonts w:eastAsia="Cambria"/>
        </w:rPr>
        <w:t xml:space="preserve">tilizando-se o </w:t>
      </w:r>
      <w:r w:rsidR="00FA6513" w:rsidRPr="00AE680F">
        <w:rPr>
          <w:rFonts w:eastAsia="Cambria"/>
          <w:i/>
        </w:rPr>
        <w:t xml:space="preserve">software </w:t>
      </w:r>
      <w:r w:rsidR="00FA6513" w:rsidRPr="00AE680F">
        <w:rPr>
          <w:rFonts w:eastAsia="Cambria"/>
        </w:rPr>
        <w:t xml:space="preserve">livre disponível no </w:t>
      </w:r>
      <w:r w:rsidR="00FA6513" w:rsidRPr="00AE680F">
        <w:rPr>
          <w:rFonts w:eastAsia="Cambria"/>
          <w:i/>
        </w:rPr>
        <w:t>website</w:t>
      </w:r>
      <w:r w:rsidR="00FA6513" w:rsidRPr="00AE680F">
        <w:rPr>
          <w:rFonts w:eastAsia="Cambria"/>
        </w:rPr>
        <w:t xml:space="preserve"> www.randomization.com., </w:t>
      </w:r>
      <w:r>
        <w:rPr>
          <w:rFonts w:eastAsia="Cambria"/>
        </w:rPr>
        <w:t>foram</w:t>
      </w:r>
      <w:r w:rsidR="00FA6513" w:rsidRPr="00AE680F">
        <w:rPr>
          <w:rFonts w:eastAsia="Cambria"/>
        </w:rPr>
        <w:t xml:space="preserve"> randomizados 34 pacientes em 17 blocos de 2 pacientes, no dia 16 de novembro de 2016, com o número raiz 11587. Após o cálculo estatístico da amostra, 34 pacientes foram divididos em 17 blocos de dois</w:t>
      </w:r>
      <w:r w:rsidR="00FA6513">
        <w:rPr>
          <w:rFonts w:eastAsia="Cambria"/>
        </w:rPr>
        <w:t xml:space="preserve"> grupos iguais</w:t>
      </w:r>
      <w:r w:rsidR="00FA6513" w:rsidRPr="00AE680F">
        <w:rPr>
          <w:rFonts w:eastAsia="Cambria"/>
        </w:rPr>
        <w:t xml:space="preserve"> sem prejuízo da randomização, onde cada grupo recebeu ou não, uma dose de 1g de </w:t>
      </w:r>
      <w:r>
        <w:rPr>
          <w:rFonts w:eastAsia="Cambria"/>
        </w:rPr>
        <w:t>TXA</w:t>
      </w:r>
      <w:r w:rsidR="00FA6513" w:rsidRPr="00AE680F">
        <w:rPr>
          <w:rFonts w:eastAsia="Cambria"/>
        </w:rPr>
        <w:t xml:space="preserve"> na indução anestésica</w:t>
      </w:r>
      <w:r w:rsidR="007A6EFE">
        <w:rPr>
          <w:rFonts w:eastAsia="Cambria"/>
        </w:rPr>
        <w:t xml:space="preserve"> endovenoso (EV)</w:t>
      </w:r>
      <w:r w:rsidR="00FA6513" w:rsidRPr="00AE680F">
        <w:rPr>
          <w:rFonts w:eastAsia="Cambria"/>
        </w:rPr>
        <w:t xml:space="preserve"> e 1 g 10 minutos antes da desinsuflação do torniquete (Grupo I – recebe o </w:t>
      </w:r>
      <w:r>
        <w:rPr>
          <w:rFonts w:eastAsia="Cambria"/>
        </w:rPr>
        <w:t>TXA</w:t>
      </w:r>
      <w:r w:rsidR="00FA6513" w:rsidRPr="00AE680F">
        <w:rPr>
          <w:rFonts w:eastAsia="Cambria"/>
        </w:rPr>
        <w:t xml:space="preserve"> e o Grupo II não o recebe).</w:t>
      </w:r>
    </w:p>
    <w:p w14:paraId="259C335B" w14:textId="77777777" w:rsidR="00FA6513" w:rsidRPr="00AE680F" w:rsidRDefault="00FA6513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 xml:space="preserve">Na noite anterior ao procedimento cirúrgico </w:t>
      </w:r>
      <w:r w:rsidR="000F72B9">
        <w:t>foram</w:t>
      </w:r>
      <w:r w:rsidRPr="00AE680F">
        <w:t xml:space="preserve"> realizados a medição da hemoglobina e hematócrito (Hb, Ht pré), sendo estes considerados os controles; os pacientes </w:t>
      </w:r>
      <w:r w:rsidR="000F72B9">
        <w:t>foram</w:t>
      </w:r>
      <w:r w:rsidRPr="00AE680F">
        <w:t xml:space="preserve"> pesados em quilogramas e suas alturas </w:t>
      </w:r>
      <w:r w:rsidR="000F72B9">
        <w:t>foram</w:t>
      </w:r>
      <w:r w:rsidRPr="00AE680F">
        <w:t xml:space="preserve"> aferidas, sendo medidas em centímetros. </w:t>
      </w:r>
    </w:p>
    <w:p w14:paraId="746AFAE7" w14:textId="7532D45D" w:rsidR="00FA6513" w:rsidRPr="00AE680F" w:rsidRDefault="00FA6513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 xml:space="preserve">Os pacientes </w:t>
      </w:r>
      <w:r w:rsidR="000F72B9">
        <w:t>foram</w:t>
      </w:r>
      <w:r w:rsidRPr="00AE680F">
        <w:t xml:space="preserve"> submetidos à anestesia raquidiana</w:t>
      </w:r>
      <w:r w:rsidR="000F72B9">
        <w:t xml:space="preserve"> e receberam</w:t>
      </w:r>
      <w:r w:rsidRPr="00AE680F">
        <w:t xml:space="preserve"> uma dose de antibiótico profilático – cefazolina 2g e uma dose em bolus de 1 g de TXA </w:t>
      </w:r>
      <w:r w:rsidR="005A6C0F">
        <w:t>pelo anestesiologista (Grupo I).</w:t>
      </w:r>
      <w:r w:rsidRPr="00AE680F">
        <w:t xml:space="preserve"> </w:t>
      </w:r>
      <w:r w:rsidR="000F72B9">
        <w:t xml:space="preserve">Aplicou-se </w:t>
      </w:r>
      <w:r w:rsidRPr="00AE680F">
        <w:t>o torniquete pneumático na raiz da coxa do membro a ser operado com uma pressão de 300</w:t>
      </w:r>
      <w:r>
        <w:t xml:space="preserve"> </w:t>
      </w:r>
      <w:r w:rsidRPr="00AE680F">
        <w:t xml:space="preserve">mmHg para todos os pacientes. A técnica cirúrgica realizada </w:t>
      </w:r>
      <w:r w:rsidR="000F72B9">
        <w:t>foi</w:t>
      </w:r>
      <w:r w:rsidRPr="00AE680F">
        <w:t xml:space="preserve"> a padrão para artroplastia do joelho: com via d</w:t>
      </w:r>
      <w:r w:rsidR="008E212C">
        <w:t>e acesso articular transquadrici</w:t>
      </w:r>
      <w:r w:rsidRPr="00AE680F">
        <w:t xml:space="preserve">pital clássica, com eversão da patela. A rotina no serviço é a utilização de guias intramedulares para os cortes do fêmur e extra medulares para o corte da tíbia.  O ligamento cruzado posterior (LCP) </w:t>
      </w:r>
      <w:r w:rsidR="000F72B9">
        <w:t>foi</w:t>
      </w:r>
      <w:r w:rsidR="00916062">
        <w:t xml:space="preserve"> ressecado em todo</w:t>
      </w:r>
      <w:r w:rsidRPr="00AE680F">
        <w:t xml:space="preserve">s os procedimentos. </w:t>
      </w:r>
      <w:r w:rsidR="000F72B9">
        <w:t>Não se recapearam</w:t>
      </w:r>
      <w:r w:rsidRPr="00AE680F">
        <w:t xml:space="preserve"> as patelas, e </w:t>
      </w:r>
      <w:r w:rsidR="000F72B9">
        <w:t xml:space="preserve">estas foram </w:t>
      </w:r>
      <w:r w:rsidRPr="00AE680F">
        <w:t xml:space="preserve">preparadas em todos os casos da seguinte forma: após </w:t>
      </w:r>
      <w:r w:rsidR="000F72B9">
        <w:t xml:space="preserve">a </w:t>
      </w:r>
      <w:r w:rsidRPr="00AE680F">
        <w:t xml:space="preserve">sinovectomia local a fim de evitar “clunck síndrome”, </w:t>
      </w:r>
      <w:r w:rsidR="000F72B9">
        <w:t>foram</w:t>
      </w:r>
      <w:r w:rsidRPr="00AE680F">
        <w:t xml:space="preserve"> eburneadas, neurotizadas e feita a facectomia lateral. A prótese utilizada </w:t>
      </w:r>
      <w:r w:rsidR="007C2CD7">
        <w:t>foi</w:t>
      </w:r>
      <w:r w:rsidRPr="00AE680F">
        <w:t xml:space="preserve"> a </w:t>
      </w:r>
      <w:r w:rsidR="007C2CD7">
        <w:t>Modular III</w:t>
      </w:r>
      <w:r w:rsidRPr="00AE680F">
        <w:t xml:space="preserve"> </w:t>
      </w:r>
      <w:r w:rsidRPr="00AE680F">
        <w:rPr>
          <w:vertAlign w:val="superscript"/>
        </w:rPr>
        <w:t>®</w:t>
      </w:r>
      <w:r w:rsidRPr="00AE680F">
        <w:t xml:space="preserve"> (</w:t>
      </w:r>
      <w:r w:rsidR="007C2CD7">
        <w:t>MDT</w:t>
      </w:r>
      <w:r w:rsidRPr="00AE680F">
        <w:t xml:space="preserve">, </w:t>
      </w:r>
      <w:r w:rsidR="007C2CD7">
        <w:t>Rio Claro</w:t>
      </w:r>
      <w:r w:rsidRPr="00AE680F">
        <w:t xml:space="preserve"> – SP, Brasil) do tipo que não preserve o LCP. </w:t>
      </w:r>
      <w:r w:rsidR="005A6C0F">
        <w:t xml:space="preserve">Drenos </w:t>
      </w:r>
      <w:r w:rsidRPr="00AE680F">
        <w:t xml:space="preserve">suctores do tipo portovac de 3,2 mm, </w:t>
      </w:r>
      <w:r w:rsidR="005A6C0F">
        <w:t xml:space="preserve">foram </w:t>
      </w:r>
      <w:r w:rsidRPr="00AE680F">
        <w:t xml:space="preserve">alocados no espaço articular antes do fechamento capsular. Com o intuito de uniformizar a área de drenagem, os drenos </w:t>
      </w:r>
      <w:r w:rsidR="005A6C0F">
        <w:t>foram</w:t>
      </w:r>
      <w:r w:rsidRPr="00AE680F">
        <w:t xml:space="preserve"> </w:t>
      </w:r>
      <w:r w:rsidR="00571772" w:rsidRPr="00AE680F">
        <w:t>cortados</w:t>
      </w:r>
      <w:r w:rsidRPr="00AE680F">
        <w:t xml:space="preserve"> de forma que </w:t>
      </w:r>
      <w:r w:rsidR="005A6C0F">
        <w:t>ficassem</w:t>
      </w:r>
      <w:r w:rsidRPr="00AE680F">
        <w:t xml:space="preserve"> com 10 c</w:t>
      </w:r>
      <w:r w:rsidR="007C2CD7">
        <w:t xml:space="preserve">m de comprimento na articulação. </w:t>
      </w:r>
      <w:r w:rsidRPr="00AE680F">
        <w:t xml:space="preserve">Após a cimentação dos implantes, </w:t>
      </w:r>
      <w:r w:rsidR="007C2CD7">
        <w:t>se o paciente fosse</w:t>
      </w:r>
      <w:r w:rsidRPr="00AE680F">
        <w:t xml:space="preserve"> do Grupo I </w:t>
      </w:r>
      <w:r w:rsidR="007C2CD7">
        <w:t>o anestesiologista aplicava</w:t>
      </w:r>
      <w:r w:rsidRPr="00AE680F">
        <w:t xml:space="preserve"> outra dose de 1 g de TXA, e então </w:t>
      </w:r>
      <w:r w:rsidR="007C2CD7">
        <w:t xml:space="preserve">era </w:t>
      </w:r>
      <w:r w:rsidRPr="00AE680F">
        <w:t>liberada a</w:t>
      </w:r>
      <w:r w:rsidR="007C2CD7">
        <w:t xml:space="preserve"> isquemia com 10 minutos, se fosse do Grupo II, aguardávamos a</w:t>
      </w:r>
      <w:r w:rsidRPr="00AE680F">
        <w:t xml:space="preserve"> cura do cimento por dez minutos e então</w:t>
      </w:r>
      <w:r w:rsidR="007C2CD7">
        <w:t xml:space="preserve"> era</w:t>
      </w:r>
      <w:r w:rsidRPr="00AE680F">
        <w:t xml:space="preserve"> liberada a isquemia. As cirurgias </w:t>
      </w:r>
      <w:r w:rsidR="007C2CD7">
        <w:t>eram</w:t>
      </w:r>
      <w:r w:rsidRPr="00AE680F">
        <w:t xml:space="preserve"> realizadas pelo pesquisador principal ou sob assistência direta deste, sempre</w:t>
      </w:r>
      <w:r w:rsidR="004E5BCD">
        <w:t xml:space="preserve">, porém o cirurgião não tinha conhecimento dos grupos que estavam sendo operados. </w:t>
      </w:r>
      <w:r w:rsidRPr="00AE680F">
        <w:rPr>
          <w:bCs/>
          <w:iCs/>
        </w:rPr>
        <w:t xml:space="preserve">Os pacientes </w:t>
      </w:r>
      <w:r w:rsidR="007C2CD7">
        <w:rPr>
          <w:bCs/>
          <w:iCs/>
        </w:rPr>
        <w:t>tinham</w:t>
      </w:r>
      <w:r w:rsidRPr="00AE680F">
        <w:rPr>
          <w:bCs/>
          <w:iCs/>
        </w:rPr>
        <w:t xml:space="preserve"> suas perdas sanguíneas medidas através da hematimetria (Hb e Ht) seriada aos quinto e 15</w:t>
      </w:r>
      <w:r w:rsidRPr="00AE680F">
        <w:rPr>
          <w:bCs/>
          <w:iCs/>
          <w:vertAlign w:val="superscript"/>
        </w:rPr>
        <w:t>o</w:t>
      </w:r>
      <w:r w:rsidRPr="00AE680F">
        <w:rPr>
          <w:bCs/>
          <w:iCs/>
        </w:rPr>
        <w:t>. dias após a cirurgia (sendo estas medidas considerada o Hb e Ht pós) e do volume através do dreno suctor, também seriado às 3, 6, 12, 24</w:t>
      </w:r>
      <w:r w:rsidR="007A6EFE">
        <w:rPr>
          <w:bCs/>
          <w:iCs/>
        </w:rPr>
        <w:t xml:space="preserve"> </w:t>
      </w:r>
      <w:r w:rsidRPr="00AE680F">
        <w:rPr>
          <w:bCs/>
          <w:iCs/>
        </w:rPr>
        <w:t xml:space="preserve">h do término do procedimento cirúrgico, nesta última aferição o dreno suctor </w:t>
      </w:r>
      <w:r w:rsidR="007C2CD7">
        <w:rPr>
          <w:bCs/>
          <w:iCs/>
        </w:rPr>
        <w:t>era</w:t>
      </w:r>
      <w:r w:rsidRPr="00AE680F">
        <w:rPr>
          <w:bCs/>
          <w:iCs/>
        </w:rPr>
        <w:t xml:space="preserve"> retirado e o curativo trocado. O ciru</w:t>
      </w:r>
      <w:r w:rsidR="007C2CD7">
        <w:rPr>
          <w:bCs/>
          <w:iCs/>
        </w:rPr>
        <w:t>rgião executante não participava</w:t>
      </w:r>
      <w:r w:rsidRPr="00AE680F">
        <w:rPr>
          <w:bCs/>
          <w:iCs/>
        </w:rPr>
        <w:t xml:space="preserve"> da aferição dos volumes dos drenos suctores. </w:t>
      </w:r>
      <w:r w:rsidR="007C2CD7">
        <w:t>Todos os pacientes realizavam</w:t>
      </w:r>
      <w:r w:rsidRPr="00AE680F">
        <w:t xml:space="preserve"> tromboprofilaxia com Enoxaparina sódica na dose de 40</w:t>
      </w:r>
      <w:r w:rsidR="007A6EFE">
        <w:t xml:space="preserve"> </w:t>
      </w:r>
      <w:r w:rsidRPr="00AE680F">
        <w:t>mg subcutâneo, inic</w:t>
      </w:r>
      <w:r w:rsidR="007C2CD7">
        <w:t>iada 6 horas após o procedimento anestésico</w:t>
      </w:r>
      <w:r w:rsidRPr="00AE680F">
        <w:t xml:space="preserve">, administrada 1x ao dia por </w:t>
      </w:r>
      <w:r w:rsidRPr="00AE680F">
        <w:lastRenderedPageBreak/>
        <w:t>15 dias.</w:t>
      </w:r>
      <w:r w:rsidR="007C2CD7">
        <w:t xml:space="preserve"> Todos os pacientes realizavam</w:t>
      </w:r>
      <w:r w:rsidRPr="00AE680F">
        <w:t xml:space="preserve"> profilaxia de infecção do sítio cirúrgico com cefazolina sódica na dose de 1g de 8/8h por 5 dias.</w:t>
      </w:r>
    </w:p>
    <w:p w14:paraId="47286FBF" w14:textId="1923DE35" w:rsidR="00FA6513" w:rsidRPr="00AE680F" w:rsidRDefault="00FA6513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A1A1A"/>
        </w:rPr>
      </w:pPr>
      <w:r w:rsidRPr="00AE680F">
        <w:t xml:space="preserve">De posse dos dados de peso, altura, Ht e Hb pré, </w:t>
      </w:r>
      <w:r w:rsidR="007C2CD7">
        <w:t>Ht e Hb pós, calculou-se</w:t>
      </w:r>
      <w:r w:rsidRPr="00AE680F">
        <w:t xml:space="preserve"> o volume sanguíneo do paciente de acordo com a fórmula de </w:t>
      </w:r>
      <w:r w:rsidR="0082042B">
        <w:rPr>
          <w:color w:val="1A1A1A"/>
        </w:rPr>
        <w:t xml:space="preserve">Nadler </w:t>
      </w:r>
      <w:r w:rsidR="0082042B" w:rsidRPr="0082042B">
        <w:rPr>
          <w:i/>
          <w:color w:val="1A1A1A"/>
        </w:rPr>
        <w:t>et al</w:t>
      </w:r>
      <w:r w:rsidR="0082042B">
        <w:t xml:space="preserve"> </w:t>
      </w:r>
      <w:r w:rsidR="0082042B">
        <w:rPr>
          <w:vertAlign w:val="superscript"/>
        </w:rPr>
        <w:t>12</w:t>
      </w:r>
      <w:r w:rsidRPr="00AE680F">
        <w:t xml:space="preserve"> e a perda sanguínea estimada de acordo com a propositura de </w:t>
      </w:r>
      <w:r w:rsidR="0082042B">
        <w:rPr>
          <w:color w:val="1A1A1A"/>
        </w:rPr>
        <w:t xml:space="preserve">Mercuriali e Inghilleri </w:t>
      </w:r>
      <w:r w:rsidR="0082042B">
        <w:rPr>
          <w:color w:val="1A1A1A"/>
          <w:vertAlign w:val="superscript"/>
        </w:rPr>
        <w:t>13</w:t>
      </w:r>
      <w:r w:rsidRPr="00AE680F">
        <w:rPr>
          <w:color w:val="1A1A1A"/>
        </w:rPr>
        <w:t>.</w:t>
      </w:r>
    </w:p>
    <w:p w14:paraId="7553C7BA" w14:textId="29C41D84" w:rsidR="00FA6513" w:rsidRPr="00AE680F" w:rsidRDefault="00FA6513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 w:rsidRPr="00AE680F">
        <w:rPr>
          <w:b/>
          <w:color w:val="191919"/>
        </w:rPr>
        <w:t>Volume sanguíneo</w:t>
      </w:r>
      <w:r w:rsidRPr="00AE680F">
        <w:rPr>
          <w:color w:val="191919"/>
        </w:rPr>
        <w:t xml:space="preserve"> = </w:t>
      </w:r>
      <w:r w:rsidRPr="00AE680F">
        <w:rPr>
          <w:color w:val="131413"/>
        </w:rPr>
        <w:t>Homem: 604 + 0,0003668 x altura (cm)</w:t>
      </w:r>
      <w:r w:rsidR="004E1D65">
        <w:rPr>
          <w:color w:val="131413"/>
          <w:vertAlign w:val="superscript"/>
        </w:rPr>
        <w:t>3</w:t>
      </w:r>
      <w:r w:rsidRPr="00AE680F">
        <w:rPr>
          <w:color w:val="131413"/>
        </w:rPr>
        <w:t xml:space="preserve"> + 32,2 x peso</w:t>
      </w:r>
      <w:r w:rsidR="00571772">
        <w:rPr>
          <w:color w:val="131413"/>
        </w:rPr>
        <w:t xml:space="preserve"> </w:t>
      </w:r>
      <w:r w:rsidRPr="00AE680F">
        <w:rPr>
          <w:color w:val="131413"/>
        </w:rPr>
        <w:t>(kg).</w:t>
      </w:r>
    </w:p>
    <w:p w14:paraId="2A222681" w14:textId="761DC78C" w:rsidR="00FA6513" w:rsidRPr="00AE680F" w:rsidRDefault="00916062" w:rsidP="009323DB">
      <w:pPr>
        <w:widowControl w:val="0"/>
        <w:autoSpaceDE w:val="0"/>
        <w:autoSpaceDN w:val="0"/>
        <w:adjustRightInd w:val="0"/>
        <w:spacing w:line="360" w:lineRule="auto"/>
        <w:ind w:left="1440" w:firstLine="851"/>
        <w:jc w:val="both"/>
        <w:rPr>
          <w:color w:val="131413"/>
        </w:rPr>
      </w:pPr>
      <w:r>
        <w:rPr>
          <w:color w:val="131413"/>
        </w:rPr>
        <w:t xml:space="preserve">            </w:t>
      </w:r>
      <w:r w:rsidR="00FA6513" w:rsidRPr="00AE680F">
        <w:rPr>
          <w:color w:val="131413"/>
        </w:rPr>
        <w:t>Mulher: 183 + 0,000356 x altura (cm)</w:t>
      </w:r>
      <w:r w:rsidR="00FA6513" w:rsidRPr="00AE680F">
        <w:rPr>
          <w:color w:val="131413"/>
          <w:vertAlign w:val="superscript"/>
        </w:rPr>
        <w:t>3</w:t>
      </w:r>
      <w:r w:rsidR="00FA6513" w:rsidRPr="00AE680F">
        <w:rPr>
          <w:color w:val="131413"/>
        </w:rPr>
        <w:t xml:space="preserve"> + 33 x peso</w:t>
      </w:r>
      <w:r w:rsidR="00571772">
        <w:rPr>
          <w:color w:val="131413"/>
        </w:rPr>
        <w:t xml:space="preserve"> </w:t>
      </w:r>
      <w:r w:rsidR="00FA6513" w:rsidRPr="00AE680F">
        <w:rPr>
          <w:color w:val="131413"/>
        </w:rPr>
        <w:t>(kg).</w:t>
      </w:r>
    </w:p>
    <w:p w14:paraId="7B2BE71F" w14:textId="77777777" w:rsidR="00FA6513" w:rsidRPr="00AE680F" w:rsidRDefault="00FA6513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 w:rsidRPr="00AE680F">
        <w:rPr>
          <w:b/>
          <w:color w:val="131413"/>
        </w:rPr>
        <w:t>Perda sanguínea estimada</w:t>
      </w:r>
      <w:r w:rsidRPr="00AE680F">
        <w:rPr>
          <w:color w:val="131413"/>
        </w:rPr>
        <w:t>: = Volume Sanguíneo x (Ht pré – Ht pós) + volume de concentrado de hemácias (CH).</w:t>
      </w:r>
    </w:p>
    <w:p w14:paraId="5E4E7C4F" w14:textId="1C7B6E6A" w:rsidR="00FA6513" w:rsidRDefault="007C2CD7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>
        <w:rPr>
          <w:color w:val="131413"/>
        </w:rPr>
        <w:t>Foram</w:t>
      </w:r>
      <w:r w:rsidR="00FA6513" w:rsidRPr="00AE680F">
        <w:rPr>
          <w:color w:val="131413"/>
        </w:rPr>
        <w:t xml:space="preserve"> anotadas as possíveis </w:t>
      </w:r>
      <w:r w:rsidR="00056483" w:rsidRPr="00AE680F">
        <w:rPr>
          <w:color w:val="131413"/>
        </w:rPr>
        <w:t>complicações</w:t>
      </w:r>
      <w:r w:rsidR="00FA6513" w:rsidRPr="00AE680F">
        <w:rPr>
          <w:color w:val="131413"/>
        </w:rPr>
        <w:t xml:space="preserve"> bem como a neces</w:t>
      </w:r>
      <w:r w:rsidR="00056483">
        <w:rPr>
          <w:color w:val="131413"/>
        </w:rPr>
        <w:t>sidade de transfusão de hemoderiva</w:t>
      </w:r>
      <w:r w:rsidR="00FA6513" w:rsidRPr="00AE680F">
        <w:rPr>
          <w:color w:val="131413"/>
        </w:rPr>
        <w:t>dos no instrumento de coleta de dados.</w:t>
      </w:r>
    </w:p>
    <w:p w14:paraId="6911FC25" w14:textId="0ED71424" w:rsidR="00285B5B" w:rsidRPr="00540C5A" w:rsidRDefault="00344B72" w:rsidP="009323DB">
      <w:pPr>
        <w:spacing w:line="360" w:lineRule="auto"/>
        <w:ind w:firstLine="851"/>
        <w:jc w:val="both"/>
      </w:pPr>
      <w:r>
        <w:t>Um estatístico que não participou do estudo analisou os</w:t>
      </w:r>
      <w:r w:rsidR="00285B5B" w:rsidRPr="00540C5A">
        <w:t xml:space="preserve"> </w:t>
      </w:r>
      <w:r w:rsidR="00285B5B">
        <w:t>resultados</w:t>
      </w:r>
      <w:r w:rsidR="00285B5B" w:rsidRPr="00540C5A">
        <w:t xml:space="preserve"> </w:t>
      </w:r>
      <w:r>
        <w:t xml:space="preserve">que </w:t>
      </w:r>
      <w:r w:rsidR="00285B5B" w:rsidRPr="00540C5A">
        <w:t>foram apresentados por meio de gráf</w:t>
      </w:r>
      <w:r w:rsidR="00285B5B">
        <w:t>icos e tabelas, onde se calcularam</w:t>
      </w:r>
      <w:r w:rsidR="00285B5B" w:rsidRPr="00540C5A">
        <w:t xml:space="preserve"> as frequências absolutas simples e relativas para os dados categóricos. Na análise dos dados quantitativos, quando aceita a hipótese de normalidade por meio do teste de </w:t>
      </w:r>
      <w:r w:rsidR="00285B5B" w:rsidRPr="00540C5A">
        <w:rPr>
          <w:i/>
        </w:rPr>
        <w:t>Shapiro-Wilk</w:t>
      </w:r>
      <w:r w:rsidR="00285B5B" w:rsidRPr="00540C5A">
        <w:t>, foi calculada a média e o desvio-padrão (DP). Já no caso da rejeição da hipótese de normalidade optou-se por calcular a mediana e os quartis (Q</w:t>
      </w:r>
      <w:r w:rsidR="00285B5B" w:rsidRPr="00540C5A">
        <w:rPr>
          <w:vertAlign w:val="subscript"/>
        </w:rPr>
        <w:t>i</w:t>
      </w:r>
      <w:r w:rsidR="00285B5B" w:rsidRPr="00540C5A">
        <w:t xml:space="preserve">). Na comparação das médias em relação aos grupos foi calculado o teste </w:t>
      </w:r>
      <w:r w:rsidR="00285B5B" w:rsidRPr="00540C5A">
        <w:rPr>
          <w:i/>
        </w:rPr>
        <w:t>t-student</w:t>
      </w:r>
      <w:r w:rsidR="00285B5B" w:rsidRPr="00540C5A">
        <w:t xml:space="preserve"> e para os gráficos calculado os respectivos Intervalos de Confiança ao nível de 95% (IC95%). Já na comparação das medianas foi calculado o teste não paramétrico de </w:t>
      </w:r>
      <w:r w:rsidR="00285B5B" w:rsidRPr="00540C5A">
        <w:rPr>
          <w:i/>
        </w:rPr>
        <w:t>Mann-Whtiney</w:t>
      </w:r>
      <w:r w:rsidR="00285B5B" w:rsidRPr="00540C5A">
        <w:t xml:space="preserve">. Na comparação das proporções foi calculado o teste do qui-quadrado com correção de </w:t>
      </w:r>
      <w:r w:rsidR="00285B5B" w:rsidRPr="00540C5A">
        <w:rPr>
          <w:i/>
        </w:rPr>
        <w:t>Yates</w:t>
      </w:r>
      <w:r w:rsidR="00285B5B" w:rsidRPr="00540C5A">
        <w:t xml:space="preserve">, sendo que na impossibilidade de aplicar o teste de </w:t>
      </w:r>
      <w:r w:rsidR="00285B5B" w:rsidRPr="00540C5A">
        <w:rPr>
          <w:i/>
        </w:rPr>
        <w:t>Yates</w:t>
      </w:r>
      <w:r w:rsidR="00285B5B" w:rsidRPr="00540C5A">
        <w:t xml:space="preserve"> optou-se pelo teste exato de </w:t>
      </w:r>
      <w:r w:rsidR="00285B5B" w:rsidRPr="00540C5A">
        <w:rPr>
          <w:i/>
        </w:rPr>
        <w:t>Fisher</w:t>
      </w:r>
      <w:r w:rsidR="00AA412E">
        <w:t xml:space="preserve"> para tabelas 2x2 </w:t>
      </w:r>
      <w:r w:rsidR="00AA412E">
        <w:rPr>
          <w:vertAlign w:val="superscript"/>
        </w:rPr>
        <w:t>14,15</w:t>
      </w:r>
      <w:r w:rsidR="00285B5B" w:rsidRPr="00540C5A">
        <w:t>.</w:t>
      </w:r>
    </w:p>
    <w:p w14:paraId="720315B1" w14:textId="77777777" w:rsidR="00285B5B" w:rsidRPr="00540C5A" w:rsidRDefault="00285B5B" w:rsidP="009323DB">
      <w:pPr>
        <w:spacing w:line="360" w:lineRule="auto"/>
        <w:ind w:firstLine="851"/>
        <w:jc w:val="both"/>
      </w:pPr>
      <w:r w:rsidRPr="00540C5A">
        <w:t xml:space="preserve">O software utilizado nas análises dos dados foi o programa </w:t>
      </w:r>
      <w:r w:rsidRPr="00540C5A">
        <w:rPr>
          <w:i/>
        </w:rPr>
        <w:t>Minitab</w:t>
      </w:r>
      <w:r w:rsidRPr="00540C5A">
        <w:t xml:space="preserve"> versão 17 e o nível de significância fixado nos testes estatísticos foi de 5% (</w:t>
      </w:r>
      <w:r w:rsidRPr="00285B5B">
        <w:rPr>
          <w:i/>
        </w:rPr>
        <w:t>p</w:t>
      </w:r>
      <w:r w:rsidRPr="00540C5A">
        <w:t xml:space="preserve"> &lt; 0,05).</w:t>
      </w:r>
    </w:p>
    <w:p w14:paraId="7C850274" w14:textId="77777777" w:rsidR="009F32CB" w:rsidRDefault="009F32CB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</w:p>
    <w:p w14:paraId="17A56CE4" w14:textId="42305750" w:rsidR="009F32CB" w:rsidRPr="00586724" w:rsidRDefault="00D00CF8" w:rsidP="00D00CF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131413"/>
          <w:sz w:val="28"/>
          <w:szCs w:val="28"/>
        </w:rPr>
      </w:pPr>
      <w:r>
        <w:rPr>
          <w:b/>
          <w:color w:val="131413"/>
          <w:sz w:val="28"/>
          <w:szCs w:val="28"/>
        </w:rPr>
        <w:t xml:space="preserve">3 </w:t>
      </w:r>
      <w:r w:rsidR="009F32CB" w:rsidRPr="00586724">
        <w:rPr>
          <w:b/>
          <w:color w:val="131413"/>
          <w:sz w:val="28"/>
          <w:szCs w:val="28"/>
        </w:rPr>
        <w:t>RESULTADOS</w:t>
      </w:r>
    </w:p>
    <w:p w14:paraId="7E37A490" w14:textId="62ED2DBC" w:rsidR="002770BB" w:rsidRPr="00C74DA0" w:rsidRDefault="00AD5729" w:rsidP="00D00CF8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>
        <w:rPr>
          <w:color w:val="131413"/>
        </w:rPr>
        <w:t xml:space="preserve">No período compreendido do estudo foram operados ao todo </w:t>
      </w:r>
      <w:r w:rsidR="00D00CF8">
        <w:rPr>
          <w:color w:val="131413"/>
        </w:rPr>
        <w:t>47</w:t>
      </w:r>
      <w:r>
        <w:rPr>
          <w:color w:val="131413"/>
        </w:rPr>
        <w:t xml:space="preserve"> pacientes, sendo</w:t>
      </w:r>
      <w:r w:rsidR="003E3756">
        <w:rPr>
          <w:color w:val="131413"/>
        </w:rPr>
        <w:t xml:space="preserve"> incluídos 34 paciente</w:t>
      </w:r>
      <w:r w:rsidR="006279B4">
        <w:rPr>
          <w:color w:val="131413"/>
        </w:rPr>
        <w:t xml:space="preserve">s, sendo 24 mulheres e 8 homens, divididos em 2 grupos: I (uso de TXA) e II (sem TXA), </w:t>
      </w:r>
      <w:r w:rsidR="00F5220D">
        <w:rPr>
          <w:color w:val="131413"/>
        </w:rPr>
        <w:t>sendo para o grupo I, 4 homens</w:t>
      </w:r>
      <w:r w:rsidR="002770BB">
        <w:rPr>
          <w:color w:val="131413"/>
        </w:rPr>
        <w:t xml:space="preserve"> (23.5%)</w:t>
      </w:r>
      <w:r w:rsidR="00F5220D">
        <w:rPr>
          <w:color w:val="131413"/>
        </w:rPr>
        <w:t xml:space="preserve"> e 13 mulheres </w:t>
      </w:r>
      <w:r w:rsidR="002770BB">
        <w:rPr>
          <w:color w:val="131413"/>
        </w:rPr>
        <w:t xml:space="preserve">(76,5%) </w:t>
      </w:r>
      <w:r w:rsidR="00F5220D">
        <w:rPr>
          <w:color w:val="131413"/>
        </w:rPr>
        <w:t xml:space="preserve">com </w:t>
      </w:r>
      <w:r w:rsidR="000638EF">
        <w:rPr>
          <w:color w:val="131413"/>
        </w:rPr>
        <w:t>idade variando de 59 a 80 anos [</w:t>
      </w:r>
      <w:r>
        <w:rPr>
          <w:color w:val="131413"/>
        </w:rPr>
        <w:t>mé</w:t>
      </w:r>
      <w:r w:rsidR="00F5220D">
        <w:rPr>
          <w:color w:val="131413"/>
        </w:rPr>
        <w:t xml:space="preserve">dia de 69,8 </w:t>
      </w:r>
      <w:r w:rsidR="00F5220D">
        <w:rPr>
          <w:color w:val="131413"/>
        </w:rPr>
        <w:sym w:font="Symbol" w:char="F0B1"/>
      </w:r>
      <w:r w:rsidR="00F5220D">
        <w:rPr>
          <w:color w:val="131413"/>
        </w:rPr>
        <w:t xml:space="preserve"> 6,1</w:t>
      </w:r>
      <w:r>
        <w:rPr>
          <w:color w:val="131413"/>
        </w:rPr>
        <w:t xml:space="preserve"> (</w:t>
      </w:r>
      <w:r w:rsidR="00AA412E">
        <w:rPr>
          <w:color w:val="131413"/>
        </w:rPr>
        <w:t>DP) ]</w:t>
      </w:r>
      <w:r>
        <w:rPr>
          <w:color w:val="131413"/>
        </w:rPr>
        <w:t>, e no grupo</w:t>
      </w:r>
      <w:r w:rsidR="00F5220D">
        <w:rPr>
          <w:color w:val="131413"/>
        </w:rPr>
        <w:t xml:space="preserve"> II 4 homens</w:t>
      </w:r>
      <w:r w:rsidR="002770BB">
        <w:rPr>
          <w:color w:val="131413"/>
        </w:rPr>
        <w:t xml:space="preserve"> (26,7%)</w:t>
      </w:r>
      <w:r w:rsidR="00F5220D">
        <w:rPr>
          <w:color w:val="131413"/>
        </w:rPr>
        <w:t xml:space="preserve"> e 11 mulheres</w:t>
      </w:r>
      <w:r w:rsidR="00586724">
        <w:rPr>
          <w:color w:val="131413"/>
        </w:rPr>
        <w:t xml:space="preserve"> (73,3%)</w:t>
      </w:r>
      <w:r w:rsidR="00F5220D">
        <w:rPr>
          <w:color w:val="131413"/>
        </w:rPr>
        <w:t xml:space="preserve">, com </w:t>
      </w:r>
      <w:r>
        <w:rPr>
          <w:color w:val="131413"/>
        </w:rPr>
        <w:t>idade variando de 61 a 84 anos [</w:t>
      </w:r>
      <w:r w:rsidR="00F5220D">
        <w:rPr>
          <w:color w:val="131413"/>
        </w:rPr>
        <w:t xml:space="preserve">média de 66,8 </w:t>
      </w:r>
      <w:r w:rsidR="00F5220D">
        <w:rPr>
          <w:color w:val="131413"/>
        </w:rPr>
        <w:sym w:font="Symbol" w:char="F0B1"/>
      </w:r>
      <w:r w:rsidR="00F5220D">
        <w:rPr>
          <w:color w:val="131413"/>
        </w:rPr>
        <w:t xml:space="preserve"> 5,8</w:t>
      </w:r>
      <w:r w:rsidR="00285B5B">
        <w:rPr>
          <w:color w:val="131413"/>
        </w:rPr>
        <w:t xml:space="preserve"> (</w:t>
      </w:r>
      <w:r w:rsidR="00AA412E">
        <w:rPr>
          <w:color w:val="131413"/>
        </w:rPr>
        <w:t>DP) ]</w:t>
      </w:r>
      <w:r w:rsidR="00586724">
        <w:rPr>
          <w:color w:val="131413"/>
        </w:rPr>
        <w:t>, perdeu-se o seguimento de dois pacientes nesse grupo</w:t>
      </w:r>
      <w:r w:rsidR="00C74DA0">
        <w:rPr>
          <w:color w:val="131413"/>
        </w:rPr>
        <w:t xml:space="preserve"> (Gráfico 1)</w:t>
      </w:r>
      <w:r w:rsidR="00586724">
        <w:rPr>
          <w:color w:val="131413"/>
        </w:rPr>
        <w:t>.</w:t>
      </w:r>
      <w:r w:rsidR="002770BB" w:rsidRPr="00C74DA0">
        <w:rPr>
          <w:color w:val="000000" w:themeColor="text1"/>
        </w:rPr>
        <w:tab/>
      </w:r>
    </w:p>
    <w:p w14:paraId="6AE3DD7E" w14:textId="77777777" w:rsidR="00C74DA0" w:rsidRDefault="00C74DA0" w:rsidP="009323DB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ind w:firstLine="851"/>
        <w:jc w:val="both"/>
        <w:rPr>
          <w:rFonts w:ascii="Times New Roman" w:hAnsi="Times New Roman" w:cs="Times New Roman"/>
          <w:b/>
          <w:i w:val="0"/>
          <w:color w:val="000000" w:themeColor="text1"/>
          <w:lang w:val="pt-PT"/>
        </w:rPr>
      </w:pPr>
    </w:p>
    <w:p w14:paraId="68684582" w14:textId="77777777" w:rsidR="00586724" w:rsidRDefault="00586724" w:rsidP="009323DB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ind w:firstLine="851"/>
        <w:jc w:val="both"/>
        <w:rPr>
          <w:rFonts w:ascii="Times New Roman" w:hAnsi="Times New Roman" w:cs="Times New Roman"/>
          <w:b/>
          <w:i w:val="0"/>
          <w:color w:val="000000" w:themeColor="text1"/>
          <w:lang w:val="pt-PT"/>
        </w:rPr>
      </w:pPr>
    </w:p>
    <w:p w14:paraId="033F8730" w14:textId="77777777" w:rsidR="00586724" w:rsidRDefault="00586724" w:rsidP="009323DB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ind w:firstLine="851"/>
        <w:jc w:val="both"/>
        <w:rPr>
          <w:rFonts w:ascii="Times New Roman" w:hAnsi="Times New Roman" w:cs="Times New Roman"/>
          <w:b/>
          <w:i w:val="0"/>
          <w:color w:val="000000" w:themeColor="text1"/>
          <w:lang w:val="pt-PT"/>
        </w:rPr>
      </w:pPr>
    </w:p>
    <w:p w14:paraId="20EDCAF9" w14:textId="77777777" w:rsidR="00586724" w:rsidRDefault="00586724" w:rsidP="00D00CF8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jc w:val="both"/>
        <w:rPr>
          <w:rFonts w:ascii="Times New Roman" w:hAnsi="Times New Roman" w:cs="Times New Roman"/>
          <w:b/>
          <w:i w:val="0"/>
          <w:color w:val="000000" w:themeColor="text1"/>
          <w:lang w:val="pt-PT"/>
        </w:rPr>
      </w:pPr>
    </w:p>
    <w:p w14:paraId="092AD163" w14:textId="2A58A07F" w:rsidR="00C74DA0" w:rsidRPr="00C74DA0" w:rsidRDefault="00C74DA0" w:rsidP="00D00CF8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jc w:val="both"/>
        <w:rPr>
          <w:rFonts w:ascii="Times New Roman" w:hAnsi="Times New Roman" w:cs="Times New Roman"/>
          <w:b/>
          <w:lang w:val="pt-PT"/>
        </w:rPr>
      </w:pPr>
      <w:r w:rsidRPr="00C74DA0">
        <w:rPr>
          <w:rFonts w:ascii="Times New Roman" w:hAnsi="Times New Roman" w:cs="Times New Roman"/>
          <w:b/>
          <w:i w:val="0"/>
          <w:color w:val="000000" w:themeColor="text1"/>
          <w:lang w:val="pt-PT"/>
        </w:rPr>
        <w:t>Gráfico 1</w:t>
      </w:r>
      <w:r w:rsidR="00804057">
        <w:rPr>
          <w:rFonts w:ascii="Times New Roman" w:hAnsi="Times New Roman" w:cs="Times New Roman"/>
          <w:i w:val="0"/>
          <w:color w:val="000000" w:themeColor="text1"/>
          <w:lang w:val="pt-PT"/>
        </w:rPr>
        <w:t xml:space="preserve"> – </w:t>
      </w:r>
      <w:r w:rsidRPr="00C74DA0">
        <w:rPr>
          <w:rFonts w:ascii="Times New Roman" w:hAnsi="Times New Roman" w:cs="Times New Roman"/>
          <w:i w:val="0"/>
          <w:color w:val="000000" w:themeColor="text1"/>
          <w:lang w:val="pt-PT"/>
        </w:rPr>
        <w:t xml:space="preserve">Comparação do gênero em relação aos grupos tratados com (grupo I) e sem (grupo II) ácido tranexâmico submetidos à artroplastia total de 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j</w:t>
      </w:r>
      <w:r w:rsidRPr="00C74DA0">
        <w:rPr>
          <w:rFonts w:ascii="Times New Roman" w:hAnsi="Times New Roman" w:cs="Times New Roman"/>
          <w:i w:val="0"/>
          <w:color w:val="000000" w:themeColor="text1"/>
          <w:lang w:val="pt-PT"/>
        </w:rPr>
        <w:t>oelho.</w:t>
      </w:r>
    </w:p>
    <w:p w14:paraId="4AAF8294" w14:textId="4A3149C6" w:rsidR="00C74DA0" w:rsidRDefault="00C74DA0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  <w:r w:rsidRPr="00540C5A">
        <w:rPr>
          <w:noProof/>
        </w:rPr>
        <w:drawing>
          <wp:inline distT="0" distB="0" distL="0" distR="0" wp14:anchorId="5FE7FAE2" wp14:editId="0FDF408D">
            <wp:extent cx="5032375" cy="2984500"/>
            <wp:effectExtent l="0" t="0" r="0" b="0"/>
            <wp:docPr id="9" name="Gráfico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4F06504F" w14:textId="77777777" w:rsidR="00285B5B" w:rsidRDefault="00C74DA0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>
        <w:rPr>
          <w:color w:val="131413"/>
        </w:rPr>
        <w:tab/>
      </w:r>
    </w:p>
    <w:p w14:paraId="7411E8AB" w14:textId="42BCF357" w:rsidR="00285B5B" w:rsidRPr="00285B5B" w:rsidRDefault="00C74DA0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rPr>
          <w:color w:val="131413"/>
        </w:rPr>
      </w:pPr>
      <w:r>
        <w:rPr>
          <w:color w:val="131413"/>
        </w:rPr>
        <w:t>Foram operados sete joelhos do lado direito e 10 do lado esquerdo no Grupo II, e sete joelhos do lado direito e oito do lado esquerdo no Grupo II, sem diferenças estatisticamente significativas (</w:t>
      </w:r>
      <w:r>
        <w:rPr>
          <w:i/>
          <w:color w:val="131413"/>
        </w:rPr>
        <w:t xml:space="preserve">p </w:t>
      </w:r>
      <w:r>
        <w:rPr>
          <w:color w:val="131413"/>
        </w:rPr>
        <w:t xml:space="preserve">= 0,999). As deformidades em varo foram mais frequentes em ambos grupos (94,1 % no Grupo I e 80% no Grupo II), apenas um joelho no estudo teve a classificação da OA radiográfica, os outros eram Ählback IV e V, sendo que a maioria dos casos foram classificadas com Ählback IV (64,6% Grupo I; 60,0% Grupo II). Houve necessidade de hemoderivados </w:t>
      </w:r>
      <w:r w:rsidR="00285B5B">
        <w:rPr>
          <w:color w:val="131413"/>
        </w:rPr>
        <w:t>de um paciente no Grupo I e dois pacientes no Grupo II, sem diferenças estatisticamente significativas (</w:t>
      </w:r>
      <w:r w:rsidR="00285B5B">
        <w:rPr>
          <w:i/>
          <w:color w:val="131413"/>
        </w:rPr>
        <w:t>p</w:t>
      </w:r>
      <w:r w:rsidR="00285B5B">
        <w:rPr>
          <w:color w:val="131413"/>
        </w:rPr>
        <w:t xml:space="preserve"> = 0,589). Conforme observado, esses pacientes têm sobrepeso ou obesidade leve (IMC </w:t>
      </w:r>
      <w:r w:rsidR="00285B5B" w:rsidRPr="00540C5A">
        <w:t>31,6 ± 4,5</w:t>
      </w:r>
      <w:r w:rsidR="00285B5B">
        <w:t xml:space="preserve"> Grupo I; IMC </w:t>
      </w:r>
      <w:r w:rsidR="00285B5B" w:rsidRPr="00540C5A">
        <w:t>29,1 ± 3,6</w:t>
      </w:r>
      <w:r w:rsidR="00285B5B">
        <w:t xml:space="preserve"> Grupo II). O volume de sangue aferido no dreno teve uma mediana de 276ml no Grupo I e 1055ml no Grupo II com diferenças estatisticamente significativas (</w:t>
      </w:r>
      <w:r w:rsidR="00285B5B">
        <w:rPr>
          <w:i/>
        </w:rPr>
        <w:t xml:space="preserve">p &lt; </w:t>
      </w:r>
      <w:r w:rsidR="00285B5B">
        <w:t>0,001). Esses dados estão resumidos na tabela 1.</w:t>
      </w:r>
    </w:p>
    <w:p w14:paraId="3EDB677F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021E4D21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5F81A43B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0B8662F3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3D8EC3E4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28FDE3D6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2F1A52B3" w14:textId="77777777" w:rsidR="00C24D3B" w:rsidRDefault="00C24D3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color w:val="131413"/>
        </w:rPr>
      </w:pPr>
    </w:p>
    <w:p w14:paraId="656BB9D1" w14:textId="1FE35B38" w:rsidR="00285B5B" w:rsidRPr="00B01119" w:rsidRDefault="00285B5B" w:rsidP="00C24D3B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lang w:val="pt-PT"/>
        </w:rPr>
      </w:pPr>
      <w:r w:rsidRPr="00B01119">
        <w:rPr>
          <w:b/>
          <w:lang w:val="pt-PT"/>
        </w:rPr>
        <w:t xml:space="preserve">Tabela </w:t>
      </w:r>
      <w:r w:rsidR="00804057" w:rsidRPr="00B01119">
        <w:rPr>
          <w:b/>
          <w:lang w:val="pt-PT"/>
        </w:rPr>
        <w:t xml:space="preserve">1 – </w:t>
      </w:r>
      <w:r w:rsidRPr="00B01119">
        <w:rPr>
          <w:b/>
          <w:lang w:val="pt-PT"/>
        </w:rPr>
        <w:t xml:space="preserve"> </w:t>
      </w:r>
      <w:r w:rsidRPr="00B01119">
        <w:rPr>
          <w:lang w:val="pt-PT"/>
        </w:rPr>
        <w:t>Comparação dos dados clínicos em relação aos grupos tratados com e sem ácido tranexâmico submetidos à artroplastia total de Joelho</w:t>
      </w:r>
      <w:r w:rsidRPr="00B01119">
        <w:rPr>
          <w:b/>
          <w:lang w:val="pt-PT"/>
        </w:rPr>
        <w:t>.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58"/>
        <w:gridCol w:w="953"/>
        <w:gridCol w:w="992"/>
        <w:gridCol w:w="868"/>
        <w:gridCol w:w="975"/>
        <w:gridCol w:w="829"/>
        <w:gridCol w:w="12"/>
        <w:gridCol w:w="1285"/>
      </w:tblGrid>
      <w:tr w:rsidR="000F45CA" w14:paraId="53B9006E" w14:textId="77777777" w:rsidTr="000F45CA">
        <w:trPr>
          <w:trHeight w:hRule="exact" w:val="397"/>
        </w:trPr>
        <w:tc>
          <w:tcPr>
            <w:tcW w:w="3158" w:type="dxa"/>
            <w:tcBorders>
              <w:top w:val="thinThickSmallGap" w:sz="18" w:space="0" w:color="000000"/>
              <w:left w:val="nil"/>
              <w:bottom w:val="nil"/>
              <w:right w:val="nil"/>
            </w:tcBorders>
            <w:vAlign w:val="center"/>
          </w:tcPr>
          <w:p w14:paraId="15981D79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both"/>
              <w:rPr>
                <w:rFonts w:ascii="Arial" w:hAnsi="Arial" w:cs="Arial"/>
                <w:lang w:val="pt-PT"/>
              </w:rPr>
            </w:pPr>
          </w:p>
        </w:tc>
        <w:tc>
          <w:tcPr>
            <w:tcW w:w="3788" w:type="dxa"/>
            <w:gridSpan w:val="4"/>
            <w:tcBorders>
              <w:top w:val="thinThickSmallGap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7AF6029" w14:textId="77777777" w:rsidR="000F45CA" w:rsidRDefault="000F45CA" w:rsidP="004E5BCD">
            <w:pPr>
              <w:pStyle w:val="Ttulo4"/>
              <w:spacing w:before="0"/>
              <w:ind w:right="-112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lang w:val="pt-PT"/>
              </w:rPr>
              <w:t>Fez uso do ácido tranexâmico</w:t>
            </w:r>
          </w:p>
        </w:tc>
        <w:tc>
          <w:tcPr>
            <w:tcW w:w="829" w:type="dxa"/>
            <w:tcBorders>
              <w:top w:val="thinThickSmallGap" w:sz="18" w:space="0" w:color="000000"/>
              <w:left w:val="nil"/>
              <w:bottom w:val="nil"/>
              <w:right w:val="nil"/>
            </w:tcBorders>
            <w:vAlign w:val="center"/>
          </w:tcPr>
          <w:p w14:paraId="6E08B705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1297" w:type="dxa"/>
            <w:gridSpan w:val="2"/>
            <w:tcBorders>
              <w:top w:val="thinThickSmallGap" w:sz="18" w:space="0" w:color="000000"/>
              <w:left w:val="nil"/>
              <w:bottom w:val="nil"/>
              <w:right w:val="nil"/>
            </w:tcBorders>
            <w:vAlign w:val="center"/>
          </w:tcPr>
          <w:p w14:paraId="5F622883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</w:tr>
      <w:tr w:rsidR="000F45CA" w14:paraId="63E20803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7B5269CD" w14:textId="77777777" w:rsidR="000F45CA" w:rsidRP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both"/>
              <w:rPr>
                <w:rFonts w:ascii="Arial" w:hAnsi="Arial" w:cs="Arial"/>
                <w:b/>
                <w:i w:val="0"/>
                <w:lang w:val="pt-PT"/>
              </w:rPr>
            </w:pPr>
            <w:r w:rsidRPr="000F45CA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Variáveis</w:t>
            </w:r>
          </w:p>
        </w:tc>
        <w:tc>
          <w:tcPr>
            <w:tcW w:w="194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3B1E89E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Sim (n=17)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7B35B4B6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Não (n=15)</w:t>
            </w:r>
          </w:p>
        </w:tc>
        <w:tc>
          <w:tcPr>
            <w:tcW w:w="829" w:type="dxa"/>
            <w:vAlign w:val="center"/>
          </w:tcPr>
          <w:p w14:paraId="5662969D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1F38DF7A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</w:tr>
      <w:tr w:rsidR="000F45CA" w14:paraId="0AEF0A13" w14:textId="77777777" w:rsidTr="000F45CA">
        <w:trPr>
          <w:trHeight w:hRule="exact" w:val="397"/>
        </w:trPr>
        <w:tc>
          <w:tcPr>
            <w:tcW w:w="315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15A39DF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both"/>
              <w:rPr>
                <w:rFonts w:ascii="Arial" w:hAnsi="Arial" w:cs="Arial"/>
                <w:lang w:val="pt-PT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D6B1799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>f</w:t>
            </w:r>
            <w:r>
              <w:rPr>
                <w:rFonts w:ascii="Arial" w:hAnsi="Arial" w:cs="Arial"/>
                <w:b/>
                <w:vertAlign w:val="subscript"/>
                <w:lang w:val="pt-PT"/>
              </w:rPr>
              <w:t>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751E87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>%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20E1A2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>f</w:t>
            </w:r>
            <w:r>
              <w:rPr>
                <w:rFonts w:ascii="Arial" w:hAnsi="Arial" w:cs="Arial"/>
                <w:b/>
                <w:vertAlign w:val="subscript"/>
                <w:lang w:val="pt-PT"/>
              </w:rPr>
              <w:t>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07CCD5C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>%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EDF08AB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b/>
                <w:lang w:val="pt-PT"/>
              </w:rPr>
              <w:t>Total</w:t>
            </w:r>
          </w:p>
        </w:tc>
        <w:tc>
          <w:tcPr>
            <w:tcW w:w="129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D5C59D4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right"/>
            </w:pPr>
            <w:r>
              <w:rPr>
                <w:rFonts w:ascii="Arial" w:hAnsi="Arial" w:cs="Arial"/>
                <w:b/>
                <w:lang w:val="pt-PT"/>
              </w:rPr>
              <w:t>p</w:t>
            </w:r>
          </w:p>
        </w:tc>
      </w:tr>
      <w:tr w:rsidR="000F45CA" w14:paraId="5555E6AC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0F6233ED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Lado operado</w:t>
            </w:r>
          </w:p>
        </w:tc>
        <w:tc>
          <w:tcPr>
            <w:tcW w:w="953" w:type="dxa"/>
            <w:vAlign w:val="center"/>
          </w:tcPr>
          <w:p w14:paraId="456EC757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5E22FF1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8" w:type="dxa"/>
            <w:vAlign w:val="center"/>
          </w:tcPr>
          <w:p w14:paraId="11561A81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vAlign w:val="center"/>
          </w:tcPr>
          <w:p w14:paraId="2F437432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dxa"/>
            <w:vAlign w:val="center"/>
          </w:tcPr>
          <w:p w14:paraId="49CD77E2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6A7CEB25" w14:textId="77777777" w:rsidR="000F45CA" w:rsidRPr="00E85915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0,999*</w:t>
            </w:r>
          </w:p>
        </w:tc>
      </w:tr>
      <w:tr w:rsidR="000F45CA" w14:paraId="1A2FFAE9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5B7F3477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Direito</w:t>
            </w:r>
          </w:p>
        </w:tc>
        <w:tc>
          <w:tcPr>
            <w:tcW w:w="953" w:type="dxa"/>
            <w:vAlign w:val="center"/>
          </w:tcPr>
          <w:p w14:paraId="3A0CAD38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vAlign w:val="center"/>
          </w:tcPr>
          <w:p w14:paraId="135E1E14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</w:t>
            </w:r>
          </w:p>
        </w:tc>
        <w:tc>
          <w:tcPr>
            <w:tcW w:w="868" w:type="dxa"/>
            <w:vAlign w:val="center"/>
          </w:tcPr>
          <w:p w14:paraId="1CB4ABDA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975" w:type="dxa"/>
            <w:vAlign w:val="center"/>
          </w:tcPr>
          <w:p w14:paraId="5A3181B7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</w:t>
            </w:r>
          </w:p>
        </w:tc>
        <w:tc>
          <w:tcPr>
            <w:tcW w:w="829" w:type="dxa"/>
            <w:vAlign w:val="center"/>
          </w:tcPr>
          <w:p w14:paraId="384A3A2C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1297" w:type="dxa"/>
            <w:gridSpan w:val="2"/>
            <w:vAlign w:val="center"/>
          </w:tcPr>
          <w:p w14:paraId="12A68B05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0F45CA" w14:paraId="0584F19E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3DB98A0C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Esquerdo</w:t>
            </w:r>
          </w:p>
        </w:tc>
        <w:tc>
          <w:tcPr>
            <w:tcW w:w="953" w:type="dxa"/>
            <w:vAlign w:val="center"/>
          </w:tcPr>
          <w:p w14:paraId="11F1BA31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992" w:type="dxa"/>
            <w:vAlign w:val="center"/>
          </w:tcPr>
          <w:p w14:paraId="01809663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58,8</w:t>
            </w:r>
          </w:p>
        </w:tc>
        <w:tc>
          <w:tcPr>
            <w:tcW w:w="868" w:type="dxa"/>
            <w:vAlign w:val="center"/>
          </w:tcPr>
          <w:p w14:paraId="3D160A5D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975" w:type="dxa"/>
            <w:vAlign w:val="center"/>
          </w:tcPr>
          <w:p w14:paraId="119866AF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53,3</w:t>
            </w:r>
          </w:p>
        </w:tc>
        <w:tc>
          <w:tcPr>
            <w:tcW w:w="829" w:type="dxa"/>
            <w:vAlign w:val="center"/>
          </w:tcPr>
          <w:p w14:paraId="1EA7FECC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1297" w:type="dxa"/>
            <w:gridSpan w:val="2"/>
            <w:vAlign w:val="center"/>
          </w:tcPr>
          <w:p w14:paraId="2DE6ACEE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0F45CA" w14:paraId="4225B021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5835F4FE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Joelho </w:t>
            </w:r>
          </w:p>
        </w:tc>
        <w:tc>
          <w:tcPr>
            <w:tcW w:w="953" w:type="dxa"/>
            <w:vAlign w:val="center"/>
          </w:tcPr>
          <w:p w14:paraId="29048FC3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2F0BFD5D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8" w:type="dxa"/>
            <w:vAlign w:val="center"/>
          </w:tcPr>
          <w:p w14:paraId="7A03A43C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vAlign w:val="center"/>
          </w:tcPr>
          <w:p w14:paraId="78C08EA0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dxa"/>
            <w:vAlign w:val="center"/>
          </w:tcPr>
          <w:p w14:paraId="0E2C81A5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5C76519C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0,319**</w:t>
            </w:r>
          </w:p>
        </w:tc>
      </w:tr>
      <w:tr w:rsidR="000F45CA" w14:paraId="5855E0A3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3AE2AF64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Valgo</w:t>
            </w:r>
          </w:p>
        </w:tc>
        <w:tc>
          <w:tcPr>
            <w:tcW w:w="953" w:type="dxa"/>
            <w:vAlign w:val="center"/>
          </w:tcPr>
          <w:p w14:paraId="256F5B28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3C08E07A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  <w:tc>
          <w:tcPr>
            <w:tcW w:w="868" w:type="dxa"/>
            <w:vAlign w:val="center"/>
          </w:tcPr>
          <w:p w14:paraId="3B988515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75" w:type="dxa"/>
            <w:vAlign w:val="center"/>
          </w:tcPr>
          <w:p w14:paraId="65364B85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</w:t>
            </w:r>
          </w:p>
        </w:tc>
        <w:tc>
          <w:tcPr>
            <w:tcW w:w="829" w:type="dxa"/>
            <w:vAlign w:val="center"/>
          </w:tcPr>
          <w:p w14:paraId="6EFC25CC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297" w:type="dxa"/>
            <w:gridSpan w:val="2"/>
            <w:vAlign w:val="center"/>
          </w:tcPr>
          <w:p w14:paraId="5A43064F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0F45CA" w14:paraId="76598E75" w14:textId="77777777" w:rsidTr="000F45CA">
        <w:trPr>
          <w:trHeight w:hRule="exact" w:val="418"/>
        </w:trPr>
        <w:tc>
          <w:tcPr>
            <w:tcW w:w="3158" w:type="dxa"/>
            <w:vAlign w:val="center"/>
            <w:hideMark/>
          </w:tcPr>
          <w:p w14:paraId="7197A22E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Varo</w:t>
            </w:r>
          </w:p>
        </w:tc>
        <w:tc>
          <w:tcPr>
            <w:tcW w:w="953" w:type="dxa"/>
            <w:vAlign w:val="center"/>
          </w:tcPr>
          <w:p w14:paraId="6135BE2A" w14:textId="77777777" w:rsidR="000F45CA" w:rsidRPr="000F45CA" w:rsidRDefault="000F45CA" w:rsidP="004E5BCD">
            <w:pPr>
              <w:snapToGrid w:val="0"/>
              <w:jc w:val="center"/>
              <w:rPr>
                <w:color w:val="000000" w:themeColor="text1"/>
              </w:rPr>
            </w:pPr>
            <w:r w:rsidRPr="000F45CA">
              <w:rPr>
                <w:color w:val="000000" w:themeColor="text1"/>
              </w:rPr>
              <w:t>16</w:t>
            </w:r>
          </w:p>
        </w:tc>
        <w:tc>
          <w:tcPr>
            <w:tcW w:w="992" w:type="dxa"/>
            <w:vAlign w:val="center"/>
          </w:tcPr>
          <w:p w14:paraId="65CD2A0C" w14:textId="77777777" w:rsidR="000F45CA" w:rsidRP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center"/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</w:pPr>
            <w:r w:rsidRPr="000F45CA"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  <w:t>94,1</w:t>
            </w:r>
          </w:p>
        </w:tc>
        <w:tc>
          <w:tcPr>
            <w:tcW w:w="868" w:type="dxa"/>
            <w:vAlign w:val="center"/>
          </w:tcPr>
          <w:p w14:paraId="0AD2F191" w14:textId="77777777" w:rsidR="000F45CA" w:rsidRP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center"/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</w:pPr>
            <w:r w:rsidRPr="000F45CA"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  <w:t>12</w:t>
            </w:r>
          </w:p>
        </w:tc>
        <w:tc>
          <w:tcPr>
            <w:tcW w:w="975" w:type="dxa"/>
            <w:vAlign w:val="center"/>
          </w:tcPr>
          <w:p w14:paraId="598A0E08" w14:textId="77777777" w:rsidR="000F45CA" w:rsidRPr="000F45CA" w:rsidRDefault="000F45CA" w:rsidP="004E5BCD">
            <w:pPr>
              <w:pStyle w:val="Ttulo4"/>
              <w:tabs>
                <w:tab w:val="left" w:pos="708"/>
              </w:tabs>
              <w:snapToGrid w:val="0"/>
              <w:spacing w:before="0"/>
              <w:jc w:val="center"/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</w:pPr>
            <w:r w:rsidRPr="000F45CA">
              <w:rPr>
                <w:rFonts w:ascii="Times New Roman" w:hAnsi="Times New Roman" w:cs="Times New Roman"/>
                <w:i w:val="0"/>
                <w:color w:val="000000" w:themeColor="text1"/>
                <w:lang w:val="pt-PT"/>
              </w:rPr>
              <w:t>80,0</w:t>
            </w:r>
          </w:p>
        </w:tc>
        <w:tc>
          <w:tcPr>
            <w:tcW w:w="829" w:type="dxa"/>
            <w:vAlign w:val="center"/>
          </w:tcPr>
          <w:p w14:paraId="20493840" w14:textId="77777777" w:rsidR="000F45CA" w:rsidRPr="000F45CA" w:rsidRDefault="000F45CA" w:rsidP="004E5BCD">
            <w:pPr>
              <w:pStyle w:val="Ttulo4"/>
              <w:spacing w:before="0"/>
              <w:jc w:val="right"/>
              <w:rPr>
                <w:rFonts w:ascii="Times New Roman" w:hAnsi="Times New Roman" w:cs="Times New Roman"/>
                <w:i w:val="0"/>
                <w:color w:val="000000" w:themeColor="text1"/>
              </w:rPr>
            </w:pPr>
            <w:r w:rsidRPr="000F45CA">
              <w:rPr>
                <w:rFonts w:ascii="Times New Roman" w:hAnsi="Times New Roman" w:cs="Times New Roman"/>
                <w:i w:val="0"/>
                <w:color w:val="000000" w:themeColor="text1"/>
              </w:rPr>
              <w:t>28</w:t>
            </w:r>
          </w:p>
        </w:tc>
        <w:tc>
          <w:tcPr>
            <w:tcW w:w="1297" w:type="dxa"/>
            <w:gridSpan w:val="2"/>
            <w:vAlign w:val="center"/>
          </w:tcPr>
          <w:p w14:paraId="33FFC5F1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right"/>
              <w:rPr>
                <w:rFonts w:ascii="Arial" w:hAnsi="Arial" w:cs="Arial"/>
                <w:b/>
              </w:rPr>
            </w:pPr>
          </w:p>
        </w:tc>
      </w:tr>
      <w:tr w:rsidR="000F45CA" w14:paraId="0879E39E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64BB0B86" w14:textId="51A1C011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Classificação de Ahlback</w:t>
            </w:r>
          </w:p>
        </w:tc>
        <w:tc>
          <w:tcPr>
            <w:tcW w:w="953" w:type="dxa"/>
            <w:vAlign w:val="center"/>
          </w:tcPr>
          <w:p w14:paraId="76B5F89B" w14:textId="77777777" w:rsidR="000F45CA" w:rsidRDefault="000F45CA" w:rsidP="004E5BCD">
            <w:pPr>
              <w:jc w:val="center"/>
              <w:rPr>
                <w:rFonts w:ascii="Arial" w:hAnsi="Arial" w:cs="Arial"/>
                <w:lang w:val="pt-PT"/>
              </w:rPr>
            </w:pPr>
          </w:p>
        </w:tc>
        <w:tc>
          <w:tcPr>
            <w:tcW w:w="992" w:type="dxa"/>
            <w:vAlign w:val="center"/>
          </w:tcPr>
          <w:p w14:paraId="3E0F45D9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868" w:type="dxa"/>
            <w:vAlign w:val="center"/>
          </w:tcPr>
          <w:p w14:paraId="6AF77344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975" w:type="dxa"/>
            <w:vAlign w:val="center"/>
          </w:tcPr>
          <w:p w14:paraId="320DE4F3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829" w:type="dxa"/>
            <w:vAlign w:val="center"/>
          </w:tcPr>
          <w:p w14:paraId="5A1511D2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7559936E" w14:textId="77777777" w:rsidR="000F45CA" w:rsidRP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i w:val="0"/>
                <w:lang w:val="pt-PT"/>
              </w:rPr>
            </w:pPr>
            <w:r w:rsidRPr="000F45CA">
              <w:rPr>
                <w:rFonts w:ascii="Arial" w:hAnsi="Arial" w:cs="Arial"/>
                <w:i w:val="0"/>
                <w:color w:val="000000" w:themeColor="text1"/>
                <w:lang w:val="pt-PT"/>
              </w:rPr>
              <w:t>****</w:t>
            </w:r>
          </w:p>
        </w:tc>
      </w:tr>
      <w:tr w:rsidR="000F45CA" w14:paraId="0DCDD8F6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471DD33B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III</w:t>
            </w:r>
          </w:p>
        </w:tc>
        <w:tc>
          <w:tcPr>
            <w:tcW w:w="953" w:type="dxa"/>
            <w:vAlign w:val="center"/>
          </w:tcPr>
          <w:p w14:paraId="5E3D4610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992" w:type="dxa"/>
            <w:vAlign w:val="center"/>
          </w:tcPr>
          <w:p w14:paraId="6FB5C686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868" w:type="dxa"/>
            <w:vAlign w:val="center"/>
          </w:tcPr>
          <w:p w14:paraId="2B8E0668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75" w:type="dxa"/>
            <w:vAlign w:val="center"/>
          </w:tcPr>
          <w:p w14:paraId="029883D9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  <w:tc>
          <w:tcPr>
            <w:tcW w:w="829" w:type="dxa"/>
            <w:vAlign w:val="center"/>
          </w:tcPr>
          <w:p w14:paraId="3006DAEC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97" w:type="dxa"/>
            <w:gridSpan w:val="2"/>
            <w:vAlign w:val="center"/>
          </w:tcPr>
          <w:p w14:paraId="12096755" w14:textId="77777777" w:rsidR="000F45CA" w:rsidRDefault="000F45CA" w:rsidP="000F45CA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</w:tr>
      <w:tr w:rsidR="000F45CA" w14:paraId="099FA700" w14:textId="77777777" w:rsidTr="000F45CA">
        <w:trPr>
          <w:trHeight w:hRule="exact" w:val="397"/>
        </w:trPr>
        <w:tc>
          <w:tcPr>
            <w:tcW w:w="3158" w:type="dxa"/>
            <w:vAlign w:val="center"/>
            <w:hideMark/>
          </w:tcPr>
          <w:p w14:paraId="2D0907DF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IV</w:t>
            </w:r>
          </w:p>
        </w:tc>
        <w:tc>
          <w:tcPr>
            <w:tcW w:w="953" w:type="dxa"/>
            <w:vAlign w:val="center"/>
          </w:tcPr>
          <w:p w14:paraId="4E7FB9D2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992" w:type="dxa"/>
            <w:vAlign w:val="center"/>
          </w:tcPr>
          <w:p w14:paraId="150895E4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</w:t>
            </w:r>
          </w:p>
        </w:tc>
        <w:tc>
          <w:tcPr>
            <w:tcW w:w="868" w:type="dxa"/>
            <w:vAlign w:val="center"/>
          </w:tcPr>
          <w:p w14:paraId="056B1530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975" w:type="dxa"/>
            <w:vAlign w:val="center"/>
          </w:tcPr>
          <w:p w14:paraId="78187F3E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60,0</w:t>
            </w:r>
          </w:p>
        </w:tc>
        <w:tc>
          <w:tcPr>
            <w:tcW w:w="829" w:type="dxa"/>
            <w:vAlign w:val="center"/>
          </w:tcPr>
          <w:p w14:paraId="5ED65F30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1297" w:type="dxa"/>
            <w:gridSpan w:val="2"/>
            <w:vAlign w:val="center"/>
          </w:tcPr>
          <w:p w14:paraId="610EA368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</w:tr>
      <w:tr w:rsidR="000F45CA" w14:paraId="5820337C" w14:textId="77777777" w:rsidTr="000F45CA">
        <w:trPr>
          <w:trHeight w:hRule="exact" w:val="397"/>
        </w:trPr>
        <w:tc>
          <w:tcPr>
            <w:tcW w:w="3158" w:type="dxa"/>
            <w:vAlign w:val="center"/>
          </w:tcPr>
          <w:p w14:paraId="4CD652C9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</w:t>
            </w:r>
          </w:p>
        </w:tc>
        <w:tc>
          <w:tcPr>
            <w:tcW w:w="953" w:type="dxa"/>
            <w:vAlign w:val="center"/>
          </w:tcPr>
          <w:p w14:paraId="5532D42B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vAlign w:val="center"/>
          </w:tcPr>
          <w:p w14:paraId="1A0245B9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35,3</w:t>
            </w:r>
          </w:p>
        </w:tc>
        <w:tc>
          <w:tcPr>
            <w:tcW w:w="868" w:type="dxa"/>
            <w:vAlign w:val="center"/>
          </w:tcPr>
          <w:p w14:paraId="64398459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75" w:type="dxa"/>
            <w:vAlign w:val="center"/>
          </w:tcPr>
          <w:p w14:paraId="0D9748BD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</w:t>
            </w:r>
          </w:p>
        </w:tc>
        <w:tc>
          <w:tcPr>
            <w:tcW w:w="829" w:type="dxa"/>
            <w:vAlign w:val="center"/>
          </w:tcPr>
          <w:p w14:paraId="7FCE3E8B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297" w:type="dxa"/>
            <w:gridSpan w:val="2"/>
            <w:vAlign w:val="center"/>
          </w:tcPr>
          <w:p w14:paraId="26424A11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</w:tr>
      <w:tr w:rsidR="000F45CA" w14:paraId="09117A57" w14:textId="77777777" w:rsidTr="000F45CA">
        <w:trPr>
          <w:trHeight w:hRule="exact" w:val="549"/>
        </w:trPr>
        <w:tc>
          <w:tcPr>
            <w:tcW w:w="3158" w:type="dxa"/>
            <w:vAlign w:val="center"/>
          </w:tcPr>
          <w:p w14:paraId="6663F68F" w14:textId="77777777" w:rsidR="000F45CA" w:rsidRPr="00246131" w:rsidRDefault="000F45CA" w:rsidP="004E5BCD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Necessidade derivados de sangue</w:t>
            </w:r>
          </w:p>
        </w:tc>
        <w:tc>
          <w:tcPr>
            <w:tcW w:w="953" w:type="dxa"/>
            <w:vAlign w:val="center"/>
          </w:tcPr>
          <w:p w14:paraId="23F6B5FA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4AAFEC1F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68" w:type="dxa"/>
            <w:vAlign w:val="center"/>
          </w:tcPr>
          <w:p w14:paraId="5A0232DB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vAlign w:val="center"/>
          </w:tcPr>
          <w:p w14:paraId="2165F458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dxa"/>
            <w:vAlign w:val="center"/>
          </w:tcPr>
          <w:p w14:paraId="5F5BA650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5A083CCD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0,589**</w:t>
            </w:r>
          </w:p>
        </w:tc>
      </w:tr>
      <w:tr w:rsidR="000F45CA" w14:paraId="23789009" w14:textId="77777777" w:rsidTr="000F45CA">
        <w:trPr>
          <w:trHeight w:hRule="exact" w:val="397"/>
        </w:trPr>
        <w:tc>
          <w:tcPr>
            <w:tcW w:w="3158" w:type="dxa"/>
            <w:vAlign w:val="center"/>
          </w:tcPr>
          <w:p w14:paraId="7E8F045D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Sim</w:t>
            </w:r>
          </w:p>
        </w:tc>
        <w:tc>
          <w:tcPr>
            <w:tcW w:w="953" w:type="dxa"/>
            <w:vAlign w:val="center"/>
          </w:tcPr>
          <w:p w14:paraId="4FA75CCB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vAlign w:val="center"/>
          </w:tcPr>
          <w:p w14:paraId="629FBF12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  <w:tc>
          <w:tcPr>
            <w:tcW w:w="868" w:type="dxa"/>
            <w:vAlign w:val="center"/>
          </w:tcPr>
          <w:p w14:paraId="257201E3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75" w:type="dxa"/>
            <w:vAlign w:val="center"/>
          </w:tcPr>
          <w:p w14:paraId="21BF2DF8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  <w:tc>
          <w:tcPr>
            <w:tcW w:w="829" w:type="dxa"/>
            <w:vAlign w:val="center"/>
          </w:tcPr>
          <w:p w14:paraId="3E534807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1BFF1295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</w:tr>
      <w:tr w:rsidR="000F45CA" w14:paraId="5BFD4526" w14:textId="77777777" w:rsidTr="000F45CA">
        <w:trPr>
          <w:trHeight w:hRule="exact" w:val="397"/>
        </w:trPr>
        <w:tc>
          <w:tcPr>
            <w:tcW w:w="3158" w:type="dxa"/>
            <w:vAlign w:val="center"/>
          </w:tcPr>
          <w:p w14:paraId="633A5BB2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Não</w:t>
            </w:r>
          </w:p>
        </w:tc>
        <w:tc>
          <w:tcPr>
            <w:tcW w:w="953" w:type="dxa"/>
            <w:vAlign w:val="center"/>
          </w:tcPr>
          <w:p w14:paraId="50DC9EDE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992" w:type="dxa"/>
            <w:vAlign w:val="center"/>
          </w:tcPr>
          <w:p w14:paraId="3AC7975F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94,1</w:t>
            </w:r>
          </w:p>
        </w:tc>
        <w:tc>
          <w:tcPr>
            <w:tcW w:w="868" w:type="dxa"/>
            <w:vAlign w:val="center"/>
          </w:tcPr>
          <w:p w14:paraId="1606E07F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975" w:type="dxa"/>
            <w:vAlign w:val="center"/>
          </w:tcPr>
          <w:p w14:paraId="20DF1878" w14:textId="77777777" w:rsidR="000F45CA" w:rsidRDefault="000F45CA" w:rsidP="004E5BCD">
            <w:pPr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86,7</w:t>
            </w:r>
          </w:p>
        </w:tc>
        <w:tc>
          <w:tcPr>
            <w:tcW w:w="829" w:type="dxa"/>
            <w:vAlign w:val="center"/>
          </w:tcPr>
          <w:p w14:paraId="29BA6D24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6FF9C4BC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</w:tr>
      <w:tr w:rsidR="000F45CA" w14:paraId="3CB0022F" w14:textId="77777777" w:rsidTr="000F45CA">
        <w:trPr>
          <w:trHeight w:hRule="exact" w:val="397"/>
        </w:trPr>
        <w:tc>
          <w:tcPr>
            <w:tcW w:w="3158" w:type="dxa"/>
            <w:vAlign w:val="center"/>
          </w:tcPr>
          <w:p w14:paraId="1E52AF87" w14:textId="77777777" w:rsidR="000F45CA" w:rsidRPr="002C6A93" w:rsidRDefault="000F45CA" w:rsidP="004E5BCD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IMC</w:t>
            </w:r>
          </w:p>
        </w:tc>
        <w:tc>
          <w:tcPr>
            <w:tcW w:w="1945" w:type="dxa"/>
            <w:gridSpan w:val="2"/>
            <w:vAlign w:val="center"/>
          </w:tcPr>
          <w:p w14:paraId="65249705" w14:textId="77777777" w:rsidR="000F45CA" w:rsidRDefault="000F45CA" w:rsidP="004E5BC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7C297DF" w14:textId="77777777" w:rsidR="000F45CA" w:rsidRDefault="000F45CA" w:rsidP="004E5BCD">
            <w:pPr>
              <w:ind w:left="-106"/>
              <w:rPr>
                <w:rFonts w:ascii="Arial" w:hAnsi="Arial" w:cs="Arial"/>
              </w:rPr>
            </w:pPr>
          </w:p>
        </w:tc>
        <w:tc>
          <w:tcPr>
            <w:tcW w:w="829" w:type="dxa"/>
            <w:vAlign w:val="center"/>
          </w:tcPr>
          <w:p w14:paraId="0F4925EC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04409565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0,094***</w:t>
            </w:r>
          </w:p>
        </w:tc>
      </w:tr>
      <w:tr w:rsidR="000F45CA" w14:paraId="5A5CDC0A" w14:textId="77777777" w:rsidTr="000F45CA">
        <w:trPr>
          <w:trHeight w:hRule="exact" w:val="397"/>
        </w:trPr>
        <w:tc>
          <w:tcPr>
            <w:tcW w:w="3158" w:type="dxa"/>
            <w:vAlign w:val="center"/>
          </w:tcPr>
          <w:p w14:paraId="47508B48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Média ± Dp</w:t>
            </w:r>
          </w:p>
        </w:tc>
        <w:tc>
          <w:tcPr>
            <w:tcW w:w="1945" w:type="dxa"/>
            <w:gridSpan w:val="2"/>
            <w:vAlign w:val="center"/>
          </w:tcPr>
          <w:p w14:paraId="77FC2A8F" w14:textId="77777777" w:rsidR="000F45CA" w:rsidRDefault="000F45CA" w:rsidP="004E5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 ± 4,5</w:t>
            </w:r>
          </w:p>
        </w:tc>
        <w:tc>
          <w:tcPr>
            <w:tcW w:w="1843" w:type="dxa"/>
            <w:gridSpan w:val="2"/>
            <w:vAlign w:val="center"/>
          </w:tcPr>
          <w:p w14:paraId="1FF9B540" w14:textId="77777777" w:rsidR="000F45CA" w:rsidRDefault="000F45CA" w:rsidP="004E5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29,1 ± 3,6</w:t>
            </w:r>
          </w:p>
        </w:tc>
        <w:tc>
          <w:tcPr>
            <w:tcW w:w="829" w:type="dxa"/>
            <w:vAlign w:val="center"/>
          </w:tcPr>
          <w:p w14:paraId="49AB111F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42BCA6EE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0F45CA" w14:paraId="62D09070" w14:textId="77777777" w:rsidTr="000F45CA">
        <w:trPr>
          <w:trHeight w:hRule="exact" w:val="591"/>
        </w:trPr>
        <w:tc>
          <w:tcPr>
            <w:tcW w:w="3158" w:type="dxa"/>
            <w:vAlign w:val="center"/>
            <w:hideMark/>
          </w:tcPr>
          <w:p w14:paraId="377254D5" w14:textId="77777777" w:rsidR="000F45CA" w:rsidRDefault="000F45CA" w:rsidP="004E5BCD">
            <w:pPr>
              <w:tabs>
                <w:tab w:val="left" w:pos="249"/>
              </w:tabs>
              <w:ind w:right="-11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Tempo de Isquemia em minutos</w:t>
            </w:r>
          </w:p>
        </w:tc>
        <w:tc>
          <w:tcPr>
            <w:tcW w:w="953" w:type="dxa"/>
            <w:vAlign w:val="center"/>
          </w:tcPr>
          <w:p w14:paraId="382D4A1E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3C813977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68" w:type="dxa"/>
            <w:vAlign w:val="center"/>
          </w:tcPr>
          <w:p w14:paraId="44865888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75" w:type="dxa"/>
            <w:vAlign w:val="center"/>
          </w:tcPr>
          <w:p w14:paraId="70FF2C20" w14:textId="77777777" w:rsidR="000F45CA" w:rsidRDefault="000F45CA" w:rsidP="004E5BC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29" w:type="dxa"/>
            <w:vAlign w:val="center"/>
          </w:tcPr>
          <w:p w14:paraId="084CB5D9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97" w:type="dxa"/>
            <w:gridSpan w:val="2"/>
            <w:vAlign w:val="center"/>
          </w:tcPr>
          <w:p w14:paraId="01E900CE" w14:textId="77777777" w:rsidR="000F45CA" w:rsidRPr="00E85915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0,280***</w:t>
            </w:r>
          </w:p>
        </w:tc>
      </w:tr>
      <w:tr w:rsidR="000F45CA" w14:paraId="7DCA24AD" w14:textId="77777777" w:rsidTr="000F45CA">
        <w:trPr>
          <w:trHeight w:hRule="exact" w:val="397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41FBF8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Média ± Dp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C3D6C" w14:textId="77777777" w:rsidR="000F45CA" w:rsidRDefault="000F45CA" w:rsidP="004E5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99,8 ± 20,4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D3A77" w14:textId="77777777" w:rsidR="000F45CA" w:rsidRDefault="000F45CA" w:rsidP="004E5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 ± 18,6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8C617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4388D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0F45CA" w14:paraId="2AD65C92" w14:textId="77777777" w:rsidTr="000F45CA">
        <w:trPr>
          <w:trHeight w:hRule="exact" w:val="397"/>
        </w:trPr>
        <w:tc>
          <w:tcPr>
            <w:tcW w:w="31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E0E89" w14:textId="77777777" w:rsidR="000F45CA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Sangue total no dreno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08A31" w14:textId="77777777" w:rsidR="000F45CA" w:rsidRDefault="000F45CA" w:rsidP="004E5BCD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24D46" w14:textId="77777777" w:rsidR="000F45CA" w:rsidRDefault="000F45CA" w:rsidP="004E5BCD">
            <w:pPr>
              <w:rPr>
                <w:rFonts w:ascii="Arial" w:hAnsi="Arial" w:cs="Arial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B373F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9323EE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  <w:r w:rsidRPr="00B44712">
              <w:rPr>
                <w:rFonts w:ascii="Arial" w:hAnsi="Arial" w:cs="Arial"/>
                <w:b/>
                <w:i/>
              </w:rPr>
              <w:t>&lt;0,001</w:t>
            </w:r>
            <w:r w:rsidRPr="00AE0BB2">
              <w:rPr>
                <w:rFonts w:ascii="Arial" w:hAnsi="Arial" w:cs="Arial"/>
                <w:b/>
                <w:i/>
                <w:vertAlign w:val="superscript"/>
              </w:rPr>
              <w:t>ᶲ</w:t>
            </w:r>
          </w:p>
        </w:tc>
      </w:tr>
      <w:tr w:rsidR="000F45CA" w14:paraId="1137F78D" w14:textId="77777777" w:rsidTr="000F45CA">
        <w:trPr>
          <w:trHeight w:hRule="exact" w:val="397"/>
        </w:trPr>
        <w:tc>
          <w:tcPr>
            <w:tcW w:w="3158" w:type="dxa"/>
            <w:tcBorders>
              <w:top w:val="nil"/>
              <w:left w:val="nil"/>
              <w:bottom w:val="thickThinSmallGap" w:sz="18" w:space="0" w:color="000000"/>
              <w:right w:val="nil"/>
            </w:tcBorders>
            <w:vAlign w:val="center"/>
          </w:tcPr>
          <w:p w14:paraId="7CAA1138" w14:textId="77777777" w:rsidR="000F45CA" w:rsidRPr="00246131" w:rsidRDefault="000F45CA" w:rsidP="004E5BCD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Q</w:t>
            </w:r>
            <w:r w:rsidRPr="00246131">
              <w:rPr>
                <w:rFonts w:ascii="Arial" w:hAnsi="Arial" w:cs="Arial"/>
                <w:vertAlign w:val="subscript"/>
              </w:rPr>
              <w:t>1</w:t>
            </w:r>
            <w:r>
              <w:rPr>
                <w:rFonts w:ascii="Arial" w:hAnsi="Arial" w:cs="Arial"/>
                <w:vertAlign w:val="subscript"/>
              </w:rPr>
              <w:t xml:space="preserve"> </w:t>
            </w:r>
            <w:r>
              <w:rPr>
                <w:rFonts w:ascii="Arial" w:hAnsi="Arial" w:cs="Arial"/>
              </w:rPr>
              <w:t>- Mediana - Q</w:t>
            </w:r>
            <w:r>
              <w:rPr>
                <w:rFonts w:ascii="Arial" w:hAnsi="Arial" w:cs="Arial"/>
                <w:vertAlign w:val="subscript"/>
              </w:rPr>
              <w:t>3</w:t>
            </w:r>
          </w:p>
        </w:tc>
        <w:tc>
          <w:tcPr>
            <w:tcW w:w="1945" w:type="dxa"/>
            <w:gridSpan w:val="2"/>
            <w:tcBorders>
              <w:top w:val="nil"/>
              <w:left w:val="nil"/>
              <w:bottom w:val="thickThinSmallGap" w:sz="18" w:space="0" w:color="000000"/>
              <w:right w:val="nil"/>
            </w:tcBorders>
            <w:vAlign w:val="center"/>
          </w:tcPr>
          <w:p w14:paraId="23639CCA" w14:textId="77777777" w:rsidR="000F45CA" w:rsidRDefault="000F45CA" w:rsidP="004E5B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225 -276- 466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thickThinSmallGap" w:sz="18" w:space="0" w:color="000000"/>
              <w:right w:val="nil"/>
            </w:tcBorders>
            <w:vAlign w:val="center"/>
          </w:tcPr>
          <w:p w14:paraId="3F82A635" w14:textId="77777777" w:rsidR="000F45CA" w:rsidRDefault="000F45CA" w:rsidP="004E5BCD">
            <w:pPr>
              <w:ind w:left="-10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495-1055-1215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thickThinSmallGap" w:sz="18" w:space="0" w:color="000000"/>
              <w:right w:val="nil"/>
            </w:tcBorders>
            <w:vAlign w:val="center"/>
          </w:tcPr>
          <w:p w14:paraId="122F1B45" w14:textId="77777777" w:rsidR="000F45CA" w:rsidRDefault="000F45CA" w:rsidP="004E5BCD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thickThinSmallGap" w:sz="18" w:space="0" w:color="000000"/>
              <w:right w:val="nil"/>
            </w:tcBorders>
            <w:vAlign w:val="center"/>
          </w:tcPr>
          <w:p w14:paraId="3435DBA4" w14:textId="77777777" w:rsidR="000F45CA" w:rsidRDefault="000F45CA" w:rsidP="004E5BCD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</w:tbl>
    <w:p w14:paraId="172285FF" w14:textId="63AD0720" w:rsidR="00285B5B" w:rsidRPr="00540C5A" w:rsidRDefault="00285B5B" w:rsidP="00C24D3B">
      <w:pPr>
        <w:spacing w:line="360" w:lineRule="auto"/>
        <w:jc w:val="both"/>
        <w:rPr>
          <w:lang w:val="pt-PT"/>
        </w:rPr>
      </w:pPr>
      <w:r w:rsidRPr="00540C5A">
        <w:rPr>
          <w:lang w:val="pt-PT"/>
        </w:rPr>
        <w:t>f</w:t>
      </w:r>
      <w:r w:rsidRPr="00540C5A">
        <w:rPr>
          <w:vertAlign w:val="subscript"/>
          <w:lang w:val="pt-PT"/>
        </w:rPr>
        <w:t>i</w:t>
      </w:r>
      <w:r w:rsidRPr="00540C5A">
        <w:rPr>
          <w:lang w:val="pt-PT"/>
        </w:rPr>
        <w:t xml:space="preserve"> = frequência absoluta simples; Dp = desvio-padrão; Q</w:t>
      </w:r>
      <w:r w:rsidRPr="00540C5A">
        <w:rPr>
          <w:vertAlign w:val="subscript"/>
          <w:lang w:val="pt-PT"/>
        </w:rPr>
        <w:t>i</w:t>
      </w:r>
      <w:r w:rsidRPr="00540C5A">
        <w:rPr>
          <w:lang w:val="pt-PT"/>
        </w:rPr>
        <w:t xml:space="preserve"> = quartis; * Teste do qui-</w:t>
      </w:r>
      <w:r w:rsidR="00804057">
        <w:rPr>
          <w:lang w:val="pt-PT"/>
        </w:rPr>
        <w:t xml:space="preserve"> </w:t>
      </w:r>
      <w:r w:rsidRPr="00540C5A">
        <w:rPr>
          <w:lang w:val="pt-PT"/>
        </w:rPr>
        <w:t xml:space="preserve">quadrado com correção de </w:t>
      </w:r>
      <w:r w:rsidRPr="00540C5A">
        <w:rPr>
          <w:i/>
          <w:lang w:val="pt-PT"/>
        </w:rPr>
        <w:t>Yates</w:t>
      </w:r>
      <w:r w:rsidRPr="00540C5A">
        <w:rPr>
          <w:lang w:val="pt-PT"/>
        </w:rPr>
        <w:t xml:space="preserve">; ** Teste exato de </w:t>
      </w:r>
      <w:r w:rsidRPr="00540C5A">
        <w:rPr>
          <w:i/>
          <w:lang w:val="pt-PT"/>
        </w:rPr>
        <w:t xml:space="preserve">Fisher; </w:t>
      </w:r>
      <w:r w:rsidRPr="00540C5A">
        <w:rPr>
          <w:lang w:val="pt-PT"/>
        </w:rPr>
        <w:t xml:space="preserve">*** Teste </w:t>
      </w:r>
      <w:r w:rsidRPr="00540C5A">
        <w:rPr>
          <w:i/>
          <w:lang w:val="pt-PT"/>
        </w:rPr>
        <w:t xml:space="preserve">t-student. </w:t>
      </w:r>
      <w:r w:rsidRPr="00540C5A">
        <w:rPr>
          <w:vertAlign w:val="superscript"/>
        </w:rPr>
        <w:t>ᶲ</w:t>
      </w:r>
      <w:r w:rsidRPr="00540C5A">
        <w:rPr>
          <w:lang w:val="pt-PT"/>
        </w:rPr>
        <w:t xml:space="preserve"> Teste de </w:t>
      </w:r>
      <w:r w:rsidRPr="00540C5A">
        <w:rPr>
          <w:i/>
          <w:lang w:val="pt-PT"/>
        </w:rPr>
        <w:t xml:space="preserve">Mann-Whitney; **** </w:t>
      </w:r>
      <w:r w:rsidRPr="00540C5A">
        <w:rPr>
          <w:lang w:val="pt-PT"/>
        </w:rPr>
        <w:t xml:space="preserve">Não foi possível aplicar a estatística de teste devido as restrições </w:t>
      </w:r>
      <w:r w:rsidRPr="00540C5A">
        <w:rPr>
          <w:i/>
          <w:lang w:val="pt-PT"/>
        </w:rPr>
        <w:t>Cochran</w:t>
      </w:r>
      <w:r w:rsidRPr="00540C5A">
        <w:rPr>
          <w:lang w:val="pt-PT"/>
        </w:rPr>
        <w:t>.</w:t>
      </w:r>
    </w:p>
    <w:p w14:paraId="70D62852" w14:textId="77777777" w:rsidR="00285B5B" w:rsidRDefault="00285B5B" w:rsidP="00C24D3B">
      <w:pPr>
        <w:spacing w:line="360" w:lineRule="auto"/>
        <w:jc w:val="both"/>
        <w:rPr>
          <w:lang w:val="pt-PT"/>
        </w:rPr>
      </w:pPr>
      <w:r w:rsidRPr="00540C5A">
        <w:rPr>
          <w:lang w:val="pt-PT"/>
        </w:rPr>
        <w:t>Valor de p em negrito itálico indica diferença estatística ao nível de 5% de significância</w:t>
      </w:r>
    </w:p>
    <w:p w14:paraId="3C5977E3" w14:textId="77777777" w:rsidR="00285B5B" w:rsidRDefault="00285B5B" w:rsidP="009323DB">
      <w:pPr>
        <w:spacing w:line="360" w:lineRule="auto"/>
        <w:ind w:firstLine="851"/>
        <w:jc w:val="both"/>
        <w:rPr>
          <w:lang w:val="pt-PT"/>
        </w:rPr>
      </w:pPr>
    </w:p>
    <w:p w14:paraId="34B2CEC9" w14:textId="6613555A" w:rsidR="009F32CB" w:rsidRPr="00804057" w:rsidRDefault="00804057" w:rsidP="009323DB">
      <w:pPr>
        <w:pStyle w:val="Ttulo4"/>
        <w:keepNext w:val="0"/>
        <w:keepLines w:val="0"/>
        <w:numPr>
          <w:ilvl w:val="3"/>
          <w:numId w:val="0"/>
        </w:numPr>
        <w:tabs>
          <w:tab w:val="num" w:pos="864"/>
        </w:tabs>
        <w:suppressAutoHyphens/>
        <w:spacing w:before="0" w:after="240" w:line="360" w:lineRule="auto"/>
        <w:ind w:firstLine="851"/>
        <w:jc w:val="both"/>
        <w:rPr>
          <w:rFonts w:ascii="Times New Roman" w:hAnsi="Times New Roman" w:cs="Times New Roman"/>
          <w:i w:val="0"/>
          <w:color w:val="000000" w:themeColor="text1"/>
          <w:lang w:val="pt-PT"/>
        </w:rPr>
      </w:pPr>
      <w:r>
        <w:rPr>
          <w:rFonts w:ascii="Times New Roman" w:hAnsi="Times New Roman" w:cs="Times New Roman"/>
          <w:i w:val="0"/>
          <w:lang w:val="pt-PT"/>
        </w:rPr>
        <w:tab/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A maior parte dos pacientes do Grupo I apresentavam uma idade compreendida entre 65 a 75 anos, e 60 % dos pacientes do Grupo II tinham idade entre 60 e 70 anos (</w:t>
      </w:r>
      <w:r w:rsidRPr="00804057">
        <w:rPr>
          <w:rFonts w:ascii="Times New Roman" w:hAnsi="Times New Roman" w:cs="Times New Roman"/>
          <w:i w:val="0"/>
          <w:color w:val="000000" w:themeColor="text1"/>
          <w:lang w:val="pt-PT"/>
        </w:rPr>
        <w:t>Gráfico 2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)</w:t>
      </w:r>
    </w:p>
    <w:p w14:paraId="4AB3C14C" w14:textId="130A6330" w:rsidR="009F32CB" w:rsidRPr="00540C5A" w:rsidRDefault="009F32CB" w:rsidP="009323DB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ind w:firstLine="851"/>
        <w:jc w:val="both"/>
        <w:rPr>
          <w:rFonts w:ascii="Times New Roman" w:hAnsi="Times New Roman" w:cs="Times New Roman"/>
          <w:lang w:val="pt-PT"/>
        </w:rPr>
      </w:pPr>
    </w:p>
    <w:p w14:paraId="3FAB7132" w14:textId="536E3E14" w:rsidR="009F32CB" w:rsidRPr="00804057" w:rsidRDefault="00804057" w:rsidP="00C24D3B">
      <w:pPr>
        <w:pStyle w:val="Ttulo4"/>
        <w:keepNext w:val="0"/>
        <w:keepLines w:val="0"/>
        <w:numPr>
          <w:ilvl w:val="3"/>
          <w:numId w:val="0"/>
        </w:numPr>
        <w:tabs>
          <w:tab w:val="num" w:pos="0"/>
          <w:tab w:val="left" w:pos="426"/>
        </w:tabs>
        <w:suppressAutoHyphens/>
        <w:spacing w:before="0" w:line="360" w:lineRule="auto"/>
        <w:jc w:val="both"/>
        <w:rPr>
          <w:rFonts w:ascii="Times New Roman" w:hAnsi="Times New Roman" w:cs="Times New Roman"/>
          <w:i w:val="0"/>
          <w:color w:val="000000" w:themeColor="text1"/>
          <w:lang w:val="pt-PT"/>
        </w:rPr>
      </w:pPr>
      <w:r w:rsidRPr="00804057">
        <w:rPr>
          <w:rFonts w:ascii="Times New Roman" w:hAnsi="Times New Roman" w:cs="Times New Roman"/>
          <w:b/>
          <w:i w:val="0"/>
          <w:color w:val="000000" w:themeColor="text1"/>
          <w:lang w:val="pt-PT"/>
        </w:rPr>
        <w:t>Gráfico 2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 xml:space="preserve"> – </w:t>
      </w:r>
      <w:r w:rsidRPr="00804057">
        <w:rPr>
          <w:rFonts w:ascii="Times New Roman" w:hAnsi="Times New Roman" w:cs="Times New Roman"/>
          <w:i w:val="0"/>
          <w:color w:val="000000" w:themeColor="text1"/>
          <w:lang w:val="pt-PT"/>
        </w:rPr>
        <w:t>Comparação da idade em re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lação aos grupos (Grupo I e G</w:t>
      </w:r>
      <w:r w:rsidRPr="00804057">
        <w:rPr>
          <w:rFonts w:ascii="Times New Roman" w:hAnsi="Times New Roman" w:cs="Times New Roman"/>
          <w:i w:val="0"/>
          <w:color w:val="000000" w:themeColor="text1"/>
          <w:lang w:val="pt-PT"/>
        </w:rPr>
        <w:t>rupo II) subm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etidos à artroplastia total de j</w:t>
      </w:r>
      <w:r w:rsidRPr="00804057">
        <w:rPr>
          <w:rFonts w:ascii="Times New Roman" w:hAnsi="Times New Roman" w:cs="Times New Roman"/>
          <w:i w:val="0"/>
          <w:color w:val="000000" w:themeColor="text1"/>
          <w:lang w:val="pt-PT"/>
        </w:rPr>
        <w:t>oelho.</w:t>
      </w:r>
    </w:p>
    <w:p w14:paraId="2F226E85" w14:textId="23B8E24E" w:rsidR="009F32CB" w:rsidRPr="00540C5A" w:rsidRDefault="009F32CB" w:rsidP="00C24D3B">
      <w:pPr>
        <w:pStyle w:val="Corpodetexto"/>
        <w:spacing w:line="360" w:lineRule="auto"/>
        <w:rPr>
          <w:noProof/>
          <w:lang w:eastAsia="pt-BR"/>
        </w:rPr>
      </w:pPr>
      <w:r w:rsidRPr="00540C5A">
        <w:rPr>
          <w:noProof/>
          <w:lang w:eastAsia="pt-BR"/>
        </w:rPr>
        <w:drawing>
          <wp:inline distT="0" distB="0" distL="0" distR="0" wp14:anchorId="7E92E76E" wp14:editId="7A54D694">
            <wp:extent cx="5715000" cy="3212465"/>
            <wp:effectExtent l="0" t="0" r="0" b="0"/>
            <wp:docPr id="7" name="Gráfico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95C3CEA" w14:textId="77777777" w:rsidR="009F32CB" w:rsidRPr="000F4FC8" w:rsidRDefault="009F32CB" w:rsidP="009323DB">
      <w:pPr>
        <w:pStyle w:val="Ttulo4"/>
        <w:keepNext w:val="0"/>
        <w:keepLines w:val="0"/>
        <w:numPr>
          <w:ilvl w:val="3"/>
          <w:numId w:val="1"/>
        </w:numPr>
        <w:tabs>
          <w:tab w:val="num" w:pos="0"/>
          <w:tab w:val="left" w:pos="426"/>
        </w:tabs>
        <w:suppressAutoHyphens/>
        <w:spacing w:before="0" w:line="360" w:lineRule="auto"/>
        <w:ind w:left="0" w:firstLine="851"/>
        <w:jc w:val="both"/>
        <w:rPr>
          <w:rFonts w:ascii="Times New Roman" w:hAnsi="Times New Roman" w:cs="Times New Roman"/>
          <w:lang w:val="pt-PT"/>
        </w:rPr>
      </w:pPr>
    </w:p>
    <w:p w14:paraId="3744E9ED" w14:textId="518A07DC" w:rsidR="000F4FC8" w:rsidRDefault="00AE23AA" w:rsidP="004D7E7C">
      <w:pPr>
        <w:spacing w:line="360" w:lineRule="auto"/>
        <w:ind w:firstLine="851"/>
        <w:jc w:val="both"/>
      </w:pPr>
      <w:r>
        <w:tab/>
        <w:t>Quando foi comparada queda do hematócrito entre</w:t>
      </w:r>
      <w:r w:rsidR="00057B91">
        <w:t xml:space="preserve"> o pré-operatório e o quinto dia</w:t>
      </w:r>
      <w:r w:rsidR="00B17CC5">
        <w:t xml:space="preserve"> pós-operatório</w:t>
      </w:r>
      <w:r w:rsidR="00057B91">
        <w:t>,</w:t>
      </w:r>
      <w:r>
        <w:t xml:space="preserve"> verificou-se que houve uma queda</w:t>
      </w:r>
      <w:r w:rsidR="004D7E7C">
        <w:t xml:space="preserve"> média</w:t>
      </w:r>
      <w:r>
        <w:t xml:space="preserve"> de seis pontos no Grupo I </w:t>
      </w:r>
      <w:r w:rsidR="00057B91">
        <w:t xml:space="preserve">e 9,1 pontos no Grupo II, quando a comparação foi feita entre os grupos </w:t>
      </w:r>
      <w:r w:rsidR="00206B42">
        <w:t>no mesmo momento não se observaram</w:t>
      </w:r>
      <w:r w:rsidR="00057B91">
        <w:t xml:space="preserve"> diferenças estatisticamente significativas (</w:t>
      </w:r>
      <w:r w:rsidR="00057B91">
        <w:rPr>
          <w:i/>
        </w:rPr>
        <w:t xml:space="preserve">p </w:t>
      </w:r>
      <w:r w:rsidR="000F4FC8">
        <w:t>= 0,417). Ao décimo quinto dia observamos uma melhora dos níveis hematimétricos (Gráfico 3).</w:t>
      </w:r>
    </w:p>
    <w:p w14:paraId="747D94AF" w14:textId="1B4E75D3" w:rsidR="000F4FC8" w:rsidRDefault="0004080B" w:rsidP="00C24D3B">
      <w:pPr>
        <w:spacing w:line="360" w:lineRule="auto"/>
        <w:jc w:val="both"/>
        <w:rPr>
          <w:lang w:val="pt-PT"/>
        </w:rPr>
      </w:pPr>
      <w:r>
        <w:rPr>
          <w:b/>
          <w:lang w:val="pt-PT"/>
        </w:rPr>
        <w:t xml:space="preserve">Gráfico 3 – </w:t>
      </w:r>
      <w:r w:rsidR="000F4FC8" w:rsidRPr="00540C5A">
        <w:rPr>
          <w:b/>
          <w:lang w:val="pt-PT"/>
        </w:rPr>
        <w:t xml:space="preserve"> </w:t>
      </w:r>
      <w:r w:rsidR="000F4FC8" w:rsidRPr="00540C5A">
        <w:rPr>
          <w:lang w:val="pt-PT"/>
        </w:rPr>
        <w:t xml:space="preserve">Comparação do hematócrito em relação aos grupos que foram </w:t>
      </w:r>
      <w:r w:rsidR="000F4FC8">
        <w:rPr>
          <w:lang w:val="pt-PT"/>
        </w:rPr>
        <w:t>submetidos à artroplastia total do joelho.</w:t>
      </w:r>
    </w:p>
    <w:p w14:paraId="0D8A4546" w14:textId="743D734F" w:rsidR="000F4FC8" w:rsidRPr="000F4FC8" w:rsidRDefault="000F4FC8" w:rsidP="00C24D3B">
      <w:pPr>
        <w:spacing w:line="360" w:lineRule="auto"/>
        <w:jc w:val="both"/>
        <w:rPr>
          <w:lang w:val="pt-PT"/>
        </w:rPr>
      </w:pPr>
      <w:r w:rsidRPr="00540C5A">
        <w:rPr>
          <w:b/>
          <w:noProof/>
        </w:rPr>
        <w:drawing>
          <wp:inline distT="0" distB="0" distL="0" distR="0" wp14:anchorId="1337CA3C" wp14:editId="266D6E2E">
            <wp:extent cx="4210840" cy="2694940"/>
            <wp:effectExtent l="0" t="0" r="571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773" cy="2742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DEF6C" w14:textId="4D399BEA" w:rsidR="009F32CB" w:rsidRDefault="000F4FC8" w:rsidP="009323DB">
      <w:pPr>
        <w:spacing w:line="360" w:lineRule="auto"/>
        <w:ind w:firstLine="851"/>
        <w:jc w:val="both"/>
      </w:pPr>
      <w:r>
        <w:lastRenderedPageBreak/>
        <w:t xml:space="preserve">Quando </w:t>
      </w:r>
      <w:r w:rsidR="00B17CC5">
        <w:t xml:space="preserve">a hemoglobina </w:t>
      </w:r>
      <w:r>
        <w:t>foi comparada entre o pré-operatório e o quinto dia</w:t>
      </w:r>
      <w:r w:rsidR="00B17CC5">
        <w:t xml:space="preserve"> pós-operatório</w:t>
      </w:r>
      <w:r>
        <w:t>, verificou-</w:t>
      </w:r>
      <w:r w:rsidR="00B17CC5">
        <w:t>se que houve uma queda</w:t>
      </w:r>
      <w:r w:rsidR="004D7E7C">
        <w:t xml:space="preserve"> média</w:t>
      </w:r>
      <w:r w:rsidR="00B17CC5">
        <w:t xml:space="preserve"> de 2,1</w:t>
      </w:r>
      <w:r>
        <w:t xml:space="preserve"> pontos no Grupo I </w:t>
      </w:r>
      <w:r w:rsidR="00B17CC5">
        <w:t>e 3,2</w:t>
      </w:r>
      <w:r>
        <w:t xml:space="preserve"> pontos no Grupo II, quando a comparação foi feita entre os grupos </w:t>
      </w:r>
      <w:r w:rsidR="00206B42">
        <w:t>no mesmo momento não se observaram</w:t>
      </w:r>
      <w:r>
        <w:t xml:space="preserve"> diferenças estatisticamente significativas (</w:t>
      </w:r>
      <w:r>
        <w:rPr>
          <w:i/>
        </w:rPr>
        <w:t xml:space="preserve">p </w:t>
      </w:r>
      <w:r w:rsidR="00B17CC5">
        <w:t>= 0,203</w:t>
      </w:r>
      <w:r>
        <w:t xml:space="preserve">). Ao décimo quinto dia observamos uma melhora dos níveis </w:t>
      </w:r>
      <w:r w:rsidR="00B17CC5">
        <w:t>da hemoglobina</w:t>
      </w:r>
      <w:r w:rsidR="00FA28E1">
        <w:t xml:space="preserve"> (Gráfico 4</w:t>
      </w:r>
      <w:r>
        <w:t>)</w:t>
      </w:r>
      <w:r w:rsidR="00B17CC5">
        <w:t>.</w:t>
      </w:r>
    </w:p>
    <w:p w14:paraId="20DF0F04" w14:textId="77777777" w:rsidR="00B17CC5" w:rsidRPr="00540C5A" w:rsidRDefault="00B17CC5" w:rsidP="009323DB">
      <w:pPr>
        <w:spacing w:line="360" w:lineRule="auto"/>
        <w:ind w:firstLine="851"/>
        <w:jc w:val="both"/>
        <w:rPr>
          <w:b/>
          <w:lang w:val="pt-PT"/>
        </w:rPr>
      </w:pPr>
    </w:p>
    <w:p w14:paraId="378C29B7" w14:textId="2ED4E573" w:rsidR="009F32CB" w:rsidRPr="00FA28E1" w:rsidRDefault="0004080B" w:rsidP="00C24D3B">
      <w:pPr>
        <w:spacing w:line="360" w:lineRule="auto"/>
        <w:jc w:val="both"/>
      </w:pPr>
      <w:r>
        <w:rPr>
          <w:b/>
          <w:lang w:val="pt-PT"/>
        </w:rPr>
        <w:t xml:space="preserve">Gráfico 4 – </w:t>
      </w:r>
      <w:r w:rsidR="00FA28E1" w:rsidRPr="00540C5A">
        <w:rPr>
          <w:b/>
          <w:lang w:val="pt-PT"/>
        </w:rPr>
        <w:t xml:space="preserve"> </w:t>
      </w:r>
      <w:r w:rsidR="00FA28E1" w:rsidRPr="00540C5A">
        <w:rPr>
          <w:lang w:val="pt-PT"/>
        </w:rPr>
        <w:t>Comparação da hemoglobina em relação aos grupos que foram submetidos à artroplastia total de Joelho.</w:t>
      </w:r>
    </w:p>
    <w:p w14:paraId="172926FB" w14:textId="2DA2609C" w:rsidR="009F32CB" w:rsidRDefault="009F32CB" w:rsidP="00C24D3B">
      <w:pPr>
        <w:spacing w:line="360" w:lineRule="auto"/>
        <w:jc w:val="both"/>
        <w:rPr>
          <w:lang w:val="pt-PT"/>
        </w:rPr>
      </w:pPr>
      <w:r w:rsidRPr="00540C5A">
        <w:rPr>
          <w:noProof/>
        </w:rPr>
        <w:drawing>
          <wp:inline distT="0" distB="0" distL="0" distR="0" wp14:anchorId="02309DBC" wp14:editId="08187738">
            <wp:extent cx="5727700" cy="3657600"/>
            <wp:effectExtent l="0" t="0" r="1270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CC7E1F" w14:textId="77777777" w:rsidR="000F764C" w:rsidRDefault="000F764C" w:rsidP="009323DB">
      <w:pPr>
        <w:spacing w:line="360" w:lineRule="auto"/>
        <w:ind w:firstLine="851"/>
        <w:jc w:val="both"/>
        <w:rPr>
          <w:lang w:val="pt-PT"/>
        </w:rPr>
      </w:pPr>
    </w:p>
    <w:p w14:paraId="300F373E" w14:textId="28EDFD52" w:rsidR="000F764C" w:rsidRDefault="000F764C" w:rsidP="009323DB">
      <w:pPr>
        <w:spacing w:line="360" w:lineRule="auto"/>
        <w:ind w:firstLine="851"/>
        <w:jc w:val="both"/>
        <w:rPr>
          <w:color w:val="1A1A1A"/>
        </w:rPr>
      </w:pPr>
      <w:r>
        <w:t xml:space="preserve">Para calcularmos o volume sanguíneo estimado dos pacientes, lançamos mão da </w:t>
      </w:r>
      <w:r w:rsidRPr="00AE680F">
        <w:t>fó</w:t>
      </w:r>
      <w:r>
        <w:t>rmula descrita por</w:t>
      </w:r>
      <w:r w:rsidRPr="00AE680F">
        <w:t xml:space="preserve"> </w:t>
      </w:r>
      <w:r w:rsidRPr="00AE680F">
        <w:rPr>
          <w:color w:val="1A1A1A"/>
        </w:rPr>
        <w:t>Nadler</w:t>
      </w:r>
      <w:r>
        <w:rPr>
          <w:color w:val="1A1A1A"/>
        </w:rPr>
        <w:t xml:space="preserve"> </w:t>
      </w:r>
      <w:r w:rsidRPr="000F764C">
        <w:rPr>
          <w:i/>
          <w:color w:val="1A1A1A"/>
        </w:rPr>
        <w:t>et al</w:t>
      </w:r>
      <w:r>
        <w:rPr>
          <w:i/>
          <w:color w:val="1A1A1A"/>
        </w:rPr>
        <w:t>.</w:t>
      </w:r>
      <w:r>
        <w:rPr>
          <w:color w:val="1A1A1A"/>
        </w:rPr>
        <w:t xml:space="preserve"> e não foram observadas diferenças estatisticamente significativas</w:t>
      </w:r>
      <w:r w:rsidR="007E425B">
        <w:rPr>
          <w:color w:val="1A1A1A"/>
        </w:rPr>
        <w:t xml:space="preserve"> no quinto e 15</w:t>
      </w:r>
      <w:r w:rsidR="007E425B" w:rsidRPr="007E425B">
        <w:rPr>
          <w:color w:val="1A1A1A"/>
          <w:vertAlign w:val="superscript"/>
        </w:rPr>
        <w:t>o</w:t>
      </w:r>
      <w:r w:rsidR="007E425B">
        <w:rPr>
          <w:color w:val="1A1A1A"/>
        </w:rPr>
        <w:t xml:space="preserve">. dias de pós-operatório </w:t>
      </w:r>
      <w:r>
        <w:rPr>
          <w:color w:val="1A1A1A"/>
        </w:rPr>
        <w:t>(</w:t>
      </w:r>
      <w:r>
        <w:rPr>
          <w:i/>
          <w:color w:val="1A1A1A"/>
        </w:rPr>
        <w:t>p</w:t>
      </w:r>
      <w:r>
        <w:rPr>
          <w:color w:val="1A1A1A"/>
        </w:rPr>
        <w:t xml:space="preserve"> = </w:t>
      </w:r>
      <w:r w:rsidR="007E425B">
        <w:rPr>
          <w:color w:val="1A1A1A"/>
        </w:rPr>
        <w:t xml:space="preserve">0,842 e </w:t>
      </w:r>
      <w:r w:rsidR="007E425B" w:rsidRPr="007E425B">
        <w:rPr>
          <w:i/>
          <w:color w:val="1A1A1A"/>
        </w:rPr>
        <w:t>p</w:t>
      </w:r>
      <w:r w:rsidR="007E425B">
        <w:rPr>
          <w:color w:val="1A1A1A"/>
        </w:rPr>
        <w:t xml:space="preserve"> = 0,863, </w:t>
      </w:r>
      <w:r w:rsidR="00C24D3B">
        <w:rPr>
          <w:color w:val="1A1A1A"/>
        </w:rPr>
        <w:t>respectivamente) (</w:t>
      </w:r>
      <w:r w:rsidR="007E425B">
        <w:rPr>
          <w:color w:val="1A1A1A"/>
        </w:rPr>
        <w:t>Gráfico 5).</w:t>
      </w:r>
    </w:p>
    <w:p w14:paraId="0A5B3024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66E58362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0DEE271D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045F3537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538942DD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0BFE3C4B" w14:textId="77777777" w:rsidR="007E425B" w:rsidRDefault="007E425B" w:rsidP="009323DB">
      <w:pPr>
        <w:spacing w:line="360" w:lineRule="auto"/>
        <w:ind w:firstLine="851"/>
        <w:jc w:val="both"/>
        <w:rPr>
          <w:lang w:val="pt-PT"/>
        </w:rPr>
      </w:pPr>
    </w:p>
    <w:p w14:paraId="335BD11A" w14:textId="651E9410" w:rsidR="007E425B" w:rsidRPr="007E425B" w:rsidRDefault="0004080B" w:rsidP="00C24D3B">
      <w:pPr>
        <w:spacing w:line="360" w:lineRule="auto"/>
        <w:jc w:val="both"/>
        <w:rPr>
          <w:lang w:val="pt-PT"/>
        </w:rPr>
      </w:pPr>
      <w:r>
        <w:rPr>
          <w:b/>
          <w:lang w:val="pt-PT"/>
        </w:rPr>
        <w:lastRenderedPageBreak/>
        <w:t xml:space="preserve">Gráfico 5 – </w:t>
      </w:r>
      <w:r w:rsidR="007E425B" w:rsidRPr="00540C5A">
        <w:rPr>
          <w:b/>
          <w:lang w:val="pt-PT"/>
        </w:rPr>
        <w:t xml:space="preserve"> </w:t>
      </w:r>
      <w:r w:rsidR="007E425B" w:rsidRPr="00540C5A">
        <w:rPr>
          <w:lang w:val="pt-PT"/>
        </w:rPr>
        <w:t xml:space="preserve">Comparação do volume sanguíneo </w:t>
      </w:r>
      <w:r w:rsidR="00B01119">
        <w:rPr>
          <w:lang w:val="pt-PT"/>
        </w:rPr>
        <w:t xml:space="preserve">dos pacientes </w:t>
      </w:r>
      <w:r w:rsidR="007E425B" w:rsidRPr="00540C5A">
        <w:rPr>
          <w:lang w:val="pt-PT"/>
        </w:rPr>
        <w:t>que foram subm</w:t>
      </w:r>
      <w:r w:rsidR="007E425B">
        <w:rPr>
          <w:lang w:val="pt-PT"/>
        </w:rPr>
        <w:t>etidos à artroplastia total de j</w:t>
      </w:r>
      <w:r w:rsidR="007E425B" w:rsidRPr="00540C5A">
        <w:rPr>
          <w:lang w:val="pt-PT"/>
        </w:rPr>
        <w:t>oelho.</w:t>
      </w:r>
    </w:p>
    <w:p w14:paraId="5DCF94E5" w14:textId="2C8AA427" w:rsidR="009F32CB" w:rsidRPr="00540C5A" w:rsidRDefault="009F32CB" w:rsidP="00C24D3B">
      <w:pPr>
        <w:spacing w:line="360" w:lineRule="auto"/>
        <w:jc w:val="both"/>
        <w:rPr>
          <w:b/>
          <w:lang w:val="pt-PT"/>
        </w:rPr>
      </w:pPr>
      <w:r w:rsidRPr="00540C5A">
        <w:rPr>
          <w:b/>
          <w:noProof/>
        </w:rPr>
        <w:drawing>
          <wp:inline distT="0" distB="0" distL="0" distR="0" wp14:anchorId="1E1FF118" wp14:editId="51334A93">
            <wp:extent cx="5715000" cy="365760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20D7D" w14:textId="77777777" w:rsidR="009F32CB" w:rsidRDefault="009F32CB" w:rsidP="009323DB">
      <w:pPr>
        <w:spacing w:line="360" w:lineRule="auto"/>
        <w:ind w:firstLine="851"/>
        <w:jc w:val="both"/>
      </w:pPr>
    </w:p>
    <w:p w14:paraId="7747F052" w14:textId="4D1BF014" w:rsidR="007E425B" w:rsidRPr="00571772" w:rsidRDefault="00571772" w:rsidP="009323DB">
      <w:pPr>
        <w:spacing w:line="360" w:lineRule="auto"/>
        <w:ind w:firstLine="851"/>
        <w:jc w:val="both"/>
      </w:pPr>
      <w:r>
        <w:t xml:space="preserve">Também foi calculada a perda sanguínea estimada de acordo com a sugestão de </w:t>
      </w:r>
      <w:r w:rsidRPr="00AE680F">
        <w:rPr>
          <w:color w:val="1A1A1A"/>
        </w:rPr>
        <w:t>Mercuriali e Inghilleri</w:t>
      </w:r>
      <w:r>
        <w:rPr>
          <w:color w:val="1A1A1A"/>
        </w:rPr>
        <w:t>, e verificou-se uma maior perda no Grupo II quando verificada no 15</w:t>
      </w:r>
      <w:r w:rsidRPr="00571772">
        <w:rPr>
          <w:color w:val="1A1A1A"/>
          <w:vertAlign w:val="superscript"/>
        </w:rPr>
        <w:t>o</w:t>
      </w:r>
      <w:r>
        <w:rPr>
          <w:color w:val="1A1A1A"/>
        </w:rPr>
        <w:t>. dia pós-operatório (</w:t>
      </w:r>
      <w:r>
        <w:rPr>
          <w:i/>
          <w:color w:val="1A1A1A"/>
        </w:rPr>
        <w:t xml:space="preserve">p </w:t>
      </w:r>
      <w:r>
        <w:rPr>
          <w:color w:val="1A1A1A"/>
        </w:rPr>
        <w:t xml:space="preserve">= 0,033). </w:t>
      </w:r>
      <w:r w:rsidR="00662C62">
        <w:rPr>
          <w:color w:val="1A1A1A"/>
        </w:rPr>
        <w:t>No quinto</w:t>
      </w:r>
      <w:r>
        <w:rPr>
          <w:color w:val="1A1A1A"/>
        </w:rPr>
        <w:t xml:space="preserve"> dia pós operatório, houve maior sangramento no Grupo II, porém sem significância estatística (</w:t>
      </w:r>
      <w:r>
        <w:rPr>
          <w:i/>
          <w:color w:val="1A1A1A"/>
        </w:rPr>
        <w:t xml:space="preserve">p </w:t>
      </w:r>
      <w:r>
        <w:rPr>
          <w:color w:val="1A1A1A"/>
        </w:rPr>
        <w:t>= 0,206) (Gráfico 6).</w:t>
      </w:r>
    </w:p>
    <w:p w14:paraId="43D61F6F" w14:textId="77777777" w:rsidR="00C24D3B" w:rsidRDefault="00C24D3B" w:rsidP="00C24D3B">
      <w:pPr>
        <w:spacing w:line="360" w:lineRule="auto"/>
        <w:jc w:val="both"/>
      </w:pPr>
    </w:p>
    <w:p w14:paraId="63894728" w14:textId="1A2EE08E" w:rsidR="0004080B" w:rsidRPr="00540C5A" w:rsidRDefault="0004080B" w:rsidP="00C24D3B">
      <w:pPr>
        <w:spacing w:line="360" w:lineRule="auto"/>
        <w:jc w:val="both"/>
      </w:pPr>
      <w:r>
        <w:rPr>
          <w:b/>
          <w:lang w:val="pt-PT"/>
        </w:rPr>
        <w:t xml:space="preserve">Gráfico 6 – </w:t>
      </w:r>
      <w:r w:rsidRPr="00540C5A">
        <w:rPr>
          <w:b/>
          <w:lang w:val="pt-PT"/>
        </w:rPr>
        <w:t xml:space="preserve"> </w:t>
      </w:r>
      <w:r w:rsidRPr="00540C5A">
        <w:rPr>
          <w:lang w:val="pt-PT"/>
        </w:rPr>
        <w:t>Comparação da perda sanguínea em relação aos grupos tratados com e sem ácido tranexâmico que foram submetidos à artroplastia total de Joelho.</w:t>
      </w:r>
    </w:p>
    <w:p w14:paraId="59BC65A0" w14:textId="2983E8BA" w:rsidR="009F32CB" w:rsidRPr="00540C5A" w:rsidRDefault="009F32CB" w:rsidP="00C24D3B">
      <w:pPr>
        <w:spacing w:line="360" w:lineRule="auto"/>
      </w:pPr>
      <w:r w:rsidRPr="00540C5A">
        <w:rPr>
          <w:noProof/>
        </w:rPr>
        <w:drawing>
          <wp:inline distT="0" distB="0" distL="0" distR="0" wp14:anchorId="4A70D740" wp14:editId="3EB17BDA">
            <wp:extent cx="3884627" cy="2512060"/>
            <wp:effectExtent l="0" t="0" r="1905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104" cy="2533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044B02" w14:textId="77777777" w:rsidR="009F32CB" w:rsidRDefault="009F32CB" w:rsidP="009323DB">
      <w:pPr>
        <w:spacing w:line="360" w:lineRule="auto"/>
        <w:ind w:firstLine="851"/>
      </w:pPr>
    </w:p>
    <w:p w14:paraId="13696734" w14:textId="39E93D07" w:rsidR="0004080B" w:rsidRDefault="0004080B" w:rsidP="009323DB">
      <w:pPr>
        <w:spacing w:line="360" w:lineRule="auto"/>
        <w:ind w:firstLine="851"/>
        <w:jc w:val="both"/>
      </w:pPr>
      <w:r>
        <w:t>O volume de sangue no dreno suctor foi aferido de modo seriado com três, seis, 12 e 14 horas após o proc</w:t>
      </w:r>
      <w:r w:rsidR="00662C62">
        <w:t>edimento cirúrgico. Em todos os</w:t>
      </w:r>
      <w:r>
        <w:t xml:space="preserve"> períodos medidos após a cirurgia houve um maior sangramento nos pacientes do Grupo II mas com diferença estaticamente significativa nos períodos de três, seis e 12 horas (</w:t>
      </w:r>
      <w:r>
        <w:rPr>
          <w:i/>
        </w:rPr>
        <w:t>p</w:t>
      </w:r>
      <w:r>
        <w:t xml:space="preserve"> &lt; 0,05) (Gráfico 7).</w:t>
      </w:r>
    </w:p>
    <w:p w14:paraId="6EA2950C" w14:textId="77777777" w:rsidR="0004080B" w:rsidRDefault="0004080B" w:rsidP="009323DB">
      <w:pPr>
        <w:spacing w:line="360" w:lineRule="auto"/>
        <w:ind w:firstLine="851"/>
        <w:jc w:val="both"/>
      </w:pPr>
    </w:p>
    <w:p w14:paraId="6E3CD01D" w14:textId="7CB32377" w:rsidR="0004080B" w:rsidRPr="0004080B" w:rsidRDefault="00B01119" w:rsidP="00C24D3B">
      <w:pPr>
        <w:spacing w:line="360" w:lineRule="auto"/>
        <w:jc w:val="both"/>
      </w:pPr>
      <w:r>
        <w:rPr>
          <w:b/>
          <w:lang w:val="pt-PT"/>
        </w:rPr>
        <w:t xml:space="preserve">Gráfico 7 – </w:t>
      </w:r>
      <w:r w:rsidR="0004080B" w:rsidRPr="00540C5A">
        <w:rPr>
          <w:b/>
          <w:lang w:val="pt-PT"/>
        </w:rPr>
        <w:t xml:space="preserve"> </w:t>
      </w:r>
      <w:r w:rsidR="0004080B" w:rsidRPr="00540C5A">
        <w:rPr>
          <w:lang w:val="pt-PT"/>
        </w:rPr>
        <w:t xml:space="preserve">Comparação do volume de sangramento no dreno em relação aos grupos tratados com e sem ácido tranexâmico </w:t>
      </w:r>
      <w:r>
        <w:rPr>
          <w:lang w:val="pt-PT"/>
        </w:rPr>
        <w:t>em pacientes</w:t>
      </w:r>
      <w:r w:rsidR="0004080B" w:rsidRPr="00540C5A">
        <w:rPr>
          <w:lang w:val="pt-PT"/>
        </w:rPr>
        <w:t xml:space="preserve"> foram submetidos à artroplastia total de Joelho.</w:t>
      </w:r>
    </w:p>
    <w:p w14:paraId="45DCC2D0" w14:textId="3D267004" w:rsidR="00E13949" w:rsidRDefault="009F32CB" w:rsidP="00E13949">
      <w:pPr>
        <w:spacing w:line="360" w:lineRule="auto"/>
        <w:jc w:val="both"/>
        <w:rPr>
          <w:b/>
          <w:lang w:val="pt-PT"/>
        </w:rPr>
      </w:pPr>
      <w:r w:rsidRPr="00540C5A">
        <w:rPr>
          <w:b/>
          <w:noProof/>
        </w:rPr>
        <w:drawing>
          <wp:inline distT="0" distB="0" distL="0" distR="0" wp14:anchorId="65FE7F33" wp14:editId="0A04DBD4">
            <wp:extent cx="4853939" cy="323596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6842" cy="3284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40CAB" w14:textId="5E86ACF9" w:rsidR="004D7E7C" w:rsidRDefault="004D7E7C" w:rsidP="00E13949">
      <w:pPr>
        <w:spacing w:line="360" w:lineRule="auto"/>
        <w:jc w:val="both"/>
        <w:rPr>
          <w:b/>
          <w:lang w:val="pt-PT"/>
        </w:rPr>
      </w:pPr>
    </w:p>
    <w:p w14:paraId="412A8B9D" w14:textId="342D7E60" w:rsidR="00E13949" w:rsidRDefault="004D7E7C" w:rsidP="004D7E7C">
      <w:pPr>
        <w:pStyle w:val="Ttulo4"/>
        <w:keepNext w:val="0"/>
        <w:keepLines w:val="0"/>
        <w:tabs>
          <w:tab w:val="left" w:pos="426"/>
        </w:tabs>
        <w:suppressAutoHyphens/>
        <w:spacing w:before="0" w:line="360" w:lineRule="auto"/>
        <w:ind w:firstLine="851"/>
        <w:jc w:val="both"/>
        <w:rPr>
          <w:rFonts w:ascii="Times New Roman" w:hAnsi="Times New Roman" w:cs="Times New Roman"/>
          <w:i w:val="0"/>
          <w:color w:val="000000" w:themeColor="text1"/>
          <w:lang w:val="pt-PT"/>
        </w:rPr>
      </w:pPr>
      <w:r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Quando feita a comparação 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do hematócrito, hemoglobina e volume sanguíneo dos pacientes submetidos à </w:t>
      </w:r>
      <w:r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ATJ 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>em relação ao período pré-operatório, 5º. e 15º. dias</w:t>
      </w:r>
      <w:r w:rsidRPr="004D7E7C">
        <w:rPr>
          <w:rFonts w:ascii="Times New Roman" w:hAnsi="Times New Roman" w:cs="Times New Roman"/>
          <w:i w:val="0"/>
          <w:color w:val="000000" w:themeColor="text1"/>
        </w:rPr>
        <w:t xml:space="preserve"> após a cirurgia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 </w:t>
      </w:r>
      <w:r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nos Grupos I e II, verificou-se </w:t>
      </w:r>
      <w:r w:rsidR="00BE04F4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pelo teste de Tukey (ANOVA) </w:t>
      </w:r>
      <w:r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>que houve queda significativa do hematócrito e da hemoglobina (p &lt; 0,001), porém não se verificou diferenças no volume sanguíneo estimado dos pacientes (p = 0,841 para Grupo I e p = 0,762</w:t>
      </w:r>
      <w:r>
        <w:rPr>
          <w:rFonts w:ascii="Times New Roman" w:hAnsi="Times New Roman" w:cs="Times New Roman"/>
          <w:i w:val="0"/>
          <w:color w:val="000000" w:themeColor="text1"/>
          <w:lang w:val="pt-PT"/>
        </w:rPr>
        <w:t>) (Tabela 2).</w:t>
      </w:r>
    </w:p>
    <w:p w14:paraId="4ACFA23C" w14:textId="1A8FC113" w:rsidR="004D7E7C" w:rsidRDefault="004D7E7C" w:rsidP="004D7E7C">
      <w:pPr>
        <w:rPr>
          <w:lang w:val="pt-PT"/>
        </w:rPr>
      </w:pPr>
    </w:p>
    <w:p w14:paraId="17EEBCB6" w14:textId="3CCA5E8B" w:rsidR="004D7E7C" w:rsidRDefault="004D7E7C" w:rsidP="004D7E7C">
      <w:pPr>
        <w:rPr>
          <w:lang w:val="pt-PT"/>
        </w:rPr>
      </w:pPr>
    </w:p>
    <w:p w14:paraId="3A99DED3" w14:textId="3C0626CF" w:rsidR="004D7E7C" w:rsidRDefault="004D7E7C" w:rsidP="004D7E7C">
      <w:pPr>
        <w:rPr>
          <w:lang w:val="pt-PT"/>
        </w:rPr>
      </w:pPr>
    </w:p>
    <w:p w14:paraId="530BAB17" w14:textId="01AF6DAC" w:rsidR="004D7E7C" w:rsidRDefault="004D7E7C" w:rsidP="004D7E7C">
      <w:pPr>
        <w:rPr>
          <w:lang w:val="pt-PT"/>
        </w:rPr>
      </w:pPr>
    </w:p>
    <w:p w14:paraId="420F0A91" w14:textId="56154786" w:rsidR="004D7E7C" w:rsidRDefault="004D7E7C" w:rsidP="004D7E7C">
      <w:pPr>
        <w:rPr>
          <w:lang w:val="pt-PT"/>
        </w:rPr>
      </w:pPr>
    </w:p>
    <w:p w14:paraId="611686A3" w14:textId="3838137A" w:rsidR="004D7E7C" w:rsidRPr="004D7E7C" w:rsidRDefault="004D7E7C" w:rsidP="004D7E7C">
      <w:pPr>
        <w:rPr>
          <w:lang w:val="pt-PT"/>
        </w:rPr>
      </w:pPr>
    </w:p>
    <w:p w14:paraId="2A67FE84" w14:textId="729BCFE3" w:rsidR="004D7E7C" w:rsidRDefault="004D7E7C" w:rsidP="004D7E7C">
      <w:pPr>
        <w:rPr>
          <w:lang w:val="pt-PT"/>
        </w:rPr>
      </w:pPr>
    </w:p>
    <w:p w14:paraId="7EB4E87C" w14:textId="06E4607A" w:rsidR="004D7E7C" w:rsidRDefault="004D7E7C" w:rsidP="004D7E7C">
      <w:pPr>
        <w:pStyle w:val="Ttulo4"/>
        <w:keepNext w:val="0"/>
        <w:keepLines w:val="0"/>
        <w:numPr>
          <w:ilvl w:val="3"/>
          <w:numId w:val="1"/>
        </w:numPr>
        <w:tabs>
          <w:tab w:val="num" w:pos="0"/>
          <w:tab w:val="left" w:pos="426"/>
        </w:tabs>
        <w:suppressAutoHyphens/>
        <w:spacing w:before="0" w:line="360" w:lineRule="auto"/>
        <w:ind w:left="0" w:firstLine="0"/>
        <w:jc w:val="both"/>
        <w:rPr>
          <w:rFonts w:ascii="Times New Roman" w:hAnsi="Times New Roman" w:cs="Times New Roman"/>
          <w:i w:val="0"/>
          <w:color w:val="000000" w:themeColor="text1"/>
          <w:lang w:val="pt-PT" w:eastAsia="pt-BR"/>
        </w:rPr>
      </w:pPr>
      <w:r w:rsidRPr="004D7E7C">
        <w:rPr>
          <w:rFonts w:ascii="Times New Roman" w:hAnsi="Times New Roman" w:cs="Times New Roman"/>
          <w:b/>
          <w:i w:val="0"/>
          <w:color w:val="000000" w:themeColor="text1"/>
          <w:lang w:val="pt-PT"/>
        </w:rPr>
        <w:lastRenderedPageBreak/>
        <w:t>Tabela 2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/>
        </w:rPr>
        <w:t xml:space="preserve"> – 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>Comparação do hematócrito, hemoglobina e volume sanguíneo dos pacientes submetidos à artroplastia total do joelho em relação ao período pré-operatório, 5º. e 15º. dias</w:t>
      </w:r>
      <w:r w:rsidRPr="004D7E7C">
        <w:rPr>
          <w:rFonts w:ascii="Times New Roman" w:hAnsi="Times New Roman" w:cs="Times New Roman"/>
          <w:i w:val="0"/>
          <w:color w:val="000000" w:themeColor="text1"/>
        </w:rPr>
        <w:t xml:space="preserve"> após a cirurgia</w:t>
      </w:r>
      <w:r w:rsidRPr="004D7E7C">
        <w:rPr>
          <w:rFonts w:ascii="Times New Roman" w:hAnsi="Times New Roman" w:cs="Times New Roman"/>
          <w:i w:val="0"/>
          <w:color w:val="000000" w:themeColor="text1"/>
          <w:lang w:val="pt-PT" w:eastAsia="pt-BR"/>
        </w:rPr>
        <w:t xml:space="preserve"> nos Grupos I e II.</w:t>
      </w:r>
    </w:p>
    <w:tbl>
      <w:tblPr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992"/>
        <w:gridCol w:w="709"/>
        <w:gridCol w:w="993"/>
        <w:gridCol w:w="850"/>
        <w:gridCol w:w="992"/>
        <w:gridCol w:w="708"/>
        <w:gridCol w:w="993"/>
      </w:tblGrid>
      <w:tr w:rsidR="004D7E7C" w14:paraId="7F59F45C" w14:textId="77777777" w:rsidTr="00A33DEA">
        <w:trPr>
          <w:trHeight w:hRule="exact" w:val="397"/>
        </w:trPr>
        <w:tc>
          <w:tcPr>
            <w:tcW w:w="2835" w:type="dxa"/>
            <w:tcBorders>
              <w:top w:val="thinThickSmallGap" w:sz="18" w:space="0" w:color="000000"/>
              <w:left w:val="nil"/>
              <w:bottom w:val="nil"/>
              <w:right w:val="nil"/>
            </w:tcBorders>
            <w:vAlign w:val="center"/>
          </w:tcPr>
          <w:p w14:paraId="73F824C4" w14:textId="77777777" w:rsid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both"/>
              <w:rPr>
                <w:rFonts w:ascii="Arial" w:hAnsi="Arial" w:cs="Arial"/>
                <w:lang w:val="pt-PT"/>
              </w:rPr>
            </w:pPr>
          </w:p>
        </w:tc>
        <w:tc>
          <w:tcPr>
            <w:tcW w:w="5244" w:type="dxa"/>
            <w:gridSpan w:val="6"/>
            <w:tcBorders>
              <w:top w:val="thinThickSmallGap" w:sz="18" w:space="0" w:color="000000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1A763AC" w14:textId="77777777" w:rsid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center"/>
              <w:rPr>
                <w:rFonts w:ascii="Arial" w:hAnsi="Arial" w:cs="Arial"/>
                <w:b/>
                <w:lang w:val="pt-PT"/>
              </w:rPr>
            </w:pPr>
            <w:r>
              <w:rPr>
                <w:rFonts w:ascii="Arial" w:hAnsi="Arial" w:cs="Arial"/>
                <w:lang w:val="pt-PT"/>
              </w:rPr>
              <w:t>Operatório</w:t>
            </w:r>
          </w:p>
        </w:tc>
        <w:tc>
          <w:tcPr>
            <w:tcW w:w="993" w:type="dxa"/>
            <w:tcBorders>
              <w:top w:val="thinThickSmallGap" w:sz="18" w:space="0" w:color="000000"/>
              <w:left w:val="nil"/>
              <w:bottom w:val="nil"/>
              <w:right w:val="nil"/>
            </w:tcBorders>
            <w:vAlign w:val="center"/>
          </w:tcPr>
          <w:p w14:paraId="5DA789AF" w14:textId="77777777" w:rsid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lang w:val="pt-PT"/>
              </w:rPr>
            </w:pPr>
          </w:p>
        </w:tc>
      </w:tr>
      <w:tr w:rsidR="004D7E7C" w14:paraId="5E5E1B94" w14:textId="77777777" w:rsidTr="00A33DEA">
        <w:trPr>
          <w:trHeight w:hRule="exact" w:val="397"/>
        </w:trPr>
        <w:tc>
          <w:tcPr>
            <w:tcW w:w="2835" w:type="dxa"/>
            <w:vAlign w:val="center"/>
            <w:hideMark/>
          </w:tcPr>
          <w:p w14:paraId="39005BF1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both"/>
              <w:rPr>
                <w:rFonts w:ascii="Arial" w:hAnsi="Arial" w:cs="Arial"/>
                <w:b/>
                <w:i w:val="0"/>
                <w:lang w:val="pt-PT"/>
              </w:rPr>
            </w:pPr>
            <w:r w:rsidRPr="004D7E7C">
              <w:rPr>
                <w:rFonts w:ascii="Arial" w:hAnsi="Arial" w:cs="Arial"/>
                <w:i w:val="0"/>
                <w:lang w:val="pt-PT"/>
              </w:rPr>
              <w:t>Marcadores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5DD40364" w14:textId="77777777" w:rsidR="004D7E7C" w:rsidRPr="004D7E7C" w:rsidRDefault="004D7E7C" w:rsidP="00A33D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D7E7C">
              <w:rPr>
                <w:rFonts w:ascii="Arial" w:hAnsi="Arial" w:cs="Arial"/>
                <w:color w:val="000000" w:themeColor="text1"/>
              </w:rPr>
              <w:t>Pré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14:paraId="2993012D" w14:textId="77777777" w:rsidR="004D7E7C" w:rsidRPr="004D7E7C" w:rsidRDefault="004D7E7C" w:rsidP="00A33DEA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4D7E7C">
              <w:rPr>
                <w:rFonts w:ascii="Arial" w:hAnsi="Arial" w:cs="Arial"/>
                <w:color w:val="000000" w:themeColor="text1"/>
              </w:rPr>
              <w:t>5° dia</w:t>
            </w:r>
          </w:p>
        </w:tc>
        <w:tc>
          <w:tcPr>
            <w:tcW w:w="1700" w:type="dxa"/>
            <w:gridSpan w:val="2"/>
            <w:vAlign w:val="center"/>
          </w:tcPr>
          <w:p w14:paraId="07A0D9C4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</w:rPr>
              <w:t>15° dia</w:t>
            </w:r>
          </w:p>
        </w:tc>
        <w:tc>
          <w:tcPr>
            <w:tcW w:w="993" w:type="dxa"/>
            <w:vAlign w:val="center"/>
          </w:tcPr>
          <w:p w14:paraId="40CEF371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right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</w:p>
        </w:tc>
      </w:tr>
      <w:tr w:rsidR="004D7E7C" w14:paraId="59D8E889" w14:textId="77777777" w:rsidTr="00A33DEA">
        <w:trPr>
          <w:trHeight w:hRule="exact" w:val="397"/>
        </w:trPr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5B54DB53" w14:textId="77777777" w:rsid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napToGrid w:val="0"/>
              <w:spacing w:before="0"/>
              <w:jc w:val="both"/>
              <w:rPr>
                <w:rFonts w:ascii="Arial" w:hAnsi="Arial" w:cs="Arial"/>
                <w:lang w:val="pt-PT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16EE1D5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Média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5DA8AAF" w14:textId="77777777" w:rsidR="004D7E7C" w:rsidRPr="004D7E7C" w:rsidRDefault="004D7E7C" w:rsidP="00A33DEA">
            <w:pPr>
              <w:pStyle w:val="Ttulo4"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Dp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C074166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Média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D64E091" w14:textId="77777777" w:rsidR="004D7E7C" w:rsidRPr="004D7E7C" w:rsidRDefault="004D7E7C" w:rsidP="00A33DEA">
            <w:pPr>
              <w:pStyle w:val="Ttulo4"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Dp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207CD7A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Média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062A101" w14:textId="77777777" w:rsidR="004D7E7C" w:rsidRPr="004D7E7C" w:rsidRDefault="004D7E7C" w:rsidP="00A33DEA">
            <w:pPr>
              <w:pStyle w:val="Ttulo4"/>
              <w:spacing w:before="0"/>
              <w:jc w:val="center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Dp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2C77B7B" w14:textId="77777777" w:rsidR="004D7E7C" w:rsidRPr="004D7E7C" w:rsidRDefault="004D7E7C" w:rsidP="004D7E7C">
            <w:pPr>
              <w:pStyle w:val="Ttulo4"/>
              <w:keepNext w:val="0"/>
              <w:keepLines w:val="0"/>
              <w:numPr>
                <w:ilvl w:val="3"/>
                <w:numId w:val="1"/>
              </w:numPr>
              <w:suppressAutoHyphens/>
              <w:spacing w:before="0"/>
              <w:jc w:val="right"/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</w:pPr>
            <w:r w:rsidRPr="004D7E7C">
              <w:rPr>
                <w:rFonts w:ascii="Arial" w:hAnsi="Arial" w:cs="Arial"/>
                <w:b/>
                <w:i w:val="0"/>
                <w:color w:val="000000" w:themeColor="text1"/>
                <w:lang w:val="pt-PT"/>
              </w:rPr>
              <w:t>p*</w:t>
            </w:r>
          </w:p>
        </w:tc>
      </w:tr>
      <w:tr w:rsidR="004D7E7C" w14:paraId="78183A79" w14:textId="77777777" w:rsidTr="00A33DEA">
        <w:trPr>
          <w:trHeight w:hRule="exact" w:val="397"/>
        </w:trPr>
        <w:tc>
          <w:tcPr>
            <w:tcW w:w="2835" w:type="dxa"/>
            <w:tcBorders>
              <w:top w:val="single" w:sz="4" w:space="0" w:color="000000"/>
            </w:tcBorders>
            <w:vAlign w:val="center"/>
          </w:tcPr>
          <w:p w14:paraId="715DBB37" w14:textId="77777777" w:rsidR="004D7E7C" w:rsidRPr="0072163A" w:rsidRDefault="004D7E7C" w:rsidP="00A33DEA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Grupo I</w:t>
            </w:r>
          </w:p>
        </w:tc>
        <w:tc>
          <w:tcPr>
            <w:tcW w:w="992" w:type="dxa"/>
            <w:tcBorders>
              <w:top w:val="single" w:sz="4" w:space="0" w:color="000000"/>
            </w:tcBorders>
            <w:vAlign w:val="center"/>
          </w:tcPr>
          <w:p w14:paraId="33E418F4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  <w:vAlign w:val="center"/>
          </w:tcPr>
          <w:p w14:paraId="509E18BD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14:paraId="5C27EB2B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000000"/>
            </w:tcBorders>
            <w:vAlign w:val="center"/>
          </w:tcPr>
          <w:p w14:paraId="0275A8AA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Borders>
              <w:top w:val="single" w:sz="4" w:space="0" w:color="000000"/>
            </w:tcBorders>
            <w:vAlign w:val="center"/>
          </w:tcPr>
          <w:p w14:paraId="76D445A4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708" w:type="dxa"/>
            <w:tcBorders>
              <w:top w:val="single" w:sz="4" w:space="0" w:color="000000"/>
            </w:tcBorders>
            <w:vAlign w:val="center"/>
          </w:tcPr>
          <w:p w14:paraId="48809426" w14:textId="77777777" w:rsidR="004D7E7C" w:rsidRPr="00E85915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000000"/>
            </w:tcBorders>
            <w:vAlign w:val="center"/>
          </w:tcPr>
          <w:p w14:paraId="07C0520C" w14:textId="77777777" w:rsidR="004D7E7C" w:rsidRPr="0072163A" w:rsidRDefault="004D7E7C" w:rsidP="00A33DEA">
            <w:pPr>
              <w:snapToGrid w:val="0"/>
              <w:jc w:val="right"/>
              <w:rPr>
                <w:rFonts w:ascii="Arial" w:hAnsi="Arial" w:cs="Arial"/>
                <w:b/>
                <w:i/>
              </w:rPr>
            </w:pPr>
          </w:p>
        </w:tc>
      </w:tr>
      <w:tr w:rsidR="004D7E7C" w14:paraId="72D9AB64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548822ED" w14:textId="77777777" w:rsidR="004D7E7C" w:rsidRPr="0072163A" w:rsidRDefault="004D7E7C" w:rsidP="00A33DEA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Hematócrito (mg/dl)</w:t>
            </w:r>
          </w:p>
        </w:tc>
        <w:tc>
          <w:tcPr>
            <w:tcW w:w="992" w:type="dxa"/>
            <w:vAlign w:val="center"/>
          </w:tcPr>
          <w:p w14:paraId="05B0B864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36,4</w:t>
            </w:r>
            <w:r w:rsidRPr="0072163A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709" w:type="dxa"/>
            <w:vAlign w:val="center"/>
          </w:tcPr>
          <w:p w14:paraId="679E8315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  <w:tc>
          <w:tcPr>
            <w:tcW w:w="993" w:type="dxa"/>
            <w:vAlign w:val="center"/>
          </w:tcPr>
          <w:p w14:paraId="4717A3A8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30,6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850" w:type="dxa"/>
            <w:vAlign w:val="center"/>
          </w:tcPr>
          <w:p w14:paraId="70EE3480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  <w:tc>
          <w:tcPr>
            <w:tcW w:w="992" w:type="dxa"/>
            <w:vAlign w:val="center"/>
          </w:tcPr>
          <w:p w14:paraId="7D6115D9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32,8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708" w:type="dxa"/>
            <w:vAlign w:val="center"/>
          </w:tcPr>
          <w:p w14:paraId="10900FB5" w14:textId="77777777" w:rsidR="004D7E7C" w:rsidRPr="00E85915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  <w:tc>
          <w:tcPr>
            <w:tcW w:w="993" w:type="dxa"/>
            <w:vAlign w:val="center"/>
          </w:tcPr>
          <w:p w14:paraId="01B75F8F" w14:textId="77777777" w:rsidR="004D7E7C" w:rsidRPr="0072163A" w:rsidRDefault="004D7E7C" w:rsidP="00A33DEA">
            <w:pPr>
              <w:snapToGrid w:val="0"/>
              <w:jc w:val="right"/>
              <w:rPr>
                <w:rFonts w:ascii="Arial" w:hAnsi="Arial" w:cs="Arial"/>
                <w:b/>
                <w:i/>
              </w:rPr>
            </w:pPr>
            <w:r w:rsidRPr="0072163A">
              <w:rPr>
                <w:rFonts w:ascii="Arial" w:hAnsi="Arial" w:cs="Arial"/>
                <w:b/>
                <w:i/>
              </w:rPr>
              <w:t>0,001</w:t>
            </w:r>
          </w:p>
        </w:tc>
      </w:tr>
      <w:tr w:rsidR="004D7E7C" w14:paraId="34B9D4E0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23910F3F" w14:textId="77777777" w:rsidR="004D7E7C" w:rsidRDefault="004D7E7C" w:rsidP="00A33DEA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commentRangeStart w:id="2"/>
            <w:r>
              <w:rPr>
                <w:rFonts w:ascii="Arial" w:hAnsi="Arial" w:cs="Arial"/>
              </w:rPr>
              <w:t>Hemoglobina (mg/dl)</w:t>
            </w:r>
          </w:p>
        </w:tc>
        <w:tc>
          <w:tcPr>
            <w:tcW w:w="992" w:type="dxa"/>
            <w:vAlign w:val="center"/>
          </w:tcPr>
          <w:p w14:paraId="0F02AE4B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  <w:r w:rsidRPr="00982A0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709" w:type="dxa"/>
            <w:vAlign w:val="center"/>
          </w:tcPr>
          <w:p w14:paraId="74E534E1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  <w:tc>
          <w:tcPr>
            <w:tcW w:w="993" w:type="dxa"/>
            <w:vAlign w:val="center"/>
          </w:tcPr>
          <w:p w14:paraId="182AA070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850" w:type="dxa"/>
            <w:vAlign w:val="center"/>
          </w:tcPr>
          <w:p w14:paraId="3659B68A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92" w:type="dxa"/>
            <w:vAlign w:val="center"/>
          </w:tcPr>
          <w:p w14:paraId="2ABC9B69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  <w:r w:rsidRPr="00982A03">
              <w:rPr>
                <w:rFonts w:ascii="Arial" w:hAnsi="Arial" w:cs="Arial"/>
                <w:vertAlign w:val="superscript"/>
              </w:rPr>
              <w:t>a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commentRangeEnd w:id="2"/>
        <w:tc>
          <w:tcPr>
            <w:tcW w:w="708" w:type="dxa"/>
            <w:vAlign w:val="center"/>
          </w:tcPr>
          <w:p w14:paraId="20A2C55E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  <w:r>
              <w:rPr>
                <w:rStyle w:val="Refdecomentrio"/>
              </w:rPr>
              <w:commentReference w:id="2"/>
            </w:r>
          </w:p>
        </w:tc>
        <w:tc>
          <w:tcPr>
            <w:tcW w:w="993" w:type="dxa"/>
            <w:vAlign w:val="center"/>
          </w:tcPr>
          <w:p w14:paraId="1F7A5FCC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 w:rsidRPr="0072163A">
              <w:rPr>
                <w:rFonts w:ascii="Arial" w:hAnsi="Arial" w:cs="Arial"/>
                <w:b/>
                <w:i/>
              </w:rPr>
              <w:t>0,001</w:t>
            </w:r>
          </w:p>
        </w:tc>
      </w:tr>
      <w:tr w:rsidR="004D7E7C" w14:paraId="30502B41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58285EF4" w14:textId="77777777" w:rsidR="004D7E7C" w:rsidRDefault="004D7E7C" w:rsidP="00A33DEA">
            <w:pPr>
              <w:tabs>
                <w:tab w:val="left" w:pos="249"/>
              </w:tabs>
              <w:ind w:right="-10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Volume sanguíneo (ml)</w:t>
            </w:r>
          </w:p>
        </w:tc>
        <w:tc>
          <w:tcPr>
            <w:tcW w:w="992" w:type="dxa"/>
            <w:vAlign w:val="center"/>
          </w:tcPr>
          <w:p w14:paraId="1FCF9EB8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4099</w:t>
            </w:r>
          </w:p>
        </w:tc>
        <w:tc>
          <w:tcPr>
            <w:tcW w:w="709" w:type="dxa"/>
            <w:vAlign w:val="center"/>
          </w:tcPr>
          <w:p w14:paraId="7B08B7C8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599</w:t>
            </w:r>
          </w:p>
        </w:tc>
        <w:tc>
          <w:tcPr>
            <w:tcW w:w="993" w:type="dxa"/>
            <w:vAlign w:val="center"/>
          </w:tcPr>
          <w:p w14:paraId="187F63AD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3975</w:t>
            </w:r>
          </w:p>
        </w:tc>
        <w:tc>
          <w:tcPr>
            <w:tcW w:w="850" w:type="dxa"/>
            <w:vAlign w:val="center"/>
          </w:tcPr>
          <w:p w14:paraId="6A1FAC9A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705</w:t>
            </w:r>
          </w:p>
        </w:tc>
        <w:tc>
          <w:tcPr>
            <w:tcW w:w="992" w:type="dxa"/>
            <w:vAlign w:val="center"/>
          </w:tcPr>
          <w:p w14:paraId="5C2D7818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3988</w:t>
            </w:r>
          </w:p>
        </w:tc>
        <w:tc>
          <w:tcPr>
            <w:tcW w:w="708" w:type="dxa"/>
            <w:vAlign w:val="center"/>
          </w:tcPr>
          <w:p w14:paraId="57651CFD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704</w:t>
            </w:r>
          </w:p>
        </w:tc>
        <w:tc>
          <w:tcPr>
            <w:tcW w:w="993" w:type="dxa"/>
            <w:vAlign w:val="center"/>
          </w:tcPr>
          <w:p w14:paraId="5D1601CE" w14:textId="77777777" w:rsidR="004D7E7C" w:rsidRPr="00D726D6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0,841</w:t>
            </w:r>
          </w:p>
        </w:tc>
      </w:tr>
      <w:tr w:rsidR="004D7E7C" w14:paraId="5B6FEA87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0E983A47" w14:textId="77777777" w:rsidR="004D7E7C" w:rsidRPr="0072163A" w:rsidRDefault="004D7E7C" w:rsidP="00A33DEA">
            <w:pPr>
              <w:tabs>
                <w:tab w:val="left" w:pos="249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Grupo II</w:t>
            </w:r>
          </w:p>
        </w:tc>
        <w:tc>
          <w:tcPr>
            <w:tcW w:w="992" w:type="dxa"/>
            <w:vAlign w:val="center"/>
          </w:tcPr>
          <w:p w14:paraId="01006B39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9" w:type="dxa"/>
            <w:vAlign w:val="center"/>
          </w:tcPr>
          <w:p w14:paraId="081E0A61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  <w:vAlign w:val="center"/>
          </w:tcPr>
          <w:p w14:paraId="0380E636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0" w:type="dxa"/>
            <w:vAlign w:val="center"/>
          </w:tcPr>
          <w:p w14:paraId="030C62BA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14:paraId="0D341EC7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</w:p>
        </w:tc>
        <w:tc>
          <w:tcPr>
            <w:tcW w:w="708" w:type="dxa"/>
            <w:vAlign w:val="center"/>
          </w:tcPr>
          <w:p w14:paraId="238D5FAC" w14:textId="77777777" w:rsidR="004D7E7C" w:rsidRDefault="004D7E7C" w:rsidP="00A33DEA">
            <w:pPr>
              <w:snapToGrid w:val="0"/>
              <w:jc w:val="right"/>
              <w:rPr>
                <w:rStyle w:val="Refdecomentrio"/>
              </w:rPr>
            </w:pPr>
          </w:p>
        </w:tc>
        <w:tc>
          <w:tcPr>
            <w:tcW w:w="993" w:type="dxa"/>
            <w:vAlign w:val="center"/>
          </w:tcPr>
          <w:p w14:paraId="019C121F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</w:p>
        </w:tc>
      </w:tr>
      <w:tr w:rsidR="004D7E7C" w14:paraId="07122DF4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6F8530E1" w14:textId="77777777" w:rsidR="004D7E7C" w:rsidRPr="0072163A" w:rsidRDefault="004D7E7C" w:rsidP="00A33DEA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Hematócrito (mg/dl)</w:t>
            </w:r>
          </w:p>
        </w:tc>
        <w:tc>
          <w:tcPr>
            <w:tcW w:w="992" w:type="dxa"/>
            <w:vAlign w:val="center"/>
          </w:tcPr>
          <w:p w14:paraId="63B12C5C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38,4</w:t>
            </w:r>
            <w:r w:rsidRPr="00982A0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709" w:type="dxa"/>
            <w:vAlign w:val="center"/>
          </w:tcPr>
          <w:p w14:paraId="1EFFB2BF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  <w:tc>
          <w:tcPr>
            <w:tcW w:w="993" w:type="dxa"/>
            <w:vAlign w:val="center"/>
          </w:tcPr>
          <w:p w14:paraId="5278FD63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850" w:type="dxa"/>
            <w:vAlign w:val="center"/>
          </w:tcPr>
          <w:p w14:paraId="069D9B0E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  <w:tc>
          <w:tcPr>
            <w:tcW w:w="992" w:type="dxa"/>
            <w:vAlign w:val="center"/>
          </w:tcPr>
          <w:p w14:paraId="675224A0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708" w:type="dxa"/>
            <w:vAlign w:val="center"/>
          </w:tcPr>
          <w:p w14:paraId="55540556" w14:textId="77777777" w:rsidR="004D7E7C" w:rsidRPr="00982A03" w:rsidRDefault="004D7E7C" w:rsidP="00A33DEA">
            <w:pPr>
              <w:snapToGrid w:val="0"/>
              <w:jc w:val="right"/>
              <w:rPr>
                <w:rStyle w:val="Refdecomentrio"/>
                <w:rFonts w:ascii="Arial" w:hAnsi="Arial" w:cs="Arial"/>
              </w:rPr>
            </w:pPr>
            <w:r w:rsidRPr="00982A03">
              <w:rPr>
                <w:rStyle w:val="Refdecomentrio"/>
                <w:rFonts w:ascii="Arial" w:hAnsi="Arial" w:cs="Arial"/>
              </w:rPr>
              <w:t>2,2</w:t>
            </w:r>
          </w:p>
        </w:tc>
        <w:tc>
          <w:tcPr>
            <w:tcW w:w="993" w:type="dxa"/>
            <w:vAlign w:val="center"/>
          </w:tcPr>
          <w:p w14:paraId="135D8DB6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&lt;</w:t>
            </w:r>
            <w:r w:rsidRPr="0072163A">
              <w:rPr>
                <w:rFonts w:ascii="Arial" w:hAnsi="Arial" w:cs="Arial"/>
                <w:b/>
                <w:i/>
              </w:rPr>
              <w:t>0,001</w:t>
            </w:r>
          </w:p>
        </w:tc>
      </w:tr>
      <w:tr w:rsidR="004D7E7C" w14:paraId="3757C36C" w14:textId="77777777" w:rsidTr="00A33DEA">
        <w:trPr>
          <w:trHeight w:hRule="exact" w:val="397"/>
        </w:trPr>
        <w:tc>
          <w:tcPr>
            <w:tcW w:w="2835" w:type="dxa"/>
            <w:vAlign w:val="center"/>
          </w:tcPr>
          <w:p w14:paraId="5F798AE8" w14:textId="77777777" w:rsidR="004D7E7C" w:rsidRDefault="004D7E7C" w:rsidP="00A33DEA">
            <w:pPr>
              <w:tabs>
                <w:tab w:val="left" w:pos="249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Hemoglobina (mg/dl)</w:t>
            </w:r>
          </w:p>
        </w:tc>
        <w:tc>
          <w:tcPr>
            <w:tcW w:w="992" w:type="dxa"/>
            <w:vAlign w:val="center"/>
          </w:tcPr>
          <w:p w14:paraId="54D2D8FF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  <w:r w:rsidRPr="00982A03">
              <w:rPr>
                <w:rFonts w:ascii="Arial" w:hAnsi="Arial" w:cs="Arial"/>
                <w:vertAlign w:val="superscript"/>
              </w:rPr>
              <w:t>a</w:t>
            </w:r>
          </w:p>
        </w:tc>
        <w:tc>
          <w:tcPr>
            <w:tcW w:w="709" w:type="dxa"/>
            <w:vAlign w:val="center"/>
          </w:tcPr>
          <w:p w14:paraId="37DB8C00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  <w:tc>
          <w:tcPr>
            <w:tcW w:w="993" w:type="dxa"/>
            <w:vAlign w:val="center"/>
          </w:tcPr>
          <w:p w14:paraId="7C969BE9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850" w:type="dxa"/>
            <w:vAlign w:val="center"/>
          </w:tcPr>
          <w:p w14:paraId="38E83786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  <w:tc>
          <w:tcPr>
            <w:tcW w:w="992" w:type="dxa"/>
            <w:vAlign w:val="center"/>
          </w:tcPr>
          <w:p w14:paraId="3FA6EF83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  <w:r>
              <w:rPr>
                <w:rFonts w:ascii="Arial" w:hAnsi="Arial" w:cs="Arial"/>
                <w:vertAlign w:val="superscript"/>
              </w:rPr>
              <w:t>b</w:t>
            </w:r>
          </w:p>
        </w:tc>
        <w:tc>
          <w:tcPr>
            <w:tcW w:w="708" w:type="dxa"/>
            <w:vAlign w:val="center"/>
          </w:tcPr>
          <w:p w14:paraId="023F5AA5" w14:textId="77777777" w:rsidR="004D7E7C" w:rsidRDefault="004D7E7C" w:rsidP="00A33DEA">
            <w:pPr>
              <w:snapToGrid w:val="0"/>
              <w:jc w:val="right"/>
              <w:rPr>
                <w:rStyle w:val="Refdecomentrio"/>
              </w:rPr>
            </w:pPr>
            <w:r>
              <w:rPr>
                <w:rStyle w:val="Refdecomentrio"/>
                <w:rFonts w:ascii="Arial" w:hAnsi="Arial" w:cs="Arial"/>
              </w:rPr>
              <w:t>0</w:t>
            </w:r>
            <w:r w:rsidRPr="00982A03">
              <w:rPr>
                <w:rStyle w:val="Refdecomentrio"/>
                <w:rFonts w:ascii="Arial" w:hAnsi="Arial" w:cs="Arial"/>
              </w:rPr>
              <w:t>,</w:t>
            </w:r>
            <w:r>
              <w:rPr>
                <w:rStyle w:val="Refdecomentrio"/>
                <w:rFonts w:ascii="Arial" w:hAnsi="Arial" w:cs="Arial"/>
              </w:rPr>
              <w:t>8</w:t>
            </w:r>
          </w:p>
        </w:tc>
        <w:tc>
          <w:tcPr>
            <w:tcW w:w="993" w:type="dxa"/>
            <w:vAlign w:val="center"/>
          </w:tcPr>
          <w:p w14:paraId="53852E8D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&lt;</w:t>
            </w:r>
            <w:r w:rsidRPr="0072163A">
              <w:rPr>
                <w:rFonts w:ascii="Arial" w:hAnsi="Arial" w:cs="Arial"/>
                <w:b/>
                <w:i/>
              </w:rPr>
              <w:t>0,001</w:t>
            </w:r>
          </w:p>
        </w:tc>
      </w:tr>
      <w:tr w:rsidR="004D7E7C" w14:paraId="45838DF9" w14:textId="77777777" w:rsidTr="00A33DEA">
        <w:trPr>
          <w:trHeight w:hRule="exact" w:val="397"/>
        </w:trPr>
        <w:tc>
          <w:tcPr>
            <w:tcW w:w="2835" w:type="dxa"/>
            <w:tcBorders>
              <w:bottom w:val="thickThinMediumGap" w:sz="12" w:space="0" w:color="000000"/>
            </w:tcBorders>
            <w:vAlign w:val="center"/>
          </w:tcPr>
          <w:p w14:paraId="3CF0DBCE" w14:textId="77777777" w:rsidR="004D7E7C" w:rsidRDefault="004D7E7C" w:rsidP="00A33DEA">
            <w:pPr>
              <w:tabs>
                <w:tab w:val="left" w:pos="249"/>
              </w:tabs>
              <w:ind w:right="-10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Volume sanguíneo (ml)</w:t>
            </w:r>
          </w:p>
        </w:tc>
        <w:tc>
          <w:tcPr>
            <w:tcW w:w="992" w:type="dxa"/>
            <w:tcBorders>
              <w:bottom w:val="thickThinMediumGap" w:sz="12" w:space="0" w:color="000000"/>
            </w:tcBorders>
            <w:vAlign w:val="center"/>
          </w:tcPr>
          <w:p w14:paraId="7F2D31F1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4189</w:t>
            </w:r>
          </w:p>
        </w:tc>
        <w:tc>
          <w:tcPr>
            <w:tcW w:w="709" w:type="dxa"/>
            <w:tcBorders>
              <w:bottom w:val="thickThinMediumGap" w:sz="12" w:space="0" w:color="000000"/>
            </w:tcBorders>
            <w:vAlign w:val="center"/>
          </w:tcPr>
          <w:p w14:paraId="03E1EF07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639</w:t>
            </w:r>
          </w:p>
        </w:tc>
        <w:tc>
          <w:tcPr>
            <w:tcW w:w="993" w:type="dxa"/>
            <w:tcBorders>
              <w:bottom w:val="thickThinMediumGap" w:sz="12" w:space="0" w:color="000000"/>
            </w:tcBorders>
            <w:vAlign w:val="center"/>
          </w:tcPr>
          <w:p w14:paraId="0D9B986B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4026</w:t>
            </w:r>
          </w:p>
        </w:tc>
        <w:tc>
          <w:tcPr>
            <w:tcW w:w="850" w:type="dxa"/>
            <w:tcBorders>
              <w:bottom w:val="thickThinMediumGap" w:sz="12" w:space="0" w:color="000000"/>
            </w:tcBorders>
            <w:vAlign w:val="center"/>
          </w:tcPr>
          <w:p w14:paraId="2532EF2E" w14:textId="77777777" w:rsidR="004D7E7C" w:rsidRDefault="004D7E7C" w:rsidP="00A33DE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712</w:t>
            </w:r>
          </w:p>
        </w:tc>
        <w:tc>
          <w:tcPr>
            <w:tcW w:w="992" w:type="dxa"/>
            <w:tcBorders>
              <w:bottom w:val="thickThinMediumGap" w:sz="12" w:space="0" w:color="000000"/>
            </w:tcBorders>
            <w:vAlign w:val="center"/>
          </w:tcPr>
          <w:p w14:paraId="2E0E74EE" w14:textId="77777777" w:rsidR="004D7E7C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4032</w:t>
            </w:r>
          </w:p>
        </w:tc>
        <w:tc>
          <w:tcPr>
            <w:tcW w:w="708" w:type="dxa"/>
            <w:tcBorders>
              <w:bottom w:val="thickThinMediumGap" w:sz="12" w:space="0" w:color="000000"/>
            </w:tcBorders>
            <w:vAlign w:val="center"/>
          </w:tcPr>
          <w:p w14:paraId="7BA8914B" w14:textId="77777777" w:rsidR="004D7E7C" w:rsidRDefault="004D7E7C" w:rsidP="00A33DEA">
            <w:pPr>
              <w:snapToGrid w:val="0"/>
              <w:jc w:val="right"/>
              <w:rPr>
                <w:rStyle w:val="Refdecomentrio"/>
                <w:rFonts w:ascii="Arial" w:hAnsi="Arial" w:cs="Arial"/>
              </w:rPr>
            </w:pPr>
            <w:r>
              <w:rPr>
                <w:rStyle w:val="Refdecomentrio"/>
                <w:rFonts w:ascii="Arial" w:hAnsi="Arial" w:cs="Arial"/>
              </w:rPr>
              <w:t>706</w:t>
            </w:r>
          </w:p>
        </w:tc>
        <w:tc>
          <w:tcPr>
            <w:tcW w:w="993" w:type="dxa"/>
            <w:tcBorders>
              <w:bottom w:val="thickThinMediumGap" w:sz="12" w:space="0" w:color="000000"/>
            </w:tcBorders>
            <w:vAlign w:val="center"/>
          </w:tcPr>
          <w:p w14:paraId="0CDAEB5A" w14:textId="77777777" w:rsidR="004D7E7C" w:rsidRPr="00D726D6" w:rsidRDefault="004D7E7C" w:rsidP="00A33DEA">
            <w:pPr>
              <w:snapToGrid w:val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0,762</w:t>
            </w:r>
          </w:p>
        </w:tc>
      </w:tr>
    </w:tbl>
    <w:p w14:paraId="1D825151" w14:textId="77777777" w:rsidR="004D7E7C" w:rsidRPr="004D7E7C" w:rsidRDefault="004D7E7C" w:rsidP="004D7E7C">
      <w:pPr>
        <w:jc w:val="both"/>
        <w:rPr>
          <w:lang w:val="pt-PT"/>
        </w:rPr>
      </w:pPr>
      <w:r w:rsidRPr="004D7E7C">
        <w:rPr>
          <w:lang w:val="pt-PT" w:eastAsia="pt-BR"/>
        </w:rPr>
        <w:t xml:space="preserve">Legenda: </w:t>
      </w:r>
      <w:r w:rsidRPr="004D7E7C">
        <w:rPr>
          <w:lang w:val="pt-PT"/>
        </w:rPr>
        <w:t>Dp = desvio-padrão; * ANOVA.</w:t>
      </w:r>
    </w:p>
    <w:p w14:paraId="2B76404E" w14:textId="77777777" w:rsidR="004D7E7C" w:rsidRPr="00AE0BB2" w:rsidRDefault="004D7E7C" w:rsidP="004D7E7C">
      <w:pPr>
        <w:jc w:val="both"/>
        <w:rPr>
          <w:rFonts w:ascii="Arial" w:hAnsi="Arial" w:cs="Arial"/>
          <w:sz w:val="20"/>
          <w:szCs w:val="20"/>
          <w:lang w:val="pt-PT"/>
        </w:rPr>
      </w:pPr>
      <w:r w:rsidRPr="004D7E7C">
        <w:rPr>
          <w:lang w:val="pt-PT"/>
        </w:rPr>
        <w:t xml:space="preserve">Letras distintas indicam diferença estatística ao nível de 5% de significância por meio do teste de </w:t>
      </w:r>
      <w:r w:rsidRPr="004D7E7C">
        <w:rPr>
          <w:i/>
          <w:lang w:val="pt-PT"/>
        </w:rPr>
        <w:t>Tukey</w:t>
      </w:r>
      <w:r>
        <w:rPr>
          <w:rFonts w:ascii="Arial" w:hAnsi="Arial" w:cs="Arial"/>
          <w:sz w:val="20"/>
          <w:szCs w:val="20"/>
          <w:lang w:val="pt-PT"/>
        </w:rPr>
        <w:t>.</w:t>
      </w:r>
    </w:p>
    <w:p w14:paraId="0255DE0C" w14:textId="5FE634BE" w:rsidR="004D7E7C" w:rsidRPr="004D7E7C" w:rsidRDefault="004D7E7C" w:rsidP="004D7E7C">
      <w:pPr>
        <w:rPr>
          <w:lang w:val="pt-PT" w:eastAsia="pt-BR"/>
        </w:rPr>
      </w:pPr>
    </w:p>
    <w:p w14:paraId="5E8331AC" w14:textId="794368A8" w:rsidR="004D7E7C" w:rsidRPr="004D7E7C" w:rsidRDefault="004D7E7C" w:rsidP="004D7E7C">
      <w:pPr>
        <w:rPr>
          <w:b/>
          <w:lang w:val="pt-PT"/>
        </w:rPr>
      </w:pPr>
    </w:p>
    <w:p w14:paraId="31FF0929" w14:textId="7ECD6E8B" w:rsidR="009F32CB" w:rsidRPr="00E13949" w:rsidRDefault="004D7E7C" w:rsidP="00E13949">
      <w:pPr>
        <w:pStyle w:val="Ttulo4"/>
        <w:keepNext w:val="0"/>
        <w:keepLines w:val="0"/>
        <w:numPr>
          <w:ilvl w:val="3"/>
          <w:numId w:val="0"/>
        </w:numPr>
        <w:tabs>
          <w:tab w:val="num" w:pos="864"/>
        </w:tabs>
        <w:suppressAutoHyphens/>
        <w:spacing w:before="0" w:after="100" w:line="360" w:lineRule="auto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3</w:t>
      </w:r>
      <w:r w:rsidR="00E1394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="003A10C0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DISCUSSÃ</w:t>
      </w:r>
      <w:r w:rsidR="00016AC3" w:rsidRPr="00E13949"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O</w:t>
      </w:r>
    </w:p>
    <w:p w14:paraId="28322186" w14:textId="2DF89BA1" w:rsidR="0007178B" w:rsidRPr="00FD620C" w:rsidRDefault="00C24D3B" w:rsidP="00C24D3B">
      <w:pPr>
        <w:pStyle w:val="Pr-formataoHTML"/>
        <w:spacing w:line="360" w:lineRule="auto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31A0" w:rsidRPr="00F474F3">
        <w:rPr>
          <w:rFonts w:ascii="Times New Roman" w:hAnsi="Times New Roman" w:cs="Times New Roman"/>
          <w:sz w:val="24"/>
          <w:szCs w:val="24"/>
        </w:rPr>
        <w:t xml:space="preserve">A ATJ é um dos procedimentos ortopédicos mais realizados para o tratamento da </w:t>
      </w:r>
      <w:r w:rsidR="003A10C0">
        <w:rPr>
          <w:rFonts w:ascii="Times New Roman" w:hAnsi="Times New Roman" w:cs="Times New Roman"/>
          <w:sz w:val="24"/>
          <w:szCs w:val="24"/>
        </w:rPr>
        <w:t>OA</w:t>
      </w:r>
      <w:r w:rsidR="009F31A0" w:rsidRPr="00F474F3">
        <w:rPr>
          <w:rFonts w:ascii="Times New Roman" w:hAnsi="Times New Roman" w:cs="Times New Roman"/>
          <w:sz w:val="24"/>
          <w:szCs w:val="24"/>
        </w:rPr>
        <w:t xml:space="preserve"> avançada. </w:t>
      </w:r>
      <w:r w:rsidR="0007178B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Os Estados Unidos têm a maior taxa de incidência de </w:t>
      </w:r>
      <w:r w:rsidR="003A10C0"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="0007178B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em todo o mundo, com 235 procedimentos / 100.000 habitantes. Somente em 2012, o número </w:t>
      </w:r>
      <w:r w:rsid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>ATJ’s</w:t>
      </w:r>
      <w:r w:rsidR="0007178B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realizadas nos Estados Unidos foi mais de 700.000</w:t>
      </w:r>
      <w:r w:rsid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4F4AB7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procedimentos </w:t>
      </w:r>
      <w:r w:rsidR="004F4AB7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16</w:t>
      </w:r>
      <w:r w:rsidR="0007178B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com uma </w:t>
      </w:r>
      <w:r w:rsidR="00F474F3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demanda </w:t>
      </w:r>
      <w:r w:rsid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>prevista</w:t>
      </w:r>
      <w:r w:rsidR="00F474F3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que </w:t>
      </w:r>
      <w:r w:rsidR="00F474F3" w:rsidRPr="00F474F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deverá crescer em 673% para 3,48 milhões </w:t>
      </w:r>
      <w:r w:rsidR="00FD620C">
        <w:rPr>
          <w:rFonts w:ascii="Times New Roman" w:hAnsi="Times New Roman" w:cs="Times New Roman"/>
          <w:color w:val="212121"/>
          <w:sz w:val="24"/>
          <w:szCs w:val="24"/>
          <w:lang w:val="pt-PT"/>
        </w:rPr>
        <w:t>de procedimentos em 2030</w:t>
      </w:r>
      <w:r w:rsidR="003A10C0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D620C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17</w:t>
      </w:r>
      <w:r w:rsidR="00FD620C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104E1DC7" w14:textId="3A8A411B" w:rsidR="009F31A0" w:rsidRPr="006F696D" w:rsidRDefault="00F474F3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F31A0" w:rsidRPr="0007178B">
        <w:rPr>
          <w:rFonts w:ascii="Times New Roman" w:hAnsi="Times New Roman" w:cs="Times New Roman"/>
          <w:sz w:val="24"/>
          <w:szCs w:val="24"/>
        </w:rPr>
        <w:t xml:space="preserve">A ATJ tem apresentado excelentes resultados, com taxas de sobrevida superior a 90% em seguimento superior a dez e vinte anos </w:t>
      </w:r>
      <w:r w:rsidR="00A35E81">
        <w:rPr>
          <w:rFonts w:ascii="Times New Roman" w:hAnsi="Times New Roman" w:cs="Times New Roman"/>
          <w:color w:val="1A1A1A"/>
          <w:sz w:val="24"/>
          <w:szCs w:val="24"/>
          <w:vertAlign w:val="superscript"/>
        </w:rPr>
        <w:t>18</w:t>
      </w:r>
      <w:r w:rsidR="00A35E81">
        <w:rPr>
          <w:rFonts w:ascii="Times New Roman" w:hAnsi="Times New Roman" w:cs="Times New Roman"/>
          <w:sz w:val="24"/>
          <w:szCs w:val="24"/>
        </w:rPr>
        <w:t xml:space="preserve">. </w:t>
      </w:r>
      <w:r w:rsidR="009F31A0" w:rsidRPr="00A35E81">
        <w:rPr>
          <w:rFonts w:ascii="Times New Roman" w:hAnsi="Times New Roman" w:cs="Times New Roman"/>
          <w:sz w:val="24"/>
          <w:szCs w:val="24"/>
        </w:rPr>
        <w:t>A</w:t>
      </w:r>
      <w:r w:rsidR="009F31A0" w:rsidRPr="0007178B">
        <w:rPr>
          <w:rFonts w:ascii="Times New Roman" w:hAnsi="Times New Roman" w:cs="Times New Roman"/>
          <w:sz w:val="24"/>
          <w:szCs w:val="24"/>
        </w:rPr>
        <w:t xml:space="preserve"> satisfação d</w:t>
      </w:r>
      <w:r w:rsidR="003A10C0">
        <w:rPr>
          <w:rFonts w:ascii="Times New Roman" w:hAnsi="Times New Roman" w:cs="Times New Roman"/>
          <w:sz w:val="24"/>
          <w:szCs w:val="24"/>
        </w:rPr>
        <w:t>o paciente é alta (90%)</w:t>
      </w:r>
      <w:r w:rsidR="009F31A0" w:rsidRPr="0007178B">
        <w:rPr>
          <w:rFonts w:ascii="Times New Roman" w:hAnsi="Times New Roman" w:cs="Times New Roman"/>
          <w:sz w:val="24"/>
          <w:szCs w:val="24"/>
        </w:rPr>
        <w:t xml:space="preserve"> e 93% dos pacientes se submeteriam novamente a este procedimento</w:t>
      </w:r>
      <w:r w:rsidR="009F31A0" w:rsidRPr="0007178B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634B9D">
        <w:rPr>
          <w:rFonts w:ascii="Times New Roman" w:hAnsi="Times New Roman" w:cs="Times New Roman"/>
          <w:color w:val="1A1A1A"/>
          <w:sz w:val="24"/>
          <w:szCs w:val="24"/>
          <w:vertAlign w:val="superscript"/>
        </w:rPr>
        <w:t>19</w:t>
      </w:r>
      <w:r w:rsidR="009F31A0" w:rsidRPr="0007178B">
        <w:rPr>
          <w:rFonts w:ascii="Times New Roman" w:hAnsi="Times New Roman" w:cs="Times New Roman"/>
          <w:sz w:val="24"/>
          <w:szCs w:val="24"/>
        </w:rPr>
        <w:t>. Os resultados da qualidade de vida demonstram que a ATJ apresenta excelente relação custo–benefício e a análise de trabalhos mostra que a mesma é um procedimento altamente eficaz com resultados favoráveis nas intervenções cirúrgicas</w:t>
      </w:r>
      <w:r w:rsidR="009F31A0" w:rsidRPr="0007178B">
        <w:rPr>
          <w:rFonts w:ascii="Times New Roman" w:hAnsi="Times New Roman" w:cs="Times New Roman"/>
          <w:color w:val="1A1A1A"/>
          <w:sz w:val="24"/>
          <w:szCs w:val="24"/>
        </w:rPr>
        <w:t xml:space="preserve"> </w:t>
      </w:r>
      <w:r w:rsidR="00725724">
        <w:rPr>
          <w:rFonts w:ascii="Times New Roman" w:hAnsi="Times New Roman" w:cs="Times New Roman"/>
          <w:color w:val="1A1A1A"/>
          <w:sz w:val="24"/>
          <w:szCs w:val="24"/>
          <w:vertAlign w:val="superscript"/>
        </w:rPr>
        <w:t>20</w:t>
      </w:r>
      <w:r w:rsidR="00725724">
        <w:rPr>
          <w:rFonts w:ascii="Times New Roman" w:hAnsi="Times New Roman" w:cs="Times New Roman"/>
          <w:color w:val="1A1A1A"/>
          <w:sz w:val="24"/>
          <w:szCs w:val="24"/>
        </w:rPr>
        <w:t xml:space="preserve">. </w:t>
      </w:r>
      <w:r w:rsidR="009F31A0" w:rsidRPr="0007178B">
        <w:rPr>
          <w:rFonts w:ascii="Times New Roman" w:hAnsi="Times New Roman" w:cs="Times New Roman"/>
          <w:sz w:val="24"/>
          <w:szCs w:val="24"/>
        </w:rPr>
        <w:t xml:space="preserve">A ATJ, apesar da morbidade inicial, é uma modalidade bem-sucedida de tratamento para OA grave do joelho do ponto de vista funcional, com melhoria da qualidade de vida, conforme assinalaram </w:t>
      </w:r>
      <w:r w:rsidR="0071745A">
        <w:rPr>
          <w:rFonts w:ascii="Times New Roman" w:hAnsi="Times New Roman" w:cs="Times New Roman"/>
          <w:color w:val="1A1A1A"/>
          <w:sz w:val="24"/>
          <w:szCs w:val="24"/>
        </w:rPr>
        <w:t xml:space="preserve">Leão </w:t>
      </w:r>
      <w:r w:rsidR="0071745A" w:rsidRPr="006F696D">
        <w:rPr>
          <w:rFonts w:ascii="Times New Roman" w:hAnsi="Times New Roman" w:cs="Times New Roman"/>
          <w:i/>
          <w:color w:val="1A1A1A"/>
          <w:sz w:val="24"/>
          <w:szCs w:val="24"/>
        </w:rPr>
        <w:t>et al</w:t>
      </w:r>
      <w:r w:rsidR="0071745A">
        <w:rPr>
          <w:rFonts w:ascii="Times New Roman" w:hAnsi="Times New Roman" w:cs="Times New Roman"/>
          <w:color w:val="1A1A1A"/>
          <w:sz w:val="24"/>
          <w:szCs w:val="24"/>
        </w:rPr>
        <w:t>.</w:t>
      </w:r>
      <w:r w:rsidR="006F696D">
        <w:rPr>
          <w:rFonts w:ascii="Times New Roman" w:hAnsi="Times New Roman" w:cs="Times New Roman"/>
          <w:color w:val="1A1A1A"/>
          <w:sz w:val="24"/>
          <w:szCs w:val="24"/>
          <w:vertAlign w:val="superscript"/>
        </w:rPr>
        <w:t>21</w:t>
      </w:r>
    </w:p>
    <w:p w14:paraId="1FD9172A" w14:textId="77B71C38" w:rsidR="009F31A0" w:rsidRPr="0069035E" w:rsidRDefault="009F31A0" w:rsidP="009323DB">
      <w:pPr>
        <w:spacing w:line="360" w:lineRule="auto"/>
        <w:ind w:firstLine="851"/>
        <w:jc w:val="both"/>
        <w:rPr>
          <w:b/>
        </w:rPr>
      </w:pPr>
      <w:r w:rsidRPr="00A76B78">
        <w:t>Durante os últimos dez anos, tem sido d</w:t>
      </w:r>
      <w:r>
        <w:t>ada maior atenção aos cuidados da perda sangu</w:t>
      </w:r>
      <w:r w:rsidRPr="00A76B78">
        <w:t xml:space="preserve">ínea </w:t>
      </w:r>
      <w:r w:rsidR="002A04E9">
        <w:t>após a ATJ</w:t>
      </w:r>
      <w:r w:rsidRPr="00A76B78">
        <w:t xml:space="preserve">, pois é um resultado modificável que tem um efeito significativo na taxa </w:t>
      </w:r>
      <w:r w:rsidRPr="00A76B78">
        <w:lastRenderedPageBreak/>
        <w:t xml:space="preserve">de complicações, na recuperação e na </w:t>
      </w:r>
      <w:r>
        <w:t>questão econômica</w:t>
      </w:r>
      <w:r w:rsidRPr="00A76B78">
        <w:t>.</w:t>
      </w:r>
      <w:r>
        <w:t xml:space="preserve"> </w:t>
      </w:r>
      <w:r w:rsidRPr="00A76B78">
        <w:t xml:space="preserve">A perda de sangue após </w:t>
      </w:r>
      <w:r>
        <w:t>a ATJ</w:t>
      </w:r>
      <w:r w:rsidRPr="00A76B78">
        <w:t xml:space="preserve"> foi grandemente reduzida durante este </w:t>
      </w:r>
      <w:r>
        <w:t xml:space="preserve">período de </w:t>
      </w:r>
      <w:r w:rsidRPr="00A76B78">
        <w:t xml:space="preserve">tempo, </w:t>
      </w:r>
      <w:r w:rsidR="002A04E9">
        <w:t>com melhora</w:t>
      </w:r>
      <w:r w:rsidRPr="00A76B78">
        <w:t xml:space="preserve"> </w:t>
      </w:r>
      <w:r w:rsidR="002A04E9">
        <w:t>d</w:t>
      </w:r>
      <w:r w:rsidRPr="00A76B78">
        <w:t xml:space="preserve">as taxas de transfusão </w:t>
      </w:r>
      <w:r>
        <w:t>de hemoderivados</w:t>
      </w:r>
      <w:r w:rsidRPr="00A76B78">
        <w:t xml:space="preserve">. Isto </w:t>
      </w:r>
      <w:r w:rsidR="00DA52BB">
        <w:t>diminuiu</w:t>
      </w:r>
      <w:r w:rsidRPr="00A76B78">
        <w:t xml:space="preserve"> significativamente as complicações associadas à transfusão, tais como sobrecarga de fluidos, infecção e </w:t>
      </w:r>
      <w:r>
        <w:t xml:space="preserve">aumento do tempo de permanência hospitalar. </w:t>
      </w:r>
      <w:r w:rsidRPr="00A76B78">
        <w:t>O maior avanço na redução d</w:t>
      </w:r>
      <w:r>
        <w:t>a perda sangu</w:t>
      </w:r>
      <w:r w:rsidRPr="00A76B78">
        <w:t xml:space="preserve">ínea peri-operatória </w:t>
      </w:r>
      <w:r w:rsidR="002A04E9">
        <w:t>na</w:t>
      </w:r>
      <w:r w:rsidRPr="00A76B78">
        <w:t xml:space="preserve"> </w:t>
      </w:r>
      <w:r>
        <w:t>ATJ</w:t>
      </w:r>
      <w:r w:rsidRPr="00A76B78">
        <w:t xml:space="preserve"> tem sido </w:t>
      </w:r>
      <w:r>
        <w:t>a introdução do</w:t>
      </w:r>
      <w:r w:rsidRPr="00A76B78">
        <w:t xml:space="preserve"> </w:t>
      </w:r>
      <w:r>
        <w:t>TXA</w:t>
      </w:r>
      <w:r w:rsidRPr="00A76B78">
        <w:t xml:space="preserve">, que reduz a perda de sangue sem aumentar o risco de eventos </w:t>
      </w:r>
      <w:r w:rsidRPr="00DF43B4">
        <w:t xml:space="preserve">tromboembólicos </w:t>
      </w:r>
      <w:r w:rsidR="006F696D">
        <w:rPr>
          <w:color w:val="1A1A1A"/>
          <w:vertAlign w:val="superscript"/>
        </w:rPr>
        <w:t>22</w:t>
      </w:r>
      <w:r w:rsidRPr="00DF43B4">
        <w:t>.</w:t>
      </w:r>
    </w:p>
    <w:p w14:paraId="665A5EC0" w14:textId="6CC8F5E2" w:rsidR="009F31A0" w:rsidRPr="00AE680F" w:rsidRDefault="00DA52BB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>
        <w:t>O uso do</w:t>
      </w:r>
      <w:r w:rsidR="009F31A0" w:rsidRPr="0001595D">
        <w:t xml:space="preserve"> TXA reduz o volume e a taxa de transfusão</w:t>
      </w:r>
      <w:r w:rsidR="009F31A0" w:rsidRPr="00AE680F">
        <w:t xml:space="preserve"> de sangue</w:t>
      </w:r>
      <w:r>
        <w:t>. Ao mesmo tempo, a aplicação do</w:t>
      </w:r>
      <w:r w:rsidR="009F31A0" w:rsidRPr="00AE680F">
        <w:t xml:space="preserve"> TXA não aumenta a prevalência de trombose ou embolia pulmonar e não afeta a protrombina e o tempo de tromboplastina parcial ativada. A administração </w:t>
      </w:r>
      <w:r w:rsidR="009F31A0">
        <w:t>endovenosa de 10 a 20 mg/</w:t>
      </w:r>
      <w:r w:rsidR="0006490E">
        <w:t>kg</w:t>
      </w:r>
      <w:r w:rsidR="009F31A0" w:rsidRPr="00AE680F">
        <w:t xml:space="preserve"> de TXA trinta minutos antes da deflação do torniquete e de</w:t>
      </w:r>
      <w:r w:rsidR="009F31A0">
        <w:t xml:space="preserve"> 10 a 15 mg/</w:t>
      </w:r>
      <w:r w:rsidR="009F31A0" w:rsidRPr="00AE680F">
        <w:t xml:space="preserve">kg a cada três a oito horas </w:t>
      </w:r>
      <w:r w:rsidR="009F31A0">
        <w:t xml:space="preserve">e </w:t>
      </w:r>
      <w:r w:rsidR="009F31A0" w:rsidRPr="00AE680F">
        <w:t>24 h ou uma vez por dia durante três dias, parece ser um método eficaz. Outro método viável é a via intra-</w:t>
      </w:r>
      <w:r w:rsidR="009F31A0">
        <w:t>articular de injeção de 50 mg/</w:t>
      </w:r>
      <w:r w:rsidR="009F31A0" w:rsidRPr="00AE680F">
        <w:t>kg após cirurgia</w:t>
      </w:r>
      <w:r w:rsidR="00C11436">
        <w:t xml:space="preserve"> </w:t>
      </w:r>
      <w:r w:rsidR="00C11436">
        <w:rPr>
          <w:vertAlign w:val="superscript"/>
        </w:rPr>
        <w:t>23</w:t>
      </w:r>
      <w:r w:rsidR="00C11436">
        <w:t>.</w:t>
      </w:r>
    </w:p>
    <w:p w14:paraId="33F1EA4E" w14:textId="43C84B23" w:rsidR="009F31A0" w:rsidRPr="00AE680F" w:rsidRDefault="009F31A0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 xml:space="preserve">A administração combinada endovenosa e tópica de TXA resultou numa redução clinicamente relevante na perda de sangue na ordem de 37% quando comparado com TXA venoso, tanto quanto nas primeiras 24 horas do pós-operatório como segundo dia de pós-operatório. Não foram observadas complicações tromboembólicas </w:t>
      </w:r>
      <w:r w:rsidR="00C11436">
        <w:rPr>
          <w:vertAlign w:val="superscript"/>
        </w:rPr>
        <w:t>24</w:t>
      </w:r>
      <w:r w:rsidRPr="00AE680F">
        <w:rPr>
          <w:color w:val="1A1A1A"/>
        </w:rPr>
        <w:t>.</w:t>
      </w:r>
    </w:p>
    <w:p w14:paraId="62B68428" w14:textId="6AC6078D" w:rsidR="009F31A0" w:rsidRPr="00AE680F" w:rsidRDefault="009F31A0" w:rsidP="009323D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60" w:lineRule="auto"/>
        <w:ind w:firstLine="851"/>
        <w:jc w:val="both"/>
        <w:rPr>
          <w:color w:val="1A1A1A"/>
        </w:rPr>
      </w:pPr>
      <w:r w:rsidRPr="00AE680F">
        <w:rPr>
          <w:color w:val="1A1A1A"/>
        </w:rPr>
        <w:t xml:space="preserve">Rocha </w:t>
      </w:r>
      <w:r w:rsidRPr="002A04E9">
        <w:rPr>
          <w:i/>
          <w:color w:val="1A1A1A"/>
        </w:rPr>
        <w:t>et al</w:t>
      </w:r>
      <w:r w:rsidR="002A04E9">
        <w:rPr>
          <w:color w:val="1A1A1A"/>
        </w:rPr>
        <w:t>.,</w:t>
      </w:r>
      <w:r w:rsidRPr="00AE680F">
        <w:rPr>
          <w:color w:val="1A1A1A"/>
        </w:rPr>
        <w:t xml:space="preserve"> verificaram que o TXA foi eficaz na redução do sangramento perioperatório, podendo ser um recurso interessante no manejo do mesmo</w:t>
      </w:r>
      <w:r w:rsidR="000C0744">
        <w:rPr>
          <w:color w:val="1A1A1A"/>
        </w:rPr>
        <w:t xml:space="preserve"> </w:t>
      </w:r>
      <w:r w:rsidR="000C0744">
        <w:rPr>
          <w:color w:val="1A1A1A"/>
          <w:vertAlign w:val="superscript"/>
        </w:rPr>
        <w:t>25</w:t>
      </w:r>
      <w:r w:rsidRPr="00AE680F">
        <w:rPr>
          <w:color w:val="1A1A1A"/>
        </w:rPr>
        <w:t xml:space="preserve">. </w:t>
      </w:r>
      <w:r w:rsidRPr="00AE680F">
        <w:t xml:space="preserve">A utilização tópica (intra-articular) do TXA após o a ATJ reduz o sangramento e a necessidade de transfusão de sangue, evitando que muitos pacientes sofram transfusões desnecessárias e potencialmente perigosas, assim como a redução dos custos de cuidados à saúde </w:t>
      </w:r>
      <w:r w:rsidR="00297E07">
        <w:rPr>
          <w:vertAlign w:val="superscript"/>
        </w:rPr>
        <w:t>26</w:t>
      </w:r>
      <w:r w:rsidR="00297E07">
        <w:rPr>
          <w:color w:val="1A1A1A"/>
        </w:rPr>
        <w:t>.</w:t>
      </w:r>
    </w:p>
    <w:p w14:paraId="0EF8D9DC" w14:textId="452FB404" w:rsidR="009F31A0" w:rsidRDefault="009F31A0" w:rsidP="009323DB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</w:pPr>
      <w:r w:rsidRPr="00AE680F">
        <w:t xml:space="preserve">O uso do TXA por via endovenosa na </w:t>
      </w:r>
      <w:r>
        <w:t>ATJ</w:t>
      </w:r>
      <w:r w:rsidRPr="00AE680F">
        <w:t xml:space="preserve"> reduz as taxas de sangramento no pós-operatório de forma significativa. Os achados </w:t>
      </w:r>
      <w:r w:rsidR="002A04E9">
        <w:t xml:space="preserve">do </w:t>
      </w:r>
      <w:r w:rsidRPr="00AE680F">
        <w:t xml:space="preserve">estudo de </w:t>
      </w:r>
      <w:r w:rsidRPr="00AE680F">
        <w:rPr>
          <w:color w:val="1A1A1A"/>
        </w:rPr>
        <w:t xml:space="preserve">Sadigursky </w:t>
      </w:r>
      <w:r w:rsidRPr="002A04E9">
        <w:rPr>
          <w:i/>
          <w:color w:val="1A1A1A"/>
        </w:rPr>
        <w:t>et al</w:t>
      </w:r>
      <w:r w:rsidR="002A04E9">
        <w:rPr>
          <w:color w:val="1A1A1A"/>
        </w:rPr>
        <w:t>.</w:t>
      </w:r>
      <w:r w:rsidRPr="00AE680F">
        <w:t xml:space="preserve"> demonstraram uma redução da perda total de sangue, dos níveis de hemoglobina, e consequentemente redução da necessidade de hemotransfusões</w:t>
      </w:r>
      <w:r w:rsidR="00297E07">
        <w:rPr>
          <w:vertAlign w:val="superscript"/>
        </w:rPr>
        <w:t xml:space="preserve"> 27</w:t>
      </w:r>
      <w:r w:rsidR="002A04E9">
        <w:t>, resultados que não foram reproduzidos no nosso estudo pois só tivemos diferenças significativas no tocante ao volume do dreno suctor.</w:t>
      </w:r>
    </w:p>
    <w:p w14:paraId="09F73D5C" w14:textId="45523B25" w:rsidR="008D06BC" w:rsidRPr="002A04E9" w:rsidRDefault="008D06BC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</w:r>
      <w:r w:rsidRPr="008D06BC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Kakar </w:t>
      </w:r>
      <w:r w:rsidRPr="00E13949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>et al</w:t>
      </w:r>
      <w:r w:rsidR="00E13949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>.</w:t>
      </w:r>
      <w:r w:rsidRPr="008D06BC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concluíram que o TXA reduz o sangramento perioperatório em quase meta</w:t>
      </w:r>
      <w:r w:rsidR="006A42BB">
        <w:rPr>
          <w:rFonts w:ascii="Times New Roman" w:hAnsi="Times New Roman" w:cs="Times New Roman"/>
          <w:color w:val="212121"/>
          <w:sz w:val="24"/>
          <w:szCs w:val="24"/>
          <w:lang w:val="pt-PT"/>
        </w:rPr>
        <w:t>de em pacientes submetidos a TKA</w:t>
      </w:r>
      <w:r w:rsidRPr="008D06BC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 reduzindo o requisito de transfusão de sangue nesses pacientes em quase 80%</w:t>
      </w:r>
      <w:r w:rsidR="006A42BB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A42BB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28</w:t>
      </w:r>
      <w:r w:rsidR="002A04E9">
        <w:rPr>
          <w:rFonts w:ascii="Times New Roman" w:hAnsi="Times New Roman" w:cs="Times New Roman"/>
          <w:color w:val="212121"/>
          <w:sz w:val="24"/>
          <w:szCs w:val="24"/>
          <w:lang w:val="pt-PT"/>
        </w:rPr>
        <w:t>, no nosso estudo, apesar de haver mais transfusões no grupo sem uso do TXA, estas não foram significativas (</w:t>
      </w:r>
      <w:r w:rsidR="002A04E9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 xml:space="preserve">p </w:t>
      </w:r>
      <w:r w:rsidR="002A04E9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= </w:t>
      </w:r>
      <w:r w:rsidR="000F45CA">
        <w:rPr>
          <w:rFonts w:ascii="Times New Roman" w:hAnsi="Times New Roman" w:cs="Times New Roman"/>
          <w:color w:val="212121"/>
          <w:sz w:val="24"/>
          <w:szCs w:val="24"/>
          <w:lang w:val="pt-PT"/>
        </w:rPr>
        <w:t>0,589).</w:t>
      </w:r>
    </w:p>
    <w:p w14:paraId="4C65CC2A" w14:textId="356111E4" w:rsidR="006A08F9" w:rsidRPr="000F45CA" w:rsidRDefault="006A42BB" w:rsidP="000F45CA">
      <w:pPr>
        <w:spacing w:line="360" w:lineRule="auto"/>
        <w:ind w:firstLine="851"/>
        <w:jc w:val="both"/>
      </w:pPr>
      <w:r>
        <w:rPr>
          <w:lang w:val="pt-PT"/>
        </w:rPr>
        <w:t>Em estudo com desenho semelhante a esse, foi verificado</w:t>
      </w:r>
      <w:r>
        <w:t xml:space="preserve"> que</w:t>
      </w:r>
      <w:r w:rsidR="00E64B5D" w:rsidRPr="00E64B5D">
        <w:t xml:space="preserve"> uso de </w:t>
      </w:r>
      <w:r>
        <w:t>TXA</w:t>
      </w:r>
      <w:r w:rsidR="00E64B5D" w:rsidRPr="00E64B5D">
        <w:t xml:space="preserve"> intravenoso é eficaz para reduzir o sangramento dos</w:t>
      </w:r>
      <w:r>
        <w:t xml:space="preserve"> </w:t>
      </w:r>
      <w:r w:rsidR="00E64B5D" w:rsidRPr="00E64B5D">
        <w:t xml:space="preserve">pacientes submetidos a </w:t>
      </w:r>
      <w:r>
        <w:t>ATJ</w:t>
      </w:r>
      <w:r w:rsidR="00492F23">
        <w:t xml:space="preserve"> </w:t>
      </w:r>
      <w:r w:rsidR="00492F23">
        <w:rPr>
          <w:vertAlign w:val="superscript"/>
        </w:rPr>
        <w:t>29</w:t>
      </w:r>
      <w:r w:rsidR="00492F23">
        <w:t xml:space="preserve">, porém os resultados de taxa de transfusão, queda da hemoglobina e hematócrito foram diferentes, onde no nosso estudo não foram observadas diferenças estatisticamente significativas no tocante </w:t>
      </w:r>
      <w:r w:rsidR="00D7700E">
        <w:t>a</w:t>
      </w:r>
      <w:r w:rsidR="00492F23">
        <w:t xml:space="preserve"> esses parâmetros.</w:t>
      </w:r>
    </w:p>
    <w:p w14:paraId="06ABB931" w14:textId="2936A0B4" w:rsidR="00E64B5D" w:rsidRPr="0076788C" w:rsidRDefault="001532A0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lastRenderedPageBreak/>
        <w:tab/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Atualmente, vários métodos de cálculo para avaliar a perda de sangue em pacientes com 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são aplicados na prática clínica.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Contudo, diferentes métodos de cálculo podem produzir resultados diferentes. 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Gao </w:t>
      </w:r>
      <w:r w:rsidR="000F45CA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>et a</w:t>
      </w:r>
      <w:r w:rsidR="00FF24B2" w:rsidRPr="00AB648E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>l</w:t>
      </w:r>
      <w:r w:rsidR="000F45CA">
        <w:rPr>
          <w:rFonts w:ascii="Times New Roman" w:hAnsi="Times New Roman" w:cs="Times New Roman"/>
          <w:i/>
          <w:color w:val="212121"/>
          <w:sz w:val="24"/>
          <w:szCs w:val="24"/>
          <w:lang w:val="pt-PT"/>
        </w:rPr>
        <w:t>.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compararam</w:t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quatro métodos que são comumente usados ​​para calcular a quantidade de perda de sangue após 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>ATJ primária, com o objetivo</w:t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>de</w:t>
      </w:r>
      <w:r w:rsidR="00FF24B2" w:rsidRP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fornecer suporte teórico para o método mais confiável e um modelo experimental para melhorar o gerenciamen</w:t>
      </w:r>
      <w:r w:rsidR="00FF24B2">
        <w:rPr>
          <w:rFonts w:ascii="Times New Roman" w:hAnsi="Times New Roman" w:cs="Times New Roman"/>
          <w:color w:val="212121"/>
          <w:sz w:val="24"/>
          <w:szCs w:val="24"/>
          <w:lang w:val="pt-PT"/>
        </w:rPr>
        <w:t>to de sangue na prática clínica, sendo o modelo que utilizamos é o mais confiável para estimar a perda sanguínea após a ATJ</w:t>
      </w:r>
      <w:r w:rsidR="000F45C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segundo o estudo</w:t>
      </w:r>
      <w:r w:rsidR="0076788C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76788C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5D0B95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0</w:t>
      </w:r>
      <w:r w:rsidR="0076788C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. </w:t>
      </w:r>
    </w:p>
    <w:p w14:paraId="6DEB6E31" w14:textId="4A582CFA" w:rsidR="000235E6" w:rsidRPr="000235E6" w:rsidRDefault="000235E6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ab/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A a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dministração de </w:t>
      </w:r>
      <w:r w:rsidR="000F45CA">
        <w:rPr>
          <w:rFonts w:ascii="Times New Roman" w:hAnsi="Times New Roman" w:cs="Times New Roman"/>
          <w:color w:val="212121"/>
          <w:sz w:val="24"/>
          <w:szCs w:val="24"/>
          <w:lang w:val="pt-PT"/>
        </w:rPr>
        <w:t>TXA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30 minutos antes da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deflação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do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torniquete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>combinada com 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plicação de drenagem neutra por 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>três horas pós-operatório foram efetivas na redução da perda de sangue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>e prevenção de efeitos colaterais da transfusão. O método seria útil para diminuir a frequência e o volume de transfusão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e a quantidade de perda de sangue em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Pr="000235E6">
        <w:rPr>
          <w:rFonts w:ascii="Times New Roman" w:hAnsi="Times New Roman" w:cs="Times New Roman"/>
          <w:color w:val="212121"/>
          <w:sz w:val="24"/>
          <w:szCs w:val="24"/>
          <w:lang w:val="pt-PT"/>
        </w:rPr>
        <w:t>, es</w:t>
      </w:r>
      <w:r w:rsidR="00AB648E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pecialmente em casos bilaterais </w:t>
      </w:r>
      <w:r w:rsidR="00AB648E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1</w:t>
      </w:r>
      <w:r w:rsidR="00FC1DC4">
        <w:rPr>
          <w:rFonts w:ascii="Times New Roman" w:hAnsi="Times New Roman" w:cs="Times New Roman"/>
          <w:color w:val="212121"/>
          <w:sz w:val="24"/>
          <w:szCs w:val="24"/>
          <w:lang w:val="pt-PT"/>
        </w:rPr>
        <w:t>, não realizamos ao fechamento do dreno, e justamente nas primeiras horas foi verificado o maior sangramento.</w:t>
      </w:r>
    </w:p>
    <w:p w14:paraId="5F954CCA" w14:textId="40A1D9F4" w:rsidR="0042086B" w:rsidRDefault="003C29E1" w:rsidP="00E13949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  <w:t>A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>pe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sar do aumento do custo médio 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com a administração de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TXA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em pacientes saudáveis,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houve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reduções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substanciáveis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concomitantes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de custos hospitalares; e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>sses achados representam uma oportunidade para que as instituições incorporem tanto a contenção de custos quanto as melhores práticas de cuidados ao paciente.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Além disso, isso é especialmente importante, dado 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a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os aumentos esperados nos volumes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cirurgias</w:t>
      </w:r>
      <w:r w:rsidR="0042086B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. Mesmo pequenas economias 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por paciente, quando tomadas no contexto de procedimentos de alto volume, têm o potencial de resultar em </w:t>
      </w:r>
      <w:r w:rsidR="0042086B">
        <w:rPr>
          <w:rFonts w:ascii="Times New Roman" w:hAnsi="Times New Roman" w:cs="Times New Roman"/>
          <w:color w:val="212121"/>
          <w:sz w:val="24"/>
          <w:szCs w:val="24"/>
          <w:lang w:val="pt-PT"/>
        </w:rPr>
        <w:t>diminuição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significativa de custos</w:t>
      </w:r>
      <w:r w:rsidR="00AB648E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AB648E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2</w:t>
      </w:r>
      <w:r w:rsidR="0014282F" w:rsidRPr="003C29E1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770E4DC5" w14:textId="4EBB9BAF" w:rsidR="002568C1" w:rsidRDefault="004A38BA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  <w:t>T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anto TXA </w:t>
      </w:r>
      <w:r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IV como IA 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tiveram efeito comparável nas incidências de transfusão durante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>. Da mesma forma, não houve diferença no peri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>operatório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da 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perda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sanguínea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edema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pós-operatório dos membros inferiores entre os grupos. Os autores concluem que TXA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IA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é uma alternativa ao TXA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IV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para cirurgiões que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assistem</w:t>
      </w:r>
      <w:r w:rsidR="00D9704E" w:rsidRPr="004A38B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pacientes submetidos a </w:t>
      </w:r>
      <w:r w:rsidR="008F25A8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ATJ </w:t>
      </w:r>
      <w:r w:rsidR="008F25A8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8F25A8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5617BB93" w14:textId="3EEA5683" w:rsidR="00DC3D62" w:rsidRPr="002124A1" w:rsidRDefault="002124A1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</w:r>
      <w:r w:rsidR="009F593A">
        <w:rPr>
          <w:rFonts w:ascii="Times New Roman" w:hAnsi="Times New Roman" w:cs="Times New Roman"/>
          <w:color w:val="212121"/>
          <w:sz w:val="24"/>
          <w:szCs w:val="24"/>
          <w:lang w:val="pt-PT"/>
        </w:rPr>
        <w:t>Uma nova diretriz relata que a</w:t>
      </w:r>
      <w:r w:rsidR="00DC3D62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administração oral de TXA no contexto de um programa </w:t>
      </w:r>
      <w:r w:rsidR="009F593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de conservação sanguínea </w:t>
      </w:r>
      <w:r w:rsidR="00DC3D62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diminui o requisito de transfusão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DC3D62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sem maiores complicações. Isso tem implicações para a prática clínica, pois o TXA oral é mais simples e</w:t>
      </w:r>
      <w:r w:rsidR="009F593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DC3D62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significativamente mais barato de administrar</w:t>
      </w:r>
      <w:r w:rsidR="008F25A8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8F25A8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4</w:t>
      </w:r>
      <w:r w:rsidR="00BA3714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02C9AA11" w14:textId="2C1B9308" w:rsidR="002124A1" w:rsidRPr="00827E98" w:rsidRDefault="00CD6FB7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  <w:t>Uma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revi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são sistemática demonstra que a administração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venosa e tópica reduze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a perda de sangue após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a ATJ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, mas os efeitos de redução de transfusão variam em estudos com ambos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os métodos e que os efeitos do TXA 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na perda de sangue e redução de transfusão são influenciados por doses e horários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de administração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, com 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>a segurança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confirmada para eventos tromboembólicos</w:t>
      </w:r>
      <w:r w:rsidR="00684F4B">
        <w:rPr>
          <w:rFonts w:ascii="Times New Roman" w:hAnsi="Times New Roman" w:cs="Times New Roman"/>
          <w:color w:val="212121"/>
          <w:sz w:val="24"/>
          <w:szCs w:val="24"/>
          <w:lang w:val="pt-PT"/>
        </w:rPr>
        <w:t>, com recomendação da incorporação d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o uso de </w:t>
      </w:r>
      <w:r w:rsidR="00684F4B">
        <w:rPr>
          <w:rFonts w:ascii="Times New Roman" w:hAnsi="Times New Roman" w:cs="Times New Roman"/>
          <w:color w:val="212121"/>
          <w:sz w:val="24"/>
          <w:szCs w:val="24"/>
          <w:lang w:val="pt-PT"/>
        </w:rPr>
        <w:t>TXA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nos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protocolos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para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lastRenderedPageBreak/>
        <w:t>ATJ’s,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sem muita preocupação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de eventos adversos,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com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doses ideais,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horários e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vias de administração do</w:t>
      </w:r>
      <w:r w:rsidR="002124A1" w:rsidRPr="002124A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93907">
        <w:rPr>
          <w:rFonts w:ascii="Times New Roman" w:hAnsi="Times New Roman" w:cs="Times New Roman"/>
          <w:color w:val="212121"/>
          <w:sz w:val="24"/>
          <w:szCs w:val="24"/>
          <w:lang w:val="pt-PT"/>
        </w:rPr>
        <w:t>TXA</w:t>
      </w:r>
      <w:r w:rsidR="00BA3714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BA3714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5</w:t>
      </w:r>
      <w:r w:rsidR="00BA3714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.  </w:t>
      </w:r>
    </w:p>
    <w:p w14:paraId="2371BF39" w14:textId="2BFD5D4E" w:rsidR="00DC3D62" w:rsidRPr="0052368A" w:rsidRDefault="00B20657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  <w:t>A</w:t>
      </w:r>
      <w:r w:rsidR="002C3AA2" w:rsidRPr="002C3AA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perda de sangue perioperatória após a </w:t>
      </w:r>
      <w:r w:rsidR="00AE5B27"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="002C3AA2" w:rsidRPr="002C3AA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foi </w:t>
      </w:r>
      <w:r w:rsidR="00AE5B27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diminuiu </w:t>
      </w:r>
      <w:r w:rsidR="002C3AA2" w:rsidRPr="002C3AA2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bastante nos últimos </w:t>
      </w:r>
      <w:r w:rsidR="002C3AA2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dez anos, reduzindo drasticamente a taxa de transfusão. Isso tem benefícios para a </w:t>
      </w:r>
      <w:r w:rsidR="00BD0845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limitando </w:t>
      </w:r>
      <w:r w:rsidR="002C3AA2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as complicações associadas à transfusão, como sobrecarga </w:t>
      </w:r>
      <w:r w:rsidR="00BD0845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líquida</w:t>
      </w:r>
      <w:r w:rsidR="002C3AA2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, infecção e aumento do tempo de permanência</w:t>
      </w:r>
      <w:r w:rsidR="00AE5B27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hospitalar</w:t>
      </w:r>
      <w:r w:rsidR="002C3AA2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. O maior advento, no entanto, tem sido a introdução de TXA, que reduz a perda de sangue sem aumentar o risco de TEV</w:t>
      </w:r>
      <w:r w:rsidR="00F7084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F70841" w:rsidRPr="0052368A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6</w:t>
      </w:r>
      <w:r w:rsidR="00F7084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2EE04CA8" w14:textId="09431339" w:rsidR="00546F72" w:rsidRPr="0052368A" w:rsidRDefault="00827E98" w:rsidP="009323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851"/>
        <w:jc w:val="both"/>
        <w:rPr>
          <w:color w:val="212121"/>
          <w:lang w:val="pt-PT"/>
        </w:rPr>
      </w:pPr>
      <w:r w:rsidRPr="0052368A">
        <w:rPr>
          <w:color w:val="212121"/>
          <w:lang w:val="pt-PT"/>
        </w:rPr>
        <w:tab/>
      </w:r>
      <w:r w:rsidR="002D7F89" w:rsidRPr="0052368A">
        <w:rPr>
          <w:color w:val="212121"/>
          <w:lang w:val="pt-PT"/>
        </w:rPr>
        <w:t>Com a mesma dose total de TXA pré-operatória e a dose adicional, foram superiores à dose pré-operatória única na redução da perda de sangue na ATJ. Além disso, a dose adicional foi comparável à dupla dose adicional na redução da perda de sangue</w:t>
      </w:r>
      <w:r w:rsidR="00F70841" w:rsidRPr="0052368A">
        <w:rPr>
          <w:color w:val="212121"/>
          <w:lang w:val="pt-PT"/>
        </w:rPr>
        <w:t xml:space="preserve"> </w:t>
      </w:r>
      <w:r w:rsidR="00F70841" w:rsidRPr="0052368A">
        <w:rPr>
          <w:color w:val="212121"/>
          <w:vertAlign w:val="superscript"/>
          <w:lang w:val="pt-PT"/>
        </w:rPr>
        <w:t>3</w:t>
      </w:r>
      <w:r w:rsidR="003E5E5F">
        <w:rPr>
          <w:color w:val="212121"/>
          <w:vertAlign w:val="superscript"/>
          <w:lang w:val="pt-PT"/>
        </w:rPr>
        <w:t>7</w:t>
      </w:r>
      <w:r w:rsidR="002D7F89" w:rsidRPr="0052368A">
        <w:rPr>
          <w:color w:val="212121"/>
          <w:lang w:val="pt-PT"/>
        </w:rPr>
        <w:t xml:space="preserve">. </w:t>
      </w:r>
    </w:p>
    <w:p w14:paraId="000088BF" w14:textId="12933806" w:rsidR="00844781" w:rsidRPr="0052368A" w:rsidRDefault="00F70841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</w:r>
      <w:r w:rsidR="00540F53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O TXA</w:t>
      </w:r>
      <w:r w:rsidR="008447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é</w:t>
      </w:r>
      <w:r w:rsidR="00540F53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8447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eficaz e não aumenta significativamente o risco de AVC, infarto do miocárdio,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8447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trombose venosa profunda, embolia pulmonar e insuficiência renal. A injeção de TXA 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EV</w:t>
      </w:r>
      <w:r w:rsidR="008447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 </w:t>
      </w:r>
      <w:r w:rsidR="007A6EFE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intra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-articular</w:t>
      </w:r>
      <w:r w:rsidR="008447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(tópica) demonstrou ser eficaz no controle da perda de sangue e requisito de transfusão. A dosagem comum IV TXA é de 10 mg / kg antes da inflação do torniquete e durante o fechamento</w:t>
      </w:r>
      <w:r w:rsidR="00B35D67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B35D67" w:rsidRPr="0052368A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8</w:t>
      </w:r>
      <w:r w:rsidR="00B35D67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.</w:t>
      </w:r>
    </w:p>
    <w:p w14:paraId="7E45CF41" w14:textId="03AACD73" w:rsidR="002D7F89" w:rsidRPr="0052368A" w:rsidRDefault="00BB3E99" w:rsidP="00E13949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ab/>
      </w:r>
      <w:r w:rsidR="00DE4659" w:rsidRPr="0052368A">
        <w:rPr>
          <w:rFonts w:ascii="Times New Roman" w:hAnsi="Times New Roman" w:cs="Times New Roman"/>
          <w:color w:val="212121"/>
          <w:sz w:val="24"/>
          <w:szCs w:val="24"/>
        </w:rPr>
        <w:t>O</w:t>
      </w:r>
      <w:r w:rsidR="00DE4659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s 3 modos de administração de TXA (oral, venoso e tópico) reduziram significativamente a perda de Hb pós-operatória, o número de transfusões e os custos de transfusão. Não foi observada nenhuma embolia pulmonar</w:t>
      </w:r>
      <w:r w:rsidR="0081537D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(EP)</w:t>
      </w:r>
      <w:r w:rsidR="00DE4659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ou infecção. O TXA oral é recomendado porque proporcionou um benefício clínico semelhante e resultou no menor custo de TXA em comparação com os outros 2 modos de administração de TXA</w:t>
      </w:r>
      <w:r w:rsidR="00B35D67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39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, não foi objetivo do nosso estudo avaliar as complicações.</w:t>
      </w:r>
    </w:p>
    <w:p w14:paraId="0CF7AD63" w14:textId="5337DF0B" w:rsidR="00687981" w:rsidRPr="0052368A" w:rsidRDefault="007A6EFE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</w:rPr>
        <w:t xml:space="preserve">O </w:t>
      </w:r>
      <w:r w:rsidR="006879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TXA é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eficaz e seguro em pacientes submetidos à ATJ</w:t>
      </w:r>
      <w:r w:rsidR="006879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. O TXA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EV e tópico</w:t>
      </w:r>
      <w:r w:rsidR="00687981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combinado pode apresentar melhor desempenho</w:t>
      </w:r>
      <w:r w:rsidR="006908DC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908DC" w:rsidRPr="0052368A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4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0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, não fizemos este tipo de comparação no estudo. </w:t>
      </w:r>
    </w:p>
    <w:p w14:paraId="6CE18062" w14:textId="5881962D" w:rsidR="005A0418" w:rsidRPr="0052368A" w:rsidRDefault="005A0418" w:rsidP="009323D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A admin</w:t>
      </w:r>
      <w:r w:rsidR="003E5E5F">
        <w:rPr>
          <w:rFonts w:ascii="Times New Roman" w:hAnsi="Times New Roman" w:cs="Times New Roman"/>
          <w:color w:val="212121"/>
          <w:sz w:val="24"/>
          <w:szCs w:val="24"/>
          <w:lang w:val="pt-PT"/>
        </w:rPr>
        <w:t>istração do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3E5E5F">
        <w:rPr>
          <w:rFonts w:ascii="Times New Roman" w:hAnsi="Times New Roman" w:cs="Times New Roman"/>
          <w:color w:val="212121"/>
          <w:sz w:val="24"/>
          <w:szCs w:val="24"/>
          <w:lang w:val="pt-PT"/>
        </w:rPr>
        <w:t>TXA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tópico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reduz ainda mais a perda de sangue após 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em comparação com o uso 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EV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sozinho; nenhum efeito adicional na redução adicional da perda de sangue foi encontrado em combinação com </w:t>
      </w:r>
      <w:r w:rsidR="003E5E5F">
        <w:rPr>
          <w:rFonts w:ascii="Times New Roman" w:hAnsi="Times New Roman" w:cs="Times New Roman"/>
          <w:color w:val="212121"/>
          <w:sz w:val="24"/>
          <w:szCs w:val="24"/>
          <w:lang w:val="pt-PT"/>
        </w:rPr>
        <w:t>TXA E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V. Estudos adequados são necessários para confirmar a segurança desta via de administração como a via de administração preferida em TKA</w:t>
      </w:r>
      <w:r w:rsidR="008F7894" w:rsidRPr="0052368A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4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1</w:t>
      </w:r>
      <w:r w:rsidR="007A6EFE">
        <w:rPr>
          <w:rFonts w:ascii="Times New Roman" w:hAnsi="Times New Roman" w:cs="Times New Roman"/>
          <w:color w:val="212121"/>
          <w:sz w:val="24"/>
          <w:szCs w:val="24"/>
          <w:lang w:val="pt-PT"/>
        </w:rPr>
        <w:t>, obtivemos resultados semelhantes quando não conseguimos demonstrar estatisticamente o uso do TXA para controle da perda sanguínea estimada, apesar do volume ser menor no grupo com uso de TXA.</w:t>
      </w:r>
    </w:p>
    <w:p w14:paraId="22BF79DD" w14:textId="1F3B6D9C" w:rsidR="004402B7" w:rsidRDefault="007A6EFE" w:rsidP="00DA52BB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>Tanto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TXA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tópico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quanto a dose única de TXA </w:t>
      </w: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EV 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são eficazes na redução da perda </w:t>
      </w:r>
      <w:r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>sanguínea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total e queda da hemoglobina pós-operatória sem aumentar as complicações da </w:t>
      </w:r>
      <w:r w:rsidR="0081537D">
        <w:rPr>
          <w:rFonts w:ascii="Times New Roman" w:hAnsi="Times New Roman" w:cs="Times New Roman"/>
          <w:color w:val="212121"/>
          <w:sz w:val="24"/>
          <w:szCs w:val="24"/>
          <w:lang w:val="pt-PT"/>
        </w:rPr>
        <w:t>trombose venosa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ou </w:t>
      </w:r>
      <w:r w:rsidR="00802F43">
        <w:rPr>
          <w:rFonts w:ascii="Times New Roman" w:hAnsi="Times New Roman" w:cs="Times New Roman"/>
          <w:color w:val="212121"/>
          <w:sz w:val="24"/>
          <w:szCs w:val="24"/>
          <w:lang w:val="pt-PT"/>
        </w:rPr>
        <w:t>EP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. A meta-análise atual sugere que 1,5 g de TXA por administração de </w:t>
      </w:r>
      <w:r w:rsidR="00796C6D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lastRenderedPageBreak/>
        <w:t xml:space="preserve">IA ou 1 g de TXA por administração intravenosa 10 min antes que a deflação do torniquete seja efetiva e segura em pacientes submetidos a </w:t>
      </w:r>
      <w:r w:rsidR="00802F43">
        <w:rPr>
          <w:rFonts w:ascii="Times New Roman" w:hAnsi="Times New Roman" w:cs="Times New Roman"/>
          <w:color w:val="212121"/>
          <w:sz w:val="24"/>
          <w:szCs w:val="24"/>
          <w:lang w:val="pt-PT"/>
        </w:rPr>
        <w:t>ATJ</w:t>
      </w:r>
      <w:r w:rsidR="006E610E" w:rsidRPr="0052368A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</w:t>
      </w:r>
      <w:r w:rsidR="006E610E" w:rsidRPr="0052368A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4</w:t>
      </w:r>
      <w:r w:rsidR="003E5E5F">
        <w:rPr>
          <w:rFonts w:ascii="Times New Roman" w:hAnsi="Times New Roman" w:cs="Times New Roman"/>
          <w:color w:val="212121"/>
          <w:sz w:val="24"/>
          <w:szCs w:val="24"/>
          <w:vertAlign w:val="superscript"/>
          <w:lang w:val="pt-PT"/>
        </w:rPr>
        <w:t>2</w:t>
      </w:r>
      <w:r w:rsidR="0081537D">
        <w:rPr>
          <w:rFonts w:ascii="Times New Roman" w:hAnsi="Times New Roman" w:cs="Times New Roman"/>
          <w:color w:val="212121"/>
          <w:sz w:val="24"/>
          <w:szCs w:val="24"/>
          <w:lang w:val="pt-PT"/>
        </w:rPr>
        <w:t>, dose esta utilizada no nosso estudo.</w:t>
      </w:r>
    </w:p>
    <w:p w14:paraId="45E8CEF1" w14:textId="1CBC5134" w:rsidR="00A33DEA" w:rsidRDefault="00A33DEA" w:rsidP="00A33DEA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bookmarkStart w:id="3" w:name="_GoBack"/>
      <w:r>
        <w:rPr>
          <w:rFonts w:ascii="Times New Roman" w:hAnsi="Times New Roman" w:cs="Times New Roman"/>
          <w:sz w:val="24"/>
          <w:szCs w:val="24"/>
        </w:rPr>
        <w:t xml:space="preserve">Zecker </w:t>
      </w:r>
      <w:r w:rsidRPr="00A33DEA">
        <w:rPr>
          <w:rFonts w:ascii="Times New Roman" w:hAnsi="Times New Roman" w:cs="Times New Roman"/>
          <w:i/>
          <w:sz w:val="24"/>
          <w:szCs w:val="24"/>
        </w:rPr>
        <w:t>et al</w:t>
      </w:r>
      <w:r>
        <w:rPr>
          <w:rFonts w:ascii="Times New Roman" w:hAnsi="Times New Roman" w:cs="Times New Roman"/>
          <w:sz w:val="24"/>
          <w:szCs w:val="24"/>
        </w:rPr>
        <w:t xml:space="preserve">., em </w:t>
      </w:r>
      <w:r w:rsidRPr="00A33DEA">
        <w:rPr>
          <w:rFonts w:ascii="Times New Roman" w:hAnsi="Times New Roman" w:cs="Times New Roman"/>
          <w:sz w:val="24"/>
          <w:szCs w:val="24"/>
        </w:rPr>
        <w:t>estudo clínico randomizado e controlado demonstrou que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DEA">
        <w:rPr>
          <w:rFonts w:ascii="Times New Roman" w:hAnsi="Times New Roman" w:cs="Times New Roman"/>
          <w:sz w:val="24"/>
          <w:szCs w:val="24"/>
        </w:rPr>
        <w:t xml:space="preserve">o uso do ácido tranexâmico IV teve </w:t>
      </w:r>
      <w:r>
        <w:rPr>
          <w:rFonts w:ascii="Times New Roman" w:hAnsi="Times New Roman" w:cs="Times New Roman"/>
          <w:sz w:val="24"/>
          <w:szCs w:val="24"/>
        </w:rPr>
        <w:t>a menor perda de sangue em relaç</w:t>
      </w:r>
      <w:r w:rsidRPr="00A33DEA">
        <w:rPr>
          <w:rFonts w:ascii="Times New Roman" w:hAnsi="Times New Roman" w:cs="Times New Roman"/>
          <w:sz w:val="24"/>
          <w:szCs w:val="24"/>
        </w:rPr>
        <w:t>ão ao tópico e controle, mas o uso tópico foi suficiente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DEA">
        <w:rPr>
          <w:rFonts w:ascii="Times New Roman" w:hAnsi="Times New Roman" w:cs="Times New Roman"/>
          <w:sz w:val="24"/>
          <w:szCs w:val="24"/>
        </w:rPr>
        <w:t>para diminuir a necessidade de transfusões sanguíneas, sem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DEA">
        <w:rPr>
          <w:rFonts w:ascii="Times New Roman" w:hAnsi="Times New Roman" w:cs="Times New Roman"/>
          <w:sz w:val="24"/>
          <w:szCs w:val="24"/>
        </w:rPr>
        <w:t>os possíveis efeitos colaterais do uso IV, na artroplastia total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33DEA">
        <w:rPr>
          <w:rFonts w:ascii="Times New Roman" w:hAnsi="Times New Roman" w:cs="Times New Roman"/>
          <w:sz w:val="24"/>
          <w:szCs w:val="24"/>
        </w:rPr>
        <w:t>do joelho</w:t>
      </w:r>
      <w:r w:rsidR="00B56C1C">
        <w:rPr>
          <w:rFonts w:ascii="Times New Roman" w:hAnsi="Times New Roman" w:cs="Times New Roman"/>
          <w:sz w:val="24"/>
          <w:szCs w:val="24"/>
        </w:rPr>
        <w:t xml:space="preserve">, sendo a perda vista pelo volume do dreno suctor e pelos níveis de Hb e Ht </w:t>
      </w:r>
      <w:r w:rsidR="00B56C1C">
        <w:rPr>
          <w:rFonts w:ascii="Times New Roman" w:hAnsi="Times New Roman" w:cs="Times New Roman"/>
          <w:sz w:val="24"/>
          <w:szCs w:val="24"/>
          <w:vertAlign w:val="superscript"/>
        </w:rPr>
        <w:t>43</w:t>
      </w:r>
      <w:r w:rsidR="00B56C1C">
        <w:rPr>
          <w:rFonts w:ascii="Times New Roman" w:hAnsi="Times New Roman" w:cs="Times New Roman"/>
          <w:sz w:val="24"/>
          <w:szCs w:val="24"/>
        </w:rPr>
        <w:t>.</w:t>
      </w:r>
    </w:p>
    <w:bookmarkEnd w:id="3"/>
    <w:p w14:paraId="46C280A9" w14:textId="4A6199F3" w:rsidR="00DA52BB" w:rsidRDefault="00FE352A" w:rsidP="009B3801">
      <w:pPr>
        <w:pStyle w:val="Pr-formataoHTML"/>
        <w:spacing w:line="360" w:lineRule="auto"/>
        <w:ind w:firstLine="851"/>
        <w:jc w:val="both"/>
        <w:rPr>
          <w:rFonts w:ascii="Times New Roman" w:hAnsi="Times New Roman" w:cs="Times New Roman"/>
          <w:color w:val="212121"/>
          <w:sz w:val="24"/>
          <w:szCs w:val="24"/>
          <w:lang w:val="pt-PT"/>
        </w:rPr>
      </w:pPr>
      <w:r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Esse estudo apresenta algumas limitações: </w:t>
      </w:r>
      <w:r w:rsidR="00802F4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a perda sanguínea trans operatória não foi calculada (compressas, por exemplo) o que poderia alterar os dados. Como o volume sanguíneo </w:t>
      </w:r>
      <w:r w:rsidR="009B380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e perda sanguínea estimados </w:t>
      </w:r>
      <w:r w:rsidR="00802F43">
        <w:rPr>
          <w:rFonts w:ascii="Times New Roman" w:hAnsi="Times New Roman" w:cs="Times New Roman"/>
          <w:color w:val="212121"/>
          <w:sz w:val="24"/>
          <w:szCs w:val="24"/>
          <w:lang w:val="pt-PT"/>
        </w:rPr>
        <w:t>leva</w:t>
      </w:r>
      <w:r w:rsidR="009B3801">
        <w:rPr>
          <w:rFonts w:ascii="Times New Roman" w:hAnsi="Times New Roman" w:cs="Times New Roman"/>
          <w:color w:val="212121"/>
          <w:sz w:val="24"/>
          <w:szCs w:val="24"/>
          <w:lang w:val="pt-PT"/>
        </w:rPr>
        <w:t>m</w:t>
      </w:r>
      <w:r w:rsidR="00802F43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em consideração as hemotransfusões, pode haver mascaramento nesses dados. O tempo de seguimento foi curto para avaliar complicações como fenômenos tromboembó</w:t>
      </w:r>
      <w:r w:rsidR="009B3801">
        <w:rPr>
          <w:rFonts w:ascii="Times New Roman" w:hAnsi="Times New Roman" w:cs="Times New Roman"/>
          <w:color w:val="212121"/>
          <w:sz w:val="24"/>
          <w:szCs w:val="24"/>
          <w:lang w:val="pt-PT"/>
        </w:rPr>
        <w:t>licos e verificar a relação com uso ou não de TXA.</w:t>
      </w:r>
      <w:r w:rsidR="00291095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Os</w:t>
      </w:r>
      <w:r w:rsidR="009B3801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pacientes já apresentavam níveis de Hb</w:t>
      </w:r>
      <w:r w:rsidR="00291095">
        <w:rPr>
          <w:rFonts w:ascii="Times New Roman" w:hAnsi="Times New Roman" w:cs="Times New Roman"/>
          <w:color w:val="212121"/>
          <w:sz w:val="24"/>
          <w:szCs w:val="24"/>
          <w:lang w:val="pt-PT"/>
        </w:rPr>
        <w:t xml:space="preserve"> e Ht baixos antes da cirurgia, tendo assim um volume sanguíneo estimado baixo. A hidratação dos pacientes não era padronizada, e sim feita de forma individualizada, o que poderia influenciar nos níveis de Hb e Ht, consequentemente o volume e a perda sanguínea estimados.</w:t>
      </w:r>
    </w:p>
    <w:p w14:paraId="56F8003E" w14:textId="77777777" w:rsidR="00796C6D" w:rsidRDefault="00796C6D" w:rsidP="00E13949">
      <w:pPr>
        <w:pStyle w:val="Pr-formataoHTML"/>
        <w:jc w:val="both"/>
        <w:rPr>
          <w:rFonts w:ascii="inherit" w:hAnsi="inherit"/>
          <w:color w:val="212121"/>
        </w:rPr>
      </w:pPr>
    </w:p>
    <w:p w14:paraId="638D7482" w14:textId="77777777" w:rsidR="00223F7F" w:rsidRPr="006E610E" w:rsidRDefault="00223F7F" w:rsidP="00E13949">
      <w:pPr>
        <w:pStyle w:val="Pr-formataoHTML"/>
        <w:jc w:val="both"/>
        <w:rPr>
          <w:rFonts w:ascii="inherit" w:hAnsi="inherit"/>
          <w:color w:val="212121"/>
        </w:rPr>
      </w:pPr>
    </w:p>
    <w:p w14:paraId="200F30DB" w14:textId="07F3E6F6" w:rsidR="009F32CB" w:rsidRDefault="00E13949" w:rsidP="00E13949">
      <w:pPr>
        <w:pStyle w:val="Ttulo4"/>
        <w:keepNext w:val="0"/>
        <w:keepLines w:val="0"/>
        <w:numPr>
          <w:ilvl w:val="3"/>
          <w:numId w:val="0"/>
        </w:numPr>
        <w:tabs>
          <w:tab w:val="num" w:pos="864"/>
        </w:tabs>
        <w:suppressAutoHyphens/>
        <w:spacing w:before="0" w:after="100" w:line="360" w:lineRule="auto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4 CONCLUSÕES</w:t>
      </w:r>
    </w:p>
    <w:p w14:paraId="6C1F413B" w14:textId="70A3D50C" w:rsidR="00291095" w:rsidRDefault="00291095" w:rsidP="00223F7F">
      <w:pPr>
        <w:spacing w:line="360" w:lineRule="auto"/>
        <w:ind w:firstLine="851"/>
        <w:jc w:val="both"/>
      </w:pPr>
      <w:r>
        <w:t>Com os resultados</w:t>
      </w:r>
      <w:r w:rsidR="00552A0D">
        <w:t xml:space="preserve"> apresentados concluiu-se que os pacientes </w:t>
      </w:r>
      <w:r w:rsidR="008A7CEC">
        <w:t>os quais</w:t>
      </w:r>
      <w:r w:rsidR="00552A0D">
        <w:t xml:space="preserve"> fizeram uso </w:t>
      </w:r>
      <w:r w:rsidRPr="00AE680F">
        <w:t xml:space="preserve">do </w:t>
      </w:r>
      <w:r>
        <w:t>TXA</w:t>
      </w:r>
      <w:r w:rsidRPr="00AE680F">
        <w:t xml:space="preserve"> </w:t>
      </w:r>
      <w:r w:rsidR="00552A0D">
        <w:t>tiveram maior</w:t>
      </w:r>
      <w:r w:rsidRPr="00AE680F">
        <w:t xml:space="preserve"> controle do sangramento nos pacientes submetidos</w:t>
      </w:r>
      <w:r w:rsidR="00552A0D">
        <w:t xml:space="preserve"> a ATJ, observou-se uma menor </w:t>
      </w:r>
      <w:r w:rsidRPr="00AE680F">
        <w:t xml:space="preserve">perda sanguínea </w:t>
      </w:r>
      <w:r>
        <w:t>pós-operatória</w:t>
      </w:r>
      <w:r w:rsidR="00552A0D">
        <w:t xml:space="preserve">, com uma menor </w:t>
      </w:r>
      <w:r w:rsidRPr="00AE680F">
        <w:t>queda da hemoglob</w:t>
      </w:r>
      <w:r>
        <w:t>ina e do hematócrito</w:t>
      </w:r>
      <w:r w:rsidR="00552A0D">
        <w:t>, com um</w:t>
      </w:r>
      <w:r w:rsidRPr="00AE680F">
        <w:t xml:space="preserve">a necessidade de hemoderivados </w:t>
      </w:r>
      <w:r w:rsidR="00552A0D">
        <w:t>inferior, porém sem diferenças estatisticamente significativas. O volume de sangue medido no dreno suctor foi maior nos pacientes que não fizeram uso do TXA, com maior sangramento nas seis primeiras horas após o procedimento cirúrgico</w:t>
      </w:r>
      <w:r w:rsidR="00223F7F">
        <w:t xml:space="preserve"> (</w:t>
      </w:r>
      <w:r w:rsidR="00223F7F">
        <w:rPr>
          <w:i/>
        </w:rPr>
        <w:t xml:space="preserve">p </w:t>
      </w:r>
      <w:r w:rsidR="00223F7F">
        <w:t>&lt; 0,05), sendo assim o TXA tem um papel</w:t>
      </w:r>
      <w:r w:rsidR="00B779B2">
        <w:t xml:space="preserve"> importante </w:t>
      </w:r>
      <w:r w:rsidR="00223F7F">
        <w:t xml:space="preserve"> no controle do sangramento dos pacientes que se submetem à ATJ.</w:t>
      </w:r>
    </w:p>
    <w:p w14:paraId="71ECFC36" w14:textId="77777777" w:rsidR="00B779B2" w:rsidRDefault="00B779B2" w:rsidP="00B779B2">
      <w:pPr>
        <w:spacing w:line="360" w:lineRule="auto"/>
        <w:jc w:val="both"/>
      </w:pPr>
    </w:p>
    <w:p w14:paraId="2B949C67" w14:textId="4D421512" w:rsidR="00B779B2" w:rsidRPr="00223F7F" w:rsidRDefault="00B779B2" w:rsidP="00B779B2">
      <w:pPr>
        <w:spacing w:line="360" w:lineRule="auto"/>
        <w:jc w:val="both"/>
      </w:pPr>
      <w:r>
        <w:t>Os autores declaram a inexistência de conflitos de interesse na realização desse trabalho.</w:t>
      </w:r>
    </w:p>
    <w:p w14:paraId="01D1F590" w14:textId="77777777" w:rsidR="009F32CB" w:rsidRPr="006E610E" w:rsidRDefault="009F32CB" w:rsidP="009F32CB">
      <w:pPr>
        <w:pStyle w:val="Ttulo4"/>
        <w:keepNext w:val="0"/>
        <w:keepLines w:val="0"/>
        <w:numPr>
          <w:ilvl w:val="3"/>
          <w:numId w:val="0"/>
        </w:numPr>
        <w:tabs>
          <w:tab w:val="num" w:pos="864"/>
        </w:tabs>
        <w:suppressAutoHyphens/>
        <w:spacing w:before="100" w:after="100" w:line="360" w:lineRule="auto"/>
        <w:ind w:left="864" w:hanging="864"/>
        <w:rPr>
          <w:rFonts w:ascii="Times New Roman" w:hAnsi="Times New Roman" w:cs="Times New Roman"/>
        </w:rPr>
      </w:pPr>
    </w:p>
    <w:p w14:paraId="6EC64B09" w14:textId="11620B07" w:rsidR="009F32CB" w:rsidRPr="00E13949" w:rsidRDefault="00E13949" w:rsidP="009F32CB">
      <w:pPr>
        <w:pStyle w:val="Ttulo4"/>
        <w:keepNext w:val="0"/>
        <w:keepLines w:val="0"/>
        <w:numPr>
          <w:ilvl w:val="3"/>
          <w:numId w:val="0"/>
        </w:numPr>
        <w:tabs>
          <w:tab w:val="num" w:pos="864"/>
        </w:tabs>
        <w:suppressAutoHyphens/>
        <w:spacing w:before="100" w:after="100" w:line="360" w:lineRule="auto"/>
        <w:ind w:left="864" w:hanging="864"/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en-US"/>
        </w:rPr>
        <w:t>5 REFERÊNCIAS</w:t>
      </w:r>
    </w:p>
    <w:p w14:paraId="6B455BFE" w14:textId="2900656A" w:rsidR="0038417E" w:rsidRPr="00DD6E45" w:rsidRDefault="0038417E" w:rsidP="00DD6E45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7E44C4">
        <w:rPr>
          <w:rFonts w:eastAsia="Times New Roman"/>
          <w:color w:val="000000" w:themeColor="text1"/>
          <w:spacing w:val="4"/>
          <w:lang w:val="en-US"/>
        </w:rPr>
        <w:t>1 - Corti MC, Rigon</w:t>
      </w:r>
      <w:r w:rsidRPr="0038417E">
        <w:rPr>
          <w:rFonts w:eastAsia="Times New Roman"/>
          <w:color w:val="000000" w:themeColor="text1"/>
          <w:spacing w:val="4"/>
          <w:lang w:val="en-US"/>
        </w:rPr>
        <w:t xml:space="preserve"> C. </w:t>
      </w:r>
      <w:r w:rsidR="007D04A0" w:rsidRPr="007E44C4">
        <w:rPr>
          <w:color w:val="000000" w:themeColor="text1"/>
          <w:lang w:val="en-US"/>
        </w:rPr>
        <w:t xml:space="preserve">Epidemiology of osteoarthritis: </w:t>
      </w:r>
      <w:r w:rsidR="007D04A0" w:rsidRPr="007D04A0">
        <w:rPr>
          <w:color w:val="000000" w:themeColor="text1"/>
          <w:lang w:val="en-US"/>
        </w:rPr>
        <w:t>Prevalence, risk factors and functional impact</w:t>
      </w:r>
      <w:r w:rsidR="007D04A0" w:rsidRPr="00DD6E45">
        <w:rPr>
          <w:color w:val="000000" w:themeColor="text1"/>
          <w:lang w:val="en-US"/>
        </w:rPr>
        <w:t>.</w:t>
      </w:r>
      <w:r w:rsidR="00DD6E45" w:rsidRPr="00DD6E45">
        <w:rPr>
          <w:color w:val="000000" w:themeColor="text1"/>
          <w:lang w:val="en-US"/>
        </w:rPr>
        <w:t xml:space="preserve"> </w:t>
      </w:r>
      <w:hyperlink r:id="rId19" w:tooltip="Aging clinical and experimental research." w:history="1">
        <w:r w:rsidR="00DD6E45" w:rsidRPr="00DD6E45">
          <w:rPr>
            <w:rStyle w:val="Hyperlink"/>
            <w:rFonts w:eastAsia="Times New Roman"/>
            <w:color w:val="000000" w:themeColor="text1"/>
            <w:u w:val="none"/>
            <w:lang w:val="en-US"/>
          </w:rPr>
          <w:t>Aging Clin Exp Res.</w:t>
        </w:r>
      </w:hyperlink>
      <w:r w:rsidR="00DD6E45" w:rsidRPr="00DD6E45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r w:rsidR="00DD6E45" w:rsidRPr="00DD6E45">
        <w:rPr>
          <w:rFonts w:eastAsia="Times New Roman"/>
          <w:color w:val="000000" w:themeColor="text1"/>
          <w:shd w:val="clear" w:color="auto" w:fill="FFFFFF"/>
          <w:lang w:val="en-US"/>
        </w:rPr>
        <w:t>2003 Oct;15(5):359-63</w:t>
      </w:r>
      <w:r w:rsidRPr="00DD6E45">
        <w:rPr>
          <w:rFonts w:eastAsia="Times New Roman"/>
          <w:color w:val="000000" w:themeColor="text1"/>
          <w:spacing w:val="4"/>
          <w:lang w:val="en-US"/>
        </w:rPr>
        <w:t>. https://doi.org/10.1007/BF03327356</w:t>
      </w:r>
    </w:p>
    <w:p w14:paraId="463679D5" w14:textId="77777777" w:rsidR="0038417E" w:rsidRPr="00DD6E45" w:rsidRDefault="0038417E" w:rsidP="00DD6E45">
      <w:pPr>
        <w:spacing w:line="360" w:lineRule="auto"/>
        <w:jc w:val="both"/>
        <w:rPr>
          <w:color w:val="000000" w:themeColor="text1"/>
          <w:lang w:val="en-US"/>
        </w:rPr>
      </w:pPr>
    </w:p>
    <w:p w14:paraId="6DEF60AF" w14:textId="116C50B7" w:rsidR="007D04A0" w:rsidRPr="007E44C4" w:rsidRDefault="007D04A0" w:rsidP="007E44C4">
      <w:pPr>
        <w:pStyle w:val="p1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w:r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>2 -   Seo ES, Yoon SW, Koh IJ, Chang CB</w:t>
      </w:r>
      <w:r w:rsidRPr="007D04A0">
        <w:rPr>
          <w:rFonts w:ascii="Times New Roman" w:hAnsi="Times New Roman"/>
          <w:color w:val="000000" w:themeColor="text1"/>
          <w:sz w:val="24"/>
          <w:szCs w:val="24"/>
          <w:lang w:val="en-US"/>
        </w:rPr>
        <w:t>,</w:t>
      </w:r>
      <w:r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Pr="007D04A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Kim </w:t>
      </w:r>
      <w:r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TK. </w:t>
      </w:r>
      <w:r w:rsidR="008E6D9A"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>Subcutaneous versus intraarticular indwelling closed suction drainage after tka: a randomized controlled trial.</w:t>
      </w:r>
      <w:r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Clin Orthop Relat </w:t>
      </w:r>
      <w:r w:rsidR="00474D08"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>Res 2010;(468):216</w:t>
      </w:r>
      <w:r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>8–76.</w:t>
      </w:r>
      <w:r w:rsidR="007F5C71" w:rsidRPr="007E44C4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="007F5C71" w:rsidRPr="00DD6E45">
        <w:rPr>
          <w:rFonts w:ascii="Times New Roman" w:hAnsi="Times New Roman"/>
          <w:color w:val="000000" w:themeColor="text1"/>
          <w:sz w:val="24"/>
          <w:szCs w:val="24"/>
          <w:lang w:val="en-US"/>
        </w:rPr>
        <w:t>http://dx.doi.org/10.1007/s11999-010-1243-6.</w:t>
      </w:r>
    </w:p>
    <w:p w14:paraId="52602423" w14:textId="77777777" w:rsidR="007D04A0" w:rsidRPr="007E44C4" w:rsidRDefault="007D04A0" w:rsidP="007E44C4">
      <w:pPr>
        <w:pStyle w:val="p1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</w:p>
    <w:p w14:paraId="636791E1" w14:textId="3EFDF687" w:rsidR="00DC2856" w:rsidRPr="007E44C4" w:rsidRDefault="008E6D9A" w:rsidP="007E44C4">
      <w:pPr>
        <w:spacing w:line="360" w:lineRule="auto"/>
        <w:jc w:val="both"/>
        <w:rPr>
          <w:color w:val="000000" w:themeColor="text1"/>
          <w:lang w:val="en-US"/>
        </w:rPr>
      </w:pPr>
      <w:r w:rsidRPr="007E44C4">
        <w:rPr>
          <w:color w:val="000000" w:themeColor="text1"/>
          <w:lang w:val="en-US"/>
        </w:rPr>
        <w:t xml:space="preserve">3 - Karam JA, Bloomfield MR, DiIorio TM, Irizarry AM, </w:t>
      </w:r>
      <w:r w:rsidRPr="008E6D9A">
        <w:rPr>
          <w:color w:val="000000" w:themeColor="text1"/>
          <w:lang w:val="en-US"/>
        </w:rPr>
        <w:t>Sharkey</w:t>
      </w:r>
      <w:r w:rsidRPr="007E44C4">
        <w:rPr>
          <w:color w:val="000000" w:themeColor="text1"/>
          <w:lang w:val="en-US"/>
        </w:rPr>
        <w:t xml:space="preserve"> PF. Evaluation of the efficacy and safety of tranexamic acid for reducing blood loss in </w:t>
      </w:r>
      <w:r w:rsidR="007E44C4">
        <w:rPr>
          <w:color w:val="000000" w:themeColor="text1"/>
          <w:lang w:val="en-US"/>
        </w:rPr>
        <w:t xml:space="preserve">bilateral total knee </w:t>
      </w:r>
      <w:r w:rsidR="007E44C4" w:rsidRPr="007E44C4">
        <w:rPr>
          <w:color w:val="000000" w:themeColor="text1"/>
          <w:lang w:val="en-US"/>
        </w:rPr>
        <w:t>arthroplasty.</w:t>
      </w:r>
      <w:r w:rsidR="007E44C4">
        <w:rPr>
          <w:color w:val="000000" w:themeColor="text1"/>
          <w:lang w:val="en-US"/>
        </w:rPr>
        <w:t>JArthroplasty</w:t>
      </w:r>
      <w:r w:rsidR="00E0603E" w:rsidRPr="007E44C4">
        <w:rPr>
          <w:color w:val="000000" w:themeColor="text1"/>
          <w:lang w:val="en-US"/>
        </w:rPr>
        <w:t>.</w:t>
      </w:r>
      <w:r w:rsidR="007E44C4">
        <w:rPr>
          <w:color w:val="000000" w:themeColor="text1"/>
          <w:lang w:val="en-US"/>
        </w:rPr>
        <w:t>2014;</w:t>
      </w:r>
      <w:r w:rsidR="00DC2856" w:rsidRPr="007E44C4">
        <w:rPr>
          <w:color w:val="000000" w:themeColor="text1"/>
          <w:lang w:val="en-US"/>
        </w:rPr>
        <w:t>29(3):501-3.</w:t>
      </w:r>
      <w:r w:rsidR="007E44C4">
        <w:rPr>
          <w:color w:val="000000" w:themeColor="text1"/>
          <w:lang w:val="en-US"/>
        </w:rPr>
        <w:t xml:space="preserve"> </w:t>
      </w:r>
      <w:hyperlink r:id="rId20" w:history="1">
        <w:r w:rsidR="007F5C71" w:rsidRPr="007E44C4">
          <w:rPr>
            <w:rStyle w:val="Hyperlink0"/>
            <w:rFonts w:ascii="Times New Roman" w:hAnsi="Times New Roman" w:cs="Times New Roman"/>
            <w:color w:val="000000" w:themeColor="text1"/>
            <w:sz w:val="24"/>
            <w:szCs w:val="24"/>
            <w:lang w:val="en-US"/>
          </w:rPr>
          <w:t>http://dx.doi.org/10.1016/j.arth.2013.08.005</w:t>
        </w:r>
      </w:hyperlink>
      <w:r w:rsidR="007F5C71" w:rsidRPr="007E44C4">
        <w:rPr>
          <w:color w:val="000000" w:themeColor="text1"/>
          <w:lang w:val="en-US"/>
        </w:rPr>
        <w:t>.</w:t>
      </w:r>
    </w:p>
    <w:p w14:paraId="7098D81B" w14:textId="77777777" w:rsidR="007F5C71" w:rsidRPr="007E44C4" w:rsidRDefault="007F5C71" w:rsidP="007E44C4">
      <w:pPr>
        <w:spacing w:line="360" w:lineRule="auto"/>
        <w:jc w:val="both"/>
        <w:rPr>
          <w:color w:val="000000" w:themeColor="text1"/>
          <w:lang w:val="en-US"/>
        </w:rPr>
      </w:pPr>
    </w:p>
    <w:p w14:paraId="385A6C8C" w14:textId="315F3458" w:rsidR="001F7F81" w:rsidRPr="007E44C4" w:rsidRDefault="007F5C71" w:rsidP="007E44C4">
      <w:pPr>
        <w:spacing w:line="360" w:lineRule="auto"/>
        <w:jc w:val="both"/>
        <w:rPr>
          <w:rFonts w:eastAsia="Times New Roman"/>
          <w:color w:val="000000" w:themeColor="text1"/>
        </w:rPr>
      </w:pPr>
      <w:r w:rsidRPr="007E44C4">
        <w:rPr>
          <w:color w:val="000000" w:themeColor="text1"/>
          <w:lang w:val="en-US"/>
        </w:rPr>
        <w:t xml:space="preserve">4 - </w:t>
      </w:r>
      <w:r w:rsidR="001F7F81" w:rsidRPr="007E44C4">
        <w:rPr>
          <w:rFonts w:eastAsia="Times New Roman"/>
          <w:color w:val="000000" w:themeColor="text1"/>
          <w:shd w:val="clear" w:color="auto" w:fill="FFFFFF"/>
          <w:lang w:val="en-US"/>
        </w:rPr>
        <w:t xml:space="preserve">Al-Zahid S, Davies A. Closed suction drains, reinfusion drains or no drains in primary total knee replacement?. </w:t>
      </w:r>
      <w:hyperlink r:id="rId21" w:tooltip="Annals of the Royal College of Surgeons of England." w:history="1">
        <w:r w:rsidR="00E0603E" w:rsidRPr="007E44C4">
          <w:rPr>
            <w:rFonts w:eastAsia="Times New Roman"/>
            <w:color w:val="000000" w:themeColor="text1"/>
          </w:rPr>
          <w:t>Ann R Coll Surg Engl.</w:t>
        </w:r>
      </w:hyperlink>
      <w:r w:rsidR="001F7F81" w:rsidRPr="007E44C4">
        <w:rPr>
          <w:rFonts w:eastAsia="Times New Roman"/>
          <w:color w:val="000000" w:themeColor="text1"/>
          <w:shd w:val="clear" w:color="auto" w:fill="FFFFFF"/>
        </w:rPr>
        <w:t xml:space="preserve"> 2012;94(5):347-350. </w:t>
      </w:r>
      <w:hyperlink r:id="rId22" w:history="1">
        <w:r w:rsidR="00E0603E" w:rsidRPr="007E44C4">
          <w:rPr>
            <w:rStyle w:val="Hyperlink"/>
            <w:color w:val="000000" w:themeColor="text1"/>
            <w:u w:val="none"/>
          </w:rPr>
          <w:t>http://dx.doi.org/10.1308/003588412x13171221590098</w:t>
        </w:r>
      </w:hyperlink>
    </w:p>
    <w:p w14:paraId="395E1E82" w14:textId="77777777" w:rsidR="00E0603E" w:rsidRPr="007E44C4" w:rsidRDefault="00E0603E" w:rsidP="007E44C4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470E16C6" w14:textId="6CCF9EE5" w:rsidR="00E0603E" w:rsidRPr="00DD6E45" w:rsidRDefault="00E0603E" w:rsidP="007E44C4">
      <w:pPr>
        <w:pStyle w:val="Padro"/>
        <w:spacing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  <w:lang w:val="pt-BR"/>
        </w:rPr>
      </w:pPr>
      <w:r w:rsidRPr="007E44C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5 - </w:t>
      </w:r>
      <w:r w:rsidRPr="007E44C4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Júnior LHDC, de Castro</w:t>
      </w:r>
      <w:r w:rsidR="007E44C4" w:rsidRPr="007E44C4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 </w:t>
      </w:r>
      <w:r w:rsidR="003346E5" w:rsidRPr="007E44C4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CAC</w:t>
      </w:r>
      <w:r w:rsidR="007E44C4" w:rsidRPr="007E44C4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, Gonçalves MBJ, Rodrigues LCM, Lopes FDL, da Cunha FVP</w:t>
      </w:r>
      <w:r w:rsidRPr="007E44C4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. Complicações de curto prazo da artroplastia total do joelho: avaliação de 120 casos. </w:t>
      </w:r>
      <w:r w:rsidRPr="00DD6E4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t-BR"/>
        </w:rPr>
        <w:t>Rev Bras Ortop</w:t>
      </w:r>
      <w:r w:rsidRPr="00DD6E4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 xml:space="preserve">. 2006; </w:t>
      </w:r>
      <w:r w:rsidRPr="00DD6E4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t-BR"/>
        </w:rPr>
        <w:t>41</w:t>
      </w:r>
      <w:r w:rsidRPr="00DD6E45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: 162-6.</w:t>
      </w:r>
    </w:p>
    <w:p w14:paraId="32A7782C" w14:textId="02E284D2" w:rsidR="007F5C71" w:rsidRPr="00DD6E45" w:rsidRDefault="007F5C71" w:rsidP="007E44C4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1BD511C6" w14:textId="658D1CFC" w:rsidR="007E44C4" w:rsidRDefault="007E44C4" w:rsidP="007E44C4">
      <w:pPr>
        <w:spacing w:line="360" w:lineRule="auto"/>
        <w:jc w:val="both"/>
        <w:rPr>
          <w:rFonts w:eastAsia="Times New Roman"/>
          <w:color w:val="000000" w:themeColor="text1"/>
        </w:rPr>
      </w:pPr>
      <w:r w:rsidRPr="004E5BCD">
        <w:rPr>
          <w:rFonts w:eastAsia="Times New Roman"/>
          <w:color w:val="000000" w:themeColor="text1"/>
          <w:lang w:val="en-US"/>
        </w:rPr>
        <w:t xml:space="preserve">6 - </w:t>
      </w:r>
      <w:hyperlink r:id="rId23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Kagoma YK</w:t>
        </w:r>
      </w:hyperlink>
      <w:r w:rsidRPr="004E5BCD">
        <w:rPr>
          <w:rFonts w:eastAsia="Times New Roman"/>
          <w:color w:val="000000" w:themeColor="text1"/>
          <w:lang w:val="en-US"/>
        </w:rPr>
        <w:t>,</w:t>
      </w:r>
      <w:r w:rsidRPr="004E5BCD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24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Crowther MA</w:t>
        </w:r>
      </w:hyperlink>
      <w:r w:rsidRPr="004E5BCD">
        <w:rPr>
          <w:rFonts w:eastAsia="Times New Roman"/>
          <w:color w:val="000000" w:themeColor="text1"/>
          <w:lang w:val="en-US"/>
        </w:rPr>
        <w:t>,</w:t>
      </w:r>
      <w:r w:rsidRPr="004E5BCD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25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Douketis J</w:t>
        </w:r>
      </w:hyperlink>
      <w:r w:rsidRPr="004E5BCD">
        <w:rPr>
          <w:rFonts w:eastAsia="Times New Roman"/>
          <w:color w:val="000000" w:themeColor="text1"/>
          <w:lang w:val="en-US"/>
        </w:rPr>
        <w:t>,</w:t>
      </w:r>
      <w:r w:rsidRPr="004E5BCD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26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Bhandari M</w:t>
        </w:r>
      </w:hyperlink>
      <w:r w:rsidRPr="004E5BCD">
        <w:rPr>
          <w:rFonts w:eastAsia="Times New Roman"/>
          <w:color w:val="000000" w:themeColor="text1"/>
          <w:lang w:val="en-US"/>
        </w:rPr>
        <w:t>,</w:t>
      </w:r>
      <w:r w:rsidRPr="004E5BCD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27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Eikelboom J</w:t>
        </w:r>
      </w:hyperlink>
      <w:r w:rsidRPr="004E5BCD">
        <w:rPr>
          <w:rFonts w:eastAsia="Times New Roman"/>
          <w:color w:val="000000" w:themeColor="text1"/>
          <w:lang w:val="en-US"/>
        </w:rPr>
        <w:t>,</w:t>
      </w:r>
      <w:r w:rsidRPr="004E5BCD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28" w:history="1">
        <w:r w:rsidRPr="004E5BCD">
          <w:rPr>
            <w:rStyle w:val="Hyperlink"/>
            <w:rFonts w:eastAsia="Times New Roman"/>
            <w:color w:val="000000" w:themeColor="text1"/>
            <w:u w:val="none"/>
            <w:lang w:val="en-US"/>
          </w:rPr>
          <w:t>Lim W</w:t>
        </w:r>
      </w:hyperlink>
      <w:r w:rsidRPr="004E5BCD">
        <w:rPr>
          <w:rFonts w:eastAsia="Times New Roman"/>
          <w:color w:val="000000" w:themeColor="text1"/>
          <w:lang w:val="en-US"/>
        </w:rPr>
        <w:t xml:space="preserve">. </w:t>
      </w:r>
      <w:r w:rsidRPr="007E44C4">
        <w:rPr>
          <w:rFonts w:eastAsia="Times New Roman"/>
          <w:color w:val="000000" w:themeColor="text1"/>
          <w:lang w:val="en-US"/>
        </w:rPr>
        <w:t>Use of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antifibrinolytic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therapy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Fonts w:eastAsia="Times New Roman"/>
          <w:color w:val="000000" w:themeColor="text1"/>
          <w:lang w:val="en-US"/>
        </w:rPr>
        <w:t>to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reduce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transfusion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Fonts w:eastAsia="Times New Roman"/>
          <w:color w:val="000000" w:themeColor="text1"/>
          <w:lang w:val="en-US"/>
        </w:rPr>
        <w:t>in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patients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undergoing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orthopedic surgery</w:t>
      </w:r>
      <w:r w:rsidRPr="007E44C4">
        <w:rPr>
          <w:rFonts w:eastAsia="Times New Roman"/>
          <w:color w:val="000000" w:themeColor="text1"/>
          <w:lang w:val="en-US"/>
        </w:rPr>
        <w:t>: a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systematic review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Fonts w:eastAsia="Times New Roman"/>
          <w:color w:val="000000" w:themeColor="text1"/>
          <w:lang w:val="en-US"/>
        </w:rPr>
        <w:t>of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randomized</w:t>
      </w:r>
      <w:r w:rsidRPr="007E44C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7E44C4">
        <w:rPr>
          <w:rStyle w:val="highlight"/>
          <w:rFonts w:eastAsia="Times New Roman"/>
          <w:color w:val="000000" w:themeColor="text1"/>
          <w:lang w:val="en-US"/>
        </w:rPr>
        <w:t>trials</w:t>
      </w:r>
      <w:r w:rsidRPr="007E44C4">
        <w:rPr>
          <w:rFonts w:eastAsia="Times New Roman"/>
          <w:color w:val="000000" w:themeColor="text1"/>
          <w:lang w:val="en-US"/>
        </w:rPr>
        <w:t xml:space="preserve">. </w:t>
      </w:r>
      <w:hyperlink r:id="rId29" w:tooltip="Thrombosis research." w:history="1">
        <w:r w:rsidRPr="007E44C4">
          <w:rPr>
            <w:rStyle w:val="Hyperlink"/>
            <w:rFonts w:eastAsia="Times New Roman"/>
            <w:color w:val="000000" w:themeColor="text1"/>
            <w:u w:val="none"/>
          </w:rPr>
          <w:t>Thromb Res.</w:t>
        </w:r>
      </w:hyperlink>
      <w:r w:rsidRPr="007E44C4">
        <w:rPr>
          <w:rStyle w:val="apple-converted-space"/>
          <w:rFonts w:eastAsia="Times New Roman"/>
          <w:color w:val="000000" w:themeColor="text1"/>
        </w:rPr>
        <w:t> </w:t>
      </w:r>
      <w:r w:rsidRPr="007E44C4">
        <w:rPr>
          <w:rFonts w:eastAsia="Times New Roman"/>
          <w:color w:val="000000" w:themeColor="text1"/>
        </w:rPr>
        <w:t xml:space="preserve">2009 Mar;123(5):687-96. doi: 10.1016/j.thromres.2008.09.015. </w:t>
      </w:r>
    </w:p>
    <w:p w14:paraId="2FE761E0" w14:textId="77777777" w:rsidR="007E44C4" w:rsidRDefault="007E44C4" w:rsidP="007E44C4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5AA29721" w14:textId="61C51B05" w:rsidR="007E44C4" w:rsidRDefault="007E44C4" w:rsidP="007E44C4">
      <w:pPr>
        <w:spacing w:line="360" w:lineRule="auto"/>
        <w:jc w:val="both"/>
        <w:rPr>
          <w:color w:val="131413"/>
          <w:lang w:val="en-US"/>
        </w:rPr>
      </w:pPr>
      <w:r>
        <w:rPr>
          <w:rFonts w:eastAsia="Times New Roman"/>
          <w:color w:val="000000" w:themeColor="text1"/>
        </w:rPr>
        <w:t xml:space="preserve">7 </w:t>
      </w:r>
      <w:r w:rsidR="00712E5F">
        <w:rPr>
          <w:rFonts w:eastAsia="Times New Roman"/>
          <w:color w:val="000000" w:themeColor="text1"/>
        </w:rPr>
        <w:t>–</w:t>
      </w:r>
      <w:r>
        <w:rPr>
          <w:rFonts w:eastAsia="Times New Roman"/>
          <w:color w:val="000000" w:themeColor="text1"/>
        </w:rPr>
        <w:t xml:space="preserve"> </w:t>
      </w:r>
      <w:r w:rsidR="00712E5F" w:rsidRPr="00AF68EF">
        <w:rPr>
          <w:color w:val="131413"/>
        </w:rPr>
        <w:t xml:space="preserve">Camanho GL, Olivi R, Camanho LF. Artroplastia Total de Joelho em Pacientes idosos portadores de osteoartrose. </w:t>
      </w:r>
      <w:r w:rsidR="00712E5F" w:rsidRPr="00AF68EF">
        <w:rPr>
          <w:color w:val="131413"/>
          <w:lang w:val="en-US"/>
        </w:rPr>
        <w:t>Rev Bras Ort. 1998; 33:271-4.</w:t>
      </w:r>
    </w:p>
    <w:p w14:paraId="61AA752B" w14:textId="77777777" w:rsidR="00712E5F" w:rsidRDefault="00712E5F" w:rsidP="007E44C4">
      <w:pPr>
        <w:spacing w:line="360" w:lineRule="auto"/>
        <w:jc w:val="both"/>
        <w:rPr>
          <w:color w:val="131413"/>
          <w:lang w:val="en-US"/>
        </w:rPr>
      </w:pPr>
    </w:p>
    <w:p w14:paraId="16098661" w14:textId="77777777" w:rsidR="00712E5F" w:rsidRPr="00AF68EF" w:rsidRDefault="00712E5F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  <w:r>
        <w:rPr>
          <w:color w:val="131413"/>
          <w:lang w:val="en-US"/>
        </w:rPr>
        <w:t xml:space="preserve">8 - </w:t>
      </w:r>
      <w:r w:rsidRPr="00AF68EF">
        <w:rPr>
          <w:rStyle w:val="apple-style-span"/>
          <w:color w:val="000000"/>
          <w:lang w:val="en-US"/>
        </w:rPr>
        <w:t>Ahlbäck S. Osteoarthrosis of the knee. A radiographic investigation. Acta Radiol Diagn (Stockh). 1968;Suppl 277:72-7.</w:t>
      </w:r>
    </w:p>
    <w:p w14:paraId="0674F415" w14:textId="77777777" w:rsidR="00712E5F" w:rsidRPr="00AF68EF" w:rsidRDefault="00712E5F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</w:p>
    <w:p w14:paraId="4FC48FFC" w14:textId="72ECF284" w:rsidR="00712E5F" w:rsidRPr="008A7CEC" w:rsidRDefault="00712E5F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  <w:r>
        <w:rPr>
          <w:rStyle w:val="apple-converted-space"/>
          <w:color w:val="000000"/>
          <w:lang w:val="en-US"/>
        </w:rPr>
        <w:t>9</w:t>
      </w:r>
      <w:r w:rsidRPr="00AF68EF">
        <w:rPr>
          <w:rStyle w:val="apple-converted-space"/>
          <w:color w:val="000000"/>
          <w:lang w:val="en-US"/>
        </w:rPr>
        <w:t xml:space="preserve"> – </w:t>
      </w:r>
      <w:r w:rsidRPr="00AF68EF">
        <w:rPr>
          <w:rStyle w:val="apple-style-span"/>
          <w:color w:val="000000"/>
          <w:lang w:val="en-US"/>
        </w:rPr>
        <w:t xml:space="preserve">Keyes GW, Carr AJ, Miller RK, Goodfellow JW. The radiographic classification of medial gonarthrosis - Correlation with operation methods in 200 knees. </w:t>
      </w:r>
      <w:r w:rsidRPr="008A7CEC">
        <w:rPr>
          <w:rStyle w:val="apple-style-span"/>
          <w:color w:val="000000"/>
          <w:lang w:val="en-US"/>
        </w:rPr>
        <w:t>Acta Orthop Scand. 1992;63(5):497-501.</w:t>
      </w:r>
    </w:p>
    <w:p w14:paraId="2B105C9B" w14:textId="77777777" w:rsidR="00712E5F" w:rsidRPr="008A7CEC" w:rsidRDefault="00712E5F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</w:p>
    <w:p w14:paraId="071550DB" w14:textId="64BC556D" w:rsidR="002543C7" w:rsidRPr="002543C7" w:rsidRDefault="002543C7" w:rsidP="002543C7">
      <w:pPr>
        <w:pStyle w:val="p1"/>
        <w:spacing w:line="36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2543C7">
        <w:rPr>
          <w:rStyle w:val="apple-style-span"/>
          <w:rFonts w:ascii="Times New Roman" w:hAnsi="Times New Roman"/>
          <w:color w:val="000000"/>
          <w:sz w:val="24"/>
          <w:szCs w:val="24"/>
          <w:lang w:val="en-US"/>
        </w:rPr>
        <w:t xml:space="preserve">10 - </w:t>
      </w:r>
      <w:r w:rsidRPr="002543C7">
        <w:rPr>
          <w:rFonts w:ascii="Times New Roman" w:hAnsi="Times New Roman"/>
          <w:bCs/>
          <w:color w:val="000000" w:themeColor="text1"/>
          <w:sz w:val="24"/>
          <w:szCs w:val="24"/>
          <w:lang w:val="en-US"/>
        </w:rPr>
        <w:t>Clinical Recommendations for Using TRANEXAMIC ACID for Reducing Blood Loss and Transfusion Requirements in Patients Undergoing Total Knee or Total Hip Arthroplasty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2543C7">
        <w:rPr>
          <w:rFonts w:ascii="Times New Roman" w:hAnsi="Times New Roman"/>
          <w:bCs/>
          <w:color w:val="000000" w:themeColor="text1"/>
          <w:sz w:val="24"/>
          <w:szCs w:val="24"/>
          <w:lang w:val="en-US"/>
        </w:rPr>
        <w:lastRenderedPageBreak/>
        <w:t>December 2014</w:t>
      </w:r>
      <w:r>
        <w:rPr>
          <w:rFonts w:ascii="Times New Roman" w:hAnsi="Times New Roman"/>
          <w:bCs/>
          <w:color w:val="000000" w:themeColor="text1"/>
          <w:sz w:val="24"/>
          <w:szCs w:val="24"/>
          <w:lang w:val="en-US"/>
        </w:rPr>
        <w:t xml:space="preserve">. </w:t>
      </w:r>
      <w:r w:rsidRPr="002543C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Disponivel em </w:t>
      </w:r>
      <w:hyperlink r:id="rId30" w:history="1">
        <w:r w:rsidRPr="002543C7">
          <w:rPr>
            <w:rStyle w:val="Hyperlink"/>
            <w:rFonts w:ascii="Times New Roman" w:hAnsi="Times New Roman"/>
            <w:iCs/>
            <w:color w:val="000000" w:themeColor="text1"/>
            <w:sz w:val="24"/>
            <w:szCs w:val="24"/>
            <w:u w:val="none"/>
          </w:rPr>
          <w:t>https://vaww.cmopnational.va.gov/cmop/PBM/default.aspx</w:t>
        </w:r>
      </w:hyperlink>
      <w:r w:rsidRPr="002543C7">
        <w:rPr>
          <w:rFonts w:ascii="Times New Roman" w:hAnsi="Times New Roman"/>
          <w:iCs/>
          <w:color w:val="000000" w:themeColor="text1"/>
          <w:sz w:val="24"/>
          <w:szCs w:val="24"/>
        </w:rPr>
        <w:t xml:space="preserve">. </w:t>
      </w:r>
      <w:r w:rsidRPr="00DD6E45"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 xml:space="preserve">Acesso em 23 de dezembro de 2016. </w:t>
      </w:r>
    </w:p>
    <w:p w14:paraId="5A62A4A1" w14:textId="1552AA94" w:rsidR="002543C7" w:rsidRPr="00DD6E45" w:rsidRDefault="002543C7" w:rsidP="002543C7">
      <w:pPr>
        <w:rPr>
          <w:sz w:val="17"/>
          <w:szCs w:val="17"/>
          <w:lang w:val="en-US"/>
        </w:rPr>
      </w:pPr>
    </w:p>
    <w:p w14:paraId="7C3B386A" w14:textId="49D540C2" w:rsidR="002543C7" w:rsidRPr="00DD6E45" w:rsidRDefault="002543C7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</w:p>
    <w:p w14:paraId="448DABEA" w14:textId="5E97AFAC" w:rsidR="00712E5F" w:rsidRPr="00712E5F" w:rsidRDefault="002543C7" w:rsidP="00712E5F">
      <w:pPr>
        <w:spacing w:line="360" w:lineRule="auto"/>
        <w:jc w:val="both"/>
        <w:rPr>
          <w:rFonts w:eastAsia="Times New Roman"/>
          <w:color w:val="000000" w:themeColor="text1"/>
          <w:lang w:val="en"/>
        </w:rPr>
      </w:pPr>
      <w:r>
        <w:rPr>
          <w:rStyle w:val="apple-style-span"/>
          <w:color w:val="000000"/>
          <w:lang w:val="en-US"/>
        </w:rPr>
        <w:t>11</w:t>
      </w:r>
      <w:r w:rsidR="00712E5F" w:rsidRPr="00712E5F">
        <w:rPr>
          <w:rStyle w:val="apple-style-span"/>
          <w:color w:val="000000"/>
          <w:lang w:val="en-US"/>
        </w:rPr>
        <w:t xml:space="preserve"> - </w:t>
      </w:r>
      <w:r w:rsidR="00712E5F" w:rsidRPr="00712E5F">
        <w:rPr>
          <w:color w:val="000000" w:themeColor="text1"/>
          <w:lang w:val="en"/>
        </w:rPr>
        <w:t>Schulz KF, Altman DG, Moher D. CONSORT 2010 statement: updated guidelines for reporting parallel group randomized trials. Ann Intern Med. 2010;152(11):726-32.</w:t>
      </w:r>
    </w:p>
    <w:p w14:paraId="2DBD7F53" w14:textId="59CA64E6" w:rsidR="00712E5F" w:rsidRDefault="00712E5F" w:rsidP="00712E5F">
      <w:pPr>
        <w:spacing w:line="360" w:lineRule="auto"/>
        <w:jc w:val="both"/>
        <w:rPr>
          <w:rStyle w:val="apple-style-span"/>
          <w:color w:val="000000"/>
          <w:lang w:val="en-US"/>
        </w:rPr>
      </w:pPr>
    </w:p>
    <w:p w14:paraId="79FCC536" w14:textId="2F385804" w:rsidR="0082042B" w:rsidRDefault="0082042B" w:rsidP="0082042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r>
        <w:rPr>
          <w:rStyle w:val="apple-style-span"/>
          <w:color w:val="000000"/>
          <w:lang w:val="en-US"/>
        </w:rPr>
        <w:t>12 -</w:t>
      </w:r>
      <w:r w:rsidRPr="00A321F1">
        <w:rPr>
          <w:lang w:val="en-US"/>
        </w:rPr>
        <w:t xml:space="preserve"> </w:t>
      </w:r>
      <w:hyperlink r:id="rId31" w:history="1">
        <w:r w:rsidRPr="00A321F1">
          <w:rPr>
            <w:color w:val="262626"/>
            <w:lang w:val="en-US"/>
          </w:rPr>
          <w:t>Nadler SB</w:t>
        </w:r>
      </w:hyperlink>
      <w:r w:rsidRPr="00A321F1">
        <w:rPr>
          <w:lang w:val="en-US"/>
        </w:rPr>
        <w:t xml:space="preserve">, </w:t>
      </w:r>
      <w:hyperlink r:id="rId32" w:history="1">
        <w:r w:rsidRPr="00A321F1">
          <w:rPr>
            <w:color w:val="262626"/>
            <w:lang w:val="en-US"/>
          </w:rPr>
          <w:t>Hidalgo JH</w:t>
        </w:r>
      </w:hyperlink>
      <w:r w:rsidRPr="00A321F1">
        <w:rPr>
          <w:lang w:val="en-US"/>
        </w:rPr>
        <w:t xml:space="preserve">, </w:t>
      </w:r>
      <w:hyperlink r:id="rId33" w:history="1">
        <w:r w:rsidRPr="00A321F1">
          <w:rPr>
            <w:color w:val="262626"/>
            <w:lang w:val="en-US"/>
          </w:rPr>
          <w:t>Bloch T</w:t>
        </w:r>
      </w:hyperlink>
      <w:r w:rsidRPr="00A321F1">
        <w:rPr>
          <w:lang w:val="en-US"/>
        </w:rPr>
        <w:t xml:space="preserve">. </w:t>
      </w:r>
      <w:r w:rsidRPr="00A321F1">
        <w:rPr>
          <w:bCs/>
          <w:lang w:val="en-US"/>
        </w:rPr>
        <w:t>Prediction of blood volume in normal human adults.</w:t>
      </w:r>
      <w:r>
        <w:rPr>
          <w:bCs/>
          <w:lang w:val="en-US"/>
        </w:rPr>
        <w:t xml:space="preserve"> </w:t>
      </w:r>
      <w:r w:rsidRPr="00A321F1">
        <w:rPr>
          <w:color w:val="262626"/>
          <w:lang w:val="en-US"/>
        </w:rPr>
        <w:t>Surgery.</w:t>
      </w:r>
      <w:r w:rsidRPr="00A321F1">
        <w:rPr>
          <w:lang w:val="en-US"/>
        </w:rPr>
        <w:t xml:space="preserve"> 1962 Feb;51(2):224-32.</w:t>
      </w:r>
    </w:p>
    <w:p w14:paraId="71269496" w14:textId="77777777" w:rsidR="0082042B" w:rsidRDefault="0082042B" w:rsidP="0082042B">
      <w:pPr>
        <w:widowControl w:val="0"/>
        <w:autoSpaceDE w:val="0"/>
        <w:autoSpaceDN w:val="0"/>
        <w:adjustRightInd w:val="0"/>
        <w:spacing w:line="360" w:lineRule="auto"/>
        <w:jc w:val="both"/>
        <w:rPr>
          <w:lang w:val="en-US"/>
        </w:rPr>
      </w:pPr>
    </w:p>
    <w:p w14:paraId="701F34F4" w14:textId="3E149E07" w:rsidR="0082042B" w:rsidRPr="00D4044A" w:rsidRDefault="0082042B" w:rsidP="0082042B">
      <w:pPr>
        <w:widowControl w:val="0"/>
        <w:autoSpaceDE w:val="0"/>
        <w:autoSpaceDN w:val="0"/>
        <w:adjustRightInd w:val="0"/>
        <w:spacing w:line="360" w:lineRule="auto"/>
      </w:pPr>
      <w:r>
        <w:rPr>
          <w:lang w:val="en-US"/>
        </w:rPr>
        <w:t xml:space="preserve">13 – </w:t>
      </w:r>
      <w:hyperlink r:id="rId34" w:history="1">
        <w:r w:rsidRPr="00A321F1">
          <w:rPr>
            <w:color w:val="262626"/>
            <w:lang w:val="en-US"/>
          </w:rPr>
          <w:t>Mercuriali F</w:t>
        </w:r>
      </w:hyperlink>
      <w:r w:rsidRPr="00A321F1">
        <w:rPr>
          <w:lang w:val="en-US"/>
        </w:rPr>
        <w:t xml:space="preserve">, </w:t>
      </w:r>
      <w:hyperlink r:id="rId35" w:history="1">
        <w:r w:rsidRPr="00A321F1">
          <w:rPr>
            <w:color w:val="262626"/>
            <w:lang w:val="en-US"/>
          </w:rPr>
          <w:t>Inghilleri G</w:t>
        </w:r>
      </w:hyperlink>
      <w:r w:rsidRPr="00A321F1">
        <w:rPr>
          <w:lang w:val="en-US"/>
        </w:rPr>
        <w:t xml:space="preserve">. </w:t>
      </w:r>
      <w:r w:rsidRPr="00A321F1">
        <w:rPr>
          <w:bCs/>
          <w:lang w:val="en-US"/>
        </w:rPr>
        <w:t>Proposal of an algorithm to help the choice of the best transfusion strategy.</w:t>
      </w:r>
      <w:r>
        <w:rPr>
          <w:bCs/>
          <w:lang w:val="en-US"/>
        </w:rPr>
        <w:t xml:space="preserve"> </w:t>
      </w:r>
      <w:r w:rsidRPr="00D4044A">
        <w:rPr>
          <w:color w:val="262626"/>
        </w:rPr>
        <w:t>Curr Med Res Opin.</w:t>
      </w:r>
      <w:r w:rsidRPr="00D4044A">
        <w:t xml:space="preserve"> 1996;13(8):465-78.</w:t>
      </w:r>
    </w:p>
    <w:p w14:paraId="10104902" w14:textId="5BCD9C94" w:rsidR="0082042B" w:rsidRPr="00AA412E" w:rsidRDefault="0082042B" w:rsidP="00712E5F">
      <w:pPr>
        <w:spacing w:line="360" w:lineRule="auto"/>
        <w:jc w:val="both"/>
        <w:rPr>
          <w:rStyle w:val="apple-style-span"/>
          <w:color w:val="000000"/>
        </w:rPr>
      </w:pPr>
    </w:p>
    <w:p w14:paraId="15BA68AE" w14:textId="77777777" w:rsidR="00AA412E" w:rsidRPr="00540C5A" w:rsidRDefault="00AA412E" w:rsidP="00AA412E">
      <w:pPr>
        <w:spacing w:line="360" w:lineRule="auto"/>
        <w:jc w:val="both"/>
      </w:pPr>
      <w:r w:rsidRPr="00AA412E">
        <w:rPr>
          <w:rFonts w:eastAsia="Times New Roman"/>
          <w:color w:val="000000" w:themeColor="text1"/>
        </w:rPr>
        <w:t xml:space="preserve">14 - </w:t>
      </w:r>
      <w:r w:rsidRPr="00AA412E">
        <w:rPr>
          <w:rFonts w:eastAsia="Times New Roman"/>
          <w:color w:val="545454"/>
          <w:shd w:val="clear" w:color="auto" w:fill="FFFFFF"/>
        </w:rPr>
        <w:t> </w:t>
      </w:r>
      <w:r w:rsidRPr="00540C5A">
        <w:t xml:space="preserve">BERQUÓ, Elza Salvatori - </w:t>
      </w:r>
      <w:r w:rsidRPr="00540C5A">
        <w:rPr>
          <w:rStyle w:val="nfase"/>
          <w:rFonts w:eastAsia="Courier New"/>
        </w:rPr>
        <w:t xml:space="preserve">Bioestatística/ </w:t>
      </w:r>
      <w:r w:rsidRPr="00540C5A">
        <w:t>Elza Salvatori Berquó, José Maria Pacheco de Souza, Sabina Léa Davison Gotlieb. - São Paulo: EPU, 1980.</w:t>
      </w:r>
    </w:p>
    <w:p w14:paraId="2B4E8F5D" w14:textId="77777777" w:rsidR="00AA412E" w:rsidRPr="00540C5A" w:rsidRDefault="00AA412E" w:rsidP="00AA412E">
      <w:pPr>
        <w:spacing w:line="360" w:lineRule="auto"/>
        <w:jc w:val="both"/>
      </w:pPr>
    </w:p>
    <w:p w14:paraId="5E87B2E5" w14:textId="0142C3FB" w:rsidR="00AA412E" w:rsidRDefault="00AA412E" w:rsidP="00AA412E">
      <w:pPr>
        <w:spacing w:line="360" w:lineRule="auto"/>
        <w:jc w:val="both"/>
      </w:pPr>
      <w:r>
        <w:t xml:space="preserve">15 - </w:t>
      </w:r>
      <w:r w:rsidRPr="00540C5A">
        <w:t>VIEIRA, Sonia – Bioestatística, Tópicos Avançados</w:t>
      </w:r>
      <w:r w:rsidRPr="00540C5A">
        <w:rPr>
          <w:i/>
        </w:rPr>
        <w:t xml:space="preserve"> – </w:t>
      </w:r>
      <w:r w:rsidRPr="00540C5A">
        <w:t xml:space="preserve">Rio de Janeiro. 2.ed. – RJ: Elservier, 2004. </w:t>
      </w:r>
    </w:p>
    <w:p w14:paraId="79652017" w14:textId="77777777" w:rsidR="00D81778" w:rsidRPr="00D81778" w:rsidRDefault="00D81778" w:rsidP="00AA412E">
      <w:pPr>
        <w:spacing w:line="360" w:lineRule="auto"/>
        <w:jc w:val="both"/>
      </w:pPr>
    </w:p>
    <w:p w14:paraId="433DEC72" w14:textId="17CBD1F8" w:rsidR="004F4AB7" w:rsidRDefault="00AA412E" w:rsidP="004F4AB7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4F4AB7">
        <w:rPr>
          <w:rFonts w:eastAsia="Times New Roman"/>
          <w:color w:val="000000" w:themeColor="text1"/>
          <w:shd w:val="clear" w:color="auto" w:fill="FFFFFF"/>
        </w:rPr>
        <w:t xml:space="preserve">16 – </w:t>
      </w:r>
      <w:hyperlink r:id="rId36" w:history="1">
        <w:r w:rsidR="004F4AB7" w:rsidRPr="004F4AB7">
          <w:rPr>
            <w:rFonts w:eastAsia="Times New Roman"/>
            <w:color w:val="000000" w:themeColor="text1"/>
          </w:rPr>
          <w:t>Inacio MCS</w:t>
        </w:r>
      </w:hyperlink>
      <w:r w:rsidR="004F4AB7" w:rsidRPr="004F4AB7">
        <w:rPr>
          <w:rFonts w:eastAsia="Times New Roman"/>
          <w:color w:val="000000" w:themeColor="text1"/>
        </w:rPr>
        <w:t>, </w:t>
      </w:r>
      <w:hyperlink r:id="rId37" w:history="1">
        <w:r w:rsidR="004F4AB7" w:rsidRPr="004F4AB7">
          <w:rPr>
            <w:rFonts w:eastAsia="Times New Roman"/>
            <w:color w:val="000000" w:themeColor="text1"/>
          </w:rPr>
          <w:t>Paxton EW</w:t>
        </w:r>
      </w:hyperlink>
      <w:r w:rsidR="004F4AB7" w:rsidRPr="004F4AB7">
        <w:rPr>
          <w:rFonts w:eastAsia="Times New Roman"/>
          <w:color w:val="000000" w:themeColor="text1"/>
        </w:rPr>
        <w:t>, </w:t>
      </w:r>
      <w:hyperlink r:id="rId38" w:history="1">
        <w:r w:rsidR="004F4AB7" w:rsidRPr="004F4AB7">
          <w:rPr>
            <w:rFonts w:eastAsia="Times New Roman"/>
            <w:color w:val="000000" w:themeColor="text1"/>
          </w:rPr>
          <w:t>Graves SE</w:t>
        </w:r>
      </w:hyperlink>
      <w:r w:rsidR="004F4AB7" w:rsidRPr="004F4AB7">
        <w:rPr>
          <w:rFonts w:eastAsia="Times New Roman"/>
          <w:color w:val="000000" w:themeColor="text1"/>
        </w:rPr>
        <w:t>, </w:t>
      </w:r>
      <w:hyperlink r:id="rId39" w:history="1">
        <w:r w:rsidR="004F4AB7" w:rsidRPr="004F4AB7">
          <w:rPr>
            <w:rFonts w:eastAsia="Times New Roman"/>
            <w:color w:val="000000" w:themeColor="text1"/>
          </w:rPr>
          <w:t>Namba RS</w:t>
        </w:r>
      </w:hyperlink>
      <w:r w:rsidR="004F4AB7" w:rsidRPr="004F4AB7">
        <w:rPr>
          <w:rFonts w:eastAsia="Times New Roman"/>
          <w:color w:val="000000" w:themeColor="text1"/>
        </w:rPr>
        <w:t>, </w:t>
      </w:r>
      <w:hyperlink r:id="rId40" w:history="1">
        <w:r w:rsidR="004F4AB7" w:rsidRPr="004F4AB7">
          <w:rPr>
            <w:rFonts w:eastAsia="Times New Roman"/>
            <w:color w:val="000000" w:themeColor="text1"/>
          </w:rPr>
          <w:t>Nemes S</w:t>
        </w:r>
      </w:hyperlink>
      <w:r w:rsidR="004F4AB7" w:rsidRPr="004F4AB7">
        <w:rPr>
          <w:rFonts w:eastAsia="Times New Roman"/>
          <w:color w:val="000000" w:themeColor="text1"/>
        </w:rPr>
        <w:t xml:space="preserve">. </w:t>
      </w:r>
      <w:r w:rsidR="004F4AB7" w:rsidRPr="004F4AB7">
        <w:rPr>
          <w:rFonts w:eastAsia="Times New Roman"/>
          <w:bCs/>
          <w:color w:val="000000" w:themeColor="text1"/>
          <w:kern w:val="36"/>
          <w:lang w:val="en-US"/>
        </w:rPr>
        <w:t>Projected increase in total knee arthroplasty in the United States - an alternative projection model.</w:t>
      </w:r>
      <w:r w:rsidR="004F4AB7" w:rsidRPr="004F4AB7">
        <w:rPr>
          <w:rFonts w:eastAsia="Times New Roman"/>
          <w:color w:val="000000" w:themeColor="text1"/>
          <w:lang w:val="en-US"/>
        </w:rPr>
        <w:t xml:space="preserve"> </w:t>
      </w:r>
      <w:hyperlink r:id="rId41" w:tooltip="Osteoarthritis and cartilage." w:history="1">
        <w:r w:rsidR="004F4AB7" w:rsidRPr="004F4AB7">
          <w:rPr>
            <w:rFonts w:eastAsia="Times New Roman"/>
            <w:color w:val="000000" w:themeColor="text1"/>
            <w:lang w:val="en-US"/>
          </w:rPr>
          <w:t>Osteoarthritis Cartilage.</w:t>
        </w:r>
      </w:hyperlink>
      <w:r w:rsidR="004F4AB7" w:rsidRPr="004F4AB7">
        <w:rPr>
          <w:rFonts w:eastAsia="Times New Roman"/>
          <w:color w:val="000000" w:themeColor="text1"/>
          <w:lang w:val="en-US"/>
        </w:rPr>
        <w:t xml:space="preserve"> 2017 Nov;25(11):1797-1803. doi: 10.1016/j.joca.2017.07.022. </w:t>
      </w:r>
    </w:p>
    <w:p w14:paraId="2B465A42" w14:textId="263E5E5F" w:rsidR="00FD620C" w:rsidRDefault="00FD620C" w:rsidP="00FD620C">
      <w:pPr>
        <w:spacing w:line="348" w:lineRule="atLeast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lang w:val="en-US"/>
        </w:rPr>
        <w:t xml:space="preserve">17 – </w:t>
      </w:r>
      <w:hyperlink r:id="rId42" w:history="1"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Kurtz S</w:t>
        </w:r>
      </w:hyperlink>
      <w:r w:rsidRPr="00FD620C">
        <w:rPr>
          <w:rFonts w:eastAsia="Times New Roman"/>
          <w:color w:val="000000" w:themeColor="text1"/>
          <w:lang w:val="en-US"/>
        </w:rPr>
        <w:t>,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43" w:history="1"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Ong K</w:t>
        </w:r>
      </w:hyperlink>
      <w:r w:rsidRPr="00FD620C">
        <w:rPr>
          <w:rFonts w:eastAsia="Times New Roman"/>
          <w:color w:val="000000" w:themeColor="text1"/>
          <w:lang w:val="en-US"/>
        </w:rPr>
        <w:t>,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44" w:history="1"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Lau E</w:t>
        </w:r>
      </w:hyperlink>
      <w:r w:rsidRPr="00FD620C">
        <w:rPr>
          <w:rFonts w:eastAsia="Times New Roman"/>
          <w:color w:val="000000" w:themeColor="text1"/>
          <w:lang w:val="en-US"/>
        </w:rPr>
        <w:t>,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45" w:history="1"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Mowat F</w:t>
        </w:r>
      </w:hyperlink>
      <w:r w:rsidRPr="00FD620C">
        <w:rPr>
          <w:rFonts w:eastAsia="Times New Roman"/>
          <w:color w:val="000000" w:themeColor="text1"/>
          <w:lang w:val="en-US"/>
        </w:rPr>
        <w:t>,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46" w:history="1"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Halpern M</w:t>
        </w:r>
      </w:hyperlink>
      <w:r w:rsidRPr="00FD620C">
        <w:rPr>
          <w:rFonts w:eastAsia="Times New Roman"/>
          <w:color w:val="000000" w:themeColor="text1"/>
          <w:lang w:val="en-US"/>
        </w:rPr>
        <w:t xml:space="preserve">. 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Projections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of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primary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and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revision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hip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and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knee arthroplasty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in the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United States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from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2005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to</w:t>
      </w:r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Style w:val="highlight"/>
          <w:rFonts w:eastAsia="Times New Roman"/>
          <w:color w:val="000000" w:themeColor="text1"/>
          <w:lang w:val="en-US"/>
        </w:rPr>
        <w:t>2030</w:t>
      </w:r>
      <w:r w:rsidRPr="00FD620C">
        <w:rPr>
          <w:rFonts w:eastAsia="Times New Roman"/>
          <w:color w:val="000000" w:themeColor="text1"/>
          <w:lang w:val="en-US"/>
        </w:rPr>
        <w:t xml:space="preserve">. </w:t>
      </w:r>
      <w:hyperlink r:id="rId47" w:tooltip="The Journal of bone and joint surgery. American volume." w:history="1">
        <w:r w:rsidRPr="00FD620C">
          <w:rPr>
            <w:rStyle w:val="apple-converted-space"/>
            <w:rFonts w:eastAsia="Times New Roman"/>
            <w:color w:val="000000" w:themeColor="text1"/>
            <w:lang w:val="en-US"/>
          </w:rPr>
          <w:t> </w:t>
        </w:r>
        <w:r w:rsidRPr="00FD620C">
          <w:rPr>
            <w:rStyle w:val="Hyperlink"/>
            <w:rFonts w:eastAsia="Times New Roman"/>
            <w:color w:val="000000" w:themeColor="text1"/>
            <w:u w:val="none"/>
            <w:lang w:val="en-US"/>
          </w:rPr>
          <w:t>Bone Joint Surg Am.</w:t>
        </w:r>
      </w:hyperlink>
      <w:r w:rsidRPr="00FD620C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FD620C">
        <w:rPr>
          <w:rFonts w:eastAsia="Times New Roman"/>
          <w:color w:val="000000" w:themeColor="text1"/>
          <w:lang w:val="en-US"/>
        </w:rPr>
        <w:t>2007 Apr;89(4):780-5.</w:t>
      </w:r>
    </w:p>
    <w:p w14:paraId="41B72C04" w14:textId="77777777" w:rsidR="00FD620C" w:rsidRDefault="00FD620C" w:rsidP="00FD620C">
      <w:pPr>
        <w:spacing w:line="348" w:lineRule="atLeast"/>
        <w:jc w:val="both"/>
        <w:rPr>
          <w:rFonts w:eastAsia="Times New Roman"/>
          <w:color w:val="000000" w:themeColor="text1"/>
          <w:lang w:val="en-US"/>
        </w:rPr>
      </w:pPr>
    </w:p>
    <w:p w14:paraId="61326AB7" w14:textId="0ABCD31E" w:rsidR="00A35E81" w:rsidRPr="009A2C2B" w:rsidRDefault="00FD620C" w:rsidP="00BF22E4">
      <w:pPr>
        <w:spacing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en-US"/>
        </w:rPr>
      </w:pPr>
      <w:r>
        <w:rPr>
          <w:rFonts w:eastAsia="Times New Roman"/>
          <w:color w:val="000000" w:themeColor="text1"/>
          <w:lang w:val="en-US"/>
        </w:rPr>
        <w:t xml:space="preserve">18 </w:t>
      </w:r>
      <w:r w:rsidR="00A35E81">
        <w:rPr>
          <w:rFonts w:eastAsia="Times New Roman"/>
          <w:color w:val="000000" w:themeColor="text1"/>
          <w:lang w:val="en-US"/>
        </w:rPr>
        <w:t xml:space="preserve"> </w:t>
      </w:r>
      <w:r>
        <w:rPr>
          <w:rFonts w:eastAsia="Times New Roman"/>
          <w:color w:val="000000" w:themeColor="text1"/>
          <w:lang w:val="en-US"/>
        </w:rPr>
        <w:t xml:space="preserve">– </w:t>
      </w:r>
      <w:hyperlink r:id="rId48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van den Boom LG</w:t>
        </w:r>
      </w:hyperlink>
      <w:r w:rsidR="00A35E81" w:rsidRPr="009A2C2B">
        <w:rPr>
          <w:rFonts w:eastAsia="Times New Roman"/>
          <w:color w:val="000000" w:themeColor="text1"/>
          <w:lang w:val="en-US"/>
        </w:rPr>
        <w:t>,</w:t>
      </w:r>
      <w:r w:rsidR="00A35E81" w:rsidRPr="009A2C2B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49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Brouwer RW</w:t>
        </w:r>
      </w:hyperlink>
      <w:r w:rsidR="00A35E81" w:rsidRPr="009A2C2B">
        <w:rPr>
          <w:rFonts w:eastAsia="Times New Roman"/>
          <w:color w:val="000000" w:themeColor="text1"/>
          <w:lang w:val="en-US"/>
        </w:rPr>
        <w:t>,</w:t>
      </w:r>
      <w:r w:rsidR="00A35E81" w:rsidRPr="009A2C2B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0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van den Akker-Scheek I</w:t>
        </w:r>
      </w:hyperlink>
      <w:r w:rsidR="00A35E81" w:rsidRPr="009A2C2B">
        <w:rPr>
          <w:rFonts w:eastAsia="Times New Roman"/>
          <w:color w:val="000000" w:themeColor="text1"/>
          <w:lang w:val="en-US"/>
        </w:rPr>
        <w:t>,</w:t>
      </w:r>
      <w:r w:rsidR="00A35E81" w:rsidRPr="009A2C2B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1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Bulstra SK</w:t>
        </w:r>
      </w:hyperlink>
      <w:r w:rsidR="00A35E81" w:rsidRPr="009A2C2B">
        <w:rPr>
          <w:rFonts w:eastAsia="Times New Roman"/>
          <w:color w:val="000000" w:themeColor="text1"/>
          <w:lang w:val="en-US"/>
        </w:rPr>
        <w:t>,</w:t>
      </w:r>
      <w:r w:rsidR="00A35E81" w:rsidRPr="009A2C2B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2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van Raaij JJ</w:t>
        </w:r>
      </w:hyperlink>
      <w:r w:rsidR="00A35E81" w:rsidRPr="009A2C2B">
        <w:rPr>
          <w:rFonts w:eastAsia="Times New Roman"/>
          <w:color w:val="000000" w:themeColor="text1"/>
          <w:lang w:val="en-US"/>
        </w:rPr>
        <w:t>.</w:t>
      </w:r>
      <w:r w:rsidR="00A35E81" w:rsidRPr="009A2C2B">
        <w:rPr>
          <w:color w:val="1A1A1A"/>
          <w:lang w:val="en-US"/>
        </w:rPr>
        <w:t xml:space="preserve"> Retention of the posterior cruciate ligament versus the posterior stabilized design in total knee arthroplasty: a prospective randomized controlled clinical tria</w:t>
      </w:r>
      <w:r w:rsidR="009A2C2B" w:rsidRPr="009A2C2B">
        <w:rPr>
          <w:color w:val="1A1A1A"/>
          <w:lang w:val="en-US"/>
        </w:rPr>
        <w:t>l</w:t>
      </w:r>
      <w:r w:rsidR="00A35E81" w:rsidRPr="009A2C2B">
        <w:rPr>
          <w:color w:val="000000" w:themeColor="text1"/>
          <w:lang w:val="en-US"/>
        </w:rPr>
        <w:t xml:space="preserve">. </w:t>
      </w:r>
      <w:hyperlink r:id="rId53" w:tooltip="BMC musculoskeletal disorders." w:history="1">
        <w:r w:rsidR="00A35E81" w:rsidRPr="009A2C2B">
          <w:rPr>
            <w:rStyle w:val="Hyperlink"/>
            <w:rFonts w:eastAsia="Times New Roman"/>
            <w:color w:val="000000" w:themeColor="text1"/>
            <w:u w:val="none"/>
            <w:lang w:val="en-US"/>
          </w:rPr>
          <w:t>BMC Musculoskelet Disord.</w:t>
        </w:r>
      </w:hyperlink>
      <w:r w:rsidR="00A35E81" w:rsidRPr="009A2C2B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A35E81" w:rsidRPr="009A2C2B">
        <w:rPr>
          <w:rFonts w:eastAsia="Times New Roman"/>
          <w:color w:val="000000" w:themeColor="text1"/>
          <w:lang w:val="en-US"/>
        </w:rPr>
        <w:t>2009 Sep 30;10:119. doi: 10.1186/1471-2474-10-119.</w:t>
      </w:r>
    </w:p>
    <w:p w14:paraId="2B207690" w14:textId="036A3619" w:rsidR="00FD620C" w:rsidRPr="009A2C2B" w:rsidRDefault="00FD620C" w:rsidP="00BF22E4">
      <w:pPr>
        <w:spacing w:line="360" w:lineRule="auto"/>
        <w:jc w:val="both"/>
        <w:rPr>
          <w:rFonts w:eastAsia="Times New Roman"/>
          <w:color w:val="000000" w:themeColor="text1"/>
          <w:sz w:val="20"/>
          <w:szCs w:val="20"/>
          <w:lang w:val="en-US"/>
        </w:rPr>
      </w:pPr>
    </w:p>
    <w:p w14:paraId="0EC09B0B" w14:textId="576758EA" w:rsidR="00BF22E4" w:rsidRDefault="00BF22E4" w:rsidP="00BF22E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lang w:val="en-US"/>
        </w:rPr>
        <w:t xml:space="preserve">19 </w:t>
      </w:r>
      <w:r>
        <w:rPr>
          <w:rFonts w:eastAsia="Times New Roman"/>
          <w:color w:val="000000"/>
          <w:lang w:val="en-US"/>
        </w:rPr>
        <w:t xml:space="preserve">- </w:t>
      </w:r>
      <w:hyperlink r:id="rId54" w:history="1">
        <w:r w:rsidRPr="00BF22E4">
          <w:rPr>
            <w:rStyle w:val="Hyperlink"/>
            <w:rFonts w:eastAsia="Times New Roman"/>
            <w:color w:val="000000" w:themeColor="text1"/>
            <w:u w:val="none"/>
            <w:lang w:val="en-US"/>
          </w:rPr>
          <w:t>Bourne RB</w:t>
        </w:r>
      </w:hyperlink>
      <w:r w:rsidRPr="00BF22E4">
        <w:rPr>
          <w:rFonts w:eastAsia="Times New Roman"/>
          <w:color w:val="000000" w:themeColor="text1"/>
          <w:lang w:val="en-US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  <w:lang w:val="en-US"/>
        </w:rPr>
        <w:t xml:space="preserve"> </w:t>
      </w:r>
      <w:r w:rsidRPr="00BF22E4">
        <w:rPr>
          <w:rStyle w:val="highlight"/>
          <w:rFonts w:eastAsia="Times New Roman"/>
          <w:color w:val="000000" w:themeColor="text1"/>
          <w:lang w:val="en-US"/>
        </w:rPr>
        <w:t>Measuring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Style w:val="highlight"/>
          <w:rFonts w:eastAsia="Times New Roman"/>
          <w:color w:val="000000" w:themeColor="text1"/>
          <w:lang w:val="en-US"/>
        </w:rPr>
        <w:t>tools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Fonts w:eastAsia="Times New Roman"/>
          <w:color w:val="000000" w:themeColor="text1"/>
          <w:lang w:val="en-US"/>
        </w:rPr>
        <w:t>for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Style w:val="highlight"/>
          <w:rFonts w:eastAsia="Times New Roman"/>
          <w:color w:val="000000" w:themeColor="text1"/>
          <w:lang w:val="en-US"/>
        </w:rPr>
        <w:t>functional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Style w:val="highlight"/>
          <w:rFonts w:eastAsia="Times New Roman"/>
          <w:color w:val="000000" w:themeColor="text1"/>
          <w:lang w:val="en-US"/>
        </w:rPr>
        <w:t>outcomes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Fonts w:eastAsia="Times New Roman"/>
          <w:color w:val="000000" w:themeColor="text1"/>
          <w:lang w:val="en-US"/>
        </w:rPr>
        <w:t>in</w:t>
      </w:r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Pr="00BF22E4">
        <w:rPr>
          <w:rFonts w:eastAsia="Times New Roman"/>
          <w:color w:val="000000" w:themeColor="text1"/>
          <w:lang w:val="en-US"/>
        </w:rPr>
        <w:t>.</w:t>
      </w:r>
      <w:r>
        <w:rPr>
          <w:rFonts w:eastAsia="Times New Roman"/>
          <w:color w:val="000000" w:themeColor="text1"/>
          <w:lang w:val="en-US"/>
        </w:rPr>
        <w:t xml:space="preserve"> </w:t>
      </w:r>
      <w:hyperlink r:id="rId55" w:tooltip="Clinical orthopaedics and related research." w:history="1">
        <w:r w:rsidRPr="00BF22E4">
          <w:rPr>
            <w:rStyle w:val="Hyperlink"/>
            <w:rFonts w:eastAsia="Times New Roman"/>
            <w:color w:val="000000" w:themeColor="text1"/>
            <w:u w:val="none"/>
            <w:lang w:val="en-US"/>
          </w:rPr>
          <w:t>Clin Orthop Relat Res.</w:t>
        </w:r>
      </w:hyperlink>
      <w:r w:rsidRPr="00BF22E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BF22E4">
        <w:rPr>
          <w:rFonts w:eastAsia="Times New Roman"/>
          <w:color w:val="000000" w:themeColor="text1"/>
          <w:lang w:val="en-US"/>
        </w:rPr>
        <w:t xml:space="preserve">2008 Nov;466(11):2634-8. doi: 10.1007/s11999-008-0468-0. </w:t>
      </w:r>
    </w:p>
    <w:p w14:paraId="44923006" w14:textId="77777777" w:rsidR="00634B9D" w:rsidRDefault="00634B9D" w:rsidP="00BF22E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62BB40FA" w14:textId="63A41B5E" w:rsidR="00725724" w:rsidRPr="00B01119" w:rsidRDefault="00634B9D" w:rsidP="00725724">
      <w:pPr>
        <w:spacing w:line="360" w:lineRule="auto"/>
        <w:jc w:val="both"/>
        <w:rPr>
          <w:rFonts w:eastAsia="Times New Roman"/>
          <w:color w:val="000000" w:themeColor="text1"/>
        </w:rPr>
      </w:pPr>
      <w:r w:rsidRPr="00725724">
        <w:rPr>
          <w:rFonts w:eastAsia="Times New Roman"/>
          <w:color w:val="000000" w:themeColor="text1"/>
          <w:lang w:val="en-US"/>
        </w:rPr>
        <w:lastRenderedPageBreak/>
        <w:t xml:space="preserve">20 – </w:t>
      </w:r>
      <w:hyperlink r:id="rId56" w:history="1">
        <w:r w:rsidR="00725724" w:rsidRPr="00725724">
          <w:rPr>
            <w:rStyle w:val="highlight"/>
            <w:rFonts w:eastAsia="Times New Roman"/>
            <w:color w:val="000000" w:themeColor="text1"/>
            <w:lang w:val="en-US"/>
          </w:rPr>
          <w:t>Lavernia</w:t>
        </w:r>
        <w:r w:rsidR="00725724" w:rsidRPr="00725724">
          <w:rPr>
            <w:rStyle w:val="apple-converted-space"/>
            <w:rFonts w:eastAsia="Times New Roman"/>
            <w:color w:val="000000" w:themeColor="text1"/>
            <w:lang w:val="en-US"/>
          </w:rPr>
          <w:t> </w:t>
        </w:r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CJ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>,</w:t>
      </w:r>
      <w:r w:rsidR="00725724" w:rsidRPr="0072572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7" w:history="1"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Contreras JS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>,</w:t>
      </w:r>
      <w:r w:rsidR="00725724" w:rsidRPr="0072572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8" w:history="1"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Parvizi J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>,</w:t>
      </w:r>
      <w:r w:rsidR="00725724" w:rsidRPr="0072572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59" w:history="1"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Sharkey PF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>,</w:t>
      </w:r>
      <w:r w:rsidR="00725724" w:rsidRPr="0072572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60" w:history="1"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Barrack R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>,</w:t>
      </w:r>
      <w:r w:rsidR="00725724" w:rsidRPr="0072572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61" w:history="1">
        <w:r w:rsidR="00725724" w:rsidRPr="00725724">
          <w:rPr>
            <w:rStyle w:val="Hyperlink"/>
            <w:rFonts w:eastAsia="Times New Roman"/>
            <w:color w:val="000000" w:themeColor="text1"/>
            <w:u w:val="none"/>
            <w:lang w:val="en-US"/>
          </w:rPr>
          <w:t>Rossi MD</w:t>
        </w:r>
      </w:hyperlink>
      <w:r w:rsidR="00725724" w:rsidRPr="00725724">
        <w:rPr>
          <w:rFonts w:eastAsia="Times New Roman"/>
          <w:color w:val="000000" w:themeColor="text1"/>
          <w:lang w:val="en-US"/>
        </w:rPr>
        <w:t xml:space="preserve">.Do patient expectations about arthroplasty at initial presentation for hip or knee pain differ by sex and ethnicity? </w:t>
      </w:r>
      <w:hyperlink r:id="rId62" w:tooltip="Clinical orthopaedics and related research." w:history="1">
        <w:r w:rsidR="00725724" w:rsidRPr="00B01119">
          <w:rPr>
            <w:rStyle w:val="Hyperlink"/>
            <w:rFonts w:eastAsia="Times New Roman"/>
            <w:color w:val="000000" w:themeColor="text1"/>
            <w:u w:val="none"/>
          </w:rPr>
          <w:t>Clin Orthop Relat Res.</w:t>
        </w:r>
      </w:hyperlink>
      <w:r w:rsidR="00725724" w:rsidRPr="00B01119">
        <w:rPr>
          <w:rStyle w:val="apple-converted-space"/>
          <w:rFonts w:eastAsia="Times New Roman"/>
          <w:color w:val="000000" w:themeColor="text1"/>
        </w:rPr>
        <w:t> </w:t>
      </w:r>
      <w:r w:rsidR="00725724" w:rsidRPr="00B01119">
        <w:rPr>
          <w:rStyle w:val="highlight"/>
          <w:rFonts w:eastAsia="Times New Roman"/>
          <w:color w:val="000000" w:themeColor="text1"/>
        </w:rPr>
        <w:t>2012</w:t>
      </w:r>
      <w:r w:rsidR="00725724" w:rsidRPr="00B01119">
        <w:rPr>
          <w:rStyle w:val="apple-converted-space"/>
          <w:rFonts w:eastAsia="Times New Roman"/>
          <w:color w:val="000000" w:themeColor="text1"/>
        </w:rPr>
        <w:t> </w:t>
      </w:r>
      <w:r w:rsidR="00725724" w:rsidRPr="00B01119">
        <w:rPr>
          <w:rFonts w:eastAsia="Times New Roman"/>
          <w:color w:val="000000" w:themeColor="text1"/>
        </w:rPr>
        <w:t xml:space="preserve">Oct;470(10):2843-53. doi: 10.1007/s11999-012-2431-3. </w:t>
      </w:r>
    </w:p>
    <w:p w14:paraId="7BE5F833" w14:textId="77777777" w:rsidR="006F696D" w:rsidRPr="00B01119" w:rsidRDefault="006F696D" w:rsidP="00725724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0F1D0BEE" w14:textId="5E2A0EA4" w:rsidR="006F696D" w:rsidRDefault="006F696D" w:rsidP="006F696D">
      <w:pPr>
        <w:spacing w:line="360" w:lineRule="auto"/>
        <w:jc w:val="both"/>
        <w:rPr>
          <w:rFonts w:eastAsia="Times New Roman"/>
          <w:color w:val="000000" w:themeColor="text1"/>
        </w:rPr>
      </w:pPr>
      <w:r w:rsidRPr="006F696D">
        <w:rPr>
          <w:rFonts w:eastAsia="Times New Roman"/>
          <w:color w:val="000000" w:themeColor="text1"/>
        </w:rPr>
        <w:t xml:space="preserve">21 – </w:t>
      </w:r>
      <w:hyperlink r:id="rId63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de Souza Leão MG</w:t>
        </w:r>
      </w:hyperlink>
      <w:r w:rsidRPr="006F696D">
        <w:rPr>
          <w:rFonts w:eastAsia="Times New Roman"/>
          <w:color w:val="000000" w:themeColor="text1"/>
        </w:rPr>
        <w:t>,</w:t>
      </w:r>
      <w:r w:rsidRPr="006F696D">
        <w:rPr>
          <w:rStyle w:val="apple-converted-space"/>
          <w:rFonts w:eastAsia="Times New Roman"/>
          <w:color w:val="000000" w:themeColor="text1"/>
        </w:rPr>
        <w:t> </w:t>
      </w:r>
      <w:hyperlink r:id="rId64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Santos Santoro E</w:t>
        </w:r>
      </w:hyperlink>
      <w:r w:rsidRPr="006F696D">
        <w:rPr>
          <w:rFonts w:eastAsia="Times New Roman"/>
          <w:color w:val="000000" w:themeColor="text1"/>
        </w:rPr>
        <w:t>,</w:t>
      </w:r>
      <w:r w:rsidRPr="006F696D">
        <w:rPr>
          <w:rStyle w:val="apple-converted-space"/>
          <w:rFonts w:eastAsia="Times New Roman"/>
          <w:color w:val="000000" w:themeColor="text1"/>
        </w:rPr>
        <w:t> </w:t>
      </w:r>
      <w:hyperlink r:id="rId65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Lima Avelino R</w:t>
        </w:r>
      </w:hyperlink>
      <w:r w:rsidRPr="006F696D">
        <w:rPr>
          <w:rFonts w:eastAsia="Times New Roman"/>
          <w:color w:val="000000" w:themeColor="text1"/>
        </w:rPr>
        <w:t>,</w:t>
      </w:r>
      <w:r w:rsidRPr="006F696D">
        <w:rPr>
          <w:rStyle w:val="apple-converted-space"/>
          <w:rFonts w:eastAsia="Times New Roman"/>
          <w:color w:val="000000" w:themeColor="text1"/>
        </w:rPr>
        <w:t> </w:t>
      </w:r>
      <w:hyperlink r:id="rId66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Inoue Coutinho L</w:t>
        </w:r>
      </w:hyperlink>
      <w:r w:rsidRPr="006F696D">
        <w:rPr>
          <w:rFonts w:eastAsia="Times New Roman"/>
          <w:color w:val="000000" w:themeColor="text1"/>
        </w:rPr>
        <w:t>,</w:t>
      </w:r>
      <w:r w:rsidRPr="006F696D">
        <w:rPr>
          <w:rStyle w:val="apple-converted-space"/>
          <w:rFonts w:eastAsia="Times New Roman"/>
          <w:color w:val="000000" w:themeColor="text1"/>
        </w:rPr>
        <w:t> </w:t>
      </w:r>
      <w:hyperlink r:id="rId67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Campos Granjeiro R</w:t>
        </w:r>
      </w:hyperlink>
      <w:r w:rsidRPr="006F696D">
        <w:rPr>
          <w:rFonts w:eastAsia="Times New Roman"/>
          <w:color w:val="000000" w:themeColor="text1"/>
        </w:rPr>
        <w:t>,</w:t>
      </w:r>
      <w:r w:rsidRPr="006F696D">
        <w:rPr>
          <w:rStyle w:val="apple-converted-space"/>
          <w:rFonts w:eastAsia="Times New Roman"/>
          <w:color w:val="000000" w:themeColor="text1"/>
        </w:rPr>
        <w:t> </w:t>
      </w:r>
      <w:hyperlink r:id="rId68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Orlando Junior N</w:t>
        </w:r>
      </w:hyperlink>
      <w:r w:rsidRPr="006F696D">
        <w:rPr>
          <w:rFonts w:eastAsia="Times New Roman"/>
          <w:color w:val="000000" w:themeColor="text1"/>
        </w:rPr>
        <w:t>.</w:t>
      </w:r>
      <w:r>
        <w:rPr>
          <w:rFonts w:eastAsia="Times New Roman"/>
          <w:color w:val="000000" w:themeColor="text1"/>
        </w:rPr>
        <w:t xml:space="preserve"> 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Quality-of-life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Fonts w:eastAsia="Times New Roman"/>
          <w:color w:val="000000" w:themeColor="text1"/>
          <w:lang w:val="en-US"/>
        </w:rPr>
        <w:t>assessment among patients undergoing total knee arthroplasty in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Manaus</w:t>
      </w:r>
      <w:r w:rsidRPr="006F696D">
        <w:rPr>
          <w:rFonts w:eastAsia="Times New Roman"/>
          <w:color w:val="000000" w:themeColor="text1"/>
          <w:lang w:val="en-US"/>
        </w:rPr>
        <w:t xml:space="preserve">. </w:t>
      </w:r>
      <w:hyperlink r:id="rId69" w:tooltip="Revista brasileira de ortopedia." w:history="1">
        <w:r w:rsidRPr="006F696D">
          <w:rPr>
            <w:rStyle w:val="Hyperlink"/>
            <w:rFonts w:eastAsia="Times New Roman"/>
            <w:color w:val="000000" w:themeColor="text1"/>
            <w:u w:val="none"/>
          </w:rPr>
          <w:t>Rev Bras Ortop.</w:t>
        </w:r>
      </w:hyperlink>
      <w:r w:rsidRPr="006F696D">
        <w:rPr>
          <w:rStyle w:val="apple-converted-space"/>
          <w:rFonts w:eastAsia="Times New Roman"/>
          <w:color w:val="000000" w:themeColor="text1"/>
        </w:rPr>
        <w:t> </w:t>
      </w:r>
      <w:r w:rsidRPr="006F696D">
        <w:rPr>
          <w:rFonts w:eastAsia="Times New Roman"/>
          <w:color w:val="000000" w:themeColor="text1"/>
        </w:rPr>
        <w:t>2014 Mar 27;49(2):194-201. doi: 10.1016/j.rboe.2014.03.017.</w:t>
      </w:r>
    </w:p>
    <w:p w14:paraId="0E80824C" w14:textId="77777777" w:rsidR="006F696D" w:rsidRDefault="006F696D" w:rsidP="006F696D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1886ED58" w14:textId="7C14BA8D" w:rsidR="006F696D" w:rsidRDefault="006F696D" w:rsidP="006F696D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DD6E45">
        <w:rPr>
          <w:rFonts w:eastAsia="Times New Roman"/>
          <w:color w:val="000000" w:themeColor="text1"/>
        </w:rPr>
        <w:t xml:space="preserve">22 – </w:t>
      </w:r>
      <w:hyperlink r:id="rId70" w:history="1">
        <w:r w:rsidRPr="00DD6E45">
          <w:rPr>
            <w:rStyle w:val="Hyperlink"/>
            <w:rFonts w:eastAsia="Times New Roman"/>
            <w:color w:val="000000" w:themeColor="text1"/>
            <w:u w:val="none"/>
          </w:rPr>
          <w:t>Su EP</w:t>
        </w:r>
      </w:hyperlink>
      <w:r w:rsidRPr="00DD6E45">
        <w:rPr>
          <w:rFonts w:eastAsia="Times New Roman"/>
          <w:color w:val="000000" w:themeColor="text1"/>
        </w:rPr>
        <w:t>,</w:t>
      </w:r>
      <w:r w:rsidRPr="00DD6E45">
        <w:rPr>
          <w:rStyle w:val="apple-converted-space"/>
          <w:rFonts w:eastAsia="Times New Roman"/>
          <w:color w:val="000000" w:themeColor="text1"/>
        </w:rPr>
        <w:t> </w:t>
      </w:r>
      <w:hyperlink r:id="rId71" w:history="1">
        <w:r w:rsidRPr="00DD6E45">
          <w:rPr>
            <w:rStyle w:val="Hyperlink"/>
            <w:rFonts w:eastAsia="Times New Roman"/>
            <w:color w:val="000000" w:themeColor="text1"/>
            <w:u w:val="none"/>
          </w:rPr>
          <w:t>Su S</w:t>
        </w:r>
      </w:hyperlink>
      <w:r w:rsidRPr="00DD6E45">
        <w:rPr>
          <w:rFonts w:eastAsia="Times New Roman"/>
          <w:color w:val="000000" w:themeColor="text1"/>
        </w:rPr>
        <w:t xml:space="preserve">. 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Strategies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Fonts w:eastAsia="Times New Roman"/>
          <w:color w:val="000000" w:themeColor="text1"/>
          <w:lang w:val="en-US"/>
        </w:rPr>
        <w:t>for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reducing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peri-operative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blood loss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Fonts w:eastAsia="Times New Roman"/>
          <w:color w:val="000000" w:themeColor="text1"/>
          <w:lang w:val="en-US"/>
        </w:rPr>
        <w:t>in</w:t>
      </w:r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Pr="006F696D">
        <w:rPr>
          <w:rFonts w:eastAsia="Times New Roman"/>
          <w:color w:val="000000" w:themeColor="text1"/>
          <w:lang w:val="en-US"/>
        </w:rPr>
        <w:t xml:space="preserve">. </w:t>
      </w:r>
      <w:hyperlink r:id="rId72" w:tooltip="The bone &amp; joint journal." w:history="1">
        <w:r w:rsidRPr="006F696D">
          <w:rPr>
            <w:rStyle w:val="Hyperlink"/>
            <w:rFonts w:eastAsia="Times New Roman"/>
            <w:color w:val="000000" w:themeColor="text1"/>
            <w:u w:val="none"/>
            <w:lang w:val="en-US"/>
          </w:rPr>
          <w:t>Bone Joint J.</w:t>
        </w:r>
      </w:hyperlink>
      <w:r w:rsidRPr="006F696D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6F696D">
        <w:rPr>
          <w:rFonts w:eastAsia="Times New Roman"/>
          <w:color w:val="000000" w:themeColor="text1"/>
          <w:lang w:val="en-US"/>
        </w:rPr>
        <w:t>2016 Jan;98-B(1 Suppl A):98-100. doi: 10.1302/0301-620X.98B.36430.</w:t>
      </w:r>
    </w:p>
    <w:p w14:paraId="4245B719" w14:textId="77777777" w:rsidR="006F696D" w:rsidRDefault="006F696D" w:rsidP="006F696D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72607763" w14:textId="3725F561" w:rsidR="00C11436" w:rsidRPr="00C11436" w:rsidRDefault="00C11436" w:rsidP="00C11436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/>
          <w:lang w:val="en-US"/>
        </w:rPr>
        <w:t>23 –</w:t>
      </w:r>
      <w:r w:rsidRPr="00C11436">
        <w:rPr>
          <w:rFonts w:eastAsia="Times New Roman"/>
          <w:color w:val="000000" w:themeColor="text1"/>
          <w:lang w:val="en-US"/>
        </w:rPr>
        <w:t>Yang ZG, Chen WP, Wu LDY.</w:t>
      </w:r>
      <w:r>
        <w:rPr>
          <w:rStyle w:val="highlight"/>
          <w:rFonts w:eastAsia="Times New Roman"/>
          <w:color w:val="000000" w:themeColor="text1"/>
          <w:lang w:val="en-US"/>
        </w:rPr>
        <w:t xml:space="preserve"> </w:t>
      </w:r>
      <w:r w:rsidRPr="00C73306">
        <w:rPr>
          <w:color w:val="1A1A1A"/>
          <w:lang w:val="en-US"/>
        </w:rPr>
        <w:t>Effectiveness and</w:t>
      </w:r>
      <w:r>
        <w:rPr>
          <w:color w:val="1A1A1A"/>
          <w:lang w:val="en-US"/>
        </w:rPr>
        <w:t xml:space="preserve"> safety of tranexamic acid in reducing blood loss in total knee arthroplasty: a meta-a</w:t>
      </w:r>
      <w:r w:rsidRPr="00C73306">
        <w:rPr>
          <w:color w:val="1A1A1A"/>
          <w:lang w:val="en-US"/>
        </w:rPr>
        <w:t>nalysis.</w:t>
      </w:r>
      <w:r w:rsidRPr="00C11436">
        <w:rPr>
          <w:rFonts w:eastAsia="Times New Roman"/>
          <w:color w:val="000000" w:themeColor="text1"/>
          <w:lang w:val="en-US"/>
        </w:rPr>
        <w:t>.</w:t>
      </w:r>
      <w:r>
        <w:rPr>
          <w:rFonts w:eastAsia="Times New Roman"/>
          <w:b/>
          <w:lang w:val="en-US"/>
        </w:rPr>
        <w:t xml:space="preserve"> </w:t>
      </w:r>
      <w:hyperlink r:id="rId73" w:tooltip="The Journal of bone and joint surgery. American volume.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J Bone Joint Surg Am.</w:t>
        </w:r>
      </w:hyperlink>
      <w:r w:rsidRPr="00C11436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C11436">
        <w:rPr>
          <w:rFonts w:eastAsia="Times New Roman"/>
          <w:color w:val="000000" w:themeColor="text1"/>
          <w:lang w:val="en-US"/>
        </w:rPr>
        <w:t>2012 Jul 3;94(13):1153-9. doi: 10.2106/JBJS.K.00873.</w:t>
      </w:r>
    </w:p>
    <w:p w14:paraId="078E07F0" w14:textId="49C5EA3A" w:rsidR="006F696D" w:rsidRPr="00C11436" w:rsidRDefault="006F696D" w:rsidP="006F696D">
      <w:pPr>
        <w:spacing w:line="360" w:lineRule="auto"/>
        <w:jc w:val="both"/>
        <w:rPr>
          <w:rFonts w:eastAsia="Times New Roman"/>
          <w:color w:val="000000"/>
          <w:lang w:val="en-US"/>
        </w:rPr>
      </w:pPr>
    </w:p>
    <w:p w14:paraId="49B36527" w14:textId="5560EC93" w:rsidR="00C11436" w:rsidRDefault="00C11436" w:rsidP="00C11436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</w:rPr>
      </w:pPr>
      <w:r>
        <w:rPr>
          <w:rFonts w:eastAsia="Times New Roman"/>
          <w:color w:val="000000"/>
          <w:lang w:val="en-US"/>
        </w:rPr>
        <w:t xml:space="preserve">24 </w:t>
      </w:r>
      <w:r w:rsidRPr="00C11436">
        <w:rPr>
          <w:rFonts w:eastAsia="Times New Roman"/>
          <w:color w:val="000000" w:themeColor="text1"/>
          <w:lang w:val="en-US"/>
        </w:rPr>
        <w:t xml:space="preserve">– </w:t>
      </w:r>
      <w:hyperlink r:id="rId74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Nielsen CS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>,</w:t>
      </w:r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hyperlink r:id="rId75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Jans Ø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>,</w:t>
      </w:r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hyperlink r:id="rId76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Ørsnes T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>,</w:t>
      </w:r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hyperlink r:id="rId77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Foss NB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>,</w:t>
      </w:r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hyperlink r:id="rId78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Troelsen A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>,</w:t>
      </w:r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  <w:lang w:val="en-US"/>
        </w:rPr>
        <w:t> </w:t>
      </w:r>
      <w:hyperlink r:id="rId79" w:history="1">
        <w:r w:rsidRPr="00C11436">
          <w:rPr>
            <w:rStyle w:val="Hyperlink"/>
            <w:rFonts w:eastAsia="Times New Roman"/>
            <w:color w:val="000000" w:themeColor="text1"/>
            <w:u w:val="none"/>
            <w:lang w:val="en-US"/>
          </w:rPr>
          <w:t>Husted H</w:t>
        </w:r>
      </w:hyperlink>
      <w:r w:rsidRPr="00C11436">
        <w:rPr>
          <w:rFonts w:eastAsia="Times New Roman"/>
          <w:color w:val="000000" w:themeColor="text1"/>
          <w:shd w:val="clear" w:color="auto" w:fill="FFFFFF"/>
          <w:lang w:val="en-US"/>
        </w:rPr>
        <w:t xml:space="preserve">. </w:t>
      </w:r>
      <w:r w:rsidRPr="00C11436">
        <w:rPr>
          <w:color w:val="000000" w:themeColor="text1"/>
          <w:lang w:val="en-US"/>
        </w:rPr>
        <w:t xml:space="preserve">Combined intra-articular and intravenous tranexamic acid reduces blood loss in total knee arthroplasty. </w:t>
      </w:r>
      <w:hyperlink r:id="rId80" w:tooltip="The Journal of bone and joint surgery. American volume." w:history="1">
        <w:r w:rsidRPr="00C11436">
          <w:rPr>
            <w:rStyle w:val="Hyperlink"/>
            <w:rFonts w:eastAsia="Times New Roman"/>
            <w:color w:val="000000" w:themeColor="text1"/>
            <w:u w:val="none"/>
          </w:rPr>
          <w:t>J Bone Joint Surg Am.</w:t>
        </w:r>
      </w:hyperlink>
      <w:r w:rsidRPr="00C11436">
        <w:rPr>
          <w:rStyle w:val="apple-converted-space"/>
          <w:rFonts w:eastAsia="Times New Roman"/>
          <w:color w:val="000000" w:themeColor="text1"/>
          <w:shd w:val="clear" w:color="auto" w:fill="FFFFFF"/>
        </w:rPr>
        <w:t> </w:t>
      </w:r>
      <w:r w:rsidRPr="00C11436">
        <w:rPr>
          <w:rFonts w:eastAsia="Times New Roman"/>
          <w:color w:val="000000" w:themeColor="text1"/>
          <w:shd w:val="clear" w:color="auto" w:fill="FFFFFF"/>
        </w:rPr>
        <w:t>2016 May 18;98(10):835-41. doi: 10.2106/JBJS.15.00810.</w:t>
      </w:r>
    </w:p>
    <w:p w14:paraId="02609A66" w14:textId="77777777" w:rsidR="002B5652" w:rsidRDefault="002B5652" w:rsidP="00C11436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</w:rPr>
      </w:pPr>
    </w:p>
    <w:p w14:paraId="145E0E1D" w14:textId="4973130B" w:rsidR="000C0744" w:rsidRPr="008A7CEC" w:rsidRDefault="002B5652" w:rsidP="000C074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shd w:val="clear" w:color="auto" w:fill="FFFFFF"/>
        </w:rPr>
        <w:t>25</w:t>
      </w:r>
      <w:r w:rsidR="000C0744">
        <w:rPr>
          <w:rFonts w:ascii="Arial" w:eastAsia="Times New Roman" w:hAnsi="Arial" w:cs="Arial"/>
          <w:color w:val="000000"/>
          <w:sz w:val="20"/>
          <w:szCs w:val="20"/>
        </w:rPr>
        <w:t xml:space="preserve">. </w:t>
      </w:r>
      <w:hyperlink r:id="rId81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da Rocha VM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2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de Barros AG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3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Naves CD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4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Gomes NL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5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Lobo JC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6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Villela Schettino LC</w:t>
        </w:r>
      </w:hyperlink>
      <w:r w:rsidR="000C0744" w:rsidRPr="000C0744">
        <w:rPr>
          <w:rFonts w:eastAsia="Times New Roman"/>
          <w:color w:val="000000" w:themeColor="text1"/>
        </w:rPr>
        <w:t>,</w:t>
      </w:r>
      <w:r w:rsidR="000C0744" w:rsidRPr="000C0744">
        <w:rPr>
          <w:rStyle w:val="apple-converted-space"/>
          <w:rFonts w:eastAsia="Times New Roman"/>
          <w:color w:val="000000" w:themeColor="text1"/>
        </w:rPr>
        <w:t> </w:t>
      </w:r>
      <w:hyperlink r:id="rId87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</w:rPr>
          <w:t>da Silva LE</w:t>
        </w:r>
      </w:hyperlink>
      <w:r w:rsidR="000C0744" w:rsidRPr="000C0744">
        <w:rPr>
          <w:rFonts w:eastAsia="Times New Roman"/>
          <w:color w:val="000000" w:themeColor="text1"/>
        </w:rPr>
        <w:t xml:space="preserve">. </w:t>
      </w:r>
      <w:r w:rsidR="000C0744" w:rsidRPr="008A7CEC">
        <w:rPr>
          <w:rFonts w:eastAsia="Times New Roman"/>
          <w:color w:val="000000" w:themeColor="text1"/>
          <w:lang w:val="en-US"/>
        </w:rPr>
        <w:t>Use of tranexamic acid for controlling bleeding in thoracolumbar scoliosis surgery with posterior instrumentation.</w:t>
      </w:r>
      <w:r w:rsidR="000C0744" w:rsidRPr="008A7CEC">
        <w:rPr>
          <w:rFonts w:eastAsia="Times New Roman"/>
          <w:color w:val="000000" w:themeColor="text1"/>
          <w:shd w:val="clear" w:color="auto" w:fill="FFFFFF"/>
          <w:lang w:val="en-US"/>
        </w:rPr>
        <w:t xml:space="preserve"> – </w:t>
      </w:r>
      <w:hyperlink r:id="rId88" w:tooltip="Revista brasileira de ortopedia." w:history="1">
        <w:r w:rsidR="000C0744" w:rsidRPr="000C0744">
          <w:rPr>
            <w:rStyle w:val="Hyperlink"/>
            <w:rFonts w:eastAsia="Times New Roman"/>
            <w:color w:val="000000" w:themeColor="text1"/>
            <w:u w:val="none"/>
            <w:lang w:val="en-US"/>
          </w:rPr>
          <w:t>Rev Bras Ortop.</w:t>
        </w:r>
      </w:hyperlink>
      <w:r w:rsidR="000C0744" w:rsidRPr="000C074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C0744" w:rsidRPr="008A7CEC">
        <w:rPr>
          <w:rFonts w:eastAsia="Times New Roman"/>
          <w:color w:val="000000" w:themeColor="text1"/>
          <w:lang w:val="en-US"/>
        </w:rPr>
        <w:t>2015 Mar 30;50(2):226-31. doi: 10.1016/j.rboe.2015.03.007.</w:t>
      </w:r>
    </w:p>
    <w:p w14:paraId="3002ECE5" w14:textId="77777777" w:rsidR="00297E07" w:rsidRPr="008A7CEC" w:rsidRDefault="00297E07" w:rsidP="000C074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009DB0B0" w14:textId="1B183DFE" w:rsidR="00297E07" w:rsidRPr="008A7CEC" w:rsidRDefault="00297E07" w:rsidP="00297E07">
      <w:pPr>
        <w:spacing w:line="360" w:lineRule="auto"/>
        <w:jc w:val="both"/>
        <w:rPr>
          <w:rFonts w:eastAsia="Times New Roman"/>
          <w:color w:val="000000" w:themeColor="text1"/>
        </w:rPr>
      </w:pPr>
      <w:r w:rsidRPr="00297E07">
        <w:rPr>
          <w:rFonts w:eastAsia="Times New Roman"/>
          <w:color w:val="000000" w:themeColor="text1"/>
          <w:lang w:val="en-US"/>
        </w:rPr>
        <w:t xml:space="preserve">26 – </w:t>
      </w:r>
      <w:hyperlink r:id="rId89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Alshryda S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0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Mason J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1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Vaghela M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2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Sarda P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3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Nargol A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4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Maheswaran S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5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Tulloch C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6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Anand S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7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Logishetty R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8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Stothart B</w:t>
        </w:r>
      </w:hyperlink>
      <w:r w:rsidRPr="00297E07">
        <w:rPr>
          <w:rFonts w:eastAsia="Times New Roman"/>
          <w:color w:val="000000" w:themeColor="text1"/>
          <w:lang w:val="en-US"/>
        </w:rPr>
        <w:t>,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99" w:history="1">
        <w:r w:rsidRPr="00297E07">
          <w:rPr>
            <w:rStyle w:val="Hyperlink"/>
            <w:rFonts w:eastAsia="Times New Roman"/>
            <w:color w:val="000000" w:themeColor="text1"/>
            <w:u w:val="none"/>
            <w:lang w:val="en-US"/>
          </w:rPr>
          <w:t>Hungin AP</w:t>
        </w:r>
      </w:hyperlink>
      <w:r w:rsidRPr="00297E07">
        <w:rPr>
          <w:rFonts w:eastAsia="Times New Roman"/>
          <w:color w:val="000000" w:themeColor="text1"/>
          <w:lang w:val="en-US"/>
        </w:rPr>
        <w:t>.</w:t>
      </w:r>
      <w:r>
        <w:rPr>
          <w:rFonts w:eastAsia="Times New Roman"/>
          <w:color w:val="000000" w:themeColor="text1"/>
          <w:lang w:val="en-US"/>
        </w:rPr>
        <w:t xml:space="preserve"> 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Topical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Fonts w:eastAsia="Times New Roman"/>
          <w:color w:val="000000" w:themeColor="text1"/>
          <w:lang w:val="en-US"/>
        </w:rPr>
        <w:t>(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intra-articular</w:t>
      </w:r>
      <w:r w:rsidRPr="00297E07">
        <w:rPr>
          <w:rFonts w:eastAsia="Times New Roman"/>
          <w:color w:val="000000" w:themeColor="text1"/>
          <w:lang w:val="en-US"/>
        </w:rPr>
        <w:t>)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tranexamic acid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Fonts w:eastAsia="Times New Roman"/>
          <w:color w:val="000000" w:themeColor="text1"/>
          <w:lang w:val="en-US"/>
        </w:rPr>
        <w:t>reduces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blood loss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Fonts w:eastAsia="Times New Roman"/>
          <w:color w:val="000000" w:themeColor="text1"/>
          <w:lang w:val="en-US"/>
        </w:rPr>
        <w:t>and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transfusion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rates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following</w:t>
      </w:r>
      <w:r w:rsidRPr="00297E07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Pr="00297E07">
        <w:rPr>
          <w:rStyle w:val="highlight"/>
          <w:rFonts w:eastAsia="Times New Roman"/>
          <w:color w:val="000000" w:themeColor="text1"/>
          <w:lang w:val="en-US"/>
        </w:rPr>
        <w:t>total knee replacement</w:t>
      </w:r>
      <w:r w:rsidRPr="00297E07">
        <w:rPr>
          <w:rFonts w:eastAsia="Times New Roman"/>
          <w:color w:val="000000" w:themeColor="text1"/>
          <w:lang w:val="en-US"/>
        </w:rPr>
        <w:t xml:space="preserve">: a randomized controlled trial (TRANX-K). </w:t>
      </w:r>
      <w:hyperlink r:id="rId100" w:tooltip="The Journal of bone and joint surgery. American volume." w:history="1">
        <w:r w:rsidRPr="008A7CEC">
          <w:rPr>
            <w:rStyle w:val="Hyperlink"/>
            <w:rFonts w:eastAsia="Times New Roman"/>
            <w:color w:val="000000" w:themeColor="text1"/>
            <w:u w:val="none"/>
          </w:rPr>
          <w:t>J Bone Joint Surg Am.</w:t>
        </w:r>
      </w:hyperlink>
      <w:r w:rsidRPr="008A7CEC">
        <w:rPr>
          <w:rStyle w:val="apple-converted-space"/>
          <w:rFonts w:eastAsia="Times New Roman"/>
          <w:color w:val="000000" w:themeColor="text1"/>
        </w:rPr>
        <w:t> </w:t>
      </w:r>
      <w:r w:rsidRPr="008A7CEC">
        <w:rPr>
          <w:rFonts w:eastAsia="Times New Roman"/>
          <w:color w:val="000000" w:themeColor="text1"/>
        </w:rPr>
        <w:t>2013 Nov 6;95(21):1961-8. doi: 10.2106/JBJS.L.00907.</w:t>
      </w:r>
    </w:p>
    <w:p w14:paraId="6FE406F8" w14:textId="77777777" w:rsidR="000A6DF1" w:rsidRPr="008A7CEC" w:rsidRDefault="000A6DF1" w:rsidP="00297E07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3206BEC8" w14:textId="1B26ABCF" w:rsidR="00C953A6" w:rsidRDefault="00C953A6" w:rsidP="000A6DF1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0A6DF1">
        <w:rPr>
          <w:rFonts w:eastAsia="Times New Roman"/>
          <w:color w:val="000000"/>
        </w:rPr>
        <w:lastRenderedPageBreak/>
        <w:t>27</w:t>
      </w:r>
      <w:r w:rsidR="000A6DF1">
        <w:rPr>
          <w:rFonts w:eastAsia="Times New Roman"/>
          <w:color w:val="000000"/>
        </w:rPr>
        <w:t xml:space="preserve"> – </w:t>
      </w:r>
      <w:hyperlink r:id="rId101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Sadigursky D</w:t>
        </w:r>
      </w:hyperlink>
      <w:r w:rsidR="000A6DF1" w:rsidRPr="000A6DF1">
        <w:rPr>
          <w:rFonts w:eastAsia="Times New Roman"/>
          <w:color w:val="000000" w:themeColor="text1"/>
        </w:rPr>
        <w:t>,</w:t>
      </w:r>
      <w:r w:rsidR="000A6DF1" w:rsidRPr="000A6DF1">
        <w:rPr>
          <w:rStyle w:val="apple-converted-space"/>
          <w:rFonts w:eastAsia="Times New Roman"/>
          <w:color w:val="000000" w:themeColor="text1"/>
        </w:rPr>
        <w:t> </w:t>
      </w:r>
      <w:hyperlink r:id="rId102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Andion D</w:t>
        </w:r>
      </w:hyperlink>
      <w:r w:rsidR="000A6DF1" w:rsidRPr="000A6DF1">
        <w:rPr>
          <w:rFonts w:eastAsia="Times New Roman"/>
          <w:color w:val="000000" w:themeColor="text1"/>
        </w:rPr>
        <w:t>,</w:t>
      </w:r>
      <w:r w:rsidR="000A6DF1" w:rsidRPr="000A6DF1">
        <w:rPr>
          <w:rStyle w:val="apple-converted-space"/>
          <w:rFonts w:eastAsia="Times New Roman"/>
          <w:color w:val="000000" w:themeColor="text1"/>
        </w:rPr>
        <w:t> </w:t>
      </w:r>
      <w:hyperlink r:id="rId103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Boureau P</w:t>
        </w:r>
      </w:hyperlink>
      <w:r w:rsidR="000A6DF1" w:rsidRPr="000A6DF1">
        <w:rPr>
          <w:rFonts w:eastAsia="Times New Roman"/>
          <w:color w:val="000000" w:themeColor="text1"/>
        </w:rPr>
        <w:t>,</w:t>
      </w:r>
      <w:r w:rsidR="000A6DF1" w:rsidRPr="000A6DF1">
        <w:rPr>
          <w:rStyle w:val="apple-converted-space"/>
          <w:rFonts w:eastAsia="Times New Roman"/>
          <w:color w:val="000000" w:themeColor="text1"/>
        </w:rPr>
        <w:t> </w:t>
      </w:r>
      <w:hyperlink r:id="rId104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Ferreira MC</w:t>
        </w:r>
      </w:hyperlink>
      <w:r w:rsidR="000A6DF1" w:rsidRPr="000A6DF1">
        <w:rPr>
          <w:rFonts w:eastAsia="Times New Roman"/>
          <w:color w:val="000000" w:themeColor="text1"/>
        </w:rPr>
        <w:t>,</w:t>
      </w:r>
      <w:r w:rsidR="000A6DF1" w:rsidRPr="000A6DF1">
        <w:rPr>
          <w:rStyle w:val="apple-converted-space"/>
          <w:rFonts w:eastAsia="Times New Roman"/>
          <w:color w:val="000000" w:themeColor="text1"/>
        </w:rPr>
        <w:t> </w:t>
      </w:r>
      <w:hyperlink r:id="rId105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Carneiro RJ</w:t>
        </w:r>
      </w:hyperlink>
      <w:r w:rsidR="000A6DF1" w:rsidRPr="000A6DF1">
        <w:rPr>
          <w:rFonts w:eastAsia="Times New Roman"/>
          <w:color w:val="000000" w:themeColor="text1"/>
        </w:rPr>
        <w:t>,</w:t>
      </w:r>
      <w:r w:rsidR="000A6DF1" w:rsidRPr="000A6DF1">
        <w:rPr>
          <w:rStyle w:val="apple-converted-space"/>
          <w:rFonts w:eastAsia="Times New Roman"/>
          <w:color w:val="000000" w:themeColor="text1"/>
        </w:rPr>
        <w:t> </w:t>
      </w:r>
      <w:hyperlink r:id="rId106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</w:rPr>
          <w:t>Colavolpe PO</w:t>
        </w:r>
      </w:hyperlink>
      <w:r w:rsidR="000A6DF1" w:rsidRPr="000A6DF1">
        <w:rPr>
          <w:rFonts w:eastAsia="Times New Roman"/>
          <w:color w:val="000000" w:themeColor="text1"/>
        </w:rPr>
        <w:t>.</w:t>
      </w:r>
      <w:r w:rsidR="000A6DF1">
        <w:rPr>
          <w:rFonts w:eastAsia="Times New Roman"/>
          <w:color w:val="000000" w:themeColor="text1"/>
        </w:rPr>
        <w:t xml:space="preserve"> </w:t>
      </w:r>
      <w:r w:rsidR="000A6DF1" w:rsidRPr="000A6DF1">
        <w:rPr>
          <w:rStyle w:val="highlight"/>
          <w:rFonts w:eastAsia="Times New Roman"/>
          <w:color w:val="000000" w:themeColor="text1"/>
          <w:lang w:val="en-US"/>
        </w:rPr>
        <w:t>Effect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Fonts w:eastAsia="Times New Roman"/>
          <w:color w:val="000000" w:themeColor="text1"/>
          <w:lang w:val="en-US"/>
        </w:rPr>
        <w:t>of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Style w:val="highlight"/>
          <w:rFonts w:eastAsia="Times New Roman"/>
          <w:color w:val="000000" w:themeColor="text1"/>
          <w:lang w:val="en-US"/>
        </w:rPr>
        <w:t>tranexamic acid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Fonts w:eastAsia="Times New Roman"/>
          <w:color w:val="000000" w:themeColor="text1"/>
          <w:lang w:val="en-US"/>
        </w:rPr>
        <w:t>on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Style w:val="highlight"/>
          <w:rFonts w:eastAsia="Times New Roman"/>
          <w:color w:val="000000" w:themeColor="text1"/>
          <w:lang w:val="en-US"/>
        </w:rPr>
        <w:t>bleeding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Style w:val="highlight"/>
          <w:rFonts w:eastAsia="Times New Roman"/>
          <w:color w:val="000000" w:themeColor="text1"/>
          <w:lang w:val="en-US"/>
        </w:rPr>
        <w:t>control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Fonts w:eastAsia="Times New Roman"/>
          <w:color w:val="000000" w:themeColor="text1"/>
          <w:lang w:val="en-US"/>
        </w:rPr>
        <w:t>in</w:t>
      </w:r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Pr="000A6DF1">
        <w:rPr>
          <w:rFonts w:eastAsia="Times New Roman"/>
          <w:color w:val="000000" w:themeColor="text1"/>
          <w:lang w:val="en-US"/>
        </w:rPr>
        <w:t>.</w:t>
      </w:r>
      <w:r w:rsidR="000A6DF1" w:rsidRPr="000A6DF1">
        <w:rPr>
          <w:rFonts w:eastAsia="Times New Roman"/>
          <w:color w:val="000000" w:themeColor="text1"/>
          <w:lang w:val="en-US"/>
        </w:rPr>
        <w:t xml:space="preserve"> – </w:t>
      </w:r>
      <w:hyperlink r:id="rId107" w:tooltip="Acta ortopedica brasileira." w:history="1">
        <w:r w:rsidR="000A6DF1" w:rsidRPr="000A6DF1">
          <w:rPr>
            <w:rStyle w:val="Hyperlink"/>
            <w:rFonts w:eastAsia="Times New Roman"/>
            <w:color w:val="000000" w:themeColor="text1"/>
            <w:u w:val="none"/>
            <w:lang w:val="en-US"/>
          </w:rPr>
          <w:t>Acta Ortop Bras.</w:t>
        </w:r>
      </w:hyperlink>
      <w:r w:rsidR="000A6DF1" w:rsidRPr="000A6DF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0A6DF1" w:rsidRPr="000A6DF1">
        <w:rPr>
          <w:rFonts w:eastAsia="Times New Roman"/>
          <w:color w:val="000000" w:themeColor="text1"/>
          <w:lang w:val="en-US"/>
        </w:rPr>
        <w:t>2016 May-Jun;24(3):131-6. doi: 10.1590/1413-785220162403149200.</w:t>
      </w:r>
    </w:p>
    <w:p w14:paraId="3599D31B" w14:textId="77777777" w:rsidR="000A6DF1" w:rsidRDefault="000A6DF1" w:rsidP="000A6DF1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5AB41280" w14:textId="6A3661D9" w:rsidR="006A42BB" w:rsidRPr="008A7CEC" w:rsidRDefault="000A6DF1" w:rsidP="006A42BB">
      <w:pPr>
        <w:spacing w:line="360" w:lineRule="auto"/>
        <w:jc w:val="both"/>
        <w:rPr>
          <w:rFonts w:eastAsia="Times New Roman"/>
          <w:color w:val="000000" w:themeColor="text1"/>
        </w:rPr>
      </w:pPr>
      <w:r w:rsidRPr="006A42BB">
        <w:rPr>
          <w:rFonts w:eastAsia="Times New Roman"/>
          <w:color w:val="000000" w:themeColor="text1"/>
          <w:lang w:val="en-US"/>
        </w:rPr>
        <w:t>28 –</w:t>
      </w:r>
      <w:r w:rsidR="006A42BB" w:rsidRPr="006A42BB">
        <w:rPr>
          <w:rFonts w:eastAsia="Times New Roman"/>
          <w:color w:val="000000" w:themeColor="text1"/>
          <w:lang w:val="en-US"/>
        </w:rPr>
        <w:t xml:space="preserve"> </w:t>
      </w:r>
      <w:r w:rsidR="006A42BB">
        <w:rPr>
          <w:rFonts w:eastAsia="Times New Roman"/>
          <w:color w:val="000000" w:themeColor="text1"/>
          <w:lang w:val="en-US"/>
        </w:rPr>
        <w:t xml:space="preserve">Kakar PN, Gupta N, Govil P, Shah V. </w:t>
      </w:r>
      <w:r w:rsidR="006A42BB">
        <w:rPr>
          <w:color w:val="1A1A1A"/>
          <w:lang w:val="en-US"/>
        </w:rPr>
        <w:t>E</w:t>
      </w:r>
      <w:r w:rsidR="006A42BB" w:rsidRPr="00C73306">
        <w:rPr>
          <w:color w:val="1A1A1A"/>
          <w:lang w:val="en-US"/>
        </w:rPr>
        <w:t>fficacy and safety of tranexamic acid in control of bleeding following tkr: a randomized clinical trial</w:t>
      </w:r>
      <w:r w:rsidR="006A42BB">
        <w:rPr>
          <w:color w:val="1A1A1A"/>
          <w:lang w:val="en-US"/>
        </w:rPr>
        <w:t>.</w:t>
      </w:r>
      <w:r w:rsidR="006A42BB" w:rsidRPr="006A42BB">
        <w:rPr>
          <w:rFonts w:eastAsia="Times New Roman"/>
          <w:color w:val="000000" w:themeColor="text1"/>
          <w:lang w:val="en-US"/>
        </w:rPr>
        <w:t xml:space="preserve"> </w:t>
      </w:r>
      <w:hyperlink r:id="rId108" w:tooltip="Indian journal of anaesthesia." w:history="1">
        <w:r w:rsidR="006A42BB" w:rsidRPr="008A7CEC">
          <w:rPr>
            <w:rStyle w:val="Hyperlink"/>
            <w:rFonts w:eastAsia="Times New Roman"/>
            <w:color w:val="000000" w:themeColor="text1"/>
            <w:u w:val="none"/>
          </w:rPr>
          <w:t>Indian J Anaesth.</w:t>
        </w:r>
      </w:hyperlink>
      <w:r w:rsidR="006A42BB" w:rsidRPr="008A7CEC">
        <w:rPr>
          <w:rStyle w:val="apple-converted-space"/>
          <w:rFonts w:eastAsia="Times New Roman"/>
          <w:color w:val="000000" w:themeColor="text1"/>
        </w:rPr>
        <w:t> </w:t>
      </w:r>
      <w:r w:rsidR="006A42BB" w:rsidRPr="008A7CEC">
        <w:rPr>
          <w:rFonts w:eastAsia="Times New Roman"/>
          <w:color w:val="000000" w:themeColor="text1"/>
        </w:rPr>
        <w:t>2009 Dec;53(6):667-71.</w:t>
      </w:r>
    </w:p>
    <w:p w14:paraId="4354BC44" w14:textId="77777777" w:rsidR="006A42BB" w:rsidRPr="008A7CEC" w:rsidRDefault="006A42BB" w:rsidP="006A42BB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24C74EE7" w14:textId="2C1CC770" w:rsidR="006A42BB" w:rsidRPr="008A7CEC" w:rsidRDefault="006A42BB" w:rsidP="005D0B95">
      <w:pPr>
        <w:pStyle w:val="p1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16AF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29 – </w:t>
      </w:r>
      <w:r w:rsidR="00D16AFE" w:rsidRPr="00D16AFE">
        <w:rPr>
          <w:rFonts w:ascii="Times New Roman" w:hAnsi="Times New Roman"/>
          <w:color w:val="000000" w:themeColor="text1"/>
          <w:sz w:val="24"/>
          <w:szCs w:val="24"/>
        </w:rPr>
        <w:t>Almeida M</w:t>
      </w:r>
      <w:r w:rsidR="00D16AFE">
        <w:rPr>
          <w:rFonts w:ascii="Times New Roman" w:hAnsi="Times New Roman"/>
          <w:color w:val="000000" w:themeColor="text1"/>
          <w:sz w:val="24"/>
          <w:szCs w:val="24"/>
        </w:rPr>
        <w:t>DC. Albuquerque RP, Palhares GM, Almeida JPC, Barreto JM, Cvanellas N. Avaliac</w:t>
      </w:r>
      <w:r w:rsidR="00D16AFE" w:rsidRPr="00D16AFE">
        <w:rPr>
          <w:rFonts w:ascii="Times New Roman" w:hAnsi="Times New Roman"/>
          <w:color w:val="000000" w:themeColor="text1"/>
          <w:sz w:val="24"/>
          <w:szCs w:val="24"/>
        </w:rPr>
        <w:t xml:space="preserve">ão do uso do ácido tranexâmico em artroplastia total do joelho. Rev Bras Ortop. </w:t>
      </w:r>
      <w:r w:rsidR="00D16AFE" w:rsidRPr="008A7CEC">
        <w:rPr>
          <w:rFonts w:ascii="Times New Roman" w:hAnsi="Times New Roman"/>
          <w:color w:val="000000" w:themeColor="text1"/>
          <w:sz w:val="24"/>
          <w:szCs w:val="24"/>
        </w:rPr>
        <w:t>2018. (no prelo). https://doi.org/10.1016/j.rbo.2017.06.030</w:t>
      </w:r>
      <w:r w:rsidR="00D16AFE" w:rsidRPr="008A7CEC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</w:p>
    <w:p w14:paraId="256C058F" w14:textId="77777777" w:rsidR="00D81778" w:rsidRPr="008A7CEC" w:rsidRDefault="00D81778" w:rsidP="00C45685">
      <w:pPr>
        <w:spacing w:line="348" w:lineRule="atLeast"/>
        <w:jc w:val="both"/>
        <w:rPr>
          <w:rFonts w:eastAsia="Times New Roman"/>
          <w:color w:val="000000" w:themeColor="text1"/>
        </w:rPr>
      </w:pPr>
    </w:p>
    <w:p w14:paraId="58AFBD88" w14:textId="71D5A4B6" w:rsidR="006227F2" w:rsidRDefault="005D0B95" w:rsidP="006227F2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8A7CEC">
        <w:rPr>
          <w:rFonts w:eastAsia="Times New Roman"/>
          <w:color w:val="000000" w:themeColor="text1"/>
        </w:rPr>
        <w:t>30</w:t>
      </w:r>
      <w:r w:rsidR="00D81778" w:rsidRPr="008A7CEC">
        <w:rPr>
          <w:rFonts w:eastAsia="Times New Roman"/>
          <w:color w:val="000000" w:themeColor="text1"/>
        </w:rPr>
        <w:t xml:space="preserve"> – </w:t>
      </w:r>
      <w:hyperlink r:id="rId109" w:history="1">
        <w:r w:rsidR="006227F2" w:rsidRPr="008A7CEC">
          <w:rPr>
            <w:rStyle w:val="Hyperlink"/>
            <w:rFonts w:eastAsia="Times New Roman"/>
            <w:color w:val="000000" w:themeColor="text1"/>
            <w:u w:val="none"/>
          </w:rPr>
          <w:t>Gao FQ</w:t>
        </w:r>
      </w:hyperlink>
      <w:r w:rsidR="006227F2" w:rsidRPr="008A7CEC">
        <w:rPr>
          <w:rFonts w:eastAsia="Times New Roman"/>
          <w:color w:val="000000" w:themeColor="text1"/>
        </w:rPr>
        <w:t>,</w:t>
      </w:r>
      <w:r w:rsidR="006227F2" w:rsidRPr="008A7CEC">
        <w:rPr>
          <w:rStyle w:val="apple-converted-space"/>
          <w:rFonts w:eastAsia="Times New Roman"/>
          <w:color w:val="000000" w:themeColor="text1"/>
        </w:rPr>
        <w:t> </w:t>
      </w:r>
      <w:hyperlink r:id="rId110" w:history="1">
        <w:r w:rsidR="006227F2" w:rsidRPr="008A7CEC">
          <w:rPr>
            <w:rStyle w:val="Hyperlink"/>
            <w:rFonts w:eastAsia="Times New Roman"/>
            <w:color w:val="000000" w:themeColor="text1"/>
            <w:u w:val="none"/>
          </w:rPr>
          <w:t>Li ZJ</w:t>
        </w:r>
      </w:hyperlink>
      <w:r w:rsidR="006227F2" w:rsidRPr="008A7CEC">
        <w:rPr>
          <w:rFonts w:eastAsia="Times New Roman"/>
          <w:color w:val="000000" w:themeColor="text1"/>
        </w:rPr>
        <w:t>,</w:t>
      </w:r>
      <w:r w:rsidR="006227F2" w:rsidRPr="008A7CEC">
        <w:rPr>
          <w:rStyle w:val="apple-converted-space"/>
          <w:rFonts w:eastAsia="Times New Roman"/>
          <w:color w:val="000000" w:themeColor="text1"/>
        </w:rPr>
        <w:t> </w:t>
      </w:r>
      <w:hyperlink r:id="rId111" w:history="1">
        <w:r w:rsidR="006227F2" w:rsidRPr="008A7CEC">
          <w:rPr>
            <w:rStyle w:val="Hyperlink"/>
            <w:rFonts w:eastAsia="Times New Roman"/>
            <w:color w:val="000000" w:themeColor="text1"/>
            <w:u w:val="none"/>
          </w:rPr>
          <w:t>Zhang K</w:t>
        </w:r>
      </w:hyperlink>
      <w:r w:rsidR="006227F2" w:rsidRPr="008A7CEC">
        <w:rPr>
          <w:rFonts w:eastAsia="Times New Roman"/>
          <w:color w:val="000000" w:themeColor="text1"/>
        </w:rPr>
        <w:t>,</w:t>
      </w:r>
      <w:r w:rsidR="006227F2" w:rsidRPr="008A7CEC">
        <w:rPr>
          <w:rStyle w:val="apple-converted-space"/>
          <w:rFonts w:eastAsia="Times New Roman"/>
          <w:color w:val="000000" w:themeColor="text1"/>
        </w:rPr>
        <w:t> </w:t>
      </w:r>
      <w:hyperlink r:id="rId112" w:history="1">
        <w:r w:rsidR="006227F2" w:rsidRPr="008A7CEC">
          <w:rPr>
            <w:rStyle w:val="Hyperlink"/>
            <w:rFonts w:eastAsia="Times New Roman"/>
            <w:color w:val="000000" w:themeColor="text1"/>
            <w:u w:val="none"/>
          </w:rPr>
          <w:t>Sun W</w:t>
        </w:r>
      </w:hyperlink>
      <w:r w:rsidR="006227F2" w:rsidRPr="008A7CEC">
        <w:rPr>
          <w:rFonts w:eastAsia="Times New Roman"/>
          <w:color w:val="000000" w:themeColor="text1"/>
        </w:rPr>
        <w:t>,</w:t>
      </w:r>
      <w:r w:rsidR="006227F2" w:rsidRPr="008A7CEC">
        <w:rPr>
          <w:rStyle w:val="apple-converted-space"/>
          <w:rFonts w:eastAsia="Times New Roman"/>
          <w:color w:val="000000" w:themeColor="text1"/>
        </w:rPr>
        <w:t> </w:t>
      </w:r>
      <w:hyperlink r:id="rId113" w:history="1">
        <w:r w:rsidR="006227F2" w:rsidRPr="008A7CEC">
          <w:rPr>
            <w:rStyle w:val="Hyperlink"/>
            <w:rFonts w:eastAsia="Times New Roman"/>
            <w:color w:val="000000" w:themeColor="text1"/>
            <w:u w:val="none"/>
          </w:rPr>
          <w:t>Zhang H</w:t>
        </w:r>
      </w:hyperlink>
      <w:r w:rsidR="006227F2" w:rsidRPr="008A7CEC">
        <w:rPr>
          <w:rFonts w:eastAsia="Times New Roman"/>
          <w:color w:val="000000" w:themeColor="text1"/>
        </w:rPr>
        <w:t xml:space="preserve">. 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Four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Methods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Fonts w:eastAsia="Times New Roman"/>
          <w:color w:val="000000" w:themeColor="text1"/>
          <w:lang w:val="en-US"/>
        </w:rPr>
        <w:t>for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Calculating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Blood-loss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after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Total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Knee</w:t>
      </w:r>
      <w:r w:rsidR="0076788C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76788C" w:rsidRPr="006227F2">
        <w:rPr>
          <w:rStyle w:val="highlight"/>
          <w:rFonts w:eastAsia="Times New Roman"/>
          <w:color w:val="000000" w:themeColor="text1"/>
          <w:lang w:val="en-US"/>
        </w:rPr>
        <w:t>Arthroplasty</w:t>
      </w:r>
      <w:r w:rsidR="0076788C" w:rsidRPr="006227F2">
        <w:rPr>
          <w:rFonts w:eastAsia="Times New Roman"/>
          <w:color w:val="000000" w:themeColor="text1"/>
          <w:lang w:val="en-US"/>
        </w:rPr>
        <w:t>.</w:t>
      </w:r>
      <w:r w:rsidR="006227F2" w:rsidRPr="006227F2">
        <w:rPr>
          <w:rFonts w:eastAsia="Times New Roman"/>
          <w:color w:val="000000" w:themeColor="text1"/>
          <w:lang w:val="en-US"/>
        </w:rPr>
        <w:t xml:space="preserve"> </w:t>
      </w:r>
      <w:hyperlink r:id="rId114" w:tooltip="Chinese medical journal." w:history="1">
        <w:r w:rsidR="006227F2" w:rsidRPr="006227F2">
          <w:rPr>
            <w:rStyle w:val="Hyperlink"/>
            <w:rFonts w:eastAsia="Times New Roman"/>
            <w:color w:val="000000" w:themeColor="text1"/>
            <w:u w:val="none"/>
            <w:lang w:val="en-US"/>
          </w:rPr>
          <w:t>Chin Med J (Engl).</w:t>
        </w:r>
      </w:hyperlink>
      <w:r w:rsidR="006227F2" w:rsidRPr="006227F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6227F2" w:rsidRPr="006227F2">
        <w:rPr>
          <w:rFonts w:eastAsia="Times New Roman"/>
          <w:color w:val="000000" w:themeColor="text1"/>
          <w:lang w:val="en-US"/>
        </w:rPr>
        <w:t>2015 Nov 5;128(21):2856-60. doi: 10.4103/0366-6999.168041.</w:t>
      </w:r>
    </w:p>
    <w:p w14:paraId="673428E2" w14:textId="77777777" w:rsidR="006227F2" w:rsidRDefault="006227F2" w:rsidP="006227F2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3A919B82" w14:textId="70F398D2" w:rsidR="00AB648E" w:rsidRDefault="003E5E5F" w:rsidP="00AB648E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lang w:val="en-US"/>
        </w:rPr>
        <w:t>31 –</w:t>
      </w:r>
      <w:r w:rsidR="00AB648E">
        <w:rPr>
          <w:rFonts w:ascii="Arial" w:eastAsia="Times New Roman" w:hAnsi="Arial" w:cs="Arial"/>
          <w:color w:val="000000"/>
          <w:sz w:val="20"/>
          <w:szCs w:val="20"/>
          <w:lang w:val="en-US"/>
        </w:rPr>
        <w:t xml:space="preserve"> </w:t>
      </w:r>
      <w:hyperlink r:id="rId115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Kim DH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>,</w:t>
      </w:r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16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Lee GC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>,</w:t>
      </w:r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17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Lee SH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>,</w:t>
      </w:r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18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Pak CH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>,</w:t>
      </w:r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19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Park SH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>,</w:t>
      </w:r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20" w:history="1"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Jung S</w:t>
        </w:r>
      </w:hyperlink>
      <w:r w:rsidR="00AB648E" w:rsidRPr="00AB648E">
        <w:rPr>
          <w:rFonts w:eastAsia="Times New Roman"/>
          <w:color w:val="000000" w:themeColor="text1"/>
          <w:lang w:val="en-US"/>
        </w:rPr>
        <w:t xml:space="preserve">. </w:t>
      </w:r>
      <w:r w:rsidR="005A6C74">
        <w:rPr>
          <w:rFonts w:eastAsia="Times New Roman"/>
          <w:color w:val="000000" w:themeColor="text1"/>
          <w:lang w:val="en-US"/>
        </w:rPr>
        <w:t>C</w:t>
      </w:r>
      <w:r w:rsidR="005A6C74" w:rsidRPr="00AB648E">
        <w:rPr>
          <w:rFonts w:eastAsia="Times New Roman"/>
          <w:color w:val="000000" w:themeColor="text1"/>
          <w:lang w:val="en-US"/>
        </w:rPr>
        <w:t>omparison of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blood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loss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Fonts w:eastAsia="Times New Roman"/>
          <w:color w:val="000000" w:themeColor="text1"/>
          <w:lang w:val="en-US"/>
        </w:rPr>
        <w:t>between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neutral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drainage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Fonts w:eastAsia="Times New Roman"/>
          <w:color w:val="000000" w:themeColor="text1"/>
          <w:lang w:val="en-US"/>
        </w:rPr>
        <w:t>with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tranexamic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acid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Fonts w:eastAsia="Times New Roman"/>
          <w:color w:val="000000" w:themeColor="text1"/>
          <w:lang w:val="en-US"/>
        </w:rPr>
        <w:t>and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negative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pressuredrainage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Fonts w:eastAsia="Times New Roman"/>
          <w:color w:val="000000" w:themeColor="text1"/>
          <w:lang w:val="en-US"/>
        </w:rPr>
        <w:t>without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tranexamic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acid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following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primary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total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knee</w:t>
      </w:r>
      <w:r w:rsidR="005A6C74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5A6C74" w:rsidRPr="00AB648E">
        <w:rPr>
          <w:rStyle w:val="highlight"/>
          <w:rFonts w:eastAsia="Times New Roman"/>
          <w:color w:val="000000" w:themeColor="text1"/>
          <w:lang w:val="en-US"/>
        </w:rPr>
        <w:t>arthroplasty</w:t>
      </w:r>
      <w:r w:rsidR="005A6C74" w:rsidRPr="00AB648E">
        <w:rPr>
          <w:rFonts w:eastAsia="Times New Roman"/>
          <w:color w:val="000000" w:themeColor="text1"/>
          <w:lang w:val="en-US"/>
        </w:rPr>
        <w:t xml:space="preserve">. </w:t>
      </w:r>
      <w:r w:rsidR="00AB648E" w:rsidRPr="00AB648E">
        <w:rPr>
          <w:rFonts w:eastAsia="Times New Roman"/>
          <w:color w:val="000000" w:themeColor="text1"/>
          <w:lang w:val="en-US"/>
        </w:rPr>
        <w:t xml:space="preserve">– </w:t>
      </w:r>
      <w:hyperlink r:id="rId121" w:tooltip="Knee surgery &amp; related research." w:history="1">
        <w:r w:rsidR="00AB648E" w:rsidRPr="00AB648E">
          <w:rPr>
            <w:rStyle w:val="highlight"/>
            <w:rFonts w:eastAsia="Times New Roman"/>
            <w:color w:val="000000" w:themeColor="text1"/>
            <w:lang w:val="en-US"/>
          </w:rPr>
          <w:t>Knee</w:t>
        </w:r>
        <w:r w:rsidR="00AB648E" w:rsidRPr="00AB648E">
          <w:rPr>
            <w:rStyle w:val="apple-converted-space"/>
            <w:rFonts w:eastAsia="Times New Roman"/>
            <w:color w:val="000000" w:themeColor="text1"/>
            <w:lang w:val="en-US"/>
          </w:rPr>
          <w:t> </w:t>
        </w:r>
        <w:r w:rsidR="00AB648E" w:rsidRPr="00AB648E">
          <w:rPr>
            <w:rStyle w:val="Hyperlink"/>
            <w:rFonts w:eastAsia="Times New Roman"/>
            <w:color w:val="000000" w:themeColor="text1"/>
            <w:u w:val="none"/>
            <w:lang w:val="en-US"/>
          </w:rPr>
          <w:t>Surg Relat Res.</w:t>
        </w:r>
      </w:hyperlink>
      <w:r w:rsidR="00AB648E" w:rsidRPr="00AB648E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AB648E" w:rsidRPr="00AB648E">
        <w:rPr>
          <w:rFonts w:eastAsia="Times New Roman"/>
          <w:color w:val="000000" w:themeColor="text1"/>
          <w:lang w:val="en-US"/>
        </w:rPr>
        <w:t>2016 Sep;28(3):194-200. doi: 10.5792/ksrr.2016.28.3.194.</w:t>
      </w:r>
    </w:p>
    <w:p w14:paraId="78C8D1C6" w14:textId="7F078B1C" w:rsidR="00AB648E" w:rsidRPr="00AB648E" w:rsidRDefault="00AB648E" w:rsidP="00AB648E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AB648E">
        <w:rPr>
          <w:rFonts w:eastAsia="Times New Roman"/>
          <w:color w:val="000000" w:themeColor="text1"/>
          <w:lang w:val="en-US"/>
        </w:rPr>
        <w:t xml:space="preserve"> </w:t>
      </w:r>
    </w:p>
    <w:p w14:paraId="78B846C9" w14:textId="7DFFB814" w:rsidR="00AB648E" w:rsidRDefault="003E5E5F" w:rsidP="00AB648E">
      <w:pPr>
        <w:pStyle w:val="Ttulo1"/>
        <w:spacing w:line="360" w:lineRule="auto"/>
        <w:rPr>
          <w:rFonts w:eastAsia="Times New Roman"/>
          <w:b w:val="0"/>
          <w:sz w:val="24"/>
          <w:szCs w:val="24"/>
          <w:lang w:val="en-US"/>
        </w:rPr>
      </w:pPr>
      <w:r>
        <w:rPr>
          <w:rFonts w:eastAsia="Times New Roman"/>
          <w:b w:val="0"/>
          <w:sz w:val="24"/>
          <w:szCs w:val="24"/>
          <w:lang w:val="en-US"/>
        </w:rPr>
        <w:t>32</w:t>
      </w:r>
      <w:r w:rsidR="00AB648E" w:rsidRPr="00AB648E">
        <w:rPr>
          <w:rFonts w:eastAsia="Times New Roman"/>
          <w:b w:val="0"/>
          <w:sz w:val="24"/>
          <w:szCs w:val="24"/>
          <w:lang w:val="en-US"/>
        </w:rPr>
        <w:t xml:space="preserve"> – </w:t>
      </w:r>
      <w:hyperlink r:id="rId122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Gillette BP</w:t>
        </w:r>
      </w:hyperlink>
      <w:r w:rsidR="00AB648E" w:rsidRPr="00AB648E">
        <w:rPr>
          <w:rFonts w:eastAsia="Times New Roman"/>
          <w:b w:val="0"/>
          <w:sz w:val="24"/>
          <w:szCs w:val="24"/>
          <w:lang w:val="en-US"/>
        </w:rPr>
        <w:t>,</w:t>
      </w:r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hyperlink r:id="rId123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Maradit Kremers H</w:t>
        </w:r>
      </w:hyperlink>
      <w:r w:rsidR="00AB648E" w:rsidRPr="00AB648E">
        <w:rPr>
          <w:rFonts w:eastAsia="Times New Roman"/>
          <w:b w:val="0"/>
          <w:sz w:val="24"/>
          <w:szCs w:val="24"/>
          <w:lang w:val="en-US"/>
        </w:rPr>
        <w:t>,</w:t>
      </w:r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hyperlink r:id="rId124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Duncan CM</w:t>
        </w:r>
      </w:hyperlink>
      <w:r w:rsidR="00AB648E" w:rsidRPr="00AB648E">
        <w:rPr>
          <w:rFonts w:eastAsia="Times New Roman"/>
          <w:b w:val="0"/>
          <w:sz w:val="24"/>
          <w:szCs w:val="24"/>
          <w:lang w:val="en-US"/>
        </w:rPr>
        <w:t>,</w:t>
      </w:r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hyperlink r:id="rId125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Smith HM</w:t>
        </w:r>
      </w:hyperlink>
      <w:r w:rsidR="00AB648E" w:rsidRPr="00AB648E">
        <w:rPr>
          <w:rFonts w:eastAsia="Times New Roman"/>
          <w:b w:val="0"/>
          <w:sz w:val="24"/>
          <w:szCs w:val="24"/>
          <w:lang w:val="en-US"/>
        </w:rPr>
        <w:t>,</w:t>
      </w:r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hyperlink r:id="rId126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Trousdale RT</w:t>
        </w:r>
      </w:hyperlink>
      <w:r w:rsidR="00AB648E" w:rsidRPr="00AB648E">
        <w:rPr>
          <w:rFonts w:eastAsia="Times New Roman"/>
          <w:b w:val="0"/>
          <w:sz w:val="24"/>
          <w:szCs w:val="24"/>
          <w:lang w:val="en-US"/>
        </w:rPr>
        <w:t>,</w:t>
      </w:r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r w:rsidR="00AB648E">
        <w:rPr>
          <w:rFonts w:eastAsia="Times New Roman"/>
          <w:b w:val="0"/>
          <w:sz w:val="24"/>
          <w:szCs w:val="24"/>
          <w:lang w:val="en-US"/>
        </w:rPr>
        <w:t>Pagnano  MW. Sierra RJ</w:t>
      </w:r>
      <w:r w:rsidR="00AB648E" w:rsidRPr="00AB648E">
        <w:rPr>
          <w:rFonts w:eastAsia="Times New Roman"/>
          <w:b w:val="0"/>
          <w:sz w:val="24"/>
          <w:szCs w:val="24"/>
          <w:lang w:val="en-US"/>
        </w:rPr>
        <w:t>.</w:t>
      </w:r>
      <w:r w:rsidR="00AB648E" w:rsidRPr="00AB648E">
        <w:rPr>
          <w:rFonts w:eastAsia="Times New Roman"/>
          <w:b w:val="0"/>
          <w:color w:val="000000"/>
          <w:kern w:val="36"/>
          <w:sz w:val="24"/>
          <w:szCs w:val="24"/>
          <w:lang w:val="en-US"/>
        </w:rPr>
        <w:t xml:space="preserve"> Economic impact of tranexamic acid in healthy patients undergoing primary total hip and knee arthroplasty</w:t>
      </w:r>
      <w:r w:rsidR="00AB648E" w:rsidRPr="00AB648E">
        <w:rPr>
          <w:rFonts w:eastAsia="Times New Roman"/>
          <w:b w:val="0"/>
          <w:sz w:val="24"/>
          <w:szCs w:val="24"/>
          <w:lang w:val="en-US"/>
        </w:rPr>
        <w:t xml:space="preserve">. </w:t>
      </w:r>
      <w:hyperlink r:id="rId127" w:tooltip="The Journal of arthroplasty." w:history="1"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J</w:t>
        </w:r>
        <w:r w:rsidR="00AB648E" w:rsidRPr="00AB648E">
          <w:rPr>
            <w:rStyle w:val="apple-converted-space"/>
            <w:rFonts w:eastAsia="Times New Roman"/>
            <w:b w:val="0"/>
            <w:sz w:val="24"/>
            <w:szCs w:val="24"/>
            <w:lang w:val="en-US"/>
          </w:rPr>
          <w:t> </w:t>
        </w:r>
        <w:r w:rsidR="00AB648E" w:rsidRPr="00AB648E">
          <w:rPr>
            <w:rStyle w:val="highlight"/>
            <w:rFonts w:eastAsia="Times New Roman"/>
            <w:b w:val="0"/>
            <w:sz w:val="24"/>
            <w:szCs w:val="24"/>
            <w:lang w:val="en-US"/>
          </w:rPr>
          <w:t>Arthroplasty</w:t>
        </w:r>
        <w:r w:rsidR="00AB648E" w:rsidRPr="00AB648E">
          <w:rPr>
            <w:rStyle w:val="Hyperlink"/>
            <w:rFonts w:eastAsia="Times New Roman"/>
            <w:b w:val="0"/>
            <w:color w:val="000000" w:themeColor="text1"/>
            <w:sz w:val="24"/>
            <w:szCs w:val="24"/>
            <w:u w:val="none"/>
            <w:lang w:val="en-US"/>
          </w:rPr>
          <w:t>.</w:t>
        </w:r>
      </w:hyperlink>
      <w:r w:rsidR="00AB648E" w:rsidRPr="00AB648E">
        <w:rPr>
          <w:rStyle w:val="apple-converted-space"/>
          <w:rFonts w:eastAsia="Times New Roman"/>
          <w:b w:val="0"/>
          <w:sz w:val="24"/>
          <w:szCs w:val="24"/>
          <w:lang w:val="en-US"/>
        </w:rPr>
        <w:t> </w:t>
      </w:r>
      <w:r w:rsidR="00AB648E" w:rsidRPr="00AB648E">
        <w:rPr>
          <w:rFonts w:eastAsia="Times New Roman"/>
          <w:b w:val="0"/>
          <w:sz w:val="24"/>
          <w:szCs w:val="24"/>
          <w:lang w:val="en-US"/>
        </w:rPr>
        <w:t xml:space="preserve">2013 Sep;28(8 Suppl):137-9. doi: 10.1016/j.arth.2013.04.054. </w:t>
      </w:r>
    </w:p>
    <w:p w14:paraId="554E343D" w14:textId="77777777" w:rsidR="008F25A8" w:rsidRDefault="008F25A8" w:rsidP="008F25A8">
      <w:pPr>
        <w:rPr>
          <w:lang w:val="en-US"/>
        </w:rPr>
      </w:pPr>
    </w:p>
    <w:p w14:paraId="627899E7" w14:textId="5B8D4CC6" w:rsidR="008F25A8" w:rsidRPr="008F25A8" w:rsidRDefault="003E5E5F" w:rsidP="008F25A8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color w:val="000000" w:themeColor="text1"/>
          <w:lang w:val="en-US"/>
        </w:rPr>
        <w:t>33</w:t>
      </w:r>
      <w:r w:rsidR="008F25A8" w:rsidRPr="008F25A8">
        <w:rPr>
          <w:color w:val="000000" w:themeColor="text1"/>
          <w:lang w:val="en-US"/>
        </w:rPr>
        <w:t xml:space="preserve"> – </w:t>
      </w:r>
      <w:hyperlink r:id="rId128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Chen JY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29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Chin PL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0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Moo IH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1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Pang HN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2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Tay DK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3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Chia SL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4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Lo NN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,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5" w:history="1"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Yeo SJ</w:t>
        </w:r>
      </w:hyperlink>
      <w:r w:rsidR="008F25A8" w:rsidRPr="008F25A8">
        <w:rPr>
          <w:rFonts w:eastAsia="Times New Roman"/>
          <w:color w:val="000000" w:themeColor="text1"/>
          <w:lang w:val="en-US"/>
        </w:rPr>
        <w:t>.</w:t>
      </w:r>
      <w:r w:rsidR="008F25A8">
        <w:rPr>
          <w:rFonts w:eastAsia="Times New Roman"/>
          <w:color w:val="000000" w:themeColor="text1"/>
          <w:lang w:val="en-US"/>
        </w:rPr>
        <w:t xml:space="preserve"> 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Intravenous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versus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intra-articular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tranexamic acid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Fonts w:eastAsia="Times New Roman"/>
          <w:color w:val="000000" w:themeColor="text1"/>
          <w:lang w:val="en-US"/>
        </w:rPr>
        <w:t>in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="008F25A8" w:rsidRPr="008F25A8">
        <w:rPr>
          <w:rFonts w:eastAsia="Times New Roman"/>
          <w:color w:val="000000" w:themeColor="text1"/>
          <w:lang w:val="en-US"/>
        </w:rPr>
        <w:t>: A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double-blindedrandomised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controlled</w:t>
      </w:r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noninferiority trial</w:t>
      </w:r>
      <w:r w:rsidR="008F25A8" w:rsidRPr="008F25A8">
        <w:rPr>
          <w:rFonts w:eastAsia="Times New Roman"/>
          <w:color w:val="000000" w:themeColor="text1"/>
          <w:lang w:val="en-US"/>
        </w:rPr>
        <w:t>.</w:t>
      </w:r>
      <w:r w:rsidR="008F25A8">
        <w:rPr>
          <w:rFonts w:eastAsia="Times New Roman"/>
          <w:b/>
          <w:lang w:val="en-US"/>
        </w:rPr>
        <w:t xml:space="preserve"> </w:t>
      </w:r>
      <w:hyperlink r:id="rId136" w:tooltip="The Knee." w:history="1">
        <w:r w:rsidR="008F25A8" w:rsidRPr="008F25A8">
          <w:rPr>
            <w:rStyle w:val="highlight"/>
            <w:rFonts w:eastAsia="Times New Roman"/>
            <w:color w:val="000000" w:themeColor="text1"/>
            <w:lang w:val="en-US"/>
          </w:rPr>
          <w:t>Knee</w:t>
        </w:r>
        <w:r w:rsidR="008F25A8" w:rsidRPr="008F25A8">
          <w:rPr>
            <w:rStyle w:val="Hyperlink"/>
            <w:rFonts w:eastAsia="Times New Roman"/>
            <w:color w:val="000000" w:themeColor="text1"/>
            <w:u w:val="none"/>
            <w:lang w:val="en-US"/>
          </w:rPr>
          <w:t>.</w:t>
        </w:r>
      </w:hyperlink>
      <w:r w:rsidR="008F25A8" w:rsidRPr="008F25A8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25A8" w:rsidRPr="008F25A8">
        <w:rPr>
          <w:rFonts w:eastAsia="Times New Roman"/>
          <w:color w:val="000000" w:themeColor="text1"/>
          <w:lang w:val="en-US"/>
        </w:rPr>
        <w:t>2016 Jan;23(1):152-6. doi: 10.1016/j.</w:t>
      </w:r>
      <w:r w:rsidR="008F25A8" w:rsidRPr="008F25A8">
        <w:rPr>
          <w:rStyle w:val="highlight"/>
          <w:rFonts w:eastAsia="Times New Roman"/>
          <w:color w:val="000000" w:themeColor="text1"/>
          <w:lang w:val="en-US"/>
        </w:rPr>
        <w:t>knee</w:t>
      </w:r>
      <w:r w:rsidR="008F25A8" w:rsidRPr="008F25A8">
        <w:rPr>
          <w:rFonts w:eastAsia="Times New Roman"/>
          <w:color w:val="000000" w:themeColor="text1"/>
          <w:lang w:val="en-US"/>
        </w:rPr>
        <w:t xml:space="preserve">.2015.09.004. </w:t>
      </w:r>
    </w:p>
    <w:p w14:paraId="3436F1CF" w14:textId="4A6C5443" w:rsidR="008F25A8" w:rsidRDefault="008F25A8" w:rsidP="008F25A8">
      <w:pPr>
        <w:rPr>
          <w:lang w:val="en-US"/>
        </w:rPr>
      </w:pPr>
    </w:p>
    <w:p w14:paraId="0680CDDF" w14:textId="3532BD04" w:rsidR="00BA3714" w:rsidRDefault="003E5E5F" w:rsidP="00BA3714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US"/>
        </w:rPr>
      </w:pPr>
      <w:r>
        <w:rPr>
          <w:color w:val="000000" w:themeColor="text1"/>
          <w:lang w:val="en-US"/>
        </w:rPr>
        <w:t>34</w:t>
      </w:r>
      <w:r w:rsidR="008F25A8" w:rsidRPr="00BA3714">
        <w:rPr>
          <w:color w:val="000000" w:themeColor="text1"/>
          <w:lang w:val="en-US"/>
        </w:rPr>
        <w:t xml:space="preserve"> – </w:t>
      </w:r>
      <w:r w:rsidR="00BA3714" w:rsidRPr="00BA3714">
        <w:rPr>
          <w:rFonts w:eastAsia="Times New Roman"/>
          <w:color w:val="000000" w:themeColor="text1"/>
          <w:shd w:val="clear" w:color="auto" w:fill="FFFFFF"/>
          <w:lang w:val="en-US"/>
        </w:rPr>
        <w:t>McGrath S, Yates P, Prosser G. Oral Tranexamic Acid in Hip and Knee Arthroplasty: A Prospective Cohort Study. </w:t>
      </w:r>
      <w:r w:rsidR="00BA3714" w:rsidRPr="00BA3714">
        <w:rPr>
          <w:rFonts w:eastAsia="Times New Roman"/>
          <w:iCs/>
          <w:color w:val="000000" w:themeColor="text1"/>
          <w:lang w:val="en-US"/>
        </w:rPr>
        <w:t>Open Journal of Orthopedics</w:t>
      </w:r>
      <w:r w:rsidR="00BA3714" w:rsidRPr="00BA3714">
        <w:rPr>
          <w:rFonts w:eastAsia="Times New Roman"/>
          <w:color w:val="000000" w:themeColor="text1"/>
          <w:shd w:val="clear" w:color="auto" w:fill="FFFFFF"/>
          <w:lang w:val="en-US"/>
        </w:rPr>
        <w:t>. 2014 Aug;</w:t>
      </w:r>
      <w:r w:rsidR="00BA3714" w:rsidRPr="00BA3714">
        <w:rPr>
          <w:rFonts w:eastAsia="Times New Roman"/>
          <w:b/>
          <w:bCs/>
          <w:color w:val="000000" w:themeColor="text1"/>
          <w:lang w:val="en-US"/>
        </w:rPr>
        <w:t>4</w:t>
      </w:r>
      <w:r w:rsidR="00BA3714" w:rsidRPr="00BA3714">
        <w:rPr>
          <w:rFonts w:eastAsia="Times New Roman"/>
          <w:color w:val="000000" w:themeColor="text1"/>
          <w:shd w:val="clear" w:color="auto" w:fill="FFFFFF"/>
          <w:lang w:val="en-US"/>
        </w:rPr>
        <w:t>: 215-20. doi: </w:t>
      </w:r>
      <w:hyperlink r:id="rId137" w:tgtFrame="_blank" w:history="1">
        <w:r w:rsidR="00BA3714" w:rsidRPr="00BA3714">
          <w:rPr>
            <w:rFonts w:eastAsia="Times New Roman"/>
            <w:color w:val="000000" w:themeColor="text1"/>
            <w:lang w:val="en-US"/>
          </w:rPr>
          <w:t>10.4236/ojo.2014.48035</w:t>
        </w:r>
      </w:hyperlink>
      <w:r w:rsidR="00BA3714" w:rsidRPr="00BA3714">
        <w:rPr>
          <w:rFonts w:eastAsia="Times New Roman"/>
          <w:color w:val="000000" w:themeColor="text1"/>
          <w:shd w:val="clear" w:color="auto" w:fill="FFFFFF"/>
          <w:lang w:val="en-US"/>
        </w:rPr>
        <w:t>.</w:t>
      </w:r>
    </w:p>
    <w:p w14:paraId="4DA8E61C" w14:textId="77777777" w:rsidR="00BA3714" w:rsidRDefault="00BA3714" w:rsidP="00BA3714">
      <w:pPr>
        <w:spacing w:line="360" w:lineRule="auto"/>
        <w:jc w:val="both"/>
        <w:rPr>
          <w:rFonts w:eastAsia="Times New Roman"/>
          <w:color w:val="000000" w:themeColor="text1"/>
          <w:shd w:val="clear" w:color="auto" w:fill="FFFFFF"/>
          <w:lang w:val="en-US"/>
        </w:rPr>
      </w:pPr>
    </w:p>
    <w:p w14:paraId="0CFD4149" w14:textId="11A37BF0" w:rsidR="00BA3714" w:rsidRDefault="003E5E5F" w:rsidP="00BA371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shd w:val="clear" w:color="auto" w:fill="FFFFFF"/>
          <w:lang w:val="en-US"/>
        </w:rPr>
        <w:lastRenderedPageBreak/>
        <w:t>35</w:t>
      </w:r>
      <w:r w:rsidR="00BA3714">
        <w:rPr>
          <w:rFonts w:eastAsia="Times New Roman"/>
          <w:color w:val="000000" w:themeColor="text1"/>
          <w:shd w:val="clear" w:color="auto" w:fill="FFFFFF"/>
          <w:lang w:val="en-US"/>
        </w:rPr>
        <w:t xml:space="preserve"> – </w:t>
      </w:r>
      <w:hyperlink r:id="rId138" w:history="1">
        <w:r w:rsidR="00BA3714" w:rsidRPr="00BA3714">
          <w:rPr>
            <w:rStyle w:val="Hyperlink"/>
            <w:rFonts w:eastAsia="Times New Roman"/>
            <w:color w:val="000000" w:themeColor="text1"/>
            <w:u w:val="none"/>
            <w:lang w:val="en-US"/>
          </w:rPr>
          <w:t>Kim TK</w:t>
        </w:r>
      </w:hyperlink>
      <w:r w:rsidR="00BA3714" w:rsidRPr="00BA3714">
        <w:rPr>
          <w:rFonts w:eastAsia="Times New Roman"/>
          <w:color w:val="000000" w:themeColor="text1"/>
          <w:lang w:val="en-US"/>
        </w:rPr>
        <w:t>,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39" w:history="1">
        <w:r w:rsidR="00BA3714" w:rsidRPr="00BA3714">
          <w:rPr>
            <w:rStyle w:val="Hyperlink"/>
            <w:rFonts w:eastAsia="Times New Roman"/>
            <w:color w:val="000000" w:themeColor="text1"/>
            <w:u w:val="none"/>
            <w:lang w:val="en-US"/>
          </w:rPr>
          <w:t>Chang CB</w:t>
        </w:r>
      </w:hyperlink>
      <w:r w:rsidR="00BA3714" w:rsidRPr="00BA3714">
        <w:rPr>
          <w:rFonts w:eastAsia="Times New Roman"/>
          <w:color w:val="000000" w:themeColor="text1"/>
          <w:lang w:val="en-US"/>
        </w:rPr>
        <w:t>,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0" w:history="1">
        <w:r w:rsidR="00BA3714" w:rsidRPr="00BA3714">
          <w:rPr>
            <w:rStyle w:val="Hyperlink"/>
            <w:rFonts w:eastAsia="Times New Roman"/>
            <w:color w:val="000000" w:themeColor="text1"/>
            <w:u w:val="none"/>
            <w:lang w:val="en-US"/>
          </w:rPr>
          <w:t>Koh IJ</w:t>
        </w:r>
      </w:hyperlink>
      <w:r w:rsidR="00BA3714" w:rsidRPr="00BA3714">
        <w:rPr>
          <w:rFonts w:eastAsia="Times New Roman"/>
          <w:color w:val="000000" w:themeColor="text1"/>
          <w:lang w:val="en-US"/>
        </w:rPr>
        <w:t>.</w:t>
      </w:r>
      <w:r w:rsidR="00BA3714">
        <w:rPr>
          <w:rFonts w:eastAsia="Times New Roman"/>
          <w:color w:val="000000" w:themeColor="text1"/>
          <w:lang w:val="en-US"/>
        </w:rPr>
        <w:t xml:space="preserve"> 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Practical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issues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Fonts w:eastAsia="Times New Roman"/>
          <w:color w:val="000000" w:themeColor="text1"/>
          <w:lang w:val="en-US"/>
        </w:rPr>
        <w:t>for the use of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tranexamic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acid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Fonts w:eastAsia="Times New Roman"/>
          <w:color w:val="000000" w:themeColor="text1"/>
          <w:lang w:val="en-US"/>
        </w:rPr>
        <w:t>in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total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knee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arthroplasty</w:t>
      </w:r>
      <w:r w:rsidR="00BA3714" w:rsidRPr="00BA3714">
        <w:rPr>
          <w:rFonts w:eastAsia="Times New Roman"/>
          <w:color w:val="000000" w:themeColor="text1"/>
          <w:lang w:val="en-US"/>
        </w:rPr>
        <w:t>: a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systematic</w:t>
      </w:r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Style w:val="highlight"/>
          <w:rFonts w:eastAsia="Times New Roman"/>
          <w:color w:val="000000" w:themeColor="text1"/>
          <w:lang w:val="en-US"/>
        </w:rPr>
        <w:t>review</w:t>
      </w:r>
      <w:r w:rsidR="00BA3714" w:rsidRPr="00BA3714">
        <w:rPr>
          <w:rFonts w:eastAsia="Times New Roman"/>
          <w:color w:val="000000" w:themeColor="text1"/>
          <w:lang w:val="en-US"/>
        </w:rPr>
        <w:t xml:space="preserve">. </w:t>
      </w:r>
      <w:hyperlink r:id="rId141" w:tooltip="Knee surgery, sports traumatology, arthroscopy : official journal of the ESSKA." w:history="1">
        <w:r w:rsidR="00BA3714" w:rsidRPr="00BA3714">
          <w:rPr>
            <w:rStyle w:val="highlight"/>
            <w:rFonts w:eastAsia="Times New Roman"/>
            <w:color w:val="000000" w:themeColor="text1"/>
            <w:lang w:val="en-US"/>
          </w:rPr>
          <w:t>Knee</w:t>
        </w:r>
        <w:r w:rsidR="00BA3714" w:rsidRPr="00BA3714">
          <w:rPr>
            <w:rStyle w:val="apple-converted-space"/>
            <w:rFonts w:eastAsia="Times New Roman"/>
            <w:color w:val="000000" w:themeColor="text1"/>
            <w:lang w:val="en-US"/>
          </w:rPr>
          <w:t> </w:t>
        </w:r>
        <w:r w:rsidR="00BA3714" w:rsidRPr="00BA3714">
          <w:rPr>
            <w:rStyle w:val="Hyperlink"/>
            <w:rFonts w:eastAsia="Times New Roman"/>
            <w:color w:val="000000" w:themeColor="text1"/>
            <w:u w:val="none"/>
            <w:lang w:val="en-US"/>
          </w:rPr>
          <w:t>Surg Sports Traumatol Arthrosc.</w:t>
        </w:r>
      </w:hyperlink>
      <w:r w:rsidR="00BA3714" w:rsidRPr="00BA371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A3714" w:rsidRPr="00BA3714">
        <w:rPr>
          <w:rFonts w:eastAsia="Times New Roman"/>
          <w:color w:val="000000" w:themeColor="text1"/>
          <w:lang w:val="en-US"/>
        </w:rPr>
        <w:t>2014 Aug;22(8):1849-58. doi: 10.1007/s00167-013-2487-y. Epub 2013 Mar 31.</w:t>
      </w:r>
    </w:p>
    <w:p w14:paraId="53735D9F" w14:textId="77777777" w:rsidR="00827E98" w:rsidRDefault="00827E98" w:rsidP="00BA3714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</w:p>
    <w:p w14:paraId="5C9F6E15" w14:textId="05A21BC7" w:rsidR="00F70841" w:rsidRPr="00F70841" w:rsidRDefault="003E5E5F" w:rsidP="00F70841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>
        <w:rPr>
          <w:rFonts w:eastAsia="Times New Roman"/>
          <w:color w:val="000000" w:themeColor="text1"/>
          <w:lang w:val="en-US"/>
        </w:rPr>
        <w:t>36</w:t>
      </w:r>
      <w:r w:rsidR="00827E98" w:rsidRPr="00F70841">
        <w:rPr>
          <w:rFonts w:eastAsia="Times New Roman"/>
          <w:color w:val="000000" w:themeColor="text1"/>
          <w:lang w:val="en-US"/>
        </w:rPr>
        <w:t xml:space="preserve"> – </w:t>
      </w:r>
      <w:r w:rsidR="00F70841" w:rsidRPr="00F70841">
        <w:rPr>
          <w:rFonts w:eastAsia="Times New Roman"/>
          <w:color w:val="000000" w:themeColor="text1"/>
          <w:lang w:val="en-US"/>
        </w:rPr>
        <w:t xml:space="preserve"> </w:t>
      </w:r>
      <w:hyperlink r:id="rId142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Su EP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3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Su S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 xml:space="preserve">. </w:t>
      </w:r>
      <w:r w:rsidR="00F70841" w:rsidRPr="00F70841">
        <w:rPr>
          <w:rStyle w:val="highlight"/>
          <w:rFonts w:eastAsia="Times New Roman"/>
          <w:color w:val="000000" w:themeColor="text1"/>
          <w:lang w:val="en-US"/>
        </w:rPr>
        <w:t>Strategies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Fonts w:eastAsia="Times New Roman"/>
          <w:color w:val="000000" w:themeColor="text1"/>
          <w:lang w:val="en-US"/>
        </w:rPr>
        <w:t>for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Style w:val="highlight"/>
          <w:rFonts w:eastAsia="Times New Roman"/>
          <w:color w:val="000000" w:themeColor="text1"/>
          <w:lang w:val="en-US"/>
        </w:rPr>
        <w:t>reducing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Style w:val="highlight"/>
          <w:rFonts w:eastAsia="Times New Roman"/>
          <w:color w:val="000000" w:themeColor="text1"/>
          <w:lang w:val="en-US"/>
        </w:rPr>
        <w:t>peri-operative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Style w:val="highlight"/>
          <w:rFonts w:eastAsia="Times New Roman"/>
          <w:color w:val="000000" w:themeColor="text1"/>
          <w:lang w:val="en-US"/>
        </w:rPr>
        <w:t>blood loss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Fonts w:eastAsia="Times New Roman"/>
          <w:color w:val="000000" w:themeColor="text1"/>
          <w:lang w:val="en-US"/>
        </w:rPr>
        <w:t>in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="00F70841" w:rsidRPr="00F70841">
        <w:rPr>
          <w:rFonts w:eastAsia="Times New Roman"/>
          <w:color w:val="000000" w:themeColor="text1"/>
          <w:lang w:val="en-US"/>
        </w:rPr>
        <w:t xml:space="preserve">. </w:t>
      </w:r>
      <w:hyperlink r:id="rId144" w:tooltip="The bone &amp; joint journal.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Bone Joint J.</w:t>
        </w:r>
      </w:hyperlink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Fonts w:eastAsia="Times New Roman"/>
          <w:color w:val="000000" w:themeColor="text1"/>
          <w:lang w:val="en-US"/>
        </w:rPr>
        <w:t>2016 Jan;98-B(1 Suppl A):98-100. doi: 10.1302/0301-620X.98B.36430.</w:t>
      </w:r>
    </w:p>
    <w:p w14:paraId="18C963F7" w14:textId="7FD6559D" w:rsidR="00F70841" w:rsidRDefault="00F70841" w:rsidP="00F70841">
      <w:pPr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</w:p>
    <w:p w14:paraId="47F31D67" w14:textId="016B0F54" w:rsidR="00F70841" w:rsidRPr="00F70841" w:rsidRDefault="003E5E5F" w:rsidP="00F70841">
      <w:pPr>
        <w:spacing w:line="348" w:lineRule="atLeast"/>
        <w:jc w:val="both"/>
        <w:rPr>
          <w:rFonts w:eastAsia="Times New Roman"/>
          <w:color w:val="000000"/>
          <w:lang w:val="en-US"/>
        </w:rPr>
      </w:pPr>
      <w:r>
        <w:rPr>
          <w:rFonts w:eastAsia="Times New Roman"/>
          <w:color w:val="000000"/>
          <w:lang w:val="en-US"/>
        </w:rPr>
        <w:t>37</w:t>
      </w:r>
      <w:r w:rsidR="00F70841" w:rsidRPr="00F70841">
        <w:rPr>
          <w:rFonts w:eastAsia="Times New Roman"/>
          <w:color w:val="000000"/>
          <w:lang w:val="en-US"/>
        </w:rPr>
        <w:t xml:space="preserve"> – </w:t>
      </w:r>
      <w:hyperlink r:id="rId145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Sun Q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6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Yu X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7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Wu J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8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Ge W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49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Cai M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>,</w:t>
      </w:r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50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Li S</w:t>
        </w:r>
      </w:hyperlink>
      <w:r w:rsidR="00F70841" w:rsidRPr="00F70841">
        <w:rPr>
          <w:rFonts w:eastAsia="Times New Roman"/>
          <w:color w:val="000000" w:themeColor="text1"/>
          <w:lang w:val="en-US"/>
        </w:rPr>
        <w:t xml:space="preserve">. Tranexamic Acid in Reduction of Blood Loss in Total Knee Arthroplasty. </w:t>
      </w:r>
      <w:hyperlink r:id="rId151" w:tooltip="The Journal of arthroplasty." w:history="1">
        <w:r w:rsidR="00F70841" w:rsidRPr="00F70841">
          <w:rPr>
            <w:rStyle w:val="Hyperlink"/>
            <w:rFonts w:eastAsia="Times New Roman"/>
            <w:color w:val="000000" w:themeColor="text1"/>
            <w:u w:val="none"/>
            <w:lang w:val="en-US"/>
          </w:rPr>
          <w:t>J Arthroplasty.</w:t>
        </w:r>
      </w:hyperlink>
      <w:r w:rsidR="00F70841" w:rsidRPr="00F70841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F70841" w:rsidRPr="00F70841">
        <w:rPr>
          <w:rFonts w:eastAsia="Times New Roman"/>
          <w:color w:val="000000" w:themeColor="text1"/>
          <w:lang w:val="en-US"/>
        </w:rPr>
        <w:t xml:space="preserve">2017 Jul;32(7):2108-2112. doi: 10.1016/j.arth.2016.10.003. </w:t>
      </w:r>
    </w:p>
    <w:p w14:paraId="19BB7B8D" w14:textId="487F9528" w:rsidR="00F70841" w:rsidRDefault="00F70841" w:rsidP="00F70841">
      <w:pPr>
        <w:rPr>
          <w:rFonts w:ascii="Arial" w:eastAsia="Times New Roman" w:hAnsi="Arial" w:cs="Arial"/>
          <w:color w:val="000000"/>
          <w:sz w:val="22"/>
          <w:szCs w:val="22"/>
          <w:lang w:val="en-US"/>
        </w:rPr>
      </w:pPr>
    </w:p>
    <w:p w14:paraId="11656F80" w14:textId="0C546E35" w:rsidR="00EF1564" w:rsidRDefault="003E5E5F" w:rsidP="00B35D67">
      <w:pPr>
        <w:spacing w:line="360" w:lineRule="auto"/>
        <w:jc w:val="both"/>
        <w:rPr>
          <w:lang w:val="en-US"/>
        </w:rPr>
      </w:pPr>
      <w:r>
        <w:rPr>
          <w:rFonts w:eastAsia="Times New Roman"/>
          <w:color w:val="000000"/>
          <w:lang w:val="en-US"/>
        </w:rPr>
        <w:t>38</w:t>
      </w:r>
      <w:r w:rsidR="00F70841" w:rsidRPr="00B35D67">
        <w:rPr>
          <w:rFonts w:eastAsia="Times New Roman"/>
          <w:color w:val="000000"/>
          <w:lang w:val="en-US"/>
        </w:rPr>
        <w:t xml:space="preserve"> – </w:t>
      </w:r>
      <w:r w:rsidR="00EF1564" w:rsidRPr="00B35D67">
        <w:rPr>
          <w:lang w:val="en-US"/>
        </w:rPr>
        <w:t>Dang PP, Schwarzkopf R. Tranexamic Acid and Total Knee Arthroplasty. Ann Orthop Rheumatol. 2001 1(1): 1001.</w:t>
      </w:r>
    </w:p>
    <w:p w14:paraId="57238FA5" w14:textId="77777777" w:rsidR="00B35D67" w:rsidRDefault="00B35D67" w:rsidP="00B35D67">
      <w:pPr>
        <w:spacing w:line="360" w:lineRule="auto"/>
        <w:jc w:val="both"/>
        <w:rPr>
          <w:lang w:val="en-US"/>
        </w:rPr>
      </w:pPr>
    </w:p>
    <w:p w14:paraId="6F3F9492" w14:textId="1A64E150" w:rsidR="00B35D67" w:rsidRPr="00B779B2" w:rsidRDefault="003E5E5F" w:rsidP="00B35D67">
      <w:pPr>
        <w:pStyle w:val="p1"/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en-US"/>
        </w:rPr>
        <w:t>39</w:t>
      </w:r>
      <w:r w:rsidR="00B35D67" w:rsidRP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– </w:t>
      </w:r>
      <w:hyperlink r:id="rId152" w:history="1">
        <w:r w:rsidR="00B35D67" w:rsidRPr="00B35D67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  <w:lang w:val="en-US"/>
          </w:rPr>
          <w:t>Yuan X</w:t>
        </w:r>
      </w:hyperlink>
      <w:r w:rsidR="00B35D67" w:rsidRP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,</w:t>
      </w:r>
      <w:r w:rsidR="00B35D67" w:rsidRPr="00B35D67">
        <w:rPr>
          <w:rStyle w:val="apple-converted-space"/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 </w:t>
      </w:r>
      <w:hyperlink r:id="rId153" w:history="1">
        <w:r w:rsidR="00B35D67" w:rsidRPr="00B35D67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  <w:lang w:val="en-US"/>
          </w:rPr>
          <w:t>Li B</w:t>
        </w:r>
      </w:hyperlink>
      <w:r w:rsidR="00B35D67" w:rsidRP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,</w:t>
      </w:r>
      <w:r w:rsidR="00B35D67" w:rsidRPr="00B35D67">
        <w:rPr>
          <w:rStyle w:val="apple-converted-space"/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 </w:t>
      </w:r>
      <w:hyperlink r:id="rId154" w:history="1">
        <w:r w:rsidR="00B35D67" w:rsidRPr="00B35D67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  <w:lang w:val="en-US"/>
          </w:rPr>
          <w:t>Wang Q</w:t>
        </w:r>
      </w:hyperlink>
      <w:r w:rsidR="00B35D67" w:rsidRP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,</w:t>
      </w:r>
      <w:r w:rsidR="00B35D67" w:rsidRPr="00B35D67">
        <w:rPr>
          <w:rStyle w:val="apple-converted-space"/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 </w:t>
      </w:r>
      <w:hyperlink r:id="rId155" w:history="1">
        <w:r w:rsidR="00B35D67" w:rsidRPr="00B35D67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  <w:lang w:val="en-US"/>
          </w:rPr>
          <w:t>Zhang X</w:t>
        </w:r>
      </w:hyperlink>
      <w:r w:rsidR="00B35D67" w:rsidRP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 xml:space="preserve">. </w:t>
      </w:r>
      <w:r w:rsid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>Comparison of 3 routes of a</w:t>
      </w:r>
      <w:r w:rsidR="00B35D67" w:rsidRP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>dministration of tranexamic acid on</w:t>
      </w:r>
      <w:r w:rsid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="00B35D67" w:rsidRP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>primary unilateral total knee arthroplasty: a prospective,</w:t>
      </w:r>
      <w:r w:rsid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</w:t>
      </w:r>
      <w:r w:rsidR="00B35D67" w:rsidRPr="00B35D67">
        <w:rPr>
          <w:rFonts w:ascii="Times New Roman" w:hAnsi="Times New Roman"/>
          <w:color w:val="000000" w:themeColor="text1"/>
          <w:sz w:val="24"/>
          <w:szCs w:val="24"/>
          <w:lang w:val="en-US"/>
        </w:rPr>
        <w:t>randomized, controlled study</w:t>
      </w:r>
      <w:r w:rsidR="00B35D67" w:rsidRP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>.</w:t>
      </w:r>
      <w:r w:rsidR="00B35D67">
        <w:rPr>
          <w:rFonts w:ascii="Times New Roman" w:eastAsia="Times New Roman" w:hAnsi="Times New Roman"/>
          <w:color w:val="000000" w:themeColor="text1"/>
          <w:sz w:val="24"/>
          <w:szCs w:val="24"/>
          <w:lang w:val="en-US"/>
        </w:rPr>
        <w:t xml:space="preserve"> </w:t>
      </w:r>
      <w:hyperlink r:id="rId156" w:tooltip="The Journal of arthroplasty." w:history="1">
        <w:r w:rsidR="00B35D67" w:rsidRPr="00B779B2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</w:rPr>
          <w:t>J</w:t>
        </w:r>
        <w:r w:rsidR="00B35D67" w:rsidRPr="00B779B2">
          <w:rPr>
            <w:rStyle w:val="apple-converted-space"/>
            <w:rFonts w:ascii="Times New Roman" w:eastAsia="Times New Roman" w:hAnsi="Times New Roman"/>
            <w:color w:val="000000" w:themeColor="text1"/>
            <w:sz w:val="24"/>
            <w:szCs w:val="24"/>
          </w:rPr>
          <w:t> </w:t>
        </w:r>
        <w:r w:rsidR="00B35D67" w:rsidRPr="00B779B2">
          <w:rPr>
            <w:rStyle w:val="highlight"/>
            <w:rFonts w:ascii="Times New Roman" w:eastAsia="Times New Roman" w:hAnsi="Times New Roman"/>
            <w:color w:val="000000" w:themeColor="text1"/>
            <w:sz w:val="24"/>
            <w:szCs w:val="24"/>
          </w:rPr>
          <w:t>Arthroplasty</w:t>
        </w:r>
        <w:r w:rsidR="00B35D67" w:rsidRPr="00B779B2">
          <w:rPr>
            <w:rStyle w:val="Hyperlink"/>
            <w:rFonts w:ascii="Times New Roman" w:eastAsia="Times New Roman" w:hAnsi="Times New Roman"/>
            <w:color w:val="000000" w:themeColor="text1"/>
            <w:sz w:val="24"/>
            <w:szCs w:val="24"/>
            <w:u w:val="none"/>
          </w:rPr>
          <w:t>.</w:t>
        </w:r>
      </w:hyperlink>
      <w:r w:rsidR="00B35D67" w:rsidRPr="00B779B2">
        <w:rPr>
          <w:rStyle w:val="apple-converted-space"/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r w:rsidR="00B35D67" w:rsidRPr="00B779B2">
        <w:rPr>
          <w:rFonts w:ascii="Times New Roman" w:eastAsia="Times New Roman" w:hAnsi="Times New Roman"/>
          <w:color w:val="000000" w:themeColor="text1"/>
          <w:sz w:val="24"/>
          <w:szCs w:val="24"/>
        </w:rPr>
        <w:t>2017 Sep;32(9):2738-2743. doi: 10.1016/j.arth.2017.03.059. Epub 2017 Apr 5.</w:t>
      </w:r>
    </w:p>
    <w:p w14:paraId="3EED6B49" w14:textId="5412C5EA" w:rsidR="00B35D67" w:rsidRPr="00B779B2" w:rsidRDefault="00B35D67" w:rsidP="00B35D67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6D6560C2" w14:textId="32317A49" w:rsidR="00BB3E99" w:rsidRPr="00BB3E99" w:rsidRDefault="003E5E5F" w:rsidP="00BB3E99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B779B2">
        <w:rPr>
          <w:rFonts w:eastAsia="Times New Roman"/>
          <w:color w:val="000000" w:themeColor="text1"/>
        </w:rPr>
        <w:t>40</w:t>
      </w:r>
      <w:r w:rsidR="00BB3E99" w:rsidRPr="00B779B2">
        <w:rPr>
          <w:rFonts w:eastAsia="Times New Roman"/>
          <w:color w:val="000000" w:themeColor="text1"/>
        </w:rPr>
        <w:t xml:space="preserve"> – </w:t>
      </w:r>
      <w:hyperlink r:id="rId157" w:history="1">
        <w:r w:rsidR="00BB3E99" w:rsidRPr="00B779B2">
          <w:rPr>
            <w:rStyle w:val="Hyperlink"/>
            <w:rFonts w:eastAsia="Times New Roman"/>
            <w:color w:val="000000" w:themeColor="text1"/>
            <w:u w:val="none"/>
          </w:rPr>
          <w:t>Sridharan K</w:t>
        </w:r>
      </w:hyperlink>
      <w:r w:rsidR="00BB3E99" w:rsidRPr="00B779B2">
        <w:rPr>
          <w:rFonts w:eastAsia="Times New Roman"/>
          <w:color w:val="000000" w:themeColor="text1"/>
        </w:rPr>
        <w:t>,</w:t>
      </w:r>
      <w:r w:rsidR="00BB3E99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58" w:history="1">
        <w:r w:rsidR="00BB3E99" w:rsidRPr="00B779B2">
          <w:rPr>
            <w:rStyle w:val="Hyperlink"/>
            <w:rFonts w:eastAsia="Times New Roman"/>
            <w:color w:val="000000" w:themeColor="text1"/>
            <w:u w:val="none"/>
          </w:rPr>
          <w:t>Sivaramakrishnan G</w:t>
        </w:r>
      </w:hyperlink>
      <w:r w:rsidR="00BB3E99" w:rsidRPr="00B779B2">
        <w:rPr>
          <w:rFonts w:eastAsia="Times New Roman"/>
          <w:color w:val="000000" w:themeColor="text1"/>
        </w:rPr>
        <w:t>.</w:t>
      </w:r>
      <w:r w:rsidR="00BB3E99" w:rsidRPr="00B779B2">
        <w:rPr>
          <w:color w:val="000000" w:themeColor="text1"/>
        </w:rPr>
        <w:t> </w:t>
      </w:r>
      <w:r w:rsidR="008F7894">
        <w:rPr>
          <w:bCs/>
          <w:color w:val="000000" w:themeColor="text1"/>
          <w:lang w:val="en-US"/>
        </w:rPr>
        <w:t>T</w:t>
      </w:r>
      <w:r w:rsidR="008F7894" w:rsidRPr="00BB3E99">
        <w:rPr>
          <w:bCs/>
          <w:color w:val="000000" w:themeColor="text1"/>
          <w:lang w:val="en-US"/>
        </w:rPr>
        <w:t>ranexamic acid in total knee arthroplasty: mixed treatment comparisons and recursive cumulative meta-analysis of randomized, controlled trials and cohort studies.</w:t>
      </w:r>
      <w:r w:rsidR="00BB3E99" w:rsidRPr="00BB3E99">
        <w:rPr>
          <w:bCs/>
          <w:color w:val="000000" w:themeColor="text1"/>
          <w:lang w:val="en-US"/>
        </w:rPr>
        <w:t xml:space="preserve"> </w:t>
      </w:r>
      <w:r w:rsidR="00BB3E99" w:rsidRPr="00BB3E99">
        <w:rPr>
          <w:rFonts w:eastAsia="Times New Roman"/>
          <w:color w:val="000000" w:themeColor="text1"/>
          <w:lang w:val="en-US"/>
        </w:rPr>
        <w:t xml:space="preserve">– </w:t>
      </w:r>
      <w:hyperlink r:id="rId159" w:tooltip="Basic &amp; clinical pharmacology &amp; toxicology." w:history="1">
        <w:r w:rsidR="00BB3E99" w:rsidRPr="00BB3E99">
          <w:rPr>
            <w:rStyle w:val="Hyperlink"/>
            <w:rFonts w:eastAsia="Times New Roman"/>
            <w:color w:val="000000" w:themeColor="text1"/>
            <w:u w:val="none"/>
            <w:lang w:val="en-US"/>
          </w:rPr>
          <w:t>Basic Clin Pharmacol Toxicol.</w:t>
        </w:r>
      </w:hyperlink>
      <w:r w:rsidR="00BB3E99" w:rsidRPr="00BB3E99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B3E99" w:rsidRPr="00BB3E99">
        <w:rPr>
          <w:rFonts w:eastAsia="Times New Roman"/>
          <w:color w:val="000000" w:themeColor="text1"/>
          <w:lang w:val="en-US"/>
        </w:rPr>
        <w:t>2018 Jan;122(1):111-119. doi: 10.1111/bcpt.12847.</w:t>
      </w:r>
    </w:p>
    <w:p w14:paraId="6FDCAB54" w14:textId="46E229AB" w:rsidR="00BB3E99" w:rsidRDefault="00BB3E99" w:rsidP="00BB3E99">
      <w:pPr>
        <w:spacing w:line="360" w:lineRule="auto"/>
        <w:jc w:val="both"/>
        <w:rPr>
          <w:color w:val="000000" w:themeColor="text1"/>
          <w:lang w:val="en-US"/>
        </w:rPr>
      </w:pPr>
    </w:p>
    <w:p w14:paraId="63F29AC1" w14:textId="2CB034E6" w:rsidR="008F7894" w:rsidRPr="00B779B2" w:rsidRDefault="003E5E5F" w:rsidP="008F7894">
      <w:pPr>
        <w:spacing w:line="360" w:lineRule="auto"/>
        <w:jc w:val="both"/>
        <w:rPr>
          <w:rFonts w:eastAsia="Times New Roman"/>
          <w:color w:val="000000" w:themeColor="text1"/>
        </w:rPr>
      </w:pPr>
      <w:r>
        <w:rPr>
          <w:color w:val="000000" w:themeColor="text1"/>
          <w:lang w:val="en-US"/>
        </w:rPr>
        <w:t>41</w:t>
      </w:r>
      <w:r w:rsidR="00BB3E99">
        <w:rPr>
          <w:color w:val="000000" w:themeColor="text1"/>
          <w:lang w:val="en-US"/>
        </w:rPr>
        <w:t xml:space="preserve"> – </w:t>
      </w:r>
      <w:hyperlink r:id="rId160" w:history="1">
        <w:r w:rsidR="008F7894" w:rsidRPr="008F7894">
          <w:rPr>
            <w:rStyle w:val="Hyperlink"/>
            <w:rFonts w:eastAsia="Times New Roman"/>
            <w:color w:val="000000" w:themeColor="text1"/>
            <w:u w:val="none"/>
            <w:lang w:val="en-US"/>
          </w:rPr>
          <w:t>Lee SY</w:t>
        </w:r>
      </w:hyperlink>
      <w:r w:rsidR="008F7894" w:rsidRPr="008F7894">
        <w:rPr>
          <w:rFonts w:eastAsia="Times New Roman"/>
          <w:color w:val="000000" w:themeColor="text1"/>
          <w:lang w:val="en-US"/>
        </w:rPr>
        <w:t>,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61" w:history="1">
        <w:r w:rsidR="008F7894" w:rsidRPr="008F7894">
          <w:rPr>
            <w:rStyle w:val="Hyperlink"/>
            <w:rFonts w:eastAsia="Times New Roman"/>
            <w:color w:val="000000" w:themeColor="text1"/>
            <w:u w:val="none"/>
            <w:lang w:val="en-US"/>
          </w:rPr>
          <w:t>Chong S</w:t>
        </w:r>
      </w:hyperlink>
      <w:r w:rsidR="008F7894" w:rsidRPr="008F7894">
        <w:rPr>
          <w:rFonts w:eastAsia="Times New Roman"/>
          <w:color w:val="000000" w:themeColor="text1"/>
          <w:lang w:val="en-US"/>
        </w:rPr>
        <w:t>,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62" w:history="1">
        <w:r w:rsidR="008F7894" w:rsidRPr="008F7894">
          <w:rPr>
            <w:rStyle w:val="Hyperlink"/>
            <w:rFonts w:eastAsia="Times New Roman"/>
            <w:color w:val="000000" w:themeColor="text1"/>
            <w:u w:val="none"/>
            <w:lang w:val="en-US"/>
          </w:rPr>
          <w:t>Balasubramanian D</w:t>
        </w:r>
      </w:hyperlink>
      <w:r w:rsidR="008F7894" w:rsidRPr="008F7894">
        <w:rPr>
          <w:rFonts w:eastAsia="Times New Roman"/>
          <w:color w:val="000000" w:themeColor="text1"/>
          <w:lang w:val="en-US"/>
        </w:rPr>
        <w:t>,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63" w:history="1">
        <w:r w:rsidR="008F7894" w:rsidRPr="008F7894">
          <w:rPr>
            <w:rStyle w:val="Hyperlink"/>
            <w:rFonts w:eastAsia="Times New Roman"/>
            <w:color w:val="000000" w:themeColor="text1"/>
            <w:u w:val="none"/>
            <w:lang w:val="en-US"/>
          </w:rPr>
          <w:t>Na YG</w:t>
        </w:r>
      </w:hyperlink>
      <w:r w:rsidR="008F7894" w:rsidRPr="008F7894">
        <w:rPr>
          <w:rFonts w:eastAsia="Times New Roman"/>
          <w:color w:val="000000" w:themeColor="text1"/>
          <w:lang w:val="en-US"/>
        </w:rPr>
        <w:t>,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hyperlink r:id="rId164" w:history="1">
        <w:r w:rsidR="008F7894" w:rsidRPr="008F7894">
          <w:rPr>
            <w:rStyle w:val="Hyperlink"/>
            <w:rFonts w:eastAsia="Times New Roman"/>
            <w:color w:val="000000" w:themeColor="text1"/>
            <w:u w:val="none"/>
            <w:lang w:val="en-US"/>
          </w:rPr>
          <w:t>Kim TK</w:t>
        </w:r>
      </w:hyperlink>
      <w:r w:rsidR="008F7894" w:rsidRPr="008F7894">
        <w:rPr>
          <w:rFonts w:eastAsia="Times New Roman"/>
          <w:color w:val="000000" w:themeColor="text1"/>
          <w:lang w:val="en-US"/>
        </w:rPr>
        <w:t>.</w:t>
      </w:r>
      <w:r w:rsidR="008F7894">
        <w:rPr>
          <w:rFonts w:eastAsia="Times New Roman"/>
          <w:color w:val="000000" w:themeColor="text1"/>
          <w:lang w:val="en-US"/>
        </w:rPr>
        <w:t xml:space="preserve"> W</w:t>
      </w:r>
      <w:r w:rsidR="008F7894" w:rsidRPr="008F7894">
        <w:rPr>
          <w:rFonts w:eastAsia="Times New Roman"/>
          <w:color w:val="000000" w:themeColor="text1"/>
          <w:lang w:val="en-US"/>
        </w:rPr>
        <w:t>hat is the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Style w:val="highlight"/>
          <w:rFonts w:eastAsia="Times New Roman"/>
          <w:color w:val="000000" w:themeColor="text1"/>
          <w:lang w:val="en-US"/>
        </w:rPr>
        <w:t>ideal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Style w:val="highlight"/>
          <w:rFonts w:eastAsia="Times New Roman"/>
          <w:color w:val="000000" w:themeColor="text1"/>
          <w:lang w:val="en-US"/>
        </w:rPr>
        <w:t>route of administration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Fonts w:eastAsia="Times New Roman"/>
          <w:color w:val="000000" w:themeColor="text1"/>
          <w:lang w:val="en-US"/>
        </w:rPr>
        <w:t>of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Style w:val="highlight"/>
          <w:rFonts w:eastAsia="Times New Roman"/>
          <w:color w:val="000000" w:themeColor="text1"/>
          <w:lang w:val="en-US"/>
        </w:rPr>
        <w:t>tranexamic acid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Fonts w:eastAsia="Times New Roman"/>
          <w:color w:val="000000" w:themeColor="text1"/>
          <w:lang w:val="en-US"/>
        </w:rPr>
        <w:t>in tka? a</w:t>
      </w:r>
      <w:r w:rsidR="008F7894" w:rsidRPr="008F7894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8F7894" w:rsidRPr="008F7894">
        <w:rPr>
          <w:rStyle w:val="highlight"/>
          <w:rFonts w:eastAsia="Times New Roman"/>
          <w:color w:val="000000" w:themeColor="text1"/>
          <w:lang w:val="en-US"/>
        </w:rPr>
        <w:t>randomized controlled trial</w:t>
      </w:r>
      <w:r w:rsidR="008F7894" w:rsidRPr="008F7894">
        <w:rPr>
          <w:rFonts w:eastAsia="Times New Roman"/>
          <w:color w:val="000000" w:themeColor="text1"/>
          <w:lang w:val="en-US"/>
        </w:rPr>
        <w:t>.</w:t>
      </w:r>
      <w:r w:rsidR="008F7894">
        <w:rPr>
          <w:rFonts w:eastAsia="Times New Roman"/>
          <w:color w:val="000000" w:themeColor="text1"/>
          <w:lang w:val="en-US"/>
        </w:rPr>
        <w:t xml:space="preserve"> </w:t>
      </w:r>
      <w:hyperlink r:id="rId165" w:tooltip="Clinical orthopaedics and related research." w:history="1">
        <w:r w:rsidR="008F7894" w:rsidRPr="00B779B2">
          <w:rPr>
            <w:rStyle w:val="Hyperlink"/>
            <w:rFonts w:eastAsia="Times New Roman"/>
            <w:color w:val="000000" w:themeColor="text1"/>
            <w:u w:val="none"/>
          </w:rPr>
          <w:t>Clin Orthop Relat Res.</w:t>
        </w:r>
      </w:hyperlink>
      <w:r w:rsidR="008F7894" w:rsidRPr="00B779B2">
        <w:rPr>
          <w:rStyle w:val="apple-converted-space"/>
          <w:rFonts w:eastAsia="Times New Roman"/>
          <w:color w:val="000000" w:themeColor="text1"/>
        </w:rPr>
        <w:t> </w:t>
      </w:r>
      <w:r w:rsidR="008F7894" w:rsidRPr="00B779B2">
        <w:rPr>
          <w:rFonts w:eastAsia="Times New Roman"/>
          <w:color w:val="000000" w:themeColor="text1"/>
        </w:rPr>
        <w:t>2017 Aug;475(8):1987-1996. doi: 10.1007/s11999-017-5311-z.</w:t>
      </w:r>
    </w:p>
    <w:p w14:paraId="0E70D753" w14:textId="4BDFCE1A" w:rsidR="008F7894" w:rsidRPr="00B779B2" w:rsidRDefault="008F7894" w:rsidP="008F7894">
      <w:pPr>
        <w:rPr>
          <w:rFonts w:ascii="Arial" w:eastAsia="Times New Roman" w:hAnsi="Arial" w:cs="Arial"/>
          <w:color w:val="000000"/>
          <w:sz w:val="22"/>
          <w:szCs w:val="22"/>
        </w:rPr>
      </w:pPr>
    </w:p>
    <w:p w14:paraId="75DE50F5" w14:textId="77777777" w:rsidR="00B56C1C" w:rsidRDefault="003E5E5F" w:rsidP="00B56C1C">
      <w:pPr>
        <w:spacing w:line="360" w:lineRule="auto"/>
        <w:jc w:val="both"/>
        <w:rPr>
          <w:rFonts w:eastAsia="Times New Roman"/>
          <w:color w:val="000000" w:themeColor="text1"/>
        </w:rPr>
      </w:pPr>
      <w:r w:rsidRPr="00B779B2">
        <w:rPr>
          <w:color w:val="000000" w:themeColor="text1"/>
        </w:rPr>
        <w:t>42</w:t>
      </w:r>
      <w:r w:rsidR="00BA7F7E" w:rsidRPr="00B779B2">
        <w:rPr>
          <w:color w:val="000000" w:themeColor="text1"/>
        </w:rPr>
        <w:t xml:space="preserve"> – </w:t>
      </w:r>
      <w:hyperlink r:id="rId166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Mi B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67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Liu G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68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Zhou W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69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Lv H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70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Liu Y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71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Zha K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72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Wu Q</w:t>
        </w:r>
      </w:hyperlink>
      <w:r w:rsidR="00B715C2" w:rsidRPr="00B779B2">
        <w:rPr>
          <w:rFonts w:eastAsia="Times New Roman"/>
          <w:color w:val="000000" w:themeColor="text1"/>
        </w:rPr>
        <w:t>,</w:t>
      </w:r>
      <w:r w:rsidR="00B715C2" w:rsidRPr="00B779B2">
        <w:rPr>
          <w:rStyle w:val="apple-converted-space"/>
          <w:rFonts w:eastAsia="Times New Roman"/>
          <w:color w:val="000000" w:themeColor="text1"/>
        </w:rPr>
        <w:t> </w:t>
      </w:r>
      <w:hyperlink r:id="rId173" w:history="1">
        <w:r w:rsidR="00B715C2" w:rsidRPr="00B779B2">
          <w:rPr>
            <w:rStyle w:val="Hyperlink"/>
            <w:rFonts w:eastAsia="Times New Roman"/>
            <w:color w:val="000000" w:themeColor="text1"/>
            <w:u w:val="none"/>
          </w:rPr>
          <w:t>Liu J</w:t>
        </w:r>
      </w:hyperlink>
      <w:r w:rsidR="00B715C2" w:rsidRPr="00B779B2">
        <w:rPr>
          <w:rFonts w:eastAsia="Times New Roman"/>
          <w:color w:val="000000" w:themeColor="text1"/>
        </w:rPr>
        <w:t xml:space="preserve">. 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Intra-articular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versus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intravenous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tranexamic acid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application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Fonts w:eastAsia="Times New Roman"/>
          <w:color w:val="000000" w:themeColor="text1"/>
          <w:lang w:val="en-US"/>
        </w:rPr>
        <w:t>in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total knee arthroplasty</w:t>
      </w:r>
      <w:r w:rsidR="00B715C2" w:rsidRPr="00B715C2">
        <w:rPr>
          <w:rFonts w:eastAsia="Times New Roman"/>
          <w:color w:val="000000" w:themeColor="text1"/>
          <w:lang w:val="en-US"/>
        </w:rPr>
        <w:t>: a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meta-analysis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Fonts w:eastAsia="Times New Roman"/>
          <w:color w:val="000000" w:themeColor="text1"/>
          <w:lang w:val="en-US"/>
        </w:rPr>
        <w:t>of</w:t>
      </w:r>
      <w:r w:rsidR="00B715C2" w:rsidRPr="00B715C2">
        <w:rPr>
          <w:rStyle w:val="apple-converted-space"/>
          <w:rFonts w:eastAsia="Times New Roman"/>
          <w:color w:val="000000" w:themeColor="text1"/>
          <w:lang w:val="en-US"/>
        </w:rPr>
        <w:t> </w:t>
      </w:r>
      <w:r w:rsidR="00B715C2" w:rsidRPr="00B715C2">
        <w:rPr>
          <w:rStyle w:val="highlight"/>
          <w:rFonts w:eastAsia="Times New Roman"/>
          <w:color w:val="000000" w:themeColor="text1"/>
          <w:lang w:val="en-US"/>
        </w:rPr>
        <w:t>randomized controlled trials</w:t>
      </w:r>
      <w:r w:rsidR="00B715C2" w:rsidRPr="00B715C2">
        <w:rPr>
          <w:rFonts w:eastAsia="Times New Roman"/>
          <w:color w:val="000000" w:themeColor="text1"/>
          <w:lang w:val="en-US"/>
        </w:rPr>
        <w:t xml:space="preserve">. </w:t>
      </w:r>
      <w:hyperlink r:id="rId174" w:tooltip="Archives of orthopaedic and trauma surgery." w:history="1">
        <w:r w:rsidR="00B715C2" w:rsidRPr="00B56C1C">
          <w:rPr>
            <w:rStyle w:val="Hyperlink"/>
            <w:rFonts w:eastAsia="Times New Roman"/>
            <w:color w:val="000000" w:themeColor="text1"/>
            <w:u w:val="none"/>
          </w:rPr>
          <w:t>Arch Orthop Trauma Surg.</w:t>
        </w:r>
      </w:hyperlink>
      <w:r w:rsidR="00B715C2" w:rsidRPr="00B56C1C">
        <w:rPr>
          <w:rStyle w:val="apple-converted-space"/>
          <w:rFonts w:eastAsia="Times New Roman"/>
          <w:color w:val="000000" w:themeColor="text1"/>
        </w:rPr>
        <w:t> </w:t>
      </w:r>
      <w:r w:rsidR="00B715C2" w:rsidRPr="00B56C1C">
        <w:rPr>
          <w:rFonts w:eastAsia="Times New Roman"/>
          <w:color w:val="000000" w:themeColor="text1"/>
        </w:rPr>
        <w:t xml:space="preserve">2017 Jul;137(7):997-1009. doi: 10.1007/s00402-017-2683-1. </w:t>
      </w:r>
    </w:p>
    <w:p w14:paraId="38390174" w14:textId="77777777" w:rsidR="00B56C1C" w:rsidRDefault="00B56C1C" w:rsidP="00B56C1C">
      <w:pPr>
        <w:spacing w:line="360" w:lineRule="auto"/>
        <w:jc w:val="both"/>
        <w:rPr>
          <w:rFonts w:eastAsia="Times New Roman"/>
          <w:color w:val="000000" w:themeColor="text1"/>
        </w:rPr>
      </w:pPr>
    </w:p>
    <w:p w14:paraId="0403B9D8" w14:textId="6CA518E3" w:rsidR="006E2E7A" w:rsidRPr="00B56C1C" w:rsidRDefault="00B56C1C" w:rsidP="00B56C1C">
      <w:pPr>
        <w:spacing w:line="360" w:lineRule="auto"/>
        <w:jc w:val="both"/>
        <w:rPr>
          <w:rFonts w:eastAsia="Times New Roman"/>
          <w:color w:val="000000" w:themeColor="text1"/>
          <w:lang w:val="en-US"/>
        </w:rPr>
      </w:pPr>
      <w:r w:rsidRPr="00B56C1C">
        <w:t>43</w:t>
      </w:r>
      <w:r>
        <w:rPr>
          <w:b/>
        </w:rPr>
        <w:t xml:space="preserve"> – </w:t>
      </w:r>
      <w:hyperlink r:id="rId175" w:history="1">
        <w:r w:rsidRPr="00B56C1C">
          <w:rPr>
            <w:rStyle w:val="Hyperlink"/>
            <w:color w:val="000000" w:themeColor="text1"/>
            <w:u w:val="none"/>
          </w:rPr>
          <w:t>Zekcer A</w:t>
        </w:r>
      </w:hyperlink>
      <w:r w:rsidRPr="00B56C1C">
        <w:rPr>
          <w:color w:val="000000" w:themeColor="text1"/>
        </w:rPr>
        <w:t>,</w:t>
      </w:r>
      <w:r w:rsidRPr="00B56C1C">
        <w:rPr>
          <w:rStyle w:val="apple-converted-space"/>
          <w:color w:val="000000" w:themeColor="text1"/>
        </w:rPr>
        <w:t> </w:t>
      </w:r>
      <w:hyperlink r:id="rId176" w:history="1">
        <w:r w:rsidRPr="00B56C1C">
          <w:rPr>
            <w:rStyle w:val="Hyperlink"/>
            <w:color w:val="000000" w:themeColor="text1"/>
            <w:u w:val="none"/>
          </w:rPr>
          <w:t>Priori RD</w:t>
        </w:r>
      </w:hyperlink>
      <w:r w:rsidRPr="00B56C1C">
        <w:rPr>
          <w:color w:val="000000" w:themeColor="text1"/>
        </w:rPr>
        <w:t>,</w:t>
      </w:r>
      <w:r w:rsidRPr="00B56C1C">
        <w:rPr>
          <w:rStyle w:val="apple-converted-space"/>
          <w:color w:val="000000" w:themeColor="text1"/>
        </w:rPr>
        <w:t> </w:t>
      </w:r>
      <w:hyperlink r:id="rId177" w:history="1">
        <w:r w:rsidRPr="00B56C1C">
          <w:rPr>
            <w:rStyle w:val="Hyperlink"/>
            <w:color w:val="000000" w:themeColor="text1"/>
            <w:u w:val="none"/>
          </w:rPr>
          <w:t>Tieppo C</w:t>
        </w:r>
      </w:hyperlink>
      <w:r w:rsidRPr="00B56C1C">
        <w:rPr>
          <w:color w:val="000000" w:themeColor="text1"/>
        </w:rPr>
        <w:t>,</w:t>
      </w:r>
      <w:r w:rsidRPr="00B56C1C">
        <w:rPr>
          <w:rStyle w:val="apple-converted-space"/>
          <w:color w:val="000000" w:themeColor="text1"/>
        </w:rPr>
        <w:t> </w:t>
      </w:r>
      <w:hyperlink r:id="rId178" w:history="1">
        <w:r w:rsidRPr="00B56C1C">
          <w:rPr>
            <w:rStyle w:val="Hyperlink"/>
            <w:color w:val="000000" w:themeColor="text1"/>
            <w:u w:val="none"/>
          </w:rPr>
          <w:t>Silva RSD</w:t>
        </w:r>
      </w:hyperlink>
      <w:r w:rsidRPr="00B56C1C">
        <w:rPr>
          <w:color w:val="000000" w:themeColor="text1"/>
        </w:rPr>
        <w:t>,</w:t>
      </w:r>
      <w:r w:rsidRPr="00B56C1C">
        <w:rPr>
          <w:rStyle w:val="apple-converted-space"/>
          <w:color w:val="000000" w:themeColor="text1"/>
        </w:rPr>
        <w:t> </w:t>
      </w:r>
      <w:hyperlink r:id="rId179" w:history="1">
        <w:r w:rsidRPr="00B56C1C">
          <w:rPr>
            <w:rStyle w:val="Hyperlink"/>
            <w:color w:val="000000" w:themeColor="text1"/>
            <w:u w:val="none"/>
          </w:rPr>
          <w:t>Severino NR</w:t>
        </w:r>
      </w:hyperlink>
      <w:r w:rsidRPr="00B56C1C">
        <w:rPr>
          <w:color w:val="000000" w:themeColor="text1"/>
        </w:rPr>
        <w:t>.</w:t>
      </w:r>
      <w:r w:rsidRPr="00B56C1C">
        <w:rPr>
          <w:color w:val="000000" w:themeColor="text1"/>
        </w:rPr>
        <w:t xml:space="preserve"> </w:t>
      </w:r>
      <w:r w:rsidRPr="00B56C1C">
        <w:rPr>
          <w:rStyle w:val="title-text"/>
          <w:bCs/>
          <w:color w:val="000000" w:themeColor="text1"/>
        </w:rPr>
        <w:t>Estudo comparativo com uso do ácido tranexâmico tópico e intravenoso em relação à perda sanguínea na artroplastia total do joelho</w:t>
      </w:r>
      <w:r>
        <w:rPr>
          <w:rStyle w:val="title-text"/>
          <w:b/>
          <w:bCs/>
        </w:rPr>
        <w:t xml:space="preserve">. </w:t>
      </w:r>
      <w:hyperlink r:id="rId180" w:tooltip="Revista brasileira de ortopedia." w:history="1">
        <w:r w:rsidRPr="00B56C1C">
          <w:rPr>
            <w:rStyle w:val="Hyperlink"/>
            <w:color w:val="000000" w:themeColor="text1"/>
            <w:u w:val="none"/>
          </w:rPr>
          <w:t>Rev Bras Ortop.</w:t>
        </w:r>
      </w:hyperlink>
      <w:r w:rsidRPr="00B56C1C">
        <w:rPr>
          <w:rStyle w:val="apple-converted-space"/>
          <w:color w:val="000000" w:themeColor="text1"/>
        </w:rPr>
        <w:t> </w:t>
      </w:r>
      <w:r w:rsidRPr="00B56C1C">
        <w:rPr>
          <w:color w:val="000000" w:themeColor="text1"/>
        </w:rPr>
        <w:t xml:space="preserve">2017 Aug 30;52(5):589-595. </w:t>
      </w:r>
      <w:r>
        <w:rPr>
          <w:color w:val="000000" w:themeColor="text1"/>
        </w:rPr>
        <w:t xml:space="preserve">doi; </w:t>
      </w:r>
      <w:r w:rsidRPr="00B56C1C">
        <w:rPr>
          <w:color w:val="000000" w:themeColor="text1"/>
        </w:rPr>
        <w:t>10.1016/j.rbo.2016.09.012</w:t>
      </w:r>
    </w:p>
    <w:sectPr w:rsidR="006E2E7A" w:rsidRPr="00B56C1C" w:rsidSect="009323DB">
      <w:pgSz w:w="11900" w:h="16840"/>
      <w:pgMar w:top="1134" w:right="1134" w:bottom="1701" w:left="1701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Felicien Vásquez" w:date="2018-01-17T20:55:00Z" w:initials="FV">
    <w:p w14:paraId="62EA5EB9" w14:textId="77777777" w:rsidR="00A33DEA" w:rsidRDefault="00A33DEA" w:rsidP="004D7E7C">
      <w:pPr>
        <w:pStyle w:val="Textodecomentrio"/>
      </w:pPr>
      <w:r>
        <w:rPr>
          <w:rStyle w:val="Refdecomentrio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2EA5EB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EA5EB9" w16cid:durableId="1E0A36B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BA7202" w14:textId="77777777" w:rsidR="002E5772" w:rsidRDefault="002E5772" w:rsidP="00C74DA0">
      <w:r>
        <w:separator/>
      </w:r>
    </w:p>
  </w:endnote>
  <w:endnote w:type="continuationSeparator" w:id="0">
    <w:p w14:paraId="67A9B64C" w14:textId="77777777" w:rsidR="002E5772" w:rsidRDefault="002E5772" w:rsidP="00C7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0050000000000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inherit">
    <w:altName w:val="Times New Roman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3F8D3" w14:textId="77777777" w:rsidR="002E5772" w:rsidRDefault="002E5772" w:rsidP="00C74DA0">
      <w:r>
        <w:separator/>
      </w:r>
    </w:p>
  </w:footnote>
  <w:footnote w:type="continuationSeparator" w:id="0">
    <w:p w14:paraId="260A9BB5" w14:textId="77777777" w:rsidR="002E5772" w:rsidRDefault="002E5772" w:rsidP="00C74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E7A"/>
    <w:rsid w:val="00016AC3"/>
    <w:rsid w:val="000235E6"/>
    <w:rsid w:val="0004080B"/>
    <w:rsid w:val="00046C08"/>
    <w:rsid w:val="00056483"/>
    <w:rsid w:val="00057B91"/>
    <w:rsid w:val="000638EF"/>
    <w:rsid w:val="0006490E"/>
    <w:rsid w:val="0007178B"/>
    <w:rsid w:val="000A6DF1"/>
    <w:rsid w:val="000C0744"/>
    <w:rsid w:val="000E1A69"/>
    <w:rsid w:val="000F0BF2"/>
    <w:rsid w:val="000F45CA"/>
    <w:rsid w:val="000F4FC8"/>
    <w:rsid w:val="000F72B9"/>
    <w:rsid w:val="000F764C"/>
    <w:rsid w:val="00115DE4"/>
    <w:rsid w:val="00140C43"/>
    <w:rsid w:val="0014282F"/>
    <w:rsid w:val="001532A0"/>
    <w:rsid w:val="001631D6"/>
    <w:rsid w:val="00190EB1"/>
    <w:rsid w:val="001A59BF"/>
    <w:rsid w:val="001F7F81"/>
    <w:rsid w:val="00206B42"/>
    <w:rsid w:val="002124A1"/>
    <w:rsid w:val="00223F7F"/>
    <w:rsid w:val="00225423"/>
    <w:rsid w:val="002540ED"/>
    <w:rsid w:val="002543C7"/>
    <w:rsid w:val="002568C1"/>
    <w:rsid w:val="002770BB"/>
    <w:rsid w:val="00285B5B"/>
    <w:rsid w:val="00291095"/>
    <w:rsid w:val="00297E07"/>
    <w:rsid w:val="002A04E9"/>
    <w:rsid w:val="002A7E42"/>
    <w:rsid w:val="002B5652"/>
    <w:rsid w:val="002C3AA2"/>
    <w:rsid w:val="002D7F89"/>
    <w:rsid w:val="002E4C41"/>
    <w:rsid w:val="002E5772"/>
    <w:rsid w:val="003074DB"/>
    <w:rsid w:val="003346E5"/>
    <w:rsid w:val="00343997"/>
    <w:rsid w:val="00344B72"/>
    <w:rsid w:val="00365E88"/>
    <w:rsid w:val="0038417E"/>
    <w:rsid w:val="003A10C0"/>
    <w:rsid w:val="003C29E1"/>
    <w:rsid w:val="003E3756"/>
    <w:rsid w:val="003E5E5F"/>
    <w:rsid w:val="0040031B"/>
    <w:rsid w:val="004017DA"/>
    <w:rsid w:val="00407342"/>
    <w:rsid w:val="0042086B"/>
    <w:rsid w:val="00427AA9"/>
    <w:rsid w:val="004402B7"/>
    <w:rsid w:val="00467E64"/>
    <w:rsid w:val="00474D08"/>
    <w:rsid w:val="00492F23"/>
    <w:rsid w:val="004958D2"/>
    <w:rsid w:val="004A38BA"/>
    <w:rsid w:val="004A4076"/>
    <w:rsid w:val="004D7E7C"/>
    <w:rsid w:val="004E1D65"/>
    <w:rsid w:val="004E5BCD"/>
    <w:rsid w:val="004F4AB7"/>
    <w:rsid w:val="0050184F"/>
    <w:rsid w:val="0052368A"/>
    <w:rsid w:val="00540F53"/>
    <w:rsid w:val="0054445C"/>
    <w:rsid w:val="00546F72"/>
    <w:rsid w:val="00552A0D"/>
    <w:rsid w:val="00556878"/>
    <w:rsid w:val="0056528B"/>
    <w:rsid w:val="0056572D"/>
    <w:rsid w:val="00571772"/>
    <w:rsid w:val="00586724"/>
    <w:rsid w:val="005A0418"/>
    <w:rsid w:val="005A4ED4"/>
    <w:rsid w:val="005A6C0F"/>
    <w:rsid w:val="005A6C74"/>
    <w:rsid w:val="005D0B95"/>
    <w:rsid w:val="00600545"/>
    <w:rsid w:val="006227F2"/>
    <w:rsid w:val="006279B4"/>
    <w:rsid w:val="00634B9D"/>
    <w:rsid w:val="00662C62"/>
    <w:rsid w:val="00684F4B"/>
    <w:rsid w:val="00687981"/>
    <w:rsid w:val="006908DC"/>
    <w:rsid w:val="00691101"/>
    <w:rsid w:val="00693907"/>
    <w:rsid w:val="006A08F9"/>
    <w:rsid w:val="006A2423"/>
    <w:rsid w:val="006A42BB"/>
    <w:rsid w:val="006E2E7A"/>
    <w:rsid w:val="006E610E"/>
    <w:rsid w:val="006F0A71"/>
    <w:rsid w:val="006F696D"/>
    <w:rsid w:val="00712E5F"/>
    <w:rsid w:val="0071745A"/>
    <w:rsid w:val="00722FAA"/>
    <w:rsid w:val="00725724"/>
    <w:rsid w:val="00731EE0"/>
    <w:rsid w:val="0076788C"/>
    <w:rsid w:val="00796C6D"/>
    <w:rsid w:val="007A6EFE"/>
    <w:rsid w:val="007C2CD7"/>
    <w:rsid w:val="007D04A0"/>
    <w:rsid w:val="007E425B"/>
    <w:rsid w:val="007E44C4"/>
    <w:rsid w:val="007F0D01"/>
    <w:rsid w:val="007F5C71"/>
    <w:rsid w:val="008000B5"/>
    <w:rsid w:val="00802F43"/>
    <w:rsid w:val="00804057"/>
    <w:rsid w:val="0081537D"/>
    <w:rsid w:val="0082042B"/>
    <w:rsid w:val="00821AFF"/>
    <w:rsid w:val="00827E98"/>
    <w:rsid w:val="00844781"/>
    <w:rsid w:val="00851B9D"/>
    <w:rsid w:val="008A7CEC"/>
    <w:rsid w:val="008D06BC"/>
    <w:rsid w:val="008E212C"/>
    <w:rsid w:val="008E6D9A"/>
    <w:rsid w:val="008F25A8"/>
    <w:rsid w:val="008F7894"/>
    <w:rsid w:val="009053EE"/>
    <w:rsid w:val="0091008C"/>
    <w:rsid w:val="00916062"/>
    <w:rsid w:val="009323DB"/>
    <w:rsid w:val="00933F5D"/>
    <w:rsid w:val="0095117E"/>
    <w:rsid w:val="009A2C2B"/>
    <w:rsid w:val="009B3801"/>
    <w:rsid w:val="009F31A0"/>
    <w:rsid w:val="009F32CB"/>
    <w:rsid w:val="009F593A"/>
    <w:rsid w:val="009F7791"/>
    <w:rsid w:val="00A33DEA"/>
    <w:rsid w:val="00A35E81"/>
    <w:rsid w:val="00A658D2"/>
    <w:rsid w:val="00A74BDB"/>
    <w:rsid w:val="00AA285C"/>
    <w:rsid w:val="00AA412E"/>
    <w:rsid w:val="00AB648E"/>
    <w:rsid w:val="00AD3B3C"/>
    <w:rsid w:val="00AD46A7"/>
    <w:rsid w:val="00AD5729"/>
    <w:rsid w:val="00AE23AA"/>
    <w:rsid w:val="00AE5B27"/>
    <w:rsid w:val="00B01119"/>
    <w:rsid w:val="00B17CC5"/>
    <w:rsid w:val="00B20657"/>
    <w:rsid w:val="00B35D67"/>
    <w:rsid w:val="00B41E20"/>
    <w:rsid w:val="00B516F3"/>
    <w:rsid w:val="00B56C1C"/>
    <w:rsid w:val="00B6447B"/>
    <w:rsid w:val="00B715C2"/>
    <w:rsid w:val="00B75F46"/>
    <w:rsid w:val="00B779B2"/>
    <w:rsid w:val="00BA3714"/>
    <w:rsid w:val="00BA7F7E"/>
    <w:rsid w:val="00BB3E99"/>
    <w:rsid w:val="00BD0845"/>
    <w:rsid w:val="00BE04F4"/>
    <w:rsid w:val="00BF22E4"/>
    <w:rsid w:val="00C05B1D"/>
    <w:rsid w:val="00C11436"/>
    <w:rsid w:val="00C157EE"/>
    <w:rsid w:val="00C16D3E"/>
    <w:rsid w:val="00C24D3B"/>
    <w:rsid w:val="00C27E6F"/>
    <w:rsid w:val="00C45685"/>
    <w:rsid w:val="00C74DA0"/>
    <w:rsid w:val="00C953A6"/>
    <w:rsid w:val="00C966EA"/>
    <w:rsid w:val="00CA2E42"/>
    <w:rsid w:val="00CD6FB7"/>
    <w:rsid w:val="00D00CF8"/>
    <w:rsid w:val="00D16AFE"/>
    <w:rsid w:val="00D7700E"/>
    <w:rsid w:val="00D81778"/>
    <w:rsid w:val="00D87715"/>
    <w:rsid w:val="00D954BB"/>
    <w:rsid w:val="00D9704E"/>
    <w:rsid w:val="00DA52BB"/>
    <w:rsid w:val="00DB0F69"/>
    <w:rsid w:val="00DC2856"/>
    <w:rsid w:val="00DC3D62"/>
    <w:rsid w:val="00DC75B5"/>
    <w:rsid w:val="00DD1023"/>
    <w:rsid w:val="00DD6E45"/>
    <w:rsid w:val="00DE4659"/>
    <w:rsid w:val="00DE77C9"/>
    <w:rsid w:val="00E0603E"/>
    <w:rsid w:val="00E13949"/>
    <w:rsid w:val="00E64B5D"/>
    <w:rsid w:val="00E92184"/>
    <w:rsid w:val="00EC2D22"/>
    <w:rsid w:val="00EC4C95"/>
    <w:rsid w:val="00EF1564"/>
    <w:rsid w:val="00F14344"/>
    <w:rsid w:val="00F474F3"/>
    <w:rsid w:val="00F5220D"/>
    <w:rsid w:val="00F63E95"/>
    <w:rsid w:val="00F70841"/>
    <w:rsid w:val="00F758CA"/>
    <w:rsid w:val="00FA28E1"/>
    <w:rsid w:val="00FA6513"/>
    <w:rsid w:val="00FC1DC4"/>
    <w:rsid w:val="00FD620C"/>
    <w:rsid w:val="00FE352A"/>
    <w:rsid w:val="00FF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1289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6724"/>
    <w:rPr>
      <w:rFonts w:ascii="Times New Roman" w:hAnsi="Times New Roman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6E2E7A"/>
    <w:pPr>
      <w:keepNext/>
      <w:spacing w:before="120" w:after="120"/>
      <w:jc w:val="both"/>
      <w:outlineLvl w:val="0"/>
    </w:pPr>
    <w:rPr>
      <w:rFonts w:eastAsia="MS Gothic"/>
      <w:b/>
      <w:bCs/>
      <w:color w:val="000000" w:themeColor="text1"/>
      <w:kern w:val="32"/>
      <w:sz w:val="28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A651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651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9F32C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2E7A"/>
    <w:rPr>
      <w:rFonts w:ascii="Times New Roman" w:eastAsia="MS Gothic" w:hAnsi="Times New Roman" w:cs="Times New Roman"/>
      <w:b/>
      <w:bCs/>
      <w:color w:val="000000" w:themeColor="text1"/>
      <w:kern w:val="32"/>
      <w:sz w:val="28"/>
      <w:szCs w:val="32"/>
    </w:rPr>
  </w:style>
  <w:style w:type="paragraph" w:customStyle="1" w:styleId="Padro">
    <w:name w:val="Padrão"/>
    <w:rsid w:val="006E2E7A"/>
    <w:rPr>
      <w:rFonts w:ascii="Helvetica" w:eastAsia="Arial Unicode MS" w:hAnsi="Helvetica" w:cs="Arial Unicode MS"/>
      <w:color w:val="000000"/>
      <w:sz w:val="22"/>
      <w:szCs w:val="22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A651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651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longtext">
    <w:name w:val="long_text"/>
    <w:rsid w:val="00FA6513"/>
  </w:style>
  <w:style w:type="paragraph" w:styleId="Legenda">
    <w:name w:val="caption"/>
    <w:basedOn w:val="Normal"/>
    <w:next w:val="Normal"/>
    <w:uiPriority w:val="35"/>
    <w:unhideWhenUsed/>
    <w:qFormat/>
    <w:rsid w:val="00FA6513"/>
    <w:pPr>
      <w:spacing w:after="200"/>
    </w:pPr>
    <w:rPr>
      <w:bCs/>
      <w:sz w:val="20"/>
      <w:szCs w:val="20"/>
    </w:rPr>
  </w:style>
  <w:style w:type="paragraph" w:customStyle="1" w:styleId="p1">
    <w:name w:val="p1"/>
    <w:basedOn w:val="Normal"/>
    <w:rsid w:val="00140C43"/>
    <w:rPr>
      <w:rFonts w:ascii="Helvetica" w:hAnsi="Helvetica"/>
      <w:sz w:val="15"/>
      <w:szCs w:val="15"/>
    </w:rPr>
  </w:style>
  <w:style w:type="character" w:customStyle="1" w:styleId="apple-converted-space">
    <w:name w:val="apple-converted-space"/>
    <w:basedOn w:val="Fontepargpadro"/>
    <w:rsid w:val="00140C43"/>
  </w:style>
  <w:style w:type="character" w:customStyle="1" w:styleId="Ttulo4Char">
    <w:name w:val="Título 4 Char"/>
    <w:basedOn w:val="Fontepargpadro"/>
    <w:link w:val="Ttulo4"/>
    <w:uiPriority w:val="9"/>
    <w:rsid w:val="009F32C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nfase">
    <w:name w:val="Emphasis"/>
    <w:uiPriority w:val="20"/>
    <w:qFormat/>
    <w:rsid w:val="009F32CB"/>
    <w:rPr>
      <w:i/>
    </w:rPr>
  </w:style>
  <w:style w:type="paragraph" w:styleId="Corpodetexto">
    <w:name w:val="Body Text"/>
    <w:basedOn w:val="Normal"/>
    <w:link w:val="CorpodetextoChar"/>
    <w:rsid w:val="009F32CB"/>
    <w:pPr>
      <w:suppressAutoHyphens/>
      <w:jc w:val="both"/>
    </w:pPr>
    <w:rPr>
      <w:rFonts w:eastAsia="Times New Roman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9F32CB"/>
    <w:rPr>
      <w:rFonts w:ascii="Times New Roman" w:eastAsia="Times New Roman" w:hAnsi="Times New Roman" w:cs="Times New Roman"/>
      <w:lang w:eastAsia="zh-CN"/>
    </w:rPr>
  </w:style>
  <w:style w:type="paragraph" w:styleId="Pr-formataoHTML">
    <w:name w:val="HTML Preformatted"/>
    <w:basedOn w:val="Normal"/>
    <w:link w:val="Pr-formataoHTMLChar"/>
    <w:uiPriority w:val="99"/>
    <w:unhideWhenUsed/>
    <w:rsid w:val="00C966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C966EA"/>
    <w:rPr>
      <w:rFonts w:ascii="Courier New" w:hAnsi="Courier New" w:cs="Courier New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74DA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4DA0"/>
    <w:rPr>
      <w:rFonts w:ascii="Cambria" w:eastAsia="MS Mincho" w:hAnsi="Cambria" w:cs="Times New Roman"/>
    </w:rPr>
  </w:style>
  <w:style w:type="paragraph" w:styleId="Rodap">
    <w:name w:val="footer"/>
    <w:basedOn w:val="Normal"/>
    <w:link w:val="RodapChar"/>
    <w:uiPriority w:val="99"/>
    <w:unhideWhenUsed/>
    <w:rsid w:val="00C74DA0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74DA0"/>
    <w:rPr>
      <w:rFonts w:ascii="Cambria" w:eastAsia="MS Mincho" w:hAnsi="Cambria" w:cs="Times New Roman"/>
    </w:rPr>
  </w:style>
  <w:style w:type="paragraph" w:customStyle="1" w:styleId="p2">
    <w:name w:val="p2"/>
    <w:basedOn w:val="Normal"/>
    <w:rsid w:val="007D04A0"/>
    <w:rPr>
      <w:rFonts w:ascii="Times" w:hAnsi="Times"/>
      <w:sz w:val="18"/>
      <w:szCs w:val="18"/>
    </w:rPr>
  </w:style>
  <w:style w:type="paragraph" w:styleId="NormalWeb">
    <w:name w:val="Normal (Web)"/>
    <w:basedOn w:val="Normal"/>
    <w:uiPriority w:val="99"/>
    <w:unhideWhenUsed/>
    <w:rsid w:val="008E6D9A"/>
    <w:pPr>
      <w:spacing w:before="100" w:beforeAutospacing="1" w:after="100" w:afterAutospacing="1"/>
    </w:pPr>
  </w:style>
  <w:style w:type="character" w:customStyle="1" w:styleId="s1">
    <w:name w:val="s1"/>
    <w:basedOn w:val="Fontepargpadro"/>
    <w:rsid w:val="008E6D9A"/>
    <w:rPr>
      <w:rFonts w:ascii="Helvetica" w:hAnsi="Helvetica" w:hint="default"/>
      <w:sz w:val="20"/>
      <w:szCs w:val="20"/>
    </w:rPr>
  </w:style>
  <w:style w:type="character" w:customStyle="1" w:styleId="s2">
    <w:name w:val="s2"/>
    <w:basedOn w:val="Fontepargpadro"/>
    <w:rsid w:val="008E6D9A"/>
    <w:rPr>
      <w:rFonts w:ascii="Helvetica" w:hAnsi="Helvetica" w:hint="default"/>
      <w:sz w:val="16"/>
      <w:szCs w:val="16"/>
    </w:rPr>
  </w:style>
  <w:style w:type="character" w:customStyle="1" w:styleId="Hyperlink0">
    <w:name w:val="Hyperlink.0"/>
    <w:rsid w:val="007F5C71"/>
    <w:rPr>
      <w:rFonts w:ascii="Arial" w:eastAsia="Arial" w:hAnsi="Arial" w:cs="Arial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E0603E"/>
    <w:rPr>
      <w:color w:val="0000FF"/>
      <w:u w:val="single"/>
    </w:rPr>
  </w:style>
  <w:style w:type="character" w:customStyle="1" w:styleId="highlight">
    <w:name w:val="highlight"/>
    <w:basedOn w:val="Fontepargpadro"/>
    <w:rsid w:val="007E44C4"/>
  </w:style>
  <w:style w:type="character" w:customStyle="1" w:styleId="apple-style-span">
    <w:name w:val="apple-style-span"/>
    <w:basedOn w:val="Fontepargpadro"/>
    <w:rsid w:val="00712E5F"/>
  </w:style>
  <w:style w:type="character" w:styleId="HiperlinkVisitado">
    <w:name w:val="FollowedHyperlink"/>
    <w:basedOn w:val="Fontepargpadro"/>
    <w:uiPriority w:val="99"/>
    <w:semiHidden/>
    <w:unhideWhenUsed/>
    <w:rsid w:val="002543C7"/>
    <w:rPr>
      <w:color w:val="954F72" w:themeColor="followedHyperlink"/>
      <w:u w:val="single"/>
    </w:rPr>
  </w:style>
  <w:style w:type="character" w:customStyle="1" w:styleId="s3">
    <w:name w:val="s3"/>
    <w:basedOn w:val="Fontepargpadro"/>
    <w:rsid w:val="00D16AFE"/>
    <w:rPr>
      <w:rFonts w:ascii="Times" w:hAnsi="Times" w:hint="default"/>
      <w:sz w:val="9"/>
      <w:szCs w:val="9"/>
    </w:rPr>
  </w:style>
  <w:style w:type="character" w:styleId="Refdecomentrio">
    <w:name w:val="annotation reference"/>
    <w:uiPriority w:val="99"/>
    <w:semiHidden/>
    <w:unhideWhenUsed/>
    <w:rsid w:val="004D7E7C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4D7E7C"/>
    <w:pPr>
      <w:suppressAutoHyphens/>
    </w:pPr>
    <w:rPr>
      <w:rFonts w:eastAsia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4D7E7C"/>
    <w:rPr>
      <w:rFonts w:ascii="Times New Roman" w:hAnsi="Times New Roman" w:cs="Times New Roman"/>
      <w:sz w:val="20"/>
      <w:szCs w:val="20"/>
      <w:lang w:eastAsia="pt-BR"/>
    </w:rPr>
  </w:style>
  <w:style w:type="character" w:customStyle="1" w:styleId="TextodecomentrioChar1">
    <w:name w:val="Texto de comentário Char1"/>
    <w:link w:val="Textodecomentrio"/>
    <w:uiPriority w:val="99"/>
    <w:semiHidden/>
    <w:rsid w:val="004D7E7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7E7C"/>
    <w:rPr>
      <w:sz w:val="26"/>
      <w:szCs w:val="2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7E7C"/>
    <w:rPr>
      <w:rFonts w:ascii="Times New Roman" w:hAnsi="Times New Roman" w:cs="Times New Roman"/>
      <w:sz w:val="26"/>
      <w:szCs w:val="26"/>
      <w:lang w:eastAsia="pt-BR"/>
    </w:rPr>
  </w:style>
  <w:style w:type="character" w:customStyle="1" w:styleId="title-text">
    <w:name w:val="title-text"/>
    <w:basedOn w:val="Fontepargpadro"/>
    <w:rsid w:val="00B56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8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0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88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9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5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47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5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2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8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63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5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3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ncbi.nlm.nih.gov/pubmed/?term=Lee%20SH%5BAuthor%5D&amp;cauthor=true&amp;cauthor_uid=27595072" TargetMode="External"/><Relationship Id="rId21" Type="http://schemas.openxmlformats.org/officeDocument/2006/relationships/hyperlink" Target="https://www.ncbi.nlm.nih.gov/pubmed/?term=Coccydynia+%E2%80%93+could+age%2C+trauma+and+body+mass+index+be+independent+prognostic+factors+for+outcomes+of+intervention%3F" TargetMode="External"/><Relationship Id="rId42" Type="http://schemas.openxmlformats.org/officeDocument/2006/relationships/hyperlink" Target="https://www.ncbi.nlm.nih.gov/pubmed/?term=Kurtz%20S%5BAuthor%5D&amp;cauthor=true&amp;cauthor_uid=17403800" TargetMode="External"/><Relationship Id="rId63" Type="http://schemas.openxmlformats.org/officeDocument/2006/relationships/hyperlink" Target="https://www.ncbi.nlm.nih.gov/pubmed/?term=de%20Souza%20Le%C3%A3o%20MG%5BAuthor%5D&amp;cauthor=true&amp;cauthor_uid=26229799" TargetMode="External"/><Relationship Id="rId84" Type="http://schemas.openxmlformats.org/officeDocument/2006/relationships/hyperlink" Target="https://www.ncbi.nlm.nih.gov/pubmed/?term=Gomes%20NL%5BAuthor%5D&amp;cauthor=true&amp;cauthor_uid=26229921" TargetMode="External"/><Relationship Id="rId138" Type="http://schemas.openxmlformats.org/officeDocument/2006/relationships/hyperlink" Target="https://www.ncbi.nlm.nih.gov/pubmed/?term=Kim%20TK%5BAuthor%5D&amp;cauthor=true&amp;cauthor_uid=23542923" TargetMode="External"/><Relationship Id="rId159" Type="http://schemas.openxmlformats.org/officeDocument/2006/relationships/hyperlink" Target="https://www.ncbi.nlm.nih.gov/pubmed/?term=Tranexamic+Acid+in+Total+Knee+Arthroplasty%3A+Mixed+Treatment+Comparisons+and+RecursiveCumulative+Meta-Analysis+of+Randomized%2C+Controlled+Trials+and+Cohort+Studies." TargetMode="External"/><Relationship Id="rId170" Type="http://schemas.openxmlformats.org/officeDocument/2006/relationships/hyperlink" Target="https://www.ncbi.nlm.nih.gov/pubmed/?term=Liu%20Y%5BAuthor%5D&amp;cauthor=true&amp;cauthor_uid=28378211" TargetMode="External"/><Relationship Id="rId107" Type="http://schemas.openxmlformats.org/officeDocument/2006/relationships/hyperlink" Target="https://www.ncbi.nlm.nih.gov/pubmed/27217813" TargetMode="External"/><Relationship Id="rId11" Type="http://schemas.openxmlformats.org/officeDocument/2006/relationships/image" Target="media/image2.emf"/><Relationship Id="rId32" Type="http://schemas.openxmlformats.org/officeDocument/2006/relationships/hyperlink" Target="http://www.ncbi.nlm.nih.gov/pubmed/?term=Hidalgo%20JH%5BAuthor%5D&amp;cauthor=true&amp;cauthor_uid=21936146" TargetMode="External"/><Relationship Id="rId53" Type="http://schemas.openxmlformats.org/officeDocument/2006/relationships/hyperlink" Target="https://www.ncbi.nlm.nih.gov/pubmed/?term=Retention+of+the+posterior+cruciate+ligament+versus+the+posterior+stabilized+design+in+total+knee+arthroplasty%3A+a+prospective+randomized+controlled+clinical+trial." TargetMode="External"/><Relationship Id="rId74" Type="http://schemas.openxmlformats.org/officeDocument/2006/relationships/hyperlink" Target="https://www.ncbi.nlm.nih.gov/pubmed/?term=Nielsen%20CS%5BAuthor%5D&amp;cauthor=true&amp;cauthor_uid=27194493" TargetMode="External"/><Relationship Id="rId128" Type="http://schemas.openxmlformats.org/officeDocument/2006/relationships/hyperlink" Target="https://www.ncbi.nlm.nih.gov/pubmed/?term=Chen%20JY%5BAuthor%5D&amp;cauthor=true&amp;cauthor_uid=26746044" TargetMode="External"/><Relationship Id="rId149" Type="http://schemas.openxmlformats.org/officeDocument/2006/relationships/hyperlink" Target="https://www.ncbi.nlm.nih.gov/pubmed/?term=Cai%20M%5BAuthor%5D&amp;cauthor=true&amp;cauthor_uid=27889307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www.ncbi.nlm.nih.gov/pubmed/?term=Tulloch%20C%5BAuthor%5D&amp;cauthor=true&amp;cauthor_uid=24196466" TargetMode="External"/><Relationship Id="rId160" Type="http://schemas.openxmlformats.org/officeDocument/2006/relationships/hyperlink" Target="https://www.ncbi.nlm.nih.gov/pubmed/?term=Lee%20SY%5BAuthor%5D&amp;cauthor=true&amp;cauthor_uid=28283902" TargetMode="External"/><Relationship Id="rId181" Type="http://schemas.openxmlformats.org/officeDocument/2006/relationships/fontTable" Target="fontTable.xml"/><Relationship Id="rId22" Type="http://schemas.openxmlformats.org/officeDocument/2006/relationships/hyperlink" Target="http://dx.doi.org/10.1308/003588412x13171221590098" TargetMode="External"/><Relationship Id="rId43" Type="http://schemas.openxmlformats.org/officeDocument/2006/relationships/hyperlink" Target="https://www.ncbi.nlm.nih.gov/pubmed/?term=Ong%20K%5BAuthor%5D&amp;cauthor=true&amp;cauthor_uid=17403800" TargetMode="External"/><Relationship Id="rId64" Type="http://schemas.openxmlformats.org/officeDocument/2006/relationships/hyperlink" Target="https://www.ncbi.nlm.nih.gov/pubmed/?term=Santos%20Santoro%20E%5BAuthor%5D&amp;cauthor=true&amp;cauthor_uid=26229799" TargetMode="External"/><Relationship Id="rId118" Type="http://schemas.openxmlformats.org/officeDocument/2006/relationships/hyperlink" Target="https://www.ncbi.nlm.nih.gov/pubmed/?term=Pak%20CH%5BAuthor%5D&amp;cauthor=true&amp;cauthor_uid=27595072" TargetMode="External"/><Relationship Id="rId139" Type="http://schemas.openxmlformats.org/officeDocument/2006/relationships/hyperlink" Target="https://www.ncbi.nlm.nih.gov/pubmed/?term=Chang%20CB%5BAuthor%5D&amp;cauthor=true&amp;cauthor_uid=23542923" TargetMode="External"/><Relationship Id="rId85" Type="http://schemas.openxmlformats.org/officeDocument/2006/relationships/hyperlink" Target="https://www.ncbi.nlm.nih.gov/pubmed/?term=Lobo%20JC%5BAuthor%5D&amp;cauthor=true&amp;cauthor_uid=26229921" TargetMode="External"/><Relationship Id="rId150" Type="http://schemas.openxmlformats.org/officeDocument/2006/relationships/hyperlink" Target="https://www.ncbi.nlm.nih.gov/pubmed/?term=Li%20S%5BAuthor%5D&amp;cauthor=true&amp;cauthor_uid=27889307" TargetMode="External"/><Relationship Id="rId171" Type="http://schemas.openxmlformats.org/officeDocument/2006/relationships/hyperlink" Target="https://www.ncbi.nlm.nih.gov/pubmed/?term=Zha%20K%5BAuthor%5D&amp;cauthor=true&amp;cauthor_uid=28378211" TargetMode="External"/><Relationship Id="rId12" Type="http://schemas.openxmlformats.org/officeDocument/2006/relationships/image" Target="media/image3.emf"/><Relationship Id="rId33" Type="http://schemas.openxmlformats.org/officeDocument/2006/relationships/hyperlink" Target="http://www.ncbi.nlm.nih.gov/pubmed/?term=Bloch%20T%5BAuthor%5D&amp;cauthor=true&amp;cauthor_uid=21936146" TargetMode="External"/><Relationship Id="rId108" Type="http://schemas.openxmlformats.org/officeDocument/2006/relationships/hyperlink" Target="https://www.ncbi.nlm.nih.gov/pubmed/?term=Efficacy+and+Safety+of+Tranexamic+Acid+in+Control+of+Bleeding+Following+TKR%3A+A+Randomized+Clinical+Trial." TargetMode="External"/><Relationship Id="rId129" Type="http://schemas.openxmlformats.org/officeDocument/2006/relationships/hyperlink" Target="https://www.ncbi.nlm.nih.gov/pubmed/?term=Chin%20PL%5BAuthor%5D&amp;cauthor=true&amp;cauthor_uid=26746044" TargetMode="External"/><Relationship Id="rId54" Type="http://schemas.openxmlformats.org/officeDocument/2006/relationships/hyperlink" Target="https://www.ncbi.nlm.nih.gov/pubmed/?term=Bourne%20RB%5BAuthor%5D&amp;cauthor=true&amp;cauthor_uid=18780136" TargetMode="External"/><Relationship Id="rId75" Type="http://schemas.openxmlformats.org/officeDocument/2006/relationships/hyperlink" Target="https://www.ncbi.nlm.nih.gov/pubmed/?term=Jans%20%C3%98%5BAuthor%5D&amp;cauthor=true&amp;cauthor_uid=27194493" TargetMode="External"/><Relationship Id="rId96" Type="http://schemas.openxmlformats.org/officeDocument/2006/relationships/hyperlink" Target="https://www.ncbi.nlm.nih.gov/pubmed/?term=Anand%20S%5BAuthor%5D&amp;cauthor=true&amp;cauthor_uid=24196466" TargetMode="External"/><Relationship Id="rId140" Type="http://schemas.openxmlformats.org/officeDocument/2006/relationships/hyperlink" Target="https://www.ncbi.nlm.nih.gov/pubmed/?term=Koh%20IJ%5BAuthor%5D&amp;cauthor=true&amp;cauthor_uid=23542923" TargetMode="External"/><Relationship Id="rId161" Type="http://schemas.openxmlformats.org/officeDocument/2006/relationships/hyperlink" Target="https://www.ncbi.nlm.nih.gov/pubmed/?term=Chong%20S%5BAuthor%5D&amp;cauthor=true&amp;cauthor_uid=28283902" TargetMode="External"/><Relationship Id="rId182" Type="http://schemas.openxmlformats.org/officeDocument/2006/relationships/theme" Target="theme/theme1.xml"/><Relationship Id="rId6" Type="http://schemas.openxmlformats.org/officeDocument/2006/relationships/footnotes" Target="footnotes.xml"/><Relationship Id="rId23" Type="http://schemas.openxmlformats.org/officeDocument/2006/relationships/hyperlink" Target="https://www.ncbi.nlm.nih.gov/pubmed/?term=Kagoma%20YK%5BAuthor%5D&amp;cauthor=true&amp;cauthor_uid=19007970" TargetMode="External"/><Relationship Id="rId119" Type="http://schemas.openxmlformats.org/officeDocument/2006/relationships/hyperlink" Target="https://www.ncbi.nlm.nih.gov/pubmed/?term=Park%20SH%5BAuthor%5D&amp;cauthor=true&amp;cauthor_uid=27595072" TargetMode="External"/><Relationship Id="rId44" Type="http://schemas.openxmlformats.org/officeDocument/2006/relationships/hyperlink" Target="https://www.ncbi.nlm.nih.gov/pubmed/?term=Lau%20E%5BAuthor%5D&amp;cauthor=true&amp;cauthor_uid=17403800" TargetMode="External"/><Relationship Id="rId60" Type="http://schemas.openxmlformats.org/officeDocument/2006/relationships/hyperlink" Target="https://www.ncbi.nlm.nih.gov/pubmed/?term=Barrack%20R%5BAuthor%5D&amp;cauthor=true&amp;cauthor_uid=22733183" TargetMode="External"/><Relationship Id="rId65" Type="http://schemas.openxmlformats.org/officeDocument/2006/relationships/hyperlink" Target="https://www.ncbi.nlm.nih.gov/pubmed/?term=Lima%20Avelino%20R%5BAuthor%5D&amp;cauthor=true&amp;cauthor_uid=26229799" TargetMode="External"/><Relationship Id="rId81" Type="http://schemas.openxmlformats.org/officeDocument/2006/relationships/hyperlink" Target="https://www.ncbi.nlm.nih.gov/pubmed/?term=da%20Rocha%20VM%5BAuthor%5D&amp;cauthor=true&amp;cauthor_uid=26229921" TargetMode="External"/><Relationship Id="rId86" Type="http://schemas.openxmlformats.org/officeDocument/2006/relationships/hyperlink" Target="https://www.ncbi.nlm.nih.gov/pubmed/?term=Villela%20Schettino%20LC%5BAuthor%5D&amp;cauthor=true&amp;cauthor_uid=26229921" TargetMode="External"/><Relationship Id="rId130" Type="http://schemas.openxmlformats.org/officeDocument/2006/relationships/hyperlink" Target="https://www.ncbi.nlm.nih.gov/pubmed/?term=Moo%20IH%5BAuthor%5D&amp;cauthor=true&amp;cauthor_uid=26746044" TargetMode="External"/><Relationship Id="rId135" Type="http://schemas.openxmlformats.org/officeDocument/2006/relationships/hyperlink" Target="https://www.ncbi.nlm.nih.gov/pubmed/?term=Yeo%20SJ%5BAuthor%5D&amp;cauthor=true&amp;cauthor_uid=26746044" TargetMode="External"/><Relationship Id="rId151" Type="http://schemas.openxmlformats.org/officeDocument/2006/relationships/hyperlink" Target="https://www.ncbi.nlm.nih.gov/pubmed/?term=Efficacy+of+a+Single+Dose+and+an+Additional+Dose+of+Tranexamic+Acid+in+Reduction+of+Blood+Lossin+Total+Knee+Arthroplasty." TargetMode="External"/><Relationship Id="rId156" Type="http://schemas.openxmlformats.org/officeDocument/2006/relationships/hyperlink" Target="https://www.ncbi.nlm.nih.gov/pubmed/?term=Comparison+of+3+Routes+of+Administration+of+Tranexamic+Acid+on+Primary+Unilateral+Total+Knee+Arthroplasty%3A+A+Prospective%2C+Randomized%2C+Controlled+Study" TargetMode="External"/><Relationship Id="rId177" Type="http://schemas.openxmlformats.org/officeDocument/2006/relationships/hyperlink" Target="https://www.ncbi.nlm.nih.gov/pubmed/?term=Tieppo%20C%5BAuthor%5D&amp;cauthor=true&amp;cauthor_uid=29062824" TargetMode="External"/><Relationship Id="rId172" Type="http://schemas.openxmlformats.org/officeDocument/2006/relationships/hyperlink" Target="https://www.ncbi.nlm.nih.gov/pubmed/?term=Wu%20Q%5BAuthor%5D&amp;cauthor=true&amp;cauthor_uid=28378211" TargetMode="External"/><Relationship Id="rId13" Type="http://schemas.openxmlformats.org/officeDocument/2006/relationships/image" Target="media/image4.emf"/><Relationship Id="rId18" Type="http://schemas.microsoft.com/office/2016/09/relationships/commentsIds" Target="commentsIds.xml"/><Relationship Id="rId39" Type="http://schemas.openxmlformats.org/officeDocument/2006/relationships/hyperlink" Target="https://www.ncbi.nlm.nih.gov/pubmed/?term=Namba%20RS%5BAuthor%5D&amp;cauthor=true&amp;cauthor_uid=28801208" TargetMode="External"/><Relationship Id="rId109" Type="http://schemas.openxmlformats.org/officeDocument/2006/relationships/hyperlink" Target="https://www.ncbi.nlm.nih.gov/pubmed/?term=Gao%20FQ%5BAuthor%5D&amp;cauthor=true&amp;cauthor_uid=26521781" TargetMode="External"/><Relationship Id="rId34" Type="http://schemas.openxmlformats.org/officeDocument/2006/relationships/hyperlink" Target="http://www.ncbi.nlm.nih.gov/pubmed/?term=Mercuriali%20F%5BAuthor%5D&amp;cauthor=true&amp;cauthor_uid=9010613" TargetMode="External"/><Relationship Id="rId50" Type="http://schemas.openxmlformats.org/officeDocument/2006/relationships/hyperlink" Target="https://www.ncbi.nlm.nih.gov/pubmed/?term=van%20den%20Akker-Scheek%20I%5BAuthor%5D&amp;cauthor=true&amp;cauthor_uid=19793397" TargetMode="External"/><Relationship Id="rId55" Type="http://schemas.openxmlformats.org/officeDocument/2006/relationships/hyperlink" Target="https://www.ncbi.nlm.nih.gov/pubmed/18780136" TargetMode="External"/><Relationship Id="rId76" Type="http://schemas.openxmlformats.org/officeDocument/2006/relationships/hyperlink" Target="https://www.ncbi.nlm.nih.gov/pubmed/?term=%C3%98rsnes%20T%5BAuthor%5D&amp;cauthor=true&amp;cauthor_uid=27194493" TargetMode="External"/><Relationship Id="rId97" Type="http://schemas.openxmlformats.org/officeDocument/2006/relationships/hyperlink" Target="https://www.ncbi.nlm.nih.gov/pubmed/?term=Logishetty%20R%5BAuthor%5D&amp;cauthor=true&amp;cauthor_uid=24196466" TargetMode="External"/><Relationship Id="rId104" Type="http://schemas.openxmlformats.org/officeDocument/2006/relationships/hyperlink" Target="https://www.ncbi.nlm.nih.gov/pubmed/?term=Ferreira%20MC%5BAuthor%5D&amp;cauthor=true&amp;cauthor_uid=27217813" TargetMode="External"/><Relationship Id="rId120" Type="http://schemas.openxmlformats.org/officeDocument/2006/relationships/hyperlink" Target="https://www.ncbi.nlm.nih.gov/pubmed/?term=Jung%20S%5BAuthor%5D&amp;cauthor=true&amp;cauthor_uid=27595072" TargetMode="External"/><Relationship Id="rId125" Type="http://schemas.openxmlformats.org/officeDocument/2006/relationships/hyperlink" Target="https://www.ncbi.nlm.nih.gov/pubmed/?term=Smith%20HM%5BAuthor%5D&amp;cauthor=true&amp;cauthor_uid=23886409" TargetMode="External"/><Relationship Id="rId141" Type="http://schemas.openxmlformats.org/officeDocument/2006/relationships/hyperlink" Target="https://www.ncbi.nlm.nih.gov/pubmed/?term=Practical+issues+for+the+use+of+tranexamic+acid+in+total+knee+arthroplasty%3A+a+systematic+review" TargetMode="External"/><Relationship Id="rId146" Type="http://schemas.openxmlformats.org/officeDocument/2006/relationships/hyperlink" Target="https://www.ncbi.nlm.nih.gov/pubmed/?term=Yu%20X%5BAuthor%5D&amp;cauthor=true&amp;cauthor_uid=27889307" TargetMode="External"/><Relationship Id="rId167" Type="http://schemas.openxmlformats.org/officeDocument/2006/relationships/hyperlink" Target="https://www.ncbi.nlm.nih.gov/pubmed/?term=Liu%20G%5BAuthor%5D&amp;cauthor=true&amp;cauthor_uid=28378211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ncbi.nlm.nih.gov/pubmed/?term=Su%20S%5BAuthor%5D&amp;cauthor=true&amp;cauthor_uid=26733652" TargetMode="External"/><Relationship Id="rId92" Type="http://schemas.openxmlformats.org/officeDocument/2006/relationships/hyperlink" Target="https://www.ncbi.nlm.nih.gov/pubmed/?term=Sarda%20P%5BAuthor%5D&amp;cauthor=true&amp;cauthor_uid=24196466" TargetMode="External"/><Relationship Id="rId162" Type="http://schemas.openxmlformats.org/officeDocument/2006/relationships/hyperlink" Target="https://www.ncbi.nlm.nih.gov/pubmed/?term=Balasubramanian%20D%5BAuthor%5D&amp;cauthor=true&amp;cauthor_uid=28283902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www.ncbi.nlm.nih.gov/pubmed/19007970" TargetMode="External"/><Relationship Id="rId24" Type="http://schemas.openxmlformats.org/officeDocument/2006/relationships/hyperlink" Target="https://www.ncbi.nlm.nih.gov/pubmed/?term=Crowther%20MA%5BAuthor%5D&amp;cauthor=true&amp;cauthor_uid=19007970" TargetMode="External"/><Relationship Id="rId40" Type="http://schemas.openxmlformats.org/officeDocument/2006/relationships/hyperlink" Target="https://www.ncbi.nlm.nih.gov/pubmed/?term=Nemes%20S%5BAuthor%5D&amp;cauthor=true&amp;cauthor_uid=28801208" TargetMode="External"/><Relationship Id="rId45" Type="http://schemas.openxmlformats.org/officeDocument/2006/relationships/hyperlink" Target="https://www.ncbi.nlm.nih.gov/pubmed/?term=Mowat%20F%5BAuthor%5D&amp;cauthor=true&amp;cauthor_uid=17403800" TargetMode="External"/><Relationship Id="rId66" Type="http://schemas.openxmlformats.org/officeDocument/2006/relationships/hyperlink" Target="https://www.ncbi.nlm.nih.gov/pubmed/?term=Inoue%20Coutinho%20L%5BAuthor%5D&amp;cauthor=true&amp;cauthor_uid=26229799" TargetMode="External"/><Relationship Id="rId87" Type="http://schemas.openxmlformats.org/officeDocument/2006/relationships/hyperlink" Target="https://www.ncbi.nlm.nih.gov/pubmed/?term=da%20Silva%20LE%5BAuthor%5D&amp;cauthor=true&amp;cauthor_uid=26229921" TargetMode="External"/><Relationship Id="rId110" Type="http://schemas.openxmlformats.org/officeDocument/2006/relationships/hyperlink" Target="https://www.ncbi.nlm.nih.gov/pubmed/?term=Li%20ZJ%5BAuthor%5D&amp;cauthor=true&amp;cauthor_uid=26521781" TargetMode="External"/><Relationship Id="rId115" Type="http://schemas.openxmlformats.org/officeDocument/2006/relationships/hyperlink" Target="https://www.ncbi.nlm.nih.gov/pubmed/?term=Kim%20DH%5BAuthor%5D&amp;cauthor=true&amp;cauthor_uid=27595072" TargetMode="External"/><Relationship Id="rId131" Type="http://schemas.openxmlformats.org/officeDocument/2006/relationships/hyperlink" Target="https://www.ncbi.nlm.nih.gov/pubmed/?term=Pang%20HN%5BAuthor%5D&amp;cauthor=true&amp;cauthor_uid=26746044" TargetMode="External"/><Relationship Id="rId136" Type="http://schemas.openxmlformats.org/officeDocument/2006/relationships/hyperlink" Target="https://www.ncbi.nlm.nih.gov/pubmed/26746044" TargetMode="External"/><Relationship Id="rId157" Type="http://schemas.openxmlformats.org/officeDocument/2006/relationships/hyperlink" Target="https://www.ncbi.nlm.nih.gov/pubmed/?term=Sridharan%20K%5BAuthor%5D&amp;cauthor=true&amp;cauthor_uid=28691188" TargetMode="External"/><Relationship Id="rId178" Type="http://schemas.openxmlformats.org/officeDocument/2006/relationships/hyperlink" Target="https://www.ncbi.nlm.nih.gov/pubmed/?term=Silva%20RSD%5BAuthor%5D&amp;cauthor=true&amp;cauthor_uid=29062824" TargetMode="External"/><Relationship Id="rId61" Type="http://schemas.openxmlformats.org/officeDocument/2006/relationships/hyperlink" Target="https://www.ncbi.nlm.nih.gov/pubmed/?term=Rossi%20MD%5BAuthor%5D&amp;cauthor=true&amp;cauthor_uid=22733183" TargetMode="External"/><Relationship Id="rId82" Type="http://schemas.openxmlformats.org/officeDocument/2006/relationships/hyperlink" Target="https://www.ncbi.nlm.nih.gov/pubmed/?term=de%20Barros%20AG%5BAuthor%5D&amp;cauthor=true&amp;cauthor_uid=26229921" TargetMode="External"/><Relationship Id="rId152" Type="http://schemas.openxmlformats.org/officeDocument/2006/relationships/hyperlink" Target="https://www.ncbi.nlm.nih.gov/pubmed/?term=Yuan%20X%5BAuthor%5D&amp;cauthor=true&amp;cauthor_uid=28455182" TargetMode="External"/><Relationship Id="rId173" Type="http://schemas.openxmlformats.org/officeDocument/2006/relationships/hyperlink" Target="https://www.ncbi.nlm.nih.gov/pubmed/?term=Liu%20J%5BAuthor%5D&amp;cauthor=true&amp;cauthor_uid=28378211" TargetMode="External"/><Relationship Id="rId19" Type="http://schemas.openxmlformats.org/officeDocument/2006/relationships/hyperlink" Target="https://www.ncbi.nlm.nih.gov/pubmed/14703001" TargetMode="External"/><Relationship Id="rId14" Type="http://schemas.openxmlformats.org/officeDocument/2006/relationships/image" Target="media/image5.emf"/><Relationship Id="rId30" Type="http://schemas.openxmlformats.org/officeDocument/2006/relationships/hyperlink" Target="https://vaww.cmopnational.va.gov/cmop/PBM/default.aspx" TargetMode="External"/><Relationship Id="rId35" Type="http://schemas.openxmlformats.org/officeDocument/2006/relationships/hyperlink" Target="http://www.ncbi.nlm.nih.gov/pubmed/?term=Inghilleri%20G%5BAuthor%5D&amp;cauthor=true&amp;cauthor_uid=9010613" TargetMode="External"/><Relationship Id="rId56" Type="http://schemas.openxmlformats.org/officeDocument/2006/relationships/hyperlink" Target="https://www.ncbi.nlm.nih.gov/pubmed/?term=Lavernia%20CJ%5BAuthor%5D&amp;cauthor=true&amp;cauthor_uid=22733183" TargetMode="External"/><Relationship Id="rId77" Type="http://schemas.openxmlformats.org/officeDocument/2006/relationships/hyperlink" Target="https://www.ncbi.nlm.nih.gov/pubmed/?term=Foss%20NB%5BAuthor%5D&amp;cauthor=true&amp;cauthor_uid=27194493" TargetMode="External"/><Relationship Id="rId100" Type="http://schemas.openxmlformats.org/officeDocument/2006/relationships/hyperlink" Target="https://www.ncbi.nlm.nih.gov/pubmed?term=topical%20(intra-articular)%20tranexamic%20acid%20reduced%20blood%20loss%20and%20transfusion%20rates%20following%20total%20knee%20replacement&amp;cmd=correctspelling" TargetMode="External"/><Relationship Id="rId105" Type="http://schemas.openxmlformats.org/officeDocument/2006/relationships/hyperlink" Target="https://www.ncbi.nlm.nih.gov/pubmed/?term=Carneiro%20RJ%5BAuthor%5D&amp;cauthor=true&amp;cauthor_uid=27217813" TargetMode="External"/><Relationship Id="rId126" Type="http://schemas.openxmlformats.org/officeDocument/2006/relationships/hyperlink" Target="https://www.ncbi.nlm.nih.gov/pubmed/?term=Trousdale%20RT%5BAuthor%5D&amp;cauthor=true&amp;cauthor_uid=23886409" TargetMode="External"/><Relationship Id="rId147" Type="http://schemas.openxmlformats.org/officeDocument/2006/relationships/hyperlink" Target="https://www.ncbi.nlm.nih.gov/pubmed/?term=Wu%20J%5BAuthor%5D&amp;cauthor=true&amp;cauthor_uid=27889307" TargetMode="External"/><Relationship Id="rId168" Type="http://schemas.openxmlformats.org/officeDocument/2006/relationships/hyperlink" Target="https://www.ncbi.nlm.nih.gov/pubmed/?term=Zhou%20W%5BAuthor%5D&amp;cauthor=true&amp;cauthor_uid=28378211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www.ncbi.nlm.nih.gov/pubmed/?term=Bulstra%20SK%5BAuthor%5D&amp;cauthor=true&amp;cauthor_uid=19793397" TargetMode="External"/><Relationship Id="rId72" Type="http://schemas.openxmlformats.org/officeDocument/2006/relationships/hyperlink" Target="https://www.ncbi.nlm.nih.gov/pubmed/26733652" TargetMode="External"/><Relationship Id="rId93" Type="http://schemas.openxmlformats.org/officeDocument/2006/relationships/hyperlink" Target="https://www.ncbi.nlm.nih.gov/pubmed/?term=Nargol%20A%5BAuthor%5D&amp;cauthor=true&amp;cauthor_uid=24196466" TargetMode="External"/><Relationship Id="rId98" Type="http://schemas.openxmlformats.org/officeDocument/2006/relationships/hyperlink" Target="https://www.ncbi.nlm.nih.gov/pubmed/?term=Stothart%20B%5BAuthor%5D&amp;cauthor=true&amp;cauthor_uid=24196466" TargetMode="External"/><Relationship Id="rId121" Type="http://schemas.openxmlformats.org/officeDocument/2006/relationships/hyperlink" Target="https://www.ncbi.nlm.nih.gov/pubmed/?term=mparison+of+Blood+Loss+between+Neutral+Drainage+with+Tranexamic+Acid+and+Negative+Pressure+Drainage+without+Tranexamic+Acid+Following+Primary+Total+Knee+Arthroplasty" TargetMode="External"/><Relationship Id="rId142" Type="http://schemas.openxmlformats.org/officeDocument/2006/relationships/hyperlink" Target="https://www.ncbi.nlm.nih.gov/pubmed/?term=Su%20EP%5BAuthor%5D&amp;cauthor=true&amp;cauthor_uid=26733652" TargetMode="External"/><Relationship Id="rId163" Type="http://schemas.openxmlformats.org/officeDocument/2006/relationships/hyperlink" Target="https://www.ncbi.nlm.nih.gov/pubmed/?term=Na%20YG%5BAuthor%5D&amp;cauthor=true&amp;cauthor_uid=28283902" TargetMode="External"/><Relationship Id="rId3" Type="http://schemas.openxmlformats.org/officeDocument/2006/relationships/styles" Target="styles.xml"/><Relationship Id="rId25" Type="http://schemas.openxmlformats.org/officeDocument/2006/relationships/hyperlink" Target="https://www.ncbi.nlm.nih.gov/pubmed/?term=Douketis%20J%5BAuthor%5D&amp;cauthor=true&amp;cauthor_uid=19007970" TargetMode="External"/><Relationship Id="rId46" Type="http://schemas.openxmlformats.org/officeDocument/2006/relationships/hyperlink" Target="https://www.ncbi.nlm.nih.gov/pubmed/?term=Halpern%20M%5BAuthor%5D&amp;cauthor=true&amp;cauthor_uid=17403800" TargetMode="External"/><Relationship Id="rId67" Type="http://schemas.openxmlformats.org/officeDocument/2006/relationships/hyperlink" Target="https://www.ncbi.nlm.nih.gov/pubmed/?term=Campos%20Granjeiro%20R%5BAuthor%5D&amp;cauthor=true&amp;cauthor_uid=26229799" TargetMode="External"/><Relationship Id="rId116" Type="http://schemas.openxmlformats.org/officeDocument/2006/relationships/hyperlink" Target="https://www.ncbi.nlm.nih.gov/pubmed/?term=Lee%20GC%5BAuthor%5D&amp;cauthor=true&amp;cauthor_uid=27595072" TargetMode="External"/><Relationship Id="rId137" Type="http://schemas.openxmlformats.org/officeDocument/2006/relationships/hyperlink" Target="http://dx.doi.org/10.4236/ojo.2014.48035" TargetMode="External"/><Relationship Id="rId158" Type="http://schemas.openxmlformats.org/officeDocument/2006/relationships/hyperlink" Target="https://www.ncbi.nlm.nih.gov/pubmed/?term=Sivaramakrishnan%20G%5BAuthor%5D&amp;cauthor=true&amp;cauthor_uid=28691188" TargetMode="External"/><Relationship Id="rId20" Type="http://schemas.openxmlformats.org/officeDocument/2006/relationships/hyperlink" Target="http://dx.doi.org/10.1016/j.arth.2013.08.005" TargetMode="External"/><Relationship Id="rId41" Type="http://schemas.openxmlformats.org/officeDocument/2006/relationships/hyperlink" Target="https://www.ncbi.nlm.nih.gov/pubmed/28801208" TargetMode="External"/><Relationship Id="rId62" Type="http://schemas.openxmlformats.org/officeDocument/2006/relationships/hyperlink" Target="https://www.ncbi.nlm.nih.gov/pubmed/22733183" TargetMode="External"/><Relationship Id="rId83" Type="http://schemas.openxmlformats.org/officeDocument/2006/relationships/hyperlink" Target="https://www.ncbi.nlm.nih.gov/pubmed/?term=Naves%20CD%5BAuthor%5D&amp;cauthor=true&amp;cauthor_uid=26229921" TargetMode="External"/><Relationship Id="rId88" Type="http://schemas.openxmlformats.org/officeDocument/2006/relationships/hyperlink" Target="https://www.ncbi.nlm.nih.gov/pubmed/?term=Uso+do+%C3%A1cido+tranex%C3%A2mico+no+controle+do+sangramento+em+cirurgias+de+escoliose+toracolombar+com+instrumenta%C3%A7%C3%A3o+posterior" TargetMode="External"/><Relationship Id="rId111" Type="http://schemas.openxmlformats.org/officeDocument/2006/relationships/hyperlink" Target="https://www.ncbi.nlm.nih.gov/pubmed/?term=Zhang%20K%5BAuthor%5D&amp;cauthor=true&amp;cauthor_uid=26521781" TargetMode="External"/><Relationship Id="rId132" Type="http://schemas.openxmlformats.org/officeDocument/2006/relationships/hyperlink" Target="https://www.ncbi.nlm.nih.gov/pubmed/?term=Tay%20DK%5BAuthor%5D&amp;cauthor=true&amp;cauthor_uid=26746044" TargetMode="External"/><Relationship Id="rId153" Type="http://schemas.openxmlformats.org/officeDocument/2006/relationships/hyperlink" Target="https://www.ncbi.nlm.nih.gov/pubmed/?term=Li%20B%5BAuthor%5D&amp;cauthor=true&amp;cauthor_uid=28455182" TargetMode="External"/><Relationship Id="rId174" Type="http://schemas.openxmlformats.org/officeDocument/2006/relationships/hyperlink" Target="https://www.ncbi.nlm.nih.gov/pubmed/28378211" TargetMode="External"/><Relationship Id="rId179" Type="http://schemas.openxmlformats.org/officeDocument/2006/relationships/hyperlink" Target="https://www.ncbi.nlm.nih.gov/pubmed/?term=Severino%20NR%5BAuthor%5D&amp;cauthor=true&amp;cauthor_uid=29062824" TargetMode="External"/><Relationship Id="rId15" Type="http://schemas.openxmlformats.org/officeDocument/2006/relationships/image" Target="media/image6.emf"/><Relationship Id="rId36" Type="http://schemas.openxmlformats.org/officeDocument/2006/relationships/hyperlink" Target="https://www.ncbi.nlm.nih.gov/pubmed/?term=Inacio%20MCS%5BAuthor%5D&amp;cauthor=true&amp;cauthor_uid=28801208" TargetMode="External"/><Relationship Id="rId57" Type="http://schemas.openxmlformats.org/officeDocument/2006/relationships/hyperlink" Target="https://www.ncbi.nlm.nih.gov/pubmed/?term=Contreras%20JS%5BAuthor%5D&amp;cauthor=true&amp;cauthor_uid=22733183" TargetMode="External"/><Relationship Id="rId106" Type="http://schemas.openxmlformats.org/officeDocument/2006/relationships/hyperlink" Target="https://www.ncbi.nlm.nih.gov/pubmed/?term=Colavolpe%20PO%5BAuthor%5D&amp;cauthor=true&amp;cauthor_uid=27217813" TargetMode="External"/><Relationship Id="rId127" Type="http://schemas.openxmlformats.org/officeDocument/2006/relationships/hyperlink" Target="https://www.ncbi.nlm.nih.gov/pubmed/?term=Economic+impact+of+tranexamic+acid+in+healthy+patients+undergoing+primary+total+hip+and+knee+arthroplasty." TargetMode="External"/><Relationship Id="rId10" Type="http://schemas.openxmlformats.org/officeDocument/2006/relationships/chart" Target="charts/chart2.xml"/><Relationship Id="rId31" Type="http://schemas.openxmlformats.org/officeDocument/2006/relationships/hyperlink" Target="http://www.ncbi.nlm.nih.gov/pubmed/?term=Nadler%20SB%5BAuthor%5D&amp;cauthor=true&amp;cauthor_uid=21936146" TargetMode="External"/><Relationship Id="rId52" Type="http://schemas.openxmlformats.org/officeDocument/2006/relationships/hyperlink" Target="https://www.ncbi.nlm.nih.gov/pubmed/?term=van%20Raaij%20JJ%5BAuthor%5D&amp;cauthor=true&amp;cauthor_uid=19793397" TargetMode="External"/><Relationship Id="rId73" Type="http://schemas.openxmlformats.org/officeDocument/2006/relationships/hyperlink" Target="https://www.ncbi.nlm.nih.gov/pubmed?term=Effectiveness%5BTitle%5D%20AND%20Safety%5BTitle%5D%20AND%20Tranexamic%5BTitle%5D%20AND%20Acid%5BTitle%5D%20AND%20Reducing%5BTitle%5D%20AND%20Blood%5BTitle%5D%20AND%20Loss%5BTitle%5D%20AND%20Total%5BTitle%5D%20AND%20Knee%5BTitle%5D%20AND%20Arthroplasty%5BTitle%5D%20AND%20Meta-Analysis%5BTitle%5D" TargetMode="External"/><Relationship Id="rId78" Type="http://schemas.openxmlformats.org/officeDocument/2006/relationships/hyperlink" Target="https://www.ncbi.nlm.nih.gov/pubmed/?term=Troelsen%20A%5BAuthor%5D&amp;cauthor=true&amp;cauthor_uid=27194493" TargetMode="External"/><Relationship Id="rId94" Type="http://schemas.openxmlformats.org/officeDocument/2006/relationships/hyperlink" Target="https://www.ncbi.nlm.nih.gov/pubmed/?term=Maheswaran%20S%5BAuthor%5D&amp;cauthor=true&amp;cauthor_uid=24196466" TargetMode="External"/><Relationship Id="rId99" Type="http://schemas.openxmlformats.org/officeDocument/2006/relationships/hyperlink" Target="https://www.ncbi.nlm.nih.gov/pubmed/?term=Hungin%20AP%5BAuthor%5D&amp;cauthor=true&amp;cauthor_uid=24196466" TargetMode="External"/><Relationship Id="rId101" Type="http://schemas.openxmlformats.org/officeDocument/2006/relationships/hyperlink" Target="https://www.ncbi.nlm.nih.gov/pubmed/?term=Sadigursky%20D%5BAuthor%5D&amp;cauthor=true&amp;cauthor_uid=27217813" TargetMode="External"/><Relationship Id="rId122" Type="http://schemas.openxmlformats.org/officeDocument/2006/relationships/hyperlink" Target="https://www.ncbi.nlm.nih.gov/pubmed/?term=Gillette%20BP%5BAuthor%5D&amp;cauthor=true&amp;cauthor_uid=23886409" TargetMode="External"/><Relationship Id="rId143" Type="http://schemas.openxmlformats.org/officeDocument/2006/relationships/hyperlink" Target="https://www.ncbi.nlm.nih.gov/pubmed/?term=Su%20S%5BAuthor%5D&amp;cauthor=true&amp;cauthor_uid=26733652" TargetMode="External"/><Relationship Id="rId148" Type="http://schemas.openxmlformats.org/officeDocument/2006/relationships/hyperlink" Target="https://www.ncbi.nlm.nih.gov/pubmed/?term=Ge%20W%5BAuthor%5D&amp;cauthor=true&amp;cauthor_uid=27889307" TargetMode="External"/><Relationship Id="rId164" Type="http://schemas.openxmlformats.org/officeDocument/2006/relationships/hyperlink" Target="https://www.ncbi.nlm.nih.gov/pubmed/?term=Kim%20TK%5BAuthor%5D&amp;cauthor=true&amp;cauthor_uid=28283902" TargetMode="External"/><Relationship Id="rId169" Type="http://schemas.openxmlformats.org/officeDocument/2006/relationships/hyperlink" Target="https://www.ncbi.nlm.nih.gov/pubmed/?term=Lv%20H%5BAuthor%5D&amp;cauthor=true&amp;cauthor_uid=28378211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80" Type="http://schemas.openxmlformats.org/officeDocument/2006/relationships/hyperlink" Target="https://www.ncbi.nlm.nih.gov/pubmed/29062824" TargetMode="External"/><Relationship Id="rId26" Type="http://schemas.openxmlformats.org/officeDocument/2006/relationships/hyperlink" Target="https://www.ncbi.nlm.nih.gov/pubmed/?term=Bhandari%20M%5BAuthor%5D&amp;cauthor=true&amp;cauthor_uid=19007970" TargetMode="External"/><Relationship Id="rId47" Type="http://schemas.openxmlformats.org/officeDocument/2006/relationships/hyperlink" Target="https://www.ncbi.nlm.nih.gov/pubmed/17403800" TargetMode="External"/><Relationship Id="rId68" Type="http://schemas.openxmlformats.org/officeDocument/2006/relationships/hyperlink" Target="https://www.ncbi.nlm.nih.gov/pubmed/?term=Orlando%20Junior%20N%5BAuthor%5D&amp;cauthor=true&amp;cauthor_uid=26229799" TargetMode="External"/><Relationship Id="rId89" Type="http://schemas.openxmlformats.org/officeDocument/2006/relationships/hyperlink" Target="https://www.ncbi.nlm.nih.gov/pubmed/?term=Alshryda%20S%5BAuthor%5D&amp;cauthor=true&amp;cauthor_uid=24196466" TargetMode="External"/><Relationship Id="rId112" Type="http://schemas.openxmlformats.org/officeDocument/2006/relationships/hyperlink" Target="https://www.ncbi.nlm.nih.gov/pubmed/?term=Sun%20W%5BAuthor%5D&amp;cauthor=true&amp;cauthor_uid=26521781" TargetMode="External"/><Relationship Id="rId133" Type="http://schemas.openxmlformats.org/officeDocument/2006/relationships/hyperlink" Target="https://www.ncbi.nlm.nih.gov/pubmed/?term=Chia%20SL%5BAuthor%5D&amp;cauthor=true&amp;cauthor_uid=26746044" TargetMode="External"/><Relationship Id="rId154" Type="http://schemas.openxmlformats.org/officeDocument/2006/relationships/hyperlink" Target="https://www.ncbi.nlm.nih.gov/pubmed/?term=Wang%20Q%5BAuthor%5D&amp;cauthor=true&amp;cauthor_uid=28455182" TargetMode="External"/><Relationship Id="rId175" Type="http://schemas.openxmlformats.org/officeDocument/2006/relationships/hyperlink" Target="https://www.ncbi.nlm.nih.gov/pubmed/?term=Zekcer%20A%5BAuthor%5D&amp;cauthor=true&amp;cauthor_uid=29062824" TargetMode="External"/><Relationship Id="rId16" Type="http://schemas.openxmlformats.org/officeDocument/2006/relationships/comments" Target="comments.xml"/><Relationship Id="rId37" Type="http://schemas.openxmlformats.org/officeDocument/2006/relationships/hyperlink" Target="https://www.ncbi.nlm.nih.gov/pubmed/?term=Paxton%20EW%5BAuthor%5D&amp;cauthor=true&amp;cauthor_uid=28801208" TargetMode="External"/><Relationship Id="rId58" Type="http://schemas.openxmlformats.org/officeDocument/2006/relationships/hyperlink" Target="https://www.ncbi.nlm.nih.gov/pubmed/?term=Parvizi%20J%5BAuthor%5D&amp;cauthor=true&amp;cauthor_uid=22733183" TargetMode="External"/><Relationship Id="rId79" Type="http://schemas.openxmlformats.org/officeDocument/2006/relationships/hyperlink" Target="https://www.ncbi.nlm.nih.gov/pubmed/?term=Husted%20H%5BAuthor%5D&amp;cauthor=true&amp;cauthor_uid=27194493" TargetMode="External"/><Relationship Id="rId102" Type="http://schemas.openxmlformats.org/officeDocument/2006/relationships/hyperlink" Target="https://www.ncbi.nlm.nih.gov/pubmed/?term=Andion%20D%5BAuthor%5D&amp;cauthor=true&amp;cauthor_uid=27217813" TargetMode="External"/><Relationship Id="rId123" Type="http://schemas.openxmlformats.org/officeDocument/2006/relationships/hyperlink" Target="https://www.ncbi.nlm.nih.gov/pubmed/?term=Maradit%20Kremers%20H%5BAuthor%5D&amp;cauthor=true&amp;cauthor_uid=23886409" TargetMode="External"/><Relationship Id="rId144" Type="http://schemas.openxmlformats.org/officeDocument/2006/relationships/hyperlink" Target="https://www.ncbi.nlm.nih.gov/pubmed/26733652" TargetMode="External"/><Relationship Id="rId90" Type="http://schemas.openxmlformats.org/officeDocument/2006/relationships/hyperlink" Target="https://www.ncbi.nlm.nih.gov/pubmed/?term=Mason%20J%5BAuthor%5D&amp;cauthor=true&amp;cauthor_uid=24196466" TargetMode="External"/><Relationship Id="rId165" Type="http://schemas.openxmlformats.org/officeDocument/2006/relationships/hyperlink" Target="https://www.ncbi.nlm.nih.gov/pubmed/28283902" TargetMode="External"/><Relationship Id="rId27" Type="http://schemas.openxmlformats.org/officeDocument/2006/relationships/hyperlink" Target="https://www.ncbi.nlm.nih.gov/pubmed/?term=Eikelboom%20J%5BAuthor%5D&amp;cauthor=true&amp;cauthor_uid=19007970" TargetMode="External"/><Relationship Id="rId48" Type="http://schemas.openxmlformats.org/officeDocument/2006/relationships/hyperlink" Target="https://www.ncbi.nlm.nih.gov/pubmed/?term=van%20den%20Boom%20LG%5BAuthor%5D&amp;cauthor=true&amp;cauthor_uid=19793397" TargetMode="External"/><Relationship Id="rId69" Type="http://schemas.openxmlformats.org/officeDocument/2006/relationships/hyperlink" Target="https://www.ncbi.nlm.nih.gov/pubmed/26229799" TargetMode="External"/><Relationship Id="rId113" Type="http://schemas.openxmlformats.org/officeDocument/2006/relationships/hyperlink" Target="https://www.ncbi.nlm.nih.gov/pubmed/?term=Zhang%20H%5BAuthor%5D&amp;cauthor=true&amp;cauthor_uid=26521781" TargetMode="External"/><Relationship Id="rId134" Type="http://schemas.openxmlformats.org/officeDocument/2006/relationships/hyperlink" Target="https://www.ncbi.nlm.nih.gov/pubmed/?term=Lo%20NN%5BAuthor%5D&amp;cauthor=true&amp;cauthor_uid=26746044" TargetMode="External"/><Relationship Id="rId80" Type="http://schemas.openxmlformats.org/officeDocument/2006/relationships/hyperlink" Target="https://www.ncbi.nlm.nih.gov/pubmed/27194493" TargetMode="External"/><Relationship Id="rId155" Type="http://schemas.openxmlformats.org/officeDocument/2006/relationships/hyperlink" Target="https://www.ncbi.nlm.nih.gov/pubmed/?term=Zhang%20X%5BAuthor%5D&amp;cauthor=true&amp;cauthor_uid=28455182" TargetMode="External"/><Relationship Id="rId176" Type="http://schemas.openxmlformats.org/officeDocument/2006/relationships/hyperlink" Target="https://www.ncbi.nlm.nih.gov/pubmed/?term=Priori%20RD%5BAuthor%5D&amp;cauthor=true&amp;cauthor_uid=29062824" TargetMode="External"/><Relationship Id="rId17" Type="http://schemas.microsoft.com/office/2011/relationships/commentsExtended" Target="commentsExtended.xml"/><Relationship Id="rId38" Type="http://schemas.openxmlformats.org/officeDocument/2006/relationships/hyperlink" Target="https://www.ncbi.nlm.nih.gov/pubmed/?term=Graves%20SE%5BAuthor%5D&amp;cauthor=true&amp;cauthor_uid=28801208" TargetMode="External"/><Relationship Id="rId59" Type="http://schemas.openxmlformats.org/officeDocument/2006/relationships/hyperlink" Target="https://www.ncbi.nlm.nih.gov/pubmed/?term=Sharkey%20PF%5BAuthor%5D&amp;cauthor=true&amp;cauthor_uid=22733183" TargetMode="External"/><Relationship Id="rId103" Type="http://schemas.openxmlformats.org/officeDocument/2006/relationships/hyperlink" Target="https://www.ncbi.nlm.nih.gov/pubmed/?term=Boureau%20P%5BAuthor%5D&amp;cauthor=true&amp;cauthor_uid=27217813" TargetMode="External"/><Relationship Id="rId124" Type="http://schemas.openxmlformats.org/officeDocument/2006/relationships/hyperlink" Target="https://www.ncbi.nlm.nih.gov/pubmed/?term=Duncan%20CM%5BAuthor%5D&amp;cauthor=true&amp;cauthor_uid=23886409" TargetMode="External"/><Relationship Id="rId70" Type="http://schemas.openxmlformats.org/officeDocument/2006/relationships/hyperlink" Target="https://www.ncbi.nlm.nih.gov/pubmed/?term=Su%20EP%5BAuthor%5D&amp;cauthor=true&amp;cauthor_uid=26733652" TargetMode="External"/><Relationship Id="rId91" Type="http://schemas.openxmlformats.org/officeDocument/2006/relationships/hyperlink" Target="https://www.ncbi.nlm.nih.gov/pubmed/?term=Vaghela%20M%5BAuthor%5D&amp;cauthor=true&amp;cauthor_uid=24196466" TargetMode="External"/><Relationship Id="rId145" Type="http://schemas.openxmlformats.org/officeDocument/2006/relationships/hyperlink" Target="https://www.ncbi.nlm.nih.gov/pubmed/?term=Sun%20Q%5BAuthor%5D&amp;cauthor=true&amp;cauthor_uid=27889307" TargetMode="External"/><Relationship Id="rId166" Type="http://schemas.openxmlformats.org/officeDocument/2006/relationships/hyperlink" Target="https://www.ncbi.nlm.nih.gov/pubmed/?term=Mi%20B%5BAuthor%5D&amp;cauthor=true&amp;cauthor_uid=28378211" TargetMode="External"/><Relationship Id="rId1" Type="http://schemas.openxmlformats.org/officeDocument/2006/relationships/customXml" Target="../customXml/item1.xml"/><Relationship Id="rId28" Type="http://schemas.openxmlformats.org/officeDocument/2006/relationships/hyperlink" Target="https://www.ncbi.nlm.nih.gov/pubmed/?term=Lim%20W%5BAuthor%5D&amp;cauthor=true&amp;cauthor_uid=19007970" TargetMode="External"/><Relationship Id="rId49" Type="http://schemas.openxmlformats.org/officeDocument/2006/relationships/hyperlink" Target="https://www.ncbi.nlm.nih.gov/pubmed/?term=Brouwer%20RW%5BAuthor%5D&amp;cauthor=true&amp;cauthor_uid=19793397" TargetMode="External"/><Relationship Id="rId114" Type="http://schemas.openxmlformats.org/officeDocument/2006/relationships/hyperlink" Target="https://www.ncbi.nlm.nih.gov/pubmed/?term=Four+Methods+for+Calculating+Blood-loss+after+Total+Knee+Arthroplasty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oleObject" Target="file:////C:\Users\Felicien%20Gon&#231;alves\Google%20Drive\Trabalhos\Dr_Julio%20Nogueira\Gr&#225;ficos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oleObject" Target="file:////C:\Users\Felicien%20Gon&#231;alves\Google%20Drive\Trabalhos\Dr_Julio%20Nogueira\Gr&#225;ficos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US" sz="800">
                <a:latin typeface="Arial" panose="020B0604020202020204" pitchFamily="34" charset="0"/>
                <a:cs typeface="Arial" panose="020B0604020202020204" pitchFamily="34" charset="0"/>
              </a:rPr>
              <a:t>p = 0,999 (Teste extato</a:t>
            </a:r>
            <a:r>
              <a:rPr lang="en-US" sz="800" baseline="0">
                <a:latin typeface="Arial" panose="020B0604020202020204" pitchFamily="34" charset="0"/>
                <a:cs typeface="Arial" panose="020B0604020202020204" pitchFamily="34" charset="0"/>
              </a:rPr>
              <a:t> de Fisher)</a:t>
            </a:r>
            <a:endParaRPr lang="en-US" sz="8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layout>
        <c:manualLayout>
          <c:xMode val="edge"/>
          <c:yMode val="edge"/>
          <c:x val="0.586916967509025"/>
          <c:y val="9.2511013215859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pt-BR"/>
        </a:p>
      </c:txPr>
    </c:title>
    <c:autoTitleDeleted val="0"/>
    <c:plotArea>
      <c:layout>
        <c:manualLayout>
          <c:layoutTarget val="inner"/>
          <c:xMode val="edge"/>
          <c:yMode val="edge"/>
          <c:x val="0.12642360499161401"/>
          <c:y val="7.0484581497797405E-2"/>
          <c:w val="0.84180744193979395"/>
          <c:h val="0.761791251864441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Sexo!$A$2</c:f>
              <c:strCache>
                <c:ptCount val="1"/>
                <c:pt idx="0">
                  <c:v>Feminino</c:v>
                </c:pt>
              </c:strCache>
            </c:strRef>
          </c:tx>
          <c:spPr>
            <a:gradFill flip="none" rotWithShape="1">
              <a:gsLst>
                <a:gs pos="0">
                  <a:schemeClr val="accent1"/>
                </a:gs>
                <a:gs pos="56000">
                  <a:schemeClr val="accent1">
                    <a:lumMod val="60000"/>
                    <a:lumOff val="40000"/>
                  </a:schemeClr>
                </a:gs>
                <a:gs pos="100000">
                  <a:schemeClr val="accent1"/>
                </a:gs>
              </a:gsLst>
              <a:lin ang="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Sexo!$B$1:$C$1</c:f>
              <c:strCache>
                <c:ptCount val="2"/>
                <c:pt idx="0">
                  <c:v>Grupo I</c:v>
                </c:pt>
                <c:pt idx="1">
                  <c:v>Grupo II</c:v>
                </c:pt>
              </c:strCache>
            </c:strRef>
          </c:cat>
          <c:val>
            <c:numRef>
              <c:f>Sexo!$B$2:$C$2</c:f>
              <c:numCache>
                <c:formatCode>General</c:formatCode>
                <c:ptCount val="2"/>
                <c:pt idx="0" formatCode="0.0">
                  <c:v>76.5</c:v>
                </c:pt>
                <c:pt idx="1">
                  <c:v>73.3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D9-4F4C-8BDF-55C584E8763C}"/>
            </c:ext>
          </c:extLst>
        </c:ser>
        <c:ser>
          <c:idx val="1"/>
          <c:order val="1"/>
          <c:tx>
            <c:strRef>
              <c:f>Sexo!$A$3</c:f>
              <c:strCache>
                <c:ptCount val="1"/>
                <c:pt idx="0">
                  <c:v>Masculino</c:v>
                </c:pt>
              </c:strCache>
            </c:strRef>
          </c:tx>
          <c:spPr>
            <a:gradFill>
              <a:gsLst>
                <a:gs pos="0">
                  <a:srgbClr val="FF0000"/>
                </a:gs>
                <a:gs pos="56000">
                  <a:srgbClr val="FF5050"/>
                </a:gs>
                <a:gs pos="100000">
                  <a:srgbClr val="FF0000"/>
                </a:gs>
              </a:gsLst>
              <a:lin ang="0" scaled="1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Sexo!$B$1:$C$1</c:f>
              <c:strCache>
                <c:ptCount val="2"/>
                <c:pt idx="0">
                  <c:v>Grupo I</c:v>
                </c:pt>
                <c:pt idx="1">
                  <c:v>Grupo II</c:v>
                </c:pt>
              </c:strCache>
            </c:strRef>
          </c:cat>
          <c:val>
            <c:numRef>
              <c:f>Sexo!$B$3:$C$3</c:f>
              <c:numCache>
                <c:formatCode>General</c:formatCode>
                <c:ptCount val="2"/>
                <c:pt idx="0">
                  <c:v>23.5</c:v>
                </c:pt>
                <c:pt idx="1">
                  <c:v>26.7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D9-4F4C-8BDF-55C584E8763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-1927065728"/>
        <c:axId val="-1927081072"/>
      </c:barChart>
      <c:catAx>
        <c:axId val="-19270657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pt-BR"/>
          </a:p>
        </c:txPr>
        <c:crossAx val="-1927081072"/>
        <c:crosses val="autoZero"/>
        <c:auto val="1"/>
        <c:lblAlgn val="ctr"/>
        <c:lblOffset val="100"/>
        <c:noMultiLvlLbl val="0"/>
      </c:catAx>
      <c:valAx>
        <c:axId val="-1927081072"/>
        <c:scaling>
          <c:orientation val="minMax"/>
          <c:max val="10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900"/>
                  <a:t>%</a:t>
                </a:r>
              </a:p>
            </c:rich>
          </c:tx>
          <c:layout>
            <c:manualLayout>
              <c:xMode val="edge"/>
              <c:yMode val="edge"/>
              <c:x val="1.57207424884164E-2"/>
              <c:y val="0.41800998994068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pt-BR"/>
            </a:p>
          </c:txPr>
        </c:title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pt-BR"/>
          </a:p>
        </c:txPr>
        <c:crossAx val="-1927065728"/>
        <c:crosses val="autoZero"/>
        <c:crossBetween val="between"/>
        <c:majorUnit val="20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70766877966969"/>
          <c:y val="0.91161573415657904"/>
          <c:w val="0.36821353648483501"/>
          <c:h val="7.51684068125846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pt-BR"/>
        </a:p>
      </c:txPr>
    </c:legend>
    <c:plotVisOnly val="1"/>
    <c:dispBlanksAs val="gap"/>
    <c:showDLblsOverMax val="0"/>
  </c:chart>
  <c:spPr>
    <a:gradFill>
      <a:gsLst>
        <a:gs pos="0">
          <a:schemeClr val="bg1">
            <a:lumMod val="95000"/>
          </a:schemeClr>
        </a:gs>
        <a:gs pos="56000">
          <a:schemeClr val="bg1"/>
        </a:gs>
        <a:gs pos="100000">
          <a:schemeClr val="bg1">
            <a:lumMod val="95000"/>
          </a:schemeClr>
        </a:gs>
      </a:gsLst>
      <a:lin ang="5400000" scaled="1"/>
    </a:gradFill>
    <a:ln w="9525" cap="flat" cmpd="sng" algn="ctr">
      <a:noFill/>
      <a:round/>
    </a:ln>
    <a:effectLst/>
  </c:spPr>
  <c:txPr>
    <a:bodyPr/>
    <a:lstStyle/>
    <a:p>
      <a:pPr>
        <a:defRPr/>
      </a:pPr>
      <a:endParaRPr lang="pt-BR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 algn="l">
              <a:defRPr sz="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US" sz="800">
                <a:latin typeface="Arial" panose="020B0604020202020204" pitchFamily="34" charset="0"/>
                <a:cs typeface="Arial" panose="020B0604020202020204" pitchFamily="34" charset="0"/>
              </a:rPr>
              <a:t>Grupo 1: Média ± Dp = 69,8 </a:t>
            </a:r>
            <a:r>
              <a:rPr lang="en-US" sz="800" b="0" i="0" u="none" strike="noStrike" baseline="0">
                <a:effectLst/>
              </a:rPr>
              <a:t>± 6,1</a:t>
            </a:r>
          </a:p>
          <a:p>
            <a:pPr algn="l">
              <a:defRPr sz="800"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US" sz="800" b="0" i="0" u="none" strike="noStrike" baseline="0">
                <a:effectLst/>
                <a:latin typeface="Arial" panose="020B0604020202020204" pitchFamily="34" charset="0"/>
                <a:cs typeface="Arial" panose="020B0604020202020204" pitchFamily="34" charset="0"/>
              </a:rPr>
              <a:t>Grupo 2: </a:t>
            </a:r>
            <a:r>
              <a:rPr lang="en-US" sz="800" b="0" i="0" u="none" strike="noStrike" baseline="0">
                <a:effectLst/>
              </a:rPr>
              <a:t>Média ± Dp = 68,6 ± 5,8</a:t>
            </a:r>
          </a:p>
          <a:p>
            <a:pPr algn="l">
              <a:defRPr sz="800">
                <a:latin typeface="Arial" panose="020B0604020202020204" pitchFamily="34" charset="0"/>
                <a:cs typeface="Arial" panose="020B0604020202020204" pitchFamily="34" charset="0"/>
              </a:defRPr>
            </a:pPr>
            <a:r>
              <a:rPr lang="en-US" sz="800" b="0" i="0" u="none" strike="noStrike" baseline="0">
                <a:effectLst/>
                <a:latin typeface="Arial" panose="020B0604020202020204" pitchFamily="34" charset="0"/>
                <a:cs typeface="Arial" panose="020B0604020202020204" pitchFamily="34" charset="0"/>
              </a:rPr>
              <a:t>p = 0,587 (Teste t-student).</a:t>
            </a:r>
            <a:r>
              <a:rPr lang="en-US" sz="800">
                <a:latin typeface="Arial" panose="020B0604020202020204" pitchFamily="34" charset="0"/>
                <a:cs typeface="Arial" panose="020B0604020202020204" pitchFamily="34" charset="0"/>
              </a:rPr>
              <a:t> </a:t>
            </a:r>
          </a:p>
        </c:rich>
      </c:tx>
      <c:layout>
        <c:manualLayout>
          <c:xMode val="edge"/>
          <c:yMode val="edge"/>
          <c:x val="0.58980505415162499"/>
          <c:y val="9.6916299559471397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l">
            <a:defRPr sz="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pt-BR"/>
        </a:p>
      </c:txPr>
    </c:title>
    <c:autoTitleDeleted val="0"/>
    <c:plotArea>
      <c:layout>
        <c:manualLayout>
          <c:layoutTarget val="inner"/>
          <c:xMode val="edge"/>
          <c:yMode val="edge"/>
          <c:x val="0.13219977827681301"/>
          <c:y val="7.0484581497797405E-2"/>
          <c:w val="0.83603126865459498"/>
          <c:h val="0.7617912518644419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Idade!$B$1</c:f>
              <c:strCache>
                <c:ptCount val="1"/>
                <c:pt idx="0">
                  <c:v>Grupo I</c:v>
                </c:pt>
              </c:strCache>
            </c:strRef>
          </c:tx>
          <c:spPr>
            <a:gradFill flip="none" rotWithShape="1">
              <a:gsLst>
                <a:gs pos="0">
                  <a:schemeClr val="accent1"/>
                </a:gs>
                <a:gs pos="56000">
                  <a:schemeClr val="accent1">
                    <a:lumMod val="60000"/>
                    <a:lumOff val="40000"/>
                  </a:schemeClr>
                </a:gs>
                <a:gs pos="100000">
                  <a:schemeClr val="accent1"/>
                </a:gs>
              </a:gsLst>
              <a:lin ang="0" scaled="1"/>
              <a:tileRect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Idade!$A$2:$A$6</c:f>
              <c:strCache>
                <c:ptCount val="5"/>
                <c:pt idx="0">
                  <c:v>60 --- 65</c:v>
                </c:pt>
                <c:pt idx="1">
                  <c:v>65 |--- 70</c:v>
                </c:pt>
                <c:pt idx="2">
                  <c:v>70 |--- 75</c:v>
                </c:pt>
                <c:pt idx="3">
                  <c:v>75 |--- 80</c:v>
                </c:pt>
                <c:pt idx="4">
                  <c:v>80 |--- 85</c:v>
                </c:pt>
              </c:strCache>
            </c:strRef>
          </c:cat>
          <c:val>
            <c:numRef>
              <c:f>Idade!$B$2:$B$6</c:f>
              <c:numCache>
                <c:formatCode>0.0</c:formatCode>
                <c:ptCount val="5"/>
                <c:pt idx="0">
                  <c:v>17.600000000000001</c:v>
                </c:pt>
                <c:pt idx="1">
                  <c:v>29.4</c:v>
                </c:pt>
                <c:pt idx="2">
                  <c:v>29.4</c:v>
                </c:pt>
                <c:pt idx="3">
                  <c:v>11.8</c:v>
                </c:pt>
                <c:pt idx="4" formatCode="General">
                  <c:v>11.8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283-4562-A279-2BD0394F29E8}"/>
            </c:ext>
          </c:extLst>
        </c:ser>
        <c:ser>
          <c:idx val="1"/>
          <c:order val="1"/>
          <c:tx>
            <c:strRef>
              <c:f>Idade!$C$1</c:f>
              <c:strCache>
                <c:ptCount val="1"/>
                <c:pt idx="0">
                  <c:v>Grupo II</c:v>
                </c:pt>
              </c:strCache>
            </c:strRef>
          </c:tx>
          <c:spPr>
            <a:gradFill>
              <a:gsLst>
                <a:gs pos="0">
                  <a:srgbClr val="FFC000"/>
                </a:gs>
                <a:gs pos="56000">
                  <a:schemeClr val="accent4">
                    <a:lumMod val="40000"/>
                    <a:lumOff val="60000"/>
                  </a:schemeClr>
                </a:gs>
                <a:gs pos="100000">
                  <a:srgbClr val="FFC000"/>
                </a:gs>
              </a:gsLst>
              <a:lin ang="0" scaled="1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Arial" panose="020B0604020202020204" pitchFamily="34" charset="0"/>
                    <a:ea typeface="+mn-ea"/>
                    <a:cs typeface="Arial" panose="020B0604020202020204" pitchFamily="34" charset="0"/>
                  </a:defRPr>
                </a:pPr>
                <a:endParaRPr lang="pt-B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Idade!$A$2:$A$6</c:f>
              <c:strCache>
                <c:ptCount val="5"/>
                <c:pt idx="0">
                  <c:v>60 --- 65</c:v>
                </c:pt>
                <c:pt idx="1">
                  <c:v>65 |--- 70</c:v>
                </c:pt>
                <c:pt idx="2">
                  <c:v>70 |--- 75</c:v>
                </c:pt>
                <c:pt idx="3">
                  <c:v>75 |--- 80</c:v>
                </c:pt>
                <c:pt idx="4">
                  <c:v>80 |--- 85</c:v>
                </c:pt>
              </c:strCache>
            </c:strRef>
          </c:cat>
          <c:val>
            <c:numRef>
              <c:f>Idade!$C$2:$C$6</c:f>
              <c:numCache>
                <c:formatCode>0.0</c:formatCode>
                <c:ptCount val="5"/>
                <c:pt idx="0" formatCode="General">
                  <c:v>13.3</c:v>
                </c:pt>
                <c:pt idx="1">
                  <c:v>60</c:v>
                </c:pt>
                <c:pt idx="2" formatCode="General">
                  <c:v>13.3</c:v>
                </c:pt>
                <c:pt idx="3" formatCode="General">
                  <c:v>6.7</c:v>
                </c:pt>
                <c:pt idx="4" formatCode="General">
                  <c:v>6.7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283-4562-A279-2BD0394F29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7"/>
        <c:overlap val="-14"/>
        <c:axId val="-1925367072"/>
        <c:axId val="-1925364752"/>
      </c:barChart>
      <c:catAx>
        <c:axId val="-1925367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pt-BR"/>
          </a:p>
        </c:txPr>
        <c:crossAx val="-1925364752"/>
        <c:crosses val="autoZero"/>
        <c:auto val="1"/>
        <c:lblAlgn val="ctr"/>
        <c:lblOffset val="100"/>
        <c:noMultiLvlLbl val="0"/>
      </c:catAx>
      <c:valAx>
        <c:axId val="-1925364752"/>
        <c:scaling>
          <c:orientation val="minMax"/>
          <c:max val="80"/>
        </c:scaling>
        <c:delete val="0"/>
        <c:axPos val="l"/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%</a:t>
                </a:r>
              </a:p>
            </c:rich>
          </c:tx>
          <c:layout>
            <c:manualLayout>
              <c:xMode val="edge"/>
              <c:yMode val="edge"/>
              <c:x val="1.57207424884164E-2"/>
              <c:y val="0.418009989940685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pt-BR"/>
            </a:p>
          </c:txPr>
        </c:title>
        <c:numFmt formatCode="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endParaRPr lang="pt-BR"/>
          </a:p>
        </c:txPr>
        <c:crossAx val="-1925367072"/>
        <c:crosses val="autoZero"/>
        <c:crossBetween val="between"/>
        <c:majorUnit val="20"/>
      </c:valAx>
      <c:spPr>
        <a:solidFill>
          <a:schemeClr val="bg1"/>
        </a:solidFill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70766877966969"/>
          <c:y val="0.91161573415657904"/>
          <c:w val="0.31050956536570101"/>
          <c:h val="7.51684068125846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pt-BR"/>
        </a:p>
      </c:txPr>
    </c:legend>
    <c:plotVisOnly val="1"/>
    <c:dispBlanksAs val="gap"/>
    <c:showDLblsOverMax val="0"/>
  </c:chart>
  <c:spPr>
    <a:gradFill>
      <a:gsLst>
        <a:gs pos="0">
          <a:schemeClr val="bg1">
            <a:lumMod val="95000"/>
          </a:schemeClr>
        </a:gs>
        <a:gs pos="56000">
          <a:schemeClr val="bg1"/>
        </a:gs>
        <a:gs pos="100000">
          <a:schemeClr val="bg1">
            <a:lumMod val="95000"/>
          </a:schemeClr>
        </a:gs>
      </a:gsLst>
      <a:lin ang="5400000" scaled="1"/>
    </a:gradFill>
    <a:ln w="9525" cap="flat" cmpd="sng" algn="ctr">
      <a:noFill/>
      <a:round/>
    </a:ln>
    <a:effectLst/>
  </c:spPr>
  <c:txPr>
    <a:bodyPr/>
    <a:lstStyle/>
    <a:p>
      <a:pPr>
        <a:defRPr/>
      </a:pPr>
      <a:endParaRPr lang="pt-BR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1AEDE778-5825-B14C-91C8-D4BBAAF56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23</Pages>
  <Words>10254</Words>
  <Characters>53219</Characters>
  <Application>Microsoft Office Word</Application>
  <DocSecurity>0</DocSecurity>
  <Lines>8869</Lines>
  <Paragraphs>4882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 George</dc:creator>
  <cp:keywords/>
  <dc:description/>
  <cp:lastModifiedBy>Marcos  George</cp:lastModifiedBy>
  <cp:revision>3</cp:revision>
  <cp:lastPrinted>2018-01-21T01:12:00Z</cp:lastPrinted>
  <dcterms:created xsi:type="dcterms:W3CDTF">2018-01-21T01:12:00Z</dcterms:created>
  <dcterms:modified xsi:type="dcterms:W3CDTF">2018-01-21T02:28:00Z</dcterms:modified>
</cp:coreProperties>
</file>