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957E" w14:textId="6FF73E57" w:rsidR="00D4665F" w:rsidRPr="00A32554" w:rsidRDefault="00F56609" w:rsidP="00D4665F">
      <w:pPr>
        <w:ind w:left="-46"/>
        <w:jc w:val="center"/>
        <w:rPr>
          <w:rFonts w:ascii="Times New Roman" w:hAnsi="Times New Roman" w:cs="Times New Roman"/>
          <w:color w:val="000000" w:themeColor="text1"/>
          <w:sz w:val="24"/>
          <w:szCs w:val="24"/>
          <w:rtl/>
        </w:rPr>
      </w:pPr>
      <w:r w:rsidRPr="00F56609">
        <w:rPr>
          <w:rFonts w:ascii="Times New Roman" w:hAnsi="Times New Roman" w:cs="Times New Roman"/>
          <w:b/>
          <w:bCs/>
          <w:color w:val="000000" w:themeColor="text1"/>
          <w:sz w:val="24"/>
          <w:szCs w:val="24"/>
        </w:rPr>
        <w:t xml:space="preserve">Efeito da estimulação transcraniana por corrente contínua (ETCC) na assimetria da marcha em pessoas com doença de Parkinson </w:t>
      </w:r>
      <w:r w:rsidR="00D4665F" w:rsidRPr="00F56609">
        <w:rPr>
          <w:rFonts w:ascii="Times New Roman" w:hAnsi="Times New Roman" w:cs="Times New Roman"/>
          <w:b/>
          <w:bCs/>
          <w:color w:val="000000" w:themeColor="text1"/>
          <w:sz w:val="24"/>
          <w:szCs w:val="24"/>
        </w:rPr>
        <w:t xml:space="preserve"> </w:t>
      </w:r>
    </w:p>
    <w:p w14:paraId="1284B162" w14:textId="77777777" w:rsidR="00D4665F" w:rsidRPr="00934E5D" w:rsidRDefault="00D4665F" w:rsidP="00D4665F">
      <w:pPr>
        <w:rPr>
          <w:rFonts w:ascii="Times New Roman" w:hAnsi="Times New Roman" w:cs="Times New Roman"/>
          <w:color w:val="000000" w:themeColor="text1"/>
          <w:sz w:val="24"/>
          <w:szCs w:val="24"/>
          <w:rtl/>
        </w:rPr>
      </w:pPr>
    </w:p>
    <w:p w14:paraId="0795AF55" w14:textId="77777777" w:rsidR="00D4665F" w:rsidRPr="00934E5D" w:rsidRDefault="00D4665F" w:rsidP="00D4665F">
      <w:pPr>
        <w:rPr>
          <w:rFonts w:ascii="Times New Roman" w:hAnsi="Times New Roman" w:cs="Times New Roman"/>
          <w:color w:val="000000" w:themeColor="text1"/>
          <w:sz w:val="24"/>
          <w:szCs w:val="24"/>
          <w:rtl/>
        </w:rPr>
      </w:pPr>
    </w:p>
    <w:p w14:paraId="1474023C" w14:textId="77777777" w:rsidR="00D4665F" w:rsidRPr="00934E5D" w:rsidRDefault="00D4665F" w:rsidP="00D4665F">
      <w:pPr>
        <w:rPr>
          <w:rFonts w:ascii="Times New Roman" w:hAnsi="Times New Roman" w:cs="Times New Roman"/>
          <w:color w:val="000000" w:themeColor="text1"/>
          <w:sz w:val="24"/>
          <w:szCs w:val="24"/>
          <w:rtl/>
        </w:rPr>
      </w:pPr>
    </w:p>
    <w:p w14:paraId="41866DAC" w14:textId="00FFF670" w:rsidR="00D4665F" w:rsidRPr="00934E5D" w:rsidRDefault="00D4665F" w:rsidP="00D4665F">
      <w:pPr>
        <w:rPr>
          <w:rFonts w:ascii="Times New Roman" w:hAnsi="Times New Roman" w:cs="Times New Roman"/>
          <w:color w:val="000000" w:themeColor="text1"/>
          <w:sz w:val="24"/>
          <w:szCs w:val="24"/>
        </w:rPr>
      </w:pPr>
      <w:r w:rsidRPr="00934E5D">
        <w:rPr>
          <w:rFonts w:ascii="Times New Roman" w:hAnsi="Times New Roman" w:cs="Times New Roman"/>
          <w:color w:val="000000" w:themeColor="text1"/>
          <w:sz w:val="24"/>
          <w:szCs w:val="24"/>
        </w:rPr>
        <w:t>Candidat</w:t>
      </w:r>
      <w:r w:rsidR="00F56609">
        <w:rPr>
          <w:rFonts w:ascii="Times New Roman" w:hAnsi="Times New Roman" w:cs="Times New Roman"/>
          <w:color w:val="000000" w:themeColor="text1"/>
          <w:sz w:val="24"/>
          <w:szCs w:val="24"/>
        </w:rPr>
        <w:t>o</w:t>
      </w:r>
      <w:r w:rsidRPr="00934E5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Vinicius Cavassano Zampier</w:t>
      </w:r>
    </w:p>
    <w:p w14:paraId="5D2A29F6" w14:textId="77777777" w:rsidR="00D4665F" w:rsidRDefault="00D4665F" w:rsidP="00D4665F">
      <w:pPr>
        <w:rPr>
          <w:rFonts w:ascii="Times New Roman" w:hAnsi="Times New Roman" w:cs="Times New Roman"/>
          <w:color w:val="000000" w:themeColor="text1"/>
          <w:sz w:val="24"/>
          <w:szCs w:val="24"/>
        </w:rPr>
      </w:pPr>
      <w:r w:rsidRPr="00934E5D">
        <w:rPr>
          <w:rFonts w:ascii="Times New Roman" w:hAnsi="Times New Roman" w:cs="Times New Roman"/>
          <w:color w:val="000000" w:themeColor="text1"/>
          <w:sz w:val="24"/>
          <w:szCs w:val="24"/>
        </w:rPr>
        <w:t>Supervisor: Prof. Dr. Fabio Augusto Barbieri</w:t>
      </w:r>
    </w:p>
    <w:p w14:paraId="3598B156" w14:textId="3CC3C0F0" w:rsidR="00D4665F" w:rsidRPr="00695D22" w:rsidRDefault="00D4665F" w:rsidP="00D4665F">
      <w:pPr>
        <w:rPr>
          <w:rFonts w:ascii="Times New Roman" w:hAnsi="Times New Roman" w:cs="Times New Roman"/>
          <w:color w:val="000000" w:themeColor="text1"/>
          <w:sz w:val="24"/>
          <w:szCs w:val="24"/>
        </w:rPr>
      </w:pPr>
      <w:r w:rsidRPr="00695D22">
        <w:rPr>
          <w:rFonts w:ascii="Times New Roman" w:hAnsi="Times New Roman" w:cs="Times New Roman"/>
          <w:color w:val="000000" w:themeColor="text1"/>
          <w:sz w:val="24"/>
          <w:szCs w:val="24"/>
        </w:rPr>
        <w:t xml:space="preserve">Supervisor </w:t>
      </w:r>
      <w:r w:rsidR="00695D22" w:rsidRPr="00695D22">
        <w:rPr>
          <w:rFonts w:ascii="Times New Roman" w:hAnsi="Times New Roman" w:cs="Times New Roman"/>
          <w:color w:val="000000" w:themeColor="text1"/>
          <w:sz w:val="24"/>
          <w:szCs w:val="24"/>
        </w:rPr>
        <w:t>no exterior</w:t>
      </w:r>
      <w:r w:rsidRPr="00695D22">
        <w:rPr>
          <w:rFonts w:ascii="Times New Roman" w:hAnsi="Times New Roman" w:cs="Times New Roman"/>
          <w:color w:val="000000" w:themeColor="text1"/>
          <w:sz w:val="24"/>
          <w:szCs w:val="24"/>
        </w:rPr>
        <w:t xml:space="preserve">: Prof. Dr. Jaap H. van Dieën </w:t>
      </w:r>
    </w:p>
    <w:p w14:paraId="3DD80A75" w14:textId="17EE2873" w:rsidR="00D4665F" w:rsidRPr="00934E5D" w:rsidRDefault="00695D22" w:rsidP="00D4665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Sede</w:t>
      </w:r>
      <w:r w:rsidR="00D4665F" w:rsidRPr="00934E5D">
        <w:rPr>
          <w:rFonts w:ascii="Times New Roman" w:hAnsi="Times New Roman" w:cs="Times New Roman"/>
          <w:color w:val="000000" w:themeColor="text1"/>
          <w:sz w:val="24"/>
          <w:szCs w:val="24"/>
        </w:rPr>
        <w:t xml:space="preserve">:  </w:t>
      </w:r>
      <w:r>
        <w:rPr>
          <w:rStyle w:val="rynqvb"/>
          <w:rFonts w:ascii="Times New Roman" w:hAnsi="Times New Roman" w:cs="Times New Roman"/>
          <w:color w:val="000000" w:themeColor="text1"/>
          <w:sz w:val="24"/>
          <w:szCs w:val="24"/>
        </w:rPr>
        <w:t>Universidade Estadual Paulista</w:t>
      </w:r>
      <w:r w:rsidR="00D4665F" w:rsidRPr="00934E5D">
        <w:rPr>
          <w:rStyle w:val="rynqvb"/>
          <w:rFonts w:ascii="Times New Roman" w:hAnsi="Times New Roman" w:cs="Times New Roman"/>
          <w:color w:val="000000" w:themeColor="text1"/>
          <w:sz w:val="24"/>
          <w:szCs w:val="24"/>
        </w:rPr>
        <w:t xml:space="preserve"> “Júlio de Mesquita Filho” – </w:t>
      </w:r>
      <w:r>
        <w:rPr>
          <w:rStyle w:val="rynqvb"/>
          <w:rFonts w:ascii="Times New Roman" w:hAnsi="Times New Roman" w:cs="Times New Roman"/>
          <w:color w:val="000000" w:themeColor="text1"/>
          <w:sz w:val="24"/>
          <w:szCs w:val="24"/>
        </w:rPr>
        <w:t>Campus de Bauru</w:t>
      </w:r>
    </w:p>
    <w:p w14:paraId="2415F8A8" w14:textId="77777777" w:rsidR="00D4665F" w:rsidRPr="00934E5D" w:rsidRDefault="00D4665F" w:rsidP="00D4665F">
      <w:pPr>
        <w:tabs>
          <w:tab w:val="left" w:pos="6716"/>
        </w:tabs>
        <w:spacing w:after="0"/>
        <w:jc w:val="right"/>
        <w:rPr>
          <w:rStyle w:val="rynqvb"/>
          <w:rFonts w:ascii="Times New Roman" w:hAnsi="Times New Roman" w:cs="Times New Roman"/>
          <w:color w:val="000000" w:themeColor="text1"/>
          <w:sz w:val="24"/>
          <w:szCs w:val="24"/>
          <w:rtl/>
          <w:lang w:val="en"/>
        </w:rPr>
      </w:pPr>
    </w:p>
    <w:p w14:paraId="79F109D0"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Pr>
      </w:pPr>
    </w:p>
    <w:p w14:paraId="2F126707"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700731C2"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5F0CE4D9"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0CB43EF6"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79E02CF2"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282927FE"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4DEFFA4A"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0A61B982"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621674C9"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128B2494"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7F070845"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4BD53C59"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4E78F0C8"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10BA0951"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4C04280A"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5680E9A3"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2A900289"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71BDFFF5"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21115111"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305FC4C8"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650CEAB2"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3B9497CA"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4E8FF427"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039658DC"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39DB977C"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384F464A"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54486158"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77CB4C59" w14:textId="77777777" w:rsidR="00D4665F" w:rsidRPr="00934E5D" w:rsidRDefault="00D4665F" w:rsidP="00D4665F">
      <w:pPr>
        <w:tabs>
          <w:tab w:val="left" w:pos="6716"/>
        </w:tabs>
        <w:spacing w:after="0"/>
        <w:jc w:val="center"/>
        <w:rPr>
          <w:rStyle w:val="rynqvb"/>
          <w:rFonts w:ascii="Times New Roman" w:hAnsi="Times New Roman" w:cs="Times New Roman"/>
          <w:color w:val="000000" w:themeColor="text1"/>
          <w:sz w:val="24"/>
          <w:szCs w:val="24"/>
          <w:rtl/>
          <w:lang w:val="en"/>
        </w:rPr>
      </w:pPr>
    </w:p>
    <w:p w14:paraId="4D3CFB4D" w14:textId="77777777" w:rsidR="00D4665F" w:rsidRPr="00934E5D" w:rsidRDefault="00D4665F" w:rsidP="00D4665F">
      <w:pPr>
        <w:tabs>
          <w:tab w:val="left" w:pos="6716"/>
        </w:tabs>
        <w:spacing w:after="0"/>
        <w:rPr>
          <w:rStyle w:val="rynqvb"/>
          <w:rFonts w:ascii="Times New Roman" w:hAnsi="Times New Roman" w:cs="Times New Roman"/>
          <w:color w:val="000000" w:themeColor="text1"/>
          <w:sz w:val="24"/>
          <w:szCs w:val="24"/>
          <w:rtl/>
          <w:lang w:val="en"/>
        </w:rPr>
      </w:pPr>
    </w:p>
    <w:p w14:paraId="37819450" w14:textId="77777777" w:rsidR="00D4665F" w:rsidRPr="00934E5D" w:rsidRDefault="00D4665F" w:rsidP="00D4665F">
      <w:pPr>
        <w:tabs>
          <w:tab w:val="left" w:pos="6716"/>
        </w:tabs>
        <w:spacing w:after="0"/>
        <w:jc w:val="center"/>
        <w:rPr>
          <w:rStyle w:val="rynqvb"/>
          <w:rFonts w:ascii="Times New Roman" w:hAnsi="Times New Roman" w:cs="Times New Roman"/>
          <w:b/>
          <w:bCs/>
          <w:color w:val="000000" w:themeColor="text1"/>
          <w:sz w:val="24"/>
          <w:szCs w:val="24"/>
        </w:rPr>
      </w:pPr>
      <w:r w:rsidRPr="00934E5D">
        <w:rPr>
          <w:rStyle w:val="rynqvb"/>
          <w:rFonts w:ascii="Times New Roman" w:hAnsi="Times New Roman" w:cs="Times New Roman"/>
          <w:b/>
          <w:bCs/>
          <w:color w:val="000000" w:themeColor="text1"/>
          <w:sz w:val="24"/>
          <w:szCs w:val="24"/>
        </w:rPr>
        <w:t>Bauru 202</w:t>
      </w:r>
      <w:r>
        <w:rPr>
          <w:rStyle w:val="rynqvb"/>
          <w:rFonts w:ascii="Times New Roman" w:hAnsi="Times New Roman" w:cs="Times New Roman"/>
          <w:b/>
          <w:bCs/>
          <w:color w:val="000000" w:themeColor="text1"/>
          <w:sz w:val="24"/>
          <w:szCs w:val="24"/>
        </w:rPr>
        <w:t>5</w:t>
      </w:r>
    </w:p>
    <w:p w14:paraId="5D654CF1" w14:textId="77777777" w:rsidR="00D4665F" w:rsidRDefault="00D4665F" w:rsidP="00951BA0">
      <w:pPr>
        <w:jc w:val="both"/>
        <w:rPr>
          <w:rFonts w:asciiTheme="majorBidi" w:hAnsiTheme="majorBidi" w:cstheme="majorBidi"/>
          <w:b/>
          <w:bCs/>
          <w:sz w:val="24"/>
          <w:szCs w:val="24"/>
        </w:rPr>
      </w:pPr>
    </w:p>
    <w:p w14:paraId="6A36979C" w14:textId="77777777" w:rsidR="00A614E8" w:rsidRPr="00934E5D" w:rsidRDefault="00A614E8" w:rsidP="00A614E8">
      <w:pPr>
        <w:tabs>
          <w:tab w:val="left" w:pos="6716"/>
        </w:tabs>
        <w:spacing w:after="0" w:line="360" w:lineRule="auto"/>
        <w:rPr>
          <w:rStyle w:val="rynqvb"/>
          <w:rFonts w:ascii="Times New Roman" w:hAnsi="Times New Roman" w:cs="Times New Roman"/>
          <w:b/>
          <w:bCs/>
          <w:color w:val="000000" w:themeColor="text1"/>
          <w:sz w:val="24"/>
          <w:szCs w:val="24"/>
        </w:rPr>
      </w:pPr>
      <w:r w:rsidRPr="00934E5D">
        <w:rPr>
          <w:rStyle w:val="rynqvb"/>
          <w:rFonts w:ascii="Times New Roman" w:hAnsi="Times New Roman" w:cs="Times New Roman"/>
          <w:b/>
          <w:bCs/>
          <w:color w:val="000000" w:themeColor="text1"/>
          <w:sz w:val="24"/>
          <w:szCs w:val="24"/>
        </w:rPr>
        <w:lastRenderedPageBreak/>
        <w:t>Efeito da estimulação transcraniana por corrente contínua (</w:t>
      </w:r>
      <w:r>
        <w:rPr>
          <w:rStyle w:val="rynqvb"/>
          <w:rFonts w:ascii="Times New Roman" w:hAnsi="Times New Roman" w:cs="Times New Roman"/>
          <w:b/>
          <w:bCs/>
          <w:color w:val="000000" w:themeColor="text1"/>
          <w:sz w:val="24"/>
          <w:szCs w:val="24"/>
        </w:rPr>
        <w:t>ETCC</w:t>
      </w:r>
      <w:r w:rsidRPr="00934E5D">
        <w:rPr>
          <w:rStyle w:val="rynqvb"/>
          <w:rFonts w:ascii="Times New Roman" w:hAnsi="Times New Roman" w:cs="Times New Roman"/>
          <w:b/>
          <w:bCs/>
          <w:color w:val="000000" w:themeColor="text1"/>
          <w:sz w:val="24"/>
          <w:szCs w:val="24"/>
        </w:rPr>
        <w:t xml:space="preserve">) na assimetria da marcha em pessoas com doença de Parkinson </w:t>
      </w:r>
    </w:p>
    <w:p w14:paraId="4B63391A" w14:textId="77777777" w:rsidR="00A614E8" w:rsidRPr="00934E5D" w:rsidRDefault="00A614E8" w:rsidP="00A614E8">
      <w:pPr>
        <w:tabs>
          <w:tab w:val="left" w:pos="6716"/>
        </w:tabs>
        <w:spacing w:after="0" w:line="360" w:lineRule="auto"/>
        <w:rPr>
          <w:rStyle w:val="rynqvb"/>
          <w:rFonts w:ascii="Times New Roman" w:hAnsi="Times New Roman" w:cs="Times New Roman"/>
          <w:b/>
          <w:bCs/>
          <w:color w:val="000000" w:themeColor="text1"/>
          <w:sz w:val="24"/>
          <w:szCs w:val="24"/>
          <w:rtl/>
        </w:rPr>
      </w:pPr>
    </w:p>
    <w:p w14:paraId="389276D5" w14:textId="77777777" w:rsidR="00A614E8" w:rsidRPr="00934E5D" w:rsidRDefault="00A614E8" w:rsidP="00A614E8">
      <w:pPr>
        <w:tabs>
          <w:tab w:val="left" w:pos="6716"/>
        </w:tabs>
        <w:spacing w:after="0" w:line="360" w:lineRule="auto"/>
        <w:rPr>
          <w:rStyle w:val="rynqvb"/>
          <w:rFonts w:ascii="Times New Roman" w:hAnsi="Times New Roman" w:cs="Times New Roman"/>
          <w:b/>
          <w:bCs/>
          <w:color w:val="000000" w:themeColor="text1"/>
          <w:sz w:val="24"/>
          <w:szCs w:val="24"/>
        </w:rPr>
      </w:pPr>
      <w:r w:rsidRPr="00934E5D">
        <w:rPr>
          <w:rStyle w:val="rynqvb"/>
          <w:rFonts w:ascii="Times New Roman" w:hAnsi="Times New Roman" w:cs="Times New Roman"/>
          <w:b/>
          <w:bCs/>
          <w:color w:val="000000" w:themeColor="text1"/>
          <w:sz w:val="24"/>
          <w:szCs w:val="24"/>
        </w:rPr>
        <w:t>Resumo</w:t>
      </w:r>
    </w:p>
    <w:p w14:paraId="65E5A1CB" w14:textId="77777777" w:rsidR="00A614E8" w:rsidRPr="00934E5D" w:rsidRDefault="00A614E8" w:rsidP="00A614E8">
      <w:pPr>
        <w:tabs>
          <w:tab w:val="left" w:pos="6716"/>
        </w:tabs>
        <w:spacing w:after="0" w:line="360" w:lineRule="auto"/>
        <w:jc w:val="right"/>
        <w:rPr>
          <w:rStyle w:val="rynqvb"/>
          <w:rFonts w:ascii="Times New Roman" w:hAnsi="Times New Roman" w:cs="Times New Roman"/>
          <w:b/>
          <w:bCs/>
          <w:color w:val="000000" w:themeColor="text1"/>
          <w:sz w:val="24"/>
          <w:szCs w:val="24"/>
        </w:rPr>
      </w:pPr>
    </w:p>
    <w:p w14:paraId="357CCF79" w14:textId="77777777" w:rsidR="00A614E8" w:rsidRPr="00934E5D" w:rsidRDefault="00A614E8" w:rsidP="00A614E8">
      <w:pPr>
        <w:tabs>
          <w:tab w:val="left" w:pos="6716"/>
        </w:tabs>
        <w:spacing w:after="0" w:line="360" w:lineRule="auto"/>
        <w:jc w:val="both"/>
        <w:rPr>
          <w:rStyle w:val="rynqvb"/>
          <w:rFonts w:asciiTheme="majorBidi" w:hAnsiTheme="majorBidi" w:cstheme="majorBidi"/>
          <w:color w:val="000000" w:themeColor="text1"/>
          <w:sz w:val="24"/>
          <w:szCs w:val="24"/>
          <w:lang w:val="pt-PT"/>
        </w:rPr>
      </w:pPr>
      <w:r w:rsidRPr="00084E44">
        <w:rPr>
          <w:rStyle w:val="rynqvb"/>
          <w:rFonts w:asciiTheme="majorBidi" w:hAnsiTheme="majorBidi" w:cstheme="majorBidi"/>
          <w:color w:val="000000" w:themeColor="text1"/>
          <w:sz w:val="24"/>
          <w:szCs w:val="24"/>
          <w:lang w:val="pt-PT"/>
        </w:rPr>
        <w:t>Distúrbios da marcha, como assimetrias nos parâmetros espaço-temporais, são considerados uma das principais causas de incapacidade em pessoas com doença de Parkinson (DP). Inicialmente, a assimetria da marcha pode ser atribuída à degeneração motora unilateral, e seu aumento está associado a alterações na atividade do córtex motor. Indivíduos com DP apresentam maior atividade no córtex motor como uma estratégia compensatória para lidar com déficits motores e manter o controle da marcha. Nesse contexto, terapias que modulam diretamente a atividade cortical, como a estimulação transcraniana por corrente contínua (ETCC), podem contribuir para a redução da assimetria da marcha. O objetivo deste estudo é investigar, por meio de dois ensaios clínicos randomizados, os efeitos de uma e de múltiplas sessões de ETCC na assimetria da marcha em indivíduos com DP. No primeiro estudo, serão comparados os efeitos de três protocolos de ETCC, aplicados por 20 minutos com intensidade de 2 mA: (1) unilateralmente sobre o córtex motor contralateral ao lado mais afetado pela DP, (2) unilateralmente sobre o córtex motor ipsilateral ao lado mais afetado pela DP e (3) bilateralmente sobre o córtex motor. A ordem dos protocolos será randomizada para cada participante, com um intervalo de uma semana entre as sessões. No segundo estudo, serão avaliados os efeitos de múltiplas sessões de ETCC na assimetria da marcha, utilizando o protocolo com os resultados mais promissores do estudo 1. A intervenção terá duração de quatro semanas, com sessões de 20 minutos a 2 mA realizadas em dias não consecutivos(48 horas de intervalo). Os achados desses estudos fornecerão uma base teórica sólida para compreender os efeitos de uma terapia não farmacológica na assimetria da marcha em indivíduos com DP, contribuindo para o desenvolvimento de estratégias clínicas mais eficazes.</w:t>
      </w:r>
      <w:r w:rsidRPr="00934E5D">
        <w:rPr>
          <w:rStyle w:val="hwtze"/>
          <w:rFonts w:asciiTheme="majorBidi" w:hAnsiTheme="majorBidi" w:cstheme="majorBidi"/>
          <w:color w:val="000000" w:themeColor="text1"/>
          <w:sz w:val="24"/>
          <w:szCs w:val="24"/>
          <w:lang w:val="pt-PT"/>
        </w:rPr>
        <w:t xml:space="preserve"> </w:t>
      </w:r>
    </w:p>
    <w:p w14:paraId="10302FEC" w14:textId="77777777" w:rsidR="00A614E8" w:rsidRPr="00614B89" w:rsidRDefault="00A614E8" w:rsidP="00A614E8">
      <w:pPr>
        <w:tabs>
          <w:tab w:val="left" w:pos="6716"/>
        </w:tabs>
        <w:spacing w:after="0" w:line="360" w:lineRule="auto"/>
        <w:jc w:val="both"/>
        <w:rPr>
          <w:rStyle w:val="rynqvb"/>
          <w:rFonts w:ascii="Times New Roman" w:hAnsi="Times New Roman" w:cs="Times New Roman"/>
          <w:b/>
          <w:bCs/>
          <w:color w:val="000000" w:themeColor="text1"/>
          <w:sz w:val="24"/>
          <w:szCs w:val="24"/>
        </w:rPr>
      </w:pPr>
    </w:p>
    <w:p w14:paraId="23AB37D8" w14:textId="77777777" w:rsidR="00A614E8" w:rsidRPr="00934E5D" w:rsidRDefault="00A614E8" w:rsidP="00A614E8">
      <w:pPr>
        <w:tabs>
          <w:tab w:val="left" w:pos="6716"/>
        </w:tabs>
        <w:spacing w:after="0" w:line="360" w:lineRule="auto"/>
        <w:jc w:val="both"/>
        <w:rPr>
          <w:rFonts w:ascii="Times New Roman" w:hAnsi="Times New Roman" w:cs="Times New Roman"/>
          <w:b/>
          <w:bCs/>
          <w:color w:val="000000" w:themeColor="text1"/>
          <w:sz w:val="24"/>
          <w:szCs w:val="24"/>
          <w:lang w:val="pt-PT"/>
        </w:rPr>
      </w:pPr>
      <w:r w:rsidRPr="00934E5D">
        <w:rPr>
          <w:rStyle w:val="rynqvb"/>
          <w:rFonts w:ascii="Times New Roman" w:hAnsi="Times New Roman" w:cs="Times New Roman"/>
          <w:b/>
          <w:bCs/>
          <w:color w:val="000000" w:themeColor="text1"/>
          <w:sz w:val="24"/>
          <w:szCs w:val="24"/>
          <w:lang w:val="pt-PT"/>
        </w:rPr>
        <w:t>Palavras-chave:</w:t>
      </w:r>
      <w:r w:rsidRPr="00934E5D">
        <w:rPr>
          <w:rStyle w:val="rynqvb"/>
          <w:rFonts w:ascii="Times New Roman" w:hAnsi="Times New Roman" w:cs="Times New Roman"/>
          <w:color w:val="000000" w:themeColor="text1"/>
          <w:sz w:val="24"/>
          <w:szCs w:val="24"/>
          <w:lang w:val="pt-PT"/>
        </w:rPr>
        <w:t xml:space="preserve"> Controle motor, Marcha, Assimetria, ETCC, Doença de Parkinson</w:t>
      </w:r>
    </w:p>
    <w:p w14:paraId="7A8A1B67" w14:textId="77777777" w:rsidR="00A614E8" w:rsidRPr="00934E5D" w:rsidRDefault="00A614E8" w:rsidP="00A614E8">
      <w:pPr>
        <w:spacing w:line="360" w:lineRule="auto"/>
        <w:rPr>
          <w:rFonts w:ascii="Times New Roman" w:hAnsi="Times New Roman" w:cs="Times New Roman"/>
          <w:b/>
          <w:bCs/>
          <w:color w:val="000000" w:themeColor="text1"/>
          <w:sz w:val="24"/>
          <w:szCs w:val="24"/>
        </w:rPr>
      </w:pPr>
    </w:p>
    <w:p w14:paraId="1F4A38A1" w14:textId="77777777" w:rsidR="00A614E8" w:rsidRPr="00934E5D" w:rsidRDefault="00A614E8" w:rsidP="00A614E8">
      <w:pPr>
        <w:spacing w:line="360" w:lineRule="auto"/>
        <w:rPr>
          <w:rFonts w:ascii="Times New Roman" w:hAnsi="Times New Roman" w:cs="Times New Roman"/>
          <w:b/>
          <w:bCs/>
          <w:color w:val="000000" w:themeColor="text1"/>
          <w:sz w:val="24"/>
          <w:szCs w:val="24"/>
        </w:rPr>
      </w:pPr>
    </w:p>
    <w:p w14:paraId="7D6B35DA" w14:textId="77777777" w:rsidR="00A614E8" w:rsidRPr="00934E5D" w:rsidRDefault="00A614E8" w:rsidP="00A614E8">
      <w:pPr>
        <w:spacing w:line="360" w:lineRule="auto"/>
        <w:rPr>
          <w:rFonts w:ascii="Times New Roman" w:hAnsi="Times New Roman" w:cs="Times New Roman"/>
          <w:b/>
          <w:bCs/>
          <w:color w:val="000000" w:themeColor="text1"/>
          <w:sz w:val="24"/>
          <w:szCs w:val="24"/>
        </w:rPr>
        <w:sectPr w:rsidR="00A614E8" w:rsidRPr="00934E5D" w:rsidSect="00A614E8">
          <w:pgSz w:w="11906" w:h="16838" w:code="9"/>
          <w:pgMar w:top="1418" w:right="851" w:bottom="1418" w:left="1021" w:header="709" w:footer="709" w:gutter="0"/>
          <w:pgNumType w:start="1"/>
          <w:cols w:space="708"/>
          <w:docGrid w:linePitch="360"/>
        </w:sectPr>
      </w:pPr>
    </w:p>
    <w:p w14:paraId="14FDE356" w14:textId="77777777" w:rsidR="00A614E8" w:rsidRPr="00934E5D" w:rsidRDefault="00A614E8" w:rsidP="00A614E8">
      <w:pPr>
        <w:spacing w:line="360" w:lineRule="auto"/>
        <w:rPr>
          <w:rFonts w:ascii="Times New Roman" w:hAnsi="Times New Roman" w:cs="Times New Roman"/>
          <w:b/>
          <w:bCs/>
          <w:color w:val="000000" w:themeColor="text1"/>
          <w:sz w:val="24"/>
          <w:szCs w:val="24"/>
          <w:lang w:val="en-GB"/>
        </w:rPr>
      </w:pPr>
      <w:r w:rsidRPr="00934E5D">
        <w:rPr>
          <w:rFonts w:ascii="Times New Roman" w:hAnsi="Times New Roman" w:cs="Times New Roman"/>
          <w:b/>
          <w:bCs/>
          <w:color w:val="000000" w:themeColor="text1"/>
          <w:sz w:val="24"/>
          <w:szCs w:val="24"/>
          <w:lang w:val="en-GB"/>
        </w:rPr>
        <w:t xml:space="preserve">Effects of transcranial direct current stimulation (tDCS) on gait asymmetry in people with Parkinson's disease </w:t>
      </w:r>
    </w:p>
    <w:p w14:paraId="6B070686" w14:textId="77777777" w:rsidR="00A614E8" w:rsidRPr="00934E5D" w:rsidRDefault="00A614E8" w:rsidP="00A614E8">
      <w:pPr>
        <w:spacing w:line="360" w:lineRule="auto"/>
        <w:rPr>
          <w:rFonts w:ascii="Times New Roman" w:hAnsi="Times New Roman" w:cs="Times New Roman"/>
          <w:b/>
          <w:bCs/>
          <w:color w:val="000000" w:themeColor="text1"/>
          <w:sz w:val="24"/>
          <w:szCs w:val="24"/>
          <w:lang w:val="en-GB"/>
        </w:rPr>
      </w:pPr>
      <w:r w:rsidRPr="00934E5D">
        <w:rPr>
          <w:rFonts w:ascii="Times New Roman" w:hAnsi="Times New Roman" w:cs="Times New Roman"/>
          <w:b/>
          <w:bCs/>
          <w:color w:val="000000" w:themeColor="text1"/>
          <w:sz w:val="24"/>
          <w:szCs w:val="24"/>
          <w:lang w:val="en-GB"/>
        </w:rPr>
        <w:t>Abstract</w:t>
      </w:r>
    </w:p>
    <w:p w14:paraId="079229EF" w14:textId="77777777" w:rsidR="00A614E8" w:rsidRPr="00934E5D" w:rsidRDefault="00A614E8" w:rsidP="00A614E8">
      <w:pPr>
        <w:pStyle w:val="NormalWeb"/>
        <w:spacing w:line="360" w:lineRule="auto"/>
        <w:jc w:val="both"/>
        <w:rPr>
          <w:color w:val="000000" w:themeColor="text1"/>
        </w:rPr>
      </w:pPr>
      <w:r w:rsidRPr="00084E44">
        <w:rPr>
          <w:color w:val="000000" w:themeColor="text1"/>
        </w:rPr>
        <w:t>Gait disorders, such as asymmetries in spatiotemporal parameters, are considered one of the leading causes of disability in individuals with Parkinson’s disease (PD). Initially, gait asymmetry can be attributed to unilateral motor degeneration, and its progression is associated with changes in motor cortex activity. Individuals with PD exhibit increased motor cortex activity as a compensatory strategy to cope with motor deficits and maintain gait control. In this context, therapies that directly modulate cortical activity, such as transcranial direct current stimulation (tDCS), may contribute to reducing gait asymmetry. This study aims to investigate, through two randomized clinical trials, the effects of single and multiple tDCS sessions on gait asymmetry in individuals with PD. In the first study, the effects of three tDCS protocols, applied for 20 minutes at an intensity of 2 mA, will be compared: (1) unilaterally over the motor cortex contralateral to the most affected side, (2) unilaterally over the motor cortex ipsilateral to the most affected side, and (3) bilaterally over the motor cortex. The protocol order will be randomized for each participant, with a one-week interval between sessions. In the second study, the effects of multiple tDCS sessions on gait asymmetry will be evaluated, using the most promising protocol identified in Study 1. The intervention will last four weeks, with 20-minute sessions at 2 mA conducted on non-consecutive days (48-hour intervals). The findings from these studies will provide a solid theoretical foundation for understanding the effects of a non-pharmacological therapy on gait asymmetry in individuals with PD, contributing to the development of more effective clinical strategies.</w:t>
      </w:r>
    </w:p>
    <w:p w14:paraId="0D5F74FE" w14:textId="77777777" w:rsidR="00A614E8" w:rsidRPr="00A614E8" w:rsidRDefault="00A614E8" w:rsidP="00A614E8">
      <w:pPr>
        <w:spacing w:line="360" w:lineRule="auto"/>
        <w:jc w:val="both"/>
        <w:rPr>
          <w:rFonts w:ascii="Times New Roman" w:hAnsi="Times New Roman" w:cs="Times New Roman"/>
          <w:b/>
          <w:bCs/>
          <w:color w:val="000000" w:themeColor="text1"/>
          <w:sz w:val="24"/>
          <w:szCs w:val="24"/>
          <w:lang w:val="en-US"/>
        </w:rPr>
      </w:pPr>
    </w:p>
    <w:p w14:paraId="2217EC79" w14:textId="77777777" w:rsidR="00A614E8" w:rsidRPr="00934E5D" w:rsidRDefault="00A614E8" w:rsidP="00A614E8">
      <w:pPr>
        <w:spacing w:line="360" w:lineRule="auto"/>
        <w:jc w:val="both"/>
        <w:rPr>
          <w:rFonts w:ascii="Times New Roman" w:hAnsi="Times New Roman" w:cs="Times New Roman"/>
          <w:color w:val="000000" w:themeColor="text1"/>
          <w:sz w:val="24"/>
          <w:szCs w:val="24"/>
          <w:lang w:val="en-GB"/>
        </w:rPr>
      </w:pPr>
      <w:r w:rsidRPr="00934E5D">
        <w:rPr>
          <w:rFonts w:ascii="Times New Roman" w:hAnsi="Times New Roman" w:cs="Times New Roman"/>
          <w:b/>
          <w:bCs/>
          <w:color w:val="000000" w:themeColor="text1"/>
          <w:sz w:val="24"/>
          <w:szCs w:val="24"/>
          <w:lang w:val="en-GB"/>
        </w:rPr>
        <w:t>Keywords:</w:t>
      </w:r>
      <w:r w:rsidRPr="00934E5D">
        <w:rPr>
          <w:rFonts w:ascii="Times New Roman" w:hAnsi="Times New Roman" w:cs="Times New Roman"/>
          <w:color w:val="000000" w:themeColor="text1"/>
          <w:sz w:val="24"/>
          <w:szCs w:val="24"/>
          <w:lang w:val="en-GB"/>
        </w:rPr>
        <w:t xml:space="preserve"> Motor control, Gait, Asymmetry, tDCS, </w:t>
      </w:r>
      <w:r w:rsidRPr="00934E5D">
        <w:rPr>
          <w:rStyle w:val="hgkelc"/>
          <w:rFonts w:ascii="Times New Roman" w:hAnsi="Times New Roman" w:cs="Times New Roman"/>
          <w:color w:val="000000" w:themeColor="text1"/>
          <w:sz w:val="24"/>
          <w:szCs w:val="24"/>
          <w:lang w:val="en-GB"/>
        </w:rPr>
        <w:t>Parkinson's disease</w:t>
      </w:r>
    </w:p>
    <w:p w14:paraId="0AD79A47" w14:textId="77777777" w:rsidR="00A614E8" w:rsidRPr="00934E5D" w:rsidRDefault="00A614E8" w:rsidP="00A614E8">
      <w:pPr>
        <w:spacing w:line="360" w:lineRule="auto"/>
        <w:jc w:val="both"/>
        <w:rPr>
          <w:rFonts w:ascii="Times New Roman" w:hAnsi="Times New Roman" w:cs="Times New Roman"/>
          <w:color w:val="000000" w:themeColor="text1"/>
          <w:sz w:val="24"/>
          <w:szCs w:val="24"/>
          <w:lang w:val="en-GB"/>
        </w:rPr>
      </w:pPr>
    </w:p>
    <w:p w14:paraId="0C4651BD" w14:textId="77777777" w:rsidR="00A614E8" w:rsidRPr="00934E5D" w:rsidRDefault="00A614E8" w:rsidP="00A614E8">
      <w:pPr>
        <w:spacing w:line="360" w:lineRule="auto"/>
        <w:jc w:val="both"/>
        <w:rPr>
          <w:rFonts w:ascii="Times New Roman" w:hAnsi="Times New Roman" w:cs="Times New Roman"/>
          <w:color w:val="000000" w:themeColor="text1"/>
          <w:sz w:val="24"/>
          <w:szCs w:val="24"/>
          <w:lang w:val="en-GB"/>
        </w:rPr>
      </w:pPr>
    </w:p>
    <w:p w14:paraId="2C984FB5" w14:textId="47AA8D7D" w:rsidR="00A614E8" w:rsidRPr="00A614E8" w:rsidRDefault="00A614E8" w:rsidP="00A614E8">
      <w:pPr>
        <w:spacing w:line="360" w:lineRule="auto"/>
        <w:rPr>
          <w:rFonts w:ascii="Times New Roman" w:hAnsi="Times New Roman" w:cs="Times New Roman"/>
          <w:color w:val="000000" w:themeColor="text1"/>
          <w:sz w:val="24"/>
          <w:szCs w:val="24"/>
          <w:lang w:val="en-GB"/>
        </w:rPr>
      </w:pPr>
      <w:r w:rsidRPr="00934E5D">
        <w:rPr>
          <w:rFonts w:ascii="Times New Roman" w:hAnsi="Times New Roman" w:cs="Times New Roman"/>
          <w:color w:val="000000" w:themeColor="text1"/>
          <w:sz w:val="24"/>
          <w:szCs w:val="24"/>
          <w:lang w:val="en-GB"/>
        </w:rPr>
        <w:br w:type="page"/>
      </w:r>
    </w:p>
    <w:p w14:paraId="0CBCA419" w14:textId="434F89C6" w:rsidR="001F7209" w:rsidRPr="008B27FD" w:rsidRDefault="001F7209"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1. Declaração do problema</w:t>
      </w:r>
    </w:p>
    <w:p w14:paraId="3BEFFA6C" w14:textId="77777777"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b/>
          <w:bCs/>
          <w:sz w:val="24"/>
          <w:szCs w:val="24"/>
        </w:rPr>
        <w:t>1.1. Introdução geral</w:t>
      </w:r>
    </w:p>
    <w:p w14:paraId="014343DE" w14:textId="742B3C08"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A doença de Parkinson (DP) é tipicamente caracterizada como um distúrbio cerebral que provoca movimentos involuntários ou incontroláveis, tais como dificuldade de equilíbrio e de coordenação</w:t>
      </w:r>
      <w:r w:rsidR="00476408" w:rsidRPr="008B27FD">
        <w:rPr>
          <w:rFonts w:asciiTheme="majorBidi" w:hAnsiTheme="majorBidi" w:cstheme="majorBidi"/>
          <w:sz w:val="24"/>
          <w:szCs w:val="24"/>
        </w:rPr>
        <w:t xml:space="preserve"> [1]</w:t>
      </w:r>
      <w:r w:rsidRPr="008B27FD">
        <w:rPr>
          <w:rFonts w:asciiTheme="majorBidi" w:hAnsiTheme="majorBidi" w:cstheme="majorBidi"/>
          <w:sz w:val="24"/>
          <w:szCs w:val="24"/>
        </w:rPr>
        <w:t>. A literatura mostra consistentemente que indivíduos com DP apresentam redução da velocidade de marcha e do comprimento do passo, bem como aumento da variabilidade da marcha [2–5]. Além disso, a assimetria de marcha (AM) — definida como diferenças no comportamento bilateral dos passos ou das pernas durante a marcha — acredita‑se ser resultante da doença e da força muscular desequilibrada</w:t>
      </w:r>
      <w:r w:rsidR="00476408" w:rsidRPr="008B27FD">
        <w:rPr>
          <w:rFonts w:asciiTheme="majorBidi" w:hAnsiTheme="majorBidi" w:cstheme="majorBidi"/>
          <w:sz w:val="24"/>
          <w:szCs w:val="24"/>
        </w:rPr>
        <w:t xml:space="preserve"> [11]</w:t>
      </w:r>
      <w:r w:rsidRPr="008B27FD">
        <w:rPr>
          <w:rFonts w:asciiTheme="majorBidi" w:hAnsiTheme="majorBidi" w:cstheme="majorBidi"/>
          <w:sz w:val="24"/>
          <w:szCs w:val="24"/>
        </w:rPr>
        <w:t>, um sintoma típico da DP</w:t>
      </w:r>
      <w:r w:rsidR="00476408" w:rsidRPr="008B27FD">
        <w:rPr>
          <w:rFonts w:asciiTheme="majorBidi" w:hAnsiTheme="majorBidi" w:cstheme="majorBidi"/>
          <w:sz w:val="24"/>
          <w:szCs w:val="24"/>
        </w:rPr>
        <w:t xml:space="preserve"> [6]</w:t>
      </w:r>
      <w:r w:rsidRPr="008B27FD">
        <w:rPr>
          <w:rFonts w:asciiTheme="majorBidi" w:hAnsiTheme="majorBidi" w:cstheme="majorBidi"/>
          <w:sz w:val="24"/>
          <w:szCs w:val="24"/>
        </w:rPr>
        <w:t>. Na verdade, a AM agrava os prejuízos da marcha, aumentando o risco de quedas</w:t>
      </w:r>
      <w:r w:rsidR="00476408" w:rsidRPr="008B27FD">
        <w:rPr>
          <w:rFonts w:asciiTheme="majorBidi" w:hAnsiTheme="majorBidi" w:cstheme="majorBidi"/>
          <w:sz w:val="24"/>
          <w:szCs w:val="24"/>
        </w:rPr>
        <w:t xml:space="preserve"> [7, 8]</w:t>
      </w:r>
      <w:r w:rsidRPr="008B27FD">
        <w:rPr>
          <w:rFonts w:asciiTheme="majorBidi" w:hAnsiTheme="majorBidi" w:cstheme="majorBidi"/>
          <w:sz w:val="24"/>
          <w:szCs w:val="24"/>
        </w:rPr>
        <w:t>; cerca de 70% dos indivíduos com DP caem anualmente, e 13% caem mais de uma vez por semana</w:t>
      </w:r>
      <w:r w:rsidR="00476408" w:rsidRPr="008B27FD">
        <w:rPr>
          <w:rFonts w:asciiTheme="majorBidi" w:hAnsiTheme="majorBidi" w:cstheme="majorBidi"/>
          <w:sz w:val="24"/>
          <w:szCs w:val="24"/>
        </w:rPr>
        <w:t xml:space="preserve"> [9, 10]</w:t>
      </w:r>
      <w:r w:rsidRPr="008B27FD">
        <w:rPr>
          <w:rFonts w:asciiTheme="majorBidi" w:hAnsiTheme="majorBidi" w:cstheme="majorBidi"/>
          <w:sz w:val="24"/>
          <w:szCs w:val="24"/>
        </w:rPr>
        <w:t>. A AM é uma preocupação clínica relevante que deve ser abordada durante a reabilitação de distúrbios do movimento</w:t>
      </w:r>
      <w:r w:rsidR="00476408" w:rsidRPr="008B27FD">
        <w:rPr>
          <w:rFonts w:asciiTheme="majorBidi" w:hAnsiTheme="majorBidi" w:cstheme="majorBidi"/>
          <w:sz w:val="24"/>
          <w:szCs w:val="24"/>
        </w:rPr>
        <w:t xml:space="preserve"> [11, 12]</w:t>
      </w:r>
      <w:r w:rsidRPr="008B27FD">
        <w:rPr>
          <w:rFonts w:asciiTheme="majorBidi" w:hAnsiTheme="majorBidi" w:cstheme="majorBidi"/>
          <w:sz w:val="24"/>
          <w:szCs w:val="24"/>
        </w:rPr>
        <w:t>. Compreender os efeitos da DP sobre a AM poderia melhorar a mobilidade e reduzir a incidência de quedas, destacando a importância de intervenções terapêuticas voltadas a minimizar a AM em indivíduos com DP.</w:t>
      </w:r>
    </w:p>
    <w:p w14:paraId="7184F70A" w14:textId="1D4D32C9"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Em condições normais, a capacidade de realizar marcha estável e simétrica não depende fortemente de recursos cognitivos. Contudo, quando a marcha está comprometida (como ocorre na DP), a AM parece depender mais de atenção e de entrada cognitiva</w:t>
      </w:r>
      <w:r w:rsidR="00476408" w:rsidRPr="008B27FD">
        <w:rPr>
          <w:rFonts w:asciiTheme="majorBidi" w:hAnsiTheme="majorBidi" w:cstheme="majorBidi"/>
          <w:sz w:val="24"/>
          <w:szCs w:val="24"/>
        </w:rPr>
        <w:t xml:space="preserve"> [13]</w:t>
      </w:r>
      <w:r w:rsidRPr="008B27FD">
        <w:rPr>
          <w:rFonts w:asciiTheme="majorBidi" w:hAnsiTheme="majorBidi" w:cstheme="majorBidi"/>
          <w:sz w:val="24"/>
          <w:szCs w:val="24"/>
        </w:rPr>
        <w:t>. Isso é particularmente evidente em indivíduos com DP em condições de dupla tarefa, nas quais uma AM aumentada e maior comprometimento de parâmetros da marcha são frequentemente observados</w:t>
      </w:r>
      <w:r w:rsidR="00476408" w:rsidRPr="008B27FD">
        <w:rPr>
          <w:rFonts w:asciiTheme="majorBidi" w:hAnsiTheme="majorBidi" w:cstheme="majorBidi"/>
          <w:sz w:val="24"/>
          <w:szCs w:val="24"/>
        </w:rPr>
        <w:t xml:space="preserve"> [13]</w:t>
      </w:r>
      <w:r w:rsidRPr="008B27FD">
        <w:rPr>
          <w:rFonts w:asciiTheme="majorBidi" w:hAnsiTheme="majorBidi" w:cstheme="majorBidi"/>
          <w:sz w:val="24"/>
          <w:szCs w:val="24"/>
        </w:rPr>
        <w:t>. A AM é tipicamente avaliada por meio de parâmetros espaciotemporais da marcha (por exemplo, comprimento do passo, tempo de balanço ou tempo de suporte)</w:t>
      </w:r>
      <w:r w:rsidR="00476408" w:rsidRPr="008B27FD">
        <w:rPr>
          <w:rFonts w:asciiTheme="majorBidi" w:hAnsiTheme="majorBidi" w:cstheme="majorBidi"/>
          <w:sz w:val="24"/>
          <w:szCs w:val="24"/>
        </w:rPr>
        <w:t xml:space="preserve"> [14]</w:t>
      </w:r>
      <w:r w:rsidRPr="008B27FD">
        <w:rPr>
          <w:rFonts w:asciiTheme="majorBidi" w:hAnsiTheme="majorBidi" w:cstheme="majorBidi"/>
          <w:sz w:val="24"/>
          <w:szCs w:val="24"/>
        </w:rPr>
        <w:t>, enquanto avaliações baseadas na atividade muscular da AM permanecem relativamente pouco exploradas</w:t>
      </w:r>
      <w:r w:rsidR="00476408" w:rsidRPr="008B27FD">
        <w:rPr>
          <w:rFonts w:asciiTheme="majorBidi" w:hAnsiTheme="majorBidi" w:cstheme="majorBidi"/>
          <w:sz w:val="24"/>
          <w:szCs w:val="24"/>
        </w:rPr>
        <w:t xml:space="preserve"> [15]</w:t>
      </w:r>
      <w:r w:rsidRPr="008B27FD">
        <w:rPr>
          <w:rFonts w:asciiTheme="majorBidi" w:hAnsiTheme="majorBidi" w:cstheme="majorBidi"/>
          <w:sz w:val="24"/>
          <w:szCs w:val="24"/>
        </w:rPr>
        <w:t>. Muitos indivíduos com DP apresentam maior AM espaciotemporal (por exemplo, comprimento do passo, tempo do passo e tempo de balanço) do que controles saudáveis pareados por idade</w:t>
      </w:r>
      <w:r w:rsidR="00476408" w:rsidRPr="008B27FD">
        <w:rPr>
          <w:rFonts w:asciiTheme="majorBidi" w:hAnsiTheme="majorBidi" w:cstheme="majorBidi"/>
          <w:sz w:val="24"/>
          <w:szCs w:val="24"/>
        </w:rPr>
        <w:t xml:space="preserve"> [13]</w:t>
      </w:r>
      <w:r w:rsidRPr="008B27FD">
        <w:rPr>
          <w:rFonts w:asciiTheme="majorBidi" w:hAnsiTheme="majorBidi" w:cstheme="majorBidi"/>
          <w:sz w:val="24"/>
          <w:szCs w:val="24"/>
        </w:rPr>
        <w:t>. Além disso, fatores ambientais também influenciam a AM na DP; por exemplo, indivíduos com DP exibem maior assimetria em comprimento e duração do passo ao encontrar obstáculos, comparados com controles neurologicamente saudáveis [21–23].</w:t>
      </w:r>
    </w:p>
    <w:p w14:paraId="269C8880" w14:textId="3DC44E2D"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Evidências clínicas [16–19] apoiam o papel patogênico da assimetria na interrupção da ativação rítmica em fase antifase direita‑esquerda das pernas inferiores durante a marcha na DP</w:t>
      </w:r>
      <w:r w:rsidR="003A3E22" w:rsidRPr="008B27FD">
        <w:rPr>
          <w:rFonts w:asciiTheme="majorBidi" w:hAnsiTheme="majorBidi" w:cstheme="majorBidi"/>
          <w:sz w:val="24"/>
          <w:szCs w:val="24"/>
        </w:rPr>
        <w:t xml:space="preserve"> [11, 20]</w:t>
      </w:r>
      <w:r w:rsidRPr="008B27FD">
        <w:rPr>
          <w:rFonts w:asciiTheme="majorBidi" w:hAnsiTheme="majorBidi" w:cstheme="majorBidi"/>
          <w:sz w:val="24"/>
          <w:szCs w:val="24"/>
        </w:rPr>
        <w:t xml:space="preserve">. A degeneração assimétrica dos neurônios dopaminérgicos na substância negra, particularmente dentro dos gânglios basais, é a explicação mais evidente para a assimetria motora na </w:t>
      </w:r>
      <w:r w:rsidR="003A3E22" w:rsidRPr="008B27FD">
        <w:rPr>
          <w:rFonts w:asciiTheme="majorBidi" w:hAnsiTheme="majorBidi" w:cstheme="majorBidi"/>
          <w:sz w:val="24"/>
          <w:szCs w:val="24"/>
        </w:rPr>
        <w:t>DP [24, 25].</w:t>
      </w:r>
      <w:r w:rsidRPr="008B27FD">
        <w:rPr>
          <w:rFonts w:asciiTheme="majorBidi" w:hAnsiTheme="majorBidi" w:cstheme="majorBidi"/>
          <w:sz w:val="24"/>
          <w:szCs w:val="24"/>
        </w:rPr>
        <w:t xml:space="preserve"> Esse desequilíbrio na sinalização dopaminérgica altera os circuitos cortico‑basal ganglionar‑tálamo‑cortico, contribuindo para déficits de coordenação motora e de marcha. Consequentemente, intervenções terapêuticas que modulam a atividade neural parecem ser uma abordagem promissora para reduzir a AM na DP, pois podem aprimorar a função neural, desencadear processos de plasticidade e melhorar os parâmetros espaciotemporais da marcha </w:t>
      </w:r>
      <w:r w:rsidR="003A3E22" w:rsidRPr="008B27FD">
        <w:rPr>
          <w:rFonts w:asciiTheme="majorBidi" w:hAnsiTheme="majorBidi" w:cstheme="majorBidi"/>
          <w:sz w:val="24"/>
          <w:szCs w:val="24"/>
        </w:rPr>
        <w:t>[26]</w:t>
      </w:r>
      <w:r w:rsidRPr="008B27FD">
        <w:rPr>
          <w:rFonts w:asciiTheme="majorBidi" w:hAnsiTheme="majorBidi" w:cstheme="majorBidi"/>
          <w:sz w:val="24"/>
          <w:szCs w:val="24"/>
        </w:rPr>
        <w:t>. No entanto, os efeitos da modulação neural sobre áreas cerebrais envolvidas no controle da marcha — como os córtices motor e pré‑frontal — na AM, seja em parâmetros espaciotemporais ou em atividade muscular durante a marcha, ainda não foram amplamente investigados, particularmente no que diz respeito à prescrição de intervenções terapêuticas eficazes para mitigar a AM na DP.</w:t>
      </w:r>
    </w:p>
    <w:p w14:paraId="0CE5D1B1" w14:textId="3C57FDB5"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Nos últimos anos, técnicas de estimulação cerebral não invasiva (NIBS) vêm sendo cada vez mais empregadas para tratar diversas condições patológicas</w:t>
      </w:r>
      <w:r w:rsidR="00C46F33" w:rsidRPr="008B27FD">
        <w:rPr>
          <w:rFonts w:asciiTheme="majorBidi" w:hAnsiTheme="majorBidi" w:cstheme="majorBidi"/>
          <w:sz w:val="24"/>
          <w:szCs w:val="24"/>
        </w:rPr>
        <w:t xml:space="preserve"> [27]</w:t>
      </w:r>
      <w:r w:rsidRPr="008B27FD">
        <w:rPr>
          <w:rFonts w:asciiTheme="majorBidi" w:hAnsiTheme="majorBidi" w:cstheme="majorBidi"/>
          <w:sz w:val="24"/>
          <w:szCs w:val="24"/>
        </w:rPr>
        <w:t>. Dentre essas, a estimulação transcraniana por corrente contínua (tDCS) destaca‑se como uma técnica segura e de fácil utilização e tornou‑se uma das mais frequentemente utilizadas em ambientes de pesquisa</w:t>
      </w:r>
      <w:r w:rsidR="00C46F33" w:rsidRPr="008B27FD">
        <w:rPr>
          <w:rFonts w:asciiTheme="majorBidi" w:hAnsiTheme="majorBidi" w:cstheme="majorBidi"/>
          <w:sz w:val="24"/>
          <w:szCs w:val="24"/>
        </w:rPr>
        <w:t xml:space="preserve"> [28]</w:t>
      </w:r>
      <w:r w:rsidRPr="008B27FD">
        <w:rPr>
          <w:rFonts w:asciiTheme="majorBidi" w:hAnsiTheme="majorBidi" w:cstheme="majorBidi"/>
          <w:sz w:val="24"/>
          <w:szCs w:val="24"/>
        </w:rPr>
        <w:t xml:space="preserve">. A atividade no núcleo tálamico ventro‑posterolateral aumenta em resposta à tDCS </w:t>
      </w:r>
      <w:r w:rsidR="00C46F33" w:rsidRPr="008B27FD">
        <w:rPr>
          <w:rFonts w:asciiTheme="majorBidi" w:hAnsiTheme="majorBidi" w:cstheme="majorBidi"/>
          <w:sz w:val="24"/>
          <w:szCs w:val="24"/>
        </w:rPr>
        <w:t>[29]</w:t>
      </w:r>
      <w:r w:rsidRPr="008B27FD">
        <w:rPr>
          <w:rFonts w:asciiTheme="majorBidi" w:hAnsiTheme="majorBidi" w:cstheme="majorBidi"/>
          <w:sz w:val="24"/>
          <w:szCs w:val="24"/>
        </w:rPr>
        <w:t>, sugerindo possível modulação da função dos gânglios basais</w:t>
      </w:r>
      <w:r w:rsidR="00C46F33" w:rsidRPr="008B27FD">
        <w:rPr>
          <w:rFonts w:asciiTheme="majorBidi" w:hAnsiTheme="majorBidi" w:cstheme="majorBidi"/>
          <w:sz w:val="24"/>
          <w:szCs w:val="24"/>
        </w:rPr>
        <w:t xml:space="preserve"> [30]</w:t>
      </w:r>
      <w:r w:rsidRPr="008B27FD">
        <w:rPr>
          <w:rFonts w:asciiTheme="majorBidi" w:hAnsiTheme="majorBidi" w:cstheme="majorBidi"/>
          <w:sz w:val="24"/>
          <w:szCs w:val="24"/>
        </w:rPr>
        <w:t xml:space="preserve"> e melhora do controle motor. Estudos prévios relataram efeitos positivos da tDCS sobre o desempenho motor tanto em indivíduos com DP quanto em idosos neurologicamente saudáveis</w:t>
      </w:r>
      <w:r w:rsidR="00C46F33" w:rsidRPr="008B27FD">
        <w:rPr>
          <w:rFonts w:asciiTheme="majorBidi" w:hAnsiTheme="majorBidi" w:cstheme="majorBidi"/>
          <w:sz w:val="24"/>
          <w:szCs w:val="24"/>
        </w:rPr>
        <w:t xml:space="preserve"> [31, 32]</w:t>
      </w:r>
      <w:r w:rsidRPr="008B27FD">
        <w:rPr>
          <w:rFonts w:asciiTheme="majorBidi" w:hAnsiTheme="majorBidi" w:cstheme="majorBidi"/>
          <w:sz w:val="24"/>
          <w:szCs w:val="24"/>
        </w:rPr>
        <w:t>. Por exemplo, uma única sessão de 20 minutos de tDCS sobre o córtex motor aumentou a velocidade da marcha em idosos saudáveis</w:t>
      </w:r>
      <w:r w:rsidR="00C46F33" w:rsidRPr="008B27FD">
        <w:rPr>
          <w:rFonts w:asciiTheme="majorBidi" w:hAnsiTheme="majorBidi" w:cstheme="majorBidi"/>
          <w:sz w:val="24"/>
          <w:szCs w:val="24"/>
        </w:rPr>
        <w:t xml:space="preserve"> [32]</w:t>
      </w:r>
      <w:r w:rsidRPr="008B27FD">
        <w:rPr>
          <w:rFonts w:asciiTheme="majorBidi" w:hAnsiTheme="majorBidi" w:cstheme="majorBidi"/>
          <w:sz w:val="24"/>
          <w:szCs w:val="24"/>
        </w:rPr>
        <w:t>. Em indivíduos com DP, oito sessões de 20 minutos de tDCS direcionadas ao córtex motor melhoraram o controle de equilíbrio ao reduzir o tempo necessário para recuperar a estabilidade após uma perturbação</w:t>
      </w:r>
      <w:r w:rsidR="00C46F33" w:rsidRPr="008B27FD">
        <w:rPr>
          <w:rFonts w:asciiTheme="majorBidi" w:hAnsiTheme="majorBidi" w:cstheme="majorBidi"/>
          <w:sz w:val="24"/>
          <w:szCs w:val="24"/>
        </w:rPr>
        <w:t xml:space="preserve"> [31]</w:t>
      </w:r>
      <w:r w:rsidRPr="008B27FD">
        <w:rPr>
          <w:rFonts w:asciiTheme="majorBidi" w:hAnsiTheme="majorBidi" w:cstheme="majorBidi"/>
          <w:sz w:val="24"/>
          <w:szCs w:val="24"/>
        </w:rPr>
        <w:t>. Contudo, os efeitos da tDCS aplicada unilateralmente — visando o hemisfério mais ou menos acometido — ou bilateralmente sobre a AM em indivíduos com DP permanecem pouco compreendidos.</w:t>
      </w:r>
    </w:p>
    <w:p w14:paraId="05005915" w14:textId="075BEFE5"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Estudos neurofisiológicos revelaram assimetrias na excitabilidade do M1</w:t>
      </w:r>
      <w:r w:rsidR="00C46F33" w:rsidRPr="008B27FD">
        <w:rPr>
          <w:rFonts w:asciiTheme="majorBidi" w:hAnsiTheme="majorBidi" w:cstheme="majorBidi"/>
          <w:sz w:val="24"/>
          <w:szCs w:val="24"/>
        </w:rPr>
        <w:t xml:space="preserve"> [33, 34]</w:t>
      </w:r>
      <w:r w:rsidRPr="008B27FD">
        <w:rPr>
          <w:rFonts w:asciiTheme="majorBidi" w:hAnsiTheme="majorBidi" w:cstheme="majorBidi"/>
          <w:sz w:val="24"/>
          <w:szCs w:val="24"/>
        </w:rPr>
        <w:t xml:space="preserve"> e redução da inibição transcalosa no hemisfério mais acometido em comparação com o menos acometido</w:t>
      </w:r>
      <w:r w:rsidR="00C46F33" w:rsidRPr="008B27FD">
        <w:rPr>
          <w:rFonts w:asciiTheme="majorBidi" w:hAnsiTheme="majorBidi" w:cstheme="majorBidi"/>
          <w:sz w:val="24"/>
          <w:szCs w:val="24"/>
        </w:rPr>
        <w:t xml:space="preserve"> [35, 36]</w:t>
      </w:r>
      <w:r w:rsidRPr="008B27FD">
        <w:rPr>
          <w:rFonts w:asciiTheme="majorBidi" w:hAnsiTheme="majorBidi" w:cstheme="majorBidi"/>
          <w:sz w:val="24"/>
          <w:szCs w:val="24"/>
        </w:rPr>
        <w:t>. Esses achados podem refletir a disfunção assimétrica do circuito estriato‑frontal motor e acredita‑se que contribuam para a característica assimetria motora na DP. Uma vez que a redução da AM (por exemplo, assimetria do comprimento do passo) indica melhor controle motor, é essencial esclarecer a eficácia de intervenções terapêuticas, como a tDCS, capazes de modular a excitabilidade neural em regiões cerebrais envolvidas nos circuitos basal ganglionar‑tálamo‑cortico. Investigar tanto os efeitos agudos quanto de longo prazo da tDCS sobre a AM na DP é fundamental para otimizar estratégias terapêuticas, particularmente nos estágios iniciais da doença. Assim, avaliar as alterações na AM pode servir como uma métrica valiosa para mensurar os resultados de intervenções e refinar abordagens de reabilitação da marcha na DP.</w:t>
      </w:r>
    </w:p>
    <w:p w14:paraId="5F6B3A55" w14:textId="788DEF0A"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Para aprofundar a compreensão dos efeitos da tDCS sobre a AM em indivíduos com DP e estabelecer um protocolo de estimulação ótimo, é essencial explorar tanto os impactos imediatos quanto os de longo prazo da técnica. Além disso, identificar um protocolo capaz de induzir mudanças neuroplásticas precoces e manter esses efeitos ao longo do tempo é crucial para maximizar os resultados terapêuticos. Portanto, este estudo visa preencher essas lacunas de conhecimento por meio de uma investigação experimental: (i) os efeitos imediatos da tDCS sobre a AM e a influência de diferentes áreas‑alvo de tDCS sobre a AM, e (ii) os efeitos de longo prazo de sessões repetidas de tDCS sobre a AM em indivíduos com DP.</w:t>
      </w:r>
    </w:p>
    <w:p w14:paraId="2FA9C2F2" w14:textId="77777777" w:rsidR="001F7209" w:rsidRPr="008B27FD" w:rsidRDefault="001F7209"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1.1.1. Fisiopatologia da DP e características da marcha</w:t>
      </w:r>
    </w:p>
    <w:p w14:paraId="52BD3B32" w14:textId="2432F1B9" w:rsidR="004624AF"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A DP, descrita clinicamente como um distúrbio do movimento, é a segunda condição neurodegenerativa mais comum</w:t>
      </w:r>
      <w:r w:rsidR="00CC4DB0" w:rsidRPr="008B27FD">
        <w:rPr>
          <w:rFonts w:asciiTheme="majorBidi" w:hAnsiTheme="majorBidi" w:cstheme="majorBidi"/>
          <w:sz w:val="24"/>
          <w:szCs w:val="24"/>
        </w:rPr>
        <w:t xml:space="preserve"> [37, 38]</w:t>
      </w:r>
      <w:r w:rsidRPr="008B27FD">
        <w:rPr>
          <w:rFonts w:asciiTheme="majorBidi" w:hAnsiTheme="majorBidi" w:cstheme="majorBidi"/>
          <w:sz w:val="24"/>
          <w:szCs w:val="24"/>
        </w:rPr>
        <w:t>. A desnervação dopaminérgica nigroestriatal progressiva leva à disfunção dos circuitos basal ganglionar‑tálamo‑cortico, resultando em bradicinesia, tremor e dificuldades de marcha e de equilíbrio</w:t>
      </w:r>
      <w:r w:rsidR="00CC4DB0" w:rsidRPr="008B27FD">
        <w:rPr>
          <w:rFonts w:asciiTheme="majorBidi" w:hAnsiTheme="majorBidi" w:cstheme="majorBidi"/>
          <w:sz w:val="24"/>
          <w:szCs w:val="24"/>
        </w:rPr>
        <w:t xml:space="preserve"> [39]</w:t>
      </w:r>
      <w:r w:rsidRPr="008B27FD">
        <w:rPr>
          <w:rFonts w:asciiTheme="majorBidi" w:hAnsiTheme="majorBidi" w:cstheme="majorBidi"/>
          <w:sz w:val="24"/>
          <w:szCs w:val="24"/>
        </w:rPr>
        <w:t xml:space="preserve">. Entretanto, a fisiopatologia subjacente aos sintomas parkinsonianos permanece um tema de debate contínuo. A Figura 1 ilustra a função desses circuitos em um sistema neural saudável. A dopamina age em receptores D1 (via direta) para facilitar neurônios estriatais que projetam diretamente para o globo pálido interno (GPi) ou para a substância negra pars reticulata (SNr), enquanto a ativação de receptores D2 (via indireta) inibe neurônios que projetam para o globo pálido externo (GPe) </w:t>
      </w:r>
      <w:r w:rsidR="00CC4DB0" w:rsidRPr="008B27FD">
        <w:rPr>
          <w:rFonts w:asciiTheme="majorBidi" w:hAnsiTheme="majorBidi" w:cstheme="majorBidi"/>
          <w:sz w:val="24"/>
          <w:szCs w:val="24"/>
        </w:rPr>
        <w:t>[40]</w:t>
      </w:r>
      <w:r w:rsidRPr="008B27FD">
        <w:rPr>
          <w:rFonts w:asciiTheme="majorBidi" w:hAnsiTheme="majorBidi" w:cstheme="majorBidi"/>
          <w:sz w:val="24"/>
          <w:szCs w:val="24"/>
        </w:rPr>
        <w:t>. Os efeitos opostos da ativação de receptores D1 e D2 resultam em um equilíbrio entre o início de programas motores e a supressão de movimentos indesejados, permitindo a coordenação motora, como a marcha normal.</w:t>
      </w:r>
    </w:p>
    <w:p w14:paraId="266405E2" w14:textId="77777777" w:rsidR="004624AF" w:rsidRPr="008B27FD" w:rsidRDefault="004624AF" w:rsidP="001F7209">
      <w:pPr>
        <w:rPr>
          <w:rFonts w:asciiTheme="majorBidi" w:hAnsiTheme="majorBidi" w:cstheme="majorBidi"/>
          <w:sz w:val="24"/>
          <w:szCs w:val="24"/>
        </w:rPr>
      </w:pPr>
    </w:p>
    <w:p w14:paraId="1DD20229" w14:textId="77777777" w:rsidR="004624AF" w:rsidRPr="008B27FD" w:rsidRDefault="004624AF" w:rsidP="001F7209">
      <w:pPr>
        <w:rPr>
          <w:rFonts w:asciiTheme="majorBidi" w:hAnsiTheme="majorBidi" w:cstheme="majorBidi"/>
          <w:sz w:val="24"/>
          <w:szCs w:val="24"/>
        </w:rPr>
      </w:pPr>
    </w:p>
    <w:p w14:paraId="34212CFD" w14:textId="1DE5028B" w:rsidR="004624AF" w:rsidRPr="008B27FD" w:rsidRDefault="004624AF" w:rsidP="004624AF">
      <w:pPr>
        <w:jc w:val="center"/>
        <w:rPr>
          <w:rFonts w:asciiTheme="majorBidi" w:hAnsiTheme="majorBidi" w:cstheme="majorBidi"/>
          <w:sz w:val="24"/>
          <w:szCs w:val="24"/>
        </w:rPr>
      </w:pPr>
      <w:r w:rsidRPr="008B27FD">
        <w:rPr>
          <w:rFonts w:asciiTheme="majorBidi" w:hAnsiTheme="majorBidi" w:cstheme="majorBidi"/>
          <w:noProof/>
          <w:sz w:val="24"/>
          <w:szCs w:val="24"/>
        </w:rPr>
        <w:drawing>
          <wp:inline distT="0" distB="0" distL="0" distR="0" wp14:anchorId="1484C410" wp14:editId="2EEBCA00">
            <wp:extent cx="3638550" cy="2629253"/>
            <wp:effectExtent l="0" t="0" r="0" b="0"/>
            <wp:docPr id="9575299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5646" cy="2641607"/>
                    </a:xfrm>
                    <a:prstGeom prst="rect">
                      <a:avLst/>
                    </a:prstGeom>
                    <a:noFill/>
                  </pic:spPr>
                </pic:pic>
              </a:graphicData>
            </a:graphic>
          </wp:inline>
        </w:drawing>
      </w:r>
    </w:p>
    <w:p w14:paraId="0F9F8811" w14:textId="78D4EEBC" w:rsidR="001F7209" w:rsidRPr="008B27FD" w:rsidRDefault="004624AF" w:rsidP="00951BA0">
      <w:pPr>
        <w:jc w:val="both"/>
        <w:rPr>
          <w:rFonts w:asciiTheme="majorBidi" w:hAnsiTheme="majorBidi" w:cstheme="majorBidi"/>
          <w:sz w:val="24"/>
          <w:szCs w:val="24"/>
        </w:rPr>
      </w:pPr>
      <w:r w:rsidRPr="008B27FD">
        <w:rPr>
          <w:rFonts w:asciiTheme="majorBidi" w:hAnsiTheme="majorBidi" w:cstheme="majorBidi"/>
          <w:b/>
          <w:bCs/>
          <w:sz w:val="24"/>
          <w:szCs w:val="24"/>
        </w:rPr>
        <w:t xml:space="preserve">Figura 1. </w:t>
      </w:r>
      <w:r w:rsidRPr="008B27FD">
        <w:rPr>
          <w:rFonts w:asciiTheme="majorBidi" w:hAnsiTheme="majorBidi" w:cstheme="majorBidi"/>
          <w:sz w:val="24"/>
          <w:szCs w:val="24"/>
        </w:rPr>
        <w:t xml:space="preserve">Modelo de anatomia funcional dos gânglios da base. Conexões inibitórias são indicadas por setas escuras, e conexões excitatórias são indicadas por setas claras. Rótulos em itálico indicam os neurotransmissores envolvidos nessas conexões. As vias direta e indireta estão indicadas. (Figura adaptada de Santens) [41]. </w:t>
      </w:r>
    </w:p>
    <w:p w14:paraId="3A70CF47" w14:textId="2983CBF9"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Na DP, o aumento da atividade gabagérgica em núcleos do tronco encefálico afeta estruturas como o núcleo pedunculopontino e a região locomotora mesencefálica, que regulam o controle inibitório sobre o tônus muscular e a ritmicidade do movimento</w:t>
      </w:r>
      <w:r w:rsidR="004624AF" w:rsidRPr="008B27FD">
        <w:rPr>
          <w:rFonts w:asciiTheme="majorBidi" w:hAnsiTheme="majorBidi" w:cstheme="majorBidi"/>
          <w:sz w:val="24"/>
          <w:szCs w:val="24"/>
        </w:rPr>
        <w:t xml:space="preserve"> [42]</w:t>
      </w:r>
      <w:r w:rsidRPr="008B27FD">
        <w:rPr>
          <w:rFonts w:asciiTheme="majorBidi" w:hAnsiTheme="majorBidi" w:cstheme="majorBidi"/>
          <w:sz w:val="24"/>
          <w:szCs w:val="24"/>
        </w:rPr>
        <w:t>. A disfunção dessas estruturas subcorticais leva a alterações nas durações das fases da marcha, contribuindo para padrões de marcha assimétricos [43–46]. Dentre os sinais e sintomas motores associados ao comprometimento desses circuitos na DP estão a redução do comprimento do passo e da velocidade da marcha, maior duração da fase de suporte duplo e aumento da rigidez muscular [47–50]. A AM, em particular, reflete um desequilíbrio na degeneração ocorrendo entre os hemisférios cerebrais. Nos estágios iniciais da DP, as disfunções nos circuitos basais ganglionar‑tálamo‑cortico frequentemente se manifestam de forma unilateral; contudo, à medida que a degeneração avança, acabam por comprometer os movimentos de ambos os lados do corpo</w:t>
      </w:r>
      <w:r w:rsidR="004624AF" w:rsidRPr="008B27FD">
        <w:rPr>
          <w:rFonts w:asciiTheme="majorBidi" w:hAnsiTheme="majorBidi" w:cstheme="majorBidi"/>
          <w:sz w:val="24"/>
          <w:szCs w:val="24"/>
        </w:rPr>
        <w:t xml:space="preserve"> [52, 53]</w:t>
      </w:r>
      <w:r w:rsidRPr="008B27FD">
        <w:rPr>
          <w:rFonts w:asciiTheme="majorBidi" w:hAnsiTheme="majorBidi" w:cstheme="majorBidi"/>
          <w:sz w:val="24"/>
          <w:szCs w:val="24"/>
        </w:rPr>
        <w:t>. Essa assimetria nos padrões motores leva indivíduos com DP a adaptar os movimentos do lado menos acometido para manter segurança e desempenho funcional em tarefas cotidianas.</w:t>
      </w:r>
    </w:p>
    <w:p w14:paraId="14CCB009" w14:textId="77777777" w:rsidR="001F7209" w:rsidRPr="008B27FD" w:rsidRDefault="001F7209"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1.1.2. Sintomas unilaterais na DP</w:t>
      </w:r>
    </w:p>
    <w:p w14:paraId="56BAF601" w14:textId="4B681537"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A lateralização é uma característica central da doença de Parkinson (DP), manifestando‑se tipicamente como bradicinesia, tremor e rigidez assimétricos nos membros</w:t>
      </w:r>
      <w:r w:rsidR="004624AF" w:rsidRPr="008B27FD">
        <w:rPr>
          <w:rFonts w:asciiTheme="majorBidi" w:hAnsiTheme="majorBidi" w:cstheme="majorBidi"/>
          <w:sz w:val="24"/>
          <w:szCs w:val="24"/>
        </w:rPr>
        <w:t xml:space="preserve"> [37, 54, 55]</w:t>
      </w:r>
      <w:r w:rsidRPr="008B27FD">
        <w:rPr>
          <w:rFonts w:asciiTheme="majorBidi" w:hAnsiTheme="majorBidi" w:cstheme="majorBidi"/>
          <w:sz w:val="24"/>
          <w:szCs w:val="24"/>
        </w:rPr>
        <w:t>. Nos estágios iniciais da DP, as disfunções motoras são geralmente unilaterais e podem persistir por vários meses ou mesmo anos antes de progredir para comprometimento bilateral [56–59]. Embora os sintomas acabem se espalhando de um lado do corpo para o outro, o lado inicialmente afetado continua a apresentar prejuízos mais graves à medida que a doença progride [60–62]. A apresentação unilateral dos sintomas da DP possui relevância diagnóstica, pois serve como marcador importante para distinguir parkinsonismo de outros distúrbios neurológicos [63–65]. Além disso, clínicos podem monitorar a eficácia de intervenções terapêuticas por meio da avaliação dos sintomas unilaterais; a redução ou resolução desses sintomas pode indicar eficácia do tratamento.</w:t>
      </w:r>
      <w:r w:rsidR="004624AF" w:rsidRPr="008B27FD">
        <w:rPr>
          <w:rFonts w:asciiTheme="majorBidi" w:hAnsiTheme="majorBidi" w:cstheme="majorBidi"/>
          <w:sz w:val="24"/>
          <w:szCs w:val="24"/>
        </w:rPr>
        <w:t xml:space="preserve"> </w:t>
      </w:r>
      <w:r w:rsidRPr="008B27FD">
        <w:rPr>
          <w:rFonts w:asciiTheme="majorBidi" w:hAnsiTheme="majorBidi" w:cstheme="majorBidi"/>
          <w:sz w:val="24"/>
          <w:szCs w:val="24"/>
        </w:rPr>
        <w:t>Duas hipóteses principais foram propostas para explicar o início unilateral dos sintomas motores na DP. A primeira postula que essa assimetria resulta de variações inatas no número de neurônios dopaminérgicos na substância negra — indivíduos podem naturalmente possuir menos neurônios dopaminérgicos em um dos lados, possivelmente por fatores de desenvolvimento</w:t>
      </w:r>
      <w:r w:rsidR="004624AF" w:rsidRPr="008B27FD">
        <w:rPr>
          <w:rFonts w:asciiTheme="majorBidi" w:hAnsiTheme="majorBidi" w:cstheme="majorBidi"/>
          <w:sz w:val="24"/>
          <w:szCs w:val="24"/>
        </w:rPr>
        <w:t xml:space="preserve"> [60]</w:t>
      </w:r>
      <w:r w:rsidRPr="008B27FD">
        <w:rPr>
          <w:rFonts w:asciiTheme="majorBidi" w:hAnsiTheme="majorBidi" w:cstheme="majorBidi"/>
          <w:sz w:val="24"/>
          <w:szCs w:val="24"/>
        </w:rPr>
        <w:t>. Nesse caso, um processo degenerativo bilateralmente semelhante afetaria de forma desproporcional o lado com menor número de neurônios. A segunda hipótese sugere que um dos lados da substância negra é mais vulnerável à degeneração devido a influências estruturais ou ambientais, como maior uso de um dos lados do corpo</w:t>
      </w:r>
      <w:r w:rsidR="004624AF" w:rsidRPr="008B27FD">
        <w:rPr>
          <w:rFonts w:asciiTheme="majorBidi" w:hAnsiTheme="majorBidi" w:cstheme="majorBidi"/>
          <w:sz w:val="24"/>
          <w:szCs w:val="24"/>
        </w:rPr>
        <w:t xml:space="preserve"> [60]</w:t>
      </w:r>
      <w:r w:rsidRPr="008B27FD">
        <w:rPr>
          <w:rFonts w:asciiTheme="majorBidi" w:hAnsiTheme="majorBidi" w:cstheme="majorBidi"/>
          <w:sz w:val="24"/>
          <w:szCs w:val="24"/>
        </w:rPr>
        <w:t>. Assim, quando a neurodegeneração começa, o lado mais suscetível apresenta perda neuronal mais rápida.</w:t>
      </w:r>
    </w:p>
    <w:p w14:paraId="06D7E6D6" w14:textId="61046F47" w:rsidR="001F7209"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Mais de 66% dos indivíduos com DP começam com sintomas unilaterais de bradicinesia, tremor e rigidez</w:t>
      </w:r>
      <w:r w:rsidR="007626D2" w:rsidRPr="008B27FD">
        <w:rPr>
          <w:rFonts w:asciiTheme="majorBidi" w:hAnsiTheme="majorBidi" w:cstheme="majorBidi"/>
          <w:sz w:val="24"/>
          <w:szCs w:val="24"/>
        </w:rPr>
        <w:t xml:space="preserve"> [62, 66]</w:t>
      </w:r>
      <w:r w:rsidRPr="008B27FD">
        <w:rPr>
          <w:rFonts w:asciiTheme="majorBidi" w:hAnsiTheme="majorBidi" w:cstheme="majorBidi"/>
          <w:sz w:val="24"/>
          <w:szCs w:val="24"/>
        </w:rPr>
        <w:t>. Para compreender e abordar a assimetria motora na DP, tanto fatores neurais/estruturais quanto fatores ambientais/motores devem ser levados em conta. Variáveis como idade, duração da doença e hábitos comportamentais diários contribuem para a presença e intensidade dessa assimetria</w:t>
      </w:r>
      <w:r w:rsidR="007626D2" w:rsidRPr="008B27FD">
        <w:rPr>
          <w:rFonts w:asciiTheme="majorBidi" w:hAnsiTheme="majorBidi" w:cstheme="majorBidi"/>
          <w:sz w:val="24"/>
          <w:szCs w:val="24"/>
        </w:rPr>
        <w:t xml:space="preserve"> [67]</w:t>
      </w:r>
      <w:r w:rsidRPr="008B27FD">
        <w:rPr>
          <w:rFonts w:asciiTheme="majorBidi" w:hAnsiTheme="majorBidi" w:cstheme="majorBidi"/>
          <w:sz w:val="24"/>
          <w:szCs w:val="24"/>
        </w:rPr>
        <w:t>. Embora a progressão e gravidade do tremor sejam diferentes das da bradicinesia e da rigidez</w:t>
      </w:r>
      <w:r w:rsidR="007626D2" w:rsidRPr="008B27FD">
        <w:rPr>
          <w:rFonts w:asciiTheme="majorBidi" w:hAnsiTheme="majorBidi" w:cstheme="majorBidi"/>
          <w:sz w:val="24"/>
          <w:szCs w:val="24"/>
        </w:rPr>
        <w:t xml:space="preserve"> [68, 69]</w:t>
      </w:r>
      <w:r w:rsidRPr="008B27FD">
        <w:rPr>
          <w:rFonts w:asciiTheme="majorBidi" w:hAnsiTheme="majorBidi" w:cstheme="majorBidi"/>
          <w:sz w:val="24"/>
          <w:szCs w:val="24"/>
        </w:rPr>
        <w:t>, esses sintomas compartilham mecanismos fisiopatológicos subjacentes que podem influenciar a AM na DP. A bradicinesia e a rigidez, em particular, estão frequentemente associadas a disfunções nos gânglios basais, conforme descrito anteriormente. No que diz respeito à rigidez, o trato reticuloespinal parece desempenhar um papel mais proeminente na disfunção motora</w:t>
      </w:r>
      <w:r w:rsidR="007626D2" w:rsidRPr="008B27FD">
        <w:rPr>
          <w:rFonts w:asciiTheme="majorBidi" w:hAnsiTheme="majorBidi" w:cstheme="majorBidi"/>
          <w:sz w:val="24"/>
          <w:szCs w:val="24"/>
        </w:rPr>
        <w:t xml:space="preserve"> [70]</w:t>
      </w:r>
      <w:r w:rsidRPr="008B27FD">
        <w:rPr>
          <w:rFonts w:asciiTheme="majorBidi" w:hAnsiTheme="majorBidi" w:cstheme="majorBidi"/>
          <w:sz w:val="24"/>
          <w:szCs w:val="24"/>
        </w:rPr>
        <w:t>. Núcleos reticulares no tronco encefálico recebem aferências do núcleo pedunculopontino (NPP), que está intimamente conectado aos gânglios basais, conforme mostrado em modelos neuroanatômicos clássicos</w:t>
      </w:r>
      <w:r w:rsidR="007626D2" w:rsidRPr="008B27FD">
        <w:rPr>
          <w:rFonts w:asciiTheme="majorBidi" w:hAnsiTheme="majorBidi" w:cstheme="majorBidi"/>
          <w:sz w:val="24"/>
          <w:szCs w:val="24"/>
        </w:rPr>
        <w:t xml:space="preserve"> [71]</w:t>
      </w:r>
      <w:r w:rsidRPr="008B27FD">
        <w:rPr>
          <w:rFonts w:asciiTheme="majorBidi" w:hAnsiTheme="majorBidi" w:cstheme="majorBidi"/>
          <w:sz w:val="24"/>
          <w:szCs w:val="24"/>
        </w:rPr>
        <w:t>. Assim, intervenções que reduzam a saída inibitória excessiva dos gânglios basais para o núcleo pedunculopontino podem restaurar a atividade desse núcleo e ajudar a normalizar a função motora</w:t>
      </w:r>
      <w:r w:rsidR="007626D2" w:rsidRPr="008B27FD">
        <w:rPr>
          <w:rFonts w:asciiTheme="majorBidi" w:hAnsiTheme="majorBidi" w:cstheme="majorBidi"/>
          <w:sz w:val="24"/>
          <w:szCs w:val="24"/>
        </w:rPr>
        <w:t xml:space="preserve"> [61]</w:t>
      </w:r>
      <w:r w:rsidRPr="008B27FD">
        <w:rPr>
          <w:rFonts w:asciiTheme="majorBidi" w:hAnsiTheme="majorBidi" w:cstheme="majorBidi"/>
          <w:sz w:val="24"/>
          <w:szCs w:val="24"/>
        </w:rPr>
        <w:t>. Isso reforça a ideia de que a disfunção neural assimétrica dentro dos gânglios basais e o início unilateral dos sintomas motores, como a bradicinesia</w:t>
      </w:r>
      <w:r w:rsidR="007626D2" w:rsidRPr="008B27FD">
        <w:rPr>
          <w:rFonts w:asciiTheme="majorBidi" w:hAnsiTheme="majorBidi" w:cstheme="majorBidi"/>
          <w:sz w:val="24"/>
          <w:szCs w:val="24"/>
        </w:rPr>
        <w:t xml:space="preserve"> [72, 73]</w:t>
      </w:r>
      <w:r w:rsidRPr="008B27FD">
        <w:rPr>
          <w:rFonts w:asciiTheme="majorBidi" w:hAnsiTheme="majorBidi" w:cstheme="majorBidi"/>
          <w:sz w:val="24"/>
          <w:szCs w:val="24"/>
        </w:rPr>
        <w:t>, podem estar diretamente relacionados à assimetria motora na DP. A assimetria motora pode alterar o grau de simetria ou assimetria da marcha. Portanto, avaliar aspectos espaciais–temporais e musculares da AM representa uma abordagem valiosa para monitorar a progressão da DP.</w:t>
      </w:r>
    </w:p>
    <w:p w14:paraId="080EB92E" w14:textId="77777777" w:rsidR="00951BA0" w:rsidRDefault="00951BA0" w:rsidP="00951BA0">
      <w:pPr>
        <w:jc w:val="both"/>
        <w:rPr>
          <w:rFonts w:asciiTheme="majorBidi" w:hAnsiTheme="majorBidi" w:cstheme="majorBidi"/>
          <w:sz w:val="24"/>
          <w:szCs w:val="24"/>
        </w:rPr>
      </w:pPr>
    </w:p>
    <w:p w14:paraId="120EE5D0" w14:textId="77777777" w:rsidR="00951BA0" w:rsidRPr="008B27FD" w:rsidRDefault="00951BA0" w:rsidP="00951BA0">
      <w:pPr>
        <w:jc w:val="both"/>
        <w:rPr>
          <w:rFonts w:asciiTheme="majorBidi" w:hAnsiTheme="majorBidi" w:cstheme="majorBidi"/>
          <w:sz w:val="24"/>
          <w:szCs w:val="24"/>
        </w:rPr>
      </w:pPr>
    </w:p>
    <w:p w14:paraId="23BF4150" w14:textId="77777777" w:rsidR="001F7209" w:rsidRPr="008B27FD" w:rsidRDefault="001F7209"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1.1.3. Assimetria de marcha na DP</w:t>
      </w:r>
    </w:p>
    <w:p w14:paraId="62885FF9" w14:textId="784636DB"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A marcha humana é um movimento complexo e essencialmente simétrico que envolve interações coordenadas entre os segmentos e músculos tanto das extremidades inferiores quanto superiores. Mais de 50 músculos participam da marcha e precisam ser finamente controlados</w:t>
      </w:r>
      <w:r w:rsidR="007626D2" w:rsidRPr="008B27FD">
        <w:rPr>
          <w:rFonts w:asciiTheme="majorBidi" w:hAnsiTheme="majorBidi" w:cstheme="majorBidi"/>
          <w:sz w:val="24"/>
          <w:szCs w:val="24"/>
        </w:rPr>
        <w:t xml:space="preserve"> [74]</w:t>
      </w:r>
      <w:r w:rsidRPr="008B27FD">
        <w:rPr>
          <w:rFonts w:asciiTheme="majorBidi" w:hAnsiTheme="majorBidi" w:cstheme="majorBidi"/>
          <w:sz w:val="24"/>
          <w:szCs w:val="24"/>
        </w:rPr>
        <w:t>. Aproximadamente 15 músculos atuam sobre a articulação do joelho para produzir movimento coordenado durante a fase de balanço do ciclo da marcha</w:t>
      </w:r>
      <w:r w:rsidR="007626D2" w:rsidRPr="008B27FD">
        <w:rPr>
          <w:rFonts w:asciiTheme="majorBidi" w:hAnsiTheme="majorBidi" w:cstheme="majorBidi"/>
          <w:sz w:val="24"/>
          <w:szCs w:val="24"/>
        </w:rPr>
        <w:t xml:space="preserve"> [75]</w:t>
      </w:r>
      <w:r w:rsidRPr="008B27FD">
        <w:rPr>
          <w:rFonts w:asciiTheme="majorBidi" w:hAnsiTheme="majorBidi" w:cstheme="majorBidi"/>
          <w:sz w:val="24"/>
          <w:szCs w:val="24"/>
        </w:rPr>
        <w:t>. Para gerenciar essa complexidade, o sistema nervoso central precisa processar continuamente informações aferentes tanto de fontes espinhais quanto supraespinhais, a fim de regular adequadamente a saída motora</w:t>
      </w:r>
      <w:r w:rsidR="007626D2" w:rsidRPr="008B27FD">
        <w:rPr>
          <w:rFonts w:asciiTheme="majorBidi" w:hAnsiTheme="majorBidi" w:cstheme="majorBidi"/>
          <w:sz w:val="24"/>
          <w:szCs w:val="24"/>
        </w:rPr>
        <w:t xml:space="preserve"> [76]</w:t>
      </w:r>
      <w:r w:rsidRPr="008B27FD">
        <w:rPr>
          <w:rFonts w:asciiTheme="majorBidi" w:hAnsiTheme="majorBidi" w:cstheme="majorBidi"/>
          <w:sz w:val="24"/>
          <w:szCs w:val="24"/>
        </w:rPr>
        <w:t>. Doenças neurodegenerativas como a DP perturbam a coordenação da marcha, provocando lentificação dos movimentos, marcha arrastada, redução do balanço dos braços e postura encurvada — o que contribui para complicações tanto médicas quanto sociais</w:t>
      </w:r>
      <w:r w:rsidR="007626D2" w:rsidRPr="008B27FD">
        <w:rPr>
          <w:rFonts w:asciiTheme="majorBidi" w:hAnsiTheme="majorBidi" w:cstheme="majorBidi"/>
          <w:sz w:val="24"/>
          <w:szCs w:val="24"/>
        </w:rPr>
        <w:t xml:space="preserve"> [77, 78]</w:t>
      </w:r>
      <w:r w:rsidRPr="008B27FD">
        <w:rPr>
          <w:rFonts w:asciiTheme="majorBidi" w:hAnsiTheme="majorBidi" w:cstheme="majorBidi"/>
          <w:sz w:val="24"/>
          <w:szCs w:val="24"/>
        </w:rPr>
        <w:t>.</w:t>
      </w:r>
    </w:p>
    <w:p w14:paraId="5F97713E" w14:textId="7278C1AD"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A lentificação dos movimentos na DP pode ser atribuída a projeções inibitórias excessivas dos gânglios basais (BG) para o tálamo, resultando em ativação tálamo‑cortical reduzida e menor facilitação de áreas corticais relacionadas ao movimento, como a área motora suplementar e o córtex motor primário (M1) [79–82]. Por outro lado, outras regiões do córtex motor, como o córtex pré‑motor lateral e o córtex parietal, bem como o cerebelo, tendem a mostrar atividade aumentada durante o movimento, especialmente quando este é externamente desencadeado</w:t>
      </w:r>
      <w:r w:rsidR="007626D2" w:rsidRPr="008B27FD">
        <w:rPr>
          <w:rFonts w:asciiTheme="majorBidi" w:hAnsiTheme="majorBidi" w:cstheme="majorBidi"/>
          <w:sz w:val="24"/>
          <w:szCs w:val="24"/>
        </w:rPr>
        <w:t xml:space="preserve"> [83, 84]</w:t>
      </w:r>
      <w:r w:rsidRPr="008B27FD">
        <w:rPr>
          <w:rFonts w:asciiTheme="majorBidi" w:hAnsiTheme="majorBidi" w:cstheme="majorBidi"/>
          <w:sz w:val="24"/>
          <w:szCs w:val="24"/>
        </w:rPr>
        <w:t>. No entanto, a maioria desses achados baseia‑se em estudos de movimentos dos membros superiores realizados há mais de duas décadas, e ainda não está claro se os mesmos mecanismos contribuem para a marcha hipocinética na DP [81–83]. Além disso, diversos aspectos da marcha bípede na DP — particularmente aqueles envolvendo controle motor de nível mais elevado — requerem investigação adicional</w:t>
      </w:r>
      <w:r w:rsidR="007626D2" w:rsidRPr="008B27FD">
        <w:rPr>
          <w:rFonts w:asciiTheme="majorBidi" w:hAnsiTheme="majorBidi" w:cstheme="majorBidi"/>
          <w:sz w:val="24"/>
          <w:szCs w:val="24"/>
        </w:rPr>
        <w:t xml:space="preserve"> [84]</w:t>
      </w:r>
      <w:r w:rsidRPr="008B27FD">
        <w:rPr>
          <w:rFonts w:asciiTheme="majorBidi" w:hAnsiTheme="majorBidi" w:cstheme="majorBidi"/>
          <w:sz w:val="24"/>
          <w:szCs w:val="24"/>
        </w:rPr>
        <w:t>, pois são essenciais para compreender a assimetria de marcha (AM) nessa população.</w:t>
      </w:r>
    </w:p>
    <w:p w14:paraId="69CF2C0E" w14:textId="1B93B452"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Sintomas motores unilaterais da DP, como a lentificação dos movimentos, podem perturbar a simetria entre as pernas direita e esquerda, aumentando a AM em parâmetros espaciotemporais ou nos padrões de ativação muscular, mesmo nos estágios iniciais da doença. Essas alterações devem ser consideradas potenciais biomarcadores de disfunção da marcha na DP. Indivíduos com DP costumam apresentar maior assimetria no comprimento do passo</w:t>
      </w:r>
      <w:r w:rsidR="00E657D4" w:rsidRPr="008B27FD">
        <w:rPr>
          <w:rFonts w:asciiTheme="majorBidi" w:hAnsiTheme="majorBidi" w:cstheme="majorBidi"/>
          <w:sz w:val="24"/>
          <w:szCs w:val="24"/>
        </w:rPr>
        <w:t xml:space="preserve"> [85, 86]</w:t>
      </w:r>
      <w:r w:rsidRPr="008B27FD">
        <w:rPr>
          <w:rFonts w:asciiTheme="majorBidi" w:hAnsiTheme="majorBidi" w:cstheme="majorBidi"/>
          <w:sz w:val="24"/>
          <w:szCs w:val="24"/>
        </w:rPr>
        <w:t xml:space="preserve">, na duração do passo </w:t>
      </w:r>
      <w:r w:rsidR="00E657D4" w:rsidRPr="008B27FD">
        <w:rPr>
          <w:rFonts w:asciiTheme="majorBidi" w:hAnsiTheme="majorBidi" w:cstheme="majorBidi"/>
          <w:sz w:val="24"/>
          <w:szCs w:val="24"/>
        </w:rPr>
        <w:t xml:space="preserve">[86] </w:t>
      </w:r>
      <w:r w:rsidRPr="008B27FD">
        <w:rPr>
          <w:rFonts w:asciiTheme="majorBidi" w:hAnsiTheme="majorBidi" w:cstheme="majorBidi"/>
          <w:sz w:val="24"/>
          <w:szCs w:val="24"/>
        </w:rPr>
        <w:t>e na fase de balanço da marcha</w:t>
      </w:r>
      <w:r w:rsidR="00E657D4" w:rsidRPr="008B27FD">
        <w:rPr>
          <w:rFonts w:asciiTheme="majorBidi" w:hAnsiTheme="majorBidi" w:cstheme="majorBidi"/>
          <w:sz w:val="24"/>
          <w:szCs w:val="24"/>
        </w:rPr>
        <w:t xml:space="preserve"> [48, 62, 87]</w:t>
      </w:r>
      <w:r w:rsidRPr="008B27FD">
        <w:rPr>
          <w:rFonts w:asciiTheme="majorBidi" w:hAnsiTheme="majorBidi" w:cstheme="majorBidi"/>
          <w:sz w:val="24"/>
          <w:szCs w:val="24"/>
        </w:rPr>
        <w:t>, comparados com indivíduos neurologicamente saudáveis. Além disso, a realização de dupla tarefa enquanto caminha exacerba a AM na DP, especialmente quando a tarefa secundária envolve processamento cognitivo</w:t>
      </w:r>
      <w:r w:rsidR="00E657D4" w:rsidRPr="008B27FD">
        <w:rPr>
          <w:rFonts w:asciiTheme="majorBidi" w:hAnsiTheme="majorBidi" w:cstheme="majorBidi"/>
          <w:sz w:val="24"/>
          <w:szCs w:val="24"/>
        </w:rPr>
        <w:t xml:space="preserve"> [13, 88, 89]</w:t>
      </w:r>
      <w:r w:rsidRPr="008B27FD">
        <w:rPr>
          <w:rFonts w:asciiTheme="majorBidi" w:hAnsiTheme="majorBidi" w:cstheme="majorBidi"/>
          <w:sz w:val="24"/>
          <w:szCs w:val="24"/>
        </w:rPr>
        <w:t>.</w:t>
      </w:r>
    </w:p>
    <w:p w14:paraId="0511305B" w14:textId="007753BF"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Apesar dessas observações, os mecanismos subjacentes à AM na DP permanecem pouco compreendidos. Embora a associação teórica entre AM e disfunção assimétrica dos circuitos cerebrais seja amplamente aceita, esses mecanismos neurais não foram investigados de forma detalhada. Estudos recentes sugerem que alterações na integridade microestrutural de feixes de substância branca do corpo caloso podem contribuir para a função locomotora prejudicada</w:t>
      </w:r>
      <w:r w:rsidR="00AE3366" w:rsidRPr="008B27FD">
        <w:rPr>
          <w:rFonts w:asciiTheme="majorBidi" w:hAnsiTheme="majorBidi" w:cstheme="majorBidi"/>
          <w:sz w:val="24"/>
          <w:szCs w:val="24"/>
        </w:rPr>
        <w:t xml:space="preserve"> [90, 91]</w:t>
      </w:r>
      <w:r w:rsidRPr="008B27FD">
        <w:rPr>
          <w:rFonts w:asciiTheme="majorBidi" w:hAnsiTheme="majorBidi" w:cstheme="majorBidi"/>
          <w:sz w:val="24"/>
          <w:szCs w:val="24"/>
        </w:rPr>
        <w:t>. A comunicação transcalosa por meio do corpo caloso é essencial para o controle motor integrado, permitindo uma saída motora coordenada de ambos os lados do corpo</w:t>
      </w:r>
      <w:r w:rsidR="00AE3366" w:rsidRPr="008B27FD">
        <w:rPr>
          <w:rFonts w:asciiTheme="majorBidi" w:hAnsiTheme="majorBidi" w:cstheme="majorBidi"/>
          <w:sz w:val="24"/>
          <w:szCs w:val="24"/>
        </w:rPr>
        <w:t xml:space="preserve"> [92, 93]</w:t>
      </w:r>
      <w:r w:rsidRPr="008B27FD">
        <w:rPr>
          <w:rFonts w:asciiTheme="majorBidi" w:hAnsiTheme="majorBidi" w:cstheme="majorBidi"/>
          <w:sz w:val="24"/>
          <w:szCs w:val="24"/>
        </w:rPr>
        <w:t>. Os córtices motores primários (M1) estão diretamente conectados aos músculos contralaterais por meio de vias transcalosas, facilitando a transmissão inter‑hemisférica. Durante a coordenação motora bilateral precisa — como ocorre na marcha — a ativação de um membro exerce um efeito inibitório inter‑hemisférico sobre o córtex motor ipsilateral</w:t>
      </w:r>
      <w:r w:rsidR="00AE3366" w:rsidRPr="008B27FD">
        <w:rPr>
          <w:rFonts w:asciiTheme="majorBidi" w:hAnsiTheme="majorBidi" w:cstheme="majorBidi"/>
          <w:sz w:val="24"/>
          <w:szCs w:val="24"/>
        </w:rPr>
        <w:t xml:space="preserve"> [94, 95]</w:t>
      </w:r>
      <w:r w:rsidRPr="008B27FD">
        <w:rPr>
          <w:rFonts w:asciiTheme="majorBidi" w:hAnsiTheme="majorBidi" w:cstheme="majorBidi"/>
          <w:sz w:val="24"/>
          <w:szCs w:val="24"/>
        </w:rPr>
        <w:t>.</w:t>
      </w:r>
    </w:p>
    <w:p w14:paraId="58A17937" w14:textId="62203F1F"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A degeneração assimétrica dentro dos gânglios basais, que se distribuem de forma desigual entre os hemisférios cerebrais, leva à disfunção em múltiplos circuitos dos gânglios basais. Como os gânglios basais fornecem sinais </w:t>
      </w:r>
      <w:r w:rsidR="009D6863" w:rsidRPr="008B27FD">
        <w:rPr>
          <w:rFonts w:asciiTheme="majorBidi" w:hAnsiTheme="majorBidi" w:cstheme="majorBidi"/>
          <w:sz w:val="24"/>
          <w:szCs w:val="24"/>
        </w:rPr>
        <w:t>básicos</w:t>
      </w:r>
      <w:r w:rsidRPr="008B27FD">
        <w:rPr>
          <w:rFonts w:asciiTheme="majorBidi" w:hAnsiTheme="majorBidi" w:cstheme="majorBidi"/>
          <w:sz w:val="24"/>
          <w:szCs w:val="24"/>
        </w:rPr>
        <w:t xml:space="preserve"> a diversas estruturas corticais e subcorticais — incluindo o corpo caloso — a degeneração nessas áreas pode comprometer a integridade de feixes de fibras transcalosas, contribuindo, assim, para a AM na DP. Além disso, tanto alterações estruturais quanto funcionais do cérebro têm sido implicadas na relação entre AM e DP. Por exemplo, diferenças no volume de estruturas dos gânglios basais — como o estriado, núcleo caudado, putâmen e globo pálido — em comparação com indivíduos saudáveis podem estar associadas à disfunção relacionada à DP. Em particular, a assimetria estrutural e funcional do putâmen , que está associada a sintomas axiais como bradicinesia e rigidez, pode afetar diretamente o controle da marcha na DP.</w:t>
      </w:r>
    </w:p>
    <w:p w14:paraId="28599A95" w14:textId="7C6929A1"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A literatura sugere que a AM em indivíduos com DP pode decorrer de um desequilíbrio na degeneração dopaminérgica entre os hemisférios cerebrais. Contudo, os mecanismos específicos passíveis de modulação terapêutica ainda permanecem especulativos. Um número limitado de estudos investigou os efeitos da levodopa ou do exercício físico sobre a AM na DP. Outras investigações exploraram as relações entre equilíbrio e marcha, bem como o papel de processos cognitivos no controle da marcha na DP. Apesar disso, pouco se sabe sobre o potencial de métodos que direcionem diretamente a conectividade neural, como a estimulação cerebral não invasiva.</w:t>
      </w:r>
    </w:p>
    <w:p w14:paraId="108C0E23" w14:textId="77777777" w:rsidR="001F7209" w:rsidRPr="008B27FD" w:rsidRDefault="001F7209"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1.1.4. Reabilitação da marcha e estimulação transcraniana por corrente contínua</w:t>
      </w:r>
    </w:p>
    <w:p w14:paraId="74054C9D" w14:textId="156313D7"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As intervenções terapêuticas destinadas a melhorar a qualidade da marcha em indivíduos com DP podem ser categorizadas em quatro tipos, variando de métodos invasivos a não invasivos. Como abordagem não invasiva, a L‑DOPA permanece o tratamento farmacológico mais comum para a DP </w:t>
      </w:r>
      <w:r w:rsidR="00C00CAF" w:rsidRPr="008B27FD">
        <w:rPr>
          <w:rFonts w:asciiTheme="majorBidi" w:hAnsiTheme="majorBidi" w:cstheme="majorBidi"/>
          <w:sz w:val="24"/>
          <w:szCs w:val="24"/>
        </w:rPr>
        <w:t>[101]</w:t>
      </w:r>
      <w:r w:rsidRPr="008B27FD">
        <w:rPr>
          <w:rFonts w:asciiTheme="majorBidi" w:hAnsiTheme="majorBidi" w:cstheme="majorBidi"/>
          <w:sz w:val="24"/>
          <w:szCs w:val="24"/>
        </w:rPr>
        <w:t xml:space="preserve">; no entanto, a tolerância à L‑DOPA muitas vezes exige a elevação da dose, o que pode acelerar a degeneração de neurônios na substância negra pars reticulata </w:t>
      </w:r>
      <w:r w:rsidR="00B06728" w:rsidRPr="008B27FD">
        <w:rPr>
          <w:rFonts w:asciiTheme="majorBidi" w:hAnsiTheme="majorBidi" w:cstheme="majorBidi"/>
          <w:sz w:val="24"/>
          <w:szCs w:val="24"/>
        </w:rPr>
        <w:t>[102]</w:t>
      </w:r>
      <w:r w:rsidRPr="008B27FD">
        <w:rPr>
          <w:rFonts w:asciiTheme="majorBidi" w:hAnsiTheme="majorBidi" w:cstheme="majorBidi"/>
          <w:sz w:val="24"/>
          <w:szCs w:val="24"/>
        </w:rPr>
        <w:t xml:space="preserve">. Intervenções cirúrgicas, como a estimulação profunda do cérebro — em que eletrodos são implantados em regiões cerebrais específicas para gerar impulsos elétricos que regulam a atividade neural anormal — representam outra opção de tratamento </w:t>
      </w:r>
      <w:r w:rsidR="00945152" w:rsidRPr="008B27FD">
        <w:rPr>
          <w:rFonts w:asciiTheme="majorBidi" w:hAnsiTheme="majorBidi" w:cstheme="majorBidi"/>
          <w:sz w:val="24"/>
          <w:szCs w:val="24"/>
        </w:rPr>
        <w:t>[103, 10</w:t>
      </w:r>
      <w:r w:rsidR="00490A89" w:rsidRPr="008B27FD">
        <w:rPr>
          <w:rFonts w:asciiTheme="majorBidi" w:hAnsiTheme="majorBidi" w:cstheme="majorBidi"/>
          <w:sz w:val="24"/>
          <w:szCs w:val="24"/>
        </w:rPr>
        <w:t>4</w:t>
      </w:r>
      <w:r w:rsidR="00945152" w:rsidRPr="008B27FD">
        <w:rPr>
          <w:rFonts w:asciiTheme="majorBidi" w:hAnsiTheme="majorBidi" w:cstheme="majorBidi"/>
          <w:sz w:val="24"/>
          <w:szCs w:val="24"/>
        </w:rPr>
        <w:t>]</w:t>
      </w:r>
      <w:r w:rsidRPr="008B27FD">
        <w:rPr>
          <w:rFonts w:asciiTheme="majorBidi" w:hAnsiTheme="majorBidi" w:cstheme="majorBidi"/>
          <w:sz w:val="24"/>
          <w:szCs w:val="24"/>
        </w:rPr>
        <w:t xml:space="preserve">. Contudo, a estimulação profunda do cérebro é um procedimento invasivo e custoso, podendo levar a efeitos adversos, incluindo cefaleia e apatia </w:t>
      </w:r>
      <w:r w:rsidR="00490A89" w:rsidRPr="008B27FD">
        <w:rPr>
          <w:rFonts w:asciiTheme="majorBidi" w:hAnsiTheme="majorBidi" w:cstheme="majorBidi"/>
          <w:sz w:val="24"/>
          <w:szCs w:val="24"/>
        </w:rPr>
        <w:t>[103, 105]</w:t>
      </w:r>
      <w:r w:rsidRPr="008B27FD">
        <w:rPr>
          <w:rFonts w:asciiTheme="majorBidi" w:hAnsiTheme="majorBidi" w:cstheme="majorBidi"/>
          <w:sz w:val="24"/>
          <w:szCs w:val="24"/>
        </w:rPr>
        <w:t>. Como tratamentos baseados em L‑DOPA e intervenções cirúrgicas podem produzir efeitos colaterais, cresce o interesse entre pesquisadores por desenvolver terapias que não dependam de medicamentos nem de procedimentos cirúrgicos.</w:t>
      </w:r>
    </w:p>
    <w:p w14:paraId="150EF680" w14:textId="67FE15AF"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Um estudo recente investigou o efeito de estímulos auditivos sobre a AM em indivíduos com DP e constatou que esses estímulos contribuíram para a redução da assimetria da velocidade do passo, mas não afetaram significativamente outros parâmetros da marcha, como comprimento, tempo, largura do passo ou fase de suporte duplo </w:t>
      </w:r>
      <w:r w:rsidR="00A5433B" w:rsidRPr="008B27FD">
        <w:rPr>
          <w:rFonts w:asciiTheme="majorBidi" w:hAnsiTheme="majorBidi" w:cstheme="majorBidi"/>
          <w:sz w:val="24"/>
          <w:szCs w:val="24"/>
        </w:rPr>
        <w:t>[106]</w:t>
      </w:r>
      <w:r w:rsidRPr="008B27FD">
        <w:rPr>
          <w:rFonts w:asciiTheme="majorBidi" w:hAnsiTheme="majorBidi" w:cstheme="majorBidi"/>
          <w:sz w:val="24"/>
          <w:szCs w:val="24"/>
        </w:rPr>
        <w:t xml:space="preserve">. Esses achados destacam a necessidade de terapias alternativas capazes de exercer impacto mais substancial sobre a AM, modulando o desequilíbrio na atividade neural induzido pela DP. Avanços tecnológicos facilitaram o desenvolvimento de técnicas de estimulação cerebral não invasiva (NIBS) promissoras, como a estimulação transcraniana por corrente contínua (tDCS), a qual tem demonstrado efeitos benéficos sobre a marcha e o equilíbrio em indivíduos com DP </w:t>
      </w:r>
      <w:r w:rsidR="00343728" w:rsidRPr="008B27FD">
        <w:rPr>
          <w:rFonts w:asciiTheme="majorBidi" w:hAnsiTheme="majorBidi" w:cstheme="majorBidi"/>
          <w:sz w:val="24"/>
          <w:szCs w:val="24"/>
        </w:rPr>
        <w:t>[115, 116]</w:t>
      </w:r>
      <w:r w:rsidRPr="008B27FD">
        <w:rPr>
          <w:rFonts w:asciiTheme="majorBidi" w:hAnsiTheme="majorBidi" w:cstheme="majorBidi"/>
          <w:sz w:val="24"/>
          <w:szCs w:val="24"/>
        </w:rPr>
        <w:t xml:space="preserve">. Achados recentes de nosso grupo mostraram que combinar tDCS com exercício locomotor potencializa os efeitos do exercício, levando a uma melhor coordenação dos movimentos e promovendo adaptações neurais, como a redução da densidade de potência espectral da faixa alfa (15 Hz) no córtex pré‑frontal </w:t>
      </w:r>
      <w:r w:rsidR="00C552FD" w:rsidRPr="008B27FD">
        <w:rPr>
          <w:rFonts w:asciiTheme="majorBidi" w:hAnsiTheme="majorBidi" w:cstheme="majorBidi"/>
          <w:sz w:val="24"/>
          <w:szCs w:val="24"/>
        </w:rPr>
        <w:t>[117]</w:t>
      </w:r>
      <w:r w:rsidRPr="008B27FD">
        <w:rPr>
          <w:rFonts w:asciiTheme="majorBidi" w:hAnsiTheme="majorBidi" w:cstheme="majorBidi"/>
          <w:sz w:val="24"/>
          <w:szCs w:val="24"/>
        </w:rPr>
        <w:t>. Contudo, os efeitos da tDCS isolada sobre a AM em indivíduos com DP ainda não estão bem estabelecidos.</w:t>
      </w:r>
    </w:p>
    <w:p w14:paraId="4E95D67C" w14:textId="507FA69C"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A tDCS consiste na aplicação de uma corrente direta segura e de baixa intensidade (tipicamente 1,5–2 mA) a uma região cortical‑alvo por meio de eletrodos de superfície </w:t>
      </w:r>
      <w:r w:rsidR="00ED7582" w:rsidRPr="008B27FD">
        <w:rPr>
          <w:rFonts w:asciiTheme="majorBidi" w:hAnsiTheme="majorBidi" w:cstheme="majorBidi"/>
          <w:sz w:val="24"/>
          <w:szCs w:val="24"/>
        </w:rPr>
        <w:t>[115]</w:t>
      </w:r>
      <w:r w:rsidRPr="008B27FD">
        <w:rPr>
          <w:rFonts w:asciiTheme="majorBidi" w:hAnsiTheme="majorBidi" w:cstheme="majorBidi"/>
          <w:sz w:val="24"/>
          <w:szCs w:val="24"/>
        </w:rPr>
        <w:t xml:space="preserve">. Além disso, a tDCS é uma técnica de fácil manuseio, que não exige ambiente especializado, permitindo sua aplicação mesmo enquanto o indivíduo está sentado. Três procedimentos principais são empregados em pesquisas com tDCS: (1) estimulação anodal, que aumenta a excitabilidade cortical na área cerebral‑alvo; (2) tDCS simulada (sham‑tDCS), na qual o estimulador é desligado após um breve período de estimulação (10–30 s); e (3) estimulação catodal, que reduz a excitabilidade cortical na região‑alvo </w:t>
      </w:r>
      <w:r w:rsidR="00F5730F" w:rsidRPr="008B27FD">
        <w:rPr>
          <w:rFonts w:asciiTheme="majorBidi" w:hAnsiTheme="majorBidi" w:cstheme="majorBidi"/>
          <w:sz w:val="24"/>
          <w:szCs w:val="24"/>
        </w:rPr>
        <w:t>[116]</w:t>
      </w:r>
      <w:r w:rsidRPr="008B27FD">
        <w:rPr>
          <w:rFonts w:asciiTheme="majorBidi" w:hAnsiTheme="majorBidi" w:cstheme="majorBidi"/>
          <w:sz w:val="24"/>
          <w:szCs w:val="24"/>
        </w:rPr>
        <w:t xml:space="preserve">. A tDCS anodal sobre a área M1 modula o potencial de repouso da membrana dos neurônios subjacentes </w:t>
      </w:r>
      <w:r w:rsidR="00F5730F" w:rsidRPr="008B27FD">
        <w:rPr>
          <w:rFonts w:asciiTheme="majorBidi" w:hAnsiTheme="majorBidi" w:cstheme="majorBidi"/>
          <w:sz w:val="24"/>
          <w:szCs w:val="24"/>
        </w:rPr>
        <w:t>[117, 118]</w:t>
      </w:r>
      <w:r w:rsidRPr="008B27FD">
        <w:rPr>
          <w:rFonts w:asciiTheme="majorBidi" w:hAnsiTheme="majorBidi" w:cstheme="majorBidi"/>
          <w:sz w:val="24"/>
          <w:szCs w:val="24"/>
        </w:rPr>
        <w:t>; ao afetar o córtex motor distribuído, aumenta a atividade do tálamo ventro‑posterior e dos gânglios basais esquerdos</w:t>
      </w:r>
      <w:r w:rsidR="006E3041" w:rsidRPr="008B27FD">
        <w:rPr>
          <w:rFonts w:asciiTheme="majorBidi" w:hAnsiTheme="majorBidi" w:cstheme="majorBidi"/>
          <w:sz w:val="24"/>
          <w:szCs w:val="24"/>
        </w:rPr>
        <w:t xml:space="preserve"> [30]</w:t>
      </w:r>
      <w:r w:rsidRPr="008B27FD">
        <w:rPr>
          <w:rFonts w:asciiTheme="majorBidi" w:hAnsiTheme="majorBidi" w:cstheme="majorBidi"/>
          <w:sz w:val="24"/>
          <w:szCs w:val="24"/>
        </w:rPr>
        <w:t>. Essa excitabilidade cortical aumentada pode compensar a atividade pallido‑tálamo‑cortical reduzida. Estudos relataram que a tDCS aplicada sobre o M1 melhora a marcha, o equilíbrio, a função motora e a bradicinesia em indivíduos com DP em repouso</w:t>
      </w:r>
      <w:r w:rsidR="004C0E89" w:rsidRPr="008B27FD">
        <w:rPr>
          <w:rFonts w:asciiTheme="majorBidi" w:hAnsiTheme="majorBidi" w:cstheme="majorBidi"/>
          <w:sz w:val="24"/>
          <w:szCs w:val="24"/>
        </w:rPr>
        <w:t xml:space="preserve"> [30, 119, 120]</w:t>
      </w:r>
      <w:r w:rsidRPr="008B27FD">
        <w:rPr>
          <w:rFonts w:asciiTheme="majorBidi" w:hAnsiTheme="majorBidi" w:cstheme="majorBidi"/>
          <w:sz w:val="24"/>
          <w:szCs w:val="24"/>
        </w:rPr>
        <w:t>. Esses resultados sugerem que a tDCS pode ser benéfica para melhorar a marcha em pessoas com DP. Contudo, considerando a presença de assimetrias hemisféricas na DP, a eficácia da tDCS pode variar conforme o local de estimulação, o que justifica investigação adicional.</w:t>
      </w:r>
    </w:p>
    <w:p w14:paraId="1D430A1F" w14:textId="083A36E1"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Estudos em animais sugerem que a indução de liberação de dopamina no núcleo caudado por meio de vias cortico‑estriatais glutamatérgicas pode representar um dos efeitos benéficos da tDCS na DP [121–123]. A tDCS induz, de forma segura, alterações nos potenciais de repouso de membrana em tecidos corticais e subcorticais [124–126] e pode também modular a liberação de neurotransmissores </w:t>
      </w:r>
      <w:r w:rsidR="00127BDD" w:rsidRPr="008B27FD">
        <w:rPr>
          <w:rFonts w:asciiTheme="majorBidi" w:hAnsiTheme="majorBidi" w:cstheme="majorBidi"/>
          <w:sz w:val="24"/>
          <w:szCs w:val="24"/>
        </w:rPr>
        <w:t>[127, 128]</w:t>
      </w:r>
      <w:r w:rsidRPr="008B27FD">
        <w:rPr>
          <w:rFonts w:asciiTheme="majorBidi" w:hAnsiTheme="majorBidi" w:cstheme="majorBidi"/>
          <w:sz w:val="24"/>
          <w:szCs w:val="24"/>
        </w:rPr>
        <w:t xml:space="preserve">. Na DP, contudo, a disfunção de neurônios dopaminérgicos provenientes da substância negra pars compacta frequentemente se apresenta de maneira assimétrica, com um hemisfério mais afetado do que o outro. Esse aspecto fisiopatológico da DP pode influenciar os resultados de protocolos de tDCS sobre a marcha, particularmente sobre a AM. Por exemplo, relatou‑se que aplicar a tDCS anodal sobre o hemisfério mais acometido melhora significativamente o desempenho motor em ambas as mãos, comparado com a estimulação do hemisfério menos afetado em indivíduos com DP </w:t>
      </w:r>
      <w:r w:rsidR="008D58B4" w:rsidRPr="008B27FD">
        <w:rPr>
          <w:rFonts w:asciiTheme="majorBidi" w:hAnsiTheme="majorBidi" w:cstheme="majorBidi"/>
          <w:sz w:val="24"/>
          <w:szCs w:val="24"/>
        </w:rPr>
        <w:t>[129]</w:t>
      </w:r>
      <w:r w:rsidRPr="008B27FD">
        <w:rPr>
          <w:rFonts w:asciiTheme="majorBidi" w:hAnsiTheme="majorBidi" w:cstheme="majorBidi"/>
          <w:sz w:val="24"/>
          <w:szCs w:val="24"/>
        </w:rPr>
        <w:t>. Não obstante, o efeito específico da tDCS sobre a AM ainda não foi investigado.</w:t>
      </w:r>
    </w:p>
    <w:p w14:paraId="736DE09A" w14:textId="5B0657A9"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Considerando que os gânglios basais (em qualquer um dos hemisférios) estão envolvidos em todas as fases da aprendizagem motora [130–133], desempenham papel central na via cortico‑estriato‑tálamo‑cortical e são modulados pela tDCS, torna‑se crucial determinar a intervenção cortical mais eficaz para melhorar a qualidade da marcha na DP. A AM pode funcionar como um índice valioso para avaliar qual abordagem de estimulação cortical (voltada ao hemisfério mais acometido, ao menos acometido ou a ambos) produz os melhores resultados. Entretanto, lacunas significativas permanecem na literatura sobre esse tema. Este projeto visa abordar parte dessas questões não respondidas, investigando os efeitos da tDCS sobre a AM em indivíduos com DP submetidos a intervenções agudas ou de longo prazo, que direcionam diferentes hemisférios do córtex motor.</w:t>
      </w:r>
    </w:p>
    <w:p w14:paraId="594E71E6" w14:textId="77777777" w:rsidR="001F7209" w:rsidRPr="008B27FD" w:rsidRDefault="001F7209"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1.2. Objetivos e estrutura deste projeto</w:t>
      </w:r>
    </w:p>
    <w:p w14:paraId="5A4A43DC" w14:textId="1D5DD7F9"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O objetivo principal deste projeto é investigar os efeitos de uma única sessão de tDCS sobre diferentes áreas‑alvo, bem como os efeitos de múltiplas sessões de tDCS sobre a assimetria de marcha (AM) em indivíduos com DP, por meio de dois estudos independentes. De forma específica, os objetivos deste projeto são:</w:t>
      </w:r>
    </w:p>
    <w:p w14:paraId="6E1A3426" w14:textId="77777777" w:rsidR="001F7209"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i) verificar se o efeito agudo da tDCS aplicada sobre o M1 e o córtex pré‑frontal dorsolateral (DLPFC) do hemisfério cerebral mais acometido pode melhorar a AM em pessoas com DP, e comparar o efeito da tDCS sobre o hemisfério cerebral menos acometido, o mais acometido e a estimulação bilateral sobre o M1 e DLPFC sobre a AM em pessoas com DP;</w:t>
      </w:r>
    </w:p>
    <w:p w14:paraId="0522874F" w14:textId="7E4F7EDA" w:rsidR="00506801" w:rsidRPr="008B27FD" w:rsidRDefault="001F7209" w:rsidP="00951BA0">
      <w:pPr>
        <w:jc w:val="both"/>
        <w:rPr>
          <w:rFonts w:asciiTheme="majorBidi" w:hAnsiTheme="majorBidi" w:cstheme="majorBidi"/>
          <w:sz w:val="24"/>
          <w:szCs w:val="24"/>
        </w:rPr>
      </w:pPr>
      <w:r w:rsidRPr="008B27FD">
        <w:rPr>
          <w:rFonts w:asciiTheme="majorBidi" w:hAnsiTheme="majorBidi" w:cstheme="majorBidi"/>
          <w:sz w:val="24"/>
          <w:szCs w:val="24"/>
        </w:rPr>
        <w:t>ii) examinar os efeitos de tDCS anodal de longo prazo sobre a AM em pessoas com DP.</w:t>
      </w:r>
    </w:p>
    <w:p w14:paraId="35E7D628" w14:textId="77777777" w:rsidR="0037673F" w:rsidRPr="008B27FD" w:rsidRDefault="0037673F" w:rsidP="00951BA0">
      <w:pPr>
        <w:jc w:val="both"/>
        <w:rPr>
          <w:rFonts w:asciiTheme="majorBidi" w:hAnsiTheme="majorBidi" w:cstheme="majorBidi"/>
          <w:sz w:val="24"/>
          <w:szCs w:val="24"/>
        </w:rPr>
      </w:pPr>
    </w:p>
    <w:p w14:paraId="5C2A050F" w14:textId="4FB12042" w:rsidR="00390A2A" w:rsidRPr="008B27FD" w:rsidRDefault="00390A2A"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2. Resultados esperados</w:t>
      </w:r>
    </w:p>
    <w:p w14:paraId="5310E8B7" w14:textId="77777777" w:rsidR="00390A2A" w:rsidRPr="008B27FD" w:rsidRDefault="00390A2A" w:rsidP="00951BA0">
      <w:pPr>
        <w:jc w:val="both"/>
        <w:rPr>
          <w:rFonts w:asciiTheme="majorBidi" w:hAnsiTheme="majorBidi" w:cstheme="majorBidi"/>
          <w:sz w:val="24"/>
          <w:szCs w:val="24"/>
        </w:rPr>
      </w:pPr>
      <w:r w:rsidRPr="008B27FD">
        <w:rPr>
          <w:rFonts w:asciiTheme="majorBidi" w:hAnsiTheme="majorBidi" w:cstheme="majorBidi"/>
          <w:sz w:val="24"/>
          <w:szCs w:val="24"/>
        </w:rPr>
        <w:t>De acordo com o contexto descrito na introdução geral, nossas hipóteses para os dois estudos são as seguintes:</w:t>
      </w:r>
    </w:p>
    <w:p w14:paraId="4ABC8D45" w14:textId="0DF11AB4" w:rsidR="00390A2A" w:rsidRPr="008B27FD" w:rsidRDefault="00390A2A"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i) Um efeito agudo de tDCS aplicada sobre o M1 e o DLPFC do hemisfério cerebral mais acometido reduziria a assimetria em parâmetros espaciotemporais da marcha, tais como comprimento do passo, velocidade, tempo de suporte, largura do passo e fase de suporte duplo, em pessoas com DP; considerando que a tDCS anodal sobre o hemisfério cerebral mais acometido melhora significativamente o desempenho motor de ambas as mãos quando comparada à aplicação no hemisfério menos acometido em pessoas com DP </w:t>
      </w:r>
      <w:r w:rsidR="00566989" w:rsidRPr="008B27FD">
        <w:rPr>
          <w:rFonts w:asciiTheme="majorBidi" w:hAnsiTheme="majorBidi" w:cstheme="majorBidi"/>
          <w:sz w:val="24"/>
          <w:szCs w:val="24"/>
        </w:rPr>
        <w:t>[129]</w:t>
      </w:r>
      <w:r w:rsidRPr="008B27FD">
        <w:rPr>
          <w:rFonts w:asciiTheme="majorBidi" w:hAnsiTheme="majorBidi" w:cstheme="majorBidi"/>
          <w:sz w:val="24"/>
          <w:szCs w:val="24"/>
        </w:rPr>
        <w:t>, espera</w:t>
      </w:r>
      <w:r w:rsidRPr="008B27FD">
        <w:rPr>
          <w:rFonts w:asciiTheme="majorBidi" w:hAnsiTheme="majorBidi" w:cstheme="majorBidi"/>
          <w:sz w:val="24"/>
          <w:szCs w:val="24"/>
        </w:rPr>
        <w:noBreakHyphen/>
        <w:t>se que uma sessão de tDCS aguda sobre o M1 e o DLPFC do hemisfério mais acometido leve a uma redução mais acentuada da assimetria de marcha (AM) na DP em relação à tDCS aplicada sobre o hemisfério menos acometido ou à estimulação bilateral sobre o M1 e o DLPFC;</w:t>
      </w:r>
    </w:p>
    <w:p w14:paraId="3E847346" w14:textId="77777777" w:rsidR="00390A2A" w:rsidRPr="008B27FD" w:rsidRDefault="00390A2A" w:rsidP="00951BA0">
      <w:pPr>
        <w:jc w:val="both"/>
        <w:rPr>
          <w:rFonts w:asciiTheme="majorBidi" w:hAnsiTheme="majorBidi" w:cstheme="majorBidi"/>
          <w:sz w:val="24"/>
          <w:szCs w:val="24"/>
        </w:rPr>
      </w:pPr>
      <w:r w:rsidRPr="008B27FD">
        <w:rPr>
          <w:rFonts w:asciiTheme="majorBidi" w:hAnsiTheme="majorBidi" w:cstheme="majorBidi"/>
          <w:sz w:val="24"/>
          <w:szCs w:val="24"/>
        </w:rPr>
        <w:t>ii) a tDCS anodal de longo prazo reduziria a assimetria em parâmetros espaciotemporais da marcha, como comprimento do passo, velocidade, tempo de suporte, largura do passo e fase de suporte duplo, em pessoas com DP, e seu efeito persistiria por pelo menos um mês após a última sessão.</w:t>
      </w:r>
    </w:p>
    <w:p w14:paraId="7A470AC9" w14:textId="2C14A14C" w:rsidR="00390A2A" w:rsidRPr="008B27FD" w:rsidRDefault="00390A2A" w:rsidP="00951BA0">
      <w:pPr>
        <w:jc w:val="both"/>
        <w:rPr>
          <w:rFonts w:asciiTheme="majorBidi" w:hAnsiTheme="majorBidi" w:cstheme="majorBidi"/>
          <w:sz w:val="24"/>
          <w:szCs w:val="24"/>
        </w:rPr>
      </w:pPr>
      <w:r w:rsidRPr="008B27FD">
        <w:rPr>
          <w:rFonts w:asciiTheme="majorBidi" w:hAnsiTheme="majorBidi" w:cstheme="majorBidi"/>
          <w:sz w:val="24"/>
          <w:szCs w:val="24"/>
        </w:rPr>
        <w:t>Os resultados desses estudos serão significativos porque irão:</w:t>
      </w:r>
      <w:r w:rsidRPr="008B27FD">
        <w:rPr>
          <w:rFonts w:asciiTheme="majorBidi" w:hAnsiTheme="majorBidi" w:cstheme="majorBidi"/>
          <w:sz w:val="24"/>
          <w:szCs w:val="24"/>
        </w:rPr>
        <w:br/>
        <w:t>i) fornecer uma base teórica para compreender o efeito da tDCS sobre a AM em pessoas com</w:t>
      </w:r>
      <w:r w:rsidR="00E25222">
        <w:rPr>
          <w:rFonts w:asciiTheme="majorBidi" w:hAnsiTheme="majorBidi" w:cstheme="majorBidi"/>
          <w:sz w:val="24"/>
          <w:szCs w:val="24"/>
        </w:rPr>
        <w:t xml:space="preserve"> </w:t>
      </w:r>
      <w:r w:rsidRPr="008B27FD">
        <w:rPr>
          <w:rFonts w:asciiTheme="majorBidi" w:hAnsiTheme="majorBidi" w:cstheme="majorBidi"/>
          <w:sz w:val="24"/>
          <w:szCs w:val="24"/>
        </w:rPr>
        <w:t>DP;</w:t>
      </w:r>
      <w:r w:rsidRPr="008B27FD">
        <w:rPr>
          <w:rFonts w:asciiTheme="majorBidi" w:hAnsiTheme="majorBidi" w:cstheme="majorBidi"/>
          <w:sz w:val="24"/>
          <w:szCs w:val="24"/>
        </w:rPr>
        <w:br/>
        <w:t>ii) estimular diferentes hemisférios para determinar a área ótima para a aplicação da tDCS com o objetivo de reduzir a AM em pessoas com DP;</w:t>
      </w:r>
      <w:r w:rsidRPr="008B27FD">
        <w:rPr>
          <w:rFonts w:asciiTheme="majorBidi" w:hAnsiTheme="majorBidi" w:cstheme="majorBidi"/>
          <w:sz w:val="24"/>
          <w:szCs w:val="24"/>
        </w:rPr>
        <w:br/>
        <w:t>iii) demonstrar o potencial impacto positivo de um protocolo de tDCS de longo prazo sobre a AM em pessoas com DP, o que constitui um conceito novo e relevante, considerando que a DP é uma doença neurodegenerativa, progressiva e sem cura.</w:t>
      </w:r>
    </w:p>
    <w:p w14:paraId="1275B05E" w14:textId="735B4D6D" w:rsidR="00390A2A" w:rsidRPr="008B27FD" w:rsidRDefault="00390A2A" w:rsidP="00951BA0">
      <w:pPr>
        <w:jc w:val="both"/>
        <w:rPr>
          <w:rFonts w:asciiTheme="majorBidi" w:hAnsiTheme="majorBidi" w:cstheme="majorBidi"/>
          <w:sz w:val="24"/>
          <w:szCs w:val="24"/>
        </w:rPr>
      </w:pPr>
      <w:r w:rsidRPr="008B27FD">
        <w:rPr>
          <w:rFonts w:asciiTheme="majorBidi" w:hAnsiTheme="majorBidi" w:cstheme="majorBidi"/>
          <w:sz w:val="24"/>
          <w:szCs w:val="24"/>
        </w:rPr>
        <w:t>A partir de achados prévios que avaliaram os efeitos da tDCS isolada e combinada com outras intervenções sobre parâmetros espaciotemporais da marcha [134–136], os resultados sobre os possíveis mecanismos investigados neste projeto contribuirão para a implementação da tDCS como estratégia não farmacológica para melhorar a marcha em pessoas com DP</w:t>
      </w:r>
      <w:r w:rsidR="000C6E08" w:rsidRPr="008B27FD">
        <w:rPr>
          <w:rFonts w:asciiTheme="majorBidi" w:hAnsiTheme="majorBidi" w:cstheme="majorBidi"/>
          <w:sz w:val="24"/>
          <w:szCs w:val="24"/>
        </w:rPr>
        <w:t xml:space="preserve">. </w:t>
      </w:r>
    </w:p>
    <w:p w14:paraId="18887B8C" w14:textId="77777777" w:rsidR="000C6E08" w:rsidRPr="008B27FD" w:rsidRDefault="000C6E08"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3. DESAFIOS CIENTÍFICOS E TECNOLÓGICOS E OS MEIOS E MÉTODOS PARA SUPERÁ‑LOS</w:t>
      </w:r>
    </w:p>
    <w:p w14:paraId="46F85A90" w14:textId="77777777" w:rsidR="000C6E08" w:rsidRPr="008B27FD" w:rsidRDefault="000C6E08" w:rsidP="00951BA0">
      <w:pPr>
        <w:jc w:val="both"/>
        <w:rPr>
          <w:rFonts w:asciiTheme="majorBidi" w:hAnsiTheme="majorBidi" w:cstheme="majorBidi"/>
          <w:sz w:val="24"/>
          <w:szCs w:val="24"/>
        </w:rPr>
      </w:pPr>
      <w:r w:rsidRPr="008B27FD">
        <w:rPr>
          <w:rFonts w:asciiTheme="majorBidi" w:hAnsiTheme="majorBidi" w:cstheme="majorBidi"/>
          <w:b/>
          <w:bCs/>
          <w:sz w:val="24"/>
          <w:szCs w:val="24"/>
        </w:rPr>
        <w:t>3.1. Desafios científicos e tecnológicos</w:t>
      </w:r>
    </w:p>
    <w:p w14:paraId="4CBB0571" w14:textId="1C35129A" w:rsidR="000C6E08" w:rsidRPr="008B27FD" w:rsidRDefault="000C6E08" w:rsidP="00951BA0">
      <w:pPr>
        <w:jc w:val="both"/>
        <w:rPr>
          <w:rFonts w:asciiTheme="majorBidi" w:hAnsiTheme="majorBidi" w:cstheme="majorBidi"/>
          <w:sz w:val="24"/>
          <w:szCs w:val="24"/>
        </w:rPr>
      </w:pPr>
      <w:r w:rsidRPr="008B27FD">
        <w:rPr>
          <w:rFonts w:asciiTheme="majorBidi" w:hAnsiTheme="majorBidi" w:cstheme="majorBidi"/>
          <w:sz w:val="24"/>
          <w:szCs w:val="24"/>
        </w:rPr>
        <w:t>Como utilizar a tDCS para melhorar a assimetria de marcha (AM) na DP é o desafio científico central do presente projeto. Embora a tDCS tenha sido empregada em diversos estudos para investigar o controle motor durante a marcha , a maioria desses estudos focou em variáveis (por exemplo, parâmetros espaciotemporais) relacionadas a uma única perna ou a um único passo. A AM, contudo, é um sintoma crítico da DP que deve ser avaliada por meio de marcadores biomédicos (isto é, cinemática, cinética, atividade muscular, etc.) envolvendo ambas as pernas. A aplicação da tDCS para estudar a AM na DP é, até onde sabemos, um tema novo. Portanto, determinar a área cerebral ótima para a estimulação constitui um desafio fundamental deste projeto. Para enfrentar isso, definimos a duração da estimulação com base em estudos anteriores nos quais a tDCS foi aplicada isoladamente ou combinada com outras intervenções terapêuticas. Relata‑se que a duração ideal para a tDCS ativa situa‑se entre 15 e 20 minutos, enquanto para a tDCS simulada (sham) varia de 10 a 30 segundos [139–141]. Assim, a duração de estimulação escolhida para este projeto será de 20 minutos. Além disso, a intensidade da estimulação será baseada em achados prévios que sugerem que a corrente ótima é de 2 mA.</w:t>
      </w:r>
    </w:p>
    <w:p w14:paraId="6F26FB41" w14:textId="42E3CAFE" w:rsidR="000C6E08" w:rsidRPr="008B27FD" w:rsidRDefault="000C6E08"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Além da duração e da intensidade, a área de estimulação permanece um desafio central deste projeto. A tDCS anodal sobre o córtex motor primário (M1) mostrou melhorar o controle motor da marcha em indivíduos com DP </w:t>
      </w:r>
      <w:r w:rsidR="00256450" w:rsidRPr="008B27FD">
        <w:rPr>
          <w:rFonts w:asciiTheme="majorBidi" w:hAnsiTheme="majorBidi" w:cstheme="majorBidi"/>
          <w:sz w:val="24"/>
          <w:szCs w:val="24"/>
        </w:rPr>
        <w:t>[137, 142]</w:t>
      </w:r>
      <w:r w:rsidRPr="008B27FD">
        <w:rPr>
          <w:rFonts w:asciiTheme="majorBidi" w:hAnsiTheme="majorBidi" w:cstheme="majorBidi"/>
          <w:sz w:val="24"/>
          <w:szCs w:val="24"/>
        </w:rPr>
        <w:t xml:space="preserve">. Efeitos semelhantes foram observados quando o córtex pré‑frontal dorsolateral (DLPFC) foi estimulado </w:t>
      </w:r>
      <w:r w:rsidR="00772F1E" w:rsidRPr="008B27FD">
        <w:rPr>
          <w:rFonts w:asciiTheme="majorBidi" w:hAnsiTheme="majorBidi" w:cstheme="majorBidi"/>
          <w:sz w:val="24"/>
          <w:szCs w:val="24"/>
        </w:rPr>
        <w:t>[143, 144]</w:t>
      </w:r>
      <w:r w:rsidRPr="008B27FD">
        <w:rPr>
          <w:rFonts w:asciiTheme="majorBidi" w:hAnsiTheme="majorBidi" w:cstheme="majorBidi"/>
          <w:sz w:val="24"/>
          <w:szCs w:val="24"/>
        </w:rPr>
        <w:t>. Nós também aplicaremos a tDCS bilateralmente e compararemos seus efeitos com aqueles observados ao estimular os hemisférios cerebrais mais e menos acometidos. Conforme discutido na introdução geral, a degeneração assimétrica de neurônios dopaminérgicos na substância negra pars reticulata (SNr) é uma marca registrada importante da DP, podendo conduzir à AM. Portanto, identificar o alvo ótimo de estimulação — seja o hemisfério mais acometido, o menos acometido ou ambos os hemisférios cerebrais — é essencial. Se é mais benéfico aplicar a tDCS sobre o hemisfério esquerdo, o direito ou ambos ao abordar a AM na DP permanece uma questão em aberto na literatura. Espera‑se que os achados deste estudo ajudem pesquisadores da área a superar essa lacuna de conhecimento e avançar no uso da tDCS no tratamento da assimetria de marcha na DP.</w:t>
      </w:r>
    </w:p>
    <w:p w14:paraId="21984002" w14:textId="7F0C42A5" w:rsidR="000C6E08" w:rsidRPr="008B27FD" w:rsidRDefault="000C6E08" w:rsidP="00951BA0">
      <w:pPr>
        <w:jc w:val="both"/>
        <w:rPr>
          <w:rFonts w:asciiTheme="majorBidi" w:hAnsiTheme="majorBidi" w:cstheme="majorBidi"/>
          <w:sz w:val="24"/>
          <w:szCs w:val="24"/>
        </w:rPr>
      </w:pPr>
      <w:r w:rsidRPr="008B27FD">
        <w:rPr>
          <w:rFonts w:asciiTheme="majorBidi" w:hAnsiTheme="majorBidi" w:cstheme="majorBidi"/>
          <w:sz w:val="24"/>
          <w:szCs w:val="24"/>
        </w:rPr>
        <w:t>Cada seção deste projeto exigirá colaboração interdisciplinar para aprimorar a qualidade geral do trabalho. As tarefas serão divididas entre profissionais da área médica, técnicos de laboratório e assistentes de pesquisa para alcançar esse objetivo. Ao fazer isso, pretendemos contribuir para o desenvolvimento de estratégias baseadas em tDCS que sejam eficazes para indivíduos com DP.</w:t>
      </w:r>
    </w:p>
    <w:p w14:paraId="64BD3AE1" w14:textId="43B12A2B" w:rsidR="000C6E08" w:rsidRPr="008B27FD" w:rsidRDefault="000C6E08" w:rsidP="00951BA0">
      <w:pPr>
        <w:jc w:val="both"/>
        <w:rPr>
          <w:rFonts w:asciiTheme="majorBidi" w:hAnsiTheme="majorBidi" w:cstheme="majorBidi"/>
          <w:sz w:val="24"/>
          <w:szCs w:val="24"/>
        </w:rPr>
      </w:pPr>
      <w:r w:rsidRPr="008B27FD">
        <w:rPr>
          <w:rFonts w:asciiTheme="majorBidi" w:hAnsiTheme="majorBidi" w:cstheme="majorBidi"/>
          <w:sz w:val="24"/>
          <w:szCs w:val="24"/>
        </w:rPr>
        <w:t>Além disso, este projeto está associado à iniciativa “Centro Multidisciplinar de Desenvolvimento de Tecnologias Assistivas (CMDTA)”, financiada pela FAPESP no âmbito do programa Auxílio à Pesquisa – Centros de Ciência para o Desenvolvimento (#2024/01132‑2). Essa iniciativa visa criar e consolidar um centro multidisciplinar para o desenvolvimento de tecnologias assistivas na UNESP, funcionando como uma rede colaborativa entre diversos laboratórios universitários do estado de São Paulo. Acreditamos que os resultados desta proposta podem complementar a iniciativa CMDTA, demonstrando os efeitos da tDCS sobre a assimetria de marcha e potencialmente apoiar sua inclusão como uma tecnologia assistiva viável para melhorar a marcha em indivíduos com doença de Parkinson.</w:t>
      </w:r>
    </w:p>
    <w:p w14:paraId="4A88BA48" w14:textId="77777777" w:rsidR="000C6E08" w:rsidRPr="008B27FD" w:rsidRDefault="000C6E08"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3.2. Meios e métodos para superar os desafios</w:t>
      </w:r>
    </w:p>
    <w:p w14:paraId="3DA93842" w14:textId="7A5F2F40" w:rsidR="000C6E08" w:rsidRPr="008B27FD" w:rsidRDefault="000C6E08" w:rsidP="00951BA0">
      <w:pPr>
        <w:jc w:val="both"/>
        <w:rPr>
          <w:rFonts w:asciiTheme="majorBidi" w:hAnsiTheme="majorBidi" w:cstheme="majorBidi"/>
          <w:sz w:val="24"/>
          <w:szCs w:val="24"/>
        </w:rPr>
      </w:pPr>
      <w:r w:rsidRPr="008B27FD">
        <w:rPr>
          <w:rFonts w:asciiTheme="majorBidi" w:hAnsiTheme="majorBidi" w:cstheme="majorBidi"/>
          <w:sz w:val="24"/>
          <w:szCs w:val="24"/>
        </w:rPr>
        <w:t>Serão conduzidos dois estudos para atender aos objetivos do projeto e enfrentar os desafios associados à pesquisa científica. A seguir, apresentamos a descrição da fundamentação teórica e dos métodos para responder a cada questão.</w:t>
      </w:r>
    </w:p>
    <w:p w14:paraId="6D7A9357" w14:textId="77777777" w:rsidR="00DB17C1" w:rsidRPr="008B27FD" w:rsidRDefault="00DB17C1"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3.2.1. Estudo 1: Eficácia da estimulação transcraniana por corrente contínua multi‑alvo de curto prazo sobre a assimetria de marcha na doença de Parkinson</w:t>
      </w:r>
    </w:p>
    <w:p w14:paraId="127368B8" w14:textId="77777777" w:rsidR="00DB17C1" w:rsidRPr="008B27FD" w:rsidRDefault="00DB17C1"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Método</w:t>
      </w:r>
    </w:p>
    <w:p w14:paraId="708514E9" w14:textId="77777777" w:rsidR="00DB17C1" w:rsidRPr="008B27FD" w:rsidRDefault="00DB17C1" w:rsidP="00951BA0">
      <w:pPr>
        <w:jc w:val="both"/>
        <w:rPr>
          <w:rFonts w:asciiTheme="majorBidi" w:hAnsiTheme="majorBidi" w:cstheme="majorBidi"/>
          <w:sz w:val="24"/>
          <w:szCs w:val="24"/>
        </w:rPr>
      </w:pPr>
      <w:r w:rsidRPr="008B27FD">
        <w:rPr>
          <w:rFonts w:asciiTheme="majorBidi" w:hAnsiTheme="majorBidi" w:cstheme="majorBidi"/>
          <w:b/>
          <w:bCs/>
          <w:sz w:val="24"/>
          <w:szCs w:val="24"/>
        </w:rPr>
        <w:t>Participantes</w:t>
      </w:r>
    </w:p>
    <w:p w14:paraId="1B41BBCA" w14:textId="55FFE18B" w:rsidR="00DB17C1" w:rsidRPr="008B27FD" w:rsidRDefault="00DB17C1"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O tamanho mínimo da amostra foi calculado utilizando o software GPower 3.1.97 (Düsseldorf, Alemanha), teste F, assumindo uma ANOVA de medidas repetidas, interação dentro‑entre grupos, com foco na interação grupo × condição para o desfecho primário velocidade da marcha. A potência estatística foi fixada em 95% (1 – β = 0,95), α = 0,05, e o tamanho do efeito foi f = 0,518 (η²p ≈ 0,20), com base em estudos prévios que investigaram os efeitos da tDCS sobre parâmetros da marcha em pessoas com doença de Parkinson </w:t>
      </w:r>
      <w:r w:rsidR="00D623EC" w:rsidRPr="008B27FD">
        <w:rPr>
          <w:rFonts w:asciiTheme="majorBidi" w:hAnsiTheme="majorBidi" w:cstheme="majorBidi"/>
          <w:sz w:val="24"/>
          <w:szCs w:val="24"/>
        </w:rPr>
        <w:t>[119, 145]</w:t>
      </w:r>
      <w:r w:rsidRPr="008B27FD">
        <w:rPr>
          <w:rFonts w:asciiTheme="majorBidi" w:hAnsiTheme="majorBidi" w:cstheme="majorBidi"/>
          <w:sz w:val="24"/>
          <w:szCs w:val="24"/>
        </w:rPr>
        <w:t xml:space="preserve">. O cálculo considerou 2 grupos (tDCS ativa × tDCS simulada) e 3 medidas repetidas (mais acometido, menos acometido, bilateral). Também adotamos uma correlação entre medidas repetidas (ρ) de 0,50 e uma correção de não esfericidade (ε) de 1,0, com base em estudos da literatura. De acordo com o GPower, um mínimo de 12 participantes por grupo é requerido. Para considerar possíveis perdas (~15%), planejamos recrutar 14 participantes por grupo. Pessoas com DP serão selecionadas em um centro especializado da região de Bauru </w:t>
      </w:r>
      <w:r w:rsidR="001C1457" w:rsidRPr="008B27FD">
        <w:rPr>
          <w:rFonts w:asciiTheme="majorBidi" w:hAnsiTheme="majorBidi" w:cstheme="majorBidi"/>
          <w:sz w:val="24"/>
          <w:szCs w:val="24"/>
        </w:rPr>
        <w:t>[141]</w:t>
      </w:r>
      <w:r w:rsidRPr="008B27FD">
        <w:rPr>
          <w:rFonts w:asciiTheme="majorBidi" w:hAnsiTheme="majorBidi" w:cstheme="majorBidi"/>
          <w:sz w:val="24"/>
          <w:szCs w:val="24"/>
        </w:rPr>
        <w:t xml:space="preserve">. Um neurologista especialista diagnosticará DP idiopática de acordo com os critérios do UK Parkinson’s Disease Brain Bank </w:t>
      </w:r>
      <w:r w:rsidR="001C1457" w:rsidRPr="008B27FD">
        <w:rPr>
          <w:rFonts w:asciiTheme="majorBidi" w:hAnsiTheme="majorBidi" w:cstheme="majorBidi"/>
          <w:sz w:val="24"/>
          <w:szCs w:val="24"/>
        </w:rPr>
        <w:t>[146]</w:t>
      </w:r>
      <w:r w:rsidRPr="008B27FD">
        <w:rPr>
          <w:rFonts w:asciiTheme="majorBidi" w:hAnsiTheme="majorBidi" w:cstheme="majorBidi"/>
          <w:sz w:val="24"/>
          <w:szCs w:val="24"/>
        </w:rPr>
        <w:t xml:space="preserve">. Os participantes serão indivíduos com DP que atendam aos seguintes critérios de inclusão: idade &gt;50 anos, estágio da doença ≤3 na escala de Hoehn &amp; Yahr (H&amp;Y), sem histórico de cirurgia cerebral, capazes de caminhar de forma independente e em fase “ligado” da medicação (usando a mesma medicação há pelo menos três meses). Ao longo do estudo, os participantes devem receber uma dose equivalente de levodopa de pelo menos 300 mg por dia </w:t>
      </w:r>
      <w:r w:rsidR="001B2AD9" w:rsidRPr="008B27FD">
        <w:rPr>
          <w:rFonts w:asciiTheme="majorBidi" w:hAnsiTheme="majorBidi" w:cstheme="majorBidi"/>
          <w:sz w:val="24"/>
          <w:szCs w:val="24"/>
        </w:rPr>
        <w:t>[143]</w:t>
      </w:r>
      <w:r w:rsidRPr="008B27FD">
        <w:rPr>
          <w:rFonts w:asciiTheme="majorBidi" w:hAnsiTheme="majorBidi" w:cstheme="majorBidi"/>
          <w:sz w:val="24"/>
          <w:szCs w:val="24"/>
        </w:rPr>
        <w:t>. Todas as avaliações e sessões de terapia serão realizadas durante o pico de ação da medicação com L‑dopa (⁓45 a 60 minutos após a ingestão do medicamento) para evitar problemas associados às fases “ligado‑desligado” do uso do fármaco.</w:t>
      </w:r>
    </w:p>
    <w:p w14:paraId="4CCED9E5" w14:textId="49ED5166" w:rsidR="00DB17C1" w:rsidRPr="008B27FD" w:rsidRDefault="00DB17C1" w:rsidP="00951BA0">
      <w:pPr>
        <w:jc w:val="both"/>
        <w:rPr>
          <w:rFonts w:asciiTheme="majorBidi" w:hAnsiTheme="majorBidi" w:cstheme="majorBidi"/>
          <w:sz w:val="24"/>
          <w:szCs w:val="24"/>
        </w:rPr>
      </w:pPr>
      <w:r w:rsidRPr="008B27FD">
        <w:rPr>
          <w:rFonts w:asciiTheme="majorBidi" w:hAnsiTheme="majorBidi" w:cstheme="majorBidi"/>
          <w:sz w:val="24"/>
          <w:szCs w:val="24"/>
        </w:rPr>
        <w:t>Todos os participantes assinarão termo de consentimento informado escrito, de acordo com o protocolo aprovado pelo Comitê de Ética em Pesquisa da Faculdade de Ciências da Universidade Estadual Paulista, e o estudo seguirá os preceitos da Declaração de Helsinki.</w:t>
      </w:r>
    </w:p>
    <w:p w14:paraId="368A0F18" w14:textId="77777777" w:rsidR="00DB17C1" w:rsidRPr="008B27FD" w:rsidRDefault="00DB17C1"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Avaliação clínica</w:t>
      </w:r>
    </w:p>
    <w:p w14:paraId="4D759F2E" w14:textId="6437CC80" w:rsidR="00DB17C1" w:rsidRPr="008B27FD" w:rsidRDefault="00DB17C1" w:rsidP="00951BA0">
      <w:pPr>
        <w:jc w:val="both"/>
        <w:rPr>
          <w:rFonts w:asciiTheme="majorBidi" w:hAnsiTheme="majorBidi" w:cstheme="majorBidi"/>
          <w:sz w:val="24"/>
          <w:szCs w:val="24"/>
        </w:rPr>
      </w:pPr>
      <w:r w:rsidRPr="008B27FD">
        <w:rPr>
          <w:rFonts w:asciiTheme="majorBidi" w:hAnsiTheme="majorBidi" w:cstheme="majorBidi"/>
          <w:sz w:val="24"/>
          <w:szCs w:val="24"/>
        </w:rPr>
        <w:t xml:space="preserve">Na primeira visita, pessoas com DP serão avaliadas por um pesquisador treinado, com o objetivo de verificar sua história clínica, cognitiva e médica. Todas as avaliações serão realizadas com grande detalhamento, de forma a determinar o lado mais acometido da DP e a excluir a influência de outras doenças que possam interferir no diagnóstico. Os participantes serão avaliados pelo mesmo pesquisador, utilizando escalas consideradas padrão‑ouro na avaliação clínica da DP. A escala de Hoehn &amp; Yahr (H&amp;Y) será utilizada para determinar o estágio evolutivo da doença, sua unilateralidade ou bilateralidade e a resposta dos reflexos posturais </w:t>
      </w:r>
      <w:r w:rsidR="00CB529D" w:rsidRPr="008B27FD">
        <w:rPr>
          <w:rFonts w:asciiTheme="majorBidi" w:hAnsiTheme="majorBidi" w:cstheme="majorBidi"/>
          <w:sz w:val="24"/>
          <w:szCs w:val="24"/>
        </w:rPr>
        <w:t>[142]</w:t>
      </w:r>
      <w:r w:rsidRPr="008B27FD">
        <w:rPr>
          <w:rFonts w:asciiTheme="majorBidi" w:hAnsiTheme="majorBidi" w:cstheme="majorBidi"/>
          <w:sz w:val="24"/>
          <w:szCs w:val="24"/>
        </w:rPr>
        <w:t xml:space="preserve">. Através da parte motora (III) da Unified Parkinson’s Disease Rating Scale (UPDRS) </w:t>
      </w:r>
      <w:r w:rsidR="00305BC7" w:rsidRPr="008B27FD">
        <w:rPr>
          <w:rFonts w:asciiTheme="majorBidi" w:hAnsiTheme="majorBidi" w:cstheme="majorBidi"/>
          <w:sz w:val="24"/>
          <w:szCs w:val="24"/>
        </w:rPr>
        <w:t>[147]</w:t>
      </w:r>
      <w:r w:rsidRPr="008B27FD">
        <w:rPr>
          <w:rFonts w:asciiTheme="majorBidi" w:hAnsiTheme="majorBidi" w:cstheme="majorBidi"/>
          <w:sz w:val="24"/>
          <w:szCs w:val="24"/>
        </w:rPr>
        <w:t xml:space="preserve">, será determinado o grau de comprometimento motor em pessoas com DP. Para avaliar o estado cognitivo, será aplicado o Montreal Cognitive Assessment (MoCA), que contempla perguntas de diversos domínios cognitivos. O MoCA utiliza uma escala de 0 a 30, sendo que escores mais elevados indicam maior cognição global </w:t>
      </w:r>
      <w:r w:rsidR="00305BC7" w:rsidRPr="008B27FD">
        <w:rPr>
          <w:rFonts w:asciiTheme="majorBidi" w:hAnsiTheme="majorBidi" w:cstheme="majorBidi"/>
          <w:sz w:val="24"/>
          <w:szCs w:val="24"/>
        </w:rPr>
        <w:t>[148]</w:t>
      </w:r>
      <w:r w:rsidRPr="008B27FD">
        <w:rPr>
          <w:rFonts w:asciiTheme="majorBidi" w:hAnsiTheme="majorBidi" w:cstheme="majorBidi"/>
          <w:sz w:val="24"/>
          <w:szCs w:val="24"/>
        </w:rPr>
        <w:t>.</w:t>
      </w:r>
    </w:p>
    <w:p w14:paraId="34687483" w14:textId="77777777" w:rsidR="00DB17C1" w:rsidRPr="008B27FD" w:rsidRDefault="00DB17C1" w:rsidP="00951BA0">
      <w:pPr>
        <w:jc w:val="both"/>
        <w:rPr>
          <w:rFonts w:asciiTheme="majorBidi" w:hAnsiTheme="majorBidi" w:cstheme="majorBidi"/>
          <w:b/>
          <w:bCs/>
          <w:sz w:val="24"/>
          <w:szCs w:val="24"/>
        </w:rPr>
      </w:pPr>
      <w:r w:rsidRPr="008B27FD">
        <w:rPr>
          <w:rFonts w:asciiTheme="majorBidi" w:hAnsiTheme="majorBidi" w:cstheme="majorBidi"/>
          <w:b/>
          <w:bCs/>
          <w:sz w:val="24"/>
          <w:szCs w:val="24"/>
        </w:rPr>
        <w:t>Protocolo experimental</w:t>
      </w:r>
    </w:p>
    <w:p w14:paraId="071DEE14" w14:textId="642331C7" w:rsidR="00DB17C1" w:rsidRPr="00390A2A" w:rsidRDefault="00DB17C1" w:rsidP="00951BA0">
      <w:pPr>
        <w:jc w:val="both"/>
        <w:rPr>
          <w:rFonts w:ascii="Times New Roman" w:hAnsi="Times New Roman" w:cs="Times New Roman"/>
        </w:rPr>
      </w:pPr>
      <w:r w:rsidRPr="008B27FD">
        <w:rPr>
          <w:rFonts w:asciiTheme="majorBidi" w:hAnsiTheme="majorBidi" w:cstheme="majorBidi"/>
          <w:sz w:val="24"/>
          <w:szCs w:val="24"/>
        </w:rPr>
        <w:t xml:space="preserve">A avaliação da marcha será realizada antes e após as intervenções. As avaliações pós‑intervenção serão realizadas 15–20 minutos após o protocolo de tDCS (ativa e simulada) </w:t>
      </w:r>
      <w:r w:rsidR="00863387" w:rsidRPr="008B27FD">
        <w:rPr>
          <w:rFonts w:asciiTheme="majorBidi" w:hAnsiTheme="majorBidi" w:cstheme="majorBidi"/>
          <w:sz w:val="24"/>
          <w:szCs w:val="24"/>
        </w:rPr>
        <w:t>[149]</w:t>
      </w:r>
      <w:r w:rsidRPr="008B27FD">
        <w:rPr>
          <w:rFonts w:asciiTheme="majorBidi" w:hAnsiTheme="majorBidi" w:cstheme="majorBidi"/>
          <w:sz w:val="24"/>
          <w:szCs w:val="24"/>
        </w:rPr>
        <w:t xml:space="preserve">. A Figura 2 mostra o esquema do protocolo. Os participantes seguirão um desenho crossover em que cada indivíduo receberá ambos os tipos de tDCS (ativa e simulada) em ordem duplamente cega e aleatorizada. Cada condição de estimulação (ativa ou simulada) terá duração de três semanas; em cada semana, a estimulação será aplicada em um alvo diferente: (1) estimulação sobre o hemisfério mais acometido, (2) estimulação sobre o hemisfério menos acometido e (3) estimulação bilateral. A ordem dos alvos será aleatorizada para cada participante. As sessões terão duração de 20 minutos cada e serão separadas por um intervalo de uma semana para evitar possíveis efeitos de arraste. Após a conclusão das três sessões em uma condição (por exemplo, ativa), os participantes transitarão para a outra condição (por exemplo, simulada), com a ordem contrabalançada entre os participantes. Assim, a duração total da intervenção será de seis semanas (três semanas de tDCS ativa e três semanas de tDCS simulada). O intervalo de uma semana entre sessões foi escolhido com base em estudos crossover prévios em doença de Parkinson, que mostraram que 5–7 dias são suficientes para o período de “wash‑out” </w:t>
      </w:r>
      <w:r w:rsidR="00A73259" w:rsidRPr="008B27FD">
        <w:rPr>
          <w:rFonts w:asciiTheme="majorBidi" w:hAnsiTheme="majorBidi" w:cstheme="majorBidi"/>
          <w:sz w:val="24"/>
          <w:szCs w:val="24"/>
        </w:rPr>
        <w:t>[150, 151]</w:t>
      </w:r>
      <w:r w:rsidRPr="008B27FD">
        <w:rPr>
          <w:rFonts w:asciiTheme="majorBidi" w:hAnsiTheme="majorBidi" w:cstheme="majorBidi"/>
          <w:sz w:val="24"/>
          <w:szCs w:val="24"/>
        </w:rPr>
        <w:t>.</w:t>
      </w:r>
    </w:p>
    <w:p w14:paraId="61EED8DB" w14:textId="007C368C" w:rsidR="0037673F" w:rsidRDefault="000E6E44" w:rsidP="001F7209">
      <w:pPr>
        <w:rPr>
          <w:rFonts w:ascii="Times New Roman" w:hAnsi="Times New Roman" w:cs="Times New Roman"/>
        </w:rPr>
      </w:pPr>
      <w:r w:rsidRPr="003E361C">
        <w:rPr>
          <w:noProof/>
        </w:rPr>
        <w:drawing>
          <wp:inline distT="0" distB="0" distL="0" distR="0" wp14:anchorId="38453F86" wp14:editId="0747AEB8">
            <wp:extent cx="5400040" cy="2345359"/>
            <wp:effectExtent l="0" t="0" r="0" b="0"/>
            <wp:docPr id="57326607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345359"/>
                    </a:xfrm>
                    <a:prstGeom prst="rect">
                      <a:avLst/>
                    </a:prstGeom>
                    <a:noFill/>
                    <a:ln>
                      <a:noFill/>
                    </a:ln>
                  </pic:spPr>
                </pic:pic>
              </a:graphicData>
            </a:graphic>
          </wp:inline>
        </w:drawing>
      </w:r>
    </w:p>
    <w:p w14:paraId="65D0FEFF" w14:textId="4D55E97D" w:rsidR="000E6E44" w:rsidRDefault="00681582" w:rsidP="00B876E7">
      <w:pPr>
        <w:jc w:val="center"/>
        <w:rPr>
          <w:rFonts w:ascii="Times New Roman" w:hAnsi="Times New Roman" w:cs="Times New Roman"/>
        </w:rPr>
      </w:pPr>
      <w:r w:rsidRPr="00D52C1B">
        <w:rPr>
          <w:noProof/>
        </w:rPr>
        <w:drawing>
          <wp:inline distT="0" distB="0" distL="0" distR="0" wp14:anchorId="73EB31B4" wp14:editId="20DEC9AB">
            <wp:extent cx="4738977" cy="3445635"/>
            <wp:effectExtent l="0" t="0" r="5080" b="2540"/>
            <wp:docPr id="45618722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33450"/>
                    <a:stretch>
                      <a:fillRect/>
                    </a:stretch>
                  </pic:blipFill>
                  <pic:spPr bwMode="auto">
                    <a:xfrm>
                      <a:off x="0" y="0"/>
                      <a:ext cx="4751435" cy="3454693"/>
                    </a:xfrm>
                    <a:prstGeom prst="rect">
                      <a:avLst/>
                    </a:prstGeom>
                    <a:noFill/>
                    <a:ln>
                      <a:noFill/>
                    </a:ln>
                    <a:extLst>
                      <a:ext uri="{53640926-AAD7-44D8-BBD7-CCE9431645EC}">
                        <a14:shadowObscured xmlns:a14="http://schemas.microsoft.com/office/drawing/2010/main"/>
                      </a:ext>
                    </a:extLst>
                  </pic:spPr>
                </pic:pic>
              </a:graphicData>
            </a:graphic>
          </wp:inline>
        </w:drawing>
      </w:r>
    </w:p>
    <w:p w14:paraId="2E6BD942" w14:textId="5C4FE4BA" w:rsidR="004B0459" w:rsidRDefault="004B0459" w:rsidP="00B876E7">
      <w:pPr>
        <w:jc w:val="both"/>
        <w:rPr>
          <w:rFonts w:ascii="Times New Roman" w:hAnsi="Times New Roman" w:cs="Times New Roman"/>
        </w:rPr>
      </w:pPr>
      <w:r w:rsidRPr="004B0459">
        <w:rPr>
          <w:rFonts w:ascii="Times New Roman" w:hAnsi="Times New Roman" w:cs="Times New Roman"/>
          <w:b/>
          <w:bCs/>
        </w:rPr>
        <w:t xml:space="preserve">Figura 2. </w:t>
      </w:r>
      <w:r w:rsidRPr="004B0459">
        <w:rPr>
          <w:rFonts w:ascii="Times New Roman" w:hAnsi="Times New Roman" w:cs="Times New Roman"/>
        </w:rPr>
        <w:t>Protocolo do estudo.</w:t>
      </w:r>
      <w:r w:rsidR="00B876E7">
        <w:rPr>
          <w:rFonts w:ascii="Times New Roman" w:hAnsi="Times New Roman" w:cs="Times New Roman"/>
        </w:rPr>
        <w:t xml:space="preserve"> </w:t>
      </w:r>
      <w:r w:rsidRPr="004B0459">
        <w:rPr>
          <w:rFonts w:ascii="Times New Roman" w:hAnsi="Times New Roman" w:cs="Times New Roman"/>
        </w:rPr>
        <w:t>A) Todos os participantes receberão tDCS ativa e simulada sobre os hemisférios mais acometido, menos acometido e bilateral, em ordem aleatória. As condições de estimulação serão administradas em três semanas separadas para ambos os tipos de estimulação (ativa e simulada), de forma duplamente cega.</w:t>
      </w:r>
      <w:r w:rsidR="00B876E7">
        <w:rPr>
          <w:rFonts w:ascii="Times New Roman" w:hAnsi="Times New Roman" w:cs="Times New Roman"/>
        </w:rPr>
        <w:t xml:space="preserve"> </w:t>
      </w:r>
      <w:r w:rsidRPr="004B0459">
        <w:rPr>
          <w:rFonts w:ascii="Times New Roman" w:hAnsi="Times New Roman" w:cs="Times New Roman"/>
        </w:rPr>
        <w:t>B) A linha preta grossa no trajeto central de marcha (8 m) representa o percurso em linha reta, sem fases de aceleração ou desaceleração.</w:t>
      </w:r>
      <w:r w:rsidR="00B876E7">
        <w:rPr>
          <w:rFonts w:ascii="Times New Roman" w:hAnsi="Times New Roman" w:cs="Times New Roman"/>
        </w:rPr>
        <w:t xml:space="preserve"> </w:t>
      </w:r>
      <w:r w:rsidRPr="004B0459">
        <w:rPr>
          <w:rFonts w:ascii="Times New Roman" w:hAnsi="Times New Roman" w:cs="Times New Roman"/>
        </w:rPr>
        <w:t>C) Ambos os protocolos de tDCS (ativa e simulada) incluem períodos de rampa de subida e de descida de 30 segundos. Nas sessões de tDCS ativa, uma corrente de estimulação de 2 mA será aplicada por 20 minutos e 10 segundos, respectivamente.</w:t>
      </w:r>
    </w:p>
    <w:p w14:paraId="7DBA8F36" w14:textId="77777777" w:rsidR="00262DD0" w:rsidRPr="002E1E94" w:rsidRDefault="00262DD0" w:rsidP="00262DD0">
      <w:pPr>
        <w:rPr>
          <w:rFonts w:ascii="Times New Roman" w:hAnsi="Times New Roman" w:cs="Times New Roman"/>
          <w:b/>
          <w:bCs/>
        </w:rPr>
      </w:pPr>
      <w:r w:rsidRPr="002E1E94">
        <w:rPr>
          <w:rFonts w:ascii="Times New Roman" w:hAnsi="Times New Roman" w:cs="Times New Roman"/>
          <w:b/>
          <w:bCs/>
        </w:rPr>
        <w:t>Protocolo de intervenção</w:t>
      </w:r>
    </w:p>
    <w:p w14:paraId="67B3A919" w14:textId="2E0CF601" w:rsidR="00262DD0" w:rsidRDefault="00262DD0" w:rsidP="00262DD0">
      <w:pPr>
        <w:jc w:val="both"/>
        <w:rPr>
          <w:rFonts w:ascii="Times New Roman" w:hAnsi="Times New Roman" w:cs="Times New Roman"/>
        </w:rPr>
      </w:pPr>
      <w:r w:rsidRPr="006F6529">
        <w:rPr>
          <w:rFonts w:ascii="Times New Roman" w:hAnsi="Times New Roman" w:cs="Times New Roman"/>
          <w:sz w:val="24"/>
          <w:szCs w:val="24"/>
        </w:rPr>
        <w:t xml:space="preserve">Para a tDCS ativa, será utilizado o sistema EEG 10–20 para posicionar um eletrodo anodal sobre o hemisfério cerebral mais acometido (C4/C3) e um eletrodo catodal sobre as regiões supraorbitárias contralaterais </w:t>
      </w:r>
      <w:r w:rsidR="000273C4" w:rsidRPr="006F6529">
        <w:rPr>
          <w:rFonts w:ascii="Times New Roman" w:hAnsi="Times New Roman" w:cs="Times New Roman"/>
          <w:sz w:val="24"/>
          <w:szCs w:val="24"/>
        </w:rPr>
        <w:t>[152]</w:t>
      </w:r>
      <w:r w:rsidRPr="006F6529">
        <w:rPr>
          <w:rFonts w:ascii="Times New Roman" w:hAnsi="Times New Roman" w:cs="Times New Roman"/>
          <w:sz w:val="24"/>
          <w:szCs w:val="24"/>
        </w:rPr>
        <w:t xml:space="preserve">. A Figura 3 ilustra a região C4/C3, localizada justamente entre e sobre os M1 direito/esquerdo e DLPFC, respectivamente. Assim, o eletrodo anodal sobre C4/C3 estimulará o M1 e o DLPFC direito ou esquerdo, dependendo do lado </w:t>
      </w:r>
      <w:r w:rsidR="00D10DD9" w:rsidRPr="006F6529">
        <w:rPr>
          <w:rFonts w:ascii="Times New Roman" w:hAnsi="Times New Roman" w:cs="Times New Roman"/>
          <w:sz w:val="24"/>
          <w:szCs w:val="24"/>
        </w:rPr>
        <w:t>[153]</w:t>
      </w:r>
      <w:r w:rsidRPr="006F6529">
        <w:rPr>
          <w:rFonts w:ascii="Times New Roman" w:hAnsi="Times New Roman" w:cs="Times New Roman"/>
          <w:sz w:val="24"/>
          <w:szCs w:val="24"/>
        </w:rPr>
        <w:t xml:space="preserve">. Para a tDCS anodal bilateral, dois eletrodos anodais serão posicionados sobre C3 esquerdo e C4 direito e dois eletrodos catodais sobre as áreas supraorbitárias esquerda e direita, respectivamente. Um par de placas (25 cm²), embebidas em solução salina, será utilizado para aplicar uma corrente elétrica de 2 mA por 20 minutos, com rampa de subida de 30 segundos e queda na mesma forma (NaCl 140 mmol dissolvido em água Milli‑Q). O protocolo simulado (sham) envolverá a mesma estimulação, mas com duração de 10 segundos </w:t>
      </w:r>
      <w:r w:rsidR="00D10DD9" w:rsidRPr="006F6529">
        <w:rPr>
          <w:rFonts w:ascii="Times New Roman" w:hAnsi="Times New Roman" w:cs="Times New Roman"/>
          <w:sz w:val="24"/>
          <w:szCs w:val="24"/>
        </w:rPr>
        <w:t>[142]</w:t>
      </w:r>
      <w:r w:rsidRPr="006F6529">
        <w:rPr>
          <w:rFonts w:ascii="Times New Roman" w:hAnsi="Times New Roman" w:cs="Times New Roman"/>
          <w:sz w:val="24"/>
          <w:szCs w:val="24"/>
        </w:rPr>
        <w:t>. Todos os dados serão coletados antes e após cada sessão de intervenção</w:t>
      </w:r>
      <w:r w:rsidRPr="00262DD0">
        <w:rPr>
          <w:rFonts w:ascii="Times New Roman" w:hAnsi="Times New Roman" w:cs="Times New Roman"/>
        </w:rPr>
        <w:t>.</w:t>
      </w:r>
    </w:p>
    <w:p w14:paraId="653E1D8E" w14:textId="3B13253A" w:rsidR="00E9032E" w:rsidRDefault="00E9032E" w:rsidP="00E9032E">
      <w:pPr>
        <w:jc w:val="center"/>
        <w:rPr>
          <w:rFonts w:ascii="Times New Roman" w:hAnsi="Times New Roman" w:cs="Times New Roman"/>
        </w:rPr>
      </w:pPr>
      <w:r w:rsidRPr="00E9032E">
        <w:drawing>
          <wp:inline distT="0" distB="0" distL="0" distR="0" wp14:anchorId="3B74ACDE" wp14:editId="08E05D46">
            <wp:extent cx="3438120" cy="3095625"/>
            <wp:effectExtent l="0" t="0" r="0" b="0"/>
            <wp:docPr id="99639545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52307" cy="3108399"/>
                    </a:xfrm>
                    <a:prstGeom prst="rect">
                      <a:avLst/>
                    </a:prstGeom>
                    <a:noFill/>
                    <a:ln>
                      <a:noFill/>
                    </a:ln>
                  </pic:spPr>
                </pic:pic>
              </a:graphicData>
            </a:graphic>
          </wp:inline>
        </w:drawing>
      </w:r>
    </w:p>
    <w:p w14:paraId="71C81705" w14:textId="685DF335" w:rsidR="006F6529" w:rsidRDefault="006F6529" w:rsidP="006F6529">
      <w:pPr>
        <w:rPr>
          <w:rFonts w:ascii="Times New Roman" w:hAnsi="Times New Roman" w:cs="Times New Roman"/>
        </w:rPr>
      </w:pPr>
      <w:r w:rsidRPr="006F6529">
        <w:rPr>
          <w:rFonts w:ascii="Times New Roman" w:hAnsi="Times New Roman" w:cs="Times New Roman"/>
          <w:b/>
          <w:bCs/>
        </w:rPr>
        <w:t>Figura 3.</w:t>
      </w:r>
      <w:r w:rsidRPr="006F6529">
        <w:rPr>
          <w:rFonts w:ascii="Times New Roman" w:hAnsi="Times New Roman" w:cs="Times New Roman"/>
        </w:rPr>
        <w:t xml:space="preserve"> Posicionamento dos eletrodos para a tDCS anodal.</w:t>
      </w:r>
      <w:r>
        <w:rPr>
          <w:rFonts w:ascii="Times New Roman" w:hAnsi="Times New Roman" w:cs="Times New Roman"/>
        </w:rPr>
        <w:t xml:space="preserve"> </w:t>
      </w:r>
      <w:r w:rsidRPr="006F6529">
        <w:rPr>
          <w:rFonts w:ascii="Times New Roman" w:hAnsi="Times New Roman" w:cs="Times New Roman"/>
        </w:rPr>
        <w:t>Os círculos vermelhos representam as áreas C3 e C4, e os círculos azuis representam a região supraorbitária contralateral.</w:t>
      </w:r>
    </w:p>
    <w:p w14:paraId="777AA8E3" w14:textId="77777777" w:rsidR="00325186" w:rsidRPr="00751BF9" w:rsidRDefault="00325186" w:rsidP="00325186">
      <w:pPr>
        <w:rPr>
          <w:rFonts w:ascii="Times New Roman" w:hAnsi="Times New Roman" w:cs="Times New Roman"/>
          <w:b/>
          <w:bCs/>
          <w:sz w:val="24"/>
          <w:szCs w:val="24"/>
        </w:rPr>
      </w:pPr>
      <w:r w:rsidRPr="00751BF9">
        <w:rPr>
          <w:rFonts w:ascii="Times New Roman" w:hAnsi="Times New Roman" w:cs="Times New Roman"/>
          <w:b/>
          <w:bCs/>
          <w:sz w:val="24"/>
          <w:szCs w:val="24"/>
        </w:rPr>
        <w:t>Avaliação da marcha</w:t>
      </w:r>
    </w:p>
    <w:p w14:paraId="7A323C78" w14:textId="0ECFF0C8" w:rsidR="00142D60" w:rsidRDefault="00325186" w:rsidP="00822557">
      <w:pPr>
        <w:jc w:val="both"/>
        <w:rPr>
          <w:rFonts w:ascii="Times New Roman" w:hAnsi="Times New Roman" w:cs="Times New Roman"/>
          <w:sz w:val="24"/>
          <w:szCs w:val="24"/>
        </w:rPr>
      </w:pPr>
      <w:r w:rsidRPr="00325186">
        <w:rPr>
          <w:rFonts w:ascii="Times New Roman" w:hAnsi="Times New Roman" w:cs="Times New Roman"/>
          <w:sz w:val="24"/>
          <w:szCs w:val="24"/>
        </w:rPr>
        <w:t xml:space="preserve">Os parâmetros espaciotemporais da marcha, como comprimento do passo, velocidade, largura, duração e fase de suporte duplo, serão aferidos utilizando dez câmeras do sistema Vicon Motion System® (câmeras Bonita System) a 100 Hz. Quatro marcadores reflexivos passivos serão posicionados em cada pé do participante (segundo metatarso e calcâneo, para ambas as pernas). Além disso, um marcador será colocado sobre a sétima vértebra cervical (C7) </w:t>
      </w:r>
      <w:r w:rsidR="00DA4BF8">
        <w:rPr>
          <w:rFonts w:ascii="Times New Roman" w:hAnsi="Times New Roman" w:cs="Times New Roman"/>
          <w:sz w:val="24"/>
          <w:szCs w:val="24"/>
        </w:rPr>
        <w:t>[146]</w:t>
      </w:r>
      <w:r w:rsidRPr="00325186">
        <w:rPr>
          <w:rFonts w:ascii="Times New Roman" w:hAnsi="Times New Roman" w:cs="Times New Roman"/>
          <w:sz w:val="24"/>
          <w:szCs w:val="24"/>
        </w:rPr>
        <w:t>. Os participantes realizarão oito caminhadas descalça em piso de 8 × 3 m, à velocidade de marcha preferida, com balanço natural dos braços, por cerca de um minuto. Por razões de segurança, um avaliador acompanhará o participante durante os procedimentos.</w:t>
      </w:r>
      <w:r w:rsidR="00142D60">
        <w:rPr>
          <w:rFonts w:ascii="Times New Roman" w:hAnsi="Times New Roman" w:cs="Times New Roman"/>
          <w:sz w:val="24"/>
          <w:szCs w:val="24"/>
        </w:rPr>
        <w:t xml:space="preserve"> </w:t>
      </w:r>
      <w:r w:rsidRPr="00325186">
        <w:rPr>
          <w:rFonts w:ascii="Times New Roman" w:hAnsi="Times New Roman" w:cs="Times New Roman"/>
          <w:sz w:val="24"/>
          <w:szCs w:val="24"/>
        </w:rPr>
        <w:t>A eletromiografia de superfície (EMG) de ambas as pernas será registrada dos músculos: tibial anterior (TA), gastrocnêmio medial (GM), vasto lateral (VL) e bíceps femoral (BF), utilizando o sistema wireless Noraxon myoMuscle. Os sinais EMG serão registrados em configuração bipolar e amostrados a 1500 Hz. Os sinais EMG serão filtrados por um filtro passa‑banda (10–500 Hz). O sistema EMG será calibrado com taxa de rejeição de 100 dB e resolução A/D de 16 bits. Cinco chaves‑sensor de pressão plantar (Noraxon MyoMotion) serão colocadas sob as palmilhas dos participantes para indicar os eventos de toque de calcanhar (heel‑strike) e descolamento do dedo (toe‑off) de cada perna. Esses eventos serão utilizados para expressar os dados EMG em relação aos parâmetros do passo. Todos os dados EMG serão analisados utilizando um algoritmo personalizado em MATLAB. O sinal EMG será dividido em quatro fases (carga, apoio simples, pré‑balanço e balanço), de acordo com os eventos registrados pelos sensores plantares.</w:t>
      </w:r>
      <w:r w:rsidR="006A6369">
        <w:rPr>
          <w:rFonts w:ascii="Times New Roman" w:hAnsi="Times New Roman" w:cs="Times New Roman"/>
          <w:sz w:val="24"/>
          <w:szCs w:val="24"/>
        </w:rPr>
        <w:t xml:space="preserve"> </w:t>
      </w:r>
      <w:r w:rsidRPr="00325186">
        <w:rPr>
          <w:rFonts w:ascii="Times New Roman" w:hAnsi="Times New Roman" w:cs="Times New Roman"/>
          <w:sz w:val="24"/>
          <w:szCs w:val="24"/>
        </w:rPr>
        <w:t>A fase de carga iniciará no contato inicial (quando qualquer chave‑sensor é ativada) e terminará com o descolamento do dedo do pé contralateral (quando todas as chaves‑sensor do pé oposto desligam). A fase de apoio simples inicia nesse momento e termina quando o pé contralateral entra em contato com o solo (quando qualquer chave‑sensor contralateral é ativada). Em seguida, inicia‑se a fase de pré‑balanço, que termina com o descolamento do dedo (quando as chaves‑sensor desligam). A fase de balanço compreende o intervalo entre o descolamento do dedo e o próximo contato inicial (enquanto as chaves‑sensor permanecem desligadas). A atividade média do RMS EMG de cada fase será então normalizada em relação ao seu valor de pico durante a marcha em piso plano (rmsEMG).</w:t>
      </w:r>
      <w:r w:rsidR="006A6369">
        <w:rPr>
          <w:rFonts w:ascii="Times New Roman" w:hAnsi="Times New Roman" w:cs="Times New Roman"/>
          <w:sz w:val="24"/>
          <w:szCs w:val="24"/>
        </w:rPr>
        <w:t xml:space="preserve"> </w:t>
      </w:r>
      <w:r w:rsidRPr="00325186">
        <w:rPr>
          <w:rFonts w:ascii="Times New Roman" w:hAnsi="Times New Roman" w:cs="Times New Roman"/>
          <w:sz w:val="24"/>
          <w:szCs w:val="24"/>
        </w:rPr>
        <w:t>Além disso, será calculada a razão de co‑ativação dos pares musculares antagonistas nas articulações do joelho e do tornozelo (VL‑BF e TA‑GM) para cada fase da marcha, de modo que:</w:t>
      </w:r>
      <w:r w:rsidR="00622E6B">
        <w:rPr>
          <w:rFonts w:ascii="Times New Roman" w:hAnsi="Times New Roman" w:cs="Times New Roman"/>
          <w:sz w:val="24"/>
          <w:szCs w:val="24"/>
        </w:rPr>
        <w:t xml:space="preserve"> </w:t>
      </w:r>
      <w:r w:rsidRPr="00325186">
        <w:rPr>
          <w:rFonts w:ascii="Times New Roman" w:hAnsi="Times New Roman" w:cs="Times New Roman"/>
          <w:sz w:val="24"/>
          <w:szCs w:val="24"/>
        </w:rPr>
        <w:t>relação de co‑ativação igual a 1 indica co‑ativação máxima,</w:t>
      </w:r>
      <w:r w:rsidR="00622E6B">
        <w:rPr>
          <w:rFonts w:ascii="Times New Roman" w:hAnsi="Times New Roman" w:cs="Times New Roman"/>
          <w:sz w:val="24"/>
          <w:szCs w:val="24"/>
        </w:rPr>
        <w:t xml:space="preserve"> </w:t>
      </w:r>
      <w:r w:rsidRPr="00325186">
        <w:rPr>
          <w:rFonts w:ascii="Times New Roman" w:hAnsi="Times New Roman" w:cs="Times New Roman"/>
          <w:sz w:val="24"/>
          <w:szCs w:val="24"/>
        </w:rPr>
        <w:t>relação de co‑ativação igual a 0 indica co‑ativação mínima.</w:t>
      </w:r>
      <w:r w:rsidR="00622E6B">
        <w:rPr>
          <w:rFonts w:ascii="Times New Roman" w:hAnsi="Times New Roman" w:cs="Times New Roman"/>
          <w:sz w:val="24"/>
          <w:szCs w:val="24"/>
        </w:rPr>
        <w:t xml:space="preserve"> </w:t>
      </w:r>
      <w:r w:rsidRPr="00325186">
        <w:rPr>
          <w:rFonts w:ascii="Times New Roman" w:hAnsi="Times New Roman" w:cs="Times New Roman"/>
          <w:sz w:val="24"/>
          <w:szCs w:val="24"/>
        </w:rPr>
        <w:t>A razão de co‑ativação será calculada conforme a fórmula:</w:t>
      </w:r>
      <w:r w:rsidR="005039C2">
        <w:rPr>
          <w:rFonts w:ascii="Times New Roman" w:hAnsi="Times New Roman" w:cs="Times New Roman"/>
          <w:sz w:val="24"/>
          <w:szCs w:val="24"/>
        </w:rPr>
        <w:t xml:space="preserve"> </w:t>
      </w:r>
      <w:r w:rsidRPr="00325186">
        <w:rPr>
          <w:rFonts w:ascii="Times New Roman" w:hAnsi="Times New Roman" w:cs="Times New Roman"/>
          <w:sz w:val="24"/>
          <w:szCs w:val="24"/>
        </w:rPr>
        <w:t>relação de co‑ativação = rmsEMG do músculo menos ativo na dupla / rmsEMG do músculo mais ativo na dupla.</w:t>
      </w:r>
      <w:r w:rsidR="00F86D7C">
        <w:rPr>
          <w:rFonts w:ascii="Times New Roman" w:hAnsi="Times New Roman" w:cs="Times New Roman"/>
          <w:sz w:val="24"/>
          <w:szCs w:val="24"/>
        </w:rPr>
        <w:t xml:space="preserve"> </w:t>
      </w:r>
      <w:r w:rsidRPr="00325186">
        <w:rPr>
          <w:rFonts w:ascii="Times New Roman" w:hAnsi="Times New Roman" w:cs="Times New Roman"/>
          <w:sz w:val="24"/>
          <w:szCs w:val="24"/>
        </w:rPr>
        <w:t>Como os sistemas Vicon e EMG são sincronizados por software, os trechos curvos da trajetória de marcha serão identificados por meio dos marcadores do Vicon, e os dados de 1 m antes e 1 m após esses trechos serão excluídos da análise cinemática e EMG. A assimetria dos parâmetros de marcha e a assimetria dos parâmetros EMG entre os membros mais e menos acometidos serão avaliadas em ambas as condições de tDCS (ativa e simulada), seguindo os métodos propostos por Herzog et al.,</w:t>
      </w:r>
      <w:r w:rsidR="00951BA0">
        <w:rPr>
          <w:rFonts w:ascii="Times New Roman" w:hAnsi="Times New Roman" w:cs="Times New Roman"/>
          <w:sz w:val="24"/>
          <w:szCs w:val="24"/>
        </w:rPr>
        <w:t xml:space="preserve"> [147]</w:t>
      </w:r>
      <w:r w:rsidRPr="00325186">
        <w:rPr>
          <w:rFonts w:ascii="Times New Roman" w:hAnsi="Times New Roman" w:cs="Times New Roman"/>
          <w:sz w:val="24"/>
          <w:szCs w:val="24"/>
        </w:rPr>
        <w:t xml:space="preserve"> por meio de um índice de simetria (SI):​</w:t>
      </w:r>
      <w:r w:rsidR="00142D60">
        <w:rPr>
          <w:rFonts w:ascii="Times New Roman" w:hAnsi="Times New Roman" w:cs="Times New Roman"/>
          <w:sz w:val="24"/>
          <w:szCs w:val="24"/>
        </w:rPr>
        <w:t xml:space="preserve"> </w:t>
      </w:r>
    </w:p>
    <w:p w14:paraId="508F2BBA" w14:textId="0FA64F05" w:rsidR="00325186" w:rsidRPr="00142D60" w:rsidRDefault="00325186" w:rsidP="00D5429C">
      <w:pPr>
        <w:rPr>
          <w:rFonts w:ascii="Cambria Math" w:eastAsiaTheme="minorEastAsia" w:hAnsi="Cambria Math" w:cstheme="majorBidi"/>
          <w:i/>
          <w:color w:val="000000" w:themeColor="text1"/>
          <w:sz w:val="24"/>
          <w:szCs w:val="24"/>
          <w:lang w:val="en-GB"/>
        </w:rPr>
      </w:pPr>
      <w:r w:rsidRPr="00325186">
        <w:rPr>
          <w:rFonts w:ascii="Times New Roman" w:hAnsi="Times New Roman" w:cs="Times New Roman"/>
          <w:sz w:val="24"/>
          <w:szCs w:val="24"/>
        </w:rPr>
        <w:t xml:space="preserve"> </w:t>
      </w:r>
      <w:r w:rsidR="00D5429C" w:rsidRPr="00142D60">
        <w:rPr>
          <w:rFonts w:ascii="Cambria Math" w:hAnsi="Cambria Math" w:cstheme="majorBidi"/>
          <w:i/>
          <w:color w:val="000000" w:themeColor="text1"/>
          <w:sz w:val="24"/>
          <w:szCs w:val="24"/>
        </w:rPr>
        <w:br/>
      </w:r>
      <m:oMathPara>
        <m:oMath>
          <m:r>
            <w:rPr>
              <w:rFonts w:ascii="Cambria Math" w:hAnsi="Cambria Math" w:cstheme="majorBidi"/>
              <w:color w:val="000000" w:themeColor="text1"/>
              <w:sz w:val="24"/>
              <w:szCs w:val="24"/>
              <w:lang w:val="en-GB"/>
            </w:rPr>
            <m:t xml:space="preserve">SI= </m:t>
          </m:r>
          <m:d>
            <m:dPr>
              <m:ctrlPr>
                <w:rPr>
                  <w:rFonts w:ascii="Cambria Math" w:hAnsi="Cambria Math" w:cstheme="majorBidi"/>
                  <w:i/>
                  <w:color w:val="000000" w:themeColor="text1"/>
                  <w:sz w:val="24"/>
                  <w:szCs w:val="24"/>
                  <w:lang w:val="en-GB"/>
                </w:rPr>
              </m:ctrlPr>
            </m:dPr>
            <m:e>
              <m:eqArr>
                <m:eqArrPr>
                  <m:ctrlPr>
                    <w:rPr>
                      <w:rFonts w:ascii="Cambria Math" w:hAnsi="Cambria Math" w:cstheme="majorBidi"/>
                      <w:i/>
                      <w:color w:val="000000" w:themeColor="text1"/>
                      <w:sz w:val="24"/>
                      <w:szCs w:val="24"/>
                      <w:lang w:val="en-GB"/>
                    </w:rPr>
                  </m:ctrlPr>
                </m:eqArrPr>
                <m:e>
                  <m:r>
                    <w:rPr>
                      <w:rFonts w:ascii="Cambria Math" w:hAnsi="Cambria Math" w:cstheme="majorBidi"/>
                      <w:color w:val="000000" w:themeColor="text1"/>
                      <w:sz w:val="24"/>
                      <w:szCs w:val="24"/>
                      <w:lang w:val="en-GB"/>
                    </w:rPr>
                    <m:t>Value of LA-Value of MA</m:t>
                  </m:r>
                </m:e>
                <m:e>
                  <m:r>
                    <w:rPr>
                      <w:rFonts w:ascii="Cambria Math" w:hAnsi="Cambria Math" w:cstheme="majorBidi"/>
                      <w:color w:val="000000" w:themeColor="text1"/>
                      <w:sz w:val="24"/>
                      <w:szCs w:val="24"/>
                      <w:lang w:val="en-GB"/>
                    </w:rPr>
                    <m:t>Value of LA+Value of MA</m:t>
                  </m:r>
                </m:e>
              </m:eqArr>
            </m:e>
          </m:d>
          <m:r>
            <w:rPr>
              <w:rFonts w:ascii="Cambria Math" w:eastAsiaTheme="minorEastAsia" w:hAnsi="Cambria Math" w:cstheme="majorBidi"/>
              <w:color w:val="000000" w:themeColor="text1"/>
              <w:sz w:val="24"/>
              <w:szCs w:val="24"/>
              <w:lang w:val="en-GB"/>
            </w:rPr>
            <m:t>X100%</m:t>
          </m:r>
        </m:oMath>
      </m:oMathPara>
    </w:p>
    <w:p w14:paraId="57D96C8C" w14:textId="77777777" w:rsidR="00142D60" w:rsidRPr="00325186" w:rsidRDefault="00142D60" w:rsidP="00D5429C">
      <w:pPr>
        <w:rPr>
          <w:rFonts w:ascii="Times New Roman" w:hAnsi="Times New Roman" w:cs="Times New Roman"/>
          <w:sz w:val="24"/>
          <w:szCs w:val="24"/>
        </w:rPr>
      </w:pPr>
    </w:p>
    <w:p w14:paraId="0F82236B" w14:textId="10978BEC" w:rsidR="00325186" w:rsidRPr="00325186" w:rsidRDefault="00325186" w:rsidP="00822557">
      <w:pPr>
        <w:rPr>
          <w:rFonts w:ascii="Times New Roman" w:hAnsi="Times New Roman" w:cs="Times New Roman"/>
          <w:sz w:val="24"/>
          <w:szCs w:val="24"/>
        </w:rPr>
      </w:pPr>
      <w:r w:rsidRPr="00325186">
        <w:rPr>
          <w:rFonts w:ascii="Times New Roman" w:hAnsi="Times New Roman" w:cs="Times New Roman"/>
          <w:sz w:val="24"/>
          <w:szCs w:val="24"/>
        </w:rPr>
        <w:t>em que MA representa o membro mais acometido e LA o membro menos acometido. Um valor zero no índice indica ausência de diferença entre os lados. Calcularemos a média dos parâmetros de marcha e das variáveis EMG para o membro mais e menos acometido, e esses valores médios comporão a equação.</w:t>
      </w:r>
    </w:p>
    <w:p w14:paraId="0E95833C" w14:textId="77777777" w:rsidR="00325186" w:rsidRPr="00822557" w:rsidRDefault="00325186" w:rsidP="00325186">
      <w:pPr>
        <w:rPr>
          <w:rFonts w:ascii="Times New Roman" w:hAnsi="Times New Roman" w:cs="Times New Roman"/>
          <w:b/>
          <w:bCs/>
          <w:sz w:val="24"/>
          <w:szCs w:val="24"/>
        </w:rPr>
      </w:pPr>
      <w:r w:rsidRPr="00822557">
        <w:rPr>
          <w:rFonts w:ascii="Times New Roman" w:hAnsi="Times New Roman" w:cs="Times New Roman"/>
          <w:b/>
          <w:bCs/>
          <w:sz w:val="24"/>
          <w:szCs w:val="24"/>
        </w:rPr>
        <w:t>Análise estatística</w:t>
      </w:r>
    </w:p>
    <w:p w14:paraId="2979250A" w14:textId="7A4DC309" w:rsidR="00325186" w:rsidRDefault="00325186" w:rsidP="00822557">
      <w:pPr>
        <w:jc w:val="both"/>
        <w:rPr>
          <w:rFonts w:ascii="Times New Roman" w:hAnsi="Times New Roman" w:cs="Times New Roman"/>
          <w:sz w:val="24"/>
          <w:szCs w:val="24"/>
        </w:rPr>
      </w:pPr>
      <w:r w:rsidRPr="00325186">
        <w:rPr>
          <w:rFonts w:ascii="Times New Roman" w:hAnsi="Times New Roman" w:cs="Times New Roman"/>
          <w:sz w:val="24"/>
          <w:szCs w:val="24"/>
        </w:rPr>
        <w:t>O teste de normalidade de Kolmogorov‑Smirnov será utilizado para verificar e confirmar a distribuição normal dos parâmetros espaciotemporais da marcha e da atividade EMG. Os efeitos agudos das intervenções serão examinados por meio de uma análise de variância tridimensional com medidas repetidas, considerando o grupo de estimulação (tDCS ativa × tDCS simulada), o momento (pré‑teste × pós‑teste) e o tipo de configuração (hemisfério mais acometido × hemisfério menos acometido × bilaterais). Testes post hoc de Bonferroni serão utilizados quando a ANOVA revelar interações significativas.</w:t>
      </w:r>
      <w:r w:rsidR="00822557">
        <w:rPr>
          <w:rFonts w:ascii="Times New Roman" w:hAnsi="Times New Roman" w:cs="Times New Roman"/>
          <w:sz w:val="24"/>
          <w:szCs w:val="24"/>
        </w:rPr>
        <w:t xml:space="preserve"> </w:t>
      </w:r>
      <w:r w:rsidRPr="00325186">
        <w:rPr>
          <w:rFonts w:ascii="Times New Roman" w:hAnsi="Times New Roman" w:cs="Times New Roman"/>
          <w:sz w:val="24"/>
          <w:szCs w:val="24"/>
        </w:rPr>
        <w:t>O tamanho do efeito (ES) para cada medida será calculado da seguinte forma:</w:t>
      </w:r>
      <w:r w:rsidR="00822557">
        <w:rPr>
          <w:rFonts w:ascii="Times New Roman" w:hAnsi="Times New Roman" w:cs="Times New Roman"/>
          <w:sz w:val="24"/>
          <w:szCs w:val="24"/>
        </w:rPr>
        <w:t xml:space="preserve"> </w:t>
      </w:r>
      <w:r w:rsidRPr="00325186">
        <w:rPr>
          <w:rFonts w:ascii="Times New Roman" w:hAnsi="Times New Roman" w:cs="Times New Roman"/>
          <w:sz w:val="24"/>
          <w:szCs w:val="24"/>
        </w:rPr>
        <w:t>ES = média D / SD D,</w:t>
      </w:r>
      <w:r w:rsidR="00822557">
        <w:rPr>
          <w:rFonts w:ascii="Times New Roman" w:hAnsi="Times New Roman" w:cs="Times New Roman"/>
          <w:sz w:val="24"/>
          <w:szCs w:val="24"/>
        </w:rPr>
        <w:t xml:space="preserve"> </w:t>
      </w:r>
      <w:r w:rsidRPr="00325186">
        <w:rPr>
          <w:rFonts w:ascii="Times New Roman" w:hAnsi="Times New Roman" w:cs="Times New Roman"/>
          <w:sz w:val="24"/>
          <w:szCs w:val="24"/>
        </w:rPr>
        <w:t>em que D representa a diferença entre os valores das amostras pareadas. Um ES = 0,2 indica efeito pequeno, ES = 0,5 indica efeito moderado e ES = 0,8 indica efeito grande. A análise estatística será realizada utilizando o software SPSS (IBM SPSS Inc., versão 24.0, Chicago, IL, EUA). Em alguns casos em que não houver distribuição normal, testes não paramétricos serão utilizados para a comparação estatística. O nível de significância estatística adotado será α = 0,05.</w:t>
      </w:r>
    </w:p>
    <w:p w14:paraId="4EF16E70" w14:textId="77777777" w:rsidR="00E84A91" w:rsidRDefault="00E84A91" w:rsidP="00822557">
      <w:pPr>
        <w:jc w:val="both"/>
        <w:rPr>
          <w:rFonts w:ascii="Times New Roman" w:hAnsi="Times New Roman" w:cs="Times New Roman"/>
          <w:sz w:val="24"/>
          <w:szCs w:val="24"/>
        </w:rPr>
      </w:pPr>
    </w:p>
    <w:p w14:paraId="5CAB9585" w14:textId="77777777" w:rsidR="00E84A91" w:rsidRPr="00E84A91" w:rsidRDefault="00E84A91" w:rsidP="00E84A91">
      <w:pPr>
        <w:rPr>
          <w:rFonts w:ascii="Times New Roman" w:hAnsi="Times New Roman" w:cs="Times New Roman"/>
          <w:b/>
          <w:bCs/>
          <w:sz w:val="24"/>
          <w:szCs w:val="24"/>
        </w:rPr>
      </w:pPr>
      <w:r w:rsidRPr="00E84A91">
        <w:rPr>
          <w:rFonts w:ascii="Times New Roman" w:hAnsi="Times New Roman" w:cs="Times New Roman"/>
          <w:b/>
          <w:bCs/>
          <w:sz w:val="24"/>
          <w:szCs w:val="24"/>
        </w:rPr>
        <w:t>3.2.2. Estudo 2: Comportamento da assimetria de marcha ao longo de sessões de longo prazo de tDCS em pessoas com doença de Parkinson</w:t>
      </w:r>
    </w:p>
    <w:p w14:paraId="3D93ECD4" w14:textId="77777777" w:rsidR="00E84A91" w:rsidRPr="00E84A91" w:rsidRDefault="00E84A91" w:rsidP="00E84A91">
      <w:pPr>
        <w:rPr>
          <w:rFonts w:ascii="Times New Roman" w:hAnsi="Times New Roman" w:cs="Times New Roman"/>
          <w:sz w:val="24"/>
          <w:szCs w:val="24"/>
        </w:rPr>
      </w:pPr>
      <w:r w:rsidRPr="00E84A91">
        <w:rPr>
          <w:rFonts w:ascii="Times New Roman" w:hAnsi="Times New Roman" w:cs="Times New Roman"/>
          <w:b/>
          <w:bCs/>
          <w:sz w:val="24"/>
          <w:szCs w:val="24"/>
        </w:rPr>
        <w:t>Método</w:t>
      </w:r>
    </w:p>
    <w:p w14:paraId="3A6B69EC" w14:textId="301F6CD9" w:rsidR="00E84A91" w:rsidRPr="00E84A91" w:rsidRDefault="00E84A91" w:rsidP="000D1EDD">
      <w:pPr>
        <w:jc w:val="both"/>
        <w:rPr>
          <w:rFonts w:ascii="Times New Roman" w:hAnsi="Times New Roman" w:cs="Times New Roman"/>
          <w:sz w:val="24"/>
          <w:szCs w:val="24"/>
        </w:rPr>
      </w:pPr>
      <w:r w:rsidRPr="00E84A91">
        <w:rPr>
          <w:rFonts w:ascii="Times New Roman" w:hAnsi="Times New Roman" w:cs="Times New Roman"/>
          <w:sz w:val="24"/>
          <w:szCs w:val="24"/>
        </w:rPr>
        <w:t>A estimativa do tamanho da amostra foi realizada utilizando o software GPower 3.1.97 (Düsseldorf, Alemanha), teste F, considerando um modelo de ANOVA de medidas repetidas, com interação entre fatores intra‑ e inter‑sujeitos, com foco na interação grupo × tempo para o desfecho primário velocidade da marcha. Foi adotada potência estatística de 95% (1 – β = 0,80) e nível de significância α = 0,05. O tamanho do efeito foi fixado em f = 0,256 (η²p ≈ 0,85), com base em pesquisas anteriores que empregaram procedimentos estatísticos semelhantes para examinar o impacto da tDCS sobre parâmetros da marcha em indivíduos com doença de Parkinson . O cálculo considerou 2 grupos (tDCS ativa × tDCS simulada) e 3 medidas repetidas (pré, pós, follow‑up), adotando uma correlação entre medidas repetidas (ρ) de 0,50 e uma correção de não esfericidade (ε) de 1,0. De acordo com o GPower, um mínimo de 14 participantes por grupo é requerido. Para considerar possíveis perdas (~15%), planejamos recrutar 16 participantes por grupo. Pessoas com DP serão selecionadas em um centro especializado da região de Bauru e convidadas para participar deste estudo, que é aleatorizado e duplamente cego. A avaliação clínica e a avaliação da marcha seguirão o mesmo protocolo experimental descrito no Estudo 1. Entretanto, o protocolo de intervenção com tDCS e a análise estatística serão diferentes neste estudo.</w:t>
      </w:r>
    </w:p>
    <w:p w14:paraId="45CB6377" w14:textId="77777777" w:rsidR="00E84A91" w:rsidRPr="000D1EDD" w:rsidRDefault="00E84A91" w:rsidP="00E84A91">
      <w:pPr>
        <w:rPr>
          <w:rFonts w:ascii="Times New Roman" w:hAnsi="Times New Roman" w:cs="Times New Roman"/>
          <w:b/>
          <w:bCs/>
          <w:sz w:val="24"/>
          <w:szCs w:val="24"/>
        </w:rPr>
      </w:pPr>
      <w:r w:rsidRPr="000D1EDD">
        <w:rPr>
          <w:rFonts w:ascii="Times New Roman" w:hAnsi="Times New Roman" w:cs="Times New Roman"/>
          <w:b/>
          <w:bCs/>
          <w:sz w:val="24"/>
          <w:szCs w:val="24"/>
        </w:rPr>
        <w:t>Protocolo de intervenção</w:t>
      </w:r>
    </w:p>
    <w:p w14:paraId="57D3D13B" w14:textId="3EB435B2" w:rsidR="00E84A91" w:rsidRPr="00E84A91" w:rsidRDefault="00E84A91" w:rsidP="006B31DD">
      <w:pPr>
        <w:jc w:val="both"/>
        <w:rPr>
          <w:rFonts w:ascii="Times New Roman" w:hAnsi="Times New Roman" w:cs="Times New Roman"/>
          <w:sz w:val="24"/>
          <w:szCs w:val="24"/>
        </w:rPr>
      </w:pPr>
      <w:r w:rsidRPr="00E84A91">
        <w:rPr>
          <w:rFonts w:ascii="Times New Roman" w:hAnsi="Times New Roman" w:cs="Times New Roman"/>
          <w:sz w:val="24"/>
          <w:szCs w:val="24"/>
        </w:rPr>
        <w:t>Pessoas com DP serão convidadas e distribuídas aleatoriamente em 2 grupos experimentais (16 participantes receberão tDCS ativa e 16 participantes receberão tDCS simulada). De acordo com os resultados do Estudo 1, serão utilizadas a estimulação bilateral ou a estimulação do hemisfério cerebral mais acometido/menos acometido, com base no sistema de posicionamento 10–20 EEG. Para a tDCS ativa, uma corrente elétrica de 2 mA será aplicada por 20 minutos, enquanto o grupo de tDCS simulada receberá uma corrente elétrica de 2 mA por apenas 10 segundos. Para ambos os grupos, será adotada uma rampa de subida e de descida de 10 segundos. As sessões de tDCS ocorrerão durante 4 semanas, com 3 sessões por semana e intervalo de 48 horas entre cada sessão, totalizando 12 sessões por participante.</w:t>
      </w:r>
    </w:p>
    <w:p w14:paraId="740EB51F" w14:textId="77777777" w:rsidR="00E84A91" w:rsidRPr="006B31DD" w:rsidRDefault="00E84A91" w:rsidP="00E84A91">
      <w:pPr>
        <w:rPr>
          <w:rFonts w:ascii="Times New Roman" w:hAnsi="Times New Roman" w:cs="Times New Roman"/>
          <w:b/>
          <w:bCs/>
          <w:sz w:val="24"/>
          <w:szCs w:val="24"/>
        </w:rPr>
      </w:pPr>
      <w:r w:rsidRPr="006B31DD">
        <w:rPr>
          <w:rFonts w:ascii="Times New Roman" w:hAnsi="Times New Roman" w:cs="Times New Roman"/>
          <w:b/>
          <w:bCs/>
          <w:sz w:val="24"/>
          <w:szCs w:val="24"/>
        </w:rPr>
        <w:t>Aquisição de dados</w:t>
      </w:r>
    </w:p>
    <w:p w14:paraId="279C3A5F" w14:textId="73476DA8" w:rsidR="00E84A91" w:rsidRDefault="00E84A91" w:rsidP="00E84A91">
      <w:pPr>
        <w:jc w:val="both"/>
        <w:rPr>
          <w:rFonts w:ascii="Times New Roman" w:hAnsi="Times New Roman" w:cs="Times New Roman"/>
          <w:sz w:val="24"/>
          <w:szCs w:val="24"/>
        </w:rPr>
      </w:pPr>
      <w:r w:rsidRPr="00E84A91">
        <w:rPr>
          <w:rFonts w:ascii="Times New Roman" w:hAnsi="Times New Roman" w:cs="Times New Roman"/>
          <w:sz w:val="24"/>
          <w:szCs w:val="24"/>
        </w:rPr>
        <w:t>Pesquisadores treinados coletarão os desfechos no momento pré (logo antes da primeira sessão de estimulação), no momento pós (logo após a última sessão de estimulação) e um mês após a última sessão de estimulação (momento de follow‑up). A Figura 4 ilustra o protocolo em sua forma esquemática. Todos os dados serão coletados apenas após cada sessão de intervenção (15–20 minutos após o protocolo de tDCS, ativa e simulada).</w:t>
      </w:r>
    </w:p>
    <w:p w14:paraId="2F095D4E" w14:textId="154D50C8" w:rsidR="006246CD" w:rsidRDefault="006246CD" w:rsidP="00E84A91">
      <w:pPr>
        <w:jc w:val="both"/>
        <w:rPr>
          <w:rFonts w:ascii="Times New Roman" w:hAnsi="Times New Roman" w:cs="Times New Roman"/>
          <w:sz w:val="24"/>
          <w:szCs w:val="24"/>
        </w:rPr>
      </w:pPr>
      <w:r w:rsidRPr="0033124D">
        <w:rPr>
          <w:noProof/>
        </w:rPr>
        <w:drawing>
          <wp:inline distT="0" distB="0" distL="0" distR="0" wp14:anchorId="5220BB28" wp14:editId="126CA819">
            <wp:extent cx="5657850" cy="3342581"/>
            <wp:effectExtent l="0" t="0" r="0" b="0"/>
            <wp:docPr id="14660020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4759" cy="3346663"/>
                    </a:xfrm>
                    <a:prstGeom prst="rect">
                      <a:avLst/>
                    </a:prstGeom>
                    <a:noFill/>
                    <a:ln>
                      <a:noFill/>
                    </a:ln>
                  </pic:spPr>
                </pic:pic>
              </a:graphicData>
            </a:graphic>
          </wp:inline>
        </w:drawing>
      </w:r>
    </w:p>
    <w:p w14:paraId="51B78E25" w14:textId="0354373E" w:rsidR="00B609E8" w:rsidRPr="00C870D9" w:rsidRDefault="00B609E8" w:rsidP="00B609E8">
      <w:pPr>
        <w:jc w:val="both"/>
        <w:rPr>
          <w:rFonts w:ascii="Times New Roman" w:hAnsi="Times New Roman" w:cs="Times New Roman"/>
        </w:rPr>
      </w:pPr>
      <w:r w:rsidRPr="00C870D9">
        <w:rPr>
          <w:rFonts w:ascii="Times New Roman" w:hAnsi="Times New Roman" w:cs="Times New Roman"/>
          <w:b/>
          <w:bCs/>
        </w:rPr>
        <w:t>Figura 4.</w:t>
      </w:r>
      <w:r w:rsidRPr="00C870D9">
        <w:rPr>
          <w:rFonts w:ascii="Times New Roman" w:hAnsi="Times New Roman" w:cs="Times New Roman"/>
        </w:rPr>
        <w:t xml:space="preserve"> </w:t>
      </w:r>
      <w:r w:rsidRPr="00C870D9">
        <w:rPr>
          <w:rFonts w:ascii="Times New Roman" w:hAnsi="Times New Roman" w:cs="Times New Roman"/>
        </w:rPr>
        <w:t>A) Ilustração do protocolo de intervenção, e B) ilustração do protocolo de tDCS. Ambos os protocolos de tDCS (simulada e ativa) incluem períodos de 30 segundos de rampa de subida (RU) e de rampa de descida (RD). Nas sessões de tDCS ativa e simulada, uma corrente de estimulação de 2 mA será aplicada por 20 minutos e 10 segundos, respectivamente. A linha horizontal grossa na tDCS simulada representa o tempo restante, durante o qual não ocorre estimulação.</w:t>
      </w:r>
    </w:p>
    <w:p w14:paraId="52EA93DA" w14:textId="77777777" w:rsidR="00C870D9" w:rsidRPr="00C870D9" w:rsidRDefault="00C870D9" w:rsidP="00C870D9">
      <w:pPr>
        <w:rPr>
          <w:rFonts w:ascii="Times New Roman" w:hAnsi="Times New Roman" w:cs="Times New Roman"/>
          <w:b/>
          <w:bCs/>
          <w:sz w:val="24"/>
          <w:szCs w:val="24"/>
        </w:rPr>
      </w:pPr>
      <w:r w:rsidRPr="00C870D9">
        <w:rPr>
          <w:rFonts w:ascii="Times New Roman" w:hAnsi="Times New Roman" w:cs="Times New Roman"/>
          <w:b/>
          <w:bCs/>
          <w:sz w:val="24"/>
          <w:szCs w:val="24"/>
        </w:rPr>
        <w:t>Análise estatística</w:t>
      </w:r>
    </w:p>
    <w:p w14:paraId="520A438F" w14:textId="0C36F255" w:rsidR="00C870D9" w:rsidRDefault="00C870D9" w:rsidP="00C870D9">
      <w:pPr>
        <w:jc w:val="both"/>
        <w:rPr>
          <w:rFonts w:ascii="Times New Roman" w:hAnsi="Times New Roman" w:cs="Times New Roman"/>
          <w:sz w:val="24"/>
          <w:szCs w:val="24"/>
        </w:rPr>
      </w:pPr>
      <w:r w:rsidRPr="00C870D9">
        <w:rPr>
          <w:rFonts w:ascii="Times New Roman" w:hAnsi="Times New Roman" w:cs="Times New Roman"/>
          <w:sz w:val="24"/>
          <w:szCs w:val="24"/>
        </w:rPr>
        <w:t>O teste de normalidade de Kolmogorov‑Smirnov será utilizado para verificar e confirmar a distribuição normal da velocidade de marcha, dos parâmetros espaciotemporais da marcha e da mediana da atividade muscular. Será utilizado um modelo linear misto com medidas repetidas (Mixed ANOVA de medidas repetidas) para avaliar o efeito entre sujeitos (tDCS ativa/simulada) e o efeito intra‑sujeito (tempo) sobre a assimetria de marcha (GA) e as variáveis eletromiográficas. O tamanho do efeito (ES) será reportado. O nível de significância estatística adotado será α = 0,05.</w:t>
      </w:r>
    </w:p>
    <w:p w14:paraId="057244C9" w14:textId="77777777" w:rsidR="009D75B3" w:rsidRDefault="009D75B3" w:rsidP="00C870D9">
      <w:pPr>
        <w:jc w:val="both"/>
        <w:rPr>
          <w:rFonts w:ascii="Times New Roman" w:hAnsi="Times New Roman" w:cs="Times New Roman"/>
          <w:sz w:val="24"/>
          <w:szCs w:val="24"/>
        </w:rPr>
      </w:pPr>
    </w:p>
    <w:p w14:paraId="016506B8" w14:textId="7C3B4469" w:rsidR="00C76154" w:rsidRDefault="00C76154" w:rsidP="00C870D9">
      <w:pPr>
        <w:jc w:val="both"/>
        <w:rPr>
          <w:rFonts w:ascii="Times New Roman" w:hAnsi="Times New Roman" w:cs="Times New Roman"/>
          <w:b/>
          <w:bCs/>
          <w:sz w:val="24"/>
          <w:szCs w:val="24"/>
        </w:rPr>
      </w:pPr>
      <w:r>
        <w:rPr>
          <w:rFonts w:ascii="Times New Roman" w:hAnsi="Times New Roman" w:cs="Times New Roman"/>
          <w:b/>
          <w:bCs/>
          <w:sz w:val="24"/>
          <w:szCs w:val="24"/>
        </w:rPr>
        <w:t>4. ATIVIDADES DO CRONOGRAMA</w:t>
      </w:r>
    </w:p>
    <w:p w14:paraId="3D20FB42" w14:textId="29B2C801" w:rsidR="00C76154" w:rsidRDefault="00C76154" w:rsidP="00C870D9">
      <w:pPr>
        <w:jc w:val="both"/>
        <w:rPr>
          <w:rFonts w:ascii="Times New Roman" w:hAnsi="Times New Roman" w:cs="Times New Roman"/>
          <w:sz w:val="24"/>
          <w:szCs w:val="24"/>
        </w:rPr>
      </w:pPr>
      <w:r>
        <w:rPr>
          <w:rFonts w:ascii="Times New Roman" w:hAnsi="Times New Roman" w:cs="Times New Roman"/>
          <w:sz w:val="24"/>
          <w:szCs w:val="24"/>
        </w:rPr>
        <w:t xml:space="preserve">A tabela mostra </w:t>
      </w:r>
      <w:r w:rsidR="0084346A">
        <w:rPr>
          <w:rFonts w:ascii="Times New Roman" w:hAnsi="Times New Roman" w:cs="Times New Roman"/>
          <w:sz w:val="24"/>
          <w:szCs w:val="24"/>
        </w:rPr>
        <w:t xml:space="preserve">as atividades programadas para este projeto. </w:t>
      </w:r>
    </w:p>
    <w:p w14:paraId="6EE11FFF" w14:textId="77777777" w:rsidR="0009186D" w:rsidRDefault="0009186D" w:rsidP="00C870D9">
      <w:pPr>
        <w:jc w:val="both"/>
        <w:rPr>
          <w:rFonts w:ascii="Times New Roman" w:hAnsi="Times New Roman" w:cs="Times New Roman"/>
          <w:sz w:val="24"/>
          <w:szCs w:val="24"/>
        </w:rPr>
      </w:pPr>
    </w:p>
    <w:p w14:paraId="78287907" w14:textId="77777777" w:rsidR="0009186D" w:rsidRDefault="0009186D" w:rsidP="00C870D9">
      <w:pPr>
        <w:jc w:val="both"/>
        <w:rPr>
          <w:rFonts w:ascii="Times New Roman" w:hAnsi="Times New Roman" w:cs="Times New Roman"/>
          <w:sz w:val="24"/>
          <w:szCs w:val="24"/>
        </w:rPr>
      </w:pPr>
    </w:p>
    <w:p w14:paraId="03F9FBCB" w14:textId="77777777" w:rsidR="0009186D" w:rsidRDefault="0009186D" w:rsidP="00C870D9">
      <w:pPr>
        <w:jc w:val="both"/>
        <w:rPr>
          <w:rFonts w:ascii="Times New Roman" w:hAnsi="Times New Roman" w:cs="Times New Roman"/>
          <w:sz w:val="24"/>
          <w:szCs w:val="24"/>
        </w:rPr>
      </w:pPr>
    </w:p>
    <w:p w14:paraId="53CDD675" w14:textId="77777777" w:rsidR="0009186D" w:rsidRDefault="0009186D" w:rsidP="00C870D9">
      <w:pPr>
        <w:jc w:val="both"/>
        <w:rPr>
          <w:rFonts w:ascii="Times New Roman" w:hAnsi="Times New Roman" w:cs="Times New Roman"/>
          <w:sz w:val="24"/>
          <w:szCs w:val="24"/>
        </w:rPr>
      </w:pPr>
    </w:p>
    <w:tbl>
      <w:tblPr>
        <w:tblStyle w:val="TabeladeGradeClara"/>
        <w:tblW w:w="9628" w:type="dxa"/>
        <w:jc w:val="center"/>
        <w:tblLayout w:type="fixed"/>
        <w:tblLook w:val="04A0" w:firstRow="1" w:lastRow="0" w:firstColumn="1" w:lastColumn="0" w:noHBand="0" w:noVBand="1"/>
      </w:tblPr>
      <w:tblGrid>
        <w:gridCol w:w="2689"/>
        <w:gridCol w:w="613"/>
        <w:gridCol w:w="521"/>
        <w:gridCol w:w="566"/>
        <w:gridCol w:w="672"/>
        <w:gridCol w:w="549"/>
        <w:gridCol w:w="575"/>
        <w:gridCol w:w="671"/>
        <w:gridCol w:w="543"/>
        <w:gridCol w:w="569"/>
        <w:gridCol w:w="546"/>
        <w:gridCol w:w="553"/>
        <w:gridCol w:w="561"/>
      </w:tblGrid>
      <w:tr w:rsidR="0009186D" w:rsidRPr="00E25C8D" w14:paraId="33832BA5" w14:textId="77777777" w:rsidTr="00391C08">
        <w:trPr>
          <w:trHeight w:val="285"/>
          <w:jc w:val="center"/>
        </w:trPr>
        <w:tc>
          <w:tcPr>
            <w:tcW w:w="2689" w:type="dxa"/>
            <w:vMerge w:val="restart"/>
            <w:noWrap/>
            <w:vAlign w:val="center"/>
            <w:hideMark/>
          </w:tcPr>
          <w:p w14:paraId="0C4BB966" w14:textId="685BCA96" w:rsidR="0009186D" w:rsidRPr="00E25C8D" w:rsidRDefault="0009186D" w:rsidP="00391C08">
            <w:pPr>
              <w:jc w:val="center"/>
              <w:rPr>
                <w:rFonts w:asciiTheme="majorBidi" w:eastAsia="Times New Roman" w:hAnsiTheme="majorBidi" w:cstheme="majorBidi"/>
                <w:sz w:val="20"/>
                <w:szCs w:val="20"/>
              </w:rPr>
            </w:pPr>
            <w:r>
              <w:rPr>
                <w:rFonts w:asciiTheme="majorBidi" w:eastAsia="Times New Roman" w:hAnsiTheme="majorBidi" w:cstheme="majorBidi"/>
                <w:color w:val="000000"/>
                <w:sz w:val="20"/>
                <w:szCs w:val="20"/>
              </w:rPr>
              <w:t>Atividade</w:t>
            </w:r>
          </w:p>
        </w:tc>
        <w:tc>
          <w:tcPr>
            <w:tcW w:w="6939" w:type="dxa"/>
            <w:gridSpan w:val="12"/>
            <w:noWrap/>
            <w:hideMark/>
          </w:tcPr>
          <w:p w14:paraId="50143D5E" w14:textId="4C3038A7" w:rsidR="0009186D" w:rsidRPr="00E25C8D" w:rsidRDefault="0009186D" w:rsidP="00391C08">
            <w:pPr>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Periodo</w:t>
            </w:r>
          </w:p>
        </w:tc>
      </w:tr>
      <w:tr w:rsidR="0009186D" w:rsidRPr="00947A88" w14:paraId="75E936EF" w14:textId="77777777" w:rsidTr="00391C08">
        <w:trPr>
          <w:trHeight w:val="285"/>
          <w:jc w:val="center"/>
        </w:trPr>
        <w:tc>
          <w:tcPr>
            <w:tcW w:w="2689" w:type="dxa"/>
            <w:vMerge/>
            <w:noWrap/>
            <w:hideMark/>
          </w:tcPr>
          <w:p w14:paraId="4A2E3361" w14:textId="77777777" w:rsidR="0009186D" w:rsidRPr="00E25C8D" w:rsidRDefault="0009186D" w:rsidP="00391C08">
            <w:pPr>
              <w:rPr>
                <w:rFonts w:asciiTheme="majorBidi" w:eastAsia="Times New Roman" w:hAnsiTheme="majorBidi" w:cstheme="majorBidi"/>
                <w:color w:val="000000"/>
                <w:sz w:val="20"/>
                <w:szCs w:val="20"/>
              </w:rPr>
            </w:pPr>
          </w:p>
        </w:tc>
        <w:tc>
          <w:tcPr>
            <w:tcW w:w="1134" w:type="dxa"/>
            <w:gridSpan w:val="2"/>
            <w:noWrap/>
            <w:hideMark/>
          </w:tcPr>
          <w:p w14:paraId="6975F34B" w14:textId="55631F02" w:rsidR="0009186D" w:rsidRPr="00947A88" w:rsidRDefault="0009186D" w:rsidP="00391C08">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1</w:t>
            </w:r>
            <w:r w:rsidRPr="00947A88">
              <w:rPr>
                <w:rFonts w:asciiTheme="majorBidi" w:eastAsia="Times New Roman" w:hAnsiTheme="majorBidi" w:cstheme="majorBidi"/>
                <w:color w:val="000000"/>
                <w:sz w:val="18"/>
                <w:szCs w:val="18"/>
                <w:vertAlign w:val="superscript"/>
              </w:rPr>
              <w:t>sd</w:t>
            </w:r>
            <w:r>
              <w:rPr>
                <w:rFonts w:asciiTheme="majorBidi" w:eastAsia="Times New Roman" w:hAnsiTheme="majorBidi" w:cstheme="majorBidi"/>
                <w:color w:val="000000"/>
                <w:sz w:val="18"/>
                <w:szCs w:val="18"/>
              </w:rPr>
              <w:t>semestre</w:t>
            </w:r>
          </w:p>
        </w:tc>
        <w:tc>
          <w:tcPr>
            <w:tcW w:w="1238" w:type="dxa"/>
            <w:gridSpan w:val="2"/>
            <w:noWrap/>
            <w:hideMark/>
          </w:tcPr>
          <w:p w14:paraId="6D036307" w14:textId="20CBF254" w:rsidR="0009186D" w:rsidRPr="00947A88" w:rsidRDefault="0009186D" w:rsidP="00391C08">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2</w:t>
            </w:r>
            <w:r w:rsidRPr="00947A88">
              <w:rPr>
                <w:rFonts w:asciiTheme="majorBidi" w:eastAsia="Times New Roman" w:hAnsiTheme="majorBidi" w:cstheme="majorBidi"/>
                <w:color w:val="000000"/>
                <w:sz w:val="18"/>
                <w:szCs w:val="18"/>
                <w:vertAlign w:val="superscript"/>
              </w:rPr>
              <w:t>nd</w:t>
            </w:r>
            <w:r w:rsidR="00DC6593">
              <w:rPr>
                <w:rFonts w:asciiTheme="majorBidi" w:eastAsia="Times New Roman" w:hAnsiTheme="majorBidi" w:cstheme="majorBidi"/>
                <w:color w:val="000000"/>
                <w:sz w:val="18"/>
                <w:szCs w:val="18"/>
              </w:rPr>
              <w:t>semestre</w:t>
            </w:r>
          </w:p>
        </w:tc>
        <w:tc>
          <w:tcPr>
            <w:tcW w:w="1124" w:type="dxa"/>
            <w:gridSpan w:val="2"/>
            <w:noWrap/>
            <w:hideMark/>
          </w:tcPr>
          <w:p w14:paraId="35FAFB21" w14:textId="14AA2173" w:rsidR="0009186D" w:rsidRPr="00947A88" w:rsidRDefault="0009186D" w:rsidP="00391C08">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3</w:t>
            </w:r>
            <w:r w:rsidRPr="00947A88">
              <w:rPr>
                <w:rFonts w:asciiTheme="majorBidi" w:eastAsia="Times New Roman" w:hAnsiTheme="majorBidi" w:cstheme="majorBidi"/>
                <w:color w:val="000000"/>
                <w:sz w:val="18"/>
                <w:szCs w:val="18"/>
                <w:vertAlign w:val="superscript"/>
              </w:rPr>
              <w:t>rd</w:t>
            </w:r>
            <w:r w:rsidR="00DC6593">
              <w:rPr>
                <w:rFonts w:asciiTheme="majorBidi" w:eastAsia="Times New Roman" w:hAnsiTheme="majorBidi" w:cstheme="majorBidi"/>
                <w:color w:val="000000"/>
                <w:sz w:val="18"/>
                <w:szCs w:val="18"/>
              </w:rPr>
              <w:t>semestre</w:t>
            </w:r>
          </w:p>
        </w:tc>
        <w:tc>
          <w:tcPr>
            <w:tcW w:w="1214" w:type="dxa"/>
            <w:gridSpan w:val="2"/>
            <w:noWrap/>
            <w:hideMark/>
          </w:tcPr>
          <w:p w14:paraId="7880F6EE" w14:textId="57FCDB52" w:rsidR="0009186D" w:rsidRPr="00947A88" w:rsidRDefault="0009186D" w:rsidP="00391C08">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4</w:t>
            </w:r>
            <w:r w:rsidRPr="00947A88">
              <w:rPr>
                <w:rFonts w:asciiTheme="majorBidi" w:eastAsia="Times New Roman" w:hAnsiTheme="majorBidi" w:cstheme="majorBidi"/>
                <w:color w:val="000000"/>
                <w:sz w:val="18"/>
                <w:szCs w:val="18"/>
                <w:vertAlign w:val="superscript"/>
              </w:rPr>
              <w:t>th</w:t>
            </w:r>
            <w:r w:rsidR="00DC6593">
              <w:rPr>
                <w:rFonts w:asciiTheme="majorBidi" w:eastAsia="Times New Roman" w:hAnsiTheme="majorBidi" w:cstheme="majorBidi"/>
                <w:color w:val="000000"/>
                <w:sz w:val="18"/>
                <w:szCs w:val="18"/>
              </w:rPr>
              <w:t>semestre</w:t>
            </w:r>
            <w:r w:rsidRPr="00947A88">
              <w:rPr>
                <w:rFonts w:asciiTheme="majorBidi" w:eastAsia="Times New Roman" w:hAnsiTheme="majorBidi" w:cstheme="majorBidi"/>
                <w:color w:val="000000"/>
                <w:sz w:val="18"/>
                <w:szCs w:val="18"/>
              </w:rPr>
              <w:t>  </w:t>
            </w:r>
          </w:p>
        </w:tc>
        <w:tc>
          <w:tcPr>
            <w:tcW w:w="1115" w:type="dxa"/>
            <w:gridSpan w:val="2"/>
          </w:tcPr>
          <w:p w14:paraId="068DEF6B" w14:textId="5875C7BA" w:rsidR="0009186D" w:rsidRPr="00947A88" w:rsidRDefault="0009186D" w:rsidP="00391C08">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5</w:t>
            </w:r>
            <w:r w:rsidRPr="00947A88">
              <w:rPr>
                <w:rFonts w:asciiTheme="majorBidi" w:eastAsia="Times New Roman" w:hAnsiTheme="majorBidi" w:cstheme="majorBidi"/>
                <w:color w:val="000000"/>
                <w:sz w:val="18"/>
                <w:szCs w:val="18"/>
                <w:vertAlign w:val="superscript"/>
              </w:rPr>
              <w:t>th</w:t>
            </w:r>
            <w:r w:rsidR="00DC6593">
              <w:rPr>
                <w:rFonts w:asciiTheme="majorBidi" w:eastAsia="Times New Roman" w:hAnsiTheme="majorBidi" w:cstheme="majorBidi"/>
                <w:color w:val="000000"/>
                <w:sz w:val="18"/>
                <w:szCs w:val="18"/>
              </w:rPr>
              <w:t>semestre</w:t>
            </w:r>
          </w:p>
        </w:tc>
        <w:tc>
          <w:tcPr>
            <w:tcW w:w="1114" w:type="dxa"/>
            <w:gridSpan w:val="2"/>
          </w:tcPr>
          <w:p w14:paraId="0E267F2A" w14:textId="65D900C8" w:rsidR="0009186D" w:rsidRPr="00947A88" w:rsidRDefault="0009186D" w:rsidP="00391C08">
            <w:pPr>
              <w:rPr>
                <w:rFonts w:asciiTheme="majorBidi" w:eastAsia="Times New Roman" w:hAnsiTheme="majorBidi" w:cstheme="majorBidi"/>
                <w:color w:val="000000"/>
                <w:sz w:val="18"/>
                <w:szCs w:val="18"/>
              </w:rPr>
            </w:pPr>
            <w:r w:rsidRPr="00947A88">
              <w:rPr>
                <w:rFonts w:asciiTheme="majorBidi" w:eastAsia="Times New Roman" w:hAnsiTheme="majorBidi" w:cstheme="majorBidi"/>
                <w:color w:val="000000"/>
                <w:sz w:val="18"/>
                <w:szCs w:val="18"/>
              </w:rPr>
              <w:t>6</w:t>
            </w:r>
            <w:r w:rsidRPr="00947A88">
              <w:rPr>
                <w:rFonts w:asciiTheme="majorBidi" w:eastAsia="Times New Roman" w:hAnsiTheme="majorBidi" w:cstheme="majorBidi"/>
                <w:color w:val="000000"/>
                <w:sz w:val="18"/>
                <w:szCs w:val="18"/>
                <w:vertAlign w:val="superscript"/>
              </w:rPr>
              <w:t>th</w:t>
            </w:r>
            <w:r w:rsidR="00DC6593">
              <w:rPr>
                <w:rFonts w:asciiTheme="majorBidi" w:eastAsia="Times New Roman" w:hAnsiTheme="majorBidi" w:cstheme="majorBidi"/>
                <w:color w:val="000000"/>
                <w:sz w:val="18"/>
                <w:szCs w:val="18"/>
              </w:rPr>
              <w:t>semestre</w:t>
            </w:r>
          </w:p>
        </w:tc>
      </w:tr>
      <w:tr w:rsidR="0009186D" w:rsidRPr="00E25C8D" w14:paraId="3EDD8608" w14:textId="77777777" w:rsidTr="00391C08">
        <w:trPr>
          <w:trHeight w:val="285"/>
          <w:jc w:val="center"/>
        </w:trPr>
        <w:tc>
          <w:tcPr>
            <w:tcW w:w="2689" w:type="dxa"/>
            <w:noWrap/>
            <w:hideMark/>
          </w:tcPr>
          <w:p w14:paraId="0EED765F" w14:textId="77FF110D" w:rsidR="0009186D" w:rsidRPr="00E25C8D" w:rsidRDefault="00DC6593"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Revisão de lieteratura</w:t>
            </w:r>
          </w:p>
        </w:tc>
        <w:tc>
          <w:tcPr>
            <w:tcW w:w="613" w:type="dxa"/>
            <w:shd w:val="clear" w:color="auto" w:fill="0070C0"/>
            <w:noWrap/>
          </w:tcPr>
          <w:p w14:paraId="46E2E49E" w14:textId="77777777" w:rsidR="0009186D" w:rsidRPr="00E25C8D" w:rsidRDefault="0009186D" w:rsidP="00391C08">
            <w:pPr>
              <w:jc w:val="center"/>
              <w:rPr>
                <w:rFonts w:asciiTheme="majorBidi" w:eastAsia="Times New Roman" w:hAnsiTheme="majorBidi" w:cstheme="majorBidi"/>
                <w:color w:val="000000"/>
                <w:sz w:val="20"/>
                <w:szCs w:val="20"/>
                <w:highlight w:val="blue"/>
              </w:rPr>
            </w:pPr>
          </w:p>
        </w:tc>
        <w:tc>
          <w:tcPr>
            <w:tcW w:w="521" w:type="dxa"/>
            <w:shd w:val="clear" w:color="auto" w:fill="0070C0"/>
            <w:noWrap/>
          </w:tcPr>
          <w:p w14:paraId="09694D87" w14:textId="77777777" w:rsidR="0009186D" w:rsidRPr="00E25C8D" w:rsidRDefault="0009186D" w:rsidP="00391C08">
            <w:pPr>
              <w:jc w:val="center"/>
              <w:rPr>
                <w:rFonts w:asciiTheme="majorBidi" w:eastAsia="Times New Roman" w:hAnsiTheme="majorBidi" w:cstheme="majorBidi"/>
                <w:color w:val="000000"/>
                <w:sz w:val="20"/>
                <w:szCs w:val="20"/>
                <w:highlight w:val="blue"/>
              </w:rPr>
            </w:pPr>
          </w:p>
        </w:tc>
        <w:tc>
          <w:tcPr>
            <w:tcW w:w="566" w:type="dxa"/>
            <w:shd w:val="clear" w:color="auto" w:fill="FF0000"/>
            <w:noWrap/>
          </w:tcPr>
          <w:p w14:paraId="27CFFC80"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0000"/>
            <w:noWrap/>
          </w:tcPr>
          <w:p w14:paraId="711686C6"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shd w:val="clear" w:color="auto" w:fill="00B050"/>
            <w:noWrap/>
          </w:tcPr>
          <w:p w14:paraId="083D56B0"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shd w:val="clear" w:color="auto" w:fill="00B050"/>
            <w:noWrap/>
          </w:tcPr>
          <w:p w14:paraId="3433620C"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1" w:type="dxa"/>
            <w:shd w:val="clear" w:color="auto" w:fill="FFC000"/>
            <w:noWrap/>
          </w:tcPr>
          <w:p w14:paraId="32454478"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3" w:type="dxa"/>
            <w:shd w:val="clear" w:color="auto" w:fill="FFC000"/>
            <w:noWrap/>
          </w:tcPr>
          <w:p w14:paraId="26608ED4"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69" w:type="dxa"/>
            <w:shd w:val="clear" w:color="auto" w:fill="ADADAD" w:themeFill="background2" w:themeFillShade="BF"/>
          </w:tcPr>
          <w:p w14:paraId="61542FAF"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6" w:type="dxa"/>
            <w:shd w:val="clear" w:color="auto" w:fill="ADADAD" w:themeFill="background2" w:themeFillShade="BF"/>
          </w:tcPr>
          <w:p w14:paraId="75B63027"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53" w:type="dxa"/>
            <w:shd w:val="clear" w:color="auto" w:fill="7030A0"/>
          </w:tcPr>
          <w:p w14:paraId="6962315D"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61" w:type="dxa"/>
            <w:shd w:val="clear" w:color="auto" w:fill="7030A0"/>
          </w:tcPr>
          <w:p w14:paraId="770CBDE2" w14:textId="77777777" w:rsidR="0009186D" w:rsidRPr="00E25C8D" w:rsidRDefault="0009186D" w:rsidP="00391C08">
            <w:pPr>
              <w:jc w:val="center"/>
              <w:rPr>
                <w:rFonts w:asciiTheme="majorBidi" w:eastAsia="Times New Roman" w:hAnsiTheme="majorBidi" w:cstheme="majorBidi"/>
                <w:color w:val="000000"/>
                <w:sz w:val="20"/>
                <w:szCs w:val="20"/>
              </w:rPr>
            </w:pPr>
          </w:p>
        </w:tc>
      </w:tr>
      <w:tr w:rsidR="0009186D" w:rsidRPr="00E25C8D" w14:paraId="25D29E9A" w14:textId="77777777" w:rsidTr="00391C08">
        <w:trPr>
          <w:trHeight w:val="285"/>
          <w:jc w:val="center"/>
        </w:trPr>
        <w:tc>
          <w:tcPr>
            <w:tcW w:w="2689" w:type="dxa"/>
            <w:noWrap/>
            <w:hideMark/>
          </w:tcPr>
          <w:p w14:paraId="536BAF5B" w14:textId="59B5A21C" w:rsidR="0009186D" w:rsidRPr="00DC6593" w:rsidRDefault="00DC6593" w:rsidP="00391C08">
            <w:pPr>
              <w:rPr>
                <w:rFonts w:asciiTheme="majorBidi" w:eastAsia="Times New Roman" w:hAnsiTheme="majorBidi" w:cstheme="majorBidi"/>
                <w:color w:val="000000"/>
                <w:sz w:val="20"/>
                <w:szCs w:val="20"/>
                <w:lang w:val="pt-BR"/>
              </w:rPr>
            </w:pPr>
            <w:r w:rsidRPr="00DC6593">
              <w:rPr>
                <w:rFonts w:asciiTheme="majorBidi" w:eastAsia="Times New Roman" w:hAnsiTheme="majorBidi" w:cstheme="majorBidi"/>
                <w:color w:val="000000"/>
                <w:sz w:val="20"/>
                <w:szCs w:val="20"/>
                <w:lang w:val="pt-BR"/>
              </w:rPr>
              <w:t>Subimissão no cometê de é</w:t>
            </w:r>
            <w:r>
              <w:rPr>
                <w:rFonts w:asciiTheme="majorBidi" w:eastAsia="Times New Roman" w:hAnsiTheme="majorBidi" w:cstheme="majorBidi"/>
                <w:color w:val="000000"/>
                <w:sz w:val="20"/>
                <w:szCs w:val="20"/>
                <w:lang w:val="pt-BR"/>
              </w:rPr>
              <w:t>tica</w:t>
            </w:r>
          </w:p>
        </w:tc>
        <w:tc>
          <w:tcPr>
            <w:tcW w:w="613" w:type="dxa"/>
            <w:shd w:val="clear" w:color="auto" w:fill="0070C0"/>
            <w:noWrap/>
          </w:tcPr>
          <w:p w14:paraId="653316B7" w14:textId="77777777" w:rsidR="0009186D" w:rsidRPr="00DC6593" w:rsidRDefault="0009186D" w:rsidP="00391C08">
            <w:pPr>
              <w:jc w:val="center"/>
              <w:rPr>
                <w:rFonts w:asciiTheme="majorBidi" w:eastAsia="Times New Roman" w:hAnsiTheme="majorBidi" w:cstheme="majorBidi"/>
                <w:color w:val="000000"/>
                <w:sz w:val="20"/>
                <w:szCs w:val="20"/>
                <w:highlight w:val="blue"/>
                <w:lang w:val="pt-BR"/>
              </w:rPr>
            </w:pPr>
          </w:p>
        </w:tc>
        <w:tc>
          <w:tcPr>
            <w:tcW w:w="521" w:type="dxa"/>
            <w:shd w:val="clear" w:color="auto" w:fill="0070C0"/>
            <w:noWrap/>
          </w:tcPr>
          <w:p w14:paraId="73FB5074" w14:textId="77777777" w:rsidR="0009186D" w:rsidRPr="00DC6593" w:rsidRDefault="0009186D" w:rsidP="00391C08">
            <w:pPr>
              <w:jc w:val="center"/>
              <w:rPr>
                <w:rFonts w:asciiTheme="majorBidi" w:eastAsia="Times New Roman" w:hAnsiTheme="majorBidi" w:cstheme="majorBidi"/>
                <w:color w:val="000000"/>
                <w:sz w:val="20"/>
                <w:szCs w:val="20"/>
                <w:highlight w:val="blue"/>
                <w:lang w:val="pt-BR"/>
              </w:rPr>
            </w:pPr>
          </w:p>
        </w:tc>
        <w:tc>
          <w:tcPr>
            <w:tcW w:w="566" w:type="dxa"/>
            <w:shd w:val="clear" w:color="auto" w:fill="FFFFFF" w:themeFill="background1"/>
            <w:noWrap/>
          </w:tcPr>
          <w:p w14:paraId="0B4A7A83" w14:textId="77777777" w:rsidR="0009186D" w:rsidRPr="00DC6593" w:rsidRDefault="0009186D" w:rsidP="00391C08">
            <w:pPr>
              <w:jc w:val="center"/>
              <w:rPr>
                <w:rFonts w:asciiTheme="majorBidi" w:eastAsia="Times New Roman" w:hAnsiTheme="majorBidi" w:cstheme="majorBidi"/>
                <w:color w:val="000000"/>
                <w:sz w:val="20"/>
                <w:szCs w:val="20"/>
                <w:lang w:val="pt-BR"/>
              </w:rPr>
            </w:pPr>
          </w:p>
        </w:tc>
        <w:tc>
          <w:tcPr>
            <w:tcW w:w="672" w:type="dxa"/>
            <w:shd w:val="clear" w:color="auto" w:fill="FFFFFF" w:themeFill="background1"/>
            <w:noWrap/>
          </w:tcPr>
          <w:p w14:paraId="434ABD8B" w14:textId="77777777" w:rsidR="0009186D" w:rsidRPr="00DC6593" w:rsidRDefault="0009186D" w:rsidP="00391C08">
            <w:pPr>
              <w:jc w:val="center"/>
              <w:rPr>
                <w:rFonts w:asciiTheme="majorBidi" w:eastAsia="Times New Roman" w:hAnsiTheme="majorBidi" w:cstheme="majorBidi"/>
                <w:sz w:val="20"/>
                <w:szCs w:val="20"/>
                <w:lang w:val="pt-BR"/>
              </w:rPr>
            </w:pPr>
          </w:p>
        </w:tc>
        <w:tc>
          <w:tcPr>
            <w:tcW w:w="549" w:type="dxa"/>
            <w:noWrap/>
          </w:tcPr>
          <w:p w14:paraId="2556620D" w14:textId="77777777" w:rsidR="0009186D" w:rsidRPr="00DC6593" w:rsidRDefault="0009186D" w:rsidP="00391C08">
            <w:pPr>
              <w:jc w:val="center"/>
              <w:rPr>
                <w:rFonts w:asciiTheme="majorBidi" w:eastAsia="Times New Roman" w:hAnsiTheme="majorBidi" w:cstheme="majorBidi"/>
                <w:sz w:val="20"/>
                <w:szCs w:val="20"/>
                <w:lang w:val="pt-BR"/>
              </w:rPr>
            </w:pPr>
          </w:p>
        </w:tc>
        <w:tc>
          <w:tcPr>
            <w:tcW w:w="575" w:type="dxa"/>
            <w:noWrap/>
          </w:tcPr>
          <w:p w14:paraId="7DFC5D6B" w14:textId="77777777" w:rsidR="0009186D" w:rsidRPr="00DC6593" w:rsidRDefault="0009186D" w:rsidP="00391C08">
            <w:pPr>
              <w:jc w:val="center"/>
              <w:rPr>
                <w:rFonts w:asciiTheme="majorBidi" w:eastAsia="Times New Roman" w:hAnsiTheme="majorBidi" w:cstheme="majorBidi"/>
                <w:sz w:val="20"/>
                <w:szCs w:val="20"/>
                <w:lang w:val="pt-BR"/>
              </w:rPr>
            </w:pPr>
          </w:p>
        </w:tc>
        <w:tc>
          <w:tcPr>
            <w:tcW w:w="671" w:type="dxa"/>
            <w:noWrap/>
          </w:tcPr>
          <w:p w14:paraId="5598C3C3" w14:textId="77777777" w:rsidR="0009186D" w:rsidRPr="00DC6593" w:rsidRDefault="0009186D" w:rsidP="00391C08">
            <w:pPr>
              <w:jc w:val="center"/>
              <w:rPr>
                <w:rFonts w:asciiTheme="majorBidi" w:eastAsia="Times New Roman" w:hAnsiTheme="majorBidi" w:cstheme="majorBidi"/>
                <w:sz w:val="20"/>
                <w:szCs w:val="20"/>
                <w:lang w:val="pt-BR"/>
              </w:rPr>
            </w:pPr>
          </w:p>
        </w:tc>
        <w:tc>
          <w:tcPr>
            <w:tcW w:w="543" w:type="dxa"/>
            <w:noWrap/>
          </w:tcPr>
          <w:p w14:paraId="609AED46" w14:textId="77777777" w:rsidR="0009186D" w:rsidRPr="00DC6593" w:rsidRDefault="0009186D" w:rsidP="00391C08">
            <w:pPr>
              <w:jc w:val="center"/>
              <w:rPr>
                <w:rFonts w:asciiTheme="majorBidi" w:eastAsia="Times New Roman" w:hAnsiTheme="majorBidi" w:cstheme="majorBidi"/>
                <w:sz w:val="20"/>
                <w:szCs w:val="20"/>
                <w:lang w:val="pt-BR"/>
              </w:rPr>
            </w:pPr>
          </w:p>
        </w:tc>
        <w:tc>
          <w:tcPr>
            <w:tcW w:w="569" w:type="dxa"/>
          </w:tcPr>
          <w:p w14:paraId="328D83AD" w14:textId="77777777" w:rsidR="0009186D" w:rsidRPr="00DC6593" w:rsidRDefault="0009186D" w:rsidP="00391C08">
            <w:pPr>
              <w:jc w:val="center"/>
              <w:rPr>
                <w:rFonts w:asciiTheme="majorBidi" w:eastAsia="Times New Roman" w:hAnsiTheme="majorBidi" w:cstheme="majorBidi"/>
                <w:sz w:val="20"/>
                <w:szCs w:val="20"/>
                <w:lang w:val="pt-BR"/>
              </w:rPr>
            </w:pPr>
          </w:p>
        </w:tc>
        <w:tc>
          <w:tcPr>
            <w:tcW w:w="546" w:type="dxa"/>
          </w:tcPr>
          <w:p w14:paraId="7A01573D" w14:textId="77777777" w:rsidR="0009186D" w:rsidRPr="00DC6593" w:rsidRDefault="0009186D" w:rsidP="00391C08">
            <w:pPr>
              <w:jc w:val="center"/>
              <w:rPr>
                <w:rFonts w:asciiTheme="majorBidi" w:eastAsia="Times New Roman" w:hAnsiTheme="majorBidi" w:cstheme="majorBidi"/>
                <w:sz w:val="20"/>
                <w:szCs w:val="20"/>
                <w:lang w:val="pt-BR"/>
              </w:rPr>
            </w:pPr>
          </w:p>
        </w:tc>
        <w:tc>
          <w:tcPr>
            <w:tcW w:w="553" w:type="dxa"/>
          </w:tcPr>
          <w:p w14:paraId="207CC5BC" w14:textId="77777777" w:rsidR="0009186D" w:rsidRPr="00DC6593" w:rsidRDefault="0009186D" w:rsidP="00391C08">
            <w:pPr>
              <w:jc w:val="center"/>
              <w:rPr>
                <w:rFonts w:asciiTheme="majorBidi" w:eastAsia="Times New Roman" w:hAnsiTheme="majorBidi" w:cstheme="majorBidi"/>
                <w:sz w:val="20"/>
                <w:szCs w:val="20"/>
                <w:lang w:val="pt-BR"/>
              </w:rPr>
            </w:pPr>
          </w:p>
        </w:tc>
        <w:tc>
          <w:tcPr>
            <w:tcW w:w="561" w:type="dxa"/>
          </w:tcPr>
          <w:p w14:paraId="6DBA7976" w14:textId="77777777" w:rsidR="0009186D" w:rsidRPr="00DC6593" w:rsidRDefault="0009186D" w:rsidP="00391C08">
            <w:pPr>
              <w:jc w:val="center"/>
              <w:rPr>
                <w:rFonts w:asciiTheme="majorBidi" w:eastAsia="Times New Roman" w:hAnsiTheme="majorBidi" w:cstheme="majorBidi"/>
                <w:sz w:val="20"/>
                <w:szCs w:val="20"/>
                <w:lang w:val="pt-BR"/>
              </w:rPr>
            </w:pPr>
          </w:p>
        </w:tc>
      </w:tr>
      <w:tr w:rsidR="0009186D" w:rsidRPr="00E25C8D" w14:paraId="40096E89" w14:textId="77777777" w:rsidTr="00391C08">
        <w:trPr>
          <w:trHeight w:val="285"/>
          <w:jc w:val="center"/>
        </w:trPr>
        <w:tc>
          <w:tcPr>
            <w:tcW w:w="2689" w:type="dxa"/>
            <w:noWrap/>
            <w:hideMark/>
          </w:tcPr>
          <w:p w14:paraId="1C1B41CE" w14:textId="696EA072" w:rsidR="0009186D" w:rsidRPr="00E25C8D" w:rsidRDefault="00DC6593"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Registro dos participantes</w:t>
            </w:r>
          </w:p>
        </w:tc>
        <w:tc>
          <w:tcPr>
            <w:tcW w:w="613" w:type="dxa"/>
            <w:shd w:val="clear" w:color="auto" w:fill="0070C0"/>
            <w:noWrap/>
          </w:tcPr>
          <w:p w14:paraId="5CB836BA" w14:textId="77777777" w:rsidR="0009186D" w:rsidRPr="00E25C8D" w:rsidRDefault="0009186D" w:rsidP="00391C08">
            <w:pPr>
              <w:jc w:val="center"/>
              <w:rPr>
                <w:rFonts w:asciiTheme="majorBidi" w:eastAsia="Times New Roman" w:hAnsiTheme="majorBidi" w:cstheme="majorBidi"/>
                <w:color w:val="000000"/>
                <w:sz w:val="20"/>
                <w:szCs w:val="20"/>
                <w:highlight w:val="blue"/>
              </w:rPr>
            </w:pPr>
          </w:p>
        </w:tc>
        <w:tc>
          <w:tcPr>
            <w:tcW w:w="521" w:type="dxa"/>
            <w:shd w:val="clear" w:color="auto" w:fill="0070C0"/>
            <w:noWrap/>
          </w:tcPr>
          <w:p w14:paraId="221874EF" w14:textId="77777777" w:rsidR="0009186D" w:rsidRPr="00E25C8D" w:rsidRDefault="0009186D" w:rsidP="00391C08">
            <w:pPr>
              <w:jc w:val="center"/>
              <w:rPr>
                <w:rFonts w:asciiTheme="majorBidi" w:eastAsia="Times New Roman" w:hAnsiTheme="majorBidi" w:cstheme="majorBidi"/>
                <w:color w:val="000000"/>
                <w:sz w:val="20"/>
                <w:szCs w:val="20"/>
                <w:highlight w:val="blue"/>
              </w:rPr>
            </w:pPr>
          </w:p>
        </w:tc>
        <w:tc>
          <w:tcPr>
            <w:tcW w:w="566" w:type="dxa"/>
            <w:shd w:val="clear" w:color="auto" w:fill="FFFFFF" w:themeFill="background1"/>
            <w:noWrap/>
          </w:tcPr>
          <w:p w14:paraId="1F4AB5DD"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102FAC3D"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0FEF688B"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noWrap/>
          </w:tcPr>
          <w:p w14:paraId="6E8A61CD"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1" w:type="dxa"/>
            <w:noWrap/>
          </w:tcPr>
          <w:p w14:paraId="4DD6F659"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3" w:type="dxa"/>
            <w:noWrap/>
          </w:tcPr>
          <w:p w14:paraId="4AB59E5B"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69" w:type="dxa"/>
          </w:tcPr>
          <w:p w14:paraId="3488E3B9"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6" w:type="dxa"/>
          </w:tcPr>
          <w:p w14:paraId="029501CF"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53" w:type="dxa"/>
          </w:tcPr>
          <w:p w14:paraId="29730E42"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61" w:type="dxa"/>
          </w:tcPr>
          <w:p w14:paraId="3DF6CC53" w14:textId="77777777" w:rsidR="0009186D" w:rsidRPr="00E25C8D" w:rsidRDefault="0009186D" w:rsidP="00391C08">
            <w:pPr>
              <w:jc w:val="center"/>
              <w:rPr>
                <w:rFonts w:asciiTheme="majorBidi" w:eastAsia="Times New Roman" w:hAnsiTheme="majorBidi" w:cstheme="majorBidi"/>
                <w:color w:val="000000"/>
                <w:sz w:val="20"/>
                <w:szCs w:val="20"/>
              </w:rPr>
            </w:pPr>
          </w:p>
        </w:tc>
      </w:tr>
      <w:tr w:rsidR="0009186D" w:rsidRPr="00E25C8D" w14:paraId="4A3DEFC1" w14:textId="77777777" w:rsidTr="00391C08">
        <w:trPr>
          <w:trHeight w:val="285"/>
          <w:jc w:val="center"/>
        </w:trPr>
        <w:tc>
          <w:tcPr>
            <w:tcW w:w="2689" w:type="dxa"/>
            <w:noWrap/>
            <w:hideMark/>
          </w:tcPr>
          <w:p w14:paraId="44E24434" w14:textId="34979A03" w:rsidR="0009186D" w:rsidRPr="00E25C8D" w:rsidRDefault="00DC6593"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Padronização das técnicas</w:t>
            </w:r>
          </w:p>
        </w:tc>
        <w:tc>
          <w:tcPr>
            <w:tcW w:w="613" w:type="dxa"/>
            <w:shd w:val="clear" w:color="auto" w:fill="0070C0"/>
            <w:noWrap/>
          </w:tcPr>
          <w:p w14:paraId="375F4ED7" w14:textId="77777777" w:rsidR="0009186D" w:rsidRPr="00E25C8D" w:rsidRDefault="0009186D" w:rsidP="00391C08">
            <w:pPr>
              <w:jc w:val="center"/>
              <w:rPr>
                <w:rFonts w:asciiTheme="majorBidi" w:eastAsia="Times New Roman" w:hAnsiTheme="majorBidi" w:cstheme="majorBidi"/>
                <w:color w:val="000000"/>
                <w:sz w:val="20"/>
                <w:szCs w:val="20"/>
                <w:highlight w:val="blue"/>
              </w:rPr>
            </w:pPr>
          </w:p>
        </w:tc>
        <w:tc>
          <w:tcPr>
            <w:tcW w:w="521" w:type="dxa"/>
            <w:shd w:val="clear" w:color="auto" w:fill="0070C0"/>
            <w:noWrap/>
          </w:tcPr>
          <w:p w14:paraId="5E6060AD" w14:textId="77777777" w:rsidR="0009186D" w:rsidRPr="00E25C8D" w:rsidRDefault="0009186D" w:rsidP="00391C08">
            <w:pPr>
              <w:jc w:val="center"/>
              <w:rPr>
                <w:rFonts w:asciiTheme="majorBidi" w:eastAsia="Times New Roman" w:hAnsiTheme="majorBidi" w:cstheme="majorBidi"/>
                <w:color w:val="000000"/>
                <w:sz w:val="20"/>
                <w:szCs w:val="20"/>
                <w:highlight w:val="blue"/>
              </w:rPr>
            </w:pPr>
          </w:p>
        </w:tc>
        <w:tc>
          <w:tcPr>
            <w:tcW w:w="566" w:type="dxa"/>
            <w:shd w:val="clear" w:color="auto" w:fill="FFFFFF" w:themeFill="background1"/>
            <w:noWrap/>
          </w:tcPr>
          <w:p w14:paraId="3269AD22"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1B23B47D" w14:textId="77777777" w:rsidR="0009186D" w:rsidRPr="00E25C8D" w:rsidRDefault="0009186D" w:rsidP="00391C08">
            <w:pPr>
              <w:jc w:val="center"/>
              <w:rPr>
                <w:rFonts w:asciiTheme="majorBidi" w:eastAsia="Times New Roman" w:hAnsiTheme="majorBidi" w:cstheme="majorBidi"/>
                <w:sz w:val="20"/>
                <w:szCs w:val="20"/>
              </w:rPr>
            </w:pPr>
          </w:p>
        </w:tc>
        <w:tc>
          <w:tcPr>
            <w:tcW w:w="549" w:type="dxa"/>
            <w:noWrap/>
          </w:tcPr>
          <w:p w14:paraId="43CFEFA9" w14:textId="77777777" w:rsidR="0009186D" w:rsidRPr="00E25C8D" w:rsidRDefault="0009186D" w:rsidP="00391C08">
            <w:pPr>
              <w:jc w:val="center"/>
              <w:rPr>
                <w:rFonts w:asciiTheme="majorBidi" w:eastAsia="Times New Roman" w:hAnsiTheme="majorBidi" w:cstheme="majorBidi"/>
                <w:sz w:val="20"/>
                <w:szCs w:val="20"/>
              </w:rPr>
            </w:pPr>
          </w:p>
        </w:tc>
        <w:tc>
          <w:tcPr>
            <w:tcW w:w="575" w:type="dxa"/>
            <w:noWrap/>
          </w:tcPr>
          <w:p w14:paraId="1B29EE7A"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32AE8E1F"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6D8EFFE5"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21FBDCB8"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564F414E"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39892B99"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5E5A5363"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14E81E73" w14:textId="77777777" w:rsidTr="00391C08">
        <w:trPr>
          <w:trHeight w:val="285"/>
          <w:jc w:val="center"/>
        </w:trPr>
        <w:tc>
          <w:tcPr>
            <w:tcW w:w="2689" w:type="dxa"/>
            <w:noWrap/>
          </w:tcPr>
          <w:p w14:paraId="4523A371" w14:textId="6282BD16" w:rsidR="0009186D" w:rsidRPr="00E25C8D" w:rsidRDefault="00DC6593"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Estudo piloto</w:t>
            </w:r>
            <w:r w:rsidR="0009186D">
              <w:rPr>
                <w:rFonts w:asciiTheme="majorBidi" w:eastAsia="Times New Roman" w:hAnsiTheme="majorBidi" w:cstheme="majorBidi"/>
                <w:color w:val="000000"/>
                <w:sz w:val="20"/>
                <w:szCs w:val="20"/>
              </w:rPr>
              <w:t xml:space="preserve"> </w:t>
            </w:r>
          </w:p>
        </w:tc>
        <w:tc>
          <w:tcPr>
            <w:tcW w:w="613" w:type="dxa"/>
          </w:tcPr>
          <w:p w14:paraId="03420836"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shd w:val="clear" w:color="auto" w:fill="0070C0"/>
            <w:noWrap/>
          </w:tcPr>
          <w:p w14:paraId="1741B126"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66" w:type="dxa"/>
            <w:shd w:val="clear" w:color="auto" w:fill="FFFFFF" w:themeFill="background1"/>
            <w:noWrap/>
          </w:tcPr>
          <w:p w14:paraId="4E35B4C1"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7D64388F"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08DACE19" w14:textId="77777777" w:rsidR="0009186D" w:rsidRPr="00E25C8D" w:rsidRDefault="0009186D" w:rsidP="00391C08">
            <w:pPr>
              <w:jc w:val="center"/>
              <w:rPr>
                <w:rFonts w:asciiTheme="majorBidi" w:eastAsia="Times New Roman" w:hAnsiTheme="majorBidi" w:cstheme="majorBidi"/>
                <w:sz w:val="20"/>
                <w:szCs w:val="20"/>
              </w:rPr>
            </w:pPr>
          </w:p>
        </w:tc>
        <w:tc>
          <w:tcPr>
            <w:tcW w:w="575" w:type="dxa"/>
            <w:noWrap/>
          </w:tcPr>
          <w:p w14:paraId="4D214A35"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1128A4C7"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5F4631BF"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22EF42DB"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4FE49690"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0F70E556"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791AD19B"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75BE38FF" w14:textId="77777777" w:rsidTr="00391C08">
        <w:trPr>
          <w:trHeight w:val="285"/>
          <w:jc w:val="center"/>
        </w:trPr>
        <w:tc>
          <w:tcPr>
            <w:tcW w:w="2689" w:type="dxa"/>
            <w:noWrap/>
            <w:hideMark/>
          </w:tcPr>
          <w:p w14:paraId="27E4CE10" w14:textId="7A30761F" w:rsidR="0009186D" w:rsidRPr="00E25C8D" w:rsidRDefault="00DC6593"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Seleção da amostra – estudo 1</w:t>
            </w:r>
          </w:p>
        </w:tc>
        <w:tc>
          <w:tcPr>
            <w:tcW w:w="613" w:type="dxa"/>
            <w:noWrap/>
          </w:tcPr>
          <w:p w14:paraId="0FC1FCB4"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shd w:val="clear" w:color="auto" w:fill="0070C0"/>
            <w:noWrap/>
          </w:tcPr>
          <w:p w14:paraId="20084468"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66" w:type="dxa"/>
            <w:shd w:val="clear" w:color="auto" w:fill="FFFFFF" w:themeFill="background1"/>
            <w:noWrap/>
          </w:tcPr>
          <w:p w14:paraId="78351A67"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2842CC58"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25A6073D" w14:textId="77777777" w:rsidR="0009186D" w:rsidRPr="00E25C8D" w:rsidRDefault="0009186D" w:rsidP="00391C08">
            <w:pPr>
              <w:jc w:val="center"/>
              <w:rPr>
                <w:rFonts w:asciiTheme="majorBidi" w:eastAsia="Times New Roman" w:hAnsiTheme="majorBidi" w:cstheme="majorBidi"/>
                <w:sz w:val="20"/>
                <w:szCs w:val="20"/>
              </w:rPr>
            </w:pPr>
          </w:p>
        </w:tc>
        <w:tc>
          <w:tcPr>
            <w:tcW w:w="575" w:type="dxa"/>
            <w:noWrap/>
          </w:tcPr>
          <w:p w14:paraId="6D707CA2"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0F6A4C04"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7BF2DDFC"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2F3B1704"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08EEC1B5"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4A89FAA5"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2A616721"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2DE89DC0" w14:textId="77777777" w:rsidTr="00391C08">
        <w:trPr>
          <w:trHeight w:val="285"/>
          <w:jc w:val="center"/>
        </w:trPr>
        <w:tc>
          <w:tcPr>
            <w:tcW w:w="2689" w:type="dxa"/>
            <w:noWrap/>
            <w:hideMark/>
          </w:tcPr>
          <w:p w14:paraId="1D9D90F0" w14:textId="791D43DD" w:rsidR="0009186D" w:rsidRPr="00E25C8D" w:rsidRDefault="00DC6593"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Coleta de dados – estudo 1</w:t>
            </w:r>
          </w:p>
        </w:tc>
        <w:tc>
          <w:tcPr>
            <w:tcW w:w="613" w:type="dxa"/>
            <w:noWrap/>
          </w:tcPr>
          <w:p w14:paraId="40CE1C3B"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shd w:val="clear" w:color="auto" w:fill="0070C0"/>
            <w:noWrap/>
          </w:tcPr>
          <w:p w14:paraId="3E1DE37E" w14:textId="77777777" w:rsidR="0009186D" w:rsidRPr="00E25C8D" w:rsidRDefault="0009186D" w:rsidP="00391C08">
            <w:pPr>
              <w:jc w:val="center"/>
              <w:rPr>
                <w:rFonts w:asciiTheme="majorBidi" w:eastAsia="Times New Roman" w:hAnsiTheme="majorBidi" w:cstheme="majorBidi"/>
                <w:sz w:val="20"/>
                <w:szCs w:val="20"/>
              </w:rPr>
            </w:pPr>
          </w:p>
        </w:tc>
        <w:tc>
          <w:tcPr>
            <w:tcW w:w="566" w:type="dxa"/>
            <w:shd w:val="clear" w:color="auto" w:fill="FF0000"/>
            <w:noWrap/>
          </w:tcPr>
          <w:p w14:paraId="1BAD2D5F"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5DB24BC2"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1C113ECD"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noWrap/>
          </w:tcPr>
          <w:p w14:paraId="5CA2F279"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723CE80B"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259ED0E7"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58C0FEC4"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7EFA7EAA"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6ADA3B50"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51225A22"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138F075E" w14:textId="77777777" w:rsidTr="00391C08">
        <w:trPr>
          <w:trHeight w:val="285"/>
          <w:jc w:val="center"/>
        </w:trPr>
        <w:tc>
          <w:tcPr>
            <w:tcW w:w="2689" w:type="dxa"/>
            <w:noWrap/>
          </w:tcPr>
          <w:p w14:paraId="4FF88898" w14:textId="75C67A70" w:rsidR="0009186D" w:rsidRPr="00E25C8D" w:rsidRDefault="00DC6593"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Seleção da amostra – estudo 2</w:t>
            </w:r>
          </w:p>
        </w:tc>
        <w:tc>
          <w:tcPr>
            <w:tcW w:w="613" w:type="dxa"/>
            <w:noWrap/>
          </w:tcPr>
          <w:p w14:paraId="0C9D11C1"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00BEC720" w14:textId="77777777" w:rsidR="0009186D" w:rsidRPr="00E25C8D" w:rsidRDefault="0009186D" w:rsidP="00391C08">
            <w:pPr>
              <w:jc w:val="center"/>
              <w:rPr>
                <w:rFonts w:asciiTheme="majorBidi" w:eastAsia="Times New Roman" w:hAnsiTheme="majorBidi" w:cstheme="majorBidi"/>
                <w:sz w:val="20"/>
                <w:szCs w:val="20"/>
              </w:rPr>
            </w:pPr>
          </w:p>
        </w:tc>
        <w:tc>
          <w:tcPr>
            <w:tcW w:w="566" w:type="dxa"/>
            <w:shd w:val="clear" w:color="auto" w:fill="EE0000"/>
            <w:noWrap/>
          </w:tcPr>
          <w:p w14:paraId="31E9B7F8"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noWrap/>
          </w:tcPr>
          <w:p w14:paraId="6E43786A"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2D6F5F40"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noWrap/>
          </w:tcPr>
          <w:p w14:paraId="24A5E94D"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0BF3FAA7"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29E39DAE"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1C24DADA"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4CECB157"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2F5C2FC5"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7EA1783F"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0589E32A" w14:textId="77777777" w:rsidTr="00391C08">
        <w:trPr>
          <w:trHeight w:val="285"/>
          <w:jc w:val="center"/>
        </w:trPr>
        <w:tc>
          <w:tcPr>
            <w:tcW w:w="2689" w:type="dxa"/>
            <w:noWrap/>
          </w:tcPr>
          <w:p w14:paraId="711A6C00" w14:textId="4A88CDDD" w:rsidR="0009186D" w:rsidRPr="00E25C8D" w:rsidRDefault="00DC6593"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Coleta de dados – estudo </w:t>
            </w:r>
            <w:r>
              <w:rPr>
                <w:rFonts w:asciiTheme="majorBidi" w:eastAsia="Times New Roman" w:hAnsiTheme="majorBidi" w:cstheme="majorBidi"/>
                <w:color w:val="000000"/>
                <w:sz w:val="20"/>
                <w:szCs w:val="20"/>
              </w:rPr>
              <w:t>2</w:t>
            </w:r>
          </w:p>
        </w:tc>
        <w:tc>
          <w:tcPr>
            <w:tcW w:w="613" w:type="dxa"/>
            <w:noWrap/>
          </w:tcPr>
          <w:p w14:paraId="1DAE2773"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3D2C2C89" w14:textId="77777777" w:rsidR="0009186D" w:rsidRPr="00E25C8D" w:rsidRDefault="0009186D" w:rsidP="00391C08">
            <w:pPr>
              <w:jc w:val="center"/>
              <w:rPr>
                <w:rFonts w:asciiTheme="majorBidi" w:eastAsia="Times New Roman" w:hAnsiTheme="majorBidi" w:cstheme="majorBidi"/>
                <w:sz w:val="20"/>
                <w:szCs w:val="20"/>
              </w:rPr>
            </w:pPr>
          </w:p>
        </w:tc>
        <w:tc>
          <w:tcPr>
            <w:tcW w:w="566" w:type="dxa"/>
            <w:shd w:val="clear" w:color="auto" w:fill="EE0000"/>
            <w:noWrap/>
          </w:tcPr>
          <w:p w14:paraId="62B561BA"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EE0000"/>
            <w:noWrap/>
          </w:tcPr>
          <w:p w14:paraId="6373143B"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50DBF858"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noWrap/>
          </w:tcPr>
          <w:p w14:paraId="21D32ACD"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3D1DC45A"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3A028E48"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0F1934FA"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551225F9"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3447A26A"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3B2E97FF"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74BC2CEB" w14:textId="77777777" w:rsidTr="00391C08">
        <w:trPr>
          <w:trHeight w:val="285"/>
          <w:jc w:val="center"/>
        </w:trPr>
        <w:tc>
          <w:tcPr>
            <w:tcW w:w="2689" w:type="dxa"/>
            <w:noWrap/>
          </w:tcPr>
          <w:p w14:paraId="15DC675A" w14:textId="7DC8132B" w:rsidR="0009186D" w:rsidRPr="00E25C8D" w:rsidRDefault="00B37DB4"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Intercâmbio de pesquisa</w:t>
            </w:r>
          </w:p>
        </w:tc>
        <w:tc>
          <w:tcPr>
            <w:tcW w:w="613" w:type="dxa"/>
            <w:noWrap/>
          </w:tcPr>
          <w:p w14:paraId="437597CD"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114D5E7B" w14:textId="77777777" w:rsidR="0009186D" w:rsidRPr="00E25C8D" w:rsidRDefault="0009186D" w:rsidP="00391C08">
            <w:pPr>
              <w:jc w:val="center"/>
              <w:rPr>
                <w:rFonts w:asciiTheme="majorBidi" w:eastAsia="Times New Roman" w:hAnsiTheme="majorBidi" w:cstheme="majorBidi"/>
                <w:sz w:val="20"/>
                <w:szCs w:val="20"/>
              </w:rPr>
            </w:pPr>
          </w:p>
        </w:tc>
        <w:tc>
          <w:tcPr>
            <w:tcW w:w="566" w:type="dxa"/>
            <w:noWrap/>
          </w:tcPr>
          <w:p w14:paraId="602E4157"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698D8A55"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shd w:val="clear" w:color="auto" w:fill="00B050"/>
            <w:noWrap/>
          </w:tcPr>
          <w:p w14:paraId="7600D603"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shd w:val="clear" w:color="auto" w:fill="00B050"/>
            <w:noWrap/>
          </w:tcPr>
          <w:p w14:paraId="191F29F4" w14:textId="77777777" w:rsidR="0009186D" w:rsidRPr="00E25C8D" w:rsidRDefault="0009186D" w:rsidP="00391C08">
            <w:pPr>
              <w:jc w:val="center"/>
              <w:rPr>
                <w:rFonts w:asciiTheme="majorBidi" w:eastAsia="Times New Roman" w:hAnsiTheme="majorBidi" w:cstheme="majorBidi"/>
                <w:sz w:val="20"/>
                <w:szCs w:val="20"/>
              </w:rPr>
            </w:pPr>
          </w:p>
        </w:tc>
        <w:tc>
          <w:tcPr>
            <w:tcW w:w="671" w:type="dxa"/>
            <w:shd w:val="clear" w:color="auto" w:fill="FFC000"/>
            <w:noWrap/>
          </w:tcPr>
          <w:p w14:paraId="5B9928AA" w14:textId="77777777" w:rsidR="0009186D" w:rsidRPr="00E25C8D" w:rsidRDefault="0009186D" w:rsidP="00391C08">
            <w:pPr>
              <w:jc w:val="center"/>
              <w:rPr>
                <w:rFonts w:asciiTheme="majorBidi" w:eastAsia="Times New Roman" w:hAnsiTheme="majorBidi" w:cstheme="majorBidi"/>
                <w:sz w:val="20"/>
                <w:szCs w:val="20"/>
              </w:rPr>
            </w:pPr>
          </w:p>
        </w:tc>
        <w:tc>
          <w:tcPr>
            <w:tcW w:w="543" w:type="dxa"/>
            <w:shd w:val="clear" w:color="auto" w:fill="FFC000"/>
            <w:noWrap/>
          </w:tcPr>
          <w:p w14:paraId="1DB9F659"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022C8017"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003A97F9"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62E4E5FA"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02579357"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03508E63" w14:textId="77777777" w:rsidTr="00391C08">
        <w:trPr>
          <w:trHeight w:val="285"/>
          <w:jc w:val="center"/>
        </w:trPr>
        <w:tc>
          <w:tcPr>
            <w:tcW w:w="2689" w:type="dxa"/>
            <w:noWrap/>
          </w:tcPr>
          <w:p w14:paraId="72143C0A" w14:textId="5689717A" w:rsidR="0009186D" w:rsidRPr="00E25C8D" w:rsidRDefault="00B37DB4"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Analise de dados – estudo 1</w:t>
            </w:r>
          </w:p>
        </w:tc>
        <w:tc>
          <w:tcPr>
            <w:tcW w:w="613" w:type="dxa"/>
            <w:noWrap/>
          </w:tcPr>
          <w:p w14:paraId="0D50488B"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5BFBA82E" w14:textId="77777777" w:rsidR="0009186D" w:rsidRPr="00E25C8D" w:rsidRDefault="0009186D" w:rsidP="00391C08">
            <w:pPr>
              <w:jc w:val="center"/>
              <w:rPr>
                <w:rFonts w:asciiTheme="majorBidi" w:eastAsia="Times New Roman" w:hAnsiTheme="majorBidi" w:cstheme="majorBidi"/>
                <w:sz w:val="20"/>
                <w:szCs w:val="20"/>
              </w:rPr>
            </w:pPr>
          </w:p>
        </w:tc>
        <w:tc>
          <w:tcPr>
            <w:tcW w:w="566" w:type="dxa"/>
            <w:noWrap/>
          </w:tcPr>
          <w:p w14:paraId="606FC294"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3A8887C0"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shd w:val="clear" w:color="auto" w:fill="00B050"/>
            <w:noWrap/>
          </w:tcPr>
          <w:p w14:paraId="22CC9E61"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shd w:val="clear" w:color="auto" w:fill="00B050"/>
            <w:noWrap/>
          </w:tcPr>
          <w:p w14:paraId="1EE4A99C"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454B8C41"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7E50777F"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700533D4"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12A22D0D"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72A707E3"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0CE68A33"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1E4494E0" w14:textId="77777777" w:rsidTr="00391C08">
        <w:trPr>
          <w:trHeight w:val="285"/>
          <w:jc w:val="center"/>
        </w:trPr>
        <w:tc>
          <w:tcPr>
            <w:tcW w:w="2689" w:type="dxa"/>
            <w:noWrap/>
          </w:tcPr>
          <w:p w14:paraId="447326DC" w14:textId="7E41590C" w:rsidR="0009186D" w:rsidRPr="00E25C8D" w:rsidRDefault="00B37DB4"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Submissão – estudo 1</w:t>
            </w:r>
          </w:p>
        </w:tc>
        <w:tc>
          <w:tcPr>
            <w:tcW w:w="613" w:type="dxa"/>
            <w:noWrap/>
          </w:tcPr>
          <w:p w14:paraId="10A696ED"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61F8B3C6" w14:textId="77777777" w:rsidR="0009186D" w:rsidRPr="00E25C8D" w:rsidRDefault="0009186D" w:rsidP="00391C08">
            <w:pPr>
              <w:jc w:val="center"/>
              <w:rPr>
                <w:rFonts w:asciiTheme="majorBidi" w:eastAsia="Times New Roman" w:hAnsiTheme="majorBidi" w:cstheme="majorBidi"/>
                <w:sz w:val="20"/>
                <w:szCs w:val="20"/>
              </w:rPr>
            </w:pPr>
          </w:p>
        </w:tc>
        <w:tc>
          <w:tcPr>
            <w:tcW w:w="566" w:type="dxa"/>
            <w:noWrap/>
          </w:tcPr>
          <w:p w14:paraId="1D159D2E"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613BB6EA"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4AE51A9B"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shd w:val="clear" w:color="auto" w:fill="00B050"/>
            <w:noWrap/>
          </w:tcPr>
          <w:p w14:paraId="523A7FDA"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2947BC57"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40112FE5"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6E67394F"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090E72BB"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0A541A1F"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577AD4DA"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4936B9C4" w14:textId="77777777" w:rsidTr="00391C08">
        <w:trPr>
          <w:trHeight w:val="285"/>
          <w:jc w:val="center"/>
        </w:trPr>
        <w:tc>
          <w:tcPr>
            <w:tcW w:w="2689" w:type="dxa"/>
            <w:noWrap/>
          </w:tcPr>
          <w:p w14:paraId="48101B82" w14:textId="46A24B46" w:rsidR="0009186D" w:rsidRPr="00E25C8D" w:rsidRDefault="00B37DB4"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Analise de dados – estudo 2</w:t>
            </w:r>
          </w:p>
        </w:tc>
        <w:tc>
          <w:tcPr>
            <w:tcW w:w="613" w:type="dxa"/>
            <w:noWrap/>
          </w:tcPr>
          <w:p w14:paraId="2CFC24AB"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601770D0" w14:textId="77777777" w:rsidR="0009186D" w:rsidRPr="00E25C8D" w:rsidRDefault="0009186D" w:rsidP="00391C08">
            <w:pPr>
              <w:jc w:val="center"/>
              <w:rPr>
                <w:rFonts w:asciiTheme="majorBidi" w:eastAsia="Times New Roman" w:hAnsiTheme="majorBidi" w:cstheme="majorBidi"/>
                <w:sz w:val="20"/>
                <w:szCs w:val="20"/>
              </w:rPr>
            </w:pPr>
          </w:p>
        </w:tc>
        <w:tc>
          <w:tcPr>
            <w:tcW w:w="566" w:type="dxa"/>
            <w:noWrap/>
          </w:tcPr>
          <w:p w14:paraId="7E4FBA58"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53ACB98E"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24575288"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noWrap/>
          </w:tcPr>
          <w:p w14:paraId="4505EBFF" w14:textId="77777777" w:rsidR="0009186D" w:rsidRPr="00E25C8D" w:rsidRDefault="0009186D" w:rsidP="00391C08">
            <w:pPr>
              <w:jc w:val="center"/>
              <w:rPr>
                <w:rFonts w:asciiTheme="majorBidi" w:eastAsia="Times New Roman" w:hAnsiTheme="majorBidi" w:cstheme="majorBidi"/>
                <w:sz w:val="20"/>
                <w:szCs w:val="20"/>
              </w:rPr>
            </w:pPr>
          </w:p>
        </w:tc>
        <w:tc>
          <w:tcPr>
            <w:tcW w:w="671" w:type="dxa"/>
            <w:shd w:val="clear" w:color="auto" w:fill="FFC000"/>
            <w:noWrap/>
          </w:tcPr>
          <w:p w14:paraId="0F3B5F25" w14:textId="77777777" w:rsidR="0009186D" w:rsidRPr="00E25C8D" w:rsidRDefault="0009186D" w:rsidP="00391C08">
            <w:pPr>
              <w:jc w:val="center"/>
              <w:rPr>
                <w:rFonts w:asciiTheme="majorBidi" w:eastAsia="Times New Roman" w:hAnsiTheme="majorBidi" w:cstheme="majorBidi"/>
                <w:sz w:val="20"/>
                <w:szCs w:val="20"/>
              </w:rPr>
            </w:pPr>
          </w:p>
        </w:tc>
        <w:tc>
          <w:tcPr>
            <w:tcW w:w="543" w:type="dxa"/>
            <w:shd w:val="clear" w:color="auto" w:fill="FFC000"/>
            <w:noWrap/>
          </w:tcPr>
          <w:p w14:paraId="73BDC92F"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52DBF97F"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5BFF6CDA"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70FFE0BA"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235D313D"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66DBB428" w14:textId="77777777" w:rsidTr="00391C08">
        <w:trPr>
          <w:trHeight w:val="285"/>
          <w:jc w:val="center"/>
        </w:trPr>
        <w:tc>
          <w:tcPr>
            <w:tcW w:w="2689" w:type="dxa"/>
            <w:noWrap/>
          </w:tcPr>
          <w:p w14:paraId="53816E6A" w14:textId="64A40FE2" w:rsidR="0009186D" w:rsidRPr="00E25C8D" w:rsidRDefault="002807B9"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Submissão – estudo 2</w:t>
            </w:r>
          </w:p>
        </w:tc>
        <w:tc>
          <w:tcPr>
            <w:tcW w:w="613" w:type="dxa"/>
            <w:noWrap/>
          </w:tcPr>
          <w:p w14:paraId="2775CD06"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6D4723F6" w14:textId="77777777" w:rsidR="0009186D" w:rsidRPr="00E25C8D" w:rsidRDefault="0009186D" w:rsidP="00391C08">
            <w:pPr>
              <w:jc w:val="center"/>
              <w:rPr>
                <w:rFonts w:asciiTheme="majorBidi" w:eastAsia="Times New Roman" w:hAnsiTheme="majorBidi" w:cstheme="majorBidi"/>
                <w:sz w:val="20"/>
                <w:szCs w:val="20"/>
              </w:rPr>
            </w:pPr>
          </w:p>
        </w:tc>
        <w:tc>
          <w:tcPr>
            <w:tcW w:w="566" w:type="dxa"/>
            <w:noWrap/>
          </w:tcPr>
          <w:p w14:paraId="5D3B8AD4"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FFFFFF" w:themeFill="background1"/>
            <w:noWrap/>
          </w:tcPr>
          <w:p w14:paraId="5049C799"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397B1798"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noWrap/>
          </w:tcPr>
          <w:p w14:paraId="4244E1FC"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679E4A20" w14:textId="77777777" w:rsidR="0009186D" w:rsidRPr="00E25C8D" w:rsidRDefault="0009186D" w:rsidP="00391C08">
            <w:pPr>
              <w:jc w:val="center"/>
              <w:rPr>
                <w:rFonts w:asciiTheme="majorBidi" w:eastAsia="Times New Roman" w:hAnsiTheme="majorBidi" w:cstheme="majorBidi"/>
                <w:sz w:val="20"/>
                <w:szCs w:val="20"/>
              </w:rPr>
            </w:pPr>
          </w:p>
        </w:tc>
        <w:tc>
          <w:tcPr>
            <w:tcW w:w="543" w:type="dxa"/>
            <w:shd w:val="clear" w:color="auto" w:fill="FFC000"/>
            <w:noWrap/>
          </w:tcPr>
          <w:p w14:paraId="3E8E95B3"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7F11D954"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6ACB5B88"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16835F87"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48F47FE8"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574444D7" w14:textId="77777777" w:rsidTr="00391C08">
        <w:trPr>
          <w:trHeight w:val="285"/>
          <w:jc w:val="center"/>
        </w:trPr>
        <w:tc>
          <w:tcPr>
            <w:tcW w:w="2689" w:type="dxa"/>
            <w:noWrap/>
          </w:tcPr>
          <w:p w14:paraId="159B4A4F" w14:textId="38494838" w:rsidR="0009186D" w:rsidRPr="00E25C8D" w:rsidRDefault="0009186D"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W</w:t>
            </w:r>
            <w:r w:rsidRPr="007003E6">
              <w:rPr>
                <w:rFonts w:asciiTheme="majorBidi" w:eastAsia="Times New Roman" w:hAnsiTheme="majorBidi" w:cstheme="majorBidi"/>
                <w:color w:val="000000"/>
                <w:sz w:val="20"/>
                <w:szCs w:val="20"/>
              </w:rPr>
              <w:t xml:space="preserve">orkshops </w:t>
            </w:r>
            <w:r w:rsidR="002807B9">
              <w:rPr>
                <w:rFonts w:asciiTheme="majorBidi" w:eastAsia="Times New Roman" w:hAnsiTheme="majorBidi" w:cstheme="majorBidi"/>
                <w:color w:val="000000"/>
                <w:sz w:val="20"/>
                <w:szCs w:val="20"/>
              </w:rPr>
              <w:t>a serem oferecidos</w:t>
            </w:r>
          </w:p>
        </w:tc>
        <w:tc>
          <w:tcPr>
            <w:tcW w:w="613" w:type="dxa"/>
            <w:noWrap/>
          </w:tcPr>
          <w:p w14:paraId="017E8222"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6D530620" w14:textId="77777777" w:rsidR="0009186D" w:rsidRPr="00E25C8D" w:rsidRDefault="0009186D" w:rsidP="00391C08">
            <w:pPr>
              <w:jc w:val="center"/>
              <w:rPr>
                <w:rFonts w:asciiTheme="majorBidi" w:eastAsia="Times New Roman" w:hAnsiTheme="majorBidi" w:cstheme="majorBidi"/>
                <w:sz w:val="20"/>
                <w:szCs w:val="20"/>
              </w:rPr>
            </w:pPr>
          </w:p>
        </w:tc>
        <w:tc>
          <w:tcPr>
            <w:tcW w:w="566" w:type="dxa"/>
            <w:shd w:val="clear" w:color="auto" w:fill="EE0000"/>
            <w:noWrap/>
          </w:tcPr>
          <w:p w14:paraId="251EE72C"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noWrap/>
          </w:tcPr>
          <w:p w14:paraId="2D97576E"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2201E5A3"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noWrap/>
          </w:tcPr>
          <w:p w14:paraId="3DD36D6A"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7319551F" w14:textId="77777777" w:rsidR="0009186D" w:rsidRPr="00E25C8D" w:rsidRDefault="0009186D" w:rsidP="00391C08">
            <w:pPr>
              <w:jc w:val="center"/>
              <w:rPr>
                <w:rFonts w:asciiTheme="majorBidi" w:eastAsia="Times New Roman" w:hAnsiTheme="majorBidi" w:cstheme="majorBidi"/>
                <w:sz w:val="20"/>
                <w:szCs w:val="20"/>
              </w:rPr>
            </w:pPr>
          </w:p>
        </w:tc>
        <w:tc>
          <w:tcPr>
            <w:tcW w:w="543" w:type="dxa"/>
            <w:noWrap/>
          </w:tcPr>
          <w:p w14:paraId="2DE36965" w14:textId="77777777" w:rsidR="0009186D" w:rsidRPr="00E25C8D" w:rsidRDefault="0009186D" w:rsidP="00391C08">
            <w:pPr>
              <w:jc w:val="center"/>
              <w:rPr>
                <w:rFonts w:asciiTheme="majorBidi" w:eastAsia="Times New Roman" w:hAnsiTheme="majorBidi" w:cstheme="majorBidi"/>
                <w:sz w:val="20"/>
                <w:szCs w:val="20"/>
              </w:rPr>
            </w:pPr>
          </w:p>
        </w:tc>
        <w:tc>
          <w:tcPr>
            <w:tcW w:w="569" w:type="dxa"/>
            <w:shd w:val="clear" w:color="auto" w:fill="A6A6A6" w:themeFill="background1" w:themeFillShade="A6"/>
          </w:tcPr>
          <w:p w14:paraId="084F0729" w14:textId="77777777" w:rsidR="0009186D" w:rsidRPr="00E25C8D" w:rsidRDefault="0009186D" w:rsidP="00391C08">
            <w:pPr>
              <w:jc w:val="center"/>
              <w:rPr>
                <w:rFonts w:asciiTheme="majorBidi" w:eastAsia="Times New Roman" w:hAnsiTheme="majorBidi" w:cstheme="majorBidi"/>
                <w:sz w:val="20"/>
                <w:szCs w:val="20"/>
              </w:rPr>
            </w:pPr>
          </w:p>
        </w:tc>
        <w:tc>
          <w:tcPr>
            <w:tcW w:w="546" w:type="dxa"/>
          </w:tcPr>
          <w:p w14:paraId="5AD25D99" w14:textId="77777777" w:rsidR="0009186D" w:rsidRPr="00E25C8D" w:rsidRDefault="0009186D" w:rsidP="00391C08">
            <w:pPr>
              <w:jc w:val="center"/>
              <w:rPr>
                <w:rFonts w:asciiTheme="majorBidi" w:eastAsia="Times New Roman" w:hAnsiTheme="majorBidi" w:cstheme="majorBidi"/>
                <w:sz w:val="20"/>
                <w:szCs w:val="20"/>
              </w:rPr>
            </w:pPr>
          </w:p>
        </w:tc>
        <w:tc>
          <w:tcPr>
            <w:tcW w:w="553" w:type="dxa"/>
            <w:shd w:val="clear" w:color="auto" w:fill="77206D" w:themeFill="accent5" w:themeFillShade="BF"/>
          </w:tcPr>
          <w:p w14:paraId="535DAF24" w14:textId="77777777" w:rsidR="0009186D" w:rsidRPr="00E25C8D" w:rsidRDefault="0009186D" w:rsidP="00391C08">
            <w:pPr>
              <w:jc w:val="center"/>
              <w:rPr>
                <w:rFonts w:asciiTheme="majorBidi" w:eastAsia="Times New Roman" w:hAnsiTheme="majorBidi" w:cstheme="majorBidi"/>
                <w:sz w:val="20"/>
                <w:szCs w:val="20"/>
              </w:rPr>
            </w:pPr>
          </w:p>
        </w:tc>
        <w:tc>
          <w:tcPr>
            <w:tcW w:w="561" w:type="dxa"/>
          </w:tcPr>
          <w:p w14:paraId="4C14DBE2"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35A70D52" w14:textId="77777777" w:rsidTr="00391C08">
        <w:trPr>
          <w:trHeight w:val="285"/>
          <w:jc w:val="center"/>
        </w:trPr>
        <w:tc>
          <w:tcPr>
            <w:tcW w:w="2689" w:type="dxa"/>
            <w:noWrap/>
          </w:tcPr>
          <w:p w14:paraId="7111E0D7" w14:textId="4CB04031" w:rsidR="0009186D" w:rsidRPr="00E25C8D" w:rsidRDefault="002807B9"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Relatórios</w:t>
            </w:r>
          </w:p>
        </w:tc>
        <w:tc>
          <w:tcPr>
            <w:tcW w:w="613" w:type="dxa"/>
            <w:noWrap/>
          </w:tcPr>
          <w:p w14:paraId="55EB9828"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shd w:val="clear" w:color="auto" w:fill="215E99" w:themeFill="text2" w:themeFillTint="BF"/>
            <w:noWrap/>
          </w:tcPr>
          <w:p w14:paraId="4A3920B4" w14:textId="77777777" w:rsidR="0009186D" w:rsidRPr="00E25C8D" w:rsidRDefault="0009186D" w:rsidP="00391C08">
            <w:pPr>
              <w:jc w:val="center"/>
              <w:rPr>
                <w:rFonts w:asciiTheme="majorBidi" w:eastAsia="Times New Roman" w:hAnsiTheme="majorBidi" w:cstheme="majorBidi"/>
                <w:sz w:val="20"/>
                <w:szCs w:val="20"/>
              </w:rPr>
            </w:pPr>
          </w:p>
        </w:tc>
        <w:tc>
          <w:tcPr>
            <w:tcW w:w="566" w:type="dxa"/>
            <w:noWrap/>
          </w:tcPr>
          <w:p w14:paraId="0CA881FE"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EE0000"/>
            <w:noWrap/>
          </w:tcPr>
          <w:p w14:paraId="378FB6A1"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noWrap/>
          </w:tcPr>
          <w:p w14:paraId="1F5E11A9"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shd w:val="clear" w:color="auto" w:fill="00B050"/>
            <w:noWrap/>
          </w:tcPr>
          <w:p w14:paraId="76D84BB2" w14:textId="77777777" w:rsidR="0009186D" w:rsidRPr="00E25C8D" w:rsidRDefault="0009186D" w:rsidP="00391C08">
            <w:pPr>
              <w:jc w:val="center"/>
              <w:rPr>
                <w:rFonts w:asciiTheme="majorBidi" w:eastAsia="Times New Roman" w:hAnsiTheme="majorBidi" w:cstheme="majorBidi"/>
                <w:sz w:val="20"/>
                <w:szCs w:val="20"/>
              </w:rPr>
            </w:pPr>
          </w:p>
        </w:tc>
        <w:tc>
          <w:tcPr>
            <w:tcW w:w="671" w:type="dxa"/>
            <w:noWrap/>
          </w:tcPr>
          <w:p w14:paraId="62DCDA8E" w14:textId="77777777" w:rsidR="0009186D" w:rsidRPr="00E25C8D" w:rsidRDefault="0009186D" w:rsidP="00391C08">
            <w:pPr>
              <w:jc w:val="center"/>
              <w:rPr>
                <w:rFonts w:asciiTheme="majorBidi" w:eastAsia="Times New Roman" w:hAnsiTheme="majorBidi" w:cstheme="majorBidi"/>
                <w:sz w:val="20"/>
                <w:szCs w:val="20"/>
              </w:rPr>
            </w:pPr>
          </w:p>
        </w:tc>
        <w:tc>
          <w:tcPr>
            <w:tcW w:w="543" w:type="dxa"/>
            <w:shd w:val="clear" w:color="auto" w:fill="FFC000"/>
            <w:noWrap/>
          </w:tcPr>
          <w:p w14:paraId="4DB97332" w14:textId="77777777" w:rsidR="0009186D" w:rsidRPr="00E25C8D" w:rsidRDefault="0009186D" w:rsidP="00391C08">
            <w:pPr>
              <w:jc w:val="center"/>
              <w:rPr>
                <w:rFonts w:asciiTheme="majorBidi" w:eastAsia="Times New Roman" w:hAnsiTheme="majorBidi" w:cstheme="majorBidi"/>
                <w:sz w:val="20"/>
                <w:szCs w:val="20"/>
              </w:rPr>
            </w:pPr>
          </w:p>
        </w:tc>
        <w:tc>
          <w:tcPr>
            <w:tcW w:w="569" w:type="dxa"/>
          </w:tcPr>
          <w:p w14:paraId="5E85176F" w14:textId="77777777" w:rsidR="0009186D" w:rsidRPr="00E25C8D" w:rsidRDefault="0009186D" w:rsidP="00391C08">
            <w:pPr>
              <w:jc w:val="center"/>
              <w:rPr>
                <w:rFonts w:asciiTheme="majorBidi" w:eastAsia="Times New Roman" w:hAnsiTheme="majorBidi" w:cstheme="majorBidi"/>
                <w:sz w:val="20"/>
                <w:szCs w:val="20"/>
              </w:rPr>
            </w:pPr>
          </w:p>
        </w:tc>
        <w:tc>
          <w:tcPr>
            <w:tcW w:w="546" w:type="dxa"/>
            <w:shd w:val="clear" w:color="auto" w:fill="A6A6A6" w:themeFill="background1" w:themeFillShade="A6"/>
          </w:tcPr>
          <w:p w14:paraId="32E0E819" w14:textId="77777777" w:rsidR="0009186D" w:rsidRPr="00E25C8D" w:rsidRDefault="0009186D" w:rsidP="00391C08">
            <w:pPr>
              <w:jc w:val="center"/>
              <w:rPr>
                <w:rFonts w:asciiTheme="majorBidi" w:eastAsia="Times New Roman" w:hAnsiTheme="majorBidi" w:cstheme="majorBidi"/>
                <w:sz w:val="20"/>
                <w:szCs w:val="20"/>
              </w:rPr>
            </w:pPr>
          </w:p>
        </w:tc>
        <w:tc>
          <w:tcPr>
            <w:tcW w:w="553" w:type="dxa"/>
          </w:tcPr>
          <w:p w14:paraId="7934DAB3" w14:textId="77777777" w:rsidR="0009186D" w:rsidRPr="00E25C8D" w:rsidRDefault="0009186D" w:rsidP="00391C08">
            <w:pPr>
              <w:jc w:val="center"/>
              <w:rPr>
                <w:rFonts w:asciiTheme="majorBidi" w:eastAsia="Times New Roman" w:hAnsiTheme="majorBidi" w:cstheme="majorBidi"/>
                <w:sz w:val="20"/>
                <w:szCs w:val="20"/>
              </w:rPr>
            </w:pPr>
          </w:p>
        </w:tc>
        <w:tc>
          <w:tcPr>
            <w:tcW w:w="561" w:type="dxa"/>
            <w:shd w:val="clear" w:color="auto" w:fill="7030A0"/>
          </w:tcPr>
          <w:p w14:paraId="7BB6FA23" w14:textId="77777777" w:rsidR="0009186D" w:rsidRPr="00E25C8D" w:rsidRDefault="0009186D" w:rsidP="00391C08">
            <w:pPr>
              <w:jc w:val="center"/>
              <w:rPr>
                <w:rFonts w:asciiTheme="majorBidi" w:eastAsia="Times New Roman" w:hAnsiTheme="majorBidi" w:cstheme="majorBidi"/>
                <w:sz w:val="20"/>
                <w:szCs w:val="20"/>
              </w:rPr>
            </w:pPr>
          </w:p>
        </w:tc>
      </w:tr>
      <w:tr w:rsidR="0009186D" w:rsidRPr="00E25C8D" w14:paraId="467A2A09" w14:textId="77777777" w:rsidTr="00391C08">
        <w:trPr>
          <w:trHeight w:val="285"/>
          <w:jc w:val="center"/>
        </w:trPr>
        <w:tc>
          <w:tcPr>
            <w:tcW w:w="2689" w:type="dxa"/>
            <w:noWrap/>
          </w:tcPr>
          <w:p w14:paraId="64B6DF53" w14:textId="74BDD505" w:rsidR="0009186D" w:rsidRPr="00E25C8D" w:rsidRDefault="002807B9" w:rsidP="00391C08">
            <w:pP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Participação em eventos </w:t>
            </w:r>
          </w:p>
        </w:tc>
        <w:tc>
          <w:tcPr>
            <w:tcW w:w="613" w:type="dxa"/>
            <w:noWrap/>
          </w:tcPr>
          <w:p w14:paraId="56A25981" w14:textId="77777777" w:rsidR="0009186D" w:rsidRPr="00E25C8D" w:rsidRDefault="0009186D" w:rsidP="00391C08">
            <w:pPr>
              <w:rPr>
                <w:rFonts w:asciiTheme="majorBidi" w:eastAsia="Times New Roman" w:hAnsiTheme="majorBidi" w:cstheme="majorBidi"/>
                <w:color w:val="000000"/>
                <w:sz w:val="20"/>
                <w:szCs w:val="20"/>
              </w:rPr>
            </w:pPr>
          </w:p>
        </w:tc>
        <w:tc>
          <w:tcPr>
            <w:tcW w:w="521" w:type="dxa"/>
            <w:noWrap/>
          </w:tcPr>
          <w:p w14:paraId="2D508859" w14:textId="77777777" w:rsidR="0009186D" w:rsidRPr="00E25C8D" w:rsidRDefault="0009186D" w:rsidP="00391C08">
            <w:pPr>
              <w:jc w:val="center"/>
              <w:rPr>
                <w:rFonts w:asciiTheme="majorBidi" w:eastAsia="Times New Roman" w:hAnsiTheme="majorBidi" w:cstheme="majorBidi"/>
                <w:sz w:val="20"/>
                <w:szCs w:val="20"/>
              </w:rPr>
            </w:pPr>
          </w:p>
        </w:tc>
        <w:tc>
          <w:tcPr>
            <w:tcW w:w="566" w:type="dxa"/>
            <w:shd w:val="clear" w:color="auto" w:fill="EE0000"/>
            <w:noWrap/>
          </w:tcPr>
          <w:p w14:paraId="058B9A0C"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672" w:type="dxa"/>
            <w:shd w:val="clear" w:color="auto" w:fill="EE0000"/>
            <w:noWrap/>
          </w:tcPr>
          <w:p w14:paraId="57A17E6C"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49" w:type="dxa"/>
            <w:shd w:val="clear" w:color="auto" w:fill="00B050"/>
            <w:noWrap/>
          </w:tcPr>
          <w:p w14:paraId="697BDAAF" w14:textId="77777777" w:rsidR="0009186D" w:rsidRPr="00E25C8D" w:rsidRDefault="0009186D" w:rsidP="00391C08">
            <w:pPr>
              <w:jc w:val="center"/>
              <w:rPr>
                <w:rFonts w:asciiTheme="majorBidi" w:eastAsia="Times New Roman" w:hAnsiTheme="majorBidi" w:cstheme="majorBidi"/>
                <w:color w:val="000000"/>
                <w:sz w:val="20"/>
                <w:szCs w:val="20"/>
              </w:rPr>
            </w:pPr>
          </w:p>
        </w:tc>
        <w:tc>
          <w:tcPr>
            <w:tcW w:w="575" w:type="dxa"/>
            <w:shd w:val="clear" w:color="auto" w:fill="00B050"/>
            <w:noWrap/>
          </w:tcPr>
          <w:p w14:paraId="4F816987" w14:textId="77777777" w:rsidR="0009186D" w:rsidRPr="00E25C8D" w:rsidRDefault="0009186D" w:rsidP="00391C08">
            <w:pPr>
              <w:jc w:val="center"/>
              <w:rPr>
                <w:rFonts w:asciiTheme="majorBidi" w:eastAsia="Times New Roman" w:hAnsiTheme="majorBidi" w:cstheme="majorBidi"/>
                <w:sz w:val="20"/>
                <w:szCs w:val="20"/>
              </w:rPr>
            </w:pPr>
          </w:p>
        </w:tc>
        <w:tc>
          <w:tcPr>
            <w:tcW w:w="671" w:type="dxa"/>
            <w:shd w:val="clear" w:color="auto" w:fill="FFC000"/>
            <w:noWrap/>
          </w:tcPr>
          <w:p w14:paraId="32BA46D9" w14:textId="77777777" w:rsidR="0009186D" w:rsidRPr="00E25C8D" w:rsidRDefault="0009186D" w:rsidP="00391C08">
            <w:pPr>
              <w:jc w:val="center"/>
              <w:rPr>
                <w:rFonts w:asciiTheme="majorBidi" w:eastAsia="Times New Roman" w:hAnsiTheme="majorBidi" w:cstheme="majorBidi"/>
                <w:sz w:val="20"/>
                <w:szCs w:val="20"/>
              </w:rPr>
            </w:pPr>
          </w:p>
        </w:tc>
        <w:tc>
          <w:tcPr>
            <w:tcW w:w="543" w:type="dxa"/>
            <w:shd w:val="clear" w:color="auto" w:fill="FFC000"/>
            <w:noWrap/>
          </w:tcPr>
          <w:p w14:paraId="2F3CAE67" w14:textId="77777777" w:rsidR="0009186D" w:rsidRPr="00E25C8D" w:rsidRDefault="0009186D" w:rsidP="00391C08">
            <w:pPr>
              <w:jc w:val="center"/>
              <w:rPr>
                <w:rFonts w:asciiTheme="majorBidi" w:eastAsia="Times New Roman" w:hAnsiTheme="majorBidi" w:cstheme="majorBidi"/>
                <w:sz w:val="20"/>
                <w:szCs w:val="20"/>
              </w:rPr>
            </w:pPr>
          </w:p>
        </w:tc>
        <w:tc>
          <w:tcPr>
            <w:tcW w:w="569" w:type="dxa"/>
            <w:shd w:val="clear" w:color="auto" w:fill="A6A6A6" w:themeFill="background1" w:themeFillShade="A6"/>
          </w:tcPr>
          <w:p w14:paraId="45FB6867" w14:textId="77777777" w:rsidR="0009186D" w:rsidRPr="00E25C8D" w:rsidRDefault="0009186D" w:rsidP="00391C08">
            <w:pPr>
              <w:jc w:val="center"/>
              <w:rPr>
                <w:rFonts w:asciiTheme="majorBidi" w:eastAsia="Times New Roman" w:hAnsiTheme="majorBidi" w:cstheme="majorBidi"/>
                <w:sz w:val="20"/>
                <w:szCs w:val="20"/>
              </w:rPr>
            </w:pPr>
          </w:p>
        </w:tc>
        <w:tc>
          <w:tcPr>
            <w:tcW w:w="546" w:type="dxa"/>
            <w:shd w:val="clear" w:color="auto" w:fill="A6A6A6" w:themeFill="background1" w:themeFillShade="A6"/>
          </w:tcPr>
          <w:p w14:paraId="58E12017" w14:textId="77777777" w:rsidR="0009186D" w:rsidRPr="00E25C8D" w:rsidRDefault="0009186D" w:rsidP="00391C08">
            <w:pPr>
              <w:jc w:val="center"/>
              <w:rPr>
                <w:rFonts w:asciiTheme="majorBidi" w:eastAsia="Times New Roman" w:hAnsiTheme="majorBidi" w:cstheme="majorBidi"/>
                <w:sz w:val="20"/>
                <w:szCs w:val="20"/>
              </w:rPr>
            </w:pPr>
          </w:p>
        </w:tc>
        <w:tc>
          <w:tcPr>
            <w:tcW w:w="553" w:type="dxa"/>
            <w:shd w:val="clear" w:color="auto" w:fill="7030A0"/>
          </w:tcPr>
          <w:p w14:paraId="4F99090B" w14:textId="77777777" w:rsidR="0009186D" w:rsidRPr="00E25C8D" w:rsidRDefault="0009186D" w:rsidP="00391C08">
            <w:pPr>
              <w:jc w:val="center"/>
              <w:rPr>
                <w:rFonts w:asciiTheme="majorBidi" w:eastAsia="Times New Roman" w:hAnsiTheme="majorBidi" w:cstheme="majorBidi"/>
                <w:sz w:val="20"/>
                <w:szCs w:val="20"/>
              </w:rPr>
            </w:pPr>
          </w:p>
        </w:tc>
        <w:tc>
          <w:tcPr>
            <w:tcW w:w="561" w:type="dxa"/>
            <w:shd w:val="clear" w:color="auto" w:fill="7030A0"/>
          </w:tcPr>
          <w:p w14:paraId="3CFCBA0C" w14:textId="77777777" w:rsidR="0009186D" w:rsidRPr="00E25C8D" w:rsidRDefault="0009186D" w:rsidP="00391C08">
            <w:pPr>
              <w:jc w:val="center"/>
              <w:rPr>
                <w:rFonts w:asciiTheme="majorBidi" w:eastAsia="Times New Roman" w:hAnsiTheme="majorBidi" w:cstheme="majorBidi"/>
                <w:sz w:val="20"/>
                <w:szCs w:val="20"/>
              </w:rPr>
            </w:pPr>
          </w:p>
        </w:tc>
      </w:tr>
    </w:tbl>
    <w:p w14:paraId="45D6956C" w14:textId="77777777" w:rsidR="001B5B14" w:rsidRDefault="001B5B14" w:rsidP="00C870D9">
      <w:pPr>
        <w:jc w:val="both"/>
        <w:rPr>
          <w:rFonts w:ascii="Times New Roman" w:hAnsi="Times New Roman" w:cs="Times New Roman"/>
          <w:sz w:val="24"/>
          <w:szCs w:val="24"/>
        </w:rPr>
      </w:pPr>
    </w:p>
    <w:p w14:paraId="2FE24BA9" w14:textId="77777777" w:rsidR="001B5B14" w:rsidRPr="00DC5077" w:rsidRDefault="001B5B14" w:rsidP="00154E97">
      <w:pPr>
        <w:jc w:val="both"/>
        <w:rPr>
          <w:rFonts w:ascii="Times New Roman" w:hAnsi="Times New Roman" w:cs="Times New Roman"/>
          <w:b/>
          <w:bCs/>
          <w:sz w:val="24"/>
          <w:szCs w:val="24"/>
        </w:rPr>
      </w:pPr>
      <w:r w:rsidRPr="00DC5077">
        <w:rPr>
          <w:rFonts w:ascii="Times New Roman" w:hAnsi="Times New Roman" w:cs="Times New Roman"/>
          <w:b/>
          <w:bCs/>
          <w:sz w:val="24"/>
          <w:szCs w:val="24"/>
        </w:rPr>
        <w:t>4.1. Plano de atividades do candidato</w:t>
      </w:r>
    </w:p>
    <w:p w14:paraId="177D6412" w14:textId="5C87AE41" w:rsidR="001B5B14" w:rsidRPr="001B5B14" w:rsidRDefault="00DC5077" w:rsidP="00154E97">
      <w:pPr>
        <w:jc w:val="both"/>
        <w:rPr>
          <w:rFonts w:ascii="Times New Roman" w:hAnsi="Times New Roman" w:cs="Times New Roman"/>
          <w:sz w:val="24"/>
          <w:szCs w:val="24"/>
        </w:rPr>
      </w:pPr>
      <w:r>
        <w:rPr>
          <w:rFonts w:ascii="Times New Roman" w:hAnsi="Times New Roman" w:cs="Times New Roman"/>
          <w:sz w:val="24"/>
          <w:szCs w:val="24"/>
        </w:rPr>
        <w:t xml:space="preserve">1- </w:t>
      </w:r>
      <w:r w:rsidR="001B5B14" w:rsidRPr="001B5B14">
        <w:rPr>
          <w:rFonts w:ascii="Times New Roman" w:hAnsi="Times New Roman" w:cs="Times New Roman"/>
          <w:sz w:val="24"/>
          <w:szCs w:val="24"/>
        </w:rPr>
        <w:t>Busca em diversas bases de dados: Realizar uma revisão bibliográfica abrangente em bases científicas para reunir estudos relevantes sobre a assimetria de marcha (GA) em pessoas com DP.</w:t>
      </w:r>
    </w:p>
    <w:p w14:paraId="58FFBDE6" w14:textId="73BF4A46" w:rsidR="001B5B14" w:rsidRPr="001B5B14" w:rsidRDefault="00DC5077" w:rsidP="00154E97">
      <w:pPr>
        <w:jc w:val="both"/>
        <w:rPr>
          <w:rFonts w:ascii="Times New Roman" w:hAnsi="Times New Roman" w:cs="Times New Roman"/>
          <w:sz w:val="24"/>
          <w:szCs w:val="24"/>
        </w:rPr>
      </w:pPr>
      <w:r>
        <w:rPr>
          <w:rFonts w:ascii="Times New Roman" w:hAnsi="Times New Roman" w:cs="Times New Roman"/>
          <w:sz w:val="24"/>
          <w:szCs w:val="24"/>
        </w:rPr>
        <w:t xml:space="preserve">2- </w:t>
      </w:r>
      <w:r w:rsidR="001B5B14" w:rsidRPr="001B5B14">
        <w:rPr>
          <w:rFonts w:ascii="Times New Roman" w:hAnsi="Times New Roman" w:cs="Times New Roman"/>
          <w:sz w:val="24"/>
          <w:szCs w:val="24"/>
        </w:rPr>
        <w:t>Início das atividades de projeto de extensão e consequente aumento de estudos relacionados à assimetria de marcha em pessoas com DP, bem como submissão do estudo ao comitê de ética e registro do ensaio clínico: Iniciar as atividades do projeto de extensão, ampliar a investigação em GA na DP, submeter o estudo para aprovação ética e concluir o registro do ensaio clínico.</w:t>
      </w:r>
    </w:p>
    <w:p w14:paraId="374A1C76" w14:textId="512485B0" w:rsidR="001B5B14" w:rsidRPr="001B5B14" w:rsidRDefault="00DC5077" w:rsidP="00154E97">
      <w:pPr>
        <w:jc w:val="both"/>
        <w:rPr>
          <w:rFonts w:ascii="Times New Roman" w:hAnsi="Times New Roman" w:cs="Times New Roman"/>
          <w:sz w:val="24"/>
          <w:szCs w:val="24"/>
        </w:rPr>
      </w:pPr>
      <w:r>
        <w:rPr>
          <w:rFonts w:ascii="Times New Roman" w:hAnsi="Times New Roman" w:cs="Times New Roman"/>
          <w:sz w:val="24"/>
          <w:szCs w:val="24"/>
        </w:rPr>
        <w:t xml:space="preserve">3- </w:t>
      </w:r>
      <w:r w:rsidR="001B5B14" w:rsidRPr="001B5B14">
        <w:rPr>
          <w:rFonts w:ascii="Times New Roman" w:hAnsi="Times New Roman" w:cs="Times New Roman"/>
          <w:sz w:val="24"/>
          <w:szCs w:val="24"/>
        </w:rPr>
        <w:t>Padronização das técnicas de tDCS para avaliar a assimetria de marcha em pacientes com DP: Estabelecer e aperfeiçoar os protocolos de aplicação da tDCS, garantindo consistência nas avaliações de GA em indivíduos com DP.</w:t>
      </w:r>
    </w:p>
    <w:p w14:paraId="02598946" w14:textId="1329BB7C" w:rsidR="001B5B14" w:rsidRPr="001B5B14" w:rsidRDefault="00DC5077" w:rsidP="00154E97">
      <w:pPr>
        <w:jc w:val="both"/>
        <w:rPr>
          <w:rFonts w:ascii="Times New Roman" w:hAnsi="Times New Roman" w:cs="Times New Roman"/>
          <w:sz w:val="24"/>
          <w:szCs w:val="24"/>
        </w:rPr>
      </w:pPr>
      <w:r>
        <w:rPr>
          <w:rFonts w:ascii="Times New Roman" w:hAnsi="Times New Roman" w:cs="Times New Roman"/>
          <w:sz w:val="24"/>
          <w:szCs w:val="24"/>
        </w:rPr>
        <w:t xml:space="preserve">4- </w:t>
      </w:r>
      <w:r w:rsidR="001B5B14" w:rsidRPr="001B5B14">
        <w:rPr>
          <w:rFonts w:ascii="Times New Roman" w:hAnsi="Times New Roman" w:cs="Times New Roman"/>
          <w:sz w:val="24"/>
          <w:szCs w:val="24"/>
        </w:rPr>
        <w:t>Organização do ambiente de pesquisa para a realização dos estudos propostos neste projeto: Preparar a infraestrutura, os equipamentos e os recursos necessários para viabilizar a execução dos estudos de pesquisa.</w:t>
      </w:r>
    </w:p>
    <w:p w14:paraId="0C8C9E33" w14:textId="26213848" w:rsidR="001B5B14" w:rsidRPr="001B5B14" w:rsidRDefault="00DC5077" w:rsidP="00154E97">
      <w:pPr>
        <w:jc w:val="both"/>
        <w:rPr>
          <w:rFonts w:ascii="Times New Roman" w:hAnsi="Times New Roman" w:cs="Times New Roman"/>
          <w:sz w:val="24"/>
          <w:szCs w:val="24"/>
        </w:rPr>
      </w:pPr>
      <w:r>
        <w:rPr>
          <w:rFonts w:ascii="Times New Roman" w:hAnsi="Times New Roman" w:cs="Times New Roman"/>
          <w:sz w:val="24"/>
          <w:szCs w:val="24"/>
        </w:rPr>
        <w:t xml:space="preserve">5- </w:t>
      </w:r>
      <w:r w:rsidR="001B5B14" w:rsidRPr="001B5B14">
        <w:rPr>
          <w:rFonts w:ascii="Times New Roman" w:hAnsi="Times New Roman" w:cs="Times New Roman"/>
          <w:sz w:val="24"/>
          <w:szCs w:val="24"/>
        </w:rPr>
        <w:t>Convite a participantes com DP para participar do estudo proposto neste projeto: Recrutar e convidar indivíduos com DP elegíveis para participar do estudo, assegurando consentimento informado e aderência aos critérios de inclusão.</w:t>
      </w:r>
    </w:p>
    <w:p w14:paraId="07073614" w14:textId="6B172307" w:rsidR="001B5B14" w:rsidRPr="001B5B14" w:rsidRDefault="00DC5077" w:rsidP="00154E97">
      <w:pPr>
        <w:jc w:val="both"/>
        <w:rPr>
          <w:rFonts w:ascii="Times New Roman" w:hAnsi="Times New Roman" w:cs="Times New Roman"/>
          <w:sz w:val="24"/>
          <w:szCs w:val="24"/>
        </w:rPr>
      </w:pPr>
      <w:r>
        <w:rPr>
          <w:rFonts w:ascii="Times New Roman" w:hAnsi="Times New Roman" w:cs="Times New Roman"/>
          <w:sz w:val="24"/>
          <w:szCs w:val="24"/>
        </w:rPr>
        <w:t xml:space="preserve">6- </w:t>
      </w:r>
      <w:r w:rsidR="001B5B14" w:rsidRPr="001B5B14">
        <w:rPr>
          <w:rFonts w:ascii="Times New Roman" w:hAnsi="Times New Roman" w:cs="Times New Roman"/>
          <w:sz w:val="24"/>
          <w:szCs w:val="24"/>
        </w:rPr>
        <w:t>Elaboração do relatório parcial: Documentar e sintetizar o andamento do estudo, incluindo achados iniciais, atualizações metodológicas e próximos passos.</w:t>
      </w:r>
    </w:p>
    <w:p w14:paraId="64A28846" w14:textId="3BA91B1B" w:rsidR="001B5B14" w:rsidRPr="001B5B14" w:rsidRDefault="00154E97" w:rsidP="00154E97">
      <w:pPr>
        <w:jc w:val="both"/>
        <w:rPr>
          <w:rFonts w:ascii="Times New Roman" w:hAnsi="Times New Roman" w:cs="Times New Roman"/>
          <w:sz w:val="24"/>
          <w:szCs w:val="24"/>
        </w:rPr>
      </w:pPr>
      <w:r>
        <w:rPr>
          <w:rFonts w:ascii="Times New Roman" w:hAnsi="Times New Roman" w:cs="Times New Roman"/>
          <w:sz w:val="24"/>
          <w:szCs w:val="24"/>
        </w:rPr>
        <w:t xml:space="preserve">7- </w:t>
      </w:r>
      <w:r w:rsidR="001B5B14" w:rsidRPr="001B5B14">
        <w:rPr>
          <w:rFonts w:ascii="Times New Roman" w:hAnsi="Times New Roman" w:cs="Times New Roman"/>
          <w:sz w:val="24"/>
          <w:szCs w:val="24"/>
        </w:rPr>
        <w:t>Supervisão de estudantes de graduação e pós‑graduação: Oferecer orientação acadêmica e de pesquisa aos estudantes envolvidos no projeto, supervisionando suas contribuições e desenvolvimento profissional.</w:t>
      </w:r>
    </w:p>
    <w:p w14:paraId="650A5A05" w14:textId="20CFF5EF" w:rsidR="001B5B14" w:rsidRPr="001B5B14" w:rsidRDefault="00154E97" w:rsidP="00154E97">
      <w:pPr>
        <w:jc w:val="both"/>
        <w:rPr>
          <w:rFonts w:ascii="Times New Roman" w:hAnsi="Times New Roman" w:cs="Times New Roman"/>
          <w:sz w:val="24"/>
          <w:szCs w:val="24"/>
        </w:rPr>
      </w:pPr>
      <w:r>
        <w:rPr>
          <w:rFonts w:ascii="Times New Roman" w:hAnsi="Times New Roman" w:cs="Times New Roman"/>
          <w:sz w:val="24"/>
          <w:szCs w:val="24"/>
        </w:rPr>
        <w:t xml:space="preserve">8- </w:t>
      </w:r>
      <w:r w:rsidR="001B5B14" w:rsidRPr="001B5B14">
        <w:rPr>
          <w:rFonts w:ascii="Times New Roman" w:hAnsi="Times New Roman" w:cs="Times New Roman"/>
          <w:sz w:val="24"/>
          <w:szCs w:val="24"/>
        </w:rPr>
        <w:t>Realização de estágio de pesquisa no exterior. Se aprovado, o candidato realizará um estágio de pesquisa de 12 meses no exterior (Estágio de Pesquisa no Exterior – BEPE‑FAPESP). O estágio ocorrerá na Faculdade de Ciências do Movimento Humano da Universidade Vrije, em Amsterdã, no grupo de pesquisa do Professor Jaap van Dieën (carta de convite anexada no sistema SAGE). O Professor van Dieën possui ampla competência em pesquisas que envolvem a análise de EMG durante a marcha e amplo experiência no processamento de dados de marcha humana utilizando plataformas como MATLAB, o que é crucial para alcançar os principais objetivos deste projeto.</w:t>
      </w:r>
    </w:p>
    <w:p w14:paraId="14EECBBB" w14:textId="3C8E708D" w:rsidR="001B5B14" w:rsidRPr="001B5B14" w:rsidRDefault="00154E97" w:rsidP="00154E97">
      <w:pPr>
        <w:jc w:val="both"/>
        <w:rPr>
          <w:rFonts w:ascii="Times New Roman" w:hAnsi="Times New Roman" w:cs="Times New Roman"/>
          <w:sz w:val="24"/>
          <w:szCs w:val="24"/>
        </w:rPr>
      </w:pPr>
      <w:r>
        <w:rPr>
          <w:rFonts w:ascii="Times New Roman" w:hAnsi="Times New Roman" w:cs="Times New Roman"/>
          <w:sz w:val="24"/>
          <w:szCs w:val="24"/>
        </w:rPr>
        <w:t xml:space="preserve">9- </w:t>
      </w:r>
      <w:r w:rsidR="001B5B14" w:rsidRPr="001B5B14">
        <w:rPr>
          <w:rFonts w:ascii="Times New Roman" w:hAnsi="Times New Roman" w:cs="Times New Roman"/>
          <w:sz w:val="24"/>
          <w:szCs w:val="24"/>
        </w:rPr>
        <w:t>Análise e discussão dos diversos resultados: Processar, interpretar e discutir criticamente os dados coletados, em confronto com a literatura existente.</w:t>
      </w:r>
    </w:p>
    <w:p w14:paraId="350D8211" w14:textId="6AD1B01D" w:rsidR="001B5B14" w:rsidRPr="001B5B14" w:rsidRDefault="00154E97" w:rsidP="00154E97">
      <w:pPr>
        <w:jc w:val="both"/>
        <w:rPr>
          <w:rFonts w:ascii="Times New Roman" w:hAnsi="Times New Roman" w:cs="Times New Roman"/>
          <w:sz w:val="24"/>
          <w:szCs w:val="24"/>
        </w:rPr>
      </w:pPr>
      <w:r>
        <w:rPr>
          <w:rFonts w:ascii="Times New Roman" w:hAnsi="Times New Roman" w:cs="Times New Roman"/>
          <w:sz w:val="24"/>
          <w:szCs w:val="24"/>
        </w:rPr>
        <w:t xml:space="preserve">10- </w:t>
      </w:r>
      <w:r w:rsidR="001B5B14" w:rsidRPr="001B5B14">
        <w:rPr>
          <w:rFonts w:ascii="Times New Roman" w:hAnsi="Times New Roman" w:cs="Times New Roman"/>
          <w:sz w:val="24"/>
          <w:szCs w:val="24"/>
        </w:rPr>
        <w:t>Participação em eventos científicos com a publicação de resumos de estudos piloto e dados pré‑selecionados: Apresentar achados preliminares em congressos científicos e publicar resumos para divulgar a evolução do estudo.</w:t>
      </w:r>
    </w:p>
    <w:p w14:paraId="56A3B388" w14:textId="17E02112" w:rsidR="001B5B14" w:rsidRPr="001B5B14" w:rsidRDefault="00154E97" w:rsidP="00154E97">
      <w:pPr>
        <w:jc w:val="both"/>
        <w:rPr>
          <w:rFonts w:ascii="Times New Roman" w:hAnsi="Times New Roman" w:cs="Times New Roman"/>
          <w:sz w:val="24"/>
          <w:szCs w:val="24"/>
        </w:rPr>
      </w:pPr>
      <w:r>
        <w:rPr>
          <w:rFonts w:ascii="Times New Roman" w:hAnsi="Times New Roman" w:cs="Times New Roman"/>
          <w:sz w:val="24"/>
          <w:szCs w:val="24"/>
        </w:rPr>
        <w:t xml:space="preserve">11- </w:t>
      </w:r>
      <w:r w:rsidR="001B5B14" w:rsidRPr="001B5B14">
        <w:rPr>
          <w:rFonts w:ascii="Times New Roman" w:hAnsi="Times New Roman" w:cs="Times New Roman"/>
          <w:sz w:val="24"/>
          <w:szCs w:val="24"/>
        </w:rPr>
        <w:t>Submissão de artigos para publicação: Elaborar, redigir e submeter manuscritos a periódicos científicos indexados e sujeitos a avaliação por pares.</w:t>
      </w:r>
    </w:p>
    <w:p w14:paraId="536E1E7F" w14:textId="6391F6C5" w:rsidR="001B5B14" w:rsidRPr="001B5B14" w:rsidRDefault="00154E97" w:rsidP="00154E97">
      <w:pPr>
        <w:jc w:val="both"/>
        <w:rPr>
          <w:rFonts w:ascii="Times New Roman" w:hAnsi="Times New Roman" w:cs="Times New Roman"/>
          <w:sz w:val="24"/>
          <w:szCs w:val="24"/>
        </w:rPr>
      </w:pPr>
      <w:r>
        <w:rPr>
          <w:rFonts w:ascii="Times New Roman" w:hAnsi="Times New Roman" w:cs="Times New Roman"/>
          <w:sz w:val="24"/>
          <w:szCs w:val="24"/>
        </w:rPr>
        <w:t xml:space="preserve">12- </w:t>
      </w:r>
      <w:r w:rsidR="001B5B14" w:rsidRPr="001B5B14">
        <w:rPr>
          <w:rFonts w:ascii="Times New Roman" w:hAnsi="Times New Roman" w:cs="Times New Roman"/>
          <w:sz w:val="24"/>
          <w:szCs w:val="24"/>
        </w:rPr>
        <w:t>Elaboração do relatório final: Compilar todos os resultados, análises e conclusões do projeto em um relatório final abrangente.</w:t>
      </w:r>
    </w:p>
    <w:p w14:paraId="4294DEFB" w14:textId="77777777" w:rsidR="001B5B14" w:rsidRPr="001B5B14" w:rsidRDefault="001B5B14" w:rsidP="00154E97">
      <w:pPr>
        <w:jc w:val="both"/>
        <w:rPr>
          <w:rFonts w:ascii="Times New Roman" w:hAnsi="Times New Roman" w:cs="Times New Roman"/>
          <w:sz w:val="24"/>
          <w:szCs w:val="24"/>
        </w:rPr>
      </w:pPr>
    </w:p>
    <w:p w14:paraId="643B0BCA" w14:textId="41AA2439" w:rsidR="001B5B14" w:rsidRPr="00154E97" w:rsidRDefault="00154E97" w:rsidP="00154E97">
      <w:pPr>
        <w:jc w:val="both"/>
        <w:rPr>
          <w:rFonts w:ascii="Times New Roman" w:hAnsi="Times New Roman" w:cs="Times New Roman"/>
          <w:b/>
          <w:bCs/>
          <w:sz w:val="24"/>
          <w:szCs w:val="24"/>
        </w:rPr>
      </w:pPr>
      <w:r>
        <w:rPr>
          <w:rFonts w:ascii="Times New Roman" w:hAnsi="Times New Roman" w:cs="Times New Roman"/>
          <w:b/>
          <w:bCs/>
          <w:sz w:val="24"/>
          <w:szCs w:val="24"/>
        </w:rPr>
        <w:t>5</w:t>
      </w:r>
      <w:r w:rsidR="001B5B14" w:rsidRPr="00154E97">
        <w:rPr>
          <w:rFonts w:ascii="Times New Roman" w:hAnsi="Times New Roman" w:cs="Times New Roman"/>
          <w:b/>
          <w:bCs/>
          <w:sz w:val="24"/>
          <w:szCs w:val="24"/>
        </w:rPr>
        <w:t>. DIVULGAÇÃO E AVALIAÇÃO</w:t>
      </w:r>
    </w:p>
    <w:p w14:paraId="4726A393" w14:textId="48401E99" w:rsidR="001B5B14" w:rsidRDefault="001B5B14" w:rsidP="00154E97">
      <w:pPr>
        <w:jc w:val="both"/>
        <w:rPr>
          <w:rFonts w:ascii="Times New Roman" w:hAnsi="Times New Roman" w:cs="Times New Roman"/>
          <w:sz w:val="24"/>
          <w:szCs w:val="24"/>
        </w:rPr>
      </w:pPr>
      <w:r w:rsidRPr="001B5B14">
        <w:rPr>
          <w:rFonts w:ascii="Times New Roman" w:hAnsi="Times New Roman" w:cs="Times New Roman"/>
          <w:sz w:val="24"/>
          <w:szCs w:val="24"/>
        </w:rPr>
        <w:t>Os resultados do projeto de pesquisa serão apresentados em congressos científicos nacionais e internacionais. Em seguida, os achados principais serão utilizados para a elaboração de, no mínimo, 3 artigos submetidos a periódicos internacionais com fator de impacto superior a 2. A expertise relacionada à aplicação da tDCS e à análise dos dados adquiridos neste projeto será disseminada por meio de cursos e oficinas voltados à comunidade científica. Além disso, os resultados e procedimentos do projeto serão divulgados ao público em geral por meio de materiais menos científicos, como relatos e textos em redes sociais. A avaliação deste projeto será realizada por meio do cumprimento das etapas conforme o cronograma descrito acima.</w:t>
      </w:r>
    </w:p>
    <w:p w14:paraId="1473AB8E" w14:textId="77777777" w:rsidR="00E73F22" w:rsidRDefault="00E73F22" w:rsidP="00154E97">
      <w:pPr>
        <w:jc w:val="both"/>
        <w:rPr>
          <w:rFonts w:ascii="Times New Roman" w:hAnsi="Times New Roman" w:cs="Times New Roman"/>
          <w:sz w:val="24"/>
          <w:szCs w:val="24"/>
        </w:rPr>
      </w:pPr>
    </w:p>
    <w:p w14:paraId="42AF777D" w14:textId="56775CE2" w:rsidR="00E73F22" w:rsidRPr="00C910AE" w:rsidRDefault="00E73F22" w:rsidP="00E73F22">
      <w:pPr>
        <w:tabs>
          <w:tab w:val="left" w:pos="6716"/>
        </w:tabs>
        <w:spacing w:after="0"/>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t xml:space="preserve">6. </w:t>
      </w:r>
      <w:r w:rsidRPr="00C910AE">
        <w:rPr>
          <w:rFonts w:ascii="Times New Roman" w:hAnsi="Times New Roman" w:cs="Times New Roman"/>
          <w:b/>
          <w:bCs/>
          <w:color w:val="000000" w:themeColor="text1"/>
          <w:sz w:val="24"/>
          <w:szCs w:val="24"/>
          <w:lang w:val="en-GB"/>
        </w:rPr>
        <w:t>References</w:t>
      </w:r>
    </w:p>
    <w:p w14:paraId="6087C05D" w14:textId="77777777" w:rsidR="00E73F22" w:rsidRPr="00C910AE" w:rsidRDefault="00E73F22" w:rsidP="00E73F22">
      <w:pPr>
        <w:tabs>
          <w:tab w:val="left" w:pos="6716"/>
        </w:tabs>
        <w:spacing w:after="0"/>
        <w:jc w:val="both"/>
        <w:rPr>
          <w:rFonts w:ascii="Times New Roman" w:hAnsi="Times New Roman" w:cs="Times New Roman"/>
          <w:color w:val="000000" w:themeColor="text1"/>
          <w:sz w:val="24"/>
          <w:szCs w:val="24"/>
          <w:lang w:val="en-GB"/>
        </w:rPr>
      </w:pPr>
    </w:p>
    <w:p w14:paraId="52EB9457" w14:textId="77777777" w:rsidR="00E73F22" w:rsidRDefault="00E73F22" w:rsidP="00E73F22">
      <w:pPr>
        <w:pStyle w:val="EndNoteBibliography"/>
        <w:bidi w:val="0"/>
        <w:spacing w:after="0"/>
      </w:pPr>
      <w:r w:rsidRPr="00C910AE">
        <w:rPr>
          <w:rFonts w:ascii="Times New Roman" w:hAnsi="Times New Roman" w:cs="Times New Roman"/>
          <w:color w:val="000000" w:themeColor="text1"/>
          <w:sz w:val="24"/>
          <w:szCs w:val="24"/>
          <w:lang w:val="en-GB"/>
        </w:rPr>
        <w:fldChar w:fldCharType="begin"/>
      </w:r>
      <w:r w:rsidRPr="00C910AE">
        <w:rPr>
          <w:rFonts w:ascii="Times New Roman" w:hAnsi="Times New Roman" w:cs="Times New Roman"/>
          <w:color w:val="000000" w:themeColor="text1"/>
          <w:sz w:val="24"/>
          <w:szCs w:val="24"/>
          <w:lang w:val="en-GB"/>
        </w:rPr>
        <w:instrText xml:space="preserve"> ADDIN EN.REFLIST </w:instrText>
      </w:r>
      <w:r w:rsidRPr="00C910AE">
        <w:rPr>
          <w:rFonts w:ascii="Times New Roman" w:hAnsi="Times New Roman" w:cs="Times New Roman"/>
          <w:color w:val="000000" w:themeColor="text1"/>
          <w:sz w:val="24"/>
          <w:szCs w:val="24"/>
          <w:lang w:val="en-GB"/>
        </w:rPr>
        <w:fldChar w:fldCharType="separate"/>
      </w:r>
      <w:r>
        <w:t>1.</w:t>
      </w:r>
      <w:r>
        <w:tab/>
        <w:t>Shulman JM, De Jager PL, Feany MB. Parkinson's disease: genetics and pathogenesis. Annual Review of Pathology: Mechanisms of Disease. 2011;6:193-222.</w:t>
      </w:r>
    </w:p>
    <w:p w14:paraId="32A69E4E" w14:textId="77777777" w:rsidR="00E73F22" w:rsidRDefault="00E73F22" w:rsidP="00E73F22">
      <w:pPr>
        <w:pStyle w:val="EndNoteBibliography"/>
        <w:bidi w:val="0"/>
        <w:spacing w:after="0"/>
      </w:pPr>
      <w:r>
        <w:t>2.</w:t>
      </w:r>
      <w:r>
        <w:tab/>
        <w:t>Jankovic J. Parkinson’s disease: clinical features and diagnosis. Journal of neurology, neurosurgery &amp; psychiatry. 2008;79(4):368-76.</w:t>
      </w:r>
    </w:p>
    <w:p w14:paraId="3D13E1DD" w14:textId="77777777" w:rsidR="00E73F22" w:rsidRDefault="00E73F22" w:rsidP="00E73F22">
      <w:pPr>
        <w:pStyle w:val="EndNoteBibliography"/>
        <w:bidi w:val="0"/>
        <w:spacing w:after="0"/>
      </w:pPr>
      <w:r>
        <w:t>3.</w:t>
      </w:r>
      <w:r>
        <w:tab/>
        <w:t>Rennie L, Löfgren N, Moe-Nilssen R, Opheim A, Dietrichs E, Franzén E. The reliability of gait variability measures for individuals with Parkinson’s disease and healthy older adults–The effect of gait speed. Gait &amp; Posture. 2018;62:505-9.</w:t>
      </w:r>
    </w:p>
    <w:p w14:paraId="3ECCB8B9" w14:textId="77777777" w:rsidR="00E73F22" w:rsidRDefault="00E73F22" w:rsidP="00E73F22">
      <w:pPr>
        <w:pStyle w:val="EndNoteBibliography"/>
        <w:bidi w:val="0"/>
        <w:spacing w:after="0"/>
      </w:pPr>
      <w:r>
        <w:t>4.</w:t>
      </w:r>
      <w:r>
        <w:tab/>
        <w:t>Ellis RJ, Ng YS, Zhu S, Tan DM, Anderson B, Schlaug G, et al. A validated smartphone-based assessment of gait and gait variability in Parkinson’s disease. PLoS one. 2015;10(10):e0141694.</w:t>
      </w:r>
    </w:p>
    <w:p w14:paraId="4ED75817" w14:textId="77777777" w:rsidR="00E73F22" w:rsidRDefault="00E73F22" w:rsidP="00E73F22">
      <w:pPr>
        <w:pStyle w:val="EndNoteBibliography"/>
        <w:bidi w:val="0"/>
        <w:spacing w:after="0"/>
      </w:pPr>
      <w:r>
        <w:t>5.</w:t>
      </w:r>
      <w:r>
        <w:tab/>
        <w:t>Galna B, Lord S, Rochester L. Is gait variability reliable in older adults and Parkinson's disease? Towards an optimal testing protocol. Gait &amp; posture. 2013;37(4):580-5.</w:t>
      </w:r>
    </w:p>
    <w:p w14:paraId="365B3DC0" w14:textId="77777777" w:rsidR="00E73F22" w:rsidRDefault="00E73F22" w:rsidP="00E73F22">
      <w:pPr>
        <w:pStyle w:val="EndNoteBibliography"/>
        <w:bidi w:val="0"/>
        <w:spacing w:after="0"/>
      </w:pPr>
      <w:r>
        <w:t>6.</w:t>
      </w:r>
      <w:r>
        <w:tab/>
        <w:t>Boonstra TA, van Vugt JP, van der Kooij H, Bloem BR. Balance asymmetry in Parkinson’s disease and its contribution to freezing of gait. PLoS One. 2014;9(7):e102493.</w:t>
      </w:r>
    </w:p>
    <w:p w14:paraId="655CCEF5" w14:textId="77777777" w:rsidR="00E73F22" w:rsidRDefault="00E73F22" w:rsidP="00E73F22">
      <w:pPr>
        <w:pStyle w:val="EndNoteBibliography"/>
        <w:bidi w:val="0"/>
        <w:spacing w:after="0"/>
      </w:pPr>
      <w:r>
        <w:t>7.</w:t>
      </w:r>
      <w:r>
        <w:tab/>
        <w:t>Plotnik M, Hausdorff JM. The role of gait rhythmicity and bilateral coordination of stepping in the pathophysiology of freezing of gait in Parkinson's disease. Movement disorders: official journal of the Movement Disorder Society. 2008;23(S2):S444-S50.</w:t>
      </w:r>
    </w:p>
    <w:p w14:paraId="347C6F89" w14:textId="77777777" w:rsidR="00E73F22" w:rsidRDefault="00E73F22" w:rsidP="00E73F22">
      <w:pPr>
        <w:pStyle w:val="EndNoteBibliography"/>
        <w:bidi w:val="0"/>
        <w:spacing w:after="0"/>
      </w:pPr>
      <w:r>
        <w:t>8.</w:t>
      </w:r>
      <w:r>
        <w:tab/>
        <w:t>Frazzitta G, Pezzoli G, Bertotti G, Maestri R. Asymmetry and freezing of gait in parkinsonian patients. Journal of Neurology. 2013;260(1):71-6.</w:t>
      </w:r>
    </w:p>
    <w:p w14:paraId="24CFAF24" w14:textId="77777777" w:rsidR="00E73F22" w:rsidRDefault="00E73F22" w:rsidP="00E73F22">
      <w:pPr>
        <w:pStyle w:val="EndNoteBibliography"/>
        <w:bidi w:val="0"/>
        <w:spacing w:after="0"/>
      </w:pPr>
      <w:r>
        <w:t>9.</w:t>
      </w:r>
      <w:r>
        <w:tab/>
        <w:t>Koller WC, Glatt S, Vetere-Overfield B, Hassanein R. Falls and Parkinson's disease. Clinical neuropharmacology. 1989;12(2):98-105.</w:t>
      </w:r>
    </w:p>
    <w:p w14:paraId="4E7EBFC9" w14:textId="77777777" w:rsidR="00E73F22" w:rsidRDefault="00E73F22" w:rsidP="00E73F22">
      <w:pPr>
        <w:pStyle w:val="EndNoteBibliography"/>
        <w:bidi w:val="0"/>
        <w:spacing w:after="0"/>
      </w:pPr>
      <w:r>
        <w:t>10.</w:t>
      </w:r>
      <w:r>
        <w:tab/>
        <w:t>Wood B, Bilclough J, Bowron A, Walker R. Incidence and prediction of falls in Parkinson's disease: a prospective multidisciplinary study. Journal of Neurology, Neurosurgery &amp; Psychiatry. 2002;72(6):721-5.</w:t>
      </w:r>
    </w:p>
    <w:p w14:paraId="6F905556" w14:textId="77777777" w:rsidR="00E73F22" w:rsidRDefault="00E73F22" w:rsidP="00E73F22">
      <w:pPr>
        <w:pStyle w:val="EndNoteBibliography"/>
        <w:bidi w:val="0"/>
        <w:spacing w:after="0"/>
      </w:pPr>
      <w:r>
        <w:t>11.</w:t>
      </w:r>
      <w:r>
        <w:tab/>
        <w:t>Sadeghi H, Allard P, Prince F, Labelle H. Symmetry and limb dominance in able-bodied gait: a review. Gait &amp; posture. 2000;12(1):34-45.</w:t>
      </w:r>
    </w:p>
    <w:p w14:paraId="0F26C3D9" w14:textId="77777777" w:rsidR="00E73F22" w:rsidRDefault="00E73F22" w:rsidP="00E73F22">
      <w:pPr>
        <w:pStyle w:val="EndNoteBibliography"/>
        <w:bidi w:val="0"/>
        <w:spacing w:after="0"/>
      </w:pPr>
      <w:r>
        <w:t>12.</w:t>
      </w:r>
      <w:r>
        <w:tab/>
        <w:t>Sadeghi H. Local or global asymmetry in gait of people without impairments. Gait &amp; posture. 2003;17(3):197-204.</w:t>
      </w:r>
    </w:p>
    <w:p w14:paraId="5D341C32" w14:textId="77777777" w:rsidR="00E73F22" w:rsidRDefault="00E73F22" w:rsidP="00E73F22">
      <w:pPr>
        <w:pStyle w:val="EndNoteBibliography"/>
        <w:bidi w:val="0"/>
        <w:spacing w:after="0"/>
      </w:pPr>
      <w:r>
        <w:t>13.</w:t>
      </w:r>
      <w:r>
        <w:tab/>
        <w:t>Yogev G, Plotnik M, Peretz C, Giladi N, Hausdorff JM. Gait asymmetry in patients with Parkinson’s disease and elderly fallers: when does the bilateral coordination of gait require attention? Experimental brain research. 2007;177(3):336-46.</w:t>
      </w:r>
    </w:p>
    <w:p w14:paraId="332A8521" w14:textId="77777777" w:rsidR="00E73F22" w:rsidRDefault="00E73F22" w:rsidP="00E73F22">
      <w:pPr>
        <w:pStyle w:val="EndNoteBibliography"/>
        <w:bidi w:val="0"/>
        <w:spacing w:after="0"/>
      </w:pPr>
      <w:r>
        <w:t>14.</w:t>
      </w:r>
      <w:r>
        <w:tab/>
        <w:t>Patterson KK, Gage WH, Brooks D, Black SE, McIlroy WE. Evaluation of gait symmetry after stroke: a comparison of current methods and recommendations for standardization. Gait &amp; posture. 2010;31(2):241-6.</w:t>
      </w:r>
    </w:p>
    <w:p w14:paraId="01420A19" w14:textId="77777777" w:rsidR="00E73F22" w:rsidRDefault="00E73F22" w:rsidP="00E73F22">
      <w:pPr>
        <w:pStyle w:val="EndNoteBibliography"/>
        <w:bidi w:val="0"/>
        <w:spacing w:after="0"/>
      </w:pPr>
      <w:r>
        <w:t>15.</w:t>
      </w:r>
      <w:r>
        <w:tab/>
        <w:t>Halim HNA, Azaman A, Manaf H, Saidin S, Zulkapri I, Yahya A, editors. Gait Asymmetry Assessment using Muscle Activity Signal: A Review of Current Methods. Journal of Physics: Conference Series; 2019: IOP Publishing.</w:t>
      </w:r>
    </w:p>
    <w:p w14:paraId="5D8A2304" w14:textId="77777777" w:rsidR="00E73F22" w:rsidRDefault="00E73F22" w:rsidP="00E73F22">
      <w:pPr>
        <w:pStyle w:val="EndNoteBibliography"/>
        <w:bidi w:val="0"/>
        <w:spacing w:after="0"/>
      </w:pPr>
      <w:r>
        <w:t>16.</w:t>
      </w:r>
      <w:r>
        <w:tab/>
        <w:t>Plotnik M, Giladi N, Hausdorff JM. Bilateral coordination of walking and freezing of gait in Parkinson’s disease. European Journal of Neuroscience. 2008;27(8):1999-2006.</w:t>
      </w:r>
    </w:p>
    <w:p w14:paraId="176E4AAA" w14:textId="77777777" w:rsidR="00E73F22" w:rsidRDefault="00E73F22" w:rsidP="00E73F22">
      <w:pPr>
        <w:pStyle w:val="EndNoteBibliography"/>
        <w:bidi w:val="0"/>
        <w:spacing w:after="0"/>
      </w:pPr>
      <w:r>
        <w:t>17.</w:t>
      </w:r>
      <w:r>
        <w:tab/>
        <w:t>Fasano A, Herzog J, Seifert E, Stolze H, Falk D, Reese R, et al. Modulation of gait coordination by subthalamic stimulation improves freezing of gait. Movement Disorders. 2011;26(5):844-51.</w:t>
      </w:r>
    </w:p>
    <w:p w14:paraId="7D332483" w14:textId="77777777" w:rsidR="00E73F22" w:rsidRDefault="00E73F22" w:rsidP="00E73F22">
      <w:pPr>
        <w:pStyle w:val="EndNoteBibliography"/>
        <w:bidi w:val="0"/>
        <w:spacing w:after="0"/>
      </w:pPr>
      <w:r>
        <w:t>18.</w:t>
      </w:r>
      <w:r>
        <w:tab/>
        <w:t>Plotnik M, Giladi N, Balash Y, Peretz C, Hausdorff JM. Is freezing of gait in Parkinson's disease related to asymmetric motor function? Annals of Neurology: Official Journal of the American Neurological Association and the Child Neurology Society. 2005;57(5):656-63.</w:t>
      </w:r>
    </w:p>
    <w:p w14:paraId="2E0C9DBE" w14:textId="77777777" w:rsidR="00E73F22" w:rsidRDefault="00E73F22" w:rsidP="00E73F22">
      <w:pPr>
        <w:pStyle w:val="EndNoteBibliography"/>
        <w:bidi w:val="0"/>
        <w:spacing w:after="0"/>
      </w:pPr>
      <w:r>
        <w:t>19.</w:t>
      </w:r>
      <w:r>
        <w:tab/>
        <w:t>Schaafsma JD, Giladi N, Balash Y, Bartels AL, Gurevich T, Hausdorff JM. Gait dynamics in Parkinson's disease: relationship to Parkinsonian features, falls and response to levodopa. Journal of the neurological sciences. 2003;212(1-2):47-53.</w:t>
      </w:r>
    </w:p>
    <w:p w14:paraId="350C4815" w14:textId="77777777" w:rsidR="00E73F22" w:rsidRDefault="00E73F22" w:rsidP="00E73F22">
      <w:pPr>
        <w:pStyle w:val="EndNoteBibliography"/>
        <w:bidi w:val="0"/>
        <w:spacing w:after="0"/>
      </w:pPr>
      <w:r>
        <w:t>20.</w:t>
      </w:r>
      <w:r>
        <w:tab/>
        <w:t>Prokop T, Berger W, Zijlstra W, Dietz V. Adaptational and learning processes during human split-belt locomotion: interaction between central mechanisms and afferent input. Experimental brain research. 1995;106(3):449-56.</w:t>
      </w:r>
    </w:p>
    <w:p w14:paraId="3336211A" w14:textId="77777777" w:rsidR="00E73F22" w:rsidRPr="00856A24" w:rsidRDefault="00E73F22" w:rsidP="00E73F22">
      <w:pPr>
        <w:pStyle w:val="EndNoteBibliography"/>
        <w:bidi w:val="0"/>
        <w:spacing w:after="0"/>
        <w:rPr>
          <w:lang w:val="pt-BR"/>
        </w:rPr>
      </w:pPr>
      <w:r>
        <w:t>21.</w:t>
      </w:r>
      <w:r>
        <w:tab/>
        <w:t xml:space="preserve">Barbieri FA, Simieli L, Orcioli-Silva D, Baptista AM, Borkowske Pestana M, Spiandor Beretta V, et al. Obstacle avoidance increases asymmetry of crossing step in individuals with Parkinson's disease and neurologically healthy individuals. </w:t>
      </w:r>
      <w:r w:rsidRPr="00856A24">
        <w:rPr>
          <w:lang w:val="pt-BR"/>
        </w:rPr>
        <w:t>Journal of Motor Behavior. 2018;50(1):17-25.</w:t>
      </w:r>
    </w:p>
    <w:p w14:paraId="3EA0A342" w14:textId="77777777" w:rsidR="00E73F22" w:rsidRPr="00856A24" w:rsidRDefault="00E73F22" w:rsidP="00E73F22">
      <w:pPr>
        <w:pStyle w:val="EndNoteBibliography"/>
        <w:bidi w:val="0"/>
        <w:spacing w:after="0"/>
        <w:rPr>
          <w:lang w:val="pt-BR"/>
        </w:rPr>
      </w:pPr>
      <w:r w:rsidRPr="00856A24">
        <w:rPr>
          <w:lang w:val="pt-BR"/>
        </w:rPr>
        <w:t>22.</w:t>
      </w:r>
      <w:r w:rsidRPr="00856A24">
        <w:rPr>
          <w:lang w:val="pt-BR"/>
        </w:rPr>
        <w:tab/>
        <w:t xml:space="preserve">Orcioli-Silva D, Barbieri FA, Dos Santos PCR, Beretta VS, Simieli L, Vitorio R, et al. </w:t>
      </w:r>
      <w:r>
        <w:t xml:space="preserve">Double obstacles increase gait asymmetry during obstacle crossing in people with Parkinson’s disease and healthy older adults: A pilot study. </w:t>
      </w:r>
      <w:r w:rsidRPr="00856A24">
        <w:rPr>
          <w:lang w:val="pt-BR"/>
        </w:rPr>
        <w:t>Scientific Reports. 2020;10(1):1-8.</w:t>
      </w:r>
    </w:p>
    <w:p w14:paraId="33A3F963" w14:textId="77777777" w:rsidR="00E73F22" w:rsidRDefault="00E73F22" w:rsidP="00E73F22">
      <w:pPr>
        <w:pStyle w:val="EndNoteBibliography"/>
        <w:bidi w:val="0"/>
        <w:spacing w:after="0"/>
      </w:pPr>
      <w:r w:rsidRPr="00856A24">
        <w:rPr>
          <w:lang w:val="pt-BR"/>
        </w:rPr>
        <w:t>23.</w:t>
      </w:r>
      <w:r w:rsidRPr="00856A24">
        <w:rPr>
          <w:lang w:val="pt-BR"/>
        </w:rPr>
        <w:tab/>
        <w:t xml:space="preserve">Barbieri FA, Polastri PF, Gobbi LTB, Simieli L, Pereira VIA, Baptista AM, et al. </w:t>
      </w:r>
      <w:r>
        <w:t>Obstacle circumvention and eye coordination during walking to least and most affected side in people with Parkinson’s disease. Behavioural brain research. 2018;346:105-14.</w:t>
      </w:r>
    </w:p>
    <w:p w14:paraId="34A31FB6" w14:textId="77777777" w:rsidR="00E73F22" w:rsidRDefault="00E73F22" w:rsidP="00E73F22">
      <w:pPr>
        <w:pStyle w:val="EndNoteBibliography"/>
        <w:bidi w:val="0"/>
        <w:spacing w:after="0"/>
      </w:pPr>
      <w:r>
        <w:t>24.</w:t>
      </w:r>
      <w:r>
        <w:tab/>
        <w:t>Takakusaki K. Functional neuroanatomy for posture and gait control. Journal of movement disorders. 2017;10(1):1.</w:t>
      </w:r>
    </w:p>
    <w:p w14:paraId="71044D4D" w14:textId="77777777" w:rsidR="00E73F22" w:rsidRDefault="00E73F22" w:rsidP="00E73F22">
      <w:pPr>
        <w:pStyle w:val="EndNoteBibliography"/>
        <w:bidi w:val="0"/>
        <w:spacing w:after="0"/>
      </w:pPr>
      <w:r>
        <w:t>25.</w:t>
      </w:r>
      <w:r>
        <w:tab/>
        <w:t>Obeso JA, Rodríguez‐Oroz MC, Benitez‐Temino B, Blesa FJ, Guridi J, Marin C, et al. Functional organization of the basal ganglia: therapeutic implications for Parkinson's disease. Movement disorders: official journal of the Movement Disorder Society. 2008;23(S3):S548-S59.</w:t>
      </w:r>
    </w:p>
    <w:p w14:paraId="4D16680D" w14:textId="77777777" w:rsidR="00E73F22" w:rsidRDefault="00E73F22" w:rsidP="00E73F22">
      <w:pPr>
        <w:pStyle w:val="EndNoteBibliography"/>
        <w:bidi w:val="0"/>
        <w:spacing w:after="0"/>
      </w:pPr>
      <w:r>
        <w:t>26.</w:t>
      </w:r>
      <w:r>
        <w:tab/>
        <w:t>Pino-Esteban A, Megía-García Á, Martín-Caro Álvarez D, Beltran-Alacreu H, Avendaño-Coy J, Gómez-Soriano J, Serrano-Muñoz D. Can Transcranial Direct Current Stimulation Enhance Functionality in Older Adults? A Systematic Review. J Clin Med. 2021 Jul 3;10(13):2981.</w:t>
      </w:r>
    </w:p>
    <w:p w14:paraId="6FA295E8" w14:textId="77777777" w:rsidR="00E73F22" w:rsidRDefault="00E73F22" w:rsidP="00E73F22">
      <w:pPr>
        <w:pStyle w:val="EndNoteBibliography"/>
        <w:bidi w:val="0"/>
        <w:spacing w:after="0"/>
      </w:pPr>
      <w:r>
        <w:t>27.</w:t>
      </w:r>
      <w:r>
        <w:tab/>
        <w:t>Rossini PM, Burke D, Chen R, Cohen L, Daskalakis Z, Di Iorio R, et al. Non-invasive electrical and magnetic stimulation of the brain, spinal cord, roots and peripheral nerves: Basic principles and procedures for routine clinical and research application. An updated report from an IFCN Committee. Clinical neurophysiology. 2015;126(6):1071-107.</w:t>
      </w:r>
    </w:p>
    <w:p w14:paraId="4B5DE7A8" w14:textId="77777777" w:rsidR="00E73F22" w:rsidRDefault="00E73F22" w:rsidP="00E73F22">
      <w:pPr>
        <w:pStyle w:val="EndNoteBibliography"/>
        <w:bidi w:val="0"/>
        <w:spacing w:after="0"/>
      </w:pPr>
      <w:r>
        <w:t>28.</w:t>
      </w:r>
      <w:r>
        <w:tab/>
        <w:t>Priori A. Brain polarization in humans: a reappraisal of an old tool for prolonged non-invasive modulation of brain excitability. Clinical neurophysiology. 2003;114(4):589-95.</w:t>
      </w:r>
    </w:p>
    <w:p w14:paraId="6C8CF3F7" w14:textId="77777777" w:rsidR="00E73F22" w:rsidRDefault="00E73F22" w:rsidP="00E73F22">
      <w:pPr>
        <w:pStyle w:val="EndNoteBibliography"/>
        <w:bidi w:val="0"/>
        <w:spacing w:after="0"/>
      </w:pPr>
      <w:r>
        <w:t>29.</w:t>
      </w:r>
      <w:r>
        <w:tab/>
        <w:t>Lang N, Siebner HR, Ward NS, Lee L, Nitsche MA, Paulus W, et al. How does transcranial DC stimulation of the primary motor cortex alter regional neuronal activity in the human brain? European Journal of Neuroscience. 2005;22(2):495-504.</w:t>
      </w:r>
    </w:p>
    <w:p w14:paraId="7678460F" w14:textId="77777777" w:rsidR="00E73F22" w:rsidRPr="00856A24" w:rsidRDefault="00E73F22" w:rsidP="00E73F22">
      <w:pPr>
        <w:pStyle w:val="EndNoteBibliography"/>
        <w:bidi w:val="0"/>
        <w:spacing w:after="0"/>
        <w:rPr>
          <w:lang w:val="pt-BR"/>
        </w:rPr>
      </w:pPr>
      <w:r>
        <w:t>30.</w:t>
      </w:r>
      <w:r>
        <w:tab/>
        <w:t xml:space="preserve">Fregni F, Boggio PS, Santos MC, Lima M, Vieira AL, Rigonatti SP, et al. Noninvasive cortical stimulation with transcranial direct current stimulation in Parkinson's disease. </w:t>
      </w:r>
      <w:r w:rsidRPr="00856A24">
        <w:rPr>
          <w:lang w:val="pt-BR"/>
        </w:rPr>
        <w:t>Movement disorders. 2006;21(10):1693-702.</w:t>
      </w:r>
    </w:p>
    <w:p w14:paraId="7F24AD0C" w14:textId="77777777" w:rsidR="00E73F22" w:rsidRDefault="00E73F22" w:rsidP="00E73F22">
      <w:pPr>
        <w:pStyle w:val="EndNoteBibliography"/>
        <w:bidi w:val="0"/>
        <w:spacing w:after="0"/>
      </w:pPr>
      <w:r w:rsidRPr="00856A24">
        <w:rPr>
          <w:lang w:val="pt-BR"/>
        </w:rPr>
        <w:t>31.</w:t>
      </w:r>
      <w:r w:rsidRPr="00856A24">
        <w:rPr>
          <w:lang w:val="pt-BR"/>
        </w:rPr>
        <w:tab/>
        <w:t xml:space="preserve">Beretta, V. S., Orcioli-Silva, D., Zampier, V. C., Moraca, G. A. G., Pereira, M. P., Gobbi, L. T. B., &amp; Vitório, R.. </w:t>
      </w:r>
      <w:r>
        <w:t>Eight sessions of transcranial electrical stimulation for postural response in people with Parkinson’s disease: A randomized trial. Gait &amp; Posture. 2024; 114, 1-7</w:t>
      </w:r>
    </w:p>
    <w:p w14:paraId="3D0FB273" w14:textId="77777777" w:rsidR="00E73F22" w:rsidRDefault="00E73F22" w:rsidP="00E73F22">
      <w:pPr>
        <w:pStyle w:val="EndNoteBibliography"/>
        <w:bidi w:val="0"/>
        <w:spacing w:after="0"/>
      </w:pPr>
      <w:r>
        <w:t>32.</w:t>
      </w:r>
      <w:r>
        <w:tab/>
        <w:t>Yi D, Sung Y, Yim J. Effect of Transcranial Direct Current Stimulation on Walking Speed, Functional Strength, and Balance in Older Adults: A Randomized, Double-Blind Controlled Trial. Med Sci Monit. 2021 Jul 30;27:e932623.</w:t>
      </w:r>
    </w:p>
    <w:p w14:paraId="1E3DC0D1" w14:textId="77777777" w:rsidR="00E73F22" w:rsidRDefault="00E73F22" w:rsidP="00E73F22">
      <w:pPr>
        <w:pStyle w:val="EndNoteBibliography"/>
        <w:bidi w:val="0"/>
        <w:spacing w:after="0"/>
      </w:pPr>
      <w:r>
        <w:t>33.</w:t>
      </w:r>
      <w:r>
        <w:tab/>
        <w:t>Wu AD, Petzinger GM, Lin CHJ, Kung M, Fisher B. Asymmetric corticomotor excitability correlations in early Parkinson's disease. Movement disorders: official journal of the Movement Disorder Society. 2007;22(11):1587-93.</w:t>
      </w:r>
    </w:p>
    <w:p w14:paraId="421AE000" w14:textId="77777777" w:rsidR="00E73F22" w:rsidRDefault="00E73F22" w:rsidP="00E73F22">
      <w:pPr>
        <w:pStyle w:val="EndNoteBibliography"/>
        <w:bidi w:val="0"/>
        <w:spacing w:after="0"/>
      </w:pPr>
      <w:r>
        <w:t>34.</w:t>
      </w:r>
      <w:r>
        <w:tab/>
        <w:t>Kojovic M, Bologna M, Kassavetis P, Murase N, Palomar F, Berardelli A, et al. Functional reorganization of sensorimotor cortex in early Parkinson disease. Neurology. 2012;78(18):1441-8.</w:t>
      </w:r>
    </w:p>
    <w:p w14:paraId="1C10442F" w14:textId="77777777" w:rsidR="00E73F22" w:rsidRDefault="00E73F22" w:rsidP="00E73F22">
      <w:pPr>
        <w:pStyle w:val="EndNoteBibliography"/>
        <w:bidi w:val="0"/>
        <w:spacing w:after="0"/>
      </w:pPr>
      <w:r>
        <w:t>35.</w:t>
      </w:r>
      <w:r>
        <w:tab/>
        <w:t>Li JY, Espay AJ, Gunraj CA, Pal PK, Cunic DI, Lang AE, et al. Interhemispheric and ipsilateral connections in Parkinson's disease: relation to mirror movements. Movement Disorders. 2007;22(6):813-21.</w:t>
      </w:r>
    </w:p>
    <w:p w14:paraId="37146CEE" w14:textId="77777777" w:rsidR="00E73F22" w:rsidRDefault="00E73F22" w:rsidP="00E73F22">
      <w:pPr>
        <w:pStyle w:val="EndNoteBibliography"/>
        <w:bidi w:val="0"/>
        <w:spacing w:after="0"/>
      </w:pPr>
      <w:r>
        <w:t>36.</w:t>
      </w:r>
      <w:r>
        <w:tab/>
        <w:t>Spagnolo F, Coppi E, Chieffo R, Straffi L, Fichera M, Nuara A, et al. Interhemispheric balance in Parkinson's disease: a transcranial magnetic stimulation study. Brain stimulation. 2013;6(6):892-7.</w:t>
      </w:r>
    </w:p>
    <w:p w14:paraId="25A3C699" w14:textId="77777777" w:rsidR="00E73F22" w:rsidRDefault="00E73F22" w:rsidP="00E73F22">
      <w:pPr>
        <w:pStyle w:val="EndNoteBibliography"/>
        <w:bidi w:val="0"/>
        <w:spacing w:after="0"/>
      </w:pPr>
      <w:r w:rsidRPr="004D22B6">
        <w:t>37.</w:t>
      </w:r>
      <w:r w:rsidRPr="004D22B6">
        <w:tab/>
        <w:t xml:space="preserve">Latella D, Maggio MG, Maresca G, Saporoso AF, Le Cause M, Manuli A, et al. </w:t>
      </w:r>
      <w:r>
        <w:t>Impulse control disorders in Parkinson's disease: A systematic review on risk factors and pathophysiology. Journal of the Neurological Sciences. 2019;398:101-6.</w:t>
      </w:r>
    </w:p>
    <w:p w14:paraId="170690C9" w14:textId="77777777" w:rsidR="00E73F22" w:rsidRDefault="00E73F22" w:rsidP="00E73F22">
      <w:pPr>
        <w:pStyle w:val="EndNoteBibliography"/>
        <w:bidi w:val="0"/>
        <w:spacing w:after="0"/>
      </w:pPr>
      <w:r>
        <w:t>38.</w:t>
      </w:r>
      <w:r>
        <w:tab/>
        <w:t>Zaman V, Shields DC, Shams R, Drasites KP, Matzelle D, Haque A, et al. Cellular and molecular pathophysiology in the progression of Parkinson’s disease. Metabolic brain disease. 2021;36:815-27.</w:t>
      </w:r>
    </w:p>
    <w:p w14:paraId="71ED2125" w14:textId="77777777" w:rsidR="00E73F22" w:rsidRDefault="00E73F22" w:rsidP="00E73F22">
      <w:pPr>
        <w:pStyle w:val="EndNoteBibliography"/>
        <w:bidi w:val="0"/>
        <w:spacing w:after="0"/>
      </w:pPr>
      <w:r>
        <w:t>39.</w:t>
      </w:r>
      <w:r>
        <w:tab/>
        <w:t>Dickson DW. Parkinson’s disease and parkinsonism: neuropathology. Cold Spring Harbor perspectives in medicine. 2012;2(8):a009258.</w:t>
      </w:r>
    </w:p>
    <w:p w14:paraId="311D7623" w14:textId="77777777" w:rsidR="00E73F22" w:rsidRDefault="00E73F22" w:rsidP="00E73F22">
      <w:pPr>
        <w:pStyle w:val="EndNoteBibliography"/>
        <w:bidi w:val="0"/>
        <w:spacing w:after="0"/>
      </w:pPr>
      <w:r>
        <w:t>40.</w:t>
      </w:r>
      <w:r>
        <w:tab/>
        <w:t>Bergman H, Deuschl G. Pathophysiology of Parkinson's disease: from clinical neurology to basic neuroscience and back. Movement disorders: official journal of the Movement Disorder Society. 2002;17(S3):S28-S40.</w:t>
      </w:r>
    </w:p>
    <w:p w14:paraId="5249F38E" w14:textId="77777777" w:rsidR="00E73F22" w:rsidRDefault="00E73F22" w:rsidP="00E73F22">
      <w:pPr>
        <w:pStyle w:val="EndNoteBibliography"/>
        <w:bidi w:val="0"/>
        <w:spacing w:after="0"/>
      </w:pPr>
      <w:r>
        <w:t>41.</w:t>
      </w:r>
      <w:r>
        <w:tab/>
        <w:t>Santens P, Boon P, Van Roost D, Caemaert J. The pathophysiology of motors symptoms in Parkinson's disease. Acta Neurologica Belgica. 2003;103(3):129-34.</w:t>
      </w:r>
    </w:p>
    <w:p w14:paraId="7A117C6D" w14:textId="77777777" w:rsidR="00E73F22" w:rsidRDefault="00E73F22" w:rsidP="00E73F22">
      <w:pPr>
        <w:pStyle w:val="EndNoteBibliography"/>
        <w:bidi w:val="0"/>
        <w:spacing w:after="0"/>
      </w:pPr>
      <w:r>
        <w:t>42.</w:t>
      </w:r>
      <w:r>
        <w:tab/>
        <w:t>Takakusaki, K., Tomita, N., &amp; Yano, M. Substrates for normal gait and pathophysiology of gait disturbances with respect to the basal ganglia dysfunction. Journal of neurology. 2008; 255, 19-29.</w:t>
      </w:r>
    </w:p>
    <w:p w14:paraId="0BDF6CBE" w14:textId="77777777" w:rsidR="00E73F22" w:rsidRDefault="00E73F22" w:rsidP="00E73F22">
      <w:pPr>
        <w:pStyle w:val="EndNoteBibliography"/>
        <w:bidi w:val="0"/>
        <w:spacing w:after="0"/>
      </w:pPr>
      <w:r>
        <w:t>43.</w:t>
      </w:r>
      <w:r>
        <w:tab/>
        <w:t>Whittle MW. Gait analysis.  The soft tissues: Elsevier; 1993. p. 187-99.</w:t>
      </w:r>
    </w:p>
    <w:p w14:paraId="155B7457" w14:textId="77777777" w:rsidR="00E73F22" w:rsidRDefault="00E73F22" w:rsidP="00E73F22">
      <w:pPr>
        <w:pStyle w:val="EndNoteBibliography"/>
        <w:bidi w:val="0"/>
        <w:spacing w:after="0"/>
      </w:pPr>
      <w:r>
        <w:t>44.</w:t>
      </w:r>
      <w:r>
        <w:tab/>
        <w:t>Sutherland DH, Olshen R, Cooper L, Woo SL. The development of mature gait. Jbjs. 1980;62(3):336-53.</w:t>
      </w:r>
    </w:p>
    <w:p w14:paraId="708AF3BC" w14:textId="77777777" w:rsidR="00E73F22" w:rsidRDefault="00E73F22" w:rsidP="00E73F22">
      <w:pPr>
        <w:pStyle w:val="EndNoteBibliography"/>
        <w:bidi w:val="0"/>
        <w:spacing w:after="0"/>
      </w:pPr>
      <w:r>
        <w:t>45.</w:t>
      </w:r>
      <w:r>
        <w:tab/>
        <w:t>Kong K, Tomizuka M, editors. Smooth and continuous human gait phase detection based on foot pressure patterns. 2008 IEEE International Conference on Robotics and Automation; 2008: IEEE.</w:t>
      </w:r>
    </w:p>
    <w:p w14:paraId="1DB5741A" w14:textId="77777777" w:rsidR="00E73F22" w:rsidRDefault="00E73F22" w:rsidP="00E73F22">
      <w:pPr>
        <w:pStyle w:val="EndNoteBibliography"/>
        <w:bidi w:val="0"/>
        <w:spacing w:after="0"/>
      </w:pPr>
      <w:r>
        <w:t>46.</w:t>
      </w:r>
      <w:r>
        <w:tab/>
        <w:t>Kimmeskamp S, Hennig EM. Heel to toe motion characteristics in Parkinson patients during free walking. Clinical biomechanics. 2001;16(9):806-12.</w:t>
      </w:r>
    </w:p>
    <w:p w14:paraId="5533C636" w14:textId="77777777" w:rsidR="00E73F22" w:rsidRDefault="00E73F22" w:rsidP="00E73F22">
      <w:pPr>
        <w:pStyle w:val="EndNoteBibliography"/>
        <w:bidi w:val="0"/>
        <w:spacing w:after="0"/>
      </w:pPr>
      <w:r>
        <w:t>47.</w:t>
      </w:r>
      <w:r>
        <w:tab/>
        <w:t>Horak FB, Mancini M. Objective biomarkers of balance and gait for Parkinson's disease using body‐worn sensors. Movement Disorders. 2013;28(11):1544-51.</w:t>
      </w:r>
    </w:p>
    <w:p w14:paraId="3E47EB5F" w14:textId="77777777" w:rsidR="00E73F22" w:rsidRDefault="00E73F22" w:rsidP="00E73F22">
      <w:pPr>
        <w:pStyle w:val="EndNoteBibliography"/>
        <w:bidi w:val="0"/>
        <w:spacing w:after="0"/>
      </w:pPr>
      <w:r>
        <w:t>48.</w:t>
      </w:r>
      <w:r>
        <w:tab/>
        <w:t>Peterson D, Horak FB. Neural control of walking in people with parkinsonism. Physiology. 2016;31(2):95-107.</w:t>
      </w:r>
    </w:p>
    <w:p w14:paraId="681D689C" w14:textId="77777777" w:rsidR="00E73F22" w:rsidRDefault="00E73F22" w:rsidP="00E73F22">
      <w:pPr>
        <w:pStyle w:val="EndNoteBibliography"/>
        <w:bidi w:val="0"/>
        <w:spacing w:after="0"/>
      </w:pPr>
      <w:r>
        <w:t>49.</w:t>
      </w:r>
      <w:r>
        <w:tab/>
        <w:t>Rosin R, Topka H, Dichgans J. Gait initiation in Parkinson's disease. Movement disorders: official journal of the Movement Disorder Society. 1997;12(5):682-90.</w:t>
      </w:r>
    </w:p>
    <w:p w14:paraId="4B43255A" w14:textId="77777777" w:rsidR="00E73F22" w:rsidRDefault="00E73F22" w:rsidP="00E73F22">
      <w:pPr>
        <w:pStyle w:val="EndNoteBibliography"/>
        <w:bidi w:val="0"/>
        <w:spacing w:after="0"/>
      </w:pPr>
      <w:r>
        <w:t>50.</w:t>
      </w:r>
      <w:r>
        <w:tab/>
        <w:t>Mirelman A, Bonato P, Camicioli R, Ellis TD, Giladi N, Hamilton JL, et al. Gait impairments in Parkinson's disease. The Lancet Neurology. 2019;18(7):697-708.</w:t>
      </w:r>
    </w:p>
    <w:p w14:paraId="69FCD11F" w14:textId="77777777" w:rsidR="00E73F22" w:rsidRDefault="00E73F22" w:rsidP="00E73F22">
      <w:pPr>
        <w:pStyle w:val="EndNoteBibliography"/>
        <w:bidi w:val="0"/>
        <w:spacing w:after="0"/>
      </w:pPr>
      <w:r>
        <w:t>51.</w:t>
      </w:r>
      <w:r>
        <w:tab/>
        <w:t>Mihăilă L-I, Cordoş C-G, Ilcşan RR, Faragó P, Hintea S, editors. CNN-based Identification of Parkinsonian Gait using Ground Reaction Forces. 2022 45th International Conference on Telecommunications and Signal Processing (TSP); 2022: IEEE.</w:t>
      </w:r>
    </w:p>
    <w:p w14:paraId="22EF93E4" w14:textId="77777777" w:rsidR="00E73F22" w:rsidRDefault="00E73F22" w:rsidP="00E73F22">
      <w:pPr>
        <w:pStyle w:val="EndNoteBibliography"/>
        <w:bidi w:val="0"/>
        <w:spacing w:after="0"/>
      </w:pPr>
      <w:r>
        <w:t>52.</w:t>
      </w:r>
      <w:r>
        <w:tab/>
        <w:t>Park J. Movement disorders following cerebrovascular lesion in the basal ganglia circuit. Journal of movement disorders. 2016;9(2):71.</w:t>
      </w:r>
    </w:p>
    <w:p w14:paraId="5C094E72" w14:textId="77777777" w:rsidR="00E73F22" w:rsidRDefault="00E73F22" w:rsidP="00E73F22">
      <w:pPr>
        <w:pStyle w:val="EndNoteBibliography"/>
        <w:bidi w:val="0"/>
        <w:spacing w:after="0"/>
      </w:pPr>
      <w:r>
        <w:t>53.</w:t>
      </w:r>
      <w:r>
        <w:tab/>
        <w:t>Sian J, Gerlach M, Youdim M, Riederer P. Parkinson's disease: a major hypokinetic basal ganglia disorder. Journal of neural transmission. 1999;106:443-76.</w:t>
      </w:r>
    </w:p>
    <w:p w14:paraId="6C13433A" w14:textId="77777777" w:rsidR="00E73F22" w:rsidRDefault="00E73F22" w:rsidP="00E73F22">
      <w:pPr>
        <w:pStyle w:val="EndNoteBibliography"/>
        <w:bidi w:val="0"/>
        <w:spacing w:after="0"/>
      </w:pPr>
      <w:r>
        <w:t>54.</w:t>
      </w:r>
      <w:r>
        <w:tab/>
        <w:t>Wenning GK, Odin P, Morrish P, Rehncrona S, Widner H, Brundin P, et al. Short‐and long‐term survival and function of unilateral intrastriatal dopaminergic grafts in Parkinson's disease. Annals of Neurology: Official Journal of the American Neurological Association and the Child Neurology Society. 1997;42(1):95-107.</w:t>
      </w:r>
    </w:p>
    <w:p w14:paraId="3A0703C7" w14:textId="77777777" w:rsidR="00E73F22" w:rsidRDefault="00E73F22" w:rsidP="00E73F22">
      <w:pPr>
        <w:pStyle w:val="EndNoteBibliography"/>
        <w:bidi w:val="0"/>
        <w:spacing w:after="0"/>
      </w:pPr>
      <w:r>
        <w:t>55.</w:t>
      </w:r>
      <w:r>
        <w:tab/>
        <w:t>Favre J, Burchiel KJ, Taha JM, Hammerstad J. Outcome of unilateral and bilateral pallidotomy for Parkinson’s disease: patient assessment. Neurosurgery. 2000;46(2):344.</w:t>
      </w:r>
    </w:p>
    <w:p w14:paraId="3A28BEF0" w14:textId="77777777" w:rsidR="00E73F22" w:rsidRDefault="00E73F22" w:rsidP="00E73F22">
      <w:pPr>
        <w:pStyle w:val="EndNoteBibliography"/>
        <w:bidi w:val="0"/>
        <w:spacing w:after="0"/>
      </w:pPr>
      <w:r>
        <w:t>56.</w:t>
      </w:r>
      <w:r>
        <w:tab/>
        <w:t>Zhao YJ, Wee HL, Chan YH, Seah SH, Au WL, Lau PN, et al. Progression of Parkinson's disease as evaluated by Hoehn and Yahr stage transition times. Movement Disorders. 2010;25(6):710-6.</w:t>
      </w:r>
    </w:p>
    <w:p w14:paraId="4831C844" w14:textId="77777777" w:rsidR="00E73F22" w:rsidRDefault="00E73F22" w:rsidP="00E73F22">
      <w:pPr>
        <w:pStyle w:val="EndNoteBibliography"/>
        <w:bidi w:val="0"/>
        <w:spacing w:after="0"/>
      </w:pPr>
      <w:r>
        <w:t>57.</w:t>
      </w:r>
      <w:r>
        <w:tab/>
        <w:t>Wang J, Yang QX, Sun X, Vesek J, Mosher Z, Vasavada M, et al. MRI evaluation of asymmetry of nigrostriatal damage in the early stage of early-onset Parkinson's disease. Parkinsonism &amp; related disorders. 2015;21(6):590-6.</w:t>
      </w:r>
    </w:p>
    <w:p w14:paraId="38DCB2B1" w14:textId="77777777" w:rsidR="00E73F22" w:rsidRDefault="00E73F22" w:rsidP="00E73F22">
      <w:pPr>
        <w:pStyle w:val="EndNoteBibliography"/>
        <w:bidi w:val="0"/>
        <w:spacing w:after="0"/>
      </w:pPr>
      <w:r>
        <w:t>58.</w:t>
      </w:r>
      <w:r>
        <w:tab/>
        <w:t>Hoehn MM, Yahr MD. Parkinsonism: onset, progression, and mortality. Neurology. 1998;50(2):318-.</w:t>
      </w:r>
    </w:p>
    <w:p w14:paraId="05C00FEA" w14:textId="77777777" w:rsidR="00E73F22" w:rsidRDefault="00E73F22" w:rsidP="00E73F22">
      <w:pPr>
        <w:pStyle w:val="EndNoteBibliography"/>
        <w:bidi w:val="0"/>
        <w:spacing w:after="0"/>
      </w:pPr>
      <w:r>
        <w:t>59.</w:t>
      </w:r>
      <w:r>
        <w:tab/>
        <w:t>Miller-Patterson C, Buesa R, McLaughlin N, Jones R, Akbar U, Friedman JH. Motor asymmetry over time in Parkinson’s disease. Journal of the neurological sciences. 2018;393:14-7.</w:t>
      </w:r>
    </w:p>
    <w:p w14:paraId="342F2ECB" w14:textId="77777777" w:rsidR="00E73F22" w:rsidRDefault="00E73F22" w:rsidP="00E73F22">
      <w:pPr>
        <w:pStyle w:val="EndNoteBibliography"/>
        <w:bidi w:val="0"/>
        <w:spacing w:after="0"/>
      </w:pPr>
      <w:r>
        <w:t>60.</w:t>
      </w:r>
      <w:r>
        <w:tab/>
        <w:t>Djaldetti R, Ziv I, Melamed E. The mystery of motor asymmetry in Parkinson's disease. The Lancet Neurology. 2006;5(9):796-802.</w:t>
      </w:r>
    </w:p>
    <w:p w14:paraId="1122F0B9" w14:textId="77777777" w:rsidR="00E73F22" w:rsidRDefault="00E73F22" w:rsidP="00E73F22">
      <w:pPr>
        <w:pStyle w:val="EndNoteBibliography"/>
        <w:bidi w:val="0"/>
        <w:spacing w:after="0"/>
      </w:pPr>
      <w:r>
        <w:t>61.</w:t>
      </w:r>
      <w:r>
        <w:tab/>
        <w:t>Haaxma C, Helmich R, Borm G, Kappelle A, Horstink M, Bloem B. Side of symptom onset affects motor dysfunction in Parkinson's disease. Neuroscience. 2010;170(4):1282-5.</w:t>
      </w:r>
    </w:p>
    <w:p w14:paraId="0479ADEC" w14:textId="77777777" w:rsidR="00E73F22" w:rsidRDefault="00E73F22" w:rsidP="00E73F22">
      <w:pPr>
        <w:pStyle w:val="EndNoteBibliography"/>
        <w:bidi w:val="0"/>
        <w:spacing w:after="0"/>
      </w:pPr>
      <w:r>
        <w:t>62.</w:t>
      </w:r>
      <w:r>
        <w:tab/>
        <w:t>Riederer P, Sian-Hülsmann J. The significance of neuronal lateralisation in Parkinson’s disease. Journal of Neural Transmission. 2012;119:953-62.</w:t>
      </w:r>
    </w:p>
    <w:p w14:paraId="4B11D980" w14:textId="77777777" w:rsidR="00E73F22" w:rsidRDefault="00E73F22" w:rsidP="00E73F22">
      <w:pPr>
        <w:pStyle w:val="EndNoteBibliography"/>
        <w:bidi w:val="0"/>
        <w:spacing w:after="0"/>
      </w:pPr>
      <w:r>
        <w:t>63.</w:t>
      </w:r>
      <w:r>
        <w:tab/>
        <w:t>Hughes AJ, Daniel SE, Kilford L, Lees AJ. Accuracy of clinical diagnosis of idiopathic Parkinson's disease: a clinico-pathological study of 100 cases. Journal of neurology, neurosurgery &amp; psychiatry. 1992;55(3):181-4.</w:t>
      </w:r>
    </w:p>
    <w:p w14:paraId="06D1E822" w14:textId="77777777" w:rsidR="00E73F22" w:rsidRDefault="00E73F22" w:rsidP="00E73F22">
      <w:pPr>
        <w:pStyle w:val="EndNoteBibliography"/>
        <w:bidi w:val="0"/>
        <w:spacing w:after="0"/>
      </w:pPr>
      <w:r>
        <w:t>64.</w:t>
      </w:r>
      <w:r>
        <w:tab/>
        <w:t>Suchowersky O, Reich S, Perlmutter J, Zesiewicz T, Gronseth G, Weiner W. Practice Parameter: Diagnosis and prognosis of new onset Parkinson disease (an evidence-based review)[RETIRED]: Report of the Quality Standards Subcommittee of the American Academy of Neurology. Neurology. 2006;66(7):968-75.</w:t>
      </w:r>
    </w:p>
    <w:p w14:paraId="3DC311A8" w14:textId="77777777" w:rsidR="00E73F22" w:rsidRDefault="00E73F22" w:rsidP="00E73F22">
      <w:pPr>
        <w:pStyle w:val="EndNoteBibliography"/>
        <w:bidi w:val="0"/>
        <w:spacing w:after="0"/>
      </w:pPr>
      <w:r>
        <w:t>65.</w:t>
      </w:r>
      <w:r>
        <w:tab/>
        <w:t>Thenganatt MA, Louis ED. Distinguishing essential tremor from Parkinson's disease: bedside tests and laboratory evaluations. Expert review of neurotherapeutics. 2012;12(6):687-96.</w:t>
      </w:r>
    </w:p>
    <w:p w14:paraId="7F89216F" w14:textId="77777777" w:rsidR="00E73F22" w:rsidRDefault="00E73F22" w:rsidP="00E73F22">
      <w:pPr>
        <w:pStyle w:val="EndNoteBibliography"/>
        <w:bidi w:val="0"/>
        <w:spacing w:after="0"/>
      </w:pPr>
      <w:r>
        <w:t>66.</w:t>
      </w:r>
      <w:r>
        <w:tab/>
        <w:t>Hipp G. Das Luxemburger Parkinson-Kohortenprogramm: Neue Strategien für eine umfassende Studie zur Erfassung von Biodaten und klinischen Daten. Basal Ganglia. 2015;1(5):XVI.</w:t>
      </w:r>
    </w:p>
    <w:p w14:paraId="4AD4A37F" w14:textId="77777777" w:rsidR="00E73F22" w:rsidRDefault="00E73F22" w:rsidP="00E73F22">
      <w:pPr>
        <w:pStyle w:val="EndNoteBibliography"/>
        <w:bidi w:val="0"/>
        <w:spacing w:after="0"/>
      </w:pPr>
      <w:r>
        <w:t>67.</w:t>
      </w:r>
      <w:r>
        <w:tab/>
        <w:t>Uitti RJ, Baba Y, Whaley N, Wszolek ZK, Putzke J. Parkinson disease: handedness predicts asymmetry. Neurology. 2005;64(11):1925-30.</w:t>
      </w:r>
    </w:p>
    <w:p w14:paraId="5A9128DC" w14:textId="77777777" w:rsidR="00E73F22" w:rsidRDefault="00E73F22" w:rsidP="00E73F22">
      <w:pPr>
        <w:pStyle w:val="EndNoteBibliography"/>
        <w:bidi w:val="0"/>
        <w:spacing w:after="0"/>
      </w:pPr>
      <w:r>
        <w:t>68.</w:t>
      </w:r>
      <w:r>
        <w:tab/>
        <w:t>Louis ED, Levy G, Côte LJ, Mejia H, Fahn S, Marder K. Clinical correlates of action tremor in Parkinson disease. Archives of neurology. 2001;58(10):1630-4.</w:t>
      </w:r>
    </w:p>
    <w:p w14:paraId="0DD96514" w14:textId="77777777" w:rsidR="00E73F22" w:rsidRDefault="00E73F22" w:rsidP="00E73F22">
      <w:pPr>
        <w:pStyle w:val="EndNoteBibliography"/>
        <w:bidi w:val="0"/>
        <w:spacing w:after="0"/>
      </w:pPr>
      <w:r>
        <w:t>69.</w:t>
      </w:r>
      <w:r>
        <w:tab/>
        <w:t>Pirker W. Correlation of dopamine transporter imaging with parkinsonian motor handicap: how close is it? Movement disorders: official journal of the Movement Disorder Society. 2003;18(S7):S43-S51.</w:t>
      </w:r>
    </w:p>
    <w:p w14:paraId="68076BFB" w14:textId="77777777" w:rsidR="00E73F22" w:rsidRDefault="00E73F22" w:rsidP="00E73F22">
      <w:pPr>
        <w:pStyle w:val="EndNoteBibliography"/>
        <w:bidi w:val="0"/>
        <w:spacing w:after="0"/>
      </w:pPr>
      <w:r>
        <w:t>70.</w:t>
      </w:r>
      <w:r>
        <w:tab/>
        <w:t>Delwaide P, Pepin J-L, de Noordhout AM. The audiospinal reaction in parkinsonian patients reflects functional changes in reticular nuclei. Annals of Neurology: Official Journal of the American Neurological Association and the Child Neurology Society. 1993;33(1):63-9.</w:t>
      </w:r>
    </w:p>
    <w:p w14:paraId="7FC67377" w14:textId="77777777" w:rsidR="00E73F22" w:rsidRDefault="00E73F22" w:rsidP="00E73F22">
      <w:pPr>
        <w:pStyle w:val="EndNoteBibliography"/>
        <w:bidi w:val="0"/>
        <w:spacing w:after="0"/>
      </w:pPr>
      <w:r>
        <w:t>71.</w:t>
      </w:r>
      <w:r>
        <w:tab/>
        <w:t>Pahapill PA, Lozano AM. The pedunculopontine nucleus and Parkinson's disease. Brain. 2000;123(9):1767-83.</w:t>
      </w:r>
    </w:p>
    <w:p w14:paraId="7B48A306" w14:textId="77777777" w:rsidR="00E73F22" w:rsidRDefault="00E73F22" w:rsidP="00E73F22">
      <w:pPr>
        <w:pStyle w:val="EndNoteBibliography"/>
        <w:bidi w:val="0"/>
        <w:spacing w:after="0"/>
      </w:pPr>
      <w:r>
        <w:t>72.</w:t>
      </w:r>
      <w:r>
        <w:tab/>
        <w:t>Su W, Li K, Li C-M, Ma X-X, Zhao H, Chen M, et al. Motor symptom lateralization influences cortico-striatal functional connectivity in Parkinson's disease. Frontiers in Neurology. 2021;12:619631.</w:t>
      </w:r>
    </w:p>
    <w:p w14:paraId="2CA314B1" w14:textId="77777777" w:rsidR="00E73F22" w:rsidRDefault="00E73F22" w:rsidP="00E73F22">
      <w:pPr>
        <w:pStyle w:val="EndNoteBibliography"/>
        <w:bidi w:val="0"/>
        <w:spacing w:after="0"/>
      </w:pPr>
      <w:r>
        <w:t>73.</w:t>
      </w:r>
      <w:r>
        <w:tab/>
        <w:t>Direnfeld LK, Albert ML, Volicer L, Langlais PJ, Marquis J, Kaplan E. Parkinson's disease: The possible relationship of laterality to dementia and neurochemical findings. Archives of Neurology. 1984;41(9):935-41.</w:t>
      </w:r>
    </w:p>
    <w:p w14:paraId="075D995B" w14:textId="77777777" w:rsidR="00E73F22" w:rsidRDefault="00E73F22" w:rsidP="00E73F22">
      <w:pPr>
        <w:pStyle w:val="EndNoteBibliography"/>
        <w:bidi w:val="0"/>
        <w:spacing w:after="0"/>
      </w:pPr>
      <w:r>
        <w:t>74.</w:t>
      </w:r>
      <w:r>
        <w:tab/>
        <w:t>Winter DA. Biomechanics and motor control of human gait: normal, elderly and pathological1991.</w:t>
      </w:r>
    </w:p>
    <w:p w14:paraId="2CD0DD60" w14:textId="77777777" w:rsidR="00E73F22" w:rsidRDefault="00E73F22" w:rsidP="00E73F22">
      <w:pPr>
        <w:pStyle w:val="EndNoteBibliography"/>
        <w:bidi w:val="0"/>
        <w:spacing w:after="0"/>
      </w:pPr>
      <w:r>
        <w:t>75.</w:t>
      </w:r>
      <w:r>
        <w:tab/>
        <w:t>Winter DA, Eng P. Kinetics: our window into the goals and strategies of the central nervous system. Behavioural brain research. 1995;67(2):111-20.</w:t>
      </w:r>
    </w:p>
    <w:p w14:paraId="63C970E2" w14:textId="77777777" w:rsidR="00E73F22" w:rsidRDefault="00E73F22" w:rsidP="00E73F22">
      <w:pPr>
        <w:pStyle w:val="EndNoteBibliography"/>
        <w:bidi w:val="0"/>
        <w:spacing w:after="0"/>
      </w:pPr>
      <w:r>
        <w:t>76.</w:t>
      </w:r>
      <w:r>
        <w:tab/>
        <w:t>Hamacher D, Herold F, Wiegel P, Hamacher D, Schega L. Brain activity during walking: a systematic review. Neuroscience &amp; Biobehavioral Reviews. 2015;57:310-27.</w:t>
      </w:r>
    </w:p>
    <w:p w14:paraId="41FC731B" w14:textId="77777777" w:rsidR="00E73F22" w:rsidRDefault="00E73F22" w:rsidP="00E73F22">
      <w:pPr>
        <w:pStyle w:val="EndNoteBibliography"/>
        <w:bidi w:val="0"/>
        <w:spacing w:after="0"/>
      </w:pPr>
      <w:r>
        <w:t>77.</w:t>
      </w:r>
      <w:r>
        <w:tab/>
        <w:t>Mak MK, Wong-Yu IS. Exercise for Parkinson's disease. International review of neurobiology. 2019;147:1-44.</w:t>
      </w:r>
    </w:p>
    <w:p w14:paraId="0CD8A6F5" w14:textId="77777777" w:rsidR="00E73F22" w:rsidRDefault="00E73F22" w:rsidP="00E73F22">
      <w:pPr>
        <w:pStyle w:val="EndNoteBibliography"/>
        <w:bidi w:val="0"/>
        <w:spacing w:after="0"/>
      </w:pPr>
      <w:r>
        <w:t>78.</w:t>
      </w:r>
      <w:r>
        <w:tab/>
        <w:t>Ujjan JA, Morani W, Memon N, Mohanasundaram S, Nuhmani S, Singh BK. Force platform-based intervention program for individuals suffering with neurodegenerative diseases like parkinson. Computational and Mathematical Methods in Medicine. 2022;2022.</w:t>
      </w:r>
    </w:p>
    <w:p w14:paraId="6E89B7CE" w14:textId="77777777" w:rsidR="00E73F22" w:rsidRDefault="00E73F22" w:rsidP="00E73F22">
      <w:pPr>
        <w:pStyle w:val="EndNoteBibliography"/>
        <w:bidi w:val="0"/>
        <w:spacing w:after="0"/>
      </w:pPr>
      <w:r>
        <w:t>79.</w:t>
      </w:r>
      <w:r>
        <w:tab/>
        <w:t>Alexander GE, Crutcher MD. Functional architecture of basal ganglia circuits: neural substrates of parallel processing. Trends in neurosciences. 1990;13(7):266-71.</w:t>
      </w:r>
    </w:p>
    <w:p w14:paraId="345D3985" w14:textId="77777777" w:rsidR="00E73F22" w:rsidRDefault="00E73F22" w:rsidP="00E73F22">
      <w:pPr>
        <w:pStyle w:val="EndNoteBibliography"/>
        <w:bidi w:val="0"/>
        <w:spacing w:after="0"/>
      </w:pPr>
      <w:r>
        <w:t>80.</w:t>
      </w:r>
      <w:r>
        <w:tab/>
        <w:t>DeLong MR. Primate models of movement disorders of basal ganglia origin. Trends in neurosciences. 1990;13(7):281-5.</w:t>
      </w:r>
    </w:p>
    <w:p w14:paraId="77747B81" w14:textId="77777777" w:rsidR="00E73F22" w:rsidRDefault="00E73F22" w:rsidP="00E73F22">
      <w:pPr>
        <w:pStyle w:val="EndNoteBibliography"/>
        <w:bidi w:val="0"/>
        <w:spacing w:after="0"/>
      </w:pPr>
      <w:r>
        <w:t>81.</w:t>
      </w:r>
      <w:r>
        <w:tab/>
        <w:t>Rascol O, Sabatini U, Chollet F, Celsis P, Montastruc J-L, Marc-Vergnes J-P, et al. Supplementary and primary sensory motor area activity in Parkinson's disease: regional cerebral blood flow changes during finger movements and effects of apomorphine. Archives of Neurology. 1992;49(2):144-8.</w:t>
      </w:r>
    </w:p>
    <w:p w14:paraId="4AB2FC0C" w14:textId="77777777" w:rsidR="00E73F22" w:rsidRPr="00856A24" w:rsidRDefault="00E73F22" w:rsidP="00E73F22">
      <w:pPr>
        <w:pStyle w:val="EndNoteBibliography"/>
        <w:bidi w:val="0"/>
        <w:spacing w:after="0"/>
        <w:rPr>
          <w:lang w:val="pt-BR"/>
        </w:rPr>
      </w:pPr>
      <w:r>
        <w:t>82.</w:t>
      </w:r>
      <w:r>
        <w:tab/>
        <w:t xml:space="preserve">Playford E, Jenkins I, Passingham R, Nutt J, Frackowiak R, Brooks D. Impaired mesial frontal and putamen activation in Parkinson's disease: a positron emission tomography study. Annals of Neurology: Official Journal of the American Neurological Association and the Child Neurology Society. </w:t>
      </w:r>
      <w:r w:rsidRPr="00856A24">
        <w:rPr>
          <w:lang w:val="pt-BR"/>
        </w:rPr>
        <w:t>1992;32(2):151-61.</w:t>
      </w:r>
    </w:p>
    <w:p w14:paraId="4F7C3FAF" w14:textId="77777777" w:rsidR="00E73F22" w:rsidRDefault="00E73F22" w:rsidP="00E73F22">
      <w:pPr>
        <w:pStyle w:val="EndNoteBibliography"/>
        <w:bidi w:val="0"/>
        <w:spacing w:after="0"/>
      </w:pPr>
      <w:r w:rsidRPr="00856A24">
        <w:rPr>
          <w:lang w:val="pt-BR"/>
        </w:rPr>
        <w:t>83.</w:t>
      </w:r>
      <w:r w:rsidRPr="00856A24">
        <w:rPr>
          <w:lang w:val="pt-BR"/>
        </w:rPr>
        <w:tab/>
        <w:t xml:space="preserve">Samuel M, Ceballos-Baumann A, Turjanski N, Boecker H, Gorospe A, Linazasoro G, et al. </w:t>
      </w:r>
      <w:r>
        <w:t>Pallidotomy in Parkinson's disease increases supplementary motor area and prefrontal activation during performance of volitional movements an H2 (15) O PET study. Brain: a journal of neurology. 1997;120(8):1301-13.</w:t>
      </w:r>
    </w:p>
    <w:p w14:paraId="6CA408EB" w14:textId="77777777" w:rsidR="00E73F22" w:rsidRDefault="00E73F22" w:rsidP="00E73F22">
      <w:pPr>
        <w:pStyle w:val="EndNoteBibliography"/>
        <w:bidi w:val="0"/>
        <w:spacing w:after="0"/>
      </w:pPr>
      <w:r>
        <w:t>84.</w:t>
      </w:r>
      <w:r>
        <w:tab/>
        <w:t>Hanakawa T, Fukuyama H, Katsumi Y, Honda M, Shibasaki H. Enhanced lateral premotor activity during paradoxical gait in Parkinson's disease. Annals of Neurology: Official Journal of the American Neurological Association and the Child Neurology Society. 1999;45(3):329-36.</w:t>
      </w:r>
    </w:p>
    <w:p w14:paraId="6BF7123C" w14:textId="77777777" w:rsidR="00E73F22" w:rsidRDefault="00E73F22" w:rsidP="00E73F22">
      <w:pPr>
        <w:pStyle w:val="EndNoteBibliography"/>
        <w:bidi w:val="0"/>
        <w:spacing w:after="0"/>
      </w:pPr>
      <w:r>
        <w:t>85.</w:t>
      </w:r>
      <w:r>
        <w:tab/>
        <w:t>Roemmich RT, Nocera JR, Stegemöller EL, Hassan A, Okun MS, Hass CJ. Locomotor adaptation and locomotor adaptive learning in Parkinson’s disease and normal aging. Clinical Neurophysiology. 2014;125(2):313-9.</w:t>
      </w:r>
    </w:p>
    <w:p w14:paraId="0083732C" w14:textId="77777777" w:rsidR="00E73F22" w:rsidRDefault="00E73F22" w:rsidP="00E73F22">
      <w:pPr>
        <w:pStyle w:val="EndNoteBibliography"/>
        <w:bidi w:val="0"/>
        <w:spacing w:after="0"/>
      </w:pPr>
      <w:r>
        <w:t>86.</w:t>
      </w:r>
      <w:r>
        <w:tab/>
        <w:t>Fling BW, Curtze C, Horak FB. Gait asymmetry in people with Parkinson’s disease is linked to reduced integrity of callosal sensorimotor regions. Frontiers in neurology. 2018;9:215.</w:t>
      </w:r>
    </w:p>
    <w:p w14:paraId="4DE61DB3" w14:textId="77777777" w:rsidR="00E73F22" w:rsidRDefault="00E73F22" w:rsidP="00E73F22">
      <w:pPr>
        <w:pStyle w:val="EndNoteBibliography"/>
        <w:bidi w:val="0"/>
        <w:spacing w:after="0"/>
      </w:pPr>
      <w:r>
        <w:t>87.</w:t>
      </w:r>
      <w:r>
        <w:tab/>
        <w:t>Claassen DO, McDonell KE, Donahue M, Rawal S, Wylie SA, Neimat JS, et al. Cortical asymmetry in Parkinson's disease: early susceptibility of the left hemisphere. Brain and behavior. 2016;6(12):e00573.</w:t>
      </w:r>
    </w:p>
    <w:p w14:paraId="100E3725" w14:textId="77777777" w:rsidR="00E73F22" w:rsidRDefault="00E73F22" w:rsidP="00E73F22">
      <w:pPr>
        <w:pStyle w:val="EndNoteBibliography"/>
        <w:bidi w:val="0"/>
        <w:spacing w:after="0"/>
      </w:pPr>
      <w:r>
        <w:t>88.</w:t>
      </w:r>
      <w:r>
        <w:tab/>
        <w:t>Plotnik M, Giladi N, Hausdorff JM. Bilateral coordination of gait and Parkinson’s disease: the effects of dual tasking. Journal of Neurology, Neurosurgery &amp;amp;amp; Psychiatry. 2009;80(3):347.</w:t>
      </w:r>
    </w:p>
    <w:p w14:paraId="0C664097" w14:textId="77777777" w:rsidR="00E73F22" w:rsidRDefault="00E73F22" w:rsidP="00E73F22">
      <w:pPr>
        <w:pStyle w:val="EndNoteBibliography"/>
        <w:bidi w:val="0"/>
        <w:spacing w:after="0"/>
      </w:pPr>
      <w:r>
        <w:t>89.</w:t>
      </w:r>
      <w:r>
        <w:tab/>
        <w:t>Mirelman A, Bernad‐Elazari H, Thaler A, Giladi‐Yacobi E, Gurevich T, Gana‐Weisz M, et al. Arm swing as a potential new prodromal marker of Parkinson's disease. Movement Disorders. 2016;31(10):1527-34.</w:t>
      </w:r>
    </w:p>
    <w:p w14:paraId="49C89288" w14:textId="77777777" w:rsidR="00E73F22" w:rsidRDefault="00E73F22" w:rsidP="00E73F22">
      <w:pPr>
        <w:pStyle w:val="EndNoteBibliography"/>
        <w:bidi w:val="0"/>
        <w:spacing w:after="0"/>
      </w:pPr>
      <w:r>
        <w:t>90.</w:t>
      </w:r>
      <w:r>
        <w:tab/>
        <w:t>Wang H-C, Hsu J-L, Leemans A. Diffusion Tensor Imaging of Vascular Parkinsonism. VASCULAR. 2012.</w:t>
      </w:r>
    </w:p>
    <w:p w14:paraId="2EAA55A8" w14:textId="77777777" w:rsidR="00E73F22" w:rsidRDefault="00E73F22" w:rsidP="00E73F22">
      <w:pPr>
        <w:pStyle w:val="EndNoteBibliography"/>
        <w:bidi w:val="0"/>
        <w:spacing w:after="0"/>
      </w:pPr>
      <w:r>
        <w:t>91.</w:t>
      </w:r>
      <w:r>
        <w:tab/>
        <w:t>Dembek TA, Barbe MT, Åström M, Hoevels M, Visser-Vandewalle V, Fink GR, et al. Probabilistic mapping of deep brain stimulation effects in essential tremor. NeuroImage: Clinical. 2017;13:164-73.</w:t>
      </w:r>
    </w:p>
    <w:p w14:paraId="57A4D73C" w14:textId="77777777" w:rsidR="00E73F22" w:rsidRDefault="00E73F22" w:rsidP="00E73F22">
      <w:pPr>
        <w:pStyle w:val="EndNoteBibliography"/>
        <w:bidi w:val="0"/>
        <w:spacing w:after="0"/>
      </w:pPr>
      <w:r>
        <w:t>92.</w:t>
      </w:r>
      <w:r>
        <w:tab/>
        <w:t>Fling BW, Kwak Y, Peltier SJ, Seidler RD. Differential relationships between transcallosal structural and functional connectivity in young and older adults. Neurobiology of aging. 2012;33(10):2521-6.</w:t>
      </w:r>
    </w:p>
    <w:p w14:paraId="69E20464" w14:textId="77777777" w:rsidR="00E73F22" w:rsidRDefault="00E73F22" w:rsidP="00E73F22">
      <w:pPr>
        <w:pStyle w:val="EndNoteBibliography"/>
        <w:bidi w:val="0"/>
        <w:spacing w:after="0"/>
      </w:pPr>
      <w:r>
        <w:t>93.</w:t>
      </w:r>
      <w:r>
        <w:tab/>
        <w:t>Gooijers J, Swinnen SP. Interactions between brain structure and behavior: the corpus callosum and bimanual coordination. Neuroscience &amp; Biobehavioral Reviews. 2014;43:1-19.</w:t>
      </w:r>
    </w:p>
    <w:p w14:paraId="1ECF6A3D" w14:textId="77777777" w:rsidR="00E73F22" w:rsidRDefault="00E73F22" w:rsidP="00E73F22">
      <w:pPr>
        <w:pStyle w:val="EndNoteBibliography"/>
        <w:bidi w:val="0"/>
        <w:spacing w:after="0"/>
      </w:pPr>
      <w:r>
        <w:t>94.</w:t>
      </w:r>
      <w:r>
        <w:tab/>
        <w:t>Sohn YH, Jung HY, Kaelin-Lang A, Hallett M. Excitability of the ipsilateral motor cortex during phasic voluntary hand movement. Experimental brain research. 2003;148(2):176-85.</w:t>
      </w:r>
    </w:p>
    <w:p w14:paraId="162B6DF2" w14:textId="77777777" w:rsidR="00E73F22" w:rsidRDefault="00E73F22" w:rsidP="00E73F22">
      <w:pPr>
        <w:pStyle w:val="EndNoteBibliography"/>
        <w:bidi w:val="0"/>
        <w:spacing w:after="0"/>
      </w:pPr>
      <w:r>
        <w:t>95.</w:t>
      </w:r>
      <w:r>
        <w:tab/>
        <w:t>Stinear CM, Byblow WD. Role of intracortical inhibition in selective hand muscle activation. Journal of neurophysiology. 2003;89(4):2014-20.</w:t>
      </w:r>
    </w:p>
    <w:p w14:paraId="1B2590D8" w14:textId="77777777" w:rsidR="00E73F22" w:rsidRDefault="00E73F22" w:rsidP="00E73F22">
      <w:pPr>
        <w:pStyle w:val="EndNoteBibliography"/>
        <w:bidi w:val="0"/>
        <w:spacing w:after="0"/>
      </w:pPr>
      <w:r>
        <w:t>96.</w:t>
      </w:r>
      <w:r>
        <w:tab/>
        <w:t>Debaere F, Swinnen SP, Béatse E, Sunaert S, Van Hecke P, Duysens J. Brain areas involved in interlimb coordination: a distributed network. Neuroimage. 2001;14(5):947-58.</w:t>
      </w:r>
    </w:p>
    <w:p w14:paraId="0B325D3A" w14:textId="77777777" w:rsidR="00E73F22" w:rsidRDefault="00E73F22" w:rsidP="00E73F22">
      <w:pPr>
        <w:pStyle w:val="EndNoteBibliography"/>
        <w:bidi w:val="0"/>
        <w:spacing w:after="0"/>
      </w:pPr>
      <w:r>
        <w:t>97.</w:t>
      </w:r>
      <w:r>
        <w:tab/>
        <w:t>Thomas GEC, Leyland LA, Schrag A-E, Lees AJ, Acosta-Cabronero J, Weil RS. Brain iron deposition is linked with cognitive severity in Parkinson’s disease. Journal of Neurology, Neurosurgery &amp;amp;amp; Psychiatry. 2020;91(4):418.</w:t>
      </w:r>
    </w:p>
    <w:p w14:paraId="262F3ABC" w14:textId="77777777" w:rsidR="00E73F22" w:rsidRDefault="00E73F22" w:rsidP="00E73F22">
      <w:pPr>
        <w:pStyle w:val="EndNoteBibliography"/>
        <w:bidi w:val="0"/>
        <w:spacing w:after="0"/>
      </w:pPr>
      <w:r>
        <w:t>98.</w:t>
      </w:r>
      <w:r>
        <w:tab/>
        <w:t>Chung M, Park YS, Kim JS, Kim YJ, Ma HI, Jang Sj, et al. Correlating Parkinson’s disease motor symptoms with three-dimensional [18F]FP-CIT PET. Japanese Journal of Radiology. 2015;33(10):609-18.</w:t>
      </w:r>
    </w:p>
    <w:p w14:paraId="7CED0EC4" w14:textId="77777777" w:rsidR="00E73F22" w:rsidRDefault="00E73F22" w:rsidP="00E73F22">
      <w:pPr>
        <w:pStyle w:val="EndNoteBibliography"/>
        <w:bidi w:val="0"/>
        <w:spacing w:after="0"/>
      </w:pPr>
      <w:r>
        <w:t>99.</w:t>
      </w:r>
      <w:r>
        <w:tab/>
        <w:t>Ricciardi L, Ricciardi D, Lena F, Plotnik M, Petracca M, Barricella S, et al. Working on asymmetry in Parkinson’s disease: randomized, controlled pilot study. Neurological Sciences. 2015;36(8):1337-43.</w:t>
      </w:r>
    </w:p>
    <w:p w14:paraId="2D5C788E" w14:textId="77777777" w:rsidR="00E73F22" w:rsidRDefault="00E73F22" w:rsidP="00E73F22">
      <w:pPr>
        <w:pStyle w:val="EndNoteBibliography"/>
        <w:bidi w:val="0"/>
        <w:spacing w:after="0"/>
      </w:pPr>
      <w:r>
        <w:t>100.</w:t>
      </w:r>
      <w:r>
        <w:tab/>
        <w:t>Son M, Han SH, Lyoo CH, Lim JA, Jeon J, Hong K-B, et al. The effect of levodopa on bilateral coordination and gait asymmetry in Parkinson’s disease using inertial sensor. npj Parkinson's Disease. 2021;7(1):42.</w:t>
      </w:r>
    </w:p>
    <w:p w14:paraId="4F89A319" w14:textId="77777777" w:rsidR="00E73F22" w:rsidRDefault="00E73F22" w:rsidP="00E73F22">
      <w:pPr>
        <w:pStyle w:val="EndNoteBibliography"/>
        <w:bidi w:val="0"/>
        <w:spacing w:after="0"/>
      </w:pPr>
      <w:r>
        <w:t>101.</w:t>
      </w:r>
      <w:r>
        <w:tab/>
        <w:t>Blosser JA, Podolsky E, Lee D. L-DOPA-Induced Dyskinesia in a Genetic Drosophila Model of Parkinson’s Disease. Experimental Neurobiology. 2020;29(4):273.</w:t>
      </w:r>
    </w:p>
    <w:p w14:paraId="6E42C2CE" w14:textId="77777777" w:rsidR="00E73F22" w:rsidRDefault="00E73F22" w:rsidP="00E73F22">
      <w:pPr>
        <w:pStyle w:val="EndNoteBibliography"/>
        <w:bidi w:val="0"/>
        <w:spacing w:after="0"/>
      </w:pPr>
      <w:r>
        <w:t>102.</w:t>
      </w:r>
      <w:r>
        <w:tab/>
        <w:t>Latash ML. Neurophysiological basis of movement: Human Kinetics; 2008.</w:t>
      </w:r>
    </w:p>
    <w:p w14:paraId="1238590B" w14:textId="77777777" w:rsidR="00E73F22" w:rsidRDefault="00E73F22" w:rsidP="00E73F22">
      <w:pPr>
        <w:pStyle w:val="EndNoteBibliography"/>
        <w:bidi w:val="0"/>
        <w:spacing w:after="0"/>
      </w:pPr>
      <w:r>
        <w:t>103.</w:t>
      </w:r>
      <w:r>
        <w:tab/>
        <w:t>Okun MS. Deep-brain stimulation for Parkinson's disease. New England Journal of Medicine. 2012;367(16):1529-38.</w:t>
      </w:r>
    </w:p>
    <w:p w14:paraId="16BCA662" w14:textId="77777777" w:rsidR="00E73F22" w:rsidRDefault="00E73F22" w:rsidP="00E73F22">
      <w:pPr>
        <w:pStyle w:val="EndNoteBibliography"/>
        <w:bidi w:val="0"/>
        <w:spacing w:after="0"/>
      </w:pPr>
      <w:r>
        <w:t>104.</w:t>
      </w:r>
      <w:r>
        <w:tab/>
        <w:t>Benabid AL. Deep brain stimulation for Parkinson’s disease. Current opinion in neurobiology. 2003;13(6):696-706.</w:t>
      </w:r>
    </w:p>
    <w:p w14:paraId="5E47B798" w14:textId="77777777" w:rsidR="00E73F22" w:rsidRPr="00856A24" w:rsidRDefault="00E73F22" w:rsidP="00E73F22">
      <w:pPr>
        <w:pStyle w:val="EndNoteBibliography"/>
        <w:bidi w:val="0"/>
        <w:spacing w:after="0"/>
        <w:rPr>
          <w:lang w:val="pt-BR"/>
        </w:rPr>
      </w:pPr>
      <w:r>
        <w:t>105.</w:t>
      </w:r>
      <w:r>
        <w:tab/>
        <w:t xml:space="preserve">Zarzycki MZ, Domitrz I. Stimulation-induced side effects after deep brain stimulation–a systematic review. </w:t>
      </w:r>
      <w:r w:rsidRPr="00856A24">
        <w:rPr>
          <w:lang w:val="pt-BR"/>
        </w:rPr>
        <w:t>Acta Neuropsychiatrica. 2020;32(2):57-64.</w:t>
      </w:r>
    </w:p>
    <w:p w14:paraId="005B32B1" w14:textId="77777777" w:rsidR="00E73F22" w:rsidRDefault="00E73F22" w:rsidP="00E73F22">
      <w:pPr>
        <w:pStyle w:val="EndNoteBibliography"/>
        <w:bidi w:val="0"/>
        <w:spacing w:after="0"/>
      </w:pPr>
      <w:r w:rsidRPr="00856A24">
        <w:rPr>
          <w:lang w:val="pt-BR"/>
        </w:rPr>
        <w:t>106.</w:t>
      </w:r>
      <w:r w:rsidRPr="00856A24">
        <w:rPr>
          <w:lang w:val="pt-BR"/>
        </w:rPr>
        <w:tab/>
        <w:t xml:space="preserve">Cursiol JA, Dos Santos PCR, Beretta VS, Orcioli-Silva D, Simieli L, Schlenstedt C, Coelho DB, Barbieri FA. </w:t>
      </w:r>
      <w:r>
        <w:t>Rhythmic auditory cues improve gait asymmetry during unobstructed walking in people with Parkinson's disease but have no effect on obstacle avoidance - AsymmGait-Parkinson study. Front Aging Neurosci. 2025 Feb 27;17:1455432.</w:t>
      </w:r>
    </w:p>
    <w:p w14:paraId="45B45611" w14:textId="77777777" w:rsidR="00E73F22" w:rsidRDefault="00E73F22" w:rsidP="00E73F22">
      <w:pPr>
        <w:pStyle w:val="EndNoteBibliography"/>
        <w:bidi w:val="0"/>
        <w:spacing w:after="0"/>
      </w:pPr>
      <w:r>
        <w:t>107.</w:t>
      </w:r>
      <w:r>
        <w:tab/>
        <w:t>Beretta, V. S., Santos, P. C. R., Orcioli-Silva, D., Zampier, V. C., Vitorio, R., &amp; Gobbi, L. T. B. Transcranial direct current stimulation for balance rehabilitation in neurological disorders: A systematic review and meta-analysis. Ageing Research Reviews. 2022; 81, 101736.</w:t>
      </w:r>
    </w:p>
    <w:p w14:paraId="325692A2" w14:textId="77777777" w:rsidR="00E73F22" w:rsidRDefault="00E73F22" w:rsidP="00E73F22">
      <w:pPr>
        <w:pStyle w:val="EndNoteBibliography"/>
        <w:bidi w:val="0"/>
        <w:spacing w:after="0"/>
      </w:pPr>
      <w:r>
        <w:t>108.</w:t>
      </w:r>
      <w:r>
        <w:tab/>
        <w:t xml:space="preserve">Broeder, S., Nackaerts, E., Heremans, E., Vervoort, G., Meesen, R., Verheyden, G., &amp; Nieuwboer, A. Transcranial direct current stimulation in Parkinson’s disease: Neurophysiological mechanisms and behavioral effects. Neurosci Biobehav Rev 2015; 105:117-57. </w:t>
      </w:r>
    </w:p>
    <w:p w14:paraId="3E442B84" w14:textId="77777777" w:rsidR="00E73F22" w:rsidRDefault="00E73F22" w:rsidP="00E73F22">
      <w:pPr>
        <w:pStyle w:val="EndNoteBibliography"/>
        <w:bidi w:val="0"/>
        <w:spacing w:after="0"/>
      </w:pPr>
      <w:r>
        <w:t>109.</w:t>
      </w:r>
      <w:r>
        <w:tab/>
        <w:t>Zampier, V. C. The effect of transcranial direct current stimulation and physical exercise on interlimb coordination during walking in people with Parkinson’s disease. 2024.</w:t>
      </w:r>
    </w:p>
    <w:p w14:paraId="5846388D" w14:textId="77777777" w:rsidR="00E73F22" w:rsidRDefault="00E73F22" w:rsidP="00E73F22">
      <w:pPr>
        <w:pStyle w:val="EndNoteBibliography"/>
        <w:bidi w:val="0"/>
        <w:spacing w:after="0"/>
      </w:pPr>
      <w:r>
        <w:t>110.</w:t>
      </w:r>
      <w:r>
        <w:tab/>
        <w:t>van der Kolk NM, King LA. Effects of exercise on mobility in people with Parkinson's disease. Movement Disorders. 2013;28(11):1587-96.</w:t>
      </w:r>
    </w:p>
    <w:p w14:paraId="18F44BA6" w14:textId="77777777" w:rsidR="00E73F22" w:rsidRDefault="00E73F22" w:rsidP="00E73F22">
      <w:pPr>
        <w:pStyle w:val="EndNoteBibliography"/>
        <w:bidi w:val="0"/>
        <w:spacing w:after="0"/>
      </w:pPr>
      <w:r>
        <w:t>111.</w:t>
      </w:r>
      <w:r>
        <w:tab/>
        <w:t>Pavlova E, Semenov R, Guekht A. Effect of tDCS on fine motor control of patients in subacute and chronic post-stroke stages. Journal of motor behavior. 2020;52(4):383-95.</w:t>
      </w:r>
    </w:p>
    <w:p w14:paraId="6F06CB49" w14:textId="77777777" w:rsidR="00E73F22" w:rsidRDefault="00E73F22" w:rsidP="00E73F22">
      <w:pPr>
        <w:pStyle w:val="EndNoteBibliography"/>
        <w:bidi w:val="0"/>
        <w:spacing w:after="0"/>
      </w:pPr>
      <w:r>
        <w:t>112.</w:t>
      </w:r>
      <w:r>
        <w:tab/>
        <w:t>Seuthe J, D’Cruz N, Ginis P, Becktepe JS, Weisser B, Nieuwboer A, et al. The effect of one session split-belt treadmill training on gait adaptation in people with Parkinson’s disease and freezing of gait. Neurorehabilitation and Neural Repair. 2020;34(10):954-63.</w:t>
      </w:r>
    </w:p>
    <w:p w14:paraId="72B1A142" w14:textId="77777777" w:rsidR="00E73F22" w:rsidRDefault="00E73F22" w:rsidP="00E73F22">
      <w:pPr>
        <w:pStyle w:val="EndNoteBibliography"/>
        <w:bidi w:val="0"/>
        <w:spacing w:after="0"/>
      </w:pPr>
      <w:r>
        <w:t>113.</w:t>
      </w:r>
      <w:r>
        <w:tab/>
        <w:t>Farrell III JW, Merkas J, Pilutti LA. The effect of exercise training on gait, balance, and physical fitness asymmetries in persons with chronic neurological conditions: a systematic review of randomized controlled trials. Frontiers in physiology. 2020;11:585765.</w:t>
      </w:r>
    </w:p>
    <w:p w14:paraId="238456FE" w14:textId="77777777" w:rsidR="00E73F22" w:rsidRDefault="00E73F22" w:rsidP="00E73F22">
      <w:pPr>
        <w:pStyle w:val="EndNoteBibliography"/>
        <w:bidi w:val="0"/>
        <w:spacing w:after="0"/>
      </w:pPr>
      <w:r>
        <w:t>114.</w:t>
      </w:r>
      <w:r>
        <w:tab/>
        <w:t>Panero E, Digo E, Dimanico U, Artusi CA, Zibetti M, Gastaldi L, editors. Effect of deep brain stimulation frequency on gait symmetry, smoothness and variability using IMU. 2021 IEEE International Symposium on Medical Measurements and Applications (Memea); 2021: IEEE.</w:t>
      </w:r>
    </w:p>
    <w:p w14:paraId="270A050C" w14:textId="77777777" w:rsidR="00E73F22" w:rsidRDefault="00E73F22" w:rsidP="00E73F22">
      <w:pPr>
        <w:pStyle w:val="EndNoteBibliography"/>
        <w:bidi w:val="0"/>
        <w:spacing w:after="0"/>
      </w:pPr>
      <w:r>
        <w:t>115.</w:t>
      </w:r>
      <w:r>
        <w:tab/>
        <w:t>Dobbs B, Pawlak N, Biagioni M, Agarwal S, Shaw M, Pilloni G, et al. Generalizing remotely supervised transcranial direct current stimulation (tDCS): feasibility and benefit in Parkinson’s disease. Journal of neuroengineering and rehabilitation. 2018;15(1):1-8.</w:t>
      </w:r>
    </w:p>
    <w:p w14:paraId="46706EBB" w14:textId="77777777" w:rsidR="00E73F22" w:rsidRDefault="00E73F22" w:rsidP="00E73F22">
      <w:pPr>
        <w:pStyle w:val="EndNoteBibliography"/>
        <w:bidi w:val="0"/>
        <w:spacing w:after="0"/>
      </w:pPr>
      <w:r>
        <w:t>116.</w:t>
      </w:r>
      <w:r>
        <w:tab/>
        <w:t>Nitsche MA, Liebetanz D, Tergau F, Paulus W. Modulation of cortical excitability by transcranial direct current stimulation. Der Nervenarzt. 2002;73(4):332-5.</w:t>
      </w:r>
    </w:p>
    <w:p w14:paraId="6254DFD0" w14:textId="77777777" w:rsidR="00E73F22" w:rsidRDefault="00E73F22" w:rsidP="00E73F22">
      <w:pPr>
        <w:pStyle w:val="EndNoteBibliography"/>
        <w:bidi w:val="0"/>
        <w:spacing w:after="0"/>
      </w:pPr>
      <w:r>
        <w:t>117.</w:t>
      </w:r>
      <w:r>
        <w:tab/>
        <w:t>Ghabra MB, Hallett M, Wassermann EM. Simultaneous repetitive transcranial magnetic stimulation does not speed fine movement in PD. Neurology. 1999;52(4):768-.</w:t>
      </w:r>
    </w:p>
    <w:p w14:paraId="6D1B0D45" w14:textId="77777777" w:rsidR="00E73F22" w:rsidRDefault="00E73F22" w:rsidP="00E73F22">
      <w:pPr>
        <w:pStyle w:val="EndNoteBibliography"/>
        <w:bidi w:val="0"/>
        <w:spacing w:after="0"/>
      </w:pPr>
      <w:r>
        <w:t>118.</w:t>
      </w:r>
      <w:r>
        <w:tab/>
        <w:t>Siebner HR, Mentschel C, Auer C, Conrad B. Repetitive transcranial magnetic stimulation has a beneficial effect on bradykinesia in Parkinson's disease. NeuroReport. 1999;10(3).</w:t>
      </w:r>
    </w:p>
    <w:p w14:paraId="41D900AF" w14:textId="77777777" w:rsidR="00E73F22" w:rsidRDefault="00E73F22" w:rsidP="00E73F22">
      <w:pPr>
        <w:pStyle w:val="EndNoteBibliography"/>
        <w:bidi w:val="0"/>
        <w:spacing w:after="0"/>
      </w:pPr>
      <w:r>
        <w:t>119.</w:t>
      </w:r>
      <w:r>
        <w:tab/>
        <w:t>Kaski D, Dominguez R, Allum J, Islam A, Bronstein A. Combining physical training with transcranial direct current stimulation to improve gait in Parkinson’s disease: a pilot randomized controlled study. Clinical rehabilitation. 2014;28(11):1115-24.</w:t>
      </w:r>
    </w:p>
    <w:p w14:paraId="3CFC13B7" w14:textId="77777777" w:rsidR="00E73F22" w:rsidRDefault="00E73F22" w:rsidP="00E73F22">
      <w:pPr>
        <w:pStyle w:val="EndNoteBibliography"/>
        <w:bidi w:val="0"/>
        <w:spacing w:after="0"/>
      </w:pPr>
      <w:r>
        <w:t>120.</w:t>
      </w:r>
      <w:r>
        <w:tab/>
        <w:t>Benninger DH, Lomarev M, Lopez G, Wassermann EM, Li X, Considine E, et al. Transcranial direct current stimulation for the treatment of Parkinson's disease. Journal of Neurology, Neurosurgery &amp; Psychiatry. 2010;81(10):1105-11.</w:t>
      </w:r>
    </w:p>
    <w:p w14:paraId="2D8D1AAA" w14:textId="77777777" w:rsidR="00E73F22" w:rsidRDefault="00E73F22" w:rsidP="00E73F22">
      <w:pPr>
        <w:pStyle w:val="EndNoteBibliography"/>
        <w:bidi w:val="0"/>
        <w:spacing w:after="0"/>
      </w:pPr>
      <w:r>
        <w:t>121.</w:t>
      </w:r>
      <w:r>
        <w:tab/>
        <w:t>Strafella AP, Paus T, Barrett J, Dagher A. Repetitive transcranial magnetic stimulation of the human prefrontal cortex induces dopamine release in the caudate nucleus. Journal of Neuroscience. 2001;21(15):RC157-RC.</w:t>
      </w:r>
    </w:p>
    <w:p w14:paraId="1944B4AA" w14:textId="77777777" w:rsidR="00E73F22" w:rsidRDefault="00E73F22" w:rsidP="00E73F22">
      <w:pPr>
        <w:pStyle w:val="EndNoteBibliography"/>
        <w:bidi w:val="0"/>
        <w:spacing w:after="0"/>
      </w:pPr>
      <w:r>
        <w:t>122.</w:t>
      </w:r>
      <w:r>
        <w:tab/>
        <w:t>Whitton PS. Glutamatergic control over brain dopamine release in vivo and in vitro. Neuroscience &amp; Biobehavioral Reviews. 1997;21(4):481-8.</w:t>
      </w:r>
    </w:p>
    <w:p w14:paraId="7BD3AD7A" w14:textId="77777777" w:rsidR="00E73F22" w:rsidRDefault="00E73F22" w:rsidP="00E73F22">
      <w:pPr>
        <w:pStyle w:val="EndNoteBibliography"/>
        <w:bidi w:val="0"/>
        <w:spacing w:after="0"/>
      </w:pPr>
      <w:r>
        <w:t>123.</w:t>
      </w:r>
      <w:r>
        <w:tab/>
        <w:t>Lu C, Wei Y, Hu R, Wang Y, Li K, Li X. Transcranial direct current stimulation ameliorates behavioral deficits and reduces oxidative stress in 1-methyl-4-phenyl-1, 2, 3, 6-tetrahydropyridine-induced mouse model of Parkinson’s disease. Neuromodulation: Technology at the Neural Interface. 2015;18(6):442-7.</w:t>
      </w:r>
    </w:p>
    <w:p w14:paraId="02B32BB8" w14:textId="77777777" w:rsidR="00E73F22" w:rsidRDefault="00E73F22" w:rsidP="00E73F22">
      <w:pPr>
        <w:pStyle w:val="EndNoteBibliography"/>
        <w:bidi w:val="0"/>
        <w:spacing w:after="0"/>
      </w:pPr>
      <w:r>
        <w:t>124.</w:t>
      </w:r>
      <w:r>
        <w:tab/>
        <w:t>Nitsche MA, Paulus W. Excitability changes induced in the human motor cortex by weak transcranial direct current stimulation. The Journal of physiology. 2000;527(Pt 3):633.</w:t>
      </w:r>
    </w:p>
    <w:p w14:paraId="2EA0D1D7" w14:textId="77777777" w:rsidR="00E73F22" w:rsidRDefault="00E73F22" w:rsidP="00E73F22">
      <w:pPr>
        <w:pStyle w:val="EndNoteBibliography"/>
        <w:bidi w:val="0"/>
        <w:spacing w:after="0"/>
      </w:pPr>
      <w:r>
        <w:t>125.</w:t>
      </w:r>
      <w:r>
        <w:tab/>
        <w:t>Nonnekes J, Arrogi A, Munneke MA, van Asseldonk EH, Oude Nijhuis LB, Geurts AC, et al. Subcortical structures in humans can be facilitated by transcranial direct current stimulation. PloS one. 2014;9(9):e107731.</w:t>
      </w:r>
    </w:p>
    <w:p w14:paraId="6A9EEE16" w14:textId="77777777" w:rsidR="00E73F22" w:rsidRDefault="00E73F22" w:rsidP="00E73F22">
      <w:pPr>
        <w:pStyle w:val="EndNoteBibliography"/>
        <w:bidi w:val="0"/>
        <w:spacing w:after="0"/>
      </w:pPr>
      <w:r>
        <w:t>126.</w:t>
      </w:r>
      <w:r>
        <w:tab/>
        <w:t>Radman T, Ramos RL, Brumberg JC, Bikson M. Role of cortical cell type and morphology in subthreshold and suprathreshold uniform electric field stimulation in vitro. Brain stimulation. 2009;2(4):215-28. e3.</w:t>
      </w:r>
    </w:p>
    <w:p w14:paraId="6E20AFAF" w14:textId="77777777" w:rsidR="00E73F22" w:rsidRDefault="00E73F22" w:rsidP="00E73F22">
      <w:pPr>
        <w:pStyle w:val="EndNoteBibliography"/>
        <w:bidi w:val="0"/>
        <w:spacing w:after="0"/>
      </w:pPr>
      <w:r>
        <w:t>127.</w:t>
      </w:r>
      <w:r>
        <w:tab/>
        <w:t>Parasuraman R, McKinley RA. Using noninvasive brain stimulation to accelerate learning and enhance human performance. Human factors. 2014;56(5):816-24.</w:t>
      </w:r>
    </w:p>
    <w:p w14:paraId="7700C9C7" w14:textId="77777777" w:rsidR="00E73F22" w:rsidRDefault="00E73F22" w:rsidP="00E73F22">
      <w:pPr>
        <w:pStyle w:val="EndNoteBibliography"/>
        <w:bidi w:val="0"/>
        <w:spacing w:after="0"/>
      </w:pPr>
      <w:r>
        <w:t>128.</w:t>
      </w:r>
      <w:r>
        <w:tab/>
        <w:t>Tanaka T, Takano Y, Tanaka S, Hironaka N, Kobayashi K, Hanakawa T, et al. Transcranial direct-current stimulation increases extracellular dopamine levels in the rat striatum. Frontiers in systems neuroscience. 2013;7:6.</w:t>
      </w:r>
    </w:p>
    <w:p w14:paraId="7449C536" w14:textId="77777777" w:rsidR="00E73F22" w:rsidRDefault="00E73F22" w:rsidP="00E73F22">
      <w:pPr>
        <w:pStyle w:val="EndNoteBibliography"/>
        <w:bidi w:val="0"/>
        <w:spacing w:after="0"/>
      </w:pPr>
      <w:r>
        <w:t>129.</w:t>
      </w:r>
      <w:r>
        <w:tab/>
        <w:t>Cosentino G, Valentino F, Todisco M, Alfonsi E, Davì R, Savettieri G, et al. Effects of more-affected vs. less-affected motor cortex tDCS in Parkinson’s disease. Frontiers in human neuroscience. 2017;11:309.</w:t>
      </w:r>
    </w:p>
    <w:p w14:paraId="4D1F9470" w14:textId="77777777" w:rsidR="00E73F22" w:rsidRDefault="00E73F22" w:rsidP="00E73F22">
      <w:pPr>
        <w:pStyle w:val="EndNoteBibliography"/>
        <w:bidi w:val="0"/>
        <w:spacing w:after="0"/>
      </w:pPr>
      <w:r>
        <w:t>130.</w:t>
      </w:r>
      <w:r>
        <w:tab/>
        <w:t>Agostino R, Currà A, Soldati G, Dinapoli L, Chiacchiari L, Modugno N, et al. Prolonged practice is of scarce benefit in improving motor performance in Parkinson's disease. Movement Disorders: Official Journal of the Movement Disorder Society. 2004;19(11):1285-93.</w:t>
      </w:r>
    </w:p>
    <w:p w14:paraId="4F8E7536" w14:textId="77777777" w:rsidR="00E73F22" w:rsidRDefault="00E73F22" w:rsidP="00E73F22">
      <w:pPr>
        <w:pStyle w:val="EndNoteBibliography"/>
        <w:bidi w:val="0"/>
        <w:spacing w:after="0"/>
      </w:pPr>
      <w:r>
        <w:t>131.</w:t>
      </w:r>
      <w:r>
        <w:tab/>
        <w:t>Diedrichsen J, Hashambhoy Y, Rane T, Shadmehr R. Neural correlates of reach errors. Journal of Neuroscience. 2005;25(43):9919-31.</w:t>
      </w:r>
    </w:p>
    <w:p w14:paraId="2733815E" w14:textId="77777777" w:rsidR="00E73F22" w:rsidRDefault="00E73F22" w:rsidP="00E73F22">
      <w:pPr>
        <w:pStyle w:val="EndNoteBibliography"/>
        <w:bidi w:val="0"/>
        <w:spacing w:after="0"/>
      </w:pPr>
      <w:r>
        <w:t>132.</w:t>
      </w:r>
      <w:r>
        <w:tab/>
        <w:t>Doyon J, Bellec P, Amsel R, Penhune V, Monchi O, Carrier J, et al. Contributions of the basal ganglia and functionally related brain structures to motor learning. Behavioural brain research. 2009;199(1):61-75.</w:t>
      </w:r>
    </w:p>
    <w:p w14:paraId="7DF6CA70" w14:textId="77777777" w:rsidR="00E73F22" w:rsidRDefault="00E73F22" w:rsidP="00E73F22">
      <w:pPr>
        <w:pStyle w:val="EndNoteBibliography"/>
        <w:bidi w:val="0"/>
        <w:spacing w:after="0"/>
      </w:pPr>
      <w:r>
        <w:t>133.</w:t>
      </w:r>
      <w:r>
        <w:tab/>
        <w:t>Wu T, Hallett M. A functional MRI study of automatic movements in patients with Parkinson's disease. Brain. 2005;128(10):2250-9.</w:t>
      </w:r>
    </w:p>
    <w:p w14:paraId="7FC11BFA" w14:textId="77777777" w:rsidR="00E73F22" w:rsidRDefault="00E73F22" w:rsidP="00E73F22">
      <w:pPr>
        <w:pStyle w:val="EndNoteBibliography"/>
        <w:bidi w:val="0"/>
        <w:spacing w:after="0"/>
      </w:pPr>
      <w:r>
        <w:t>134.</w:t>
      </w:r>
      <w:r>
        <w:tab/>
        <w:t>Ferrucci R, Mameli F, Ruggiero F, Priori A. Transcranial direct current stimulation as treatment for Parkinson’s disease and other movement disorders. Basal Ganglia. 2016;6(1):53-61.</w:t>
      </w:r>
    </w:p>
    <w:p w14:paraId="2E5B383D" w14:textId="77777777" w:rsidR="00E73F22" w:rsidRDefault="00E73F22" w:rsidP="00E73F22">
      <w:pPr>
        <w:pStyle w:val="EndNoteBibliography"/>
        <w:bidi w:val="0"/>
        <w:spacing w:after="0"/>
      </w:pPr>
      <w:r>
        <w:t>135.</w:t>
      </w:r>
      <w:r>
        <w:tab/>
        <w:t>Robinson AG, Dennett AM, Snowdon DA. Treadmill training may be an effective form of task-specific training for improving mobility in people with Parkinson’s disease and multiple sclerosis: a systematic review and meta-analysis. Physiotherapy. 2019;105(2):174-86.</w:t>
      </w:r>
    </w:p>
    <w:p w14:paraId="7C893DB8" w14:textId="77777777" w:rsidR="00E73F22" w:rsidRDefault="00E73F22" w:rsidP="00E73F22">
      <w:pPr>
        <w:pStyle w:val="EndNoteBibliography"/>
        <w:bidi w:val="0"/>
        <w:spacing w:after="0"/>
      </w:pPr>
      <w:r>
        <w:t>136.</w:t>
      </w:r>
      <w:r>
        <w:tab/>
        <w:t>Brienesse LA, Emerson MN. Effects of resistance training for people with Parkinson’s disease: a systematic review. Journal of the American Medical Directors Association. 2013;14(4):236-41.</w:t>
      </w:r>
    </w:p>
    <w:p w14:paraId="3811B993" w14:textId="77777777" w:rsidR="00E73F22" w:rsidRDefault="00E73F22" w:rsidP="00E73F22">
      <w:pPr>
        <w:pStyle w:val="EndNoteBibliography"/>
        <w:bidi w:val="0"/>
        <w:spacing w:after="0"/>
      </w:pPr>
      <w:r>
        <w:t>137.</w:t>
      </w:r>
      <w:r>
        <w:tab/>
        <w:t>Costa-Ribeiro A, Maux A, Bosford T, Aoki Y, Castro R, Baltar A, et al. Transcranial direct current stimulation associated with gait training in Parkinson’s disease: A pilot randomized clinical trial. Developmental Neurorehabilitation. 2017;20(3):121-8.</w:t>
      </w:r>
    </w:p>
    <w:p w14:paraId="1B090E74" w14:textId="77777777" w:rsidR="00E73F22" w:rsidRDefault="00E73F22" w:rsidP="00E73F22">
      <w:pPr>
        <w:pStyle w:val="EndNoteBibliography"/>
        <w:bidi w:val="0"/>
        <w:spacing w:after="0"/>
      </w:pPr>
      <w:r>
        <w:t>138.</w:t>
      </w:r>
      <w:r>
        <w:tab/>
        <w:t>Kaski D, Allum JH, Bronstein AM, Dominguez RO. Applying anodal tDCS during tango dancing in a patient with Parkinson's disease. Neuroscience Letters. 2014;568:39-43.</w:t>
      </w:r>
    </w:p>
    <w:p w14:paraId="457C27A5" w14:textId="77777777" w:rsidR="00E73F22" w:rsidRDefault="00E73F22" w:rsidP="00E73F22">
      <w:pPr>
        <w:pStyle w:val="EndNoteBibliography"/>
        <w:bidi w:val="0"/>
        <w:spacing w:after="0"/>
      </w:pPr>
      <w:r>
        <w:t>139.</w:t>
      </w:r>
      <w:r>
        <w:tab/>
        <w:t>Pol F, Salehinejad MA, Baharlouei H, Nitsche MA. The effects of transcranial direct current stimulation on gait in patients with Parkinson’s disease: a systematic review. Translational Neurodegeneration. 2021;10(1):22.</w:t>
      </w:r>
    </w:p>
    <w:p w14:paraId="4709C4ED" w14:textId="77777777" w:rsidR="00E73F22" w:rsidRPr="00856A24" w:rsidRDefault="00E73F22" w:rsidP="00E73F22">
      <w:pPr>
        <w:pStyle w:val="EndNoteBibliography"/>
        <w:bidi w:val="0"/>
        <w:spacing w:after="0"/>
        <w:rPr>
          <w:lang w:val="pt-BR"/>
        </w:rPr>
      </w:pPr>
      <w:r>
        <w:t>140.</w:t>
      </w:r>
      <w:r>
        <w:tab/>
        <w:t xml:space="preserve">Lee HK, Ahn SJ, Shin YM, Kang N, Cauraugh JH. Does transcranial direct current stimulation improve functional locomotion in people with Parkinson’s disease? A systematic review and meta-analysis. Journal of Neuroengineering and rehabilitation. </w:t>
      </w:r>
      <w:r w:rsidRPr="00856A24">
        <w:rPr>
          <w:lang w:val="pt-BR"/>
        </w:rPr>
        <w:t>2019;16(1):1-13.</w:t>
      </w:r>
    </w:p>
    <w:p w14:paraId="5CD485B9" w14:textId="77777777" w:rsidR="00E73F22" w:rsidRDefault="00E73F22" w:rsidP="00E73F22">
      <w:pPr>
        <w:pStyle w:val="EndNoteBibliography"/>
        <w:bidi w:val="0"/>
        <w:spacing w:after="0"/>
      </w:pPr>
      <w:r w:rsidRPr="00856A24">
        <w:rPr>
          <w:lang w:val="pt-BR"/>
        </w:rPr>
        <w:t>141.</w:t>
      </w:r>
      <w:r w:rsidRPr="00856A24">
        <w:rPr>
          <w:lang w:val="pt-BR"/>
        </w:rPr>
        <w:tab/>
        <w:t xml:space="preserve">Conceição NR, Gobbi LTB, Nóbrega-Sousa P, Orcioli-Silva D, Beretta VS, Lirani-Silva E, et al. </w:t>
      </w:r>
      <w:r>
        <w:t>Aerobic exercise combined with transcranial direct current stimulation over the prefrontal cortex in Parkinson disease: effects on cortical activity, gait, and cognition. Neurorehabilitation and neural repair. 2021;35(8):717-28.</w:t>
      </w:r>
    </w:p>
    <w:p w14:paraId="601AEAF0" w14:textId="77777777" w:rsidR="00E73F22" w:rsidRPr="00856A24" w:rsidRDefault="00E73F22" w:rsidP="00E73F22">
      <w:pPr>
        <w:pStyle w:val="EndNoteBibliography"/>
        <w:bidi w:val="0"/>
        <w:spacing w:after="0"/>
        <w:rPr>
          <w:lang w:val="pt-BR"/>
        </w:rPr>
      </w:pPr>
      <w:r>
        <w:t>142.</w:t>
      </w:r>
      <w:r>
        <w:tab/>
        <w:t xml:space="preserve">Mak KY, Yu L, editors. Effects of trancranial direct current stimulation on dual-task gait performance in patients with Parkinson's disease. </w:t>
      </w:r>
      <w:r w:rsidRPr="00856A24">
        <w:rPr>
          <w:lang w:val="pt-BR"/>
        </w:rPr>
        <w:t>International Congress of Clinical Neurophysiology; 2014.</w:t>
      </w:r>
    </w:p>
    <w:p w14:paraId="03B3E623" w14:textId="77777777" w:rsidR="00E73F22" w:rsidRPr="00856A24" w:rsidRDefault="00E73F22" w:rsidP="00E73F22">
      <w:pPr>
        <w:pStyle w:val="EndNoteBibliography"/>
        <w:bidi w:val="0"/>
        <w:spacing w:after="0"/>
        <w:rPr>
          <w:lang w:val="pt-BR"/>
        </w:rPr>
      </w:pPr>
      <w:r w:rsidRPr="00856A24">
        <w:rPr>
          <w:lang w:val="pt-BR"/>
        </w:rPr>
        <w:t>143.</w:t>
      </w:r>
      <w:r w:rsidRPr="00856A24">
        <w:rPr>
          <w:lang w:val="pt-BR"/>
        </w:rPr>
        <w:tab/>
        <w:t xml:space="preserve">Lattari E, Costa SS, Campos C, de Oliveira AJ, Machado S, Neto GAM. </w:t>
      </w:r>
      <w:r>
        <w:t xml:space="preserve">Can transcranial direct current stimulation on the dorsolateral prefrontal cortex improves balance and functional mobility in Parkinson’s disease? </w:t>
      </w:r>
      <w:r w:rsidRPr="00856A24">
        <w:rPr>
          <w:lang w:val="pt-BR"/>
        </w:rPr>
        <w:t>Neuroscience letters. 2017;636:165-9.</w:t>
      </w:r>
    </w:p>
    <w:p w14:paraId="2790843D" w14:textId="77777777" w:rsidR="00E73F22" w:rsidRDefault="00E73F22" w:rsidP="00E73F22">
      <w:pPr>
        <w:pStyle w:val="EndNoteBibliography"/>
        <w:bidi w:val="0"/>
        <w:spacing w:after="0"/>
      </w:pPr>
      <w:r w:rsidRPr="00856A24">
        <w:rPr>
          <w:lang w:val="pt-BR"/>
        </w:rPr>
        <w:t>144.</w:t>
      </w:r>
      <w:r w:rsidRPr="00856A24">
        <w:rPr>
          <w:lang w:val="pt-BR"/>
        </w:rPr>
        <w:tab/>
        <w:t xml:space="preserve">Manenti R, Brambilla M, Rosini S, Orizio I, Ferrari C, Borroni B, et al. </w:t>
      </w:r>
      <w:r>
        <w:t>Time up and go task performance improves after transcranial direct current stimulation in patient affected by Parkinson's disease. Neuroscience letters. 2014;580:74-7.</w:t>
      </w:r>
    </w:p>
    <w:p w14:paraId="6E2DE27D" w14:textId="77777777" w:rsidR="00E73F22" w:rsidRDefault="00E73F22" w:rsidP="00E73F22">
      <w:pPr>
        <w:pStyle w:val="EndNoteBibliography"/>
        <w:bidi w:val="0"/>
        <w:spacing w:after="0"/>
      </w:pPr>
      <w:r>
        <w:t>145.</w:t>
      </w:r>
      <w:r>
        <w:tab/>
        <w:t>Wong P, Yang Y, Huang S, Fuh J, Chiang H, &amp; Wang R. Transcranial Direct Current Stimulation on Different Targets to Modulate Cortical Activity and Dual-Task Walking in Individuals With Parkinson’s Disease: A Double Blinded Randomized Controlled Trial. Frontiers in Aging Neuroscience. 2022; 14, 807151</w:t>
      </w:r>
    </w:p>
    <w:p w14:paraId="7156B671" w14:textId="77777777" w:rsidR="00E73F22" w:rsidRDefault="00E73F22" w:rsidP="00E73F22">
      <w:pPr>
        <w:pStyle w:val="EndNoteBibliography"/>
        <w:bidi w:val="0"/>
        <w:spacing w:after="0"/>
      </w:pPr>
      <w:r>
        <w:t>146.</w:t>
      </w:r>
      <w:r>
        <w:tab/>
        <w:t>Barbieri FA, Faria MH, Simieli L, Penedo T, Kalva Filho CA, Beretta VS. Gait velocity and stability are correlated to muscle and bone mass loss in people with Parkinson’s disease: a preliminary study. Brazilian Journal of Motor Behavior. 2022;16(5):362-71.</w:t>
      </w:r>
    </w:p>
    <w:p w14:paraId="26A1EF95" w14:textId="77777777" w:rsidR="00E73F22" w:rsidRDefault="00E73F22" w:rsidP="00E73F22">
      <w:pPr>
        <w:pStyle w:val="EndNoteBibliography"/>
        <w:bidi w:val="0"/>
        <w:spacing w:after="0"/>
      </w:pPr>
      <w:r>
        <w:t>147.</w:t>
      </w:r>
      <w:r>
        <w:tab/>
        <w:t>Herzog, W. A. L. T. E. R., Nigg, B. M., Read, L. J., &amp; Olsson, E. W. A. (). Asymmetries in ground reaction force patterns in normal human gait. Med Sci Sports Exerc. 1989, 21, 110-114.</w:t>
      </w:r>
      <w:r>
        <w:tab/>
      </w:r>
    </w:p>
    <w:p w14:paraId="2D70FB93" w14:textId="77777777" w:rsidR="00E73F22" w:rsidRDefault="00E73F22" w:rsidP="00E73F22">
      <w:pPr>
        <w:pStyle w:val="EndNoteBibliography"/>
        <w:bidi w:val="0"/>
        <w:spacing w:after="0"/>
      </w:pPr>
      <w:r>
        <w:t>148.</w:t>
      </w:r>
      <w:r>
        <w:tab/>
        <w:t xml:space="preserve">Fahn S, Elton R. UPDRS program members. Unified Parkinsons disease rating scale. Recent developments in Parkinson’s disease. 1987;2:153-63. </w:t>
      </w:r>
    </w:p>
    <w:p w14:paraId="62700513" w14:textId="77777777" w:rsidR="00E73F22" w:rsidRDefault="00E73F22" w:rsidP="00E73F22">
      <w:pPr>
        <w:pStyle w:val="EndNoteBibliography"/>
        <w:bidi w:val="0"/>
        <w:spacing w:after="0"/>
      </w:pPr>
      <w:r>
        <w:t>149.</w:t>
      </w:r>
      <w:r>
        <w:tab/>
        <w:t>Nasreddine ZS, Phillips NA, Bédirian V, Charbonneau S, Whitehead V, Collin I, et al. The Montreal Cognitive Assessment, MoCA: a brief screening tool for mild cognitive impairment. Journal of the American Geriatrics Society. 2005;53(4):695-9.</w:t>
      </w:r>
    </w:p>
    <w:p w14:paraId="7E7F9F76" w14:textId="77777777" w:rsidR="00E73F22" w:rsidRDefault="00E73F22" w:rsidP="00E73F22">
      <w:pPr>
        <w:pStyle w:val="EndNoteBibliography"/>
        <w:bidi w:val="0"/>
        <w:spacing w:after="0"/>
      </w:pPr>
      <w:r>
        <w:t>150.</w:t>
      </w:r>
      <w:r>
        <w:tab/>
        <w:t>Swank, C., Mehta, J., &amp; Criminger, C. Transcranial direct current stimulation lessens dual task cost in people with Parkinson’s disease. Neuroscience letters. 2016; 626, 1-5.</w:t>
      </w:r>
    </w:p>
    <w:p w14:paraId="011571D9" w14:textId="77777777" w:rsidR="00E73F22" w:rsidRDefault="00E73F22" w:rsidP="00E73F22">
      <w:pPr>
        <w:pStyle w:val="EndNoteBibliography"/>
        <w:bidi w:val="0"/>
        <w:spacing w:after="0"/>
      </w:pPr>
      <w:r>
        <w:t>151.</w:t>
      </w:r>
      <w:r>
        <w:tab/>
        <w:t>Bueno, M. E. B., do Nascimento Neto, L. I., Terra, M. B., Barboza, N. M., Okano, A. H., &amp; Smaili, S. M. Effectiveness of acute transcranial direct current stimulation on non-motor and motor symptoms in Parkinson’s disease. Neuroscience letters. 2019; 696, 46-5.</w:t>
      </w:r>
    </w:p>
    <w:p w14:paraId="2EBD4E9A" w14:textId="77777777" w:rsidR="00E73F22" w:rsidRDefault="00E73F22" w:rsidP="00E73F22">
      <w:pPr>
        <w:pStyle w:val="EndNoteBibliography"/>
        <w:bidi w:val="0"/>
        <w:spacing w:after="0"/>
      </w:pPr>
      <w:r>
        <w:t>152.</w:t>
      </w:r>
      <w:r>
        <w:tab/>
        <w:t>Mishra Rk, Thrasher AT. Transcranial direct current stimulation of dorsolateral prefrontal cortex improves dual-task gait performance in patients with Parkinson’s disease: A double blind, sham-controlled study. Gait &amp; Posture. 2021;84:11-6.</w:t>
      </w:r>
    </w:p>
    <w:p w14:paraId="2F7D2956" w14:textId="77777777" w:rsidR="00E73F22" w:rsidRDefault="00E73F22" w:rsidP="00E73F22">
      <w:pPr>
        <w:pStyle w:val="EndNoteBibliography"/>
        <w:bidi w:val="0"/>
        <w:spacing w:after="0"/>
      </w:pPr>
      <w:r>
        <w:t>153.</w:t>
      </w:r>
      <w:r>
        <w:tab/>
        <w:t>Hadoush H, Al-Sharman A, Khalil H, Banihani SA, Al-Jarrah M. Sleep quality, depression, and quality of life after bilateral anodal transcranial direct current stimulation in patients with Parkinson’s disease. Medical science monitor basic research. 2018;24:198.</w:t>
      </w:r>
    </w:p>
    <w:p w14:paraId="6FA7A0D8" w14:textId="77777777" w:rsidR="00E73F22" w:rsidRDefault="00E73F22" w:rsidP="00E73F22">
      <w:pPr>
        <w:pStyle w:val="EndNoteBibliography"/>
        <w:bidi w:val="0"/>
        <w:spacing w:after="0"/>
      </w:pPr>
      <w:r>
        <w:t>154.</w:t>
      </w:r>
      <w:r>
        <w:tab/>
        <w:t>Yotnuengnit P, Bhidayasir, R, Donkhan R, Chaluaysrimuang J, &amp; Piravej K. Effects of transcranial direct current stimulation plus physical therapy on gait in patients with Parkinson disease: a randomized controlled trial. American journal of physical medicine &amp; rehabilitation. 2018;97(1), 7-15.</w:t>
      </w:r>
    </w:p>
    <w:p w14:paraId="0CD26370" w14:textId="77777777" w:rsidR="00E73F22" w:rsidRDefault="00E73F22" w:rsidP="00E73F22">
      <w:pPr>
        <w:pStyle w:val="EndNoteBibliography"/>
        <w:bidi w:val="0"/>
        <w:spacing w:after="0"/>
      </w:pPr>
      <w:r>
        <w:t>155.</w:t>
      </w:r>
      <w:r>
        <w:tab/>
        <w:t xml:space="preserve">Benninger, D. H., Lomarev, M., Lopez, G., Wassermann, E. M., Li, X., Considine, E., &amp; Hallett, M. (). Transcranial direct current stimulation for the treatment of Parkinson's disease. Journal of Neurology, Neurosurgery &amp; Psychiatry. 20108; 1(10), 1105-1111. </w:t>
      </w:r>
    </w:p>
    <w:p w14:paraId="7E3D7D33" w14:textId="77777777" w:rsidR="00E73F22" w:rsidRPr="00856A24" w:rsidRDefault="00E73F22" w:rsidP="00E73F22">
      <w:pPr>
        <w:pStyle w:val="EndNoteBibliography"/>
        <w:bidi w:val="0"/>
        <w:spacing w:after="0"/>
        <w:rPr>
          <w:lang w:val="pt-BR"/>
        </w:rPr>
      </w:pPr>
      <w:r>
        <w:t>156.</w:t>
      </w:r>
      <w:r>
        <w:tab/>
        <w:t xml:space="preserve">Miranda PC, Lomarev M, Hallett M. Modeling the current distribution during transcranial direct current stimulation. </w:t>
      </w:r>
      <w:r w:rsidRPr="00856A24">
        <w:rPr>
          <w:lang w:val="pt-BR"/>
        </w:rPr>
        <w:t>Clinical neurophysiology. 2006;117(7):1623-9.</w:t>
      </w:r>
    </w:p>
    <w:p w14:paraId="17F9129A" w14:textId="77777777" w:rsidR="00E73F22" w:rsidRDefault="00E73F22" w:rsidP="00E73F22">
      <w:pPr>
        <w:pStyle w:val="EndNoteBibliography"/>
        <w:bidi w:val="0"/>
        <w:spacing w:after="0"/>
      </w:pPr>
      <w:r w:rsidRPr="00856A24">
        <w:rPr>
          <w:lang w:val="pt-BR"/>
        </w:rPr>
        <w:t>157.</w:t>
      </w:r>
      <w:r w:rsidRPr="00856A24">
        <w:rPr>
          <w:lang w:val="pt-BR"/>
        </w:rPr>
        <w:tab/>
        <w:t xml:space="preserve">Manenti R, Brambilla M, Benussi A, Rosini S, Cobelli C, Ferrari C, et al. </w:t>
      </w:r>
      <w:r>
        <w:t>M ild cognitive impairment in Parkinson's disease is improved by transcranial direct current stimulation combined with physical therapy. Movement Disorders. 2016;31(5):715-24.</w:t>
      </w:r>
    </w:p>
    <w:p w14:paraId="494B6833" w14:textId="77777777" w:rsidR="00E73F22" w:rsidRPr="00856A24" w:rsidRDefault="00E73F22" w:rsidP="00E73F22">
      <w:pPr>
        <w:pStyle w:val="EndNoteBibliography"/>
        <w:bidi w:val="0"/>
        <w:spacing w:after="0"/>
        <w:rPr>
          <w:lang w:val="pt-BR"/>
        </w:rPr>
      </w:pPr>
      <w:r>
        <w:t>158.</w:t>
      </w:r>
      <w:r>
        <w:tab/>
        <w:t xml:space="preserve">King L, Horak F. On the mini-BESTest: scoring and the reporting of total scores. </w:t>
      </w:r>
      <w:r w:rsidRPr="00856A24">
        <w:rPr>
          <w:lang w:val="pt-BR"/>
        </w:rPr>
        <w:t>Physical therapy. 2013;93(4):571-5.</w:t>
      </w:r>
    </w:p>
    <w:p w14:paraId="6CE94697" w14:textId="77777777" w:rsidR="00E73F22" w:rsidRDefault="00E73F22" w:rsidP="00E73F22">
      <w:pPr>
        <w:pStyle w:val="EndNoteBibliography"/>
        <w:bidi w:val="0"/>
        <w:spacing w:after="0"/>
      </w:pPr>
      <w:r w:rsidRPr="00856A24">
        <w:rPr>
          <w:lang w:val="pt-BR"/>
        </w:rPr>
        <w:t>159.</w:t>
      </w:r>
      <w:r w:rsidRPr="00856A24">
        <w:rPr>
          <w:lang w:val="pt-BR"/>
        </w:rPr>
        <w:tab/>
        <w:t xml:space="preserve">de Moraes Filho AV, Chaves SN, Martins WR, Tolentino GP, Homem RdCPP, de Farias GL, et al. </w:t>
      </w:r>
      <w:r>
        <w:t>Progressive resistance training improves bradykinesia, motor symptoms and functional performance in patients with Parkinson’s disease. Clinical Interventions in Aging. 2020;15:87.</w:t>
      </w:r>
    </w:p>
    <w:p w14:paraId="4C45F56F" w14:textId="77777777" w:rsidR="00E73F22" w:rsidRPr="00F440B8" w:rsidRDefault="00E73F22" w:rsidP="00E73F22">
      <w:pPr>
        <w:pStyle w:val="EndNoteBibliography"/>
        <w:bidi w:val="0"/>
        <w:spacing w:after="0"/>
      </w:pPr>
      <w:r>
        <w:t>160.</w:t>
      </w:r>
      <w:r>
        <w:tab/>
        <w:t>Benjamini Y, Hochberg Y. Controlling the false discovery rate: a practical and powerful approach to multiple testing. Journal of the Royal statistical society: series B (Methodological). 1995;57(1):289-300.</w:t>
      </w:r>
    </w:p>
    <w:p w14:paraId="0BBF3DB8" w14:textId="32E5706D" w:rsidR="00E73F22" w:rsidRPr="00C76154" w:rsidRDefault="00E73F22" w:rsidP="00E73F22">
      <w:pPr>
        <w:jc w:val="both"/>
        <w:rPr>
          <w:rFonts w:ascii="Times New Roman" w:hAnsi="Times New Roman" w:cs="Times New Roman"/>
          <w:sz w:val="24"/>
          <w:szCs w:val="24"/>
        </w:rPr>
      </w:pPr>
      <w:r w:rsidRPr="00C910AE">
        <w:rPr>
          <w:rFonts w:ascii="Times New Roman" w:hAnsi="Times New Roman" w:cs="Times New Roman"/>
          <w:color w:val="000000" w:themeColor="text1"/>
          <w:sz w:val="24"/>
          <w:szCs w:val="24"/>
          <w:lang w:val="en-GB"/>
        </w:rPr>
        <w:fldChar w:fldCharType="end"/>
      </w:r>
    </w:p>
    <w:sectPr w:rsidR="00E73F22" w:rsidRPr="00C761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71F75"/>
    <w:multiLevelType w:val="multilevel"/>
    <w:tmpl w:val="0D10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7324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209"/>
    <w:rsid w:val="00016A2E"/>
    <w:rsid w:val="000273C4"/>
    <w:rsid w:val="0009186D"/>
    <w:rsid w:val="000C6E08"/>
    <w:rsid w:val="000D1EDD"/>
    <w:rsid w:val="000E6E44"/>
    <w:rsid w:val="001046C8"/>
    <w:rsid w:val="00127BDD"/>
    <w:rsid w:val="00142D60"/>
    <w:rsid w:val="00154E97"/>
    <w:rsid w:val="001B2AD9"/>
    <w:rsid w:val="001B5B14"/>
    <w:rsid w:val="001C1457"/>
    <w:rsid w:val="001F7209"/>
    <w:rsid w:val="00256450"/>
    <w:rsid w:val="00262DD0"/>
    <w:rsid w:val="002807B9"/>
    <w:rsid w:val="002E1E94"/>
    <w:rsid w:val="00305BC7"/>
    <w:rsid w:val="00325186"/>
    <w:rsid w:val="00343728"/>
    <w:rsid w:val="00365253"/>
    <w:rsid w:val="0037673F"/>
    <w:rsid w:val="00390A2A"/>
    <w:rsid w:val="003A3E22"/>
    <w:rsid w:val="004624AF"/>
    <w:rsid w:val="00476408"/>
    <w:rsid w:val="00490A89"/>
    <w:rsid w:val="004A38DF"/>
    <w:rsid w:val="004B0459"/>
    <w:rsid w:val="004C0E89"/>
    <w:rsid w:val="005039C2"/>
    <w:rsid w:val="00506801"/>
    <w:rsid w:val="00566989"/>
    <w:rsid w:val="00622E6B"/>
    <w:rsid w:val="006246CD"/>
    <w:rsid w:val="00681582"/>
    <w:rsid w:val="00695D22"/>
    <w:rsid w:val="006A6369"/>
    <w:rsid w:val="006B31DD"/>
    <w:rsid w:val="006B3779"/>
    <w:rsid w:val="006E3041"/>
    <w:rsid w:val="006F6529"/>
    <w:rsid w:val="00751BF9"/>
    <w:rsid w:val="007626D2"/>
    <w:rsid w:val="00772F1E"/>
    <w:rsid w:val="007D73DB"/>
    <w:rsid w:val="00822557"/>
    <w:rsid w:val="0084346A"/>
    <w:rsid w:val="00863387"/>
    <w:rsid w:val="008931A2"/>
    <w:rsid w:val="008B27FD"/>
    <w:rsid w:val="008D58B4"/>
    <w:rsid w:val="00945152"/>
    <w:rsid w:val="00951BA0"/>
    <w:rsid w:val="009D6863"/>
    <w:rsid w:val="009D75B3"/>
    <w:rsid w:val="00A5433B"/>
    <w:rsid w:val="00A614E8"/>
    <w:rsid w:val="00A73259"/>
    <w:rsid w:val="00AE3366"/>
    <w:rsid w:val="00B06728"/>
    <w:rsid w:val="00B37DB4"/>
    <w:rsid w:val="00B609E8"/>
    <w:rsid w:val="00B876E7"/>
    <w:rsid w:val="00BD1D14"/>
    <w:rsid w:val="00BE5F05"/>
    <w:rsid w:val="00C00CAF"/>
    <w:rsid w:val="00C46F33"/>
    <w:rsid w:val="00C552FD"/>
    <w:rsid w:val="00C76154"/>
    <w:rsid w:val="00C870D9"/>
    <w:rsid w:val="00CB529D"/>
    <w:rsid w:val="00CC4DB0"/>
    <w:rsid w:val="00D10DD9"/>
    <w:rsid w:val="00D4665F"/>
    <w:rsid w:val="00D5429C"/>
    <w:rsid w:val="00D623EC"/>
    <w:rsid w:val="00DA4BF8"/>
    <w:rsid w:val="00DB17C1"/>
    <w:rsid w:val="00DC5077"/>
    <w:rsid w:val="00DC6593"/>
    <w:rsid w:val="00E25222"/>
    <w:rsid w:val="00E657D4"/>
    <w:rsid w:val="00E73F22"/>
    <w:rsid w:val="00E84A91"/>
    <w:rsid w:val="00E9032E"/>
    <w:rsid w:val="00ED7582"/>
    <w:rsid w:val="00F24ABE"/>
    <w:rsid w:val="00F3127B"/>
    <w:rsid w:val="00F56609"/>
    <w:rsid w:val="00F5730F"/>
    <w:rsid w:val="00F86D7C"/>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641D"/>
  <w15:chartTrackingRefBased/>
  <w15:docId w15:val="{37B309DF-DB3D-4E89-A333-A2AED403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F72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F72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F720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F720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F720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F720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F720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F720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F720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F720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F720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F720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F720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F720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F720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F720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F720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F7209"/>
    <w:rPr>
      <w:rFonts w:eastAsiaTheme="majorEastAsia" w:cstheme="majorBidi"/>
      <w:color w:val="272727" w:themeColor="text1" w:themeTint="D8"/>
    </w:rPr>
  </w:style>
  <w:style w:type="paragraph" w:styleId="Ttulo">
    <w:name w:val="Title"/>
    <w:basedOn w:val="Normal"/>
    <w:next w:val="Normal"/>
    <w:link w:val="TtuloChar"/>
    <w:uiPriority w:val="10"/>
    <w:qFormat/>
    <w:rsid w:val="001F72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F720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F7209"/>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F720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F7209"/>
    <w:pPr>
      <w:spacing w:before="160"/>
      <w:jc w:val="center"/>
    </w:pPr>
    <w:rPr>
      <w:i/>
      <w:iCs/>
      <w:color w:val="404040" w:themeColor="text1" w:themeTint="BF"/>
    </w:rPr>
  </w:style>
  <w:style w:type="character" w:customStyle="1" w:styleId="CitaoChar">
    <w:name w:val="Citação Char"/>
    <w:basedOn w:val="Fontepargpadro"/>
    <w:link w:val="Citao"/>
    <w:uiPriority w:val="29"/>
    <w:rsid w:val="001F7209"/>
    <w:rPr>
      <w:i/>
      <w:iCs/>
      <w:color w:val="404040" w:themeColor="text1" w:themeTint="BF"/>
    </w:rPr>
  </w:style>
  <w:style w:type="paragraph" w:styleId="PargrafodaLista">
    <w:name w:val="List Paragraph"/>
    <w:basedOn w:val="Normal"/>
    <w:uiPriority w:val="34"/>
    <w:qFormat/>
    <w:rsid w:val="001F7209"/>
    <w:pPr>
      <w:ind w:left="720"/>
      <w:contextualSpacing/>
    </w:pPr>
  </w:style>
  <w:style w:type="character" w:styleId="nfaseIntensa">
    <w:name w:val="Intense Emphasis"/>
    <w:basedOn w:val="Fontepargpadro"/>
    <w:uiPriority w:val="21"/>
    <w:qFormat/>
    <w:rsid w:val="001F7209"/>
    <w:rPr>
      <w:i/>
      <w:iCs/>
      <w:color w:val="0F4761" w:themeColor="accent1" w:themeShade="BF"/>
    </w:rPr>
  </w:style>
  <w:style w:type="paragraph" w:styleId="CitaoIntensa">
    <w:name w:val="Intense Quote"/>
    <w:basedOn w:val="Normal"/>
    <w:next w:val="Normal"/>
    <w:link w:val="CitaoIntensaChar"/>
    <w:uiPriority w:val="30"/>
    <w:qFormat/>
    <w:rsid w:val="001F72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F7209"/>
    <w:rPr>
      <w:i/>
      <w:iCs/>
      <w:color w:val="0F4761" w:themeColor="accent1" w:themeShade="BF"/>
    </w:rPr>
  </w:style>
  <w:style w:type="character" w:styleId="RefernciaIntensa">
    <w:name w:val="Intense Reference"/>
    <w:basedOn w:val="Fontepargpadro"/>
    <w:uiPriority w:val="32"/>
    <w:qFormat/>
    <w:rsid w:val="001F7209"/>
    <w:rPr>
      <w:b/>
      <w:bCs/>
      <w:smallCaps/>
      <w:color w:val="0F4761" w:themeColor="accent1" w:themeShade="BF"/>
      <w:spacing w:val="5"/>
    </w:rPr>
  </w:style>
  <w:style w:type="table" w:styleId="TabeladeGradeClara">
    <w:name w:val="Grid Table Light"/>
    <w:basedOn w:val="Tabelanormal"/>
    <w:uiPriority w:val="40"/>
    <w:rsid w:val="0009186D"/>
    <w:pPr>
      <w:spacing w:after="0" w:line="240" w:lineRule="auto"/>
    </w:pPr>
    <w:rPr>
      <w:kern w:val="0"/>
      <w:lang w:val="en-US" w:bidi="fa-IR"/>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
    <w:name w:val="EndNote Bibliography"/>
    <w:basedOn w:val="Normal"/>
    <w:link w:val="EndNoteBibliographyChar"/>
    <w:rsid w:val="00E73F22"/>
    <w:pPr>
      <w:bidi/>
      <w:spacing w:line="240" w:lineRule="auto"/>
      <w:jc w:val="both"/>
    </w:pPr>
    <w:rPr>
      <w:rFonts w:ascii="Calibri" w:hAnsi="Calibri" w:cs="Calibri"/>
      <w:noProof/>
      <w:kern w:val="0"/>
      <w:lang w:val="en-US" w:bidi="fa-IR"/>
      <w14:ligatures w14:val="none"/>
    </w:rPr>
  </w:style>
  <w:style w:type="character" w:customStyle="1" w:styleId="EndNoteBibliographyChar">
    <w:name w:val="EndNote Bibliography Char"/>
    <w:basedOn w:val="Fontepargpadro"/>
    <w:link w:val="EndNoteBibliography"/>
    <w:rsid w:val="00E73F22"/>
    <w:rPr>
      <w:rFonts w:ascii="Calibri" w:hAnsi="Calibri" w:cs="Calibri"/>
      <w:noProof/>
      <w:kern w:val="0"/>
      <w:lang w:val="en-US" w:bidi="fa-IR"/>
      <w14:ligatures w14:val="none"/>
    </w:rPr>
  </w:style>
  <w:style w:type="character" w:customStyle="1" w:styleId="rynqvb">
    <w:name w:val="rynqvb"/>
    <w:basedOn w:val="Fontepargpadro"/>
    <w:rsid w:val="00D4665F"/>
  </w:style>
  <w:style w:type="character" w:customStyle="1" w:styleId="hwtze">
    <w:name w:val="hwtze"/>
    <w:basedOn w:val="Fontepargpadro"/>
    <w:rsid w:val="00A614E8"/>
  </w:style>
  <w:style w:type="character" w:customStyle="1" w:styleId="hgkelc">
    <w:name w:val="hgkelc"/>
    <w:basedOn w:val="Fontepargpadro"/>
    <w:rsid w:val="00A614E8"/>
  </w:style>
  <w:style w:type="paragraph" w:styleId="NormalWeb">
    <w:name w:val="Normal (Web)"/>
    <w:basedOn w:val="Normal"/>
    <w:uiPriority w:val="99"/>
    <w:unhideWhenUsed/>
    <w:rsid w:val="00A614E8"/>
    <w:pPr>
      <w:spacing w:before="100" w:beforeAutospacing="1" w:after="100" w:afterAutospacing="1" w:line="240" w:lineRule="auto"/>
    </w:pPr>
    <w:rPr>
      <w:rFonts w:ascii="Times New Roman" w:eastAsiaTheme="minorEastAsia" w:hAnsi="Times New Roman" w:cs="Times New Roman"/>
      <w:kern w:val="0"/>
      <w:sz w:val="24"/>
      <w:szCs w:val="24"/>
      <w:lang w:val="en-US"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30</Pages>
  <Words>13683</Words>
  <Characters>73891</Characters>
  <Application>Microsoft Office Word</Application>
  <DocSecurity>0</DocSecurity>
  <Lines>615</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Vinicius zampier</dc:creator>
  <cp:keywords/>
  <dc:description/>
  <cp:lastModifiedBy>Vinicius zampier</cp:lastModifiedBy>
  <cp:revision>76</cp:revision>
  <dcterms:created xsi:type="dcterms:W3CDTF">2026-04-29T13:43:00Z</dcterms:created>
  <dcterms:modified xsi:type="dcterms:W3CDTF">2026-05-05T14:53:00Z</dcterms:modified>
</cp:coreProperties>
</file>