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ackground w:color="FFFFFF">
    <mc:AlternateContent>
      <mc:Choice Requires="v"/>
      <mc:Fallback>
        <w:drawing>
          <wp:inline distT="0" distB="0" distL="0" distR="0" wp14:anchorId="516C3524" wp14:editId="3F3F981F">
            <wp:extent cx="0" cy="0"/>
            <wp:effectExtent l="0" t="0" r="0" b="0"/>
            <wp:docPr id="1" name="Rectangle 1">
              <a:extLst xmlns:a="http://purl.oclc.org/ooxml/drawingml/main">
                <a:ext uri="{A998136B-4AC2-44c3-8CCF-79AB77ABDD1D}">
                  <a15:backgroundPr xmlns:a15="http://schemas.microsoft.com/office/drawing/2012/main" bwMode="white" bwPure="auto" bwNormal="auto" targetScreenSize="1024x768"/>
                </a:ext>
              </a:extLst>
            </wp:docPr>
            <wp:cNvGraphicFramePr/>
            <a:graphic xmlns:a="http://purl.oclc.org/ooxml/drawingml/main">
              <a:graphicData uri="http://schemas.microsoft.com/office/word/2010/wordprocessingShape">
                <wp:wsp>
                  <wp:cNvSpPr/>
                  <wp:spPr bwMode="white">
                    <a:xfrm>
                      <a:off x="0" y="0"/>
                      <a:ext cx="0" cy="0"/>
                    </a:xfrm>
                    <a:prstGeom prst="rect">
                      <a:avLst/>
                    </a:prstGeom>
                    <a:solidFill>
                      <a:srgbClr val="FFFFFF"/>
                    </a:solidFill>
                    <a:ln>
                      <a:noFill/>
                    </a:ln>
                    <a:extLst>
                      <a:ext uri="{91240B29-F687-4F45-9708-019B960494DF}">
                        <a14:hiddenLine xmlns:a14="http://schemas.microsoft.com/office/drawing/2010/main" w="0">
                          <a:solidFill>
                            <a:srgbClr val="000000"/>
                          </a:solidFill>
                          <a:miter lim="800%"/>
                          <a:headEnd/>
                          <a:tailEnd/>
                        </a14:hiddenLine>
                      </a:ext>
                    </a:extLst>
                  </wp:spPr>
                  <wp:bodyPr/>
                </wp:wsp>
              </a:graphicData>
            </a:graphic>
          </wp:inline>
        </w:drawing>
      </mc:Fallback>
    </mc:AlternateContent>
  </w:background>
  <w:body>
    <w:p w14:paraId="3FDA1A05" w14:textId="225E28EB" w:rsidR="00197429" w:rsidRDefault="00197429">
      <w:pPr>
        <w:spacing w:line="18pt" w:lineRule="auto"/>
        <w:jc w:val="center"/>
        <w:rPr>
          <w:smallCaps/>
        </w:rPr>
      </w:pPr>
    </w:p>
    <w:p w14:paraId="11547ADE" w14:textId="77777777" w:rsidR="00EF200B" w:rsidRDefault="00EF200B">
      <w:pPr>
        <w:spacing w:line="18pt" w:lineRule="auto"/>
        <w:jc w:val="center"/>
        <w:rPr>
          <w:smallCaps/>
        </w:rPr>
      </w:pPr>
    </w:p>
    <w:p w14:paraId="34F4E661" w14:textId="77777777" w:rsidR="00EA51C7" w:rsidRDefault="00EA51C7">
      <w:pPr>
        <w:spacing w:line="18pt" w:lineRule="auto"/>
        <w:jc w:val="center"/>
        <w:rPr>
          <w:smallCaps/>
        </w:rPr>
      </w:pPr>
    </w:p>
    <w:p w14:paraId="2D250B48" w14:textId="77777777" w:rsidR="00197429" w:rsidRDefault="00197429">
      <w:pPr>
        <w:spacing w:line="18pt" w:lineRule="auto"/>
        <w:jc w:val="center"/>
        <w:rPr>
          <w:smallCaps/>
        </w:rPr>
      </w:pPr>
    </w:p>
    <w:p w14:paraId="012E9E5B" w14:textId="77777777" w:rsidR="00197429" w:rsidRDefault="00E7181B">
      <w:pPr>
        <w:spacing w:line="18pt" w:lineRule="auto"/>
        <w:jc w:val="center"/>
      </w:pPr>
      <w:r>
        <w:rPr>
          <w:smallCaps/>
        </w:rPr>
        <w:t>UNIVERSIDADE FEDERAL DO RIO DE JANEIRO</w:t>
      </w:r>
    </w:p>
    <w:p w14:paraId="747DAA53" w14:textId="77777777" w:rsidR="00197429" w:rsidRDefault="00197429">
      <w:pPr>
        <w:spacing w:line="18pt" w:lineRule="auto"/>
        <w:jc w:val="center"/>
      </w:pPr>
    </w:p>
    <w:p w14:paraId="13FC24DF" w14:textId="77777777" w:rsidR="00197429" w:rsidRDefault="00197429">
      <w:pPr>
        <w:spacing w:line="18pt" w:lineRule="auto"/>
        <w:jc w:val="center"/>
      </w:pPr>
    </w:p>
    <w:p w14:paraId="4B1F419F" w14:textId="1834266A" w:rsidR="00197429" w:rsidRDefault="00E7181B">
      <w:pPr>
        <w:spacing w:line="18pt" w:lineRule="auto"/>
        <w:jc w:val="center"/>
      </w:pPr>
      <w:r>
        <w:rPr>
          <w:smallCaps/>
        </w:rPr>
        <w:t>PROJETO DE MESTRADO</w:t>
      </w:r>
      <w:r w:rsidR="00C34A28">
        <w:rPr>
          <w:smallCaps/>
        </w:rPr>
        <w:t xml:space="preserve"> PROFISSIONAL</w:t>
      </w:r>
    </w:p>
    <w:p w14:paraId="09255CF6" w14:textId="77777777" w:rsidR="00197429" w:rsidRDefault="00197429">
      <w:pPr>
        <w:spacing w:line="18pt" w:lineRule="auto"/>
      </w:pPr>
    </w:p>
    <w:p w14:paraId="796C07EE" w14:textId="77777777" w:rsidR="00197429" w:rsidRDefault="00197429">
      <w:pPr>
        <w:spacing w:line="18pt" w:lineRule="auto"/>
      </w:pPr>
    </w:p>
    <w:p w14:paraId="41BD4B4D" w14:textId="77777777" w:rsidR="008F6F7C" w:rsidRDefault="008F6F7C" w:rsidP="008F6F7C">
      <w:pPr>
        <w:spacing w:line="18pt" w:lineRule="auto"/>
        <w:jc w:val="center"/>
        <w:rPr>
          <w:b/>
          <w:color w:val="222222"/>
        </w:rPr>
      </w:pPr>
      <w:bookmarkStart w:id="0" w:name="_heading=h.gjdgxs" w:colFirst="0" w:colLast="0"/>
      <w:bookmarkStart w:id="1" w:name="_Hlk70589589"/>
      <w:bookmarkEnd w:id="0"/>
      <w:r>
        <w:rPr>
          <w:b/>
          <w:color w:val="222222"/>
        </w:rPr>
        <w:t xml:space="preserve">RECRUTAMENTO ALVEOLAR COM TITULAÇÃO DA PEEP NO PÓS-OPERATÓRIO IMEDIATO DE CIRURGIA CARDÍACA REDUZ COMPLICAÇÕES PULMONARES E É CAPAZ DE OTIMIZAR A </w:t>
      </w:r>
      <w:r>
        <w:rPr>
          <w:b/>
        </w:rPr>
        <w:t xml:space="preserve">CAPACIDADE FUNCIONAL DOS PACIENTES </w:t>
      </w:r>
      <w:r>
        <w:rPr>
          <w:b/>
          <w:color w:val="222222"/>
        </w:rPr>
        <w:t>NA ALTA HOSPITALAR?</w:t>
      </w:r>
    </w:p>
    <w:p w14:paraId="15FEAA28" w14:textId="77777777" w:rsidR="008F6F7C" w:rsidRDefault="008F6F7C" w:rsidP="008F6F7C">
      <w:pPr>
        <w:spacing w:line="18pt" w:lineRule="auto"/>
        <w:jc w:val="center"/>
        <w:rPr>
          <w:b/>
          <w:color w:val="222222"/>
        </w:rPr>
      </w:pPr>
      <w:r>
        <w:rPr>
          <w:b/>
          <w:color w:val="222222"/>
        </w:rPr>
        <w:t>UM ENSAIO CLÍNICO RANDOMIZADO CONTROLADO</w:t>
      </w:r>
      <w:bookmarkEnd w:id="1"/>
    </w:p>
    <w:p w14:paraId="00FE0993" w14:textId="77777777" w:rsidR="00197429" w:rsidRDefault="00197429">
      <w:pPr>
        <w:spacing w:line="18pt" w:lineRule="auto"/>
        <w:jc w:val="center"/>
        <w:rPr>
          <w:b/>
          <w:color w:val="222222"/>
        </w:rPr>
      </w:pPr>
    </w:p>
    <w:p w14:paraId="2CC1F970" w14:textId="77777777" w:rsidR="00197429" w:rsidRDefault="00E7181B">
      <w:pPr>
        <w:spacing w:line="18pt" w:lineRule="auto"/>
        <w:jc w:val="center"/>
      </w:pPr>
      <w:r>
        <w:t>NATÁLIA CORONEL DE LIMA LAGES</w:t>
      </w:r>
    </w:p>
    <w:p w14:paraId="288B0E88" w14:textId="77777777" w:rsidR="00197429" w:rsidRDefault="00197429">
      <w:pPr>
        <w:spacing w:line="18pt" w:lineRule="auto"/>
      </w:pPr>
    </w:p>
    <w:p w14:paraId="79B93DB9" w14:textId="77777777" w:rsidR="00197429" w:rsidRDefault="00197429">
      <w:pPr>
        <w:spacing w:line="18pt" w:lineRule="auto"/>
        <w:jc w:val="center"/>
      </w:pPr>
    </w:p>
    <w:p w14:paraId="5281E13F" w14:textId="77777777" w:rsidR="00197429" w:rsidRDefault="00E7181B">
      <w:pPr>
        <w:spacing w:line="18pt" w:lineRule="auto"/>
        <w:jc w:val="center"/>
      </w:pPr>
      <w:r>
        <w:t>MESTRADO PROFISSIONAL</w:t>
      </w:r>
    </w:p>
    <w:p w14:paraId="5BAB19DB" w14:textId="77777777" w:rsidR="00197429" w:rsidRDefault="00E7181B">
      <w:pPr>
        <w:spacing w:line="18pt" w:lineRule="auto"/>
        <w:jc w:val="center"/>
      </w:pPr>
      <w:r>
        <w:t>DE FORMAÇÃO PARA A PESQUISA BIOMÉDICA</w:t>
      </w:r>
    </w:p>
    <w:p w14:paraId="4E0BDCF2" w14:textId="77777777" w:rsidR="00197429" w:rsidRDefault="00E7181B">
      <w:pPr>
        <w:spacing w:line="18pt" w:lineRule="auto"/>
        <w:jc w:val="center"/>
      </w:pPr>
      <w:r>
        <w:t>INSTITUTO DE BIOFÍSICA CARLOS CHAGAS FILHO</w:t>
      </w:r>
    </w:p>
    <w:p w14:paraId="38280974" w14:textId="77777777" w:rsidR="00197429" w:rsidRDefault="00197429">
      <w:pPr>
        <w:spacing w:line="18pt" w:lineRule="auto"/>
        <w:jc w:val="center"/>
      </w:pPr>
    </w:p>
    <w:p w14:paraId="72FF834D" w14:textId="77777777" w:rsidR="00197429" w:rsidRDefault="00197429">
      <w:pPr>
        <w:spacing w:line="18pt" w:lineRule="auto"/>
        <w:jc w:val="start"/>
      </w:pPr>
    </w:p>
    <w:p w14:paraId="4F5D0AD9" w14:textId="77777777" w:rsidR="00197429" w:rsidRDefault="00E7181B">
      <w:pPr>
        <w:spacing w:line="18pt" w:lineRule="auto"/>
        <w:jc w:val="center"/>
        <w:rPr>
          <w:b/>
        </w:rPr>
      </w:pPr>
      <w:r>
        <w:rPr>
          <w:b/>
        </w:rPr>
        <w:t>Orientadores:</w:t>
      </w:r>
    </w:p>
    <w:p w14:paraId="3F75F3A2" w14:textId="7E9DE64E" w:rsidR="00197429" w:rsidRDefault="00E7181B">
      <w:pPr>
        <w:spacing w:line="18pt" w:lineRule="auto"/>
        <w:jc w:val="center"/>
      </w:pPr>
      <w:r>
        <w:t>Luciana Moisés Camilo, PhD</w:t>
      </w:r>
    </w:p>
    <w:p w14:paraId="0A993DF1" w14:textId="531DC684" w:rsidR="00D26A0F" w:rsidRDefault="00D26A0F">
      <w:pPr>
        <w:spacing w:line="18pt" w:lineRule="auto"/>
        <w:jc w:val="center"/>
      </w:pPr>
      <w:r>
        <w:t>Tiago Xavier, PhD</w:t>
      </w:r>
    </w:p>
    <w:p w14:paraId="3E3C6E25" w14:textId="1043DDF0" w:rsidR="00D26A0F" w:rsidRPr="00D26A0F" w:rsidRDefault="00D26A0F">
      <w:pPr>
        <w:spacing w:line="18pt" w:lineRule="auto"/>
        <w:jc w:val="center"/>
        <w:rPr>
          <w:b/>
          <w:bCs/>
        </w:rPr>
      </w:pPr>
      <w:r w:rsidRPr="00D26A0F">
        <w:rPr>
          <w:b/>
          <w:bCs/>
        </w:rPr>
        <w:t>Coorientadora:</w:t>
      </w:r>
    </w:p>
    <w:p w14:paraId="2B106EA9" w14:textId="77777777" w:rsidR="00197429" w:rsidRDefault="00E7181B">
      <w:pPr>
        <w:spacing w:line="18pt" w:lineRule="auto"/>
        <w:jc w:val="center"/>
      </w:pPr>
      <w:r>
        <w:t>Mariana Barcellos de Avila, PhD</w:t>
      </w:r>
    </w:p>
    <w:p w14:paraId="307216F2" w14:textId="77777777" w:rsidR="00197429" w:rsidRDefault="00197429">
      <w:pPr>
        <w:spacing w:line="18pt" w:lineRule="auto"/>
        <w:jc w:val="center"/>
      </w:pPr>
    </w:p>
    <w:p w14:paraId="23E71BAE" w14:textId="77777777" w:rsidR="00197429" w:rsidRDefault="00197429">
      <w:pPr>
        <w:spacing w:line="18pt" w:lineRule="auto"/>
        <w:jc w:val="center"/>
      </w:pPr>
    </w:p>
    <w:p w14:paraId="741DACE9" w14:textId="77777777" w:rsidR="00197429" w:rsidRDefault="00E7181B">
      <w:pPr>
        <w:spacing w:line="18pt" w:lineRule="auto"/>
        <w:jc w:val="center"/>
      </w:pPr>
      <w:r>
        <w:t>Rio de Janeiro</w:t>
      </w:r>
    </w:p>
    <w:p w14:paraId="317F6A85" w14:textId="77777777" w:rsidR="00197429" w:rsidRDefault="00E7181B">
      <w:pPr>
        <w:spacing w:line="18pt" w:lineRule="auto"/>
        <w:rPr>
          <w:b/>
          <w:sz w:val="28"/>
          <w:szCs w:val="28"/>
        </w:rPr>
      </w:pPr>
      <w:r>
        <w:br w:type="page"/>
      </w:r>
    </w:p>
    <w:p w14:paraId="00263E2C" w14:textId="77777777" w:rsidR="00197429" w:rsidRDefault="00E7181B">
      <w:pPr>
        <w:spacing w:line="18pt" w:lineRule="auto"/>
        <w:jc w:val="center"/>
        <w:rPr>
          <w:b/>
          <w:sz w:val="28"/>
          <w:szCs w:val="28"/>
        </w:rPr>
      </w:pPr>
      <w:r>
        <w:rPr>
          <w:b/>
          <w:sz w:val="28"/>
          <w:szCs w:val="28"/>
        </w:rPr>
        <w:lastRenderedPageBreak/>
        <w:t>Resumo</w:t>
      </w:r>
    </w:p>
    <w:p w14:paraId="562BC6E5" w14:textId="77777777" w:rsidR="00197429" w:rsidRDefault="00197429">
      <w:pPr>
        <w:spacing w:line="18pt" w:lineRule="auto"/>
        <w:jc w:val="center"/>
        <w:rPr>
          <w:b/>
          <w:sz w:val="28"/>
          <w:szCs w:val="28"/>
        </w:rPr>
      </w:pPr>
    </w:p>
    <w:p w14:paraId="687A1FC6" w14:textId="65B599C5" w:rsidR="00197429" w:rsidRDefault="00E7181B">
      <w:pPr>
        <w:spacing w:line="18pt" w:lineRule="auto"/>
        <w:rPr>
          <w:sz w:val="28"/>
          <w:szCs w:val="28"/>
        </w:rPr>
      </w:pPr>
      <w:bookmarkStart w:id="2" w:name="_heading=h.30j0zll" w:colFirst="0" w:colLast="0"/>
      <w:bookmarkEnd w:id="2"/>
      <w:r>
        <w:rPr>
          <w:b/>
          <w:sz w:val="28"/>
          <w:szCs w:val="28"/>
        </w:rPr>
        <w:t>Fundamento:</w:t>
      </w:r>
      <w:r>
        <w:rPr>
          <w:sz w:val="28"/>
          <w:szCs w:val="28"/>
        </w:rPr>
        <w:t xml:space="preserve"> Não há consenso sobre quais estratégias de proteção pulmonar devem ser utilizadas em pacientes no pós-operatório imediato (POi) de cirurgia cardíaca e seu impacto sobre a incidência das complicações pulmonares pós-operatórias (CPPs) e sobre a capacidade funcional dos pacientes da alta da Unidade de Terapia Intensiva (UTI). </w:t>
      </w:r>
      <w:r w:rsidR="00CF3611">
        <w:rPr>
          <w:sz w:val="28"/>
          <w:szCs w:val="28"/>
        </w:rPr>
        <w:t xml:space="preserve">O objetivo principal para o Mestrado Profissional de formação para a  Pesquisa Biomédica, é a avaliação da implementação de um novo protocolo para a ventilação mecânica (VM) no POi de cirurgia cardíaca do Hospital Universitário Pedro Ernesto (HUPE), com a finalidade de reduzir as CPPs. </w:t>
      </w:r>
      <w:r>
        <w:rPr>
          <w:sz w:val="28"/>
          <w:szCs w:val="28"/>
        </w:rPr>
        <w:t xml:space="preserve">Como objetivos secundários avaliaremos se esta estratégia é capaz de promover </w:t>
      </w:r>
      <w:r w:rsidR="00C6646D">
        <w:rPr>
          <w:sz w:val="28"/>
          <w:szCs w:val="28"/>
        </w:rPr>
        <w:t xml:space="preserve">melhor performance dos pacientes no TC6M </w:t>
      </w:r>
      <w:r>
        <w:rPr>
          <w:sz w:val="28"/>
          <w:szCs w:val="28"/>
        </w:rPr>
        <w:t xml:space="preserve">e </w:t>
      </w:r>
      <w:r w:rsidR="00CF3611">
        <w:rPr>
          <w:sz w:val="28"/>
          <w:szCs w:val="28"/>
        </w:rPr>
        <w:t>redução</w:t>
      </w:r>
      <w:r>
        <w:rPr>
          <w:sz w:val="28"/>
          <w:szCs w:val="28"/>
        </w:rPr>
        <w:t xml:space="preserve"> no tempo de </w:t>
      </w:r>
      <w:r w:rsidR="00CF3611">
        <w:rPr>
          <w:sz w:val="28"/>
          <w:szCs w:val="28"/>
        </w:rPr>
        <w:t>internação na Unidade de Terapia Intensiva Cardiocirúrgica (UCC).</w:t>
      </w:r>
    </w:p>
    <w:p w14:paraId="3021DC54" w14:textId="58DFDA27" w:rsidR="00197429" w:rsidRDefault="00E7181B">
      <w:pPr>
        <w:spacing w:line="18pt" w:lineRule="auto"/>
        <w:ind w:firstLine="36pt"/>
        <w:rPr>
          <w:sz w:val="28"/>
          <w:szCs w:val="28"/>
        </w:rPr>
      </w:pPr>
      <w:r>
        <w:rPr>
          <w:sz w:val="28"/>
          <w:szCs w:val="28"/>
        </w:rPr>
        <w:t>A implementação de uma rotina se faz necessária para a padronização do processo que envolve a estratégia ventilatória destes pacientes, visando facilitar a comunicação e a compreensão da equipe a respeito das variáveis que compõe este processo. Desta forma,</w:t>
      </w:r>
      <w:r w:rsidR="006E0D8E">
        <w:rPr>
          <w:sz w:val="28"/>
          <w:szCs w:val="28"/>
        </w:rPr>
        <w:t xml:space="preserve"> </w:t>
      </w:r>
      <w:r>
        <w:rPr>
          <w:sz w:val="28"/>
          <w:szCs w:val="28"/>
        </w:rPr>
        <w:t>é possível identificar as oportunidades de melhoria para desfechos mais favoráveis.</w:t>
      </w:r>
    </w:p>
    <w:p w14:paraId="1E0E3D7D" w14:textId="422DB866" w:rsidR="00197429" w:rsidRDefault="00E7181B" w:rsidP="003E4C16">
      <w:pPr>
        <w:spacing w:line="18pt" w:lineRule="auto"/>
        <w:rPr>
          <w:sz w:val="28"/>
          <w:szCs w:val="28"/>
        </w:rPr>
      </w:pPr>
      <w:r>
        <w:rPr>
          <w:b/>
          <w:sz w:val="28"/>
          <w:szCs w:val="28"/>
        </w:rPr>
        <w:t>Desenho e Métodos:</w:t>
      </w:r>
      <w:r>
        <w:rPr>
          <w:sz w:val="28"/>
          <w:szCs w:val="28"/>
        </w:rPr>
        <w:t xml:space="preserve"> Trata-se de um ensaio clínico prospectivo randomizado, aleatorizado e controlado onde serão inseridos pacientes em </w:t>
      </w:r>
      <w:r w:rsidR="00C626E1">
        <w:rPr>
          <w:sz w:val="28"/>
          <w:szCs w:val="28"/>
        </w:rPr>
        <w:t>pós-operatório</w:t>
      </w:r>
      <w:r>
        <w:rPr>
          <w:sz w:val="28"/>
          <w:szCs w:val="28"/>
        </w:rPr>
        <w:t xml:space="preserve"> de cirurgia cardíaca eletiva com uso planejado de CEC. Os pacientes serão ventilados com uma estratégia protetora convencional no POi e </w:t>
      </w:r>
      <w:r w:rsidR="00244BD9">
        <w:rPr>
          <w:sz w:val="28"/>
          <w:szCs w:val="28"/>
        </w:rPr>
        <w:t>até</w:t>
      </w:r>
      <w:r>
        <w:rPr>
          <w:sz w:val="28"/>
          <w:szCs w:val="28"/>
        </w:rPr>
        <w:t xml:space="preserve"> período de estabilização. Em seguida, os pacientes serão randomizados em dois grupos:</w:t>
      </w:r>
      <w:r>
        <w:t xml:space="preserve"> </w:t>
      </w:r>
      <w:r>
        <w:rPr>
          <w:sz w:val="28"/>
          <w:szCs w:val="28"/>
        </w:rPr>
        <w:t xml:space="preserve">Controle (GC) e Intervenção (GI). </w:t>
      </w:r>
      <w:bookmarkStart w:id="3" w:name="_Hlk79062648"/>
      <w:r>
        <w:rPr>
          <w:sz w:val="28"/>
          <w:szCs w:val="28"/>
        </w:rPr>
        <w:t xml:space="preserve">O GC </w:t>
      </w:r>
      <w:r w:rsidR="00244BD9">
        <w:rPr>
          <w:sz w:val="28"/>
          <w:szCs w:val="28"/>
        </w:rPr>
        <w:t>terá</w:t>
      </w:r>
      <w:r w:rsidR="000A5B96">
        <w:rPr>
          <w:sz w:val="28"/>
          <w:szCs w:val="28"/>
        </w:rPr>
        <w:t xml:space="preserve"> a</w:t>
      </w:r>
      <w:r w:rsidR="00486E02">
        <w:rPr>
          <w:sz w:val="28"/>
          <w:szCs w:val="28"/>
        </w:rPr>
        <w:t xml:space="preserve"> </w:t>
      </w:r>
      <w:r w:rsidR="000A5B96">
        <w:rPr>
          <w:sz w:val="28"/>
          <w:szCs w:val="28"/>
        </w:rPr>
        <w:t xml:space="preserve">PEEP </w:t>
      </w:r>
      <w:r w:rsidR="00244BD9">
        <w:rPr>
          <w:sz w:val="28"/>
          <w:szCs w:val="28"/>
        </w:rPr>
        <w:t xml:space="preserve">será </w:t>
      </w:r>
      <w:r w:rsidR="000A5B96">
        <w:rPr>
          <w:sz w:val="28"/>
          <w:szCs w:val="28"/>
        </w:rPr>
        <w:t>elevada para 10 cmH</w:t>
      </w:r>
      <w:r w:rsidR="000A5B96">
        <w:rPr>
          <w:sz w:val="28"/>
          <w:szCs w:val="28"/>
          <w:vertAlign w:val="subscript"/>
        </w:rPr>
        <w:t>2</w:t>
      </w:r>
      <w:r w:rsidR="000A5B96">
        <w:rPr>
          <w:sz w:val="28"/>
          <w:szCs w:val="28"/>
        </w:rPr>
        <w:t>O</w:t>
      </w:r>
      <w:r w:rsidR="00486E02">
        <w:rPr>
          <w:sz w:val="28"/>
          <w:szCs w:val="28"/>
        </w:rPr>
        <w:t>.</w:t>
      </w:r>
      <w:r w:rsidR="00244BD9">
        <w:rPr>
          <w:sz w:val="28"/>
          <w:szCs w:val="28"/>
        </w:rPr>
        <w:t xml:space="preserve"> Após </w:t>
      </w:r>
      <w:r w:rsidR="00B97C8C">
        <w:rPr>
          <w:sz w:val="28"/>
          <w:szCs w:val="28"/>
        </w:rPr>
        <w:t>5</w:t>
      </w:r>
      <w:r w:rsidR="00244BD9">
        <w:rPr>
          <w:sz w:val="28"/>
          <w:szCs w:val="28"/>
        </w:rPr>
        <w:t xml:space="preserve"> min serão coletadas as variáveis de mecânica pulmonar e gasometria</w:t>
      </w:r>
      <w:r w:rsidR="00B97C8C">
        <w:rPr>
          <w:sz w:val="28"/>
          <w:szCs w:val="28"/>
        </w:rPr>
        <w:t xml:space="preserve"> arterial</w:t>
      </w:r>
      <w:r w:rsidR="00244BD9">
        <w:rPr>
          <w:sz w:val="28"/>
          <w:szCs w:val="28"/>
        </w:rPr>
        <w:t>.</w:t>
      </w:r>
      <w:bookmarkEnd w:id="3"/>
      <w:r w:rsidR="00244BD9">
        <w:rPr>
          <w:sz w:val="28"/>
          <w:szCs w:val="28"/>
        </w:rPr>
        <w:t xml:space="preserve"> </w:t>
      </w:r>
      <w:r w:rsidR="00486E02">
        <w:rPr>
          <w:sz w:val="28"/>
          <w:szCs w:val="28"/>
        </w:rPr>
        <w:t xml:space="preserve"> Esta PEEP </w:t>
      </w:r>
      <w:r w:rsidR="000A5B96">
        <w:rPr>
          <w:sz w:val="28"/>
          <w:szCs w:val="28"/>
        </w:rPr>
        <w:t>será mantida até o teste de respiração espontânea (T</w:t>
      </w:r>
      <w:r w:rsidR="00486E02">
        <w:rPr>
          <w:sz w:val="28"/>
          <w:szCs w:val="28"/>
        </w:rPr>
        <w:t>RE</w:t>
      </w:r>
      <w:r w:rsidR="000A5B96">
        <w:rPr>
          <w:sz w:val="28"/>
          <w:szCs w:val="28"/>
        </w:rPr>
        <w:t>). O</w:t>
      </w:r>
      <w:r>
        <w:t xml:space="preserve"> </w:t>
      </w:r>
      <w:r>
        <w:rPr>
          <w:sz w:val="28"/>
          <w:szCs w:val="28"/>
        </w:rPr>
        <w:t>GI será submetido a uma manobra de recrutamento alveolar máximo utilizando uma PEEP de 35 cmH</w:t>
      </w:r>
      <w:r>
        <w:rPr>
          <w:sz w:val="28"/>
          <w:szCs w:val="28"/>
          <w:vertAlign w:val="subscript"/>
        </w:rPr>
        <w:t>2</w:t>
      </w:r>
      <w:r>
        <w:rPr>
          <w:sz w:val="28"/>
          <w:szCs w:val="28"/>
        </w:rPr>
        <w:t xml:space="preserve">O e um </w:t>
      </w:r>
      <w:r>
        <w:rPr>
          <w:sz w:val="28"/>
          <w:szCs w:val="28"/>
        </w:rPr>
        <w:lastRenderedPageBreak/>
        <w:t>delta de pressão controlada (PC) de 15 cmH</w:t>
      </w:r>
      <w:r>
        <w:rPr>
          <w:sz w:val="28"/>
          <w:szCs w:val="28"/>
          <w:vertAlign w:val="subscript"/>
        </w:rPr>
        <w:t>2</w:t>
      </w:r>
      <w:r>
        <w:rPr>
          <w:sz w:val="28"/>
          <w:szCs w:val="28"/>
        </w:rPr>
        <w:t>O, atingindo uma pressão inspiratória (Pins) de 50 cmH</w:t>
      </w:r>
      <w:r>
        <w:rPr>
          <w:sz w:val="28"/>
          <w:szCs w:val="28"/>
          <w:vertAlign w:val="subscript"/>
        </w:rPr>
        <w:t>2</w:t>
      </w:r>
      <w:r>
        <w:rPr>
          <w:sz w:val="28"/>
          <w:szCs w:val="28"/>
        </w:rPr>
        <w:t xml:space="preserve">O, em seguida será realizada a titulação decremental da PEEP. </w:t>
      </w:r>
      <w:r w:rsidR="00244BD9">
        <w:rPr>
          <w:sz w:val="28"/>
          <w:szCs w:val="28"/>
        </w:rPr>
        <w:t xml:space="preserve">Após </w:t>
      </w:r>
      <w:r w:rsidR="00B97C8C">
        <w:rPr>
          <w:sz w:val="28"/>
          <w:szCs w:val="28"/>
        </w:rPr>
        <w:t>5</w:t>
      </w:r>
      <w:r w:rsidR="00244BD9">
        <w:rPr>
          <w:sz w:val="28"/>
          <w:szCs w:val="28"/>
        </w:rPr>
        <w:t xml:space="preserve"> min serão coletadas as </w:t>
      </w:r>
      <w:r w:rsidR="00363742">
        <w:rPr>
          <w:sz w:val="28"/>
          <w:szCs w:val="28"/>
        </w:rPr>
        <w:t xml:space="preserve">variáveis de mecânica pulmonar e </w:t>
      </w:r>
      <w:r w:rsidR="00244BD9">
        <w:rPr>
          <w:sz w:val="28"/>
          <w:szCs w:val="28"/>
        </w:rPr>
        <w:t xml:space="preserve">gasometria arterial. </w:t>
      </w:r>
      <w:r>
        <w:rPr>
          <w:sz w:val="28"/>
          <w:szCs w:val="28"/>
        </w:rPr>
        <w:t>A PEEP escolhida será mantida até o TRE. Será realizada uma análise estatística comparativa entre os grupos quanto a incidência de CPPs</w:t>
      </w:r>
      <w:r w:rsidR="00CF3611">
        <w:rPr>
          <w:sz w:val="28"/>
          <w:szCs w:val="28"/>
        </w:rPr>
        <w:t xml:space="preserve">. </w:t>
      </w:r>
      <w:r>
        <w:rPr>
          <w:sz w:val="28"/>
          <w:szCs w:val="28"/>
        </w:rPr>
        <w:t>Analisaremos, ainda,</w:t>
      </w:r>
      <w:r w:rsidR="00C6646D">
        <w:rPr>
          <w:sz w:val="28"/>
          <w:szCs w:val="28"/>
        </w:rPr>
        <w:t xml:space="preserve"> a performance dos pacientes no TC6M e</w:t>
      </w:r>
      <w:r>
        <w:rPr>
          <w:sz w:val="28"/>
          <w:szCs w:val="28"/>
        </w:rPr>
        <w:t xml:space="preserve"> o tempo de </w:t>
      </w:r>
      <w:r w:rsidR="00CF3611">
        <w:rPr>
          <w:sz w:val="28"/>
          <w:szCs w:val="28"/>
        </w:rPr>
        <w:t>permanência na UTI</w:t>
      </w:r>
      <w:r>
        <w:rPr>
          <w:sz w:val="28"/>
          <w:szCs w:val="28"/>
        </w:rPr>
        <w:t>.</w:t>
      </w:r>
    </w:p>
    <w:p w14:paraId="23599604" w14:textId="70927B11" w:rsidR="00197429" w:rsidRDefault="00E7181B" w:rsidP="003E4C16">
      <w:pPr>
        <w:spacing w:line="18pt" w:lineRule="auto"/>
        <w:rPr>
          <w:sz w:val="28"/>
          <w:szCs w:val="28"/>
        </w:rPr>
      </w:pPr>
      <w:r>
        <w:rPr>
          <w:b/>
          <w:sz w:val="28"/>
          <w:szCs w:val="28"/>
        </w:rPr>
        <w:t>Descritores:</w:t>
      </w:r>
      <w:r>
        <w:rPr>
          <w:sz w:val="28"/>
          <w:szCs w:val="28"/>
        </w:rPr>
        <w:t xml:space="preserve"> Ventilação mecânica, by-pass cardiopulmonar, manobra de recrutamento, titulação de PEEP, complicações pulmonares pós-operatórias</w:t>
      </w:r>
      <w:r w:rsidR="00C6646D">
        <w:rPr>
          <w:sz w:val="28"/>
          <w:szCs w:val="28"/>
        </w:rPr>
        <w:t>; teste de caminhada de 6 minutos</w:t>
      </w:r>
      <w:r>
        <w:rPr>
          <w:sz w:val="28"/>
          <w:szCs w:val="28"/>
        </w:rPr>
        <w:t>.</w:t>
      </w:r>
      <w:r>
        <w:br w:type="page"/>
      </w:r>
    </w:p>
    <w:p w14:paraId="3EDCD45F" w14:textId="77777777" w:rsidR="00197429" w:rsidRDefault="00E7181B">
      <w:pPr>
        <w:keepNext/>
        <w:keepLines/>
        <w:pBdr>
          <w:top w:val="nil"/>
          <w:left w:val="nil"/>
          <w:bottom w:val="nil"/>
          <w:right w:val="nil"/>
          <w:between w:val="nil"/>
        </w:pBdr>
        <w:spacing w:before="12pt" w:line="12.95pt" w:lineRule="auto"/>
        <w:ind w:start="18pt" w:hanging="18pt"/>
        <w:jc w:val="center"/>
        <w:rPr>
          <w:b/>
          <w:sz w:val="32"/>
          <w:szCs w:val="32"/>
        </w:rPr>
      </w:pPr>
      <w:r>
        <w:rPr>
          <w:b/>
          <w:sz w:val="32"/>
          <w:szCs w:val="32"/>
        </w:rPr>
        <w:lastRenderedPageBreak/>
        <w:t>Sumário</w:t>
      </w:r>
    </w:p>
    <w:p w14:paraId="38CC0DD7" w14:textId="77777777" w:rsidR="00197429" w:rsidRDefault="00197429"/>
    <w:sdt>
      <w:sdtPr>
        <w:id w:val="866487458"/>
        <w:docPartObj>
          <w:docPartGallery w:val="Table of Contents"/>
          <w:docPartUnique/>
        </w:docPartObj>
      </w:sdtPr>
      <w:sdtEndPr/>
      <w:sdtContent>
        <w:p w14:paraId="69D760A3" w14:textId="66C61238" w:rsidR="00096CF3" w:rsidRDefault="00E7181B">
          <w:pPr>
            <w:pStyle w:val="Sumrio1"/>
            <w:tabs>
              <w:tab w:val="start" w:pos="24pt"/>
              <w:tab w:val="end" w:pos="424.70pt"/>
            </w:tabs>
            <w:rPr>
              <w:rFonts w:asciiTheme="minorHAnsi" w:eastAsiaTheme="minorEastAsia" w:hAnsiTheme="minorHAnsi" w:cstheme="minorBidi"/>
              <w:noProof/>
              <w:color w:val="auto"/>
              <w:sz w:val="22"/>
              <w:szCs w:val="22"/>
            </w:rPr>
          </w:pPr>
          <w:r>
            <w:fldChar w:fldCharType="begin"/>
          </w:r>
          <w:r>
            <w:instrText xml:space="preserve"> TOC \h \u \z </w:instrText>
          </w:r>
          <w:r>
            <w:fldChar w:fldCharType="separate"/>
          </w:r>
          <w:hyperlink w:anchor="_Toc81581086" w:history="1">
            <w:r w:rsidR="00096CF3" w:rsidRPr="006A159E">
              <w:rPr>
                <w:rStyle w:val="Hyperlink"/>
                <w:noProof/>
              </w:rPr>
              <w:t>1.</w:t>
            </w:r>
            <w:r w:rsidR="00096CF3">
              <w:rPr>
                <w:rFonts w:asciiTheme="minorHAnsi" w:eastAsiaTheme="minorEastAsia" w:hAnsiTheme="minorHAnsi" w:cstheme="minorBidi"/>
                <w:noProof/>
                <w:color w:val="auto"/>
                <w:sz w:val="22"/>
                <w:szCs w:val="22"/>
              </w:rPr>
              <w:tab/>
            </w:r>
            <w:r w:rsidR="00096CF3" w:rsidRPr="006A159E">
              <w:rPr>
                <w:rStyle w:val="Hyperlink"/>
                <w:noProof/>
              </w:rPr>
              <w:t>Introdução</w:t>
            </w:r>
            <w:r w:rsidR="00096CF3">
              <w:rPr>
                <w:noProof/>
                <w:webHidden/>
              </w:rPr>
              <w:tab/>
            </w:r>
            <w:r w:rsidR="00096CF3">
              <w:rPr>
                <w:noProof/>
                <w:webHidden/>
              </w:rPr>
              <w:fldChar w:fldCharType="begin"/>
            </w:r>
            <w:r w:rsidR="00096CF3">
              <w:rPr>
                <w:noProof/>
                <w:webHidden/>
              </w:rPr>
              <w:instrText xml:space="preserve"> PAGEREF _Toc81581086 \h </w:instrText>
            </w:r>
            <w:r w:rsidR="00096CF3">
              <w:rPr>
                <w:noProof/>
                <w:webHidden/>
              </w:rPr>
            </w:r>
            <w:r w:rsidR="00096CF3">
              <w:rPr>
                <w:noProof/>
                <w:webHidden/>
              </w:rPr>
              <w:fldChar w:fldCharType="separate"/>
            </w:r>
            <w:r w:rsidR="00207418">
              <w:rPr>
                <w:noProof/>
                <w:webHidden/>
              </w:rPr>
              <w:t>5</w:t>
            </w:r>
            <w:r w:rsidR="00096CF3">
              <w:rPr>
                <w:noProof/>
                <w:webHidden/>
              </w:rPr>
              <w:fldChar w:fldCharType="end"/>
            </w:r>
          </w:hyperlink>
        </w:p>
        <w:p w14:paraId="06A335E5" w14:textId="4F5B2365" w:rsidR="00096CF3" w:rsidRDefault="00113A6E">
          <w:pPr>
            <w:pStyle w:val="Sumrio2"/>
            <w:tabs>
              <w:tab w:val="end" w:pos="424.70pt"/>
            </w:tabs>
            <w:rPr>
              <w:rFonts w:asciiTheme="minorHAnsi" w:eastAsiaTheme="minorEastAsia" w:hAnsiTheme="minorHAnsi" w:cstheme="minorBidi"/>
              <w:noProof/>
              <w:color w:val="auto"/>
              <w:sz w:val="22"/>
              <w:szCs w:val="22"/>
            </w:rPr>
          </w:pPr>
          <w:hyperlink w:anchor="_Toc81581087" w:history="1">
            <w:r w:rsidR="00096CF3" w:rsidRPr="006A159E">
              <w:rPr>
                <w:rStyle w:val="Hyperlink"/>
                <w:noProof/>
              </w:rPr>
              <w:t>1.1. Justificativa</w:t>
            </w:r>
            <w:r w:rsidR="00096CF3">
              <w:rPr>
                <w:noProof/>
                <w:webHidden/>
              </w:rPr>
              <w:tab/>
            </w:r>
            <w:r w:rsidR="00096CF3">
              <w:rPr>
                <w:noProof/>
                <w:webHidden/>
              </w:rPr>
              <w:fldChar w:fldCharType="begin"/>
            </w:r>
            <w:r w:rsidR="00096CF3">
              <w:rPr>
                <w:noProof/>
                <w:webHidden/>
              </w:rPr>
              <w:instrText xml:space="preserve"> PAGEREF _Toc81581087 \h </w:instrText>
            </w:r>
            <w:r w:rsidR="00096CF3">
              <w:rPr>
                <w:noProof/>
                <w:webHidden/>
              </w:rPr>
            </w:r>
            <w:r w:rsidR="00096CF3">
              <w:rPr>
                <w:noProof/>
                <w:webHidden/>
              </w:rPr>
              <w:fldChar w:fldCharType="separate"/>
            </w:r>
            <w:r w:rsidR="00207418">
              <w:rPr>
                <w:noProof/>
                <w:webHidden/>
              </w:rPr>
              <w:t>7</w:t>
            </w:r>
            <w:r w:rsidR="00096CF3">
              <w:rPr>
                <w:noProof/>
                <w:webHidden/>
              </w:rPr>
              <w:fldChar w:fldCharType="end"/>
            </w:r>
          </w:hyperlink>
        </w:p>
        <w:p w14:paraId="3E573C27" w14:textId="393FCED1" w:rsidR="00096CF3" w:rsidRDefault="00113A6E">
          <w:pPr>
            <w:pStyle w:val="Sumrio2"/>
            <w:tabs>
              <w:tab w:val="end" w:pos="424.70pt"/>
            </w:tabs>
            <w:rPr>
              <w:rFonts w:asciiTheme="minorHAnsi" w:eastAsiaTheme="minorEastAsia" w:hAnsiTheme="minorHAnsi" w:cstheme="minorBidi"/>
              <w:noProof/>
              <w:color w:val="auto"/>
              <w:sz w:val="22"/>
              <w:szCs w:val="22"/>
            </w:rPr>
          </w:pPr>
          <w:hyperlink w:anchor="_Toc81581088" w:history="1">
            <w:r w:rsidR="00096CF3" w:rsidRPr="006A159E">
              <w:rPr>
                <w:rStyle w:val="Hyperlink"/>
                <w:noProof/>
              </w:rPr>
              <w:t>1.2. Objetivos</w:t>
            </w:r>
            <w:r w:rsidR="00096CF3">
              <w:rPr>
                <w:noProof/>
                <w:webHidden/>
              </w:rPr>
              <w:tab/>
            </w:r>
            <w:r w:rsidR="00096CF3">
              <w:rPr>
                <w:noProof/>
                <w:webHidden/>
              </w:rPr>
              <w:fldChar w:fldCharType="begin"/>
            </w:r>
            <w:r w:rsidR="00096CF3">
              <w:rPr>
                <w:noProof/>
                <w:webHidden/>
              </w:rPr>
              <w:instrText xml:space="preserve"> PAGEREF _Toc81581088 \h </w:instrText>
            </w:r>
            <w:r w:rsidR="00096CF3">
              <w:rPr>
                <w:noProof/>
                <w:webHidden/>
              </w:rPr>
            </w:r>
            <w:r w:rsidR="00096CF3">
              <w:rPr>
                <w:noProof/>
                <w:webHidden/>
              </w:rPr>
              <w:fldChar w:fldCharType="separate"/>
            </w:r>
            <w:r w:rsidR="00207418">
              <w:rPr>
                <w:noProof/>
                <w:webHidden/>
              </w:rPr>
              <w:t>11</w:t>
            </w:r>
            <w:r w:rsidR="00096CF3">
              <w:rPr>
                <w:noProof/>
                <w:webHidden/>
              </w:rPr>
              <w:fldChar w:fldCharType="end"/>
            </w:r>
          </w:hyperlink>
        </w:p>
        <w:p w14:paraId="33AB7338" w14:textId="185A925E" w:rsidR="00096CF3" w:rsidRDefault="00113A6E">
          <w:pPr>
            <w:pStyle w:val="Sumrio3"/>
            <w:tabs>
              <w:tab w:val="end" w:pos="424.70pt"/>
            </w:tabs>
            <w:rPr>
              <w:rFonts w:asciiTheme="minorHAnsi" w:eastAsiaTheme="minorEastAsia" w:hAnsiTheme="minorHAnsi" w:cstheme="minorBidi"/>
              <w:noProof/>
              <w:color w:val="auto"/>
              <w:sz w:val="22"/>
              <w:szCs w:val="22"/>
            </w:rPr>
          </w:pPr>
          <w:hyperlink w:anchor="_Toc81581089" w:history="1">
            <w:r w:rsidR="00096CF3" w:rsidRPr="006A159E">
              <w:rPr>
                <w:rStyle w:val="Hyperlink"/>
                <w:noProof/>
              </w:rPr>
              <w:t>1.2.1. Objetivos Específicos</w:t>
            </w:r>
            <w:r w:rsidR="00096CF3">
              <w:rPr>
                <w:noProof/>
                <w:webHidden/>
              </w:rPr>
              <w:tab/>
            </w:r>
            <w:r w:rsidR="00096CF3">
              <w:rPr>
                <w:noProof/>
                <w:webHidden/>
              </w:rPr>
              <w:fldChar w:fldCharType="begin"/>
            </w:r>
            <w:r w:rsidR="00096CF3">
              <w:rPr>
                <w:noProof/>
                <w:webHidden/>
              </w:rPr>
              <w:instrText xml:space="preserve"> PAGEREF _Toc81581089 \h </w:instrText>
            </w:r>
            <w:r w:rsidR="00096CF3">
              <w:rPr>
                <w:noProof/>
                <w:webHidden/>
              </w:rPr>
            </w:r>
            <w:r w:rsidR="00096CF3">
              <w:rPr>
                <w:noProof/>
                <w:webHidden/>
              </w:rPr>
              <w:fldChar w:fldCharType="separate"/>
            </w:r>
            <w:r w:rsidR="00207418">
              <w:rPr>
                <w:noProof/>
                <w:webHidden/>
              </w:rPr>
              <w:t>11</w:t>
            </w:r>
            <w:r w:rsidR="00096CF3">
              <w:rPr>
                <w:noProof/>
                <w:webHidden/>
              </w:rPr>
              <w:fldChar w:fldCharType="end"/>
            </w:r>
          </w:hyperlink>
        </w:p>
        <w:p w14:paraId="536FF705" w14:textId="4B56B982" w:rsidR="00096CF3" w:rsidRDefault="00113A6E">
          <w:pPr>
            <w:pStyle w:val="Sumrio1"/>
            <w:tabs>
              <w:tab w:val="start" w:pos="24pt"/>
              <w:tab w:val="end" w:pos="424.70pt"/>
            </w:tabs>
            <w:rPr>
              <w:rFonts w:asciiTheme="minorHAnsi" w:eastAsiaTheme="minorEastAsia" w:hAnsiTheme="minorHAnsi" w:cstheme="minorBidi"/>
              <w:noProof/>
              <w:color w:val="auto"/>
              <w:sz w:val="22"/>
              <w:szCs w:val="22"/>
            </w:rPr>
          </w:pPr>
          <w:hyperlink w:anchor="_Toc81581090" w:history="1">
            <w:r w:rsidR="00096CF3" w:rsidRPr="006A159E">
              <w:rPr>
                <w:rStyle w:val="Hyperlink"/>
                <w:noProof/>
              </w:rPr>
              <w:t>2.</w:t>
            </w:r>
            <w:r w:rsidR="00096CF3">
              <w:rPr>
                <w:rFonts w:asciiTheme="minorHAnsi" w:eastAsiaTheme="minorEastAsia" w:hAnsiTheme="minorHAnsi" w:cstheme="minorBidi"/>
                <w:noProof/>
                <w:color w:val="auto"/>
                <w:sz w:val="22"/>
                <w:szCs w:val="22"/>
              </w:rPr>
              <w:tab/>
            </w:r>
            <w:r w:rsidR="00096CF3" w:rsidRPr="006A159E">
              <w:rPr>
                <w:rStyle w:val="Hyperlink"/>
                <w:noProof/>
              </w:rPr>
              <w:t>Materiais e Métodos</w:t>
            </w:r>
            <w:r w:rsidR="00096CF3">
              <w:rPr>
                <w:noProof/>
                <w:webHidden/>
              </w:rPr>
              <w:tab/>
            </w:r>
            <w:r w:rsidR="00096CF3">
              <w:rPr>
                <w:noProof/>
                <w:webHidden/>
              </w:rPr>
              <w:fldChar w:fldCharType="begin"/>
            </w:r>
            <w:r w:rsidR="00096CF3">
              <w:rPr>
                <w:noProof/>
                <w:webHidden/>
              </w:rPr>
              <w:instrText xml:space="preserve"> PAGEREF _Toc81581090 \h </w:instrText>
            </w:r>
            <w:r w:rsidR="00096CF3">
              <w:rPr>
                <w:noProof/>
                <w:webHidden/>
              </w:rPr>
            </w:r>
            <w:r w:rsidR="00096CF3">
              <w:rPr>
                <w:noProof/>
                <w:webHidden/>
              </w:rPr>
              <w:fldChar w:fldCharType="separate"/>
            </w:r>
            <w:r w:rsidR="00207418">
              <w:rPr>
                <w:noProof/>
                <w:webHidden/>
              </w:rPr>
              <w:t>11</w:t>
            </w:r>
            <w:r w:rsidR="00096CF3">
              <w:rPr>
                <w:noProof/>
                <w:webHidden/>
              </w:rPr>
              <w:fldChar w:fldCharType="end"/>
            </w:r>
          </w:hyperlink>
        </w:p>
        <w:p w14:paraId="09646631" w14:textId="03B5482F" w:rsidR="00096CF3" w:rsidRDefault="00113A6E">
          <w:pPr>
            <w:pStyle w:val="Sumrio2"/>
            <w:tabs>
              <w:tab w:val="end" w:pos="424.70pt"/>
            </w:tabs>
            <w:rPr>
              <w:rFonts w:asciiTheme="minorHAnsi" w:eastAsiaTheme="minorEastAsia" w:hAnsiTheme="minorHAnsi" w:cstheme="minorBidi"/>
              <w:noProof/>
              <w:color w:val="auto"/>
              <w:sz w:val="22"/>
              <w:szCs w:val="22"/>
            </w:rPr>
          </w:pPr>
          <w:hyperlink w:anchor="_Toc81581091" w:history="1">
            <w:r w:rsidR="00096CF3" w:rsidRPr="006A159E">
              <w:rPr>
                <w:rStyle w:val="Hyperlink"/>
                <w:noProof/>
              </w:rPr>
              <w:t>2.1 Desenho do Estudo</w:t>
            </w:r>
            <w:r w:rsidR="00096CF3">
              <w:rPr>
                <w:noProof/>
                <w:webHidden/>
              </w:rPr>
              <w:tab/>
            </w:r>
            <w:r w:rsidR="00096CF3">
              <w:rPr>
                <w:noProof/>
                <w:webHidden/>
              </w:rPr>
              <w:fldChar w:fldCharType="begin"/>
            </w:r>
            <w:r w:rsidR="00096CF3">
              <w:rPr>
                <w:noProof/>
                <w:webHidden/>
              </w:rPr>
              <w:instrText xml:space="preserve"> PAGEREF _Toc81581091 \h </w:instrText>
            </w:r>
            <w:r w:rsidR="00096CF3">
              <w:rPr>
                <w:noProof/>
                <w:webHidden/>
              </w:rPr>
            </w:r>
            <w:r w:rsidR="00096CF3">
              <w:rPr>
                <w:noProof/>
                <w:webHidden/>
              </w:rPr>
              <w:fldChar w:fldCharType="separate"/>
            </w:r>
            <w:r w:rsidR="00207418">
              <w:rPr>
                <w:noProof/>
                <w:webHidden/>
              </w:rPr>
              <w:t>12</w:t>
            </w:r>
            <w:r w:rsidR="00096CF3">
              <w:rPr>
                <w:noProof/>
                <w:webHidden/>
              </w:rPr>
              <w:fldChar w:fldCharType="end"/>
            </w:r>
          </w:hyperlink>
        </w:p>
        <w:p w14:paraId="6BB12470" w14:textId="36FE7C13" w:rsidR="00096CF3" w:rsidRDefault="00113A6E">
          <w:pPr>
            <w:pStyle w:val="Sumrio2"/>
            <w:tabs>
              <w:tab w:val="start" w:pos="44pt"/>
              <w:tab w:val="end" w:pos="424.70pt"/>
            </w:tabs>
            <w:rPr>
              <w:rFonts w:asciiTheme="minorHAnsi" w:eastAsiaTheme="minorEastAsia" w:hAnsiTheme="minorHAnsi" w:cstheme="minorBidi"/>
              <w:noProof/>
              <w:color w:val="auto"/>
              <w:sz w:val="22"/>
              <w:szCs w:val="22"/>
            </w:rPr>
          </w:pPr>
          <w:hyperlink w:anchor="_Toc81581092" w:history="1">
            <w:r w:rsidR="00096CF3" w:rsidRPr="006A159E">
              <w:rPr>
                <w:rStyle w:val="Hyperlink"/>
                <w:noProof/>
              </w:rPr>
              <w:t>2.2</w:t>
            </w:r>
            <w:r w:rsidR="00096CF3">
              <w:rPr>
                <w:rFonts w:asciiTheme="minorHAnsi" w:eastAsiaTheme="minorEastAsia" w:hAnsiTheme="minorHAnsi" w:cstheme="minorBidi"/>
                <w:noProof/>
                <w:color w:val="auto"/>
                <w:sz w:val="22"/>
                <w:szCs w:val="22"/>
              </w:rPr>
              <w:tab/>
            </w:r>
            <w:r w:rsidR="00096CF3" w:rsidRPr="006A159E">
              <w:rPr>
                <w:rStyle w:val="Hyperlink"/>
                <w:noProof/>
              </w:rPr>
              <w:t>Participantes</w:t>
            </w:r>
            <w:r w:rsidR="00096CF3">
              <w:rPr>
                <w:noProof/>
                <w:webHidden/>
              </w:rPr>
              <w:tab/>
            </w:r>
            <w:r w:rsidR="00096CF3">
              <w:rPr>
                <w:noProof/>
                <w:webHidden/>
              </w:rPr>
              <w:fldChar w:fldCharType="begin"/>
            </w:r>
            <w:r w:rsidR="00096CF3">
              <w:rPr>
                <w:noProof/>
                <w:webHidden/>
              </w:rPr>
              <w:instrText xml:space="preserve"> PAGEREF _Toc81581092 \h </w:instrText>
            </w:r>
            <w:r w:rsidR="00096CF3">
              <w:rPr>
                <w:noProof/>
                <w:webHidden/>
              </w:rPr>
            </w:r>
            <w:r w:rsidR="00096CF3">
              <w:rPr>
                <w:noProof/>
                <w:webHidden/>
              </w:rPr>
              <w:fldChar w:fldCharType="separate"/>
            </w:r>
            <w:r w:rsidR="00207418">
              <w:rPr>
                <w:noProof/>
                <w:webHidden/>
              </w:rPr>
              <w:t>14</w:t>
            </w:r>
            <w:r w:rsidR="00096CF3">
              <w:rPr>
                <w:noProof/>
                <w:webHidden/>
              </w:rPr>
              <w:fldChar w:fldCharType="end"/>
            </w:r>
          </w:hyperlink>
        </w:p>
        <w:p w14:paraId="05CFD733" w14:textId="0EB32083" w:rsidR="00096CF3" w:rsidRDefault="00113A6E">
          <w:pPr>
            <w:pStyle w:val="Sumrio3"/>
            <w:tabs>
              <w:tab w:val="end" w:pos="424.70pt"/>
            </w:tabs>
            <w:rPr>
              <w:rFonts w:asciiTheme="minorHAnsi" w:eastAsiaTheme="minorEastAsia" w:hAnsiTheme="minorHAnsi" w:cstheme="minorBidi"/>
              <w:noProof/>
              <w:color w:val="auto"/>
              <w:sz w:val="22"/>
              <w:szCs w:val="22"/>
            </w:rPr>
          </w:pPr>
          <w:hyperlink w:anchor="_Toc81581093" w:history="1">
            <w:r w:rsidR="00096CF3" w:rsidRPr="006A159E">
              <w:rPr>
                <w:rStyle w:val="Hyperlink"/>
                <w:noProof/>
              </w:rPr>
              <w:t>2.2.1 Coleta de dados</w:t>
            </w:r>
            <w:r w:rsidR="00096CF3">
              <w:rPr>
                <w:noProof/>
                <w:webHidden/>
              </w:rPr>
              <w:tab/>
            </w:r>
            <w:r w:rsidR="00096CF3">
              <w:rPr>
                <w:noProof/>
                <w:webHidden/>
              </w:rPr>
              <w:fldChar w:fldCharType="begin"/>
            </w:r>
            <w:r w:rsidR="00096CF3">
              <w:rPr>
                <w:noProof/>
                <w:webHidden/>
              </w:rPr>
              <w:instrText xml:space="preserve"> PAGEREF _Toc81581093 \h </w:instrText>
            </w:r>
            <w:r w:rsidR="00096CF3">
              <w:rPr>
                <w:noProof/>
                <w:webHidden/>
              </w:rPr>
            </w:r>
            <w:r w:rsidR="00096CF3">
              <w:rPr>
                <w:noProof/>
                <w:webHidden/>
              </w:rPr>
              <w:fldChar w:fldCharType="separate"/>
            </w:r>
            <w:r w:rsidR="00207418">
              <w:rPr>
                <w:noProof/>
                <w:webHidden/>
              </w:rPr>
              <w:t>14</w:t>
            </w:r>
            <w:r w:rsidR="00096CF3">
              <w:rPr>
                <w:noProof/>
                <w:webHidden/>
              </w:rPr>
              <w:fldChar w:fldCharType="end"/>
            </w:r>
          </w:hyperlink>
        </w:p>
        <w:p w14:paraId="117F7268" w14:textId="40761B73" w:rsidR="00096CF3" w:rsidRDefault="00113A6E">
          <w:pPr>
            <w:pStyle w:val="Sumrio3"/>
            <w:tabs>
              <w:tab w:val="end" w:pos="424.70pt"/>
            </w:tabs>
            <w:rPr>
              <w:rFonts w:asciiTheme="minorHAnsi" w:eastAsiaTheme="minorEastAsia" w:hAnsiTheme="minorHAnsi" w:cstheme="minorBidi"/>
              <w:noProof/>
              <w:color w:val="auto"/>
              <w:sz w:val="22"/>
              <w:szCs w:val="22"/>
            </w:rPr>
          </w:pPr>
          <w:hyperlink w:anchor="_Toc81581094" w:history="1">
            <w:r w:rsidR="00096CF3" w:rsidRPr="006A159E">
              <w:rPr>
                <w:rStyle w:val="Hyperlink"/>
                <w:noProof/>
              </w:rPr>
              <w:t>2.2.2 Critérios de inclusão</w:t>
            </w:r>
            <w:r w:rsidR="00096CF3">
              <w:rPr>
                <w:noProof/>
                <w:webHidden/>
              </w:rPr>
              <w:tab/>
            </w:r>
            <w:r w:rsidR="00096CF3">
              <w:rPr>
                <w:noProof/>
                <w:webHidden/>
              </w:rPr>
              <w:fldChar w:fldCharType="begin"/>
            </w:r>
            <w:r w:rsidR="00096CF3">
              <w:rPr>
                <w:noProof/>
                <w:webHidden/>
              </w:rPr>
              <w:instrText xml:space="preserve"> PAGEREF _Toc81581094 \h </w:instrText>
            </w:r>
            <w:r w:rsidR="00096CF3">
              <w:rPr>
                <w:noProof/>
                <w:webHidden/>
              </w:rPr>
            </w:r>
            <w:r w:rsidR="00096CF3">
              <w:rPr>
                <w:noProof/>
                <w:webHidden/>
              </w:rPr>
              <w:fldChar w:fldCharType="separate"/>
            </w:r>
            <w:r w:rsidR="00207418">
              <w:rPr>
                <w:noProof/>
                <w:webHidden/>
              </w:rPr>
              <w:t>14</w:t>
            </w:r>
            <w:r w:rsidR="00096CF3">
              <w:rPr>
                <w:noProof/>
                <w:webHidden/>
              </w:rPr>
              <w:fldChar w:fldCharType="end"/>
            </w:r>
          </w:hyperlink>
        </w:p>
        <w:p w14:paraId="6154C011" w14:textId="1EFB63DC" w:rsidR="00096CF3" w:rsidRDefault="00113A6E">
          <w:pPr>
            <w:pStyle w:val="Sumrio3"/>
            <w:tabs>
              <w:tab w:val="end" w:pos="424.70pt"/>
            </w:tabs>
            <w:rPr>
              <w:rFonts w:asciiTheme="minorHAnsi" w:eastAsiaTheme="minorEastAsia" w:hAnsiTheme="minorHAnsi" w:cstheme="minorBidi"/>
              <w:noProof/>
              <w:color w:val="auto"/>
              <w:sz w:val="22"/>
              <w:szCs w:val="22"/>
            </w:rPr>
          </w:pPr>
          <w:hyperlink w:anchor="_Toc81581095" w:history="1">
            <w:r w:rsidR="00096CF3" w:rsidRPr="006A159E">
              <w:rPr>
                <w:rStyle w:val="Hyperlink"/>
                <w:noProof/>
              </w:rPr>
              <w:t>2.2.3 Critérios de exclusão</w:t>
            </w:r>
            <w:r w:rsidR="00096CF3">
              <w:rPr>
                <w:noProof/>
                <w:webHidden/>
              </w:rPr>
              <w:tab/>
            </w:r>
            <w:r w:rsidR="00096CF3">
              <w:rPr>
                <w:noProof/>
                <w:webHidden/>
              </w:rPr>
              <w:fldChar w:fldCharType="begin"/>
            </w:r>
            <w:r w:rsidR="00096CF3">
              <w:rPr>
                <w:noProof/>
                <w:webHidden/>
              </w:rPr>
              <w:instrText xml:space="preserve"> PAGEREF _Toc81581095 \h </w:instrText>
            </w:r>
            <w:r w:rsidR="00096CF3">
              <w:rPr>
                <w:noProof/>
                <w:webHidden/>
              </w:rPr>
            </w:r>
            <w:r w:rsidR="00096CF3">
              <w:rPr>
                <w:noProof/>
                <w:webHidden/>
              </w:rPr>
              <w:fldChar w:fldCharType="separate"/>
            </w:r>
            <w:r w:rsidR="00207418">
              <w:rPr>
                <w:noProof/>
                <w:webHidden/>
              </w:rPr>
              <w:t>15</w:t>
            </w:r>
            <w:r w:rsidR="00096CF3">
              <w:rPr>
                <w:noProof/>
                <w:webHidden/>
              </w:rPr>
              <w:fldChar w:fldCharType="end"/>
            </w:r>
          </w:hyperlink>
        </w:p>
        <w:p w14:paraId="0B59468A" w14:textId="2CDF0C9C" w:rsidR="00096CF3" w:rsidRDefault="00113A6E">
          <w:pPr>
            <w:pStyle w:val="Sumrio3"/>
            <w:tabs>
              <w:tab w:val="end" w:pos="424.70pt"/>
            </w:tabs>
            <w:rPr>
              <w:rFonts w:asciiTheme="minorHAnsi" w:eastAsiaTheme="minorEastAsia" w:hAnsiTheme="minorHAnsi" w:cstheme="minorBidi"/>
              <w:noProof/>
              <w:color w:val="auto"/>
              <w:sz w:val="22"/>
              <w:szCs w:val="22"/>
            </w:rPr>
          </w:pPr>
          <w:hyperlink w:anchor="_Toc81581096" w:history="1">
            <w:r w:rsidR="00096CF3" w:rsidRPr="006A159E">
              <w:rPr>
                <w:rStyle w:val="Hyperlink"/>
                <w:noProof/>
              </w:rPr>
              <w:t>2.2.4 Critérios de interrupção</w:t>
            </w:r>
            <w:r w:rsidR="00096CF3">
              <w:rPr>
                <w:noProof/>
                <w:webHidden/>
              </w:rPr>
              <w:tab/>
            </w:r>
            <w:r w:rsidR="00096CF3">
              <w:rPr>
                <w:noProof/>
                <w:webHidden/>
              </w:rPr>
              <w:fldChar w:fldCharType="begin"/>
            </w:r>
            <w:r w:rsidR="00096CF3">
              <w:rPr>
                <w:noProof/>
                <w:webHidden/>
              </w:rPr>
              <w:instrText xml:space="preserve"> PAGEREF _Toc81581096 \h </w:instrText>
            </w:r>
            <w:r w:rsidR="00096CF3">
              <w:rPr>
                <w:noProof/>
                <w:webHidden/>
              </w:rPr>
            </w:r>
            <w:r w:rsidR="00096CF3">
              <w:rPr>
                <w:noProof/>
                <w:webHidden/>
              </w:rPr>
              <w:fldChar w:fldCharType="separate"/>
            </w:r>
            <w:r w:rsidR="00207418">
              <w:rPr>
                <w:noProof/>
                <w:webHidden/>
              </w:rPr>
              <w:t>16</w:t>
            </w:r>
            <w:r w:rsidR="00096CF3">
              <w:rPr>
                <w:noProof/>
                <w:webHidden/>
              </w:rPr>
              <w:fldChar w:fldCharType="end"/>
            </w:r>
          </w:hyperlink>
        </w:p>
        <w:p w14:paraId="7AF3C0FF" w14:textId="541831E3" w:rsidR="00096CF3" w:rsidRDefault="00113A6E">
          <w:pPr>
            <w:pStyle w:val="Sumrio2"/>
            <w:tabs>
              <w:tab w:val="end" w:pos="424.70pt"/>
            </w:tabs>
            <w:rPr>
              <w:rFonts w:asciiTheme="minorHAnsi" w:eastAsiaTheme="minorEastAsia" w:hAnsiTheme="minorHAnsi" w:cstheme="minorBidi"/>
              <w:noProof/>
              <w:color w:val="auto"/>
              <w:sz w:val="22"/>
              <w:szCs w:val="22"/>
            </w:rPr>
          </w:pPr>
          <w:hyperlink w:anchor="_Toc81581097" w:history="1">
            <w:r w:rsidR="00096CF3" w:rsidRPr="006A159E">
              <w:rPr>
                <w:rStyle w:val="Hyperlink"/>
                <w:noProof/>
              </w:rPr>
              <w:t>2.3. Intervenções</w:t>
            </w:r>
            <w:r w:rsidR="00096CF3">
              <w:rPr>
                <w:noProof/>
                <w:webHidden/>
              </w:rPr>
              <w:tab/>
            </w:r>
            <w:r w:rsidR="00096CF3">
              <w:rPr>
                <w:noProof/>
                <w:webHidden/>
              </w:rPr>
              <w:fldChar w:fldCharType="begin"/>
            </w:r>
            <w:r w:rsidR="00096CF3">
              <w:rPr>
                <w:noProof/>
                <w:webHidden/>
              </w:rPr>
              <w:instrText xml:space="preserve"> PAGEREF _Toc81581097 \h </w:instrText>
            </w:r>
            <w:r w:rsidR="00096CF3">
              <w:rPr>
                <w:noProof/>
                <w:webHidden/>
              </w:rPr>
            </w:r>
            <w:r w:rsidR="00096CF3">
              <w:rPr>
                <w:noProof/>
                <w:webHidden/>
              </w:rPr>
              <w:fldChar w:fldCharType="separate"/>
            </w:r>
            <w:r w:rsidR="00207418">
              <w:rPr>
                <w:noProof/>
                <w:webHidden/>
              </w:rPr>
              <w:t>16</w:t>
            </w:r>
            <w:r w:rsidR="00096CF3">
              <w:rPr>
                <w:noProof/>
                <w:webHidden/>
              </w:rPr>
              <w:fldChar w:fldCharType="end"/>
            </w:r>
          </w:hyperlink>
        </w:p>
        <w:p w14:paraId="743FDE8F" w14:textId="52D34BD9" w:rsidR="00096CF3" w:rsidRDefault="00113A6E">
          <w:pPr>
            <w:pStyle w:val="Sumrio3"/>
            <w:tabs>
              <w:tab w:val="end" w:pos="424.70pt"/>
            </w:tabs>
            <w:rPr>
              <w:rFonts w:asciiTheme="minorHAnsi" w:eastAsiaTheme="minorEastAsia" w:hAnsiTheme="minorHAnsi" w:cstheme="minorBidi"/>
              <w:noProof/>
              <w:color w:val="auto"/>
              <w:sz w:val="22"/>
              <w:szCs w:val="22"/>
            </w:rPr>
          </w:pPr>
          <w:hyperlink w:anchor="_Toc81581098" w:history="1">
            <w:r w:rsidR="00096CF3" w:rsidRPr="006A159E">
              <w:rPr>
                <w:rStyle w:val="Hyperlink"/>
                <w:noProof/>
              </w:rPr>
              <w:t>2.3.1 Grupo Controle</w:t>
            </w:r>
            <w:r w:rsidR="00096CF3">
              <w:rPr>
                <w:noProof/>
                <w:webHidden/>
              </w:rPr>
              <w:tab/>
            </w:r>
            <w:r w:rsidR="00096CF3">
              <w:rPr>
                <w:noProof/>
                <w:webHidden/>
              </w:rPr>
              <w:fldChar w:fldCharType="begin"/>
            </w:r>
            <w:r w:rsidR="00096CF3">
              <w:rPr>
                <w:noProof/>
                <w:webHidden/>
              </w:rPr>
              <w:instrText xml:space="preserve"> PAGEREF _Toc81581098 \h </w:instrText>
            </w:r>
            <w:r w:rsidR="00096CF3">
              <w:rPr>
                <w:noProof/>
                <w:webHidden/>
              </w:rPr>
            </w:r>
            <w:r w:rsidR="00096CF3">
              <w:rPr>
                <w:noProof/>
                <w:webHidden/>
              </w:rPr>
              <w:fldChar w:fldCharType="separate"/>
            </w:r>
            <w:r w:rsidR="00207418">
              <w:rPr>
                <w:noProof/>
                <w:webHidden/>
              </w:rPr>
              <w:t>16</w:t>
            </w:r>
            <w:r w:rsidR="00096CF3">
              <w:rPr>
                <w:noProof/>
                <w:webHidden/>
              </w:rPr>
              <w:fldChar w:fldCharType="end"/>
            </w:r>
          </w:hyperlink>
        </w:p>
        <w:p w14:paraId="514A11C1" w14:textId="1B354B8F" w:rsidR="00096CF3" w:rsidRDefault="00113A6E">
          <w:pPr>
            <w:pStyle w:val="Sumrio3"/>
            <w:tabs>
              <w:tab w:val="end" w:pos="424.70pt"/>
            </w:tabs>
            <w:rPr>
              <w:rFonts w:asciiTheme="minorHAnsi" w:eastAsiaTheme="minorEastAsia" w:hAnsiTheme="minorHAnsi" w:cstheme="minorBidi"/>
              <w:noProof/>
              <w:color w:val="auto"/>
              <w:sz w:val="22"/>
              <w:szCs w:val="22"/>
            </w:rPr>
          </w:pPr>
          <w:hyperlink w:anchor="_Toc81581099" w:history="1">
            <w:r w:rsidR="00096CF3" w:rsidRPr="006A159E">
              <w:rPr>
                <w:rStyle w:val="Hyperlink"/>
                <w:noProof/>
              </w:rPr>
              <w:t>2.3.2 Grupo Intervenção</w:t>
            </w:r>
            <w:r w:rsidR="00096CF3">
              <w:rPr>
                <w:noProof/>
                <w:webHidden/>
              </w:rPr>
              <w:tab/>
            </w:r>
            <w:r w:rsidR="00096CF3">
              <w:rPr>
                <w:noProof/>
                <w:webHidden/>
              </w:rPr>
              <w:fldChar w:fldCharType="begin"/>
            </w:r>
            <w:r w:rsidR="00096CF3">
              <w:rPr>
                <w:noProof/>
                <w:webHidden/>
              </w:rPr>
              <w:instrText xml:space="preserve"> PAGEREF _Toc81581099 \h </w:instrText>
            </w:r>
            <w:r w:rsidR="00096CF3">
              <w:rPr>
                <w:noProof/>
                <w:webHidden/>
              </w:rPr>
            </w:r>
            <w:r w:rsidR="00096CF3">
              <w:rPr>
                <w:noProof/>
                <w:webHidden/>
              </w:rPr>
              <w:fldChar w:fldCharType="separate"/>
            </w:r>
            <w:r w:rsidR="00207418">
              <w:rPr>
                <w:noProof/>
                <w:webHidden/>
              </w:rPr>
              <w:t>17</w:t>
            </w:r>
            <w:r w:rsidR="00096CF3">
              <w:rPr>
                <w:noProof/>
                <w:webHidden/>
              </w:rPr>
              <w:fldChar w:fldCharType="end"/>
            </w:r>
          </w:hyperlink>
        </w:p>
        <w:p w14:paraId="2197F20E" w14:textId="3409DF89" w:rsidR="00096CF3" w:rsidRDefault="00113A6E">
          <w:pPr>
            <w:pStyle w:val="Sumrio2"/>
            <w:tabs>
              <w:tab w:val="end" w:pos="424.70pt"/>
            </w:tabs>
            <w:rPr>
              <w:rFonts w:asciiTheme="minorHAnsi" w:eastAsiaTheme="minorEastAsia" w:hAnsiTheme="minorHAnsi" w:cstheme="minorBidi"/>
              <w:noProof/>
              <w:color w:val="auto"/>
              <w:sz w:val="22"/>
              <w:szCs w:val="22"/>
            </w:rPr>
          </w:pPr>
          <w:hyperlink w:anchor="_Toc81581100" w:history="1">
            <w:r w:rsidR="00096CF3" w:rsidRPr="006A159E">
              <w:rPr>
                <w:rStyle w:val="Hyperlink"/>
                <w:noProof/>
              </w:rPr>
              <w:t>2.4 Desfechos</w:t>
            </w:r>
            <w:r w:rsidR="00096CF3">
              <w:rPr>
                <w:noProof/>
                <w:webHidden/>
              </w:rPr>
              <w:tab/>
            </w:r>
            <w:r w:rsidR="00096CF3">
              <w:rPr>
                <w:noProof/>
                <w:webHidden/>
              </w:rPr>
              <w:fldChar w:fldCharType="begin"/>
            </w:r>
            <w:r w:rsidR="00096CF3">
              <w:rPr>
                <w:noProof/>
                <w:webHidden/>
              </w:rPr>
              <w:instrText xml:space="preserve"> PAGEREF _Toc81581100 \h </w:instrText>
            </w:r>
            <w:r w:rsidR="00096CF3">
              <w:rPr>
                <w:noProof/>
                <w:webHidden/>
              </w:rPr>
            </w:r>
            <w:r w:rsidR="00096CF3">
              <w:rPr>
                <w:noProof/>
                <w:webHidden/>
              </w:rPr>
              <w:fldChar w:fldCharType="separate"/>
            </w:r>
            <w:r w:rsidR="00207418">
              <w:rPr>
                <w:noProof/>
                <w:webHidden/>
              </w:rPr>
              <w:t>18</w:t>
            </w:r>
            <w:r w:rsidR="00096CF3">
              <w:rPr>
                <w:noProof/>
                <w:webHidden/>
              </w:rPr>
              <w:fldChar w:fldCharType="end"/>
            </w:r>
          </w:hyperlink>
        </w:p>
        <w:p w14:paraId="5D2DCDDD" w14:textId="7E244EB0" w:rsidR="00096CF3" w:rsidRDefault="00113A6E">
          <w:pPr>
            <w:pStyle w:val="Sumrio3"/>
            <w:tabs>
              <w:tab w:val="end" w:pos="424.70pt"/>
            </w:tabs>
            <w:rPr>
              <w:rFonts w:asciiTheme="minorHAnsi" w:eastAsiaTheme="minorEastAsia" w:hAnsiTheme="minorHAnsi" w:cstheme="minorBidi"/>
              <w:noProof/>
              <w:color w:val="auto"/>
              <w:sz w:val="22"/>
              <w:szCs w:val="22"/>
            </w:rPr>
          </w:pPr>
          <w:hyperlink w:anchor="_Toc81581101" w:history="1">
            <w:r w:rsidR="00096CF3" w:rsidRPr="006A159E">
              <w:rPr>
                <w:rStyle w:val="Hyperlink"/>
                <w:noProof/>
              </w:rPr>
              <w:t>2.4.1 Desfecho primário</w:t>
            </w:r>
            <w:r w:rsidR="00096CF3">
              <w:rPr>
                <w:noProof/>
                <w:webHidden/>
              </w:rPr>
              <w:tab/>
            </w:r>
            <w:r w:rsidR="00096CF3">
              <w:rPr>
                <w:noProof/>
                <w:webHidden/>
              </w:rPr>
              <w:fldChar w:fldCharType="begin"/>
            </w:r>
            <w:r w:rsidR="00096CF3">
              <w:rPr>
                <w:noProof/>
                <w:webHidden/>
              </w:rPr>
              <w:instrText xml:space="preserve"> PAGEREF _Toc81581101 \h </w:instrText>
            </w:r>
            <w:r w:rsidR="00096CF3">
              <w:rPr>
                <w:noProof/>
                <w:webHidden/>
              </w:rPr>
            </w:r>
            <w:r w:rsidR="00096CF3">
              <w:rPr>
                <w:noProof/>
                <w:webHidden/>
              </w:rPr>
              <w:fldChar w:fldCharType="separate"/>
            </w:r>
            <w:r w:rsidR="00207418">
              <w:rPr>
                <w:noProof/>
                <w:webHidden/>
              </w:rPr>
              <w:t>18</w:t>
            </w:r>
            <w:r w:rsidR="00096CF3">
              <w:rPr>
                <w:noProof/>
                <w:webHidden/>
              </w:rPr>
              <w:fldChar w:fldCharType="end"/>
            </w:r>
          </w:hyperlink>
        </w:p>
        <w:p w14:paraId="413F7BC4" w14:textId="228C9C94" w:rsidR="00096CF3" w:rsidRDefault="00113A6E">
          <w:pPr>
            <w:pStyle w:val="Sumrio3"/>
            <w:tabs>
              <w:tab w:val="end" w:pos="424.70pt"/>
            </w:tabs>
            <w:rPr>
              <w:rFonts w:asciiTheme="minorHAnsi" w:eastAsiaTheme="minorEastAsia" w:hAnsiTheme="minorHAnsi" w:cstheme="minorBidi"/>
              <w:noProof/>
              <w:color w:val="auto"/>
              <w:sz w:val="22"/>
              <w:szCs w:val="22"/>
            </w:rPr>
          </w:pPr>
          <w:hyperlink w:anchor="_Toc81581102" w:history="1">
            <w:r w:rsidR="00096CF3" w:rsidRPr="006A159E">
              <w:rPr>
                <w:rStyle w:val="Hyperlink"/>
                <w:noProof/>
              </w:rPr>
              <w:t>2.4.2 Desfechos secundários</w:t>
            </w:r>
            <w:r w:rsidR="00096CF3">
              <w:rPr>
                <w:noProof/>
                <w:webHidden/>
              </w:rPr>
              <w:tab/>
            </w:r>
            <w:r w:rsidR="00096CF3">
              <w:rPr>
                <w:noProof/>
                <w:webHidden/>
              </w:rPr>
              <w:fldChar w:fldCharType="begin"/>
            </w:r>
            <w:r w:rsidR="00096CF3">
              <w:rPr>
                <w:noProof/>
                <w:webHidden/>
              </w:rPr>
              <w:instrText xml:space="preserve"> PAGEREF _Toc81581102 \h </w:instrText>
            </w:r>
            <w:r w:rsidR="00096CF3">
              <w:rPr>
                <w:noProof/>
                <w:webHidden/>
              </w:rPr>
            </w:r>
            <w:r w:rsidR="00096CF3">
              <w:rPr>
                <w:noProof/>
                <w:webHidden/>
              </w:rPr>
              <w:fldChar w:fldCharType="separate"/>
            </w:r>
            <w:r w:rsidR="00207418">
              <w:rPr>
                <w:noProof/>
                <w:webHidden/>
              </w:rPr>
              <w:t>20</w:t>
            </w:r>
            <w:r w:rsidR="00096CF3">
              <w:rPr>
                <w:noProof/>
                <w:webHidden/>
              </w:rPr>
              <w:fldChar w:fldCharType="end"/>
            </w:r>
          </w:hyperlink>
        </w:p>
        <w:p w14:paraId="3B7BD7EF" w14:textId="1A295B5B" w:rsidR="00096CF3" w:rsidRDefault="00113A6E">
          <w:pPr>
            <w:pStyle w:val="Sumrio2"/>
            <w:tabs>
              <w:tab w:val="end" w:pos="424.70pt"/>
            </w:tabs>
            <w:rPr>
              <w:rFonts w:asciiTheme="minorHAnsi" w:eastAsiaTheme="minorEastAsia" w:hAnsiTheme="minorHAnsi" w:cstheme="minorBidi"/>
              <w:noProof/>
              <w:color w:val="auto"/>
              <w:sz w:val="22"/>
              <w:szCs w:val="22"/>
            </w:rPr>
          </w:pPr>
          <w:hyperlink w:anchor="_Toc81581103" w:history="1">
            <w:r w:rsidR="00096CF3" w:rsidRPr="006A159E">
              <w:rPr>
                <w:rStyle w:val="Hyperlink"/>
                <w:noProof/>
              </w:rPr>
              <w:t>2.5 Tamanho amostral</w:t>
            </w:r>
            <w:r w:rsidR="00096CF3">
              <w:rPr>
                <w:noProof/>
                <w:webHidden/>
              </w:rPr>
              <w:tab/>
            </w:r>
            <w:r w:rsidR="00096CF3">
              <w:rPr>
                <w:noProof/>
                <w:webHidden/>
              </w:rPr>
              <w:fldChar w:fldCharType="begin"/>
            </w:r>
            <w:r w:rsidR="00096CF3">
              <w:rPr>
                <w:noProof/>
                <w:webHidden/>
              </w:rPr>
              <w:instrText xml:space="preserve"> PAGEREF _Toc81581103 \h </w:instrText>
            </w:r>
            <w:r w:rsidR="00096CF3">
              <w:rPr>
                <w:noProof/>
                <w:webHidden/>
              </w:rPr>
            </w:r>
            <w:r w:rsidR="00096CF3">
              <w:rPr>
                <w:noProof/>
                <w:webHidden/>
              </w:rPr>
              <w:fldChar w:fldCharType="separate"/>
            </w:r>
            <w:r w:rsidR="00207418">
              <w:rPr>
                <w:noProof/>
                <w:webHidden/>
              </w:rPr>
              <w:t>20</w:t>
            </w:r>
            <w:r w:rsidR="00096CF3">
              <w:rPr>
                <w:noProof/>
                <w:webHidden/>
              </w:rPr>
              <w:fldChar w:fldCharType="end"/>
            </w:r>
          </w:hyperlink>
        </w:p>
        <w:p w14:paraId="1917BB7A" w14:textId="4CB74531" w:rsidR="00096CF3" w:rsidRDefault="00113A6E">
          <w:pPr>
            <w:pStyle w:val="Sumrio2"/>
            <w:tabs>
              <w:tab w:val="end" w:pos="424.70pt"/>
            </w:tabs>
            <w:rPr>
              <w:rFonts w:asciiTheme="minorHAnsi" w:eastAsiaTheme="minorEastAsia" w:hAnsiTheme="minorHAnsi" w:cstheme="minorBidi"/>
              <w:noProof/>
              <w:color w:val="auto"/>
              <w:sz w:val="22"/>
              <w:szCs w:val="22"/>
            </w:rPr>
          </w:pPr>
          <w:hyperlink w:anchor="_Toc81581104" w:history="1">
            <w:r w:rsidR="00096CF3" w:rsidRPr="006A159E">
              <w:rPr>
                <w:rStyle w:val="Hyperlink"/>
                <w:noProof/>
              </w:rPr>
              <w:t>2.6 Randomização</w:t>
            </w:r>
            <w:r w:rsidR="00096CF3">
              <w:rPr>
                <w:noProof/>
                <w:webHidden/>
              </w:rPr>
              <w:tab/>
            </w:r>
            <w:r w:rsidR="00096CF3">
              <w:rPr>
                <w:noProof/>
                <w:webHidden/>
              </w:rPr>
              <w:fldChar w:fldCharType="begin"/>
            </w:r>
            <w:r w:rsidR="00096CF3">
              <w:rPr>
                <w:noProof/>
                <w:webHidden/>
              </w:rPr>
              <w:instrText xml:space="preserve"> PAGEREF _Toc81581104 \h </w:instrText>
            </w:r>
            <w:r w:rsidR="00096CF3">
              <w:rPr>
                <w:noProof/>
                <w:webHidden/>
              </w:rPr>
            </w:r>
            <w:r w:rsidR="00096CF3">
              <w:rPr>
                <w:noProof/>
                <w:webHidden/>
              </w:rPr>
              <w:fldChar w:fldCharType="separate"/>
            </w:r>
            <w:r w:rsidR="00207418">
              <w:rPr>
                <w:noProof/>
                <w:webHidden/>
              </w:rPr>
              <w:t>21</w:t>
            </w:r>
            <w:r w:rsidR="00096CF3">
              <w:rPr>
                <w:noProof/>
                <w:webHidden/>
              </w:rPr>
              <w:fldChar w:fldCharType="end"/>
            </w:r>
          </w:hyperlink>
        </w:p>
        <w:p w14:paraId="3E7FEE05" w14:textId="688F1C58" w:rsidR="00096CF3" w:rsidRDefault="00113A6E">
          <w:pPr>
            <w:pStyle w:val="Sumrio2"/>
            <w:tabs>
              <w:tab w:val="end" w:pos="424.70pt"/>
            </w:tabs>
            <w:rPr>
              <w:rFonts w:asciiTheme="minorHAnsi" w:eastAsiaTheme="minorEastAsia" w:hAnsiTheme="minorHAnsi" w:cstheme="minorBidi"/>
              <w:noProof/>
              <w:color w:val="auto"/>
              <w:sz w:val="22"/>
              <w:szCs w:val="22"/>
            </w:rPr>
          </w:pPr>
          <w:hyperlink w:anchor="_Toc81581105" w:history="1">
            <w:r w:rsidR="00096CF3" w:rsidRPr="006A159E">
              <w:rPr>
                <w:rStyle w:val="Hyperlink"/>
                <w:noProof/>
              </w:rPr>
              <w:t>2.9 Métodos estatísticos</w:t>
            </w:r>
            <w:r w:rsidR="00096CF3">
              <w:rPr>
                <w:noProof/>
                <w:webHidden/>
              </w:rPr>
              <w:tab/>
            </w:r>
            <w:r w:rsidR="00096CF3">
              <w:rPr>
                <w:noProof/>
                <w:webHidden/>
              </w:rPr>
              <w:fldChar w:fldCharType="begin"/>
            </w:r>
            <w:r w:rsidR="00096CF3">
              <w:rPr>
                <w:noProof/>
                <w:webHidden/>
              </w:rPr>
              <w:instrText xml:space="preserve"> PAGEREF _Toc81581105 \h </w:instrText>
            </w:r>
            <w:r w:rsidR="00096CF3">
              <w:rPr>
                <w:noProof/>
                <w:webHidden/>
              </w:rPr>
            </w:r>
            <w:r w:rsidR="00096CF3">
              <w:rPr>
                <w:noProof/>
                <w:webHidden/>
              </w:rPr>
              <w:fldChar w:fldCharType="separate"/>
            </w:r>
            <w:r w:rsidR="00207418">
              <w:rPr>
                <w:noProof/>
                <w:webHidden/>
              </w:rPr>
              <w:t>21</w:t>
            </w:r>
            <w:r w:rsidR="00096CF3">
              <w:rPr>
                <w:noProof/>
                <w:webHidden/>
              </w:rPr>
              <w:fldChar w:fldCharType="end"/>
            </w:r>
          </w:hyperlink>
        </w:p>
        <w:p w14:paraId="4CDB0038" w14:textId="4A7121A9" w:rsidR="00096CF3" w:rsidRDefault="00113A6E">
          <w:pPr>
            <w:pStyle w:val="Sumrio1"/>
            <w:tabs>
              <w:tab w:val="start" w:pos="24pt"/>
              <w:tab w:val="end" w:pos="424.70pt"/>
            </w:tabs>
            <w:rPr>
              <w:rFonts w:asciiTheme="minorHAnsi" w:eastAsiaTheme="minorEastAsia" w:hAnsiTheme="minorHAnsi" w:cstheme="minorBidi"/>
              <w:noProof/>
              <w:color w:val="auto"/>
              <w:sz w:val="22"/>
              <w:szCs w:val="22"/>
            </w:rPr>
          </w:pPr>
          <w:hyperlink w:anchor="_Toc81581106" w:history="1">
            <w:r w:rsidR="00096CF3" w:rsidRPr="006A159E">
              <w:rPr>
                <w:rStyle w:val="Hyperlink"/>
                <w:noProof/>
              </w:rPr>
              <w:t>3.</w:t>
            </w:r>
            <w:r w:rsidR="00096CF3">
              <w:rPr>
                <w:rFonts w:asciiTheme="minorHAnsi" w:eastAsiaTheme="minorEastAsia" w:hAnsiTheme="minorHAnsi" w:cstheme="minorBidi"/>
                <w:noProof/>
                <w:color w:val="auto"/>
                <w:sz w:val="22"/>
                <w:szCs w:val="22"/>
              </w:rPr>
              <w:tab/>
            </w:r>
            <w:r w:rsidR="00096CF3" w:rsidRPr="006A159E">
              <w:rPr>
                <w:rStyle w:val="Hyperlink"/>
                <w:noProof/>
              </w:rPr>
              <w:t>Resultados</w:t>
            </w:r>
            <w:r w:rsidR="00096CF3">
              <w:rPr>
                <w:noProof/>
                <w:webHidden/>
              </w:rPr>
              <w:tab/>
            </w:r>
            <w:r w:rsidR="00096CF3">
              <w:rPr>
                <w:noProof/>
                <w:webHidden/>
              </w:rPr>
              <w:fldChar w:fldCharType="begin"/>
            </w:r>
            <w:r w:rsidR="00096CF3">
              <w:rPr>
                <w:noProof/>
                <w:webHidden/>
              </w:rPr>
              <w:instrText xml:space="preserve"> PAGEREF _Toc81581106 \h </w:instrText>
            </w:r>
            <w:r w:rsidR="00096CF3">
              <w:rPr>
                <w:noProof/>
                <w:webHidden/>
              </w:rPr>
            </w:r>
            <w:r w:rsidR="00096CF3">
              <w:rPr>
                <w:noProof/>
                <w:webHidden/>
              </w:rPr>
              <w:fldChar w:fldCharType="separate"/>
            </w:r>
            <w:r w:rsidR="00207418">
              <w:rPr>
                <w:noProof/>
                <w:webHidden/>
              </w:rPr>
              <w:t>22</w:t>
            </w:r>
            <w:r w:rsidR="00096CF3">
              <w:rPr>
                <w:noProof/>
                <w:webHidden/>
              </w:rPr>
              <w:fldChar w:fldCharType="end"/>
            </w:r>
          </w:hyperlink>
        </w:p>
        <w:p w14:paraId="08A44C59" w14:textId="31044A16" w:rsidR="00096CF3" w:rsidRDefault="00113A6E">
          <w:pPr>
            <w:pStyle w:val="Sumrio1"/>
            <w:tabs>
              <w:tab w:val="start" w:pos="24pt"/>
              <w:tab w:val="end" w:pos="424.70pt"/>
            </w:tabs>
            <w:rPr>
              <w:rFonts w:asciiTheme="minorHAnsi" w:eastAsiaTheme="minorEastAsia" w:hAnsiTheme="minorHAnsi" w:cstheme="minorBidi"/>
              <w:noProof/>
              <w:color w:val="auto"/>
              <w:sz w:val="22"/>
              <w:szCs w:val="22"/>
            </w:rPr>
          </w:pPr>
          <w:hyperlink w:anchor="_Toc81581107" w:history="1">
            <w:r w:rsidR="00096CF3" w:rsidRPr="006A159E">
              <w:rPr>
                <w:rStyle w:val="Hyperlink"/>
                <w:noProof/>
              </w:rPr>
              <w:t>4.</w:t>
            </w:r>
            <w:r w:rsidR="00096CF3">
              <w:rPr>
                <w:rFonts w:asciiTheme="minorHAnsi" w:eastAsiaTheme="minorEastAsia" w:hAnsiTheme="minorHAnsi" w:cstheme="minorBidi"/>
                <w:noProof/>
                <w:color w:val="auto"/>
                <w:sz w:val="22"/>
                <w:szCs w:val="22"/>
              </w:rPr>
              <w:tab/>
            </w:r>
            <w:r w:rsidR="00096CF3" w:rsidRPr="006A159E">
              <w:rPr>
                <w:rStyle w:val="Hyperlink"/>
                <w:noProof/>
              </w:rPr>
              <w:t>Riscos envolvidos</w:t>
            </w:r>
            <w:r w:rsidR="00096CF3">
              <w:rPr>
                <w:noProof/>
                <w:webHidden/>
              </w:rPr>
              <w:tab/>
            </w:r>
            <w:r w:rsidR="00096CF3">
              <w:rPr>
                <w:noProof/>
                <w:webHidden/>
              </w:rPr>
              <w:fldChar w:fldCharType="begin"/>
            </w:r>
            <w:r w:rsidR="00096CF3">
              <w:rPr>
                <w:noProof/>
                <w:webHidden/>
              </w:rPr>
              <w:instrText xml:space="preserve"> PAGEREF _Toc81581107 \h </w:instrText>
            </w:r>
            <w:r w:rsidR="00096CF3">
              <w:rPr>
                <w:noProof/>
                <w:webHidden/>
              </w:rPr>
            </w:r>
            <w:r w:rsidR="00096CF3">
              <w:rPr>
                <w:noProof/>
                <w:webHidden/>
              </w:rPr>
              <w:fldChar w:fldCharType="separate"/>
            </w:r>
            <w:r w:rsidR="00207418">
              <w:rPr>
                <w:noProof/>
                <w:webHidden/>
              </w:rPr>
              <w:t>22</w:t>
            </w:r>
            <w:r w:rsidR="00096CF3">
              <w:rPr>
                <w:noProof/>
                <w:webHidden/>
              </w:rPr>
              <w:fldChar w:fldCharType="end"/>
            </w:r>
          </w:hyperlink>
        </w:p>
        <w:p w14:paraId="2211AA4E" w14:textId="5143AF86" w:rsidR="00096CF3" w:rsidRDefault="00113A6E">
          <w:pPr>
            <w:pStyle w:val="Sumrio1"/>
            <w:tabs>
              <w:tab w:val="start" w:pos="24pt"/>
              <w:tab w:val="end" w:pos="424.70pt"/>
            </w:tabs>
            <w:rPr>
              <w:rFonts w:asciiTheme="minorHAnsi" w:eastAsiaTheme="minorEastAsia" w:hAnsiTheme="minorHAnsi" w:cstheme="minorBidi"/>
              <w:noProof/>
              <w:color w:val="auto"/>
              <w:sz w:val="22"/>
              <w:szCs w:val="22"/>
            </w:rPr>
          </w:pPr>
          <w:hyperlink w:anchor="_Toc81581108" w:history="1">
            <w:r w:rsidR="00096CF3" w:rsidRPr="006A159E">
              <w:rPr>
                <w:rStyle w:val="Hyperlink"/>
                <w:noProof/>
              </w:rPr>
              <w:t>5.</w:t>
            </w:r>
            <w:r w:rsidR="00096CF3">
              <w:rPr>
                <w:rFonts w:asciiTheme="minorHAnsi" w:eastAsiaTheme="minorEastAsia" w:hAnsiTheme="minorHAnsi" w:cstheme="minorBidi"/>
                <w:noProof/>
                <w:color w:val="auto"/>
                <w:sz w:val="22"/>
                <w:szCs w:val="22"/>
              </w:rPr>
              <w:tab/>
            </w:r>
            <w:r w:rsidR="00096CF3" w:rsidRPr="006A159E">
              <w:rPr>
                <w:rStyle w:val="Hyperlink"/>
                <w:noProof/>
              </w:rPr>
              <w:t>Discussão</w:t>
            </w:r>
            <w:r w:rsidR="00096CF3">
              <w:rPr>
                <w:noProof/>
                <w:webHidden/>
              </w:rPr>
              <w:tab/>
            </w:r>
            <w:r w:rsidR="00096CF3">
              <w:rPr>
                <w:noProof/>
                <w:webHidden/>
              </w:rPr>
              <w:fldChar w:fldCharType="begin"/>
            </w:r>
            <w:r w:rsidR="00096CF3">
              <w:rPr>
                <w:noProof/>
                <w:webHidden/>
              </w:rPr>
              <w:instrText xml:space="preserve"> PAGEREF _Toc81581108 \h </w:instrText>
            </w:r>
            <w:r w:rsidR="00096CF3">
              <w:rPr>
                <w:noProof/>
                <w:webHidden/>
              </w:rPr>
            </w:r>
            <w:r w:rsidR="00096CF3">
              <w:rPr>
                <w:noProof/>
                <w:webHidden/>
              </w:rPr>
              <w:fldChar w:fldCharType="separate"/>
            </w:r>
            <w:r w:rsidR="00207418">
              <w:rPr>
                <w:noProof/>
                <w:webHidden/>
              </w:rPr>
              <w:t>23</w:t>
            </w:r>
            <w:r w:rsidR="00096CF3">
              <w:rPr>
                <w:noProof/>
                <w:webHidden/>
              </w:rPr>
              <w:fldChar w:fldCharType="end"/>
            </w:r>
          </w:hyperlink>
        </w:p>
        <w:p w14:paraId="1ABF401D" w14:textId="36F4535D" w:rsidR="00096CF3" w:rsidRDefault="00113A6E">
          <w:pPr>
            <w:pStyle w:val="Sumrio1"/>
            <w:tabs>
              <w:tab w:val="start" w:pos="24pt"/>
              <w:tab w:val="end" w:pos="424.70pt"/>
            </w:tabs>
            <w:rPr>
              <w:rFonts w:asciiTheme="minorHAnsi" w:eastAsiaTheme="minorEastAsia" w:hAnsiTheme="minorHAnsi" w:cstheme="minorBidi"/>
              <w:noProof/>
              <w:color w:val="auto"/>
              <w:sz w:val="22"/>
              <w:szCs w:val="22"/>
            </w:rPr>
          </w:pPr>
          <w:hyperlink w:anchor="_Toc81581109" w:history="1">
            <w:r w:rsidR="00096CF3" w:rsidRPr="006A159E">
              <w:rPr>
                <w:rStyle w:val="Hyperlink"/>
                <w:noProof/>
              </w:rPr>
              <w:t>6.</w:t>
            </w:r>
            <w:r w:rsidR="00096CF3">
              <w:rPr>
                <w:rFonts w:asciiTheme="minorHAnsi" w:eastAsiaTheme="minorEastAsia" w:hAnsiTheme="minorHAnsi" w:cstheme="minorBidi"/>
                <w:noProof/>
                <w:color w:val="auto"/>
                <w:sz w:val="22"/>
                <w:szCs w:val="22"/>
              </w:rPr>
              <w:tab/>
            </w:r>
            <w:r w:rsidR="00096CF3" w:rsidRPr="006A159E">
              <w:rPr>
                <w:rStyle w:val="Hyperlink"/>
                <w:noProof/>
              </w:rPr>
              <w:t>Outras informações</w:t>
            </w:r>
            <w:r w:rsidR="00096CF3">
              <w:rPr>
                <w:noProof/>
                <w:webHidden/>
              </w:rPr>
              <w:tab/>
            </w:r>
            <w:r w:rsidR="00096CF3">
              <w:rPr>
                <w:noProof/>
                <w:webHidden/>
              </w:rPr>
              <w:fldChar w:fldCharType="begin"/>
            </w:r>
            <w:r w:rsidR="00096CF3">
              <w:rPr>
                <w:noProof/>
                <w:webHidden/>
              </w:rPr>
              <w:instrText xml:space="preserve"> PAGEREF _Toc81581109 \h </w:instrText>
            </w:r>
            <w:r w:rsidR="00096CF3">
              <w:rPr>
                <w:noProof/>
                <w:webHidden/>
              </w:rPr>
            </w:r>
            <w:r w:rsidR="00096CF3">
              <w:rPr>
                <w:noProof/>
                <w:webHidden/>
              </w:rPr>
              <w:fldChar w:fldCharType="separate"/>
            </w:r>
            <w:r w:rsidR="00207418">
              <w:rPr>
                <w:noProof/>
                <w:webHidden/>
              </w:rPr>
              <w:t>23</w:t>
            </w:r>
            <w:r w:rsidR="00096CF3">
              <w:rPr>
                <w:noProof/>
                <w:webHidden/>
              </w:rPr>
              <w:fldChar w:fldCharType="end"/>
            </w:r>
          </w:hyperlink>
        </w:p>
        <w:p w14:paraId="360B60D8" w14:textId="1495F1C5" w:rsidR="00096CF3" w:rsidRDefault="00113A6E">
          <w:pPr>
            <w:pStyle w:val="Sumrio2"/>
            <w:tabs>
              <w:tab w:val="end" w:pos="424.70pt"/>
            </w:tabs>
            <w:rPr>
              <w:rFonts w:asciiTheme="minorHAnsi" w:eastAsiaTheme="minorEastAsia" w:hAnsiTheme="minorHAnsi" w:cstheme="minorBidi"/>
              <w:noProof/>
              <w:color w:val="auto"/>
              <w:sz w:val="22"/>
              <w:szCs w:val="22"/>
            </w:rPr>
          </w:pPr>
          <w:hyperlink w:anchor="_Toc81581110" w:history="1">
            <w:r w:rsidR="00096CF3" w:rsidRPr="006A159E">
              <w:rPr>
                <w:rStyle w:val="Hyperlink"/>
                <w:noProof/>
              </w:rPr>
              <w:t>6.1 Financiamento</w:t>
            </w:r>
            <w:r w:rsidR="00096CF3">
              <w:rPr>
                <w:noProof/>
                <w:webHidden/>
              </w:rPr>
              <w:tab/>
            </w:r>
            <w:r w:rsidR="00096CF3">
              <w:rPr>
                <w:noProof/>
                <w:webHidden/>
              </w:rPr>
              <w:fldChar w:fldCharType="begin"/>
            </w:r>
            <w:r w:rsidR="00096CF3">
              <w:rPr>
                <w:noProof/>
                <w:webHidden/>
              </w:rPr>
              <w:instrText xml:space="preserve"> PAGEREF _Toc81581110 \h </w:instrText>
            </w:r>
            <w:r w:rsidR="00096CF3">
              <w:rPr>
                <w:noProof/>
                <w:webHidden/>
              </w:rPr>
            </w:r>
            <w:r w:rsidR="00096CF3">
              <w:rPr>
                <w:noProof/>
                <w:webHidden/>
              </w:rPr>
              <w:fldChar w:fldCharType="separate"/>
            </w:r>
            <w:r w:rsidR="00207418">
              <w:rPr>
                <w:noProof/>
                <w:webHidden/>
              </w:rPr>
              <w:t>23</w:t>
            </w:r>
            <w:r w:rsidR="00096CF3">
              <w:rPr>
                <w:noProof/>
                <w:webHidden/>
              </w:rPr>
              <w:fldChar w:fldCharType="end"/>
            </w:r>
          </w:hyperlink>
        </w:p>
        <w:p w14:paraId="6D8EFCCE" w14:textId="5E42C1CA" w:rsidR="00096CF3" w:rsidRDefault="00113A6E">
          <w:pPr>
            <w:pStyle w:val="Sumrio1"/>
            <w:tabs>
              <w:tab w:val="start" w:pos="24pt"/>
              <w:tab w:val="end" w:pos="424.70pt"/>
            </w:tabs>
            <w:rPr>
              <w:rFonts w:asciiTheme="minorHAnsi" w:eastAsiaTheme="minorEastAsia" w:hAnsiTheme="minorHAnsi" w:cstheme="minorBidi"/>
              <w:noProof/>
              <w:color w:val="auto"/>
              <w:sz w:val="22"/>
              <w:szCs w:val="22"/>
            </w:rPr>
          </w:pPr>
          <w:hyperlink w:anchor="_Toc81581111" w:history="1">
            <w:r w:rsidR="00096CF3" w:rsidRPr="006A159E">
              <w:rPr>
                <w:rStyle w:val="Hyperlink"/>
                <w:noProof/>
              </w:rPr>
              <w:t>7.</w:t>
            </w:r>
            <w:r w:rsidR="00096CF3">
              <w:rPr>
                <w:rFonts w:asciiTheme="minorHAnsi" w:eastAsiaTheme="minorEastAsia" w:hAnsiTheme="minorHAnsi" w:cstheme="minorBidi"/>
                <w:noProof/>
                <w:color w:val="auto"/>
                <w:sz w:val="22"/>
                <w:szCs w:val="22"/>
              </w:rPr>
              <w:tab/>
            </w:r>
            <w:r w:rsidR="00096CF3" w:rsidRPr="006A159E">
              <w:rPr>
                <w:rStyle w:val="Hyperlink"/>
                <w:noProof/>
              </w:rPr>
              <w:t>Referências Bibliográficas</w:t>
            </w:r>
            <w:r w:rsidR="00096CF3">
              <w:rPr>
                <w:noProof/>
                <w:webHidden/>
              </w:rPr>
              <w:tab/>
            </w:r>
            <w:r w:rsidR="00096CF3">
              <w:rPr>
                <w:noProof/>
                <w:webHidden/>
              </w:rPr>
              <w:fldChar w:fldCharType="begin"/>
            </w:r>
            <w:r w:rsidR="00096CF3">
              <w:rPr>
                <w:noProof/>
                <w:webHidden/>
              </w:rPr>
              <w:instrText xml:space="preserve"> PAGEREF _Toc81581111 \h </w:instrText>
            </w:r>
            <w:r w:rsidR="00096CF3">
              <w:rPr>
                <w:noProof/>
                <w:webHidden/>
              </w:rPr>
            </w:r>
            <w:r w:rsidR="00096CF3">
              <w:rPr>
                <w:noProof/>
                <w:webHidden/>
              </w:rPr>
              <w:fldChar w:fldCharType="separate"/>
            </w:r>
            <w:r w:rsidR="00207418">
              <w:rPr>
                <w:noProof/>
                <w:webHidden/>
              </w:rPr>
              <w:t>24</w:t>
            </w:r>
            <w:r w:rsidR="00096CF3">
              <w:rPr>
                <w:noProof/>
                <w:webHidden/>
              </w:rPr>
              <w:fldChar w:fldCharType="end"/>
            </w:r>
          </w:hyperlink>
        </w:p>
        <w:p w14:paraId="28D434DC" w14:textId="6950151C" w:rsidR="00197429" w:rsidRDefault="00E7181B">
          <w:r>
            <w:fldChar w:fldCharType="end"/>
          </w:r>
        </w:p>
      </w:sdtContent>
    </w:sdt>
    <w:p w14:paraId="6FFC9BC2" w14:textId="77777777" w:rsidR="00197429" w:rsidRDefault="00197429"/>
    <w:p w14:paraId="48F05863" w14:textId="77777777" w:rsidR="00197429" w:rsidRDefault="00E7181B">
      <w:pPr>
        <w:spacing w:after="8pt" w:line="12.95pt" w:lineRule="auto"/>
        <w:rPr>
          <w:b/>
          <w:sz w:val="28"/>
          <w:szCs w:val="28"/>
        </w:rPr>
      </w:pPr>
      <w:r>
        <w:br w:type="page"/>
      </w:r>
    </w:p>
    <w:p w14:paraId="477BB1FE" w14:textId="77777777" w:rsidR="00197429" w:rsidRDefault="00E7181B">
      <w:pPr>
        <w:pStyle w:val="Ttulo1"/>
        <w:numPr>
          <w:ilvl w:val="0"/>
          <w:numId w:val="7"/>
        </w:numPr>
      </w:pPr>
      <w:bookmarkStart w:id="4" w:name="_Toc81581086"/>
      <w:r>
        <w:lastRenderedPageBreak/>
        <w:t>Introdução</w:t>
      </w:r>
      <w:bookmarkEnd w:id="4"/>
    </w:p>
    <w:p w14:paraId="6F6849EB" w14:textId="41EC6170" w:rsidR="00197429" w:rsidRPr="0003458D" w:rsidRDefault="00E7181B">
      <w:pPr>
        <w:spacing w:line="18pt" w:lineRule="auto"/>
        <w:ind w:firstLine="18pt"/>
        <w:rPr>
          <w:sz w:val="28"/>
          <w:szCs w:val="28"/>
        </w:rPr>
      </w:pPr>
      <w:r w:rsidRPr="0003458D">
        <w:rPr>
          <w:sz w:val="28"/>
          <w:szCs w:val="28"/>
        </w:rPr>
        <w:t>Complicações pulmonares pós-operatórias (CPPs) são responsáveis ​​por um aumento substancial da morbidade e mortalidade dos pacientes. A incidência de CPPs varia de acordo com a definição e o tipo de cirurgia, pode</w:t>
      </w:r>
      <w:r w:rsidRPr="0003458D">
        <w:rPr>
          <w:rFonts w:eastAsia="do"/>
          <w:sz w:val="28"/>
          <w:szCs w:val="28"/>
        </w:rPr>
        <w:t>ndo</w:t>
      </w:r>
      <w:r w:rsidRPr="0003458D">
        <w:rPr>
          <w:sz w:val="28"/>
          <w:szCs w:val="28"/>
        </w:rPr>
        <w:t xml:space="preserve"> ocorrer em 6% a 80% dos casos.  Quanto a gravidade pode cursar desde atelectasia à síndrome do desconforto respiratório agudo (</w:t>
      </w:r>
      <w:proofErr w:type="spellStart"/>
      <w:r w:rsidR="0003458D">
        <w:rPr>
          <w:i/>
          <w:sz w:val="28"/>
          <w:szCs w:val="28"/>
        </w:rPr>
        <w:t>A</w:t>
      </w:r>
      <w:r w:rsidRPr="0003458D">
        <w:rPr>
          <w:i/>
          <w:sz w:val="28"/>
          <w:szCs w:val="28"/>
        </w:rPr>
        <w:t>cute</w:t>
      </w:r>
      <w:proofErr w:type="spellEnd"/>
      <w:r w:rsidRPr="0003458D">
        <w:rPr>
          <w:i/>
          <w:sz w:val="28"/>
          <w:szCs w:val="28"/>
        </w:rPr>
        <w:t xml:space="preserve"> </w:t>
      </w:r>
      <w:proofErr w:type="spellStart"/>
      <w:r w:rsidR="0003458D">
        <w:rPr>
          <w:i/>
          <w:sz w:val="28"/>
          <w:szCs w:val="28"/>
        </w:rPr>
        <w:t>R</w:t>
      </w:r>
      <w:r w:rsidRPr="0003458D">
        <w:rPr>
          <w:i/>
          <w:sz w:val="28"/>
          <w:szCs w:val="28"/>
        </w:rPr>
        <w:t>espiratory</w:t>
      </w:r>
      <w:proofErr w:type="spellEnd"/>
      <w:r w:rsidRPr="0003458D">
        <w:rPr>
          <w:i/>
          <w:sz w:val="28"/>
          <w:szCs w:val="28"/>
        </w:rPr>
        <w:t xml:space="preserve"> </w:t>
      </w:r>
      <w:proofErr w:type="spellStart"/>
      <w:r w:rsidR="0003458D">
        <w:rPr>
          <w:i/>
          <w:sz w:val="28"/>
          <w:szCs w:val="28"/>
        </w:rPr>
        <w:t>D</w:t>
      </w:r>
      <w:r w:rsidRPr="0003458D">
        <w:rPr>
          <w:i/>
          <w:sz w:val="28"/>
          <w:szCs w:val="28"/>
        </w:rPr>
        <w:t>istress</w:t>
      </w:r>
      <w:proofErr w:type="spellEnd"/>
      <w:r w:rsidRPr="0003458D">
        <w:rPr>
          <w:i/>
          <w:sz w:val="28"/>
          <w:szCs w:val="28"/>
        </w:rPr>
        <w:t xml:space="preserve"> </w:t>
      </w:r>
      <w:proofErr w:type="spellStart"/>
      <w:r w:rsidR="0003458D">
        <w:rPr>
          <w:i/>
          <w:sz w:val="28"/>
          <w:szCs w:val="28"/>
        </w:rPr>
        <w:t>S</w:t>
      </w:r>
      <w:r w:rsidRPr="0003458D">
        <w:rPr>
          <w:i/>
          <w:sz w:val="28"/>
          <w:szCs w:val="28"/>
        </w:rPr>
        <w:t>yndrome</w:t>
      </w:r>
      <w:proofErr w:type="spellEnd"/>
      <w:r w:rsidRPr="0003458D">
        <w:rPr>
          <w:i/>
          <w:sz w:val="28"/>
          <w:szCs w:val="28"/>
        </w:rPr>
        <w:t xml:space="preserve"> </w:t>
      </w:r>
      <w:r w:rsidRPr="0003458D">
        <w:rPr>
          <w:sz w:val="28"/>
          <w:szCs w:val="28"/>
        </w:rPr>
        <w:t xml:space="preserve">- SDRA) (CANET </w:t>
      </w:r>
      <w:r w:rsidRPr="0003458D">
        <w:rPr>
          <w:i/>
          <w:sz w:val="28"/>
          <w:szCs w:val="28"/>
        </w:rPr>
        <w:t>et al.</w:t>
      </w:r>
      <w:r w:rsidRPr="0003458D">
        <w:rPr>
          <w:sz w:val="28"/>
          <w:szCs w:val="28"/>
        </w:rPr>
        <w:t xml:space="preserve">, 2010) (FERNANDEZ-BUSTAMANTE </w:t>
      </w:r>
      <w:r w:rsidRPr="0003458D">
        <w:rPr>
          <w:i/>
          <w:sz w:val="28"/>
          <w:szCs w:val="28"/>
        </w:rPr>
        <w:t>et al</w:t>
      </w:r>
      <w:r w:rsidRPr="0003458D">
        <w:rPr>
          <w:sz w:val="28"/>
          <w:szCs w:val="28"/>
        </w:rPr>
        <w:t>., 2017).</w:t>
      </w:r>
    </w:p>
    <w:p w14:paraId="0EE8A4C0" w14:textId="77777777" w:rsidR="00197429" w:rsidRPr="0003458D" w:rsidRDefault="00113A6E">
      <w:pPr>
        <w:spacing w:line="18pt" w:lineRule="auto"/>
        <w:ind w:firstLine="18pt"/>
        <w:rPr>
          <w:sz w:val="28"/>
          <w:szCs w:val="28"/>
        </w:rPr>
      </w:pPr>
      <w:sdt>
        <w:sdtPr>
          <w:rPr>
            <w:sz w:val="28"/>
            <w:szCs w:val="28"/>
          </w:rPr>
          <w:tag w:val="goog_rdk_0"/>
          <w:id w:val="1845976355"/>
        </w:sdtPr>
        <w:sdtEndPr/>
        <w:sdtContent>
          <w:r w:rsidR="00E7181B" w:rsidRPr="0003458D">
            <w:rPr>
              <w:rFonts w:eastAsia="Gungsuh"/>
              <w:sz w:val="28"/>
              <w:szCs w:val="28"/>
            </w:rPr>
            <w:t xml:space="preserve">No pós-operatório de cirurgia cardíaca a incidência esperada para CPPs ≥ 3 é de 30%, utilizando o escore modificado de complicações pulmonares de Kroenke </w:t>
          </w:r>
        </w:sdtContent>
      </w:sdt>
      <w:r w:rsidR="00E7181B" w:rsidRPr="0003458D">
        <w:rPr>
          <w:i/>
          <w:sz w:val="28"/>
          <w:szCs w:val="28"/>
        </w:rPr>
        <w:t>et al</w:t>
      </w:r>
      <w:r w:rsidR="00E7181B" w:rsidRPr="0003458D">
        <w:rPr>
          <w:sz w:val="28"/>
          <w:szCs w:val="28"/>
        </w:rPr>
        <w:t xml:space="preserve">, 2015 (LAWRENCE; JOHN, 2015) (COSTA LEME </w:t>
      </w:r>
      <w:r w:rsidR="00E7181B" w:rsidRPr="0003458D">
        <w:rPr>
          <w:i/>
          <w:sz w:val="28"/>
          <w:szCs w:val="28"/>
        </w:rPr>
        <w:t>et al.</w:t>
      </w:r>
      <w:r w:rsidR="00E7181B" w:rsidRPr="0003458D">
        <w:rPr>
          <w:sz w:val="28"/>
          <w:szCs w:val="28"/>
        </w:rPr>
        <w:t>, 2017).</w:t>
      </w:r>
    </w:p>
    <w:p w14:paraId="0E050E47" w14:textId="77777777" w:rsidR="00197429" w:rsidRDefault="00113A6E">
      <w:pPr>
        <w:spacing w:line="18pt" w:lineRule="auto"/>
        <w:ind w:firstLine="18pt"/>
        <w:rPr>
          <w:sz w:val="28"/>
          <w:szCs w:val="28"/>
        </w:rPr>
      </w:pPr>
      <w:sdt>
        <w:sdtPr>
          <w:rPr>
            <w:sz w:val="28"/>
            <w:szCs w:val="28"/>
          </w:rPr>
          <w:tag w:val="goog_rdk_1"/>
          <w:id w:val="1898864166"/>
        </w:sdtPr>
        <w:sdtEndPr/>
        <w:sdtContent>
          <w:r w:rsidR="00E7181B" w:rsidRPr="0003458D">
            <w:rPr>
              <w:rFonts w:eastAsia="Gungsuh"/>
              <w:sz w:val="28"/>
              <w:szCs w:val="28"/>
            </w:rPr>
            <w:t xml:space="preserve">No Hospital Universitário Pedro Ernesto (HUPE) a incidência de complicações pulmonares pós-operatórias (CPPs) com graduação maior ou igual a 2 (CPPs ≥ 2) é de 60% e maior ou igual a 3 (CPPs ≥ 3) é de 32% por meio da definição de complicações pulmonares no pós-operatório adaptado de Kroenke </w:t>
          </w:r>
        </w:sdtContent>
      </w:sdt>
      <w:r w:rsidR="00E7181B" w:rsidRPr="0003458D">
        <w:rPr>
          <w:i/>
          <w:sz w:val="28"/>
          <w:szCs w:val="28"/>
        </w:rPr>
        <w:t>et al</w:t>
      </w:r>
      <w:r w:rsidR="00E7181B" w:rsidRPr="0003458D">
        <w:rPr>
          <w:sz w:val="28"/>
          <w:szCs w:val="28"/>
        </w:rPr>
        <w:t>, 2015. O tempo mediano de ventilação mecânica invasiva (VMI) é de 280 minutos (65 – 5760) e o tempo mediano de internação em unidade de terapia intensiva é de</w:t>
      </w:r>
      <w:r w:rsidR="00E7181B">
        <w:rPr>
          <w:sz w:val="28"/>
          <w:szCs w:val="28"/>
        </w:rPr>
        <w:t xml:space="preserve"> 4 dias (1 – 34). Estes dados foram coletados em estudo observacional no qual foram avaliados 109 pacientes submetidos à cirurgia cardíaca entre novembro de 2020 e janeiro de 2021 no HUPE, na Universidade do Estado do Rio de Janeiro (UERJ), Brasil.</w:t>
      </w:r>
    </w:p>
    <w:p w14:paraId="730179EE" w14:textId="77777777" w:rsidR="00197429" w:rsidRDefault="00E7181B">
      <w:pPr>
        <w:pBdr>
          <w:top w:val="nil"/>
          <w:left w:val="nil"/>
          <w:bottom w:val="nil"/>
          <w:right w:val="nil"/>
          <w:between w:val="nil"/>
        </w:pBdr>
        <w:spacing w:line="18pt" w:lineRule="auto"/>
        <w:ind w:firstLine="18pt"/>
        <w:rPr>
          <w:sz w:val="28"/>
          <w:szCs w:val="28"/>
        </w:rPr>
      </w:pPr>
      <w:r>
        <w:rPr>
          <w:sz w:val="28"/>
          <w:szCs w:val="28"/>
        </w:rPr>
        <w:t xml:space="preserve">No pós-operatório de cirurgia cardíaca, a insuficiência respiratória (IR) ocorre com uma incidência de 20–25%, exigindo ventilação mecânica (VM) prolongada e maior permanência em unidade de terapia intensiva (UTI) (BALL; COSTANTINO; PELOSI, 2016). O mecanismo fisiopatológico da IR é bastante complexo, mas sabe-se que a circulação extracorpórea (CEC) desempenha um papel determinante na lesão pulmonar (MAGNUSSON </w:t>
      </w:r>
      <w:r>
        <w:rPr>
          <w:i/>
          <w:sz w:val="28"/>
          <w:szCs w:val="28"/>
        </w:rPr>
        <w:t>et al.</w:t>
      </w:r>
      <w:r>
        <w:rPr>
          <w:sz w:val="28"/>
          <w:szCs w:val="28"/>
        </w:rPr>
        <w:t xml:space="preserve">, 1981). Diversos fatores contribuem para esta injúria: atelectasia, </w:t>
      </w:r>
      <w:r>
        <w:rPr>
          <w:sz w:val="28"/>
          <w:szCs w:val="28"/>
        </w:rPr>
        <w:lastRenderedPageBreak/>
        <w:t xml:space="preserve">hiperoxemia com a liberação de radicais livres (REBER </w:t>
      </w:r>
      <w:r>
        <w:rPr>
          <w:i/>
          <w:sz w:val="28"/>
          <w:szCs w:val="28"/>
        </w:rPr>
        <w:t>et al.</w:t>
      </w:r>
      <w:r>
        <w:rPr>
          <w:sz w:val="28"/>
          <w:szCs w:val="28"/>
        </w:rPr>
        <w:t xml:space="preserve">, 2000) e uma resposta inflamatória sistêmica relacionada a CEC (LAFFEY; BOYLAN; CHENG, 2002) (ALLOU </w:t>
      </w:r>
      <w:r>
        <w:rPr>
          <w:i/>
          <w:sz w:val="28"/>
          <w:szCs w:val="28"/>
        </w:rPr>
        <w:t>et al.</w:t>
      </w:r>
      <w:r>
        <w:rPr>
          <w:sz w:val="28"/>
          <w:szCs w:val="28"/>
        </w:rPr>
        <w:t>, 2014).</w:t>
      </w:r>
    </w:p>
    <w:p w14:paraId="1AAF8BE3" w14:textId="77777777" w:rsidR="00197429" w:rsidRDefault="00E7181B">
      <w:pPr>
        <w:pBdr>
          <w:top w:val="nil"/>
          <w:left w:val="nil"/>
          <w:bottom w:val="nil"/>
          <w:right w:val="nil"/>
          <w:between w:val="nil"/>
        </w:pBdr>
        <w:spacing w:line="18pt" w:lineRule="auto"/>
        <w:ind w:firstLine="18pt"/>
        <w:rPr>
          <w:sz w:val="28"/>
          <w:szCs w:val="28"/>
        </w:rPr>
      </w:pPr>
      <w:r>
        <w:rPr>
          <w:sz w:val="28"/>
          <w:szCs w:val="28"/>
        </w:rPr>
        <w:t xml:space="preserve">Por outro lado, a adoção de uma estratégia de ventilação protetora parece atenuar a resposta inflamatória sistêmica e pulmonar em pacientes submetidos à revascularização do miocárdio (RM) (ZUPANCICH </w:t>
      </w:r>
      <w:r>
        <w:rPr>
          <w:i/>
          <w:sz w:val="28"/>
          <w:szCs w:val="28"/>
        </w:rPr>
        <w:t>et al.</w:t>
      </w:r>
      <w:r>
        <w:rPr>
          <w:sz w:val="28"/>
          <w:szCs w:val="28"/>
        </w:rPr>
        <w:t xml:space="preserve">, 2005), bem como é capaz de minimizar a redução da capacidade residual funcional (CRF) e melhorar a saturação de oxigênio em relação aos pacientes submetidos à estratégia de ventilação convencional (MIRANDA </w:t>
      </w:r>
      <w:r>
        <w:rPr>
          <w:i/>
          <w:sz w:val="28"/>
          <w:szCs w:val="28"/>
        </w:rPr>
        <w:t>et al.</w:t>
      </w:r>
      <w:r>
        <w:rPr>
          <w:sz w:val="28"/>
          <w:szCs w:val="28"/>
        </w:rPr>
        <w:t xml:space="preserve">, 2005).  </w:t>
      </w:r>
    </w:p>
    <w:p w14:paraId="5B9630A5" w14:textId="77777777" w:rsidR="00197429" w:rsidRDefault="00E7181B">
      <w:pPr>
        <w:pBdr>
          <w:top w:val="nil"/>
          <w:left w:val="nil"/>
          <w:bottom w:val="nil"/>
          <w:right w:val="nil"/>
          <w:between w:val="nil"/>
        </w:pBdr>
        <w:spacing w:line="18pt" w:lineRule="auto"/>
        <w:ind w:firstLine="18pt"/>
        <w:rPr>
          <w:sz w:val="28"/>
          <w:szCs w:val="28"/>
        </w:rPr>
      </w:pPr>
      <w:r>
        <w:rPr>
          <w:sz w:val="28"/>
          <w:szCs w:val="28"/>
        </w:rPr>
        <w:t>Apesar das evidências, muitos pacientes continuam recebendo VM com alto volume corrente (VC), PEEP variada e frequentemente com elevada pressão de distensão alveolar (</w:t>
      </w:r>
      <w:r>
        <w:rPr>
          <w:i/>
          <w:sz w:val="28"/>
          <w:szCs w:val="28"/>
        </w:rPr>
        <w:t xml:space="preserve">driving pressure - </w:t>
      </w:r>
      <w:r>
        <w:rPr>
          <w:sz w:val="28"/>
          <w:szCs w:val="28"/>
        </w:rPr>
        <w:t xml:space="preserve">DP) (JABER </w:t>
      </w:r>
      <w:r>
        <w:rPr>
          <w:i/>
          <w:sz w:val="28"/>
          <w:szCs w:val="28"/>
        </w:rPr>
        <w:t>et al.</w:t>
      </w:r>
      <w:r>
        <w:rPr>
          <w:sz w:val="28"/>
          <w:szCs w:val="28"/>
        </w:rPr>
        <w:t xml:space="preserve">, 2012) (HESS </w:t>
      </w:r>
      <w:r>
        <w:rPr>
          <w:i/>
          <w:sz w:val="28"/>
          <w:szCs w:val="28"/>
        </w:rPr>
        <w:t>et al.</w:t>
      </w:r>
      <w:r>
        <w:rPr>
          <w:sz w:val="28"/>
          <w:szCs w:val="28"/>
        </w:rPr>
        <w:t>, 2013). O emprego de uma estratégia ventilatória com elevada DP foi reconhecida como fator determinante para lesão pulmonar induzida pelo ventilador (</w:t>
      </w:r>
      <w:r>
        <w:rPr>
          <w:i/>
          <w:sz w:val="28"/>
          <w:szCs w:val="28"/>
        </w:rPr>
        <w:t>ventilator-induced lung Injury</w:t>
      </w:r>
      <w:r>
        <w:rPr>
          <w:sz w:val="28"/>
          <w:szCs w:val="28"/>
        </w:rPr>
        <w:t xml:space="preserve"> -VILI) e está diretamente ligada às CPPs (AMATO </w:t>
      </w:r>
      <w:r>
        <w:rPr>
          <w:i/>
          <w:sz w:val="28"/>
          <w:szCs w:val="28"/>
        </w:rPr>
        <w:t>et al.</w:t>
      </w:r>
      <w:r>
        <w:rPr>
          <w:sz w:val="28"/>
          <w:szCs w:val="28"/>
        </w:rPr>
        <w:t>, 2014).</w:t>
      </w:r>
    </w:p>
    <w:p w14:paraId="2BD51816" w14:textId="77777777" w:rsidR="00197429" w:rsidRDefault="00E7181B">
      <w:pPr>
        <w:spacing w:line="18pt" w:lineRule="auto"/>
        <w:ind w:firstLine="36pt"/>
        <w:rPr>
          <w:sz w:val="28"/>
          <w:szCs w:val="28"/>
        </w:rPr>
      </w:pPr>
      <w:r>
        <w:rPr>
          <w:sz w:val="28"/>
          <w:szCs w:val="28"/>
        </w:rPr>
        <w:t xml:space="preserve">Em uma metanálise publicada em 2016, a titulação de uma PEEP individualizada resultou em menor DP (10,4 </w:t>
      </w:r>
      <w:r>
        <w:rPr>
          <w:i/>
          <w:sz w:val="28"/>
          <w:szCs w:val="28"/>
        </w:rPr>
        <w:t>versus</w:t>
      </w:r>
      <w:r>
        <w:rPr>
          <w:sz w:val="28"/>
          <w:szCs w:val="28"/>
        </w:rPr>
        <w:t xml:space="preserve"> 13,2 cmH</w:t>
      </w:r>
      <w:r>
        <w:rPr>
          <w:sz w:val="28"/>
          <w:szCs w:val="28"/>
          <w:vertAlign w:val="subscript"/>
        </w:rPr>
        <w:t>2</w:t>
      </w:r>
      <w:r>
        <w:rPr>
          <w:sz w:val="28"/>
          <w:szCs w:val="28"/>
        </w:rPr>
        <w:t xml:space="preserve">O) e o aumento da PEEP quando associado a um aumento na DP, durante uma ventilação protetora, pode estar associado a um risco aumentado de CPPs (NETO </w:t>
      </w:r>
      <w:r>
        <w:rPr>
          <w:i/>
          <w:sz w:val="28"/>
          <w:szCs w:val="28"/>
        </w:rPr>
        <w:t>et al.</w:t>
      </w:r>
      <w:r>
        <w:rPr>
          <w:sz w:val="28"/>
          <w:szCs w:val="28"/>
        </w:rPr>
        <w:t>, 2016).</w:t>
      </w:r>
    </w:p>
    <w:p w14:paraId="2909DE48" w14:textId="77777777" w:rsidR="00197429" w:rsidRDefault="00E7181B">
      <w:pPr>
        <w:spacing w:line="18pt" w:lineRule="auto"/>
        <w:ind w:firstLine="36pt"/>
        <w:rPr>
          <w:sz w:val="28"/>
          <w:szCs w:val="28"/>
        </w:rPr>
      </w:pPr>
      <w:r>
        <w:rPr>
          <w:sz w:val="28"/>
          <w:szCs w:val="28"/>
        </w:rPr>
        <w:t xml:space="preserve">Outros estudos enfatizam que o efeito da DP é ainda mais importante que o efeito do VC e da pressão de platô (Pplat) como fator determinante para mortalidade na SDRA (AMATO; PH, 2018)(GUÉRIN </w:t>
      </w:r>
      <w:r>
        <w:rPr>
          <w:i/>
          <w:sz w:val="28"/>
          <w:szCs w:val="28"/>
        </w:rPr>
        <w:t>et al.</w:t>
      </w:r>
      <w:r>
        <w:rPr>
          <w:sz w:val="28"/>
          <w:szCs w:val="28"/>
        </w:rPr>
        <w:t>, 2016).</w:t>
      </w:r>
    </w:p>
    <w:p w14:paraId="7AA14546" w14:textId="77777777" w:rsidR="00197429" w:rsidRDefault="00E7181B">
      <w:pPr>
        <w:spacing w:line="18pt" w:lineRule="auto"/>
        <w:ind w:firstLine="36pt"/>
        <w:rPr>
          <w:sz w:val="28"/>
          <w:szCs w:val="28"/>
        </w:rPr>
      </w:pPr>
      <w:r>
        <w:rPr>
          <w:sz w:val="28"/>
          <w:szCs w:val="28"/>
        </w:rPr>
        <w:t>Nos pacientes em POi de cirurgia cardíaca, já ventilados com VC protetor, é possível reduzir a DP com o aumento da aeração pulmonar, por meio de uma manobra de recrutamento alveolar (MR) e titulação individualizada da PEEP pela menor DP.</w:t>
      </w:r>
    </w:p>
    <w:p w14:paraId="17EB7575" w14:textId="77777777" w:rsidR="00197429" w:rsidRDefault="00E7181B">
      <w:pPr>
        <w:pBdr>
          <w:top w:val="nil"/>
          <w:left w:val="nil"/>
          <w:bottom w:val="nil"/>
          <w:right w:val="nil"/>
          <w:between w:val="nil"/>
        </w:pBdr>
        <w:spacing w:line="18pt" w:lineRule="auto"/>
        <w:ind w:firstLine="18pt"/>
        <w:rPr>
          <w:sz w:val="28"/>
          <w:szCs w:val="28"/>
        </w:rPr>
      </w:pPr>
      <w:r>
        <w:rPr>
          <w:sz w:val="28"/>
          <w:szCs w:val="28"/>
        </w:rPr>
        <w:lastRenderedPageBreak/>
        <w:t xml:space="preserve">Estudos recentes têm mostrado que uma estratégia ventilatória individualizada pode melhorar a mecânica pulmonar, a função respiratória e prevenir CPPs (YOUNG </w:t>
      </w:r>
      <w:r>
        <w:rPr>
          <w:i/>
          <w:sz w:val="28"/>
          <w:szCs w:val="28"/>
        </w:rPr>
        <w:t>et al.</w:t>
      </w:r>
      <w:r>
        <w:rPr>
          <w:sz w:val="28"/>
          <w:szCs w:val="28"/>
        </w:rPr>
        <w:t>, 2019), entretanto não há consenso sobre quais estratégias de proteção pulmonar devem ser utilizadas em pacientes no POi de cirurgia cardíaca e seu impacto sobre a incidência das CPPs.</w:t>
      </w:r>
    </w:p>
    <w:p w14:paraId="3F05DA0D" w14:textId="143B6BB8" w:rsidR="00197429" w:rsidRDefault="00E7181B">
      <w:pPr>
        <w:spacing w:line="18pt" w:lineRule="auto"/>
        <w:rPr>
          <w:sz w:val="28"/>
          <w:szCs w:val="28"/>
        </w:rPr>
      </w:pPr>
      <w:r>
        <w:rPr>
          <w:sz w:val="28"/>
          <w:szCs w:val="28"/>
        </w:rPr>
        <w:t>Dado o exposto, faz-se necessário a realização de um estudo que verifique se a adoção de uma MR e ventilação pulmonar protetora com titulação da PEEP, no POi de cirurgia cardíaca resulta em menor incidência de CPPs</w:t>
      </w:r>
      <w:r w:rsidR="00C6646D">
        <w:rPr>
          <w:sz w:val="28"/>
          <w:szCs w:val="28"/>
        </w:rPr>
        <w:t>,</w:t>
      </w:r>
      <w:r w:rsidR="00C6646D" w:rsidRPr="00C6646D">
        <w:rPr>
          <w:sz w:val="28"/>
          <w:szCs w:val="28"/>
        </w:rPr>
        <w:t xml:space="preserve"> </w:t>
      </w:r>
      <w:r w:rsidR="00C6646D">
        <w:rPr>
          <w:sz w:val="28"/>
          <w:szCs w:val="28"/>
        </w:rPr>
        <w:t xml:space="preserve">melhor performance dos pacientes no TC6M </w:t>
      </w:r>
      <w:r w:rsidR="0080513E">
        <w:rPr>
          <w:sz w:val="28"/>
          <w:szCs w:val="28"/>
        </w:rPr>
        <w:t>e menor tempo de permanência na UTI</w:t>
      </w:r>
      <w:r w:rsidR="00C6646D">
        <w:rPr>
          <w:sz w:val="28"/>
          <w:szCs w:val="28"/>
        </w:rPr>
        <w:t>.</w:t>
      </w:r>
    </w:p>
    <w:p w14:paraId="5E8B08AD" w14:textId="77777777" w:rsidR="00197429" w:rsidRDefault="00197429">
      <w:pPr>
        <w:spacing w:line="18pt" w:lineRule="auto"/>
        <w:ind w:firstLine="36pt"/>
        <w:rPr>
          <w:sz w:val="28"/>
          <w:szCs w:val="28"/>
        </w:rPr>
      </w:pPr>
    </w:p>
    <w:p w14:paraId="16D8BA87" w14:textId="77777777" w:rsidR="00197429" w:rsidRDefault="00E7181B">
      <w:pPr>
        <w:pStyle w:val="Ttulo2"/>
      </w:pPr>
      <w:bookmarkStart w:id="5" w:name="_Toc81581087"/>
      <w:r>
        <w:t>1.1. Justificativa</w:t>
      </w:r>
      <w:bookmarkEnd w:id="5"/>
    </w:p>
    <w:p w14:paraId="1378932E" w14:textId="77777777" w:rsidR="00197429" w:rsidRDefault="00E7181B">
      <w:pPr>
        <w:pBdr>
          <w:top w:val="nil"/>
          <w:left w:val="nil"/>
          <w:bottom w:val="nil"/>
          <w:right w:val="nil"/>
          <w:between w:val="nil"/>
        </w:pBdr>
        <w:spacing w:line="18pt" w:lineRule="auto"/>
        <w:ind w:firstLine="18pt"/>
        <w:rPr>
          <w:sz w:val="28"/>
          <w:szCs w:val="28"/>
        </w:rPr>
      </w:pPr>
      <w:r>
        <w:rPr>
          <w:sz w:val="28"/>
          <w:szCs w:val="28"/>
        </w:rPr>
        <w:t xml:space="preserve">É uma prática comum suspender a ventilação mecânica (VM) durante a CEC, uma vez que a função pulmonar é realizada por um sistema de oxigenação por membrana extracorpórea. No entanto, a interrupção da VM durante a CEC está associada ao desenvolvimento de micro atelectasias e edema pulmonar hidrostático, reduzindo a complacência pulmonar (LAFFEY; BOYLAN; CHENG, 2002) (ALLOU </w:t>
      </w:r>
      <w:r>
        <w:rPr>
          <w:i/>
          <w:sz w:val="28"/>
          <w:szCs w:val="28"/>
        </w:rPr>
        <w:t>et al.</w:t>
      </w:r>
      <w:r>
        <w:rPr>
          <w:sz w:val="28"/>
          <w:szCs w:val="28"/>
        </w:rPr>
        <w:t>, 2014).</w:t>
      </w:r>
    </w:p>
    <w:p w14:paraId="13B2FFCA" w14:textId="77777777" w:rsidR="00197429" w:rsidRDefault="00E7181B">
      <w:pPr>
        <w:spacing w:line="18pt" w:lineRule="auto"/>
        <w:ind w:firstLine="36pt"/>
        <w:rPr>
          <w:b/>
          <w:sz w:val="28"/>
          <w:szCs w:val="28"/>
        </w:rPr>
      </w:pPr>
      <w:r>
        <w:rPr>
          <w:b/>
          <w:sz w:val="28"/>
          <w:szCs w:val="28"/>
        </w:rPr>
        <w:t>Complicações pulmonares pós-operatórias (CPPs)</w:t>
      </w:r>
    </w:p>
    <w:p w14:paraId="550BA513" w14:textId="547E488D" w:rsidR="00197429" w:rsidRPr="001743D6" w:rsidRDefault="00113A6E">
      <w:pPr>
        <w:spacing w:line="18pt" w:lineRule="auto"/>
        <w:ind w:firstLine="18pt"/>
        <w:rPr>
          <w:sz w:val="28"/>
          <w:szCs w:val="28"/>
        </w:rPr>
      </w:pPr>
      <w:sdt>
        <w:sdtPr>
          <w:tag w:val="goog_rdk_2"/>
          <w:id w:val="663667857"/>
        </w:sdtPr>
        <w:sdtEndPr/>
        <w:sdtContent>
          <w:r w:rsidR="00E7181B" w:rsidRPr="001743D6">
            <w:rPr>
              <w:rFonts w:eastAsia="Gungsuh"/>
              <w:sz w:val="28"/>
              <w:szCs w:val="28"/>
            </w:rPr>
            <w:t xml:space="preserve">No pós-operatório de cirurgia cardíaca a incidência esperada para CPPs ≥ 3 é de 30%, utilizando o escore modificado de complicações pulmonares de Kroenke </w:t>
          </w:r>
        </w:sdtContent>
      </w:sdt>
      <w:r w:rsidR="00E7181B" w:rsidRPr="001743D6">
        <w:rPr>
          <w:i/>
          <w:sz w:val="28"/>
          <w:szCs w:val="28"/>
        </w:rPr>
        <w:t>et al</w:t>
      </w:r>
      <w:r w:rsidR="00E7181B" w:rsidRPr="001743D6">
        <w:rPr>
          <w:sz w:val="28"/>
          <w:szCs w:val="28"/>
        </w:rPr>
        <w:t xml:space="preserve">, 2015 (LAWRENCE; JOHN, 2015) (COSTA LEME </w:t>
      </w:r>
      <w:r w:rsidR="00E7181B" w:rsidRPr="001743D6">
        <w:rPr>
          <w:i/>
          <w:sz w:val="28"/>
          <w:szCs w:val="28"/>
        </w:rPr>
        <w:t>et al.</w:t>
      </w:r>
      <w:sdt>
        <w:sdtPr>
          <w:tag w:val="goog_rdk_3"/>
          <w:id w:val="1637760913"/>
        </w:sdtPr>
        <w:sdtEndPr/>
        <w:sdtContent>
          <w:r w:rsidR="00E7181B" w:rsidRPr="001743D6">
            <w:rPr>
              <w:rFonts w:eastAsia="Gungsuh"/>
              <w:sz w:val="28"/>
              <w:szCs w:val="28"/>
            </w:rPr>
            <w:t xml:space="preserve">, 2017). No Hospital Universitário Pedro Ernesto (HUPE) a incidência de complicações pulmonares pós-operatórias (CPPs) com graduação maior ou igual a 2 (CPPs ≥ 2) é de 60% e maior ou igual a 3 (CPPs ≥ 3) é de 32% por meio da definição de complicações pulmonares no pós-operatório adaptado de Kroenke </w:t>
          </w:r>
        </w:sdtContent>
      </w:sdt>
      <w:r w:rsidR="00E7181B" w:rsidRPr="001743D6">
        <w:rPr>
          <w:i/>
          <w:sz w:val="28"/>
          <w:szCs w:val="28"/>
        </w:rPr>
        <w:t>et al</w:t>
      </w:r>
      <w:r w:rsidR="00E7181B" w:rsidRPr="001743D6">
        <w:rPr>
          <w:sz w:val="28"/>
          <w:szCs w:val="28"/>
        </w:rPr>
        <w:t>, 2015.</w:t>
      </w:r>
    </w:p>
    <w:p w14:paraId="35A73A01" w14:textId="77777777" w:rsidR="00483412" w:rsidRDefault="00C6646D" w:rsidP="00483412">
      <w:pPr>
        <w:spacing w:line="18pt" w:lineRule="auto"/>
        <w:ind w:firstLine="36pt"/>
        <w:rPr>
          <w:b/>
          <w:sz w:val="28"/>
          <w:szCs w:val="28"/>
        </w:rPr>
      </w:pPr>
      <w:r>
        <w:rPr>
          <w:b/>
          <w:sz w:val="28"/>
          <w:szCs w:val="28"/>
        </w:rPr>
        <w:t>Teste de caminhada de 6 minutos (TC6M)</w:t>
      </w:r>
    </w:p>
    <w:p w14:paraId="5FAF8D96" w14:textId="799A75D4" w:rsidR="00C6646D" w:rsidRPr="00483412" w:rsidRDefault="00C6646D" w:rsidP="00483412">
      <w:pPr>
        <w:spacing w:line="18pt" w:lineRule="auto"/>
        <w:ind w:firstLine="36pt"/>
        <w:rPr>
          <w:b/>
          <w:sz w:val="28"/>
          <w:szCs w:val="28"/>
        </w:rPr>
      </w:pPr>
      <w:r>
        <w:rPr>
          <w:sz w:val="28"/>
          <w:szCs w:val="28"/>
        </w:rPr>
        <w:lastRenderedPageBreak/>
        <w:t>Existem vários testes disponíveis para a avaliação objetiva da capacidade funcional relacionada ao exercício. Alguns fornecem uma avaliação completa de todos os sistemas envolvidos no desempenho do exercício (alta tecnologia), enquanto outros fornecem informações mais básicas, não exigem emprego de tecnologia e são mais simples de executar.</w:t>
      </w:r>
    </w:p>
    <w:p w14:paraId="6CD79C8A" w14:textId="77777777" w:rsidR="00C6646D" w:rsidRDefault="00C6646D" w:rsidP="00C6646D">
      <w:pPr>
        <w:spacing w:line="18pt" w:lineRule="auto"/>
        <w:ind w:firstLine="36pt"/>
        <w:rPr>
          <w:sz w:val="28"/>
          <w:szCs w:val="28"/>
        </w:rPr>
      </w:pPr>
      <w:r>
        <w:rPr>
          <w:sz w:val="28"/>
          <w:szCs w:val="28"/>
        </w:rPr>
        <w:t>O TC6M é um teste prático e simples que requer apenas um corredor de 30 metros, e nenhum treinamento avançado para realização da avaliação. Caminhar é uma atividade realizada diariamente por todos, exceto para os pacientes mais graves. Este teste mede a distância que um paciente pode caminhar rapidamente em uma superfície plana e dura em um período de 6 minutos.</w:t>
      </w:r>
    </w:p>
    <w:p w14:paraId="269D4D4D" w14:textId="77777777" w:rsidR="00C6646D" w:rsidRDefault="00C6646D" w:rsidP="00C6646D">
      <w:pPr>
        <w:spacing w:line="18pt" w:lineRule="auto"/>
        <w:ind w:firstLine="36pt"/>
        <w:rPr>
          <w:sz w:val="28"/>
          <w:szCs w:val="28"/>
        </w:rPr>
      </w:pPr>
      <w:r>
        <w:rPr>
          <w:sz w:val="28"/>
          <w:szCs w:val="28"/>
        </w:rPr>
        <w:t>O TC6M avalia as respostas globais e integradas de todos os sistemas envolvidos durante o exercício, incluindo os sistemas pulmonar, cardiovascular, circulação sistêmica, circulação periférica, unidades neuromusculares e metabolismo muscular. Não fornece informações específicas sobre a função de cada um dos diferentes órgãos e sistemas envolvidos no exercício ou no mecanismo de limitação do exercício, como é possível com teste de esforço cardiopulmonar máximo. O TC6M com ritmo próprio avalia o nível submáximo da capacidade de exercício de um indivíduo.</w:t>
      </w:r>
    </w:p>
    <w:p w14:paraId="7BAB3D7D" w14:textId="77777777" w:rsidR="00C6646D" w:rsidRDefault="00C6646D" w:rsidP="00C6646D">
      <w:pPr>
        <w:spacing w:line="18pt" w:lineRule="auto"/>
        <w:ind w:firstLine="36pt"/>
        <w:rPr>
          <w:sz w:val="28"/>
          <w:szCs w:val="28"/>
        </w:rPr>
      </w:pPr>
      <w:r>
        <w:rPr>
          <w:sz w:val="28"/>
          <w:szCs w:val="28"/>
        </w:rPr>
        <w:t>A maioria dos pacientes não atinge a capacidade máxima de exercício durante o teste, eles escolhem sua própria intensidade de exercício e podem parar e descansar durante a avaliação. Sabe-se que a maioria das atividades da vida diária são realizadas em níveis submáximos de esforço, desta forma, o TC6M pode refletir melhor o nível da capacidade funcional para as atividades físicas diária.</w:t>
      </w:r>
    </w:p>
    <w:p w14:paraId="7362DF4A" w14:textId="77777777" w:rsidR="00C6646D" w:rsidRDefault="00C6646D" w:rsidP="00C6646D">
      <w:pPr>
        <w:spacing w:line="18pt" w:lineRule="auto"/>
        <w:ind w:firstLine="36pt"/>
        <w:rPr>
          <w:sz w:val="28"/>
          <w:szCs w:val="28"/>
        </w:rPr>
      </w:pPr>
      <w:r>
        <w:rPr>
          <w:sz w:val="28"/>
          <w:szCs w:val="28"/>
        </w:rPr>
        <w:t xml:space="preserve">A indicação mais forte para o TC6M é a avaliação da resposta a intervenções clínicas em pacientes com doença cardíaca e/ou pulmonar moderada a grave. O TC6M também tem sido utilizado para avalição do </w:t>
      </w:r>
      <w:r>
        <w:rPr>
          <w:sz w:val="28"/>
          <w:szCs w:val="28"/>
        </w:rPr>
        <w:lastRenderedPageBreak/>
        <w:t>estado funcional dos pacientes, bem como um preditor de morbidade e mortalidade. Em algumas situações clínicas, o TC6M apresenta boa correlação com medidas formais de qualidade de vida.</w:t>
      </w:r>
    </w:p>
    <w:p w14:paraId="331D15E4" w14:textId="77777777" w:rsidR="00C6646D" w:rsidRDefault="00C6646D" w:rsidP="00C6646D">
      <w:pPr>
        <w:spacing w:line="18pt" w:lineRule="auto"/>
        <w:ind w:firstLine="36pt"/>
        <w:rPr>
          <w:sz w:val="28"/>
          <w:szCs w:val="28"/>
        </w:rPr>
      </w:pPr>
      <w:bookmarkStart w:id="6" w:name="_Hlk70591473"/>
      <w:r>
        <w:rPr>
          <w:sz w:val="28"/>
          <w:szCs w:val="28"/>
        </w:rPr>
        <w:t xml:space="preserve">As contraindicações absolutas para o TC6M incluem: Angina instável com intervalo inferior a um mês e infarto do miocárdio no último mês. As contraindicações relativas incluem uma frequência cardíaca em repouso acima de 120 batimentos por minuto, uma pressão arterial sistólica (PAS) acima de 180 mm Hg e uma pressão arterial diastólica (PAD) acima de 100 mm Hg (ISSUES </w:t>
      </w:r>
      <w:r>
        <w:rPr>
          <w:i/>
          <w:sz w:val="28"/>
          <w:szCs w:val="28"/>
        </w:rPr>
        <w:t>et al.</w:t>
      </w:r>
      <w:r>
        <w:rPr>
          <w:sz w:val="28"/>
          <w:szCs w:val="28"/>
        </w:rPr>
        <w:t>, 2002).</w:t>
      </w:r>
    </w:p>
    <w:p w14:paraId="7DDD96FA" w14:textId="63BFD5F7" w:rsidR="00C6646D" w:rsidRDefault="00C6646D" w:rsidP="00C6646D">
      <w:pPr>
        <w:spacing w:line="18pt" w:lineRule="auto"/>
        <w:ind w:firstLine="36pt"/>
        <w:rPr>
          <w:sz w:val="28"/>
          <w:szCs w:val="28"/>
        </w:rPr>
      </w:pPr>
      <w:r>
        <w:rPr>
          <w:sz w:val="28"/>
          <w:szCs w:val="28"/>
        </w:rPr>
        <w:t xml:space="preserve">Os pacientes serão instruídos a dar voltas em um corredor de 30 m por um período de seis minutos, percorrendo a maior distância possível com uma intensidade percebida de esforço de "moderado" a "um pouco forte" (classificação de 3-4 na escala de Borg). Os pacientes são autorizados a descansar se necessário, e a avaliação será interrompida se houver angina ou dispneia que limite a atividade ou necessidade de terapia vasodilatadora coronária. Os pacientes serão informados sobre o tempo decorrido a cada </w:t>
      </w:r>
      <w:r w:rsidR="006F757D">
        <w:rPr>
          <w:sz w:val="28"/>
          <w:szCs w:val="28"/>
        </w:rPr>
        <w:t xml:space="preserve">2 </w:t>
      </w:r>
      <w:r>
        <w:rPr>
          <w:sz w:val="28"/>
          <w:szCs w:val="28"/>
        </w:rPr>
        <w:t>minuto</w:t>
      </w:r>
      <w:r w:rsidR="006F757D">
        <w:rPr>
          <w:sz w:val="28"/>
          <w:szCs w:val="28"/>
        </w:rPr>
        <w:t>s</w:t>
      </w:r>
      <w:r>
        <w:rPr>
          <w:sz w:val="28"/>
          <w:szCs w:val="28"/>
        </w:rPr>
        <w:t xml:space="preserve"> da avaliação. Nenhum outro feedback ou incentivo será dado. Serão coletados os valores de pressão arterial, frequência cardíaca</w:t>
      </w:r>
      <w:r w:rsidR="006F757D">
        <w:rPr>
          <w:sz w:val="28"/>
          <w:szCs w:val="28"/>
        </w:rPr>
        <w:t xml:space="preserve">, </w:t>
      </w:r>
      <w:r>
        <w:rPr>
          <w:sz w:val="28"/>
          <w:szCs w:val="28"/>
        </w:rPr>
        <w:t xml:space="preserve">saturação de oxigênio </w:t>
      </w:r>
      <w:r w:rsidR="006F757D">
        <w:rPr>
          <w:sz w:val="28"/>
          <w:szCs w:val="28"/>
        </w:rPr>
        <w:t xml:space="preserve">e escala de Borg </w:t>
      </w:r>
      <w:r>
        <w:rPr>
          <w:sz w:val="28"/>
          <w:szCs w:val="28"/>
        </w:rPr>
        <w:t>pré-avaliação e pós-avaliação</w:t>
      </w:r>
      <w:bookmarkEnd w:id="6"/>
      <w:r>
        <w:rPr>
          <w:sz w:val="28"/>
          <w:szCs w:val="28"/>
        </w:rPr>
        <w:t xml:space="preserve"> (HIRSCHHORN </w:t>
      </w:r>
      <w:r>
        <w:rPr>
          <w:i/>
          <w:sz w:val="28"/>
          <w:szCs w:val="28"/>
        </w:rPr>
        <w:t>et al.</w:t>
      </w:r>
      <w:r>
        <w:rPr>
          <w:sz w:val="28"/>
          <w:szCs w:val="28"/>
        </w:rPr>
        <w:t>, 2008).</w:t>
      </w:r>
    </w:p>
    <w:p w14:paraId="38F5FC24" w14:textId="77777777" w:rsidR="00C6646D" w:rsidRDefault="00C6646D" w:rsidP="00C6646D">
      <w:pPr>
        <w:spacing w:line="18pt" w:lineRule="auto"/>
        <w:ind w:firstLine="36pt"/>
        <w:rPr>
          <w:sz w:val="28"/>
          <w:szCs w:val="28"/>
        </w:rPr>
      </w:pPr>
      <w:r>
        <w:rPr>
          <w:sz w:val="28"/>
          <w:szCs w:val="28"/>
        </w:rPr>
        <w:t xml:space="preserve">Segundo Brooks </w:t>
      </w:r>
      <w:r>
        <w:rPr>
          <w:i/>
          <w:sz w:val="28"/>
          <w:szCs w:val="28"/>
        </w:rPr>
        <w:t>et al</w:t>
      </w:r>
      <w:r>
        <w:rPr>
          <w:sz w:val="28"/>
          <w:szCs w:val="28"/>
        </w:rPr>
        <w:t xml:space="preserve">, o valor estimado para o TC6M após cirurgias com by-pass cardiopulmonar foi de 252 m (generosamente extrapolado de um teste de caminhada de 2 minutos) (BROOKS </w:t>
      </w:r>
      <w:r>
        <w:rPr>
          <w:i/>
          <w:sz w:val="28"/>
          <w:szCs w:val="28"/>
        </w:rPr>
        <w:t>et al.</w:t>
      </w:r>
      <w:r>
        <w:rPr>
          <w:sz w:val="28"/>
          <w:szCs w:val="28"/>
        </w:rPr>
        <w:t>, 2004).</w:t>
      </w:r>
    </w:p>
    <w:p w14:paraId="4FD6CCB7" w14:textId="77777777" w:rsidR="00C6646D" w:rsidRDefault="00C6646D" w:rsidP="00C6646D">
      <w:pPr>
        <w:spacing w:line="18pt" w:lineRule="auto"/>
        <w:ind w:firstLine="36pt"/>
        <w:rPr>
          <w:sz w:val="28"/>
          <w:szCs w:val="28"/>
        </w:rPr>
      </w:pPr>
      <w:r>
        <w:rPr>
          <w:sz w:val="28"/>
          <w:szCs w:val="28"/>
        </w:rPr>
        <w:t xml:space="preserve">Em 2008, </w:t>
      </w:r>
      <w:proofErr w:type="spellStart"/>
      <w:r>
        <w:rPr>
          <w:sz w:val="28"/>
          <w:szCs w:val="28"/>
        </w:rPr>
        <w:t>Hirschhorn</w:t>
      </w:r>
      <w:proofErr w:type="spellEnd"/>
      <w:r>
        <w:rPr>
          <w:sz w:val="28"/>
          <w:szCs w:val="28"/>
        </w:rPr>
        <w:t xml:space="preserve"> </w:t>
      </w:r>
      <w:r>
        <w:rPr>
          <w:i/>
          <w:sz w:val="28"/>
          <w:szCs w:val="28"/>
        </w:rPr>
        <w:t>et al</w:t>
      </w:r>
      <w:r>
        <w:rPr>
          <w:sz w:val="28"/>
          <w:szCs w:val="28"/>
        </w:rPr>
        <w:t xml:space="preserve">, evidenciaram uma distância média percorrida de 444 m no TC6M, em pacientes submetidos </w:t>
      </w:r>
      <w:proofErr w:type="gramStart"/>
      <w:r>
        <w:rPr>
          <w:sz w:val="28"/>
          <w:szCs w:val="28"/>
        </w:rPr>
        <w:t>à</w:t>
      </w:r>
      <w:proofErr w:type="gramEnd"/>
      <w:r>
        <w:rPr>
          <w:sz w:val="28"/>
          <w:szCs w:val="28"/>
        </w:rPr>
        <w:t xml:space="preserve"> cirurgias com by-pass cardiopulmonar e que realizaram exercícios de caminha durante a internação (HIRSCHHORN </w:t>
      </w:r>
      <w:r>
        <w:rPr>
          <w:i/>
          <w:sz w:val="28"/>
          <w:szCs w:val="28"/>
        </w:rPr>
        <w:t>et al.</w:t>
      </w:r>
      <w:r>
        <w:rPr>
          <w:sz w:val="28"/>
          <w:szCs w:val="28"/>
        </w:rPr>
        <w:t>, 2008).</w:t>
      </w:r>
    </w:p>
    <w:p w14:paraId="7E7867F0" w14:textId="77777777" w:rsidR="00C6646D" w:rsidRDefault="00C6646D" w:rsidP="00C6646D">
      <w:pPr>
        <w:spacing w:line="18pt" w:lineRule="auto"/>
        <w:ind w:firstLine="36pt"/>
        <w:rPr>
          <w:sz w:val="28"/>
          <w:szCs w:val="28"/>
        </w:rPr>
      </w:pPr>
      <w:r w:rsidRPr="00F43EF2">
        <w:rPr>
          <w:sz w:val="28"/>
          <w:szCs w:val="28"/>
        </w:rPr>
        <w:t>Sabe-se</w:t>
      </w:r>
      <w:r>
        <w:rPr>
          <w:sz w:val="28"/>
          <w:szCs w:val="28"/>
        </w:rPr>
        <w:t>, ainda,</w:t>
      </w:r>
      <w:r w:rsidRPr="00F43EF2">
        <w:rPr>
          <w:sz w:val="28"/>
          <w:szCs w:val="28"/>
        </w:rPr>
        <w:t xml:space="preserve"> que </w:t>
      </w:r>
      <w:r>
        <w:rPr>
          <w:sz w:val="28"/>
          <w:szCs w:val="28"/>
        </w:rPr>
        <w:t>uma</w:t>
      </w:r>
      <w:r w:rsidRPr="00F43EF2">
        <w:rPr>
          <w:sz w:val="28"/>
          <w:szCs w:val="28"/>
        </w:rPr>
        <w:t xml:space="preserve"> distância</w:t>
      </w:r>
      <w:r>
        <w:rPr>
          <w:sz w:val="28"/>
          <w:szCs w:val="28"/>
        </w:rPr>
        <w:t xml:space="preserve"> percorrida </w:t>
      </w:r>
      <w:r w:rsidRPr="00F43EF2">
        <w:rPr>
          <w:sz w:val="28"/>
          <w:szCs w:val="28"/>
        </w:rPr>
        <w:t>≥ 300 m no</w:t>
      </w:r>
      <w:r>
        <w:rPr>
          <w:sz w:val="28"/>
          <w:szCs w:val="28"/>
        </w:rPr>
        <w:t xml:space="preserve"> TC6M</w:t>
      </w:r>
      <w:r w:rsidRPr="00F43EF2">
        <w:rPr>
          <w:sz w:val="28"/>
          <w:szCs w:val="28"/>
        </w:rPr>
        <w:t xml:space="preserve"> é um preditor de</w:t>
      </w:r>
      <w:r>
        <w:rPr>
          <w:sz w:val="28"/>
          <w:szCs w:val="28"/>
        </w:rPr>
        <w:t xml:space="preserve"> </w:t>
      </w:r>
      <w:r w:rsidRPr="00F43EF2">
        <w:rPr>
          <w:sz w:val="28"/>
          <w:szCs w:val="28"/>
        </w:rPr>
        <w:t xml:space="preserve">aumento da sobrevida em 5 anos </w:t>
      </w:r>
      <w:r>
        <w:rPr>
          <w:sz w:val="28"/>
          <w:szCs w:val="28"/>
        </w:rPr>
        <w:t xml:space="preserve">para </w:t>
      </w:r>
      <w:r w:rsidRPr="00F43EF2">
        <w:rPr>
          <w:sz w:val="28"/>
          <w:szCs w:val="28"/>
        </w:rPr>
        <w:t>pacientes idosos</w:t>
      </w:r>
      <w:r>
        <w:rPr>
          <w:sz w:val="28"/>
          <w:szCs w:val="28"/>
        </w:rPr>
        <w:t xml:space="preserve"> </w:t>
      </w:r>
      <w:r w:rsidRPr="00F43EF2">
        <w:rPr>
          <w:sz w:val="28"/>
          <w:szCs w:val="28"/>
        </w:rPr>
        <w:lastRenderedPageBreak/>
        <w:t>submetido</w:t>
      </w:r>
      <w:r>
        <w:rPr>
          <w:sz w:val="28"/>
          <w:szCs w:val="28"/>
        </w:rPr>
        <w:t xml:space="preserve">s </w:t>
      </w:r>
      <w:r w:rsidRPr="00F43EF2">
        <w:rPr>
          <w:sz w:val="28"/>
          <w:szCs w:val="28"/>
        </w:rPr>
        <w:t>a cirurgia cardíaca</w:t>
      </w:r>
      <w:r>
        <w:rPr>
          <w:sz w:val="28"/>
          <w:szCs w:val="28"/>
        </w:rPr>
        <w:t xml:space="preserve"> </w:t>
      </w:r>
      <w:r>
        <w:rPr>
          <w:sz w:val="28"/>
          <w:szCs w:val="28"/>
        </w:rPr>
        <w:fldChar w:fldCharType="begin" w:fldLock="1"/>
      </w:r>
      <w:r>
        <w:rPr>
          <w:sz w:val="28"/>
          <w:szCs w:val="28"/>
        </w:rPr>
        <w:instrText>ADDIN CSL_CITATION {"citationItems":[{"id":"ITEM-1","itemData":{"DOI":"10.1177/1741826711422991","ISSN":"20474873","PMID":"21933832","abstract":"Background: Age-related effects on the ability of 6-min walking test (6MWT) and ejection fraction (EF) to predict mortality in coronary artery bypass grafting (CABG) patients undergoing cardiac rehabilitation (CR) is still debated.Design and methods: In order to verify the role of 6MWT and EF on all-cause mortality in patients undergoing CR following CABG, 882 CABG patients undergoing CR stratified in adults (&lt;65 years) and elderly (≥65 years) were studied.Results: At the admission, EF was 52.6 ± 9.1% in adults and 51.3 ± 8.9% in elderly (p = 0.234, NS) while 6MWT was 343.8 ± 93.5 m in adults and 258.9 ± 95.7 m in elderly (p &lt; 0.001). After 42.9 ± 14.1 months follow up, mortality was 8.2% in adults and 10.9% in elderly (p = 0.176, NS). Cox regression analysis shows that EF ≥ 50% and 6MWT ≥300 m are protective on mortality in all CABG patients before CR. However, EF ≥50% in adults (HR 0.18, 95% CI 0.06-0.49, p &lt; 0.005) but not in elderly (HR 1.16, 95% CI 0.45-3.42, p = 0.354, NS) and 6MWT ≥300 m in elderly (HR 0.34, 95% CI 0.10-0.79, p = 0.033) but not in adults (HR 0.76, 95% CI 0.31-2.12, p = 0.654, NS) exert a protective role on mortality.Conclusions: Our results indicate that both EF ≥ 50% and 6MWT ≥ 300 m independently protect against mortality in CABG patients before CR. However, their protective role is age dependent. In fact, EF ≥ 50% is protective in adults but not in elderly while 6MWT ≥ 300 m is protective in elderly but not in adult patients. © 2011 The European Society of Cardiology.","author":[{"dropping-particle":"","family":"Cacciatore","given":"Francesco","non-dropping-particle":"","parse-names":false,"suffix":""},{"dropping-particle":"","family":"Abete","given":"Pasquale","non-dropping-particle":"","parse-names":false,"suffix":""},{"dropping-particle":"","family":"Mazzella","given":"Francesca","non-dropping-particle":"","parse-names":false,"suffix":""},{"dropping-particle":"","family":"Furgi","given":"Giuseppe","non-dropping-particle":"","parse-names":false,"suffix":""},{"dropping-particle":"","family":"Nicolino","given":"Antonio","non-dropping-particle":"","parse-names":false,"suffix":""},{"dropping-particle":"","family":"Longobardi","given":"Giancarlo","non-dropping-particle":"","parse-names":false,"suffix":""},{"dropping-particle":"","family":"Testa","given":"Gianluca","non-dropping-particle":"","parse-names":false,"suffix":""},{"dropping-particle":"","family":"Langellotto","given":"Assunta","non-dropping-particle":"","parse-names":false,"suffix":""},{"dropping-particle":"","family":"Infante","given":"Teresa","non-dropping-particle":"","parse-names":false,"suffix":""},{"dropping-particle":"","family":"Napoli","given":"Claudio","non-dropping-particle":"","parse-names":false,"suffix":""},{"dropping-particle":"","family":"Ferrara","given":"Nicola","non-dropping-particle":"","parse-names":false,"suffix":""},{"dropping-particle":"","family":"Rengo","given":"Franco","non-dropping-particle":"","parse-names":false,"suffix":""}],"container-title":"European Journal of Preventive Cardiology","id":"ITEM-1","issue":"6","issued":{"date-parts":[["2012"]]},"page":"1401-1409","title":"Six-minute walking test but not ejection fraction predicts mortality in elderly patients undergoing cardiac rehabilitation following coronary artery bypass grafting","type":"article-journal","volume":"19"},"uris":["http://www.mendeley.com/documents/?uuid=214274ef-a2a7-4178-b07f-3c26d68562f6"]}],"mendeley":{"formattedCitation":"(CACCIATORE &lt;i&gt;et al.&lt;/i&gt;, 2012)","plainTextFormattedCitation":"(CACCIATORE et al., 2012)","previouslyFormattedCitation":"(CACCIATORE &lt;i&gt;et al.&lt;/i&gt;, 2012)"},"properties":{"noteIndex":0},"schema":"https://github.com/citation-style-language/schema/raw/master/csl-citation.json"}</w:instrText>
      </w:r>
      <w:r>
        <w:rPr>
          <w:sz w:val="28"/>
          <w:szCs w:val="28"/>
        </w:rPr>
        <w:fldChar w:fldCharType="separate"/>
      </w:r>
      <w:r w:rsidRPr="001743D6">
        <w:rPr>
          <w:noProof/>
          <w:sz w:val="28"/>
          <w:szCs w:val="28"/>
        </w:rPr>
        <w:t xml:space="preserve">(CACCIATORE </w:t>
      </w:r>
      <w:r w:rsidRPr="001743D6">
        <w:rPr>
          <w:i/>
          <w:noProof/>
          <w:sz w:val="28"/>
          <w:szCs w:val="28"/>
        </w:rPr>
        <w:t>et al.</w:t>
      </w:r>
      <w:r w:rsidRPr="001743D6">
        <w:rPr>
          <w:noProof/>
          <w:sz w:val="28"/>
          <w:szCs w:val="28"/>
        </w:rPr>
        <w:t>, 2012)</w:t>
      </w:r>
      <w:r>
        <w:rPr>
          <w:sz w:val="28"/>
          <w:szCs w:val="28"/>
        </w:rPr>
        <w:fldChar w:fldCharType="end"/>
      </w:r>
      <w:r>
        <w:rPr>
          <w:sz w:val="28"/>
          <w:szCs w:val="28"/>
        </w:rPr>
        <w:t xml:space="preserve">. Em 2014, Oliveira </w:t>
      </w:r>
      <w:r w:rsidRPr="003124CA">
        <w:rPr>
          <w:i/>
          <w:iCs/>
          <w:sz w:val="28"/>
          <w:szCs w:val="28"/>
        </w:rPr>
        <w:t>et al</w:t>
      </w:r>
      <w:r>
        <w:rPr>
          <w:sz w:val="28"/>
          <w:szCs w:val="28"/>
        </w:rPr>
        <w:t xml:space="preserve">, descreveram uma distância média percorrida no TC6M de 260,20 ± 89,20 metros, na alta hospitalar, para pacientes submetidos à cirurgia cardíaca </w:t>
      </w:r>
      <w:r>
        <w:rPr>
          <w:sz w:val="28"/>
          <w:szCs w:val="28"/>
        </w:rPr>
        <w:fldChar w:fldCharType="begin" w:fldLock="1"/>
      </w:r>
      <w:r>
        <w:rPr>
          <w:sz w:val="28"/>
          <w:szCs w:val="28"/>
        </w:rPr>
        <w:instrText>ADDIN CSL_CITATION {"citationItems":[{"id":"ITEM-1","itemData":{"DOI":"10.1186/1749-8090-9-95","ISSN":"17498090","PMID":"24885130","abstract":"Introduction: The aim of this study was to identify the determinants of distance walked in six-minute walk test (6MWD) in patients undergoing cardiac surgery at hospital discharge.Methods: The assessment was performed preoperatively and at discharge. Data from patient records were collected and measurement of the Functional Independence Measure (FIM) and the Nottingham Health Profile (NHP) were performed. The six-minute walk test (6MWT) was performed at discharge. Patients undergoing elective cardiac surgery, coronary artery bypass grafting or valve replacement were eligible. Patients older than 75 years who presented arrhythmia during the protocol, with psychiatric disorders, muscular or neurological disorders were excluded from the study.Results: Sixty patients (44.26% male, mean age 51.53 ± 13 years) were assessed. In multivariate analysis the following variables were selected: type of surgery (P = 0.001), duration of cardiopulmonary bypass (CPB) (P = 0.001), Functional Independence Measure - FIM (0.004) and body mass index - BMI (0.007) with r = 0.91 and r2 = 0.83 with P &lt; 0.001. The equation derived from multivariate analysis: 6MWD = Surgery (89.42) + CPB (1.60) + MIF (2.79) - BMI (7.53) - 127.90.Conclusion: In this study, the determinants of 6MWD in patients undergoing cardiac surgery were: the type of surgery, CPB time, functional capacity and body mass index. © 2014 Oliveira et al.; licensee BioMed Central Ltd.","author":[{"dropping-particle":"","family":"Oliveira","given":"Géssica U.","non-dropping-particle":"","parse-names":false,"suffix":""},{"dropping-particle":"","family":"Carvalho","given":"Vitor O.","non-dropping-particle":"","parse-names":false,"suffix":""},{"dropping-particle":"","family":"Assis Cacau","given":"Lucas Pereira","non-dropping-particle":"de","parse-names":false,"suffix":""},{"dropping-particle":"","family":"Araújo Filho","given":"Amaro A.","non-dropping-particle":"de","parse-names":false,"suffix":""},{"dropping-particle":"","family":"Cerqueira Neto","given":"Manoel L.","non-dropping-particle":"de","parse-names":false,"suffix":""},{"dropping-particle":"","family":"Silva Junior","given":"Walderi M.","non-dropping-particle":"da","parse-names":false,"suffix":""},{"dropping-particle":"","family":"Cerqueira","given":"Telma Cristina F.","non-dropping-particle":"","parse-names":false,"suffix":""},{"dropping-particle":"","family":"Santana Filho","given":"Valter J.","non-dropping-particle":"De","parse-names":false,"suffix":""}],"container-title":"Journal of Cardiothoracic Surgery","id":"ITEM-1","issue":"1","issued":{"date-parts":[["2014"]]},"page":"1-6","title":"Determinants of distance walked during the six-minute walk test in patients undergoing cardiac surgery at hospital discharge","type":"article-journal","volume":"9"},"uris":["http://www.mendeley.com/documents/?uuid=f95d9ae9-a52b-41d6-8064-51ea68735279"]}],"mendeley":{"formattedCitation":"(OLIVEIRA &lt;i&gt;et al.&lt;/i&gt;, 2014)","plainTextFormattedCitation":"(OLIVEIRA et al., 2014)","previouslyFormattedCitation":"(OLIVEIRA &lt;i&gt;et al.&lt;/i&gt;, 2014)"},"properties":{"noteIndex":0},"schema":"https://github.com/citation-style-language/schema/raw/master/csl-citation.json"}</w:instrText>
      </w:r>
      <w:r>
        <w:rPr>
          <w:sz w:val="28"/>
          <w:szCs w:val="28"/>
        </w:rPr>
        <w:fldChar w:fldCharType="separate"/>
      </w:r>
      <w:r w:rsidRPr="003124CA">
        <w:rPr>
          <w:noProof/>
          <w:sz w:val="28"/>
          <w:szCs w:val="28"/>
        </w:rPr>
        <w:t xml:space="preserve">(OLIVEIRA </w:t>
      </w:r>
      <w:r w:rsidRPr="003124CA">
        <w:rPr>
          <w:i/>
          <w:noProof/>
          <w:sz w:val="28"/>
          <w:szCs w:val="28"/>
        </w:rPr>
        <w:t>et al.</w:t>
      </w:r>
      <w:r w:rsidRPr="003124CA">
        <w:rPr>
          <w:noProof/>
          <w:sz w:val="28"/>
          <w:szCs w:val="28"/>
        </w:rPr>
        <w:t>, 2014)</w:t>
      </w:r>
      <w:r>
        <w:rPr>
          <w:sz w:val="28"/>
          <w:szCs w:val="28"/>
        </w:rPr>
        <w:fldChar w:fldCharType="end"/>
      </w:r>
      <w:r>
        <w:rPr>
          <w:sz w:val="28"/>
          <w:szCs w:val="28"/>
        </w:rPr>
        <w:t>.</w:t>
      </w:r>
    </w:p>
    <w:p w14:paraId="6C384BC2" w14:textId="77777777" w:rsidR="00C6646D" w:rsidRDefault="00C6646D" w:rsidP="00C6646D">
      <w:pPr>
        <w:spacing w:line="18pt" w:lineRule="auto"/>
        <w:ind w:firstLine="36pt"/>
        <w:rPr>
          <w:sz w:val="28"/>
          <w:szCs w:val="28"/>
        </w:rPr>
      </w:pPr>
      <w:r>
        <w:rPr>
          <w:sz w:val="28"/>
          <w:szCs w:val="28"/>
        </w:rPr>
        <w:t xml:space="preserve">Valores de referência para o TC6M </w:t>
      </w:r>
      <w:r>
        <w:rPr>
          <w:sz w:val="28"/>
          <w:szCs w:val="28"/>
        </w:rPr>
        <w:fldChar w:fldCharType="begin" w:fldLock="1"/>
      </w:r>
      <w:r>
        <w:rPr>
          <w:sz w:val="28"/>
          <w:szCs w:val="28"/>
        </w:rPr>
        <w:instrText>ADDIN CSL_CITATION {"citationItems":[{"id":"ITEM-1","itemData":{"author":[{"dropping-particle":"","family":"Enright","given":"Paul L","non-dropping-particle":"","parse-names":false,"suffix":""},{"dropping-particle":"","family":"Sherrill","given":"Duane L","non-dropping-particle":"","parse-names":false,"suffix":""}],"id":"ITEM-1","issue":"6","issued":{"date-parts":[["1998"]]},"title":"Reference Equations for the Six-Minute Walk in Healthy Adults","type":"article-journal"},"uris":["http://www.mendeley.com/documents/?uuid=580dfc48-2698-4820-9a61-6b14bfffa7e0"]}],"mendeley":{"formattedCitation":"(ENRIGHT; SHERRILL, 1998)","plainTextFormattedCitation":"(ENRIGHT; SHERRILL, 1998)","previouslyFormattedCitation":"(ENRIGHT; SHERRILL, 1998)"},"properties":{"noteIndex":0},"schema":"https://github.com/citation-style-language/schema/raw/master/csl-citation.json"}</w:instrText>
      </w:r>
      <w:r>
        <w:rPr>
          <w:sz w:val="28"/>
          <w:szCs w:val="28"/>
        </w:rPr>
        <w:fldChar w:fldCharType="separate"/>
      </w:r>
      <w:r w:rsidRPr="00F815E3">
        <w:rPr>
          <w:noProof/>
          <w:sz w:val="28"/>
          <w:szCs w:val="28"/>
        </w:rPr>
        <w:t>(ENRIGHT; SHERRILL, 1998)</w:t>
      </w:r>
      <w:r>
        <w:rPr>
          <w:sz w:val="28"/>
          <w:szCs w:val="28"/>
        </w:rPr>
        <w:fldChar w:fldCharType="end"/>
      </w:r>
      <w:r>
        <w:rPr>
          <w:sz w:val="28"/>
          <w:szCs w:val="28"/>
        </w:rPr>
        <w:t>:</w:t>
      </w:r>
    </w:p>
    <w:p w14:paraId="46BF4F22" w14:textId="77777777" w:rsidR="00C6646D" w:rsidRPr="00F815E3" w:rsidRDefault="00C6646D" w:rsidP="00C6646D">
      <w:pPr>
        <w:pStyle w:val="PargrafodaLista"/>
        <w:numPr>
          <w:ilvl w:val="0"/>
          <w:numId w:val="11"/>
        </w:numPr>
        <w:spacing w:line="18pt" w:lineRule="auto"/>
        <w:rPr>
          <w:sz w:val="28"/>
          <w:szCs w:val="28"/>
        </w:rPr>
      </w:pPr>
      <w:r w:rsidRPr="00F815E3">
        <w:rPr>
          <w:sz w:val="28"/>
          <w:szCs w:val="28"/>
        </w:rPr>
        <w:t>Homens: distância TC6M (m): (7,57 x altura cm) – (5,02 x idade) – (1,76 x peso Kg) – 309;</w:t>
      </w:r>
    </w:p>
    <w:p w14:paraId="0BB22277" w14:textId="37A7F08F" w:rsidR="001743D6" w:rsidRDefault="00C6646D" w:rsidP="00C6646D">
      <w:pPr>
        <w:pStyle w:val="PargrafodaLista"/>
        <w:numPr>
          <w:ilvl w:val="0"/>
          <w:numId w:val="11"/>
        </w:numPr>
        <w:spacing w:line="18pt" w:lineRule="auto"/>
        <w:rPr>
          <w:sz w:val="28"/>
          <w:szCs w:val="28"/>
        </w:rPr>
      </w:pPr>
      <w:r w:rsidRPr="00F815E3">
        <w:rPr>
          <w:sz w:val="28"/>
          <w:szCs w:val="28"/>
        </w:rPr>
        <w:t>Mulheres: distância TC6M (m): (2,11 x altura cm) – (2,29 x peso Kg) – (5,78 x idade) + 667.</w:t>
      </w:r>
    </w:p>
    <w:p w14:paraId="40C472C5" w14:textId="77777777" w:rsidR="00526915" w:rsidRPr="00C6646D" w:rsidRDefault="00526915" w:rsidP="00526915">
      <w:pPr>
        <w:pStyle w:val="PargrafodaLista"/>
        <w:spacing w:line="18pt" w:lineRule="auto"/>
        <w:rPr>
          <w:sz w:val="28"/>
          <w:szCs w:val="28"/>
        </w:rPr>
      </w:pPr>
    </w:p>
    <w:p w14:paraId="1FDF29D0" w14:textId="77777777" w:rsidR="00197429" w:rsidRDefault="00E7181B">
      <w:pPr>
        <w:spacing w:line="18pt" w:lineRule="auto"/>
        <w:ind w:firstLine="36pt"/>
        <w:rPr>
          <w:b/>
          <w:sz w:val="28"/>
          <w:szCs w:val="28"/>
        </w:rPr>
      </w:pPr>
      <w:r>
        <w:rPr>
          <w:b/>
          <w:sz w:val="28"/>
          <w:szCs w:val="28"/>
        </w:rPr>
        <w:t>Pressão de distensão alveolar (</w:t>
      </w:r>
      <w:r>
        <w:rPr>
          <w:b/>
          <w:i/>
          <w:sz w:val="28"/>
          <w:szCs w:val="28"/>
        </w:rPr>
        <w:t>driving pressure</w:t>
      </w:r>
      <w:r>
        <w:rPr>
          <w:b/>
          <w:sz w:val="28"/>
          <w:szCs w:val="28"/>
        </w:rPr>
        <w:t xml:space="preserve"> - DP)</w:t>
      </w:r>
    </w:p>
    <w:p w14:paraId="4F53D306" w14:textId="77777777" w:rsidR="00197429" w:rsidRDefault="00E7181B">
      <w:pPr>
        <w:spacing w:line="18pt" w:lineRule="auto"/>
        <w:ind w:firstLine="36pt"/>
        <w:rPr>
          <w:sz w:val="28"/>
          <w:szCs w:val="28"/>
        </w:rPr>
      </w:pPr>
      <w:r>
        <w:rPr>
          <w:sz w:val="28"/>
          <w:szCs w:val="28"/>
        </w:rPr>
        <w:t>A DP foi proposta como um parâmetro adicional muito útil para definir a ventilação mecânica. Durante a ventilação mecânica controlada, a pressão motriz do sistema respiratório, ou DP é definida como a diferença entre a pressão de platô (Pplat) das vias aéreas no final da inspiração e a PEEP. Assim, a DP representa a pressão de distensão recebida pelo sistema respiratório quando o VC é entregue. Em outras palavras, DP = VC / complacência estática do sistema respiratório (Cst). De um ponto de vista teórico, a Cst está ligada à aeração dos pulmões no final da expiração e a DP é um parâmetro simples de avaliação à beira do leito para estimar a distensão do sistema respiratório induzido pelo VC e padronizado pela aeração pulmonar (PELOSI; BALL, 2018).</w:t>
      </w:r>
    </w:p>
    <w:p w14:paraId="5DD36B70" w14:textId="77777777" w:rsidR="00197429" w:rsidRDefault="00E7181B">
      <w:pPr>
        <w:spacing w:line="18pt" w:lineRule="auto"/>
        <w:ind w:firstLine="36pt"/>
        <w:rPr>
          <w:sz w:val="28"/>
          <w:szCs w:val="28"/>
        </w:rPr>
      </w:pPr>
      <w:r>
        <w:rPr>
          <w:sz w:val="28"/>
          <w:szCs w:val="28"/>
        </w:rPr>
        <w:t>O valor de corte da DP para alta mortalidade foi de aproximadamente 15 cmH</w:t>
      </w:r>
      <w:r>
        <w:rPr>
          <w:sz w:val="28"/>
          <w:szCs w:val="28"/>
          <w:vertAlign w:val="subscript"/>
        </w:rPr>
        <w:t>2</w:t>
      </w:r>
      <w:r>
        <w:rPr>
          <w:sz w:val="28"/>
          <w:szCs w:val="28"/>
        </w:rPr>
        <w:t xml:space="preserve">O para pacientes com SDRA (AMATO </w:t>
      </w:r>
      <w:r>
        <w:rPr>
          <w:i/>
          <w:sz w:val="28"/>
          <w:szCs w:val="28"/>
        </w:rPr>
        <w:t>et al.</w:t>
      </w:r>
      <w:r>
        <w:rPr>
          <w:sz w:val="28"/>
          <w:szCs w:val="28"/>
        </w:rPr>
        <w:t>, 2014)(BUGEDO; RETAMAL; BRUHN, 2017), e cada aumento unitário da pressão de condução (1cmH</w:t>
      </w:r>
      <w:r>
        <w:rPr>
          <w:sz w:val="28"/>
          <w:szCs w:val="28"/>
          <w:vertAlign w:val="subscript"/>
        </w:rPr>
        <w:t>2</w:t>
      </w:r>
      <w:r>
        <w:rPr>
          <w:sz w:val="28"/>
          <w:szCs w:val="28"/>
        </w:rPr>
        <w:t xml:space="preserve">O) foi associado com um incremento de 5% na mortalidade (GUÉRIN </w:t>
      </w:r>
      <w:r>
        <w:rPr>
          <w:i/>
          <w:sz w:val="28"/>
          <w:szCs w:val="28"/>
        </w:rPr>
        <w:t>et al.</w:t>
      </w:r>
      <w:r>
        <w:rPr>
          <w:sz w:val="28"/>
          <w:szCs w:val="28"/>
        </w:rPr>
        <w:t>, 2016), entretanto, não há na literatura associação entre um valor de corte da DP e mortalidade para pacientes submetidos à cirurgia cardíaca.</w:t>
      </w:r>
    </w:p>
    <w:p w14:paraId="5EB473E1" w14:textId="77777777" w:rsidR="00197429" w:rsidRDefault="00E7181B">
      <w:pPr>
        <w:pStyle w:val="Ttulo2"/>
      </w:pPr>
      <w:bookmarkStart w:id="7" w:name="_Toc81581088"/>
      <w:r>
        <w:lastRenderedPageBreak/>
        <w:t>1.2. Objetivos</w:t>
      </w:r>
      <w:bookmarkEnd w:id="7"/>
    </w:p>
    <w:p w14:paraId="4BCE66F7" w14:textId="1FF60E47" w:rsidR="00197429" w:rsidRDefault="00E7181B">
      <w:pPr>
        <w:spacing w:line="18pt" w:lineRule="auto"/>
        <w:rPr>
          <w:sz w:val="28"/>
          <w:szCs w:val="28"/>
        </w:rPr>
      </w:pPr>
      <w:r>
        <w:rPr>
          <w:sz w:val="28"/>
          <w:szCs w:val="28"/>
        </w:rPr>
        <w:t xml:space="preserve"> </w:t>
      </w:r>
      <w:r>
        <w:rPr>
          <w:sz w:val="28"/>
          <w:szCs w:val="28"/>
        </w:rPr>
        <w:tab/>
        <w:t xml:space="preserve">O objetivo do estudo é </w:t>
      </w:r>
      <w:r w:rsidR="00315E88">
        <w:rPr>
          <w:sz w:val="28"/>
          <w:szCs w:val="28"/>
        </w:rPr>
        <w:t xml:space="preserve">avaliar a incidência de CPPs no POi de cirurgia Cardíaca do HUPE e </w:t>
      </w:r>
      <w:r>
        <w:rPr>
          <w:sz w:val="28"/>
          <w:szCs w:val="28"/>
        </w:rPr>
        <w:t>investigar a eficácia de diferentes estratégias de ventilação mecânica no POi de cirurgia cardíaca com uso CEC e determinar se uma estratégia com MR associada à titulação decremental da PEEP pela menor DP é capaz de promover</w:t>
      </w:r>
      <w:r w:rsidR="006D572D" w:rsidRPr="006D572D">
        <w:rPr>
          <w:sz w:val="28"/>
          <w:szCs w:val="28"/>
        </w:rPr>
        <w:t xml:space="preserve"> </w:t>
      </w:r>
      <w:r w:rsidR="006D572D">
        <w:rPr>
          <w:sz w:val="28"/>
          <w:szCs w:val="28"/>
        </w:rPr>
        <w:t>menor incidência de CPPs,</w:t>
      </w:r>
      <w:r w:rsidR="00C6646D">
        <w:rPr>
          <w:sz w:val="28"/>
          <w:szCs w:val="28"/>
        </w:rPr>
        <w:t xml:space="preserve"> </w:t>
      </w:r>
      <w:r w:rsidR="00315E88">
        <w:rPr>
          <w:sz w:val="28"/>
          <w:szCs w:val="28"/>
        </w:rPr>
        <w:t xml:space="preserve">melhorar </w:t>
      </w:r>
      <w:r w:rsidR="00C6646D">
        <w:rPr>
          <w:sz w:val="28"/>
          <w:szCs w:val="28"/>
        </w:rPr>
        <w:t xml:space="preserve">a performance dos pacientes no TC6M </w:t>
      </w:r>
      <w:r>
        <w:rPr>
          <w:sz w:val="28"/>
          <w:szCs w:val="28"/>
        </w:rPr>
        <w:t>e</w:t>
      </w:r>
      <w:r w:rsidR="006D572D">
        <w:rPr>
          <w:sz w:val="28"/>
          <w:szCs w:val="28"/>
        </w:rPr>
        <w:t xml:space="preserve"> </w:t>
      </w:r>
      <w:r w:rsidR="00315E88">
        <w:rPr>
          <w:sz w:val="28"/>
          <w:szCs w:val="28"/>
        </w:rPr>
        <w:t xml:space="preserve">promover </w:t>
      </w:r>
      <w:r w:rsidR="006D572D">
        <w:rPr>
          <w:sz w:val="28"/>
          <w:szCs w:val="28"/>
        </w:rPr>
        <w:t>menor tempo de internação em UTI</w:t>
      </w:r>
      <w:r>
        <w:rPr>
          <w:sz w:val="28"/>
          <w:szCs w:val="28"/>
        </w:rPr>
        <w:t>.</w:t>
      </w:r>
    </w:p>
    <w:p w14:paraId="4850DE9B" w14:textId="78706040" w:rsidR="00197429" w:rsidRDefault="00E7181B">
      <w:pPr>
        <w:pStyle w:val="Ttulo3"/>
      </w:pPr>
      <w:bookmarkStart w:id="8" w:name="_Toc81581089"/>
      <w:r>
        <w:t>1.2.1. Objetivos Específicos</w:t>
      </w:r>
      <w:bookmarkEnd w:id="8"/>
    </w:p>
    <w:p w14:paraId="0A296C84" w14:textId="77777777" w:rsidR="00526915" w:rsidRPr="00526915" w:rsidRDefault="00526915" w:rsidP="00526915"/>
    <w:p w14:paraId="53FC17D4" w14:textId="376352E8" w:rsidR="00526915" w:rsidRDefault="00526915">
      <w:pPr>
        <w:numPr>
          <w:ilvl w:val="0"/>
          <w:numId w:val="6"/>
        </w:numPr>
        <w:pBdr>
          <w:top w:val="nil"/>
          <w:left w:val="nil"/>
          <w:bottom w:val="nil"/>
          <w:right w:val="nil"/>
          <w:between w:val="nil"/>
        </w:pBdr>
        <w:spacing w:line="18pt" w:lineRule="auto"/>
        <w:rPr>
          <w:sz w:val="28"/>
          <w:szCs w:val="28"/>
        </w:rPr>
      </w:pPr>
      <w:r>
        <w:rPr>
          <w:sz w:val="28"/>
          <w:szCs w:val="28"/>
        </w:rPr>
        <w:t>Avaliar a incidência de CPPs no POi de cirurgia Cardíaca do HUPE;</w:t>
      </w:r>
    </w:p>
    <w:p w14:paraId="6178C815" w14:textId="7234C1C4" w:rsidR="00197429" w:rsidRDefault="00E7181B">
      <w:pPr>
        <w:numPr>
          <w:ilvl w:val="0"/>
          <w:numId w:val="6"/>
        </w:numPr>
        <w:pBdr>
          <w:top w:val="nil"/>
          <w:left w:val="nil"/>
          <w:bottom w:val="nil"/>
          <w:right w:val="nil"/>
          <w:between w:val="nil"/>
        </w:pBdr>
        <w:spacing w:line="18pt" w:lineRule="auto"/>
        <w:rPr>
          <w:sz w:val="28"/>
          <w:szCs w:val="28"/>
        </w:rPr>
      </w:pPr>
      <w:r>
        <w:rPr>
          <w:sz w:val="28"/>
          <w:szCs w:val="28"/>
        </w:rPr>
        <w:t>Estudar o efeito da MR com titulação decremental da PEEP no pós-operatório de cirurgia cardíaca sobre a incidência e gravidade das CPPs, por meio de análise clínica e radiológica;</w:t>
      </w:r>
    </w:p>
    <w:p w14:paraId="7A9C9917" w14:textId="05088BF0" w:rsidR="00C6646D" w:rsidRPr="00C6646D" w:rsidRDefault="00C6646D" w:rsidP="00C6646D">
      <w:pPr>
        <w:numPr>
          <w:ilvl w:val="0"/>
          <w:numId w:val="6"/>
        </w:numPr>
        <w:pBdr>
          <w:top w:val="nil"/>
          <w:left w:val="nil"/>
          <w:bottom w:val="nil"/>
          <w:right w:val="nil"/>
          <w:between w:val="nil"/>
        </w:pBdr>
        <w:spacing w:line="18pt" w:lineRule="auto"/>
        <w:rPr>
          <w:sz w:val="28"/>
          <w:szCs w:val="28"/>
        </w:rPr>
      </w:pPr>
      <w:r>
        <w:rPr>
          <w:sz w:val="28"/>
          <w:szCs w:val="28"/>
        </w:rPr>
        <w:t>Comparar a performance dos pacientes entre os grupos no TC6M, na alta da UTI;</w:t>
      </w:r>
    </w:p>
    <w:p w14:paraId="71814667" w14:textId="298376CA" w:rsidR="006D572D" w:rsidRDefault="006D572D">
      <w:pPr>
        <w:numPr>
          <w:ilvl w:val="0"/>
          <w:numId w:val="6"/>
        </w:numPr>
        <w:pBdr>
          <w:top w:val="nil"/>
          <w:left w:val="nil"/>
          <w:bottom w:val="nil"/>
          <w:right w:val="nil"/>
          <w:between w:val="nil"/>
        </w:pBdr>
        <w:spacing w:before="6pt" w:line="18pt" w:lineRule="auto"/>
        <w:rPr>
          <w:sz w:val="28"/>
          <w:szCs w:val="28"/>
        </w:rPr>
      </w:pPr>
      <w:r>
        <w:rPr>
          <w:sz w:val="28"/>
          <w:szCs w:val="28"/>
        </w:rPr>
        <w:t>Avaliar e comparar o tempo de permanência em UTI</w:t>
      </w:r>
      <w:r w:rsidR="00526915">
        <w:rPr>
          <w:sz w:val="28"/>
          <w:szCs w:val="28"/>
        </w:rPr>
        <w:t>;</w:t>
      </w:r>
    </w:p>
    <w:p w14:paraId="09A1E282" w14:textId="2D13DA1C" w:rsidR="001E62A2" w:rsidRDefault="001E62A2">
      <w:pPr>
        <w:numPr>
          <w:ilvl w:val="0"/>
          <w:numId w:val="6"/>
        </w:numPr>
        <w:pBdr>
          <w:top w:val="nil"/>
          <w:left w:val="nil"/>
          <w:bottom w:val="nil"/>
          <w:right w:val="nil"/>
          <w:between w:val="nil"/>
        </w:pBdr>
        <w:spacing w:before="6pt" w:line="18pt" w:lineRule="auto"/>
        <w:rPr>
          <w:sz w:val="28"/>
          <w:szCs w:val="28"/>
        </w:rPr>
      </w:pPr>
      <w:r>
        <w:rPr>
          <w:sz w:val="28"/>
          <w:szCs w:val="28"/>
        </w:rPr>
        <w:t xml:space="preserve">Avaliar a implementação do novo protocolo de ventilação mecânica </w:t>
      </w:r>
      <w:r w:rsidR="00526915">
        <w:rPr>
          <w:sz w:val="28"/>
          <w:szCs w:val="28"/>
        </w:rPr>
        <w:t xml:space="preserve">e recrutamento alveolar </w:t>
      </w:r>
      <w:r>
        <w:rPr>
          <w:sz w:val="28"/>
          <w:szCs w:val="28"/>
        </w:rPr>
        <w:t>no POi de Cirurgia Cardíaca do HUPE.</w:t>
      </w:r>
    </w:p>
    <w:p w14:paraId="773B38AC" w14:textId="77777777" w:rsidR="00197429" w:rsidRDefault="00E7181B">
      <w:pPr>
        <w:pStyle w:val="Ttulo1"/>
        <w:numPr>
          <w:ilvl w:val="0"/>
          <w:numId w:val="7"/>
        </w:numPr>
      </w:pPr>
      <w:bookmarkStart w:id="9" w:name="_Toc81581090"/>
      <w:r>
        <w:t>Materiais e Métodos</w:t>
      </w:r>
      <w:bookmarkEnd w:id="9"/>
    </w:p>
    <w:p w14:paraId="35FA02F7" w14:textId="33808A77" w:rsidR="00197429" w:rsidRDefault="00E7181B">
      <w:pPr>
        <w:spacing w:line="18pt" w:lineRule="auto"/>
        <w:ind w:firstLine="18pt"/>
        <w:rPr>
          <w:sz w:val="28"/>
          <w:szCs w:val="28"/>
        </w:rPr>
      </w:pPr>
      <w:r>
        <w:rPr>
          <w:sz w:val="28"/>
          <w:szCs w:val="28"/>
        </w:rPr>
        <w:t xml:space="preserve">Trata-se de um estudo clínico prospectivo, randomizado, aleatorizado que será realizado no Hospital Universitário Pedro Ernesto (HUPE) na Universidade do Estado do Rio de Janeiro (UERJ), Brasil. Os pacientes serão admitidos entre julho de 2021 e dezembro de 2022. Um termo de consentimento livre e esclarecido será obtido de todos os participantes. A estrutura do Protocolo foi escrita em conformidade com os padrões </w:t>
      </w:r>
      <w:r>
        <w:rPr>
          <w:sz w:val="28"/>
          <w:szCs w:val="28"/>
        </w:rPr>
        <w:lastRenderedPageBreak/>
        <w:t>consolidados de relatórios para ensaios clínicos (</w:t>
      </w:r>
      <w:proofErr w:type="spellStart"/>
      <w:r>
        <w:rPr>
          <w:i/>
          <w:sz w:val="28"/>
          <w:szCs w:val="28"/>
        </w:rPr>
        <w:t>Consolidated</w:t>
      </w:r>
      <w:proofErr w:type="spellEnd"/>
      <w:r>
        <w:rPr>
          <w:i/>
          <w:sz w:val="28"/>
          <w:szCs w:val="28"/>
        </w:rPr>
        <w:t xml:space="preserve"> Standards </w:t>
      </w:r>
      <w:proofErr w:type="spellStart"/>
      <w:r>
        <w:rPr>
          <w:i/>
          <w:sz w:val="28"/>
          <w:szCs w:val="28"/>
        </w:rPr>
        <w:t>of</w:t>
      </w:r>
      <w:proofErr w:type="spellEnd"/>
      <w:r>
        <w:rPr>
          <w:i/>
          <w:sz w:val="28"/>
          <w:szCs w:val="28"/>
        </w:rPr>
        <w:t xml:space="preserve"> </w:t>
      </w:r>
      <w:proofErr w:type="spellStart"/>
      <w:r>
        <w:rPr>
          <w:i/>
          <w:sz w:val="28"/>
          <w:szCs w:val="28"/>
        </w:rPr>
        <w:t>Reporting</w:t>
      </w:r>
      <w:proofErr w:type="spellEnd"/>
      <w:r>
        <w:rPr>
          <w:i/>
          <w:sz w:val="28"/>
          <w:szCs w:val="28"/>
        </w:rPr>
        <w:t xml:space="preserve"> </w:t>
      </w:r>
      <w:proofErr w:type="spellStart"/>
      <w:r>
        <w:rPr>
          <w:i/>
          <w:sz w:val="28"/>
          <w:szCs w:val="28"/>
        </w:rPr>
        <w:t>Trials</w:t>
      </w:r>
      <w:proofErr w:type="spellEnd"/>
      <w:r>
        <w:rPr>
          <w:sz w:val="28"/>
          <w:szCs w:val="28"/>
        </w:rPr>
        <w:t xml:space="preserve"> - CONSORT) de 2010.</w:t>
      </w:r>
    </w:p>
    <w:p w14:paraId="53508789" w14:textId="77777777" w:rsidR="00197429" w:rsidRDefault="00197429">
      <w:pPr>
        <w:spacing w:line="18pt" w:lineRule="auto"/>
        <w:ind w:firstLine="18pt"/>
        <w:rPr>
          <w:sz w:val="28"/>
          <w:szCs w:val="28"/>
        </w:rPr>
      </w:pPr>
    </w:p>
    <w:p w14:paraId="536C6963" w14:textId="77777777" w:rsidR="00197429" w:rsidRDefault="00E7181B">
      <w:pPr>
        <w:pStyle w:val="Ttulo2"/>
      </w:pPr>
      <w:bookmarkStart w:id="10" w:name="_Toc81581091"/>
      <w:r>
        <w:t>2.1 Desenho do Estudo</w:t>
      </w:r>
      <w:bookmarkEnd w:id="10"/>
    </w:p>
    <w:p w14:paraId="0113D3E9" w14:textId="27A31D4E" w:rsidR="00197429" w:rsidRDefault="00E7181B">
      <w:pPr>
        <w:tabs>
          <w:tab w:val="start" w:pos="56.70pt"/>
          <w:tab w:val="start" w:pos="198.45pt"/>
          <w:tab w:val="start" w:pos="212.60pt"/>
          <w:tab w:val="start" w:pos="340.20pt"/>
        </w:tabs>
        <w:spacing w:line="18pt" w:lineRule="auto"/>
        <w:rPr>
          <w:sz w:val="28"/>
          <w:szCs w:val="28"/>
        </w:rPr>
      </w:pPr>
      <w:r>
        <w:rPr>
          <w:sz w:val="28"/>
          <w:szCs w:val="28"/>
        </w:rPr>
        <w:tab/>
        <w:t xml:space="preserve">O estudo será um ensaio clínico randomizado aleatorizado e controlado. O tamanho amostral foi calculado em </w:t>
      </w:r>
      <w:r>
        <w:rPr>
          <w:b/>
          <w:sz w:val="28"/>
          <w:szCs w:val="28"/>
        </w:rPr>
        <w:t>76</w:t>
      </w:r>
      <w:r>
        <w:rPr>
          <w:sz w:val="28"/>
          <w:szCs w:val="28"/>
        </w:rPr>
        <w:t xml:space="preserve"> pacientes, para um erro </w:t>
      </w:r>
      <w:r>
        <w:rPr>
          <w:rFonts w:ascii="Arimo" w:eastAsia="Arimo" w:hAnsi="Arimo" w:cs="Arimo"/>
          <w:sz w:val="28"/>
          <w:szCs w:val="28"/>
        </w:rPr>
        <w:t>a</w:t>
      </w:r>
      <w:r>
        <w:rPr>
          <w:sz w:val="28"/>
          <w:szCs w:val="28"/>
        </w:rPr>
        <w:t xml:space="preserve"> 0,05 e poder do teste de 80%; considerando uma taxa de </w:t>
      </w:r>
      <w:r w:rsidR="00526915">
        <w:rPr>
          <w:sz w:val="28"/>
          <w:szCs w:val="28"/>
        </w:rPr>
        <w:t>perda</w:t>
      </w:r>
      <w:r>
        <w:rPr>
          <w:sz w:val="28"/>
          <w:szCs w:val="28"/>
        </w:rPr>
        <w:t xml:space="preserve">, estipulamos </w:t>
      </w:r>
      <w:r w:rsidR="00661FE7">
        <w:rPr>
          <w:sz w:val="28"/>
          <w:szCs w:val="28"/>
        </w:rPr>
        <w:t>uma</w:t>
      </w:r>
      <w:r>
        <w:rPr>
          <w:sz w:val="28"/>
          <w:szCs w:val="28"/>
        </w:rPr>
        <w:t xml:space="preserve"> meta </w:t>
      </w:r>
      <w:r w:rsidR="00661FE7">
        <w:rPr>
          <w:sz w:val="28"/>
          <w:szCs w:val="28"/>
        </w:rPr>
        <w:t xml:space="preserve">de </w:t>
      </w:r>
      <w:r w:rsidR="00526915">
        <w:rPr>
          <w:b/>
          <w:sz w:val="28"/>
          <w:szCs w:val="28"/>
        </w:rPr>
        <w:t>100</w:t>
      </w:r>
      <w:r>
        <w:rPr>
          <w:b/>
          <w:sz w:val="28"/>
          <w:szCs w:val="28"/>
        </w:rPr>
        <w:t xml:space="preserve"> </w:t>
      </w:r>
      <w:r>
        <w:rPr>
          <w:sz w:val="28"/>
          <w:szCs w:val="28"/>
        </w:rPr>
        <w:t>pacientes para concluir o ensaio.</w:t>
      </w:r>
    </w:p>
    <w:p w14:paraId="1D5C0343" w14:textId="1D5F500B" w:rsidR="00B33983" w:rsidRDefault="00E7181B" w:rsidP="00C626E1">
      <w:pPr>
        <w:spacing w:line="18pt" w:lineRule="auto"/>
        <w:ind w:firstLine="36pt"/>
        <w:rPr>
          <w:sz w:val="28"/>
          <w:szCs w:val="28"/>
        </w:rPr>
      </w:pPr>
      <w:r>
        <w:rPr>
          <w:sz w:val="28"/>
          <w:szCs w:val="28"/>
        </w:rPr>
        <w:t xml:space="preserve">Os pacientes serão ventilados com uma estratégia protetora convencional </w:t>
      </w:r>
      <w:r w:rsidR="000A5B96">
        <w:rPr>
          <w:sz w:val="28"/>
          <w:szCs w:val="28"/>
        </w:rPr>
        <w:t xml:space="preserve"> com PEEP de 5 cmH</w:t>
      </w:r>
      <w:r w:rsidR="000A5B96">
        <w:rPr>
          <w:sz w:val="28"/>
          <w:szCs w:val="28"/>
          <w:vertAlign w:val="subscript"/>
        </w:rPr>
        <w:t>2</w:t>
      </w:r>
      <w:r w:rsidR="000A5B96">
        <w:rPr>
          <w:sz w:val="28"/>
          <w:szCs w:val="28"/>
        </w:rPr>
        <w:t xml:space="preserve">O </w:t>
      </w:r>
      <w:r>
        <w:rPr>
          <w:sz w:val="28"/>
          <w:szCs w:val="28"/>
        </w:rPr>
        <w:t>no POi e após período de estabilização</w:t>
      </w:r>
      <w:r w:rsidR="003E4C16">
        <w:rPr>
          <w:sz w:val="28"/>
          <w:szCs w:val="28"/>
        </w:rPr>
        <w:t xml:space="preserve">, </w:t>
      </w:r>
      <w:r>
        <w:rPr>
          <w:sz w:val="28"/>
          <w:szCs w:val="28"/>
        </w:rPr>
        <w:t>os pacientes serão randomizados de forma aleatória em dois grupos:</w:t>
      </w:r>
      <w:r>
        <w:t xml:space="preserve"> </w:t>
      </w:r>
      <w:r>
        <w:rPr>
          <w:sz w:val="28"/>
          <w:szCs w:val="28"/>
        </w:rPr>
        <w:t xml:space="preserve">Controle (GC) e intervenção (GI). O GC </w:t>
      </w:r>
      <w:r w:rsidR="000A5B96">
        <w:rPr>
          <w:sz w:val="28"/>
          <w:szCs w:val="28"/>
        </w:rPr>
        <w:t>terá a PEEP elevada para 10</w:t>
      </w:r>
      <w:r>
        <w:rPr>
          <w:sz w:val="28"/>
          <w:szCs w:val="28"/>
        </w:rPr>
        <w:t xml:space="preserve"> cmH</w:t>
      </w:r>
      <w:r>
        <w:rPr>
          <w:sz w:val="28"/>
          <w:szCs w:val="28"/>
          <w:vertAlign w:val="subscript"/>
        </w:rPr>
        <w:t>2</w:t>
      </w:r>
      <w:r>
        <w:rPr>
          <w:sz w:val="28"/>
          <w:szCs w:val="28"/>
        </w:rPr>
        <w:t xml:space="preserve">O </w:t>
      </w:r>
      <w:r w:rsidR="000A5B96">
        <w:rPr>
          <w:sz w:val="28"/>
          <w:szCs w:val="28"/>
        </w:rPr>
        <w:t xml:space="preserve">(protocolo já estabelecido no serviço) e </w:t>
      </w:r>
      <w:r w:rsidR="00486E02">
        <w:rPr>
          <w:sz w:val="28"/>
          <w:szCs w:val="28"/>
        </w:rPr>
        <w:t xml:space="preserve">esta PEEP </w:t>
      </w:r>
      <w:r w:rsidR="000A5B96">
        <w:rPr>
          <w:sz w:val="28"/>
          <w:szCs w:val="28"/>
        </w:rPr>
        <w:t xml:space="preserve">será mantida até o teste de respiração espontânea (TRE) </w:t>
      </w:r>
      <w:r>
        <w:rPr>
          <w:sz w:val="28"/>
          <w:szCs w:val="28"/>
        </w:rPr>
        <w:t>e o</w:t>
      </w:r>
      <w:r>
        <w:t xml:space="preserve"> </w:t>
      </w:r>
      <w:r>
        <w:rPr>
          <w:sz w:val="28"/>
          <w:szCs w:val="28"/>
        </w:rPr>
        <w:t>GI será submetido a uma MR com PEEP de 35 cmH</w:t>
      </w:r>
      <w:r>
        <w:rPr>
          <w:sz w:val="28"/>
          <w:szCs w:val="28"/>
          <w:vertAlign w:val="subscript"/>
        </w:rPr>
        <w:t>2</w:t>
      </w:r>
      <w:r>
        <w:rPr>
          <w:sz w:val="28"/>
          <w:szCs w:val="28"/>
        </w:rPr>
        <w:t>O e um delta de pressão inspiratória de 15 cmH</w:t>
      </w:r>
      <w:r>
        <w:rPr>
          <w:sz w:val="28"/>
          <w:szCs w:val="28"/>
          <w:vertAlign w:val="subscript"/>
        </w:rPr>
        <w:t>2</w:t>
      </w:r>
      <w:r>
        <w:rPr>
          <w:sz w:val="28"/>
          <w:szCs w:val="28"/>
        </w:rPr>
        <w:t>O, atingindo uma pressão de pico (Ppi) de 50 cmH</w:t>
      </w:r>
      <w:r>
        <w:rPr>
          <w:sz w:val="28"/>
          <w:szCs w:val="28"/>
          <w:vertAlign w:val="subscript"/>
        </w:rPr>
        <w:t>2</w:t>
      </w:r>
      <w:r>
        <w:rPr>
          <w:sz w:val="28"/>
          <w:szCs w:val="28"/>
        </w:rPr>
        <w:t xml:space="preserve">O, em seguida será realizada a titulação decremental da PEEP. </w:t>
      </w:r>
      <w:r w:rsidR="007615E8">
        <w:rPr>
          <w:sz w:val="28"/>
          <w:szCs w:val="28"/>
        </w:rPr>
        <w:t>Após 5 min</w:t>
      </w:r>
      <w:r>
        <w:rPr>
          <w:sz w:val="28"/>
          <w:szCs w:val="28"/>
        </w:rPr>
        <w:t xml:space="preserve"> </w:t>
      </w:r>
      <w:r w:rsidR="007615E8">
        <w:rPr>
          <w:sz w:val="28"/>
          <w:szCs w:val="28"/>
        </w:rPr>
        <w:t>d</w:t>
      </w:r>
      <w:r>
        <w:rPr>
          <w:sz w:val="28"/>
          <w:szCs w:val="28"/>
        </w:rPr>
        <w:t>a manobra</w:t>
      </w:r>
      <w:r w:rsidR="007615E8">
        <w:rPr>
          <w:sz w:val="28"/>
          <w:szCs w:val="28"/>
        </w:rPr>
        <w:t>,</w:t>
      </w:r>
      <w:r>
        <w:rPr>
          <w:sz w:val="28"/>
          <w:szCs w:val="28"/>
        </w:rPr>
        <w:t xml:space="preserve"> as variáveis de mecânica pulmonar e gasométricas serão coletadas. A PEEP escolhida será mantida até </w:t>
      </w:r>
      <w:r w:rsidR="000A5B96">
        <w:rPr>
          <w:sz w:val="28"/>
          <w:szCs w:val="28"/>
        </w:rPr>
        <w:t xml:space="preserve">o </w:t>
      </w:r>
      <w:r>
        <w:rPr>
          <w:sz w:val="28"/>
          <w:szCs w:val="28"/>
        </w:rPr>
        <w:t>TRE, como demonstrado nas figuras 1 e 2.</w:t>
      </w:r>
      <w:r w:rsidR="00D94795">
        <w:rPr>
          <w:sz w:val="28"/>
          <w:szCs w:val="28"/>
        </w:rPr>
        <w:t xml:space="preserve"> </w:t>
      </w:r>
    </w:p>
    <w:p w14:paraId="6C8E6A25" w14:textId="77777777" w:rsidR="00B33983" w:rsidRDefault="00B33983">
      <w:pPr>
        <w:rPr>
          <w:sz w:val="28"/>
          <w:szCs w:val="28"/>
        </w:rPr>
      </w:pPr>
      <w:r>
        <w:rPr>
          <w:sz w:val="28"/>
          <w:szCs w:val="28"/>
        </w:rPr>
        <w:br w:type="page"/>
      </w:r>
    </w:p>
    <w:p w14:paraId="0A1D33F7" w14:textId="77777777" w:rsidR="00C626E1" w:rsidRDefault="00C626E1" w:rsidP="00C626E1">
      <w:pPr>
        <w:spacing w:line="18pt" w:lineRule="auto"/>
        <w:ind w:firstLine="36pt"/>
        <w:rPr>
          <w:sz w:val="28"/>
          <w:szCs w:val="28"/>
        </w:rPr>
      </w:pPr>
    </w:p>
    <w:p w14:paraId="3EDD19C3" w14:textId="74152141" w:rsidR="00197429" w:rsidRDefault="002879AA" w:rsidP="00C626E1">
      <w:pPr>
        <w:spacing w:line="18pt" w:lineRule="auto"/>
        <w:ind w:firstLine="36pt"/>
        <w:rPr>
          <w:sz w:val="28"/>
          <w:szCs w:val="28"/>
        </w:rPr>
      </w:pPr>
      <w:r w:rsidRPr="002A16B9">
        <w:rPr>
          <w:noProof/>
        </w:rPr>
        <w:drawing>
          <wp:anchor distT="0" distB="0" distL="114300" distR="114300" simplePos="0" relativeHeight="251659264" behindDoc="0" locked="0" layoutInCell="1" allowOverlap="1" wp14:anchorId="02D954AC" wp14:editId="69A9BF75">
            <wp:simplePos x="0" y="0"/>
            <wp:positionH relativeFrom="margin">
              <wp:align>left</wp:align>
            </wp:positionH>
            <wp:positionV relativeFrom="paragraph">
              <wp:posOffset>9525</wp:posOffset>
            </wp:positionV>
            <wp:extent cx="5661660" cy="4937760"/>
            <wp:effectExtent l="0" t="0" r="15240" b="15240"/>
            <wp:wrapNone/>
            <wp:docPr id="25" name="Agrupar 4"/>
            <wp:cNvGraphicFramePr/>
            <a:graphic xmlns:a="http://purl.oclc.org/ooxml/drawingml/main">
              <a:graphicData uri="http://schemas.microsoft.com/office/word/2010/wordprocessingGroup">
                <wp:wgp>
                  <wp:cNvGrpSpPr>
                    <a:extLst>
                      <a:ext uri="{F59B8463-F414-42e2-B3A4-FFEF48DC7170}">
                        <a15:nonVisualGroupProps xmlns:a15="http://schemas.microsoft.com/office/drawing/2012/main" isLegacyGroup="0"/>
                      </a:ext>
                    </a:extLst>
                  </wp:cNvGrpSpPr>
                  <wp:grpSpPr>
                    <a:xfrm>
                      <a:off x="0" y="0"/>
                      <a:ext cx="5661660" cy="4937760"/>
                      <a:chOff x="0" y="0"/>
                      <a:chExt cx="5220024" cy="4953470"/>
                    </a:xfrm>
                  </wp:grpSpPr>
                  <wp:wsp>
                    <wp:cNvPr id="26" name="Retângulo 26"/>
                    <wp:cNvSpPr/>
                    <wp:spPr>
                      <a:xfrm>
                        <a:off x="1906620" y="0"/>
                        <a:ext cx="1139716" cy="285892"/>
                      </a:xfrm>
                      <a:prstGeom prst="rect">
                        <a:avLst/>
                      </a:prstGeom>
                      <a:noFill/>
                      <a:ln w="9525">
                        <a:solidFill>
                          <a:schemeClr val="dk1"/>
                        </a:solidFill>
                      </a:ln>
                    </wp:spPr>
                    <wp:style>
                      <a:lnRef idx="2">
                        <a:schemeClr val="accent6"/>
                      </a:lnRef>
                      <a:fillRef idx="1">
                        <a:schemeClr val="lt1"/>
                      </a:fillRef>
                      <a:effectRef idx="0">
                        <a:schemeClr val="accent6"/>
                      </a:effectRef>
                      <a:fontRef idx="minor">
                        <a:schemeClr val="dk1"/>
                      </a:fontRef>
                    </wp:style>
                    <wp:txbx>
                      <wne:txbxContent>
                        <w:p w14:paraId="67354E8A"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Admissão no POi</w:t>
                          </w:r>
                        </w:p>
                      </wne:txbxContent>
                    </wp:txbx>
                    <wp:bodyPr rtlCol="0" anchor="ctr"/>
                  </wp:wsp>
                  <wp:wsp>
                    <wp:cNvPr id="28" name="Retângulo 28"/>
                    <wp:cNvSpPr/>
                    <wp:spPr>
                      <a:xfrm>
                        <a:off x="1316368" y="501531"/>
                        <a:ext cx="2320220" cy="907593"/>
                      </a:xfrm>
                      <a:prstGeom prst="rect">
                        <a:avLst/>
                      </a:prstGeom>
                      <a:noFill/>
                      <a:ln w="3175">
                        <a:solidFill>
                          <a:schemeClr val="tx1"/>
                        </a:solidFill>
                      </a:ln>
                    </wp:spPr>
                    <wp:style>
                      <a:lnRef idx="2">
                        <a:schemeClr val="accent6"/>
                      </a:lnRef>
                      <a:fillRef idx="1">
                        <a:schemeClr val="lt1"/>
                      </a:fillRef>
                      <a:effectRef idx="0">
                        <a:schemeClr val="accent6"/>
                      </a:effectRef>
                      <a:fontRef idx="minor">
                        <a:schemeClr val="dk1"/>
                      </a:fontRef>
                    </wp:style>
                    <wp:txbx>
                      <wne:txbxContent>
                        <w:p w14:paraId="0312F0C8"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VC de 6ml/kg de peso predito</w:t>
                          </w:r>
                        </w:p>
                        <w:p w14:paraId="08ABEAAC"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 xml:space="preserve">PEEP 5 </w:t>
                          </w:r>
                          <w:proofErr w:type="spellStart"/>
                          <w:r>
                            <w:rPr>
                              <w:rFonts w:ascii="Arial" w:hAnsi="Arial" w:cstheme="minorBidi"/>
                              <w:kern w:val="24"/>
                              <w:sz w:val="18"/>
                              <w:szCs w:val="18"/>
                            </w:rPr>
                            <w:t>cmH</w:t>
                          </w:r>
                          <w:proofErr w:type="spellEnd"/>
                          <w:r>
                            <w:rPr>
                              <w:rFonts w:ascii="Arial" w:hAnsi="Arial" w:cstheme="minorBidi"/>
                              <w:kern w:val="24"/>
                              <w:position w:val="-5"/>
                              <w:sz w:val="18"/>
                              <w:szCs w:val="18"/>
                              <w:vertAlign w:val="subscript"/>
                            </w:rPr>
                            <w:t>2</w:t>
                          </w:r>
                          <w:r>
                            <w:rPr>
                              <w:rFonts w:ascii="Arial" w:hAnsi="Arial" w:cstheme="minorBidi"/>
                              <w:kern w:val="24"/>
                              <w:sz w:val="18"/>
                              <w:szCs w:val="18"/>
                            </w:rPr>
                            <w:t>O</w:t>
                          </w:r>
                        </w:p>
                        <w:p w14:paraId="46567CF0"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 xml:space="preserve">FR para manter </w:t>
                          </w:r>
                          <w:proofErr w:type="spellStart"/>
                          <w:r>
                            <w:rPr>
                              <w:rFonts w:ascii="Arial" w:hAnsi="Arial" w:cstheme="minorBidi"/>
                              <w:kern w:val="24"/>
                              <w:sz w:val="18"/>
                              <w:szCs w:val="18"/>
                            </w:rPr>
                            <w:t>PaCO</w:t>
                          </w:r>
                          <w:proofErr w:type="spellEnd"/>
                          <w:r>
                            <w:rPr>
                              <w:rFonts w:ascii="Arial" w:hAnsi="Arial" w:cstheme="minorBidi"/>
                              <w:kern w:val="24"/>
                              <w:position w:val="-5"/>
                              <w:sz w:val="18"/>
                              <w:szCs w:val="18"/>
                              <w:vertAlign w:val="subscript"/>
                            </w:rPr>
                            <w:t>2</w:t>
                          </w:r>
                          <w:r>
                            <w:rPr>
                              <w:rFonts w:ascii="Arial" w:hAnsi="Arial" w:cstheme="minorBidi"/>
                              <w:kern w:val="24"/>
                              <w:sz w:val="18"/>
                              <w:szCs w:val="18"/>
                            </w:rPr>
                            <w:t xml:space="preserve"> 35 – 45 mmHg</w:t>
                          </w:r>
                        </w:p>
                        <w:p w14:paraId="7F03D359" w14:textId="77777777" w:rsidR="00B26C20" w:rsidRDefault="00B26C20" w:rsidP="00B26C20">
                          <w:pPr>
                            <w:spacing w:line="18pt" w:lineRule="auto"/>
                            <w:jc w:val="center"/>
                            <w:rPr>
                              <w:rFonts w:ascii="Arial" w:hAnsi="Arial" w:cstheme="minorBidi"/>
                              <w:kern w:val="24"/>
                              <w:sz w:val="18"/>
                              <w:szCs w:val="18"/>
                            </w:rPr>
                          </w:pPr>
                          <w:proofErr w:type="spellStart"/>
                          <w:r>
                            <w:rPr>
                              <w:rFonts w:ascii="Arial" w:hAnsi="Arial" w:cstheme="minorBidi"/>
                              <w:kern w:val="24"/>
                              <w:sz w:val="18"/>
                              <w:szCs w:val="18"/>
                            </w:rPr>
                            <w:t>FiO</w:t>
                          </w:r>
                          <w:proofErr w:type="spellEnd"/>
                          <w:r>
                            <w:rPr>
                              <w:rFonts w:ascii="Arial" w:hAnsi="Arial" w:cstheme="minorBidi"/>
                              <w:kern w:val="24"/>
                              <w:position w:val="-5"/>
                              <w:sz w:val="18"/>
                              <w:szCs w:val="18"/>
                              <w:vertAlign w:val="subscript"/>
                            </w:rPr>
                            <w:t>2</w:t>
                          </w:r>
                          <w:r>
                            <w:rPr>
                              <w:rFonts w:ascii="Arial" w:hAnsi="Arial" w:cstheme="minorBidi"/>
                              <w:kern w:val="24"/>
                              <w:sz w:val="18"/>
                              <w:szCs w:val="18"/>
                            </w:rPr>
                            <w:t xml:space="preserve"> para manter </w:t>
                          </w:r>
                          <w:proofErr w:type="spellStart"/>
                          <w:r>
                            <w:rPr>
                              <w:rFonts w:ascii="Arial" w:hAnsi="Arial" w:cstheme="minorBidi"/>
                              <w:kern w:val="24"/>
                              <w:sz w:val="18"/>
                              <w:szCs w:val="18"/>
                            </w:rPr>
                            <w:t>SpO</w:t>
                          </w:r>
                          <w:proofErr w:type="spellEnd"/>
                          <w:r>
                            <w:rPr>
                              <w:rFonts w:ascii="Arial" w:hAnsi="Arial" w:cstheme="minorBidi"/>
                              <w:kern w:val="24"/>
                              <w:position w:val="-5"/>
                              <w:sz w:val="18"/>
                              <w:szCs w:val="18"/>
                              <w:vertAlign w:val="subscript"/>
                            </w:rPr>
                            <w:t>2</w:t>
                          </w:r>
                          <w:r>
                            <w:rPr>
                              <w:rFonts w:ascii="Arial" w:hAnsi="Arial" w:cstheme="minorBidi"/>
                              <w:kern w:val="24"/>
                              <w:sz w:val="18"/>
                              <w:szCs w:val="18"/>
                            </w:rPr>
                            <w:t xml:space="preserve"> de 92 – 96%</w:t>
                          </w:r>
                        </w:p>
                      </wne:txbxContent>
                    </wp:txbx>
                    <wp:bodyPr rtlCol="0" anchor="ctr"/>
                  </wp:wsp>
                  <wp:wsp>
                    <wp:cNvPr id="29" name="Retângulo 29"/>
                    <wp:cNvSpPr/>
                    <wp:spPr>
                      <a:xfrm>
                        <a:off x="1328624" y="1674539"/>
                        <a:ext cx="2295654" cy="330235"/>
                      </a:xfrm>
                      <a:prstGeom prst="rect">
                        <a:avLst/>
                      </a:prstGeom>
                      <a:noFill/>
                      <a:ln w="9525">
                        <a:solidFill>
                          <a:schemeClr val="tx1"/>
                        </a:solidFill>
                      </a:ln>
                    </wp:spPr>
                    <wp:style>
                      <a:lnRef idx="2">
                        <a:schemeClr val="accent6"/>
                      </a:lnRef>
                      <a:fillRef idx="1">
                        <a:schemeClr val="lt1"/>
                      </a:fillRef>
                      <a:effectRef idx="0">
                        <a:schemeClr val="accent6"/>
                      </a:effectRef>
                      <a:fontRef idx="minor">
                        <a:schemeClr val="dk1"/>
                      </a:fontRef>
                    </wp:style>
                    <wp:txbx>
                      <wne:txbxContent>
                        <w:p w14:paraId="50CFFBE3"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Estabilização (30 min)</w:t>
                          </w:r>
                        </w:p>
                        <w:p w14:paraId="55FF055C" w14:textId="77777777" w:rsidR="00B26C20" w:rsidRDefault="00B26C20" w:rsidP="00B26C20">
                          <w:pPr>
                            <w:spacing w:line="18pt" w:lineRule="auto"/>
                            <w:rPr>
                              <w:rFonts w:cstheme="minorBidi"/>
                              <w:kern w:val="24"/>
                            </w:rPr>
                          </w:pPr>
                          <w:r>
                            <w:rPr>
                              <w:rFonts w:cstheme="minorBidi"/>
                              <w:kern w:val="24"/>
                            </w:rPr>
                            <w:t> </w:t>
                          </w:r>
                        </w:p>
                      </wne:txbxContent>
                    </wp:txbx>
                    <wp:bodyPr rtlCol="0" anchor="ctr"/>
                  </wp:wsp>
                  <wp:wsp>
                    <wp:cNvPr id="30" name="Conector reto 30"/>
                    <wp:cNvCnPr/>
                    <wp:spPr>
                      <a:xfrm>
                        <a:off x="2476478" y="285892"/>
                        <a:ext cx="0" cy="215639"/>
                      </a:xfrm>
                      <a:prstGeom prst="line">
                        <a:avLst/>
                      </a:prstGeom>
                    </wp:spPr>
                    <wp:style>
                      <a:lnRef idx="1">
                        <a:schemeClr val="dk1"/>
                      </a:lnRef>
                      <a:fillRef idx="0">
                        <a:schemeClr val="dk1"/>
                      </a:fillRef>
                      <a:effectRef idx="0">
                        <a:schemeClr val="dk1"/>
                      </a:effectRef>
                      <a:fontRef idx="minor">
                        <a:schemeClr val="tx1"/>
                      </a:fontRef>
                    </wp:style>
                    <wp:bodyPr/>
                  </wp:wsp>
                  <wp:wsp>
                    <wp:cNvPr id="31" name="Conector reto 31"/>
                    <wp:cNvCnPr>
                      <a:cxnSpLocks/>
                    </wp:cNvCnPr>
                    <wp:spPr>
                      <a:xfrm flipH="1">
                        <a:off x="2476451" y="1409124"/>
                        <a:ext cx="27" cy="265415"/>
                      </a:xfrm>
                      <a:prstGeom prst="line">
                        <a:avLst/>
                      </a:prstGeom>
                    </wp:spPr>
                    <wp:style>
                      <a:lnRef idx="1">
                        <a:schemeClr val="dk1"/>
                      </a:lnRef>
                      <a:fillRef idx="0">
                        <a:schemeClr val="dk1"/>
                      </a:fillRef>
                      <a:effectRef idx="0">
                        <a:schemeClr val="dk1"/>
                      </a:effectRef>
                      <a:fontRef idx="minor">
                        <a:schemeClr val="tx1"/>
                      </a:fontRef>
                    </wp:style>
                    <wp:bodyPr/>
                  </wp:wsp>
                  <wp:wsp>
                    <wp:cNvPr id="32" name="Conector de Seta Reta 32"/>
                    <wp:cNvCnPr>
                      <a:cxnSpLocks/>
                    </wp:cNvCnPr>
                    <wp:spPr>
                      <a:xfrm>
                        <a:off x="2468772" y="2027305"/>
                        <a:ext cx="0" cy="422560"/>
                      </a:xfrm>
                      <a:prstGeom prst="straightConnector1">
                        <a:avLst/>
                      </a:prstGeom>
                      <a:ln>
                        <a:tailEnd type="triangle"/>
                      </a:ln>
                    </wp:spPr>
                    <wp:style>
                      <a:lnRef idx="1">
                        <a:schemeClr val="dk1"/>
                      </a:lnRef>
                      <a:fillRef idx="0">
                        <a:schemeClr val="dk1"/>
                      </a:fillRef>
                      <a:effectRef idx="0">
                        <a:schemeClr val="dk1"/>
                      </a:effectRef>
                      <a:fontRef idx="minor">
                        <a:schemeClr val="tx1"/>
                      </a:fontRef>
                    </wp:style>
                    <wp:bodyPr/>
                  </wp:wsp>
                  <wp:wsp>
                    <wp:cNvPr id="33" name="Retângulo 33"/>
                    <wp:cNvSpPr/>
                    <wp:spPr>
                      <a:xfrm>
                        <a:off x="1900908" y="2449864"/>
                        <a:ext cx="1139717" cy="285892"/>
                      </a:xfrm>
                      <a:prstGeom prst="rect">
                        <a:avLst/>
                      </a:prstGeom>
                      <a:noFill/>
                      <a:ln w="3175">
                        <a:solidFill>
                          <a:schemeClr val="tx1"/>
                        </a:solidFill>
                      </a:ln>
                    </wp:spPr>
                    <wp:style>
                      <a:lnRef idx="2">
                        <a:schemeClr val="accent6"/>
                      </a:lnRef>
                      <a:fillRef idx="1">
                        <a:schemeClr val="lt1"/>
                      </a:fillRef>
                      <a:effectRef idx="0">
                        <a:schemeClr val="accent6"/>
                      </a:effectRef>
                      <a:fontRef idx="minor">
                        <a:schemeClr val="dk1"/>
                      </a:fontRef>
                    </wp:style>
                    <wp:txbx>
                      <wne:txbxContent>
                        <w:p w14:paraId="337D88B8" w14:textId="77777777" w:rsidR="00B26C20" w:rsidRDefault="00B26C20" w:rsidP="00B26C20">
                          <w:pPr>
                            <w:jc w:val="center"/>
                            <w:rPr>
                              <w:rFonts w:ascii="Arial" w:hAnsi="Arial" w:cstheme="minorBidi"/>
                              <w:kern w:val="24"/>
                              <w:sz w:val="18"/>
                              <w:szCs w:val="18"/>
                            </w:rPr>
                          </w:pPr>
                          <w:r>
                            <w:rPr>
                              <w:rFonts w:ascii="Arial" w:hAnsi="Arial" w:cstheme="minorBidi"/>
                              <w:kern w:val="24"/>
                              <w:sz w:val="18"/>
                              <w:szCs w:val="18"/>
                            </w:rPr>
                            <w:t>Randomização</w:t>
                          </w:r>
                        </w:p>
                      </wne:txbxContent>
                    </wp:txbx>
                    <wp:bodyPr rtlCol="0" anchor="ctr"/>
                  </wp:wsp>
                  <wp:wsp>
                    <wp:cNvPr id="34" name="Retângulo 34"/>
                    <wp:cNvSpPr/>
                    <wp:spPr>
                      <a:xfrm>
                        <a:off x="0" y="3433167"/>
                        <a:ext cx="2320220" cy="1055518"/>
                      </a:xfrm>
                      <a:prstGeom prst="rect">
                        <a:avLst/>
                      </a:prstGeom>
                      <a:noFill/>
                      <a:ln w="3175">
                        <a:solidFill>
                          <a:schemeClr val="tx1"/>
                        </a:solidFill>
                      </a:ln>
                    </wp:spPr>
                    <wp:style>
                      <a:lnRef idx="2">
                        <a:schemeClr val="accent6"/>
                      </a:lnRef>
                      <a:fillRef idx="1">
                        <a:schemeClr val="lt1"/>
                      </a:fillRef>
                      <a:effectRef idx="0">
                        <a:schemeClr val="accent6"/>
                      </a:effectRef>
                      <a:fontRef idx="minor">
                        <a:schemeClr val="dk1"/>
                      </a:fontRef>
                    </wp:style>
                    <wp:txbx>
                      <wne:txbxContent>
                        <w:p w14:paraId="71F2BCB4"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VC de 6ml/kg de peso predito</w:t>
                          </w:r>
                        </w:p>
                        <w:p w14:paraId="083E38A2"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 xml:space="preserve">PEEP 10 </w:t>
                          </w:r>
                          <w:proofErr w:type="spellStart"/>
                          <w:r>
                            <w:rPr>
                              <w:rFonts w:ascii="Arial" w:hAnsi="Arial" w:cstheme="minorBidi"/>
                              <w:kern w:val="24"/>
                              <w:sz w:val="18"/>
                              <w:szCs w:val="18"/>
                            </w:rPr>
                            <w:t>cmH</w:t>
                          </w:r>
                          <w:proofErr w:type="spellEnd"/>
                          <w:r>
                            <w:rPr>
                              <w:rFonts w:ascii="Arial" w:hAnsi="Arial" w:cstheme="minorBidi"/>
                              <w:kern w:val="24"/>
                              <w:position w:val="-5"/>
                              <w:sz w:val="18"/>
                              <w:szCs w:val="18"/>
                              <w:vertAlign w:val="subscript"/>
                            </w:rPr>
                            <w:t>2</w:t>
                          </w:r>
                          <w:r>
                            <w:rPr>
                              <w:rFonts w:ascii="Arial" w:hAnsi="Arial" w:cstheme="minorBidi"/>
                              <w:kern w:val="24"/>
                              <w:sz w:val="18"/>
                              <w:szCs w:val="18"/>
                            </w:rPr>
                            <w:t>O</w:t>
                          </w:r>
                        </w:p>
                        <w:p w14:paraId="560F606A"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 xml:space="preserve">FR para manter </w:t>
                          </w:r>
                          <w:proofErr w:type="spellStart"/>
                          <w:r>
                            <w:rPr>
                              <w:rFonts w:ascii="Arial" w:hAnsi="Arial" w:cstheme="minorBidi"/>
                              <w:kern w:val="24"/>
                              <w:sz w:val="18"/>
                              <w:szCs w:val="18"/>
                            </w:rPr>
                            <w:t>PaCO</w:t>
                          </w:r>
                          <w:proofErr w:type="spellEnd"/>
                          <w:r>
                            <w:rPr>
                              <w:rFonts w:ascii="Arial" w:hAnsi="Arial" w:cstheme="minorBidi"/>
                              <w:kern w:val="24"/>
                              <w:position w:val="-5"/>
                              <w:sz w:val="18"/>
                              <w:szCs w:val="18"/>
                              <w:vertAlign w:val="subscript"/>
                            </w:rPr>
                            <w:t>2</w:t>
                          </w:r>
                          <w:r>
                            <w:rPr>
                              <w:rFonts w:ascii="Arial" w:hAnsi="Arial" w:cstheme="minorBidi"/>
                              <w:kern w:val="24"/>
                              <w:sz w:val="18"/>
                              <w:szCs w:val="18"/>
                            </w:rPr>
                            <w:t xml:space="preserve"> 35 – 45 mmHg</w:t>
                          </w:r>
                        </w:p>
                        <w:p w14:paraId="26F299E0" w14:textId="77777777" w:rsidR="00B26C20" w:rsidRDefault="00B26C20" w:rsidP="00B26C20">
                          <w:pPr>
                            <w:spacing w:line="18pt" w:lineRule="auto"/>
                            <w:jc w:val="center"/>
                            <w:rPr>
                              <w:rFonts w:ascii="Arial" w:hAnsi="Arial" w:cstheme="minorBidi"/>
                              <w:kern w:val="24"/>
                              <w:sz w:val="18"/>
                              <w:szCs w:val="18"/>
                            </w:rPr>
                          </w:pPr>
                          <w:proofErr w:type="spellStart"/>
                          <w:r>
                            <w:rPr>
                              <w:rFonts w:ascii="Arial" w:hAnsi="Arial" w:cstheme="minorBidi"/>
                              <w:kern w:val="24"/>
                              <w:sz w:val="18"/>
                              <w:szCs w:val="18"/>
                            </w:rPr>
                            <w:t>FiO</w:t>
                          </w:r>
                          <w:proofErr w:type="spellEnd"/>
                          <w:r>
                            <w:rPr>
                              <w:rFonts w:ascii="Arial" w:hAnsi="Arial" w:cstheme="minorBidi"/>
                              <w:kern w:val="24"/>
                              <w:position w:val="-5"/>
                              <w:sz w:val="18"/>
                              <w:szCs w:val="18"/>
                              <w:vertAlign w:val="subscript"/>
                            </w:rPr>
                            <w:t>2</w:t>
                          </w:r>
                          <w:r>
                            <w:rPr>
                              <w:rFonts w:ascii="Arial" w:hAnsi="Arial" w:cstheme="minorBidi"/>
                              <w:kern w:val="24"/>
                              <w:sz w:val="18"/>
                              <w:szCs w:val="18"/>
                            </w:rPr>
                            <w:t xml:space="preserve"> para manter </w:t>
                          </w:r>
                          <w:proofErr w:type="spellStart"/>
                          <w:r>
                            <w:rPr>
                              <w:rFonts w:ascii="Arial" w:hAnsi="Arial" w:cstheme="minorBidi"/>
                              <w:kern w:val="24"/>
                              <w:sz w:val="18"/>
                              <w:szCs w:val="18"/>
                            </w:rPr>
                            <w:t>SpO</w:t>
                          </w:r>
                          <w:proofErr w:type="spellEnd"/>
                          <w:r>
                            <w:rPr>
                              <w:rFonts w:ascii="Arial" w:hAnsi="Arial" w:cstheme="minorBidi"/>
                              <w:kern w:val="24"/>
                              <w:position w:val="-5"/>
                              <w:sz w:val="18"/>
                              <w:szCs w:val="18"/>
                              <w:vertAlign w:val="subscript"/>
                            </w:rPr>
                            <w:t>2</w:t>
                          </w:r>
                          <w:r>
                            <w:rPr>
                              <w:rFonts w:ascii="Arial" w:hAnsi="Arial" w:cstheme="minorBidi"/>
                              <w:kern w:val="24"/>
                              <w:sz w:val="18"/>
                              <w:szCs w:val="18"/>
                            </w:rPr>
                            <w:t xml:space="preserve"> de 92 – 96%</w:t>
                          </w:r>
                        </w:p>
                      </wne:txbxContent>
                    </wp:txbx>
                    <wp:bodyPr rtlCol="0" anchor="ctr"/>
                  </wp:wsp>
                  <wp:wsp>
                    <wp:cNvPr id="35" name="Retângulo 35"/>
                    <wp:cNvSpPr/>
                    <wp:spPr>
                      <a:xfrm>
                        <a:off x="590252" y="3010607"/>
                        <a:ext cx="1139716" cy="285892"/>
                      </a:xfrm>
                      <a:prstGeom prst="rect">
                        <a:avLst/>
                      </a:prstGeom>
                      <a:noFill/>
                      <a:ln w="9525">
                        <a:solidFill>
                          <a:schemeClr val="dk1"/>
                        </a:solidFill>
                      </a:ln>
                    </wp:spPr>
                    <wp:style>
                      <a:lnRef idx="2">
                        <a:schemeClr val="accent6"/>
                      </a:lnRef>
                      <a:fillRef idx="1">
                        <a:schemeClr val="lt1"/>
                      </a:fillRef>
                      <a:effectRef idx="0">
                        <a:schemeClr val="accent6"/>
                      </a:effectRef>
                      <a:fontRef idx="minor">
                        <a:schemeClr val="dk1"/>
                      </a:fontRef>
                    </wp:style>
                    <wp:txbx>
                      <wne:txbxContent>
                        <w:p w14:paraId="4405F846"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Grupo Controle</w:t>
                          </w:r>
                        </w:p>
                      </wne:txbxContent>
                    </wp:txbx>
                    <wp:bodyPr rtlCol="0" anchor="ctr"/>
                  </wp:wsp>
                  <wp:wsp>
                    <wp:cNvPr id="36" name="Retângulo 36"/>
                    <wp:cNvSpPr/>
                    <wp:spPr>
                      <a:xfrm>
                        <a:off x="2708473" y="3432984"/>
                        <a:ext cx="2511551" cy="1520486"/>
                      </a:xfrm>
                      <a:prstGeom prst="rect">
                        <a:avLst/>
                      </a:prstGeom>
                      <a:noFill/>
                      <a:ln w="3175">
                        <a:solidFill>
                          <a:schemeClr val="tx1"/>
                        </a:solidFill>
                      </a:ln>
                    </wp:spPr>
                    <wp:style>
                      <a:lnRef idx="2">
                        <a:schemeClr val="accent6"/>
                      </a:lnRef>
                      <a:fillRef idx="1">
                        <a:schemeClr val="lt1"/>
                      </a:fillRef>
                      <a:effectRef idx="0">
                        <a:schemeClr val="accent6"/>
                      </a:effectRef>
                      <a:fontRef idx="minor">
                        <a:schemeClr val="dk1"/>
                      </a:fontRef>
                    </wp:style>
                    <wp:txbx>
                      <wne:txbxContent>
                        <w:p w14:paraId="34125D5D"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Manobra de recrutamento alveolar (MR)</w:t>
                          </w:r>
                        </w:p>
                        <w:p w14:paraId="3F947AA6"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PEEP titulada pela menor DP</w:t>
                          </w:r>
                        </w:p>
                        <w:p w14:paraId="3E31FF2E"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VC de 6ml/kg de peso predito</w:t>
                          </w:r>
                        </w:p>
                        <w:p w14:paraId="1F176F7D"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 xml:space="preserve">FR para manter </w:t>
                          </w:r>
                          <w:proofErr w:type="spellStart"/>
                          <w:r>
                            <w:rPr>
                              <w:rFonts w:ascii="Arial" w:hAnsi="Arial" w:cstheme="minorBidi"/>
                              <w:kern w:val="24"/>
                              <w:sz w:val="18"/>
                              <w:szCs w:val="18"/>
                            </w:rPr>
                            <w:t>PaCO</w:t>
                          </w:r>
                          <w:proofErr w:type="spellEnd"/>
                          <w:r>
                            <w:rPr>
                              <w:rFonts w:ascii="Arial" w:hAnsi="Arial" w:cstheme="minorBidi"/>
                              <w:kern w:val="24"/>
                              <w:position w:val="-5"/>
                              <w:sz w:val="18"/>
                              <w:szCs w:val="18"/>
                              <w:vertAlign w:val="subscript"/>
                            </w:rPr>
                            <w:t>2</w:t>
                          </w:r>
                          <w:r>
                            <w:rPr>
                              <w:rFonts w:ascii="Arial" w:hAnsi="Arial" w:cstheme="minorBidi"/>
                              <w:kern w:val="24"/>
                              <w:sz w:val="18"/>
                              <w:szCs w:val="18"/>
                            </w:rPr>
                            <w:t xml:space="preserve"> 35 – 45 mmHg</w:t>
                          </w:r>
                        </w:p>
                        <w:p w14:paraId="611CD7D7" w14:textId="77777777" w:rsidR="00B26C20" w:rsidRDefault="00B26C20" w:rsidP="00B26C20">
                          <w:pPr>
                            <w:spacing w:line="18pt" w:lineRule="auto"/>
                            <w:jc w:val="center"/>
                            <w:rPr>
                              <w:rFonts w:ascii="Arial" w:hAnsi="Arial" w:cstheme="minorBidi"/>
                              <w:kern w:val="24"/>
                              <w:sz w:val="18"/>
                              <w:szCs w:val="18"/>
                            </w:rPr>
                          </w:pPr>
                          <w:proofErr w:type="spellStart"/>
                          <w:r>
                            <w:rPr>
                              <w:rFonts w:ascii="Arial" w:hAnsi="Arial" w:cstheme="minorBidi"/>
                              <w:kern w:val="24"/>
                              <w:sz w:val="18"/>
                              <w:szCs w:val="18"/>
                            </w:rPr>
                            <w:t>FiO</w:t>
                          </w:r>
                          <w:proofErr w:type="spellEnd"/>
                          <w:r>
                            <w:rPr>
                              <w:rFonts w:ascii="Arial" w:hAnsi="Arial" w:cstheme="minorBidi"/>
                              <w:kern w:val="24"/>
                              <w:position w:val="-5"/>
                              <w:sz w:val="18"/>
                              <w:szCs w:val="18"/>
                              <w:vertAlign w:val="subscript"/>
                            </w:rPr>
                            <w:t>2</w:t>
                          </w:r>
                          <w:r>
                            <w:rPr>
                              <w:rFonts w:ascii="Arial" w:hAnsi="Arial" w:cstheme="minorBidi"/>
                              <w:kern w:val="24"/>
                              <w:sz w:val="18"/>
                              <w:szCs w:val="18"/>
                            </w:rPr>
                            <w:t xml:space="preserve"> para manter </w:t>
                          </w:r>
                          <w:proofErr w:type="spellStart"/>
                          <w:r>
                            <w:rPr>
                              <w:rFonts w:ascii="Arial" w:hAnsi="Arial" w:cstheme="minorBidi"/>
                              <w:kern w:val="24"/>
                              <w:sz w:val="18"/>
                              <w:szCs w:val="18"/>
                            </w:rPr>
                            <w:t>SpO</w:t>
                          </w:r>
                          <w:proofErr w:type="spellEnd"/>
                          <w:r>
                            <w:rPr>
                              <w:rFonts w:ascii="Arial" w:hAnsi="Arial" w:cstheme="minorBidi"/>
                              <w:kern w:val="24"/>
                              <w:position w:val="-5"/>
                              <w:sz w:val="18"/>
                              <w:szCs w:val="18"/>
                              <w:vertAlign w:val="subscript"/>
                            </w:rPr>
                            <w:t>2</w:t>
                          </w:r>
                          <w:r>
                            <w:rPr>
                              <w:rFonts w:ascii="Arial" w:hAnsi="Arial" w:cstheme="minorBidi"/>
                              <w:kern w:val="24"/>
                              <w:sz w:val="18"/>
                              <w:szCs w:val="18"/>
                            </w:rPr>
                            <w:t xml:space="preserve"> de 92 – 96%</w:t>
                          </w:r>
                        </w:p>
                        <w:p w14:paraId="2A912D3F"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Coleta das variáveis de mecânica pulmonar</w:t>
                          </w:r>
                        </w:p>
                        <w:p w14:paraId="1E819112" w14:textId="03591C6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Coleta de GSA</w:t>
                          </w:r>
                        </w:p>
                        <w:p w14:paraId="6BA72871" w14:textId="77777777" w:rsidR="00B26C20" w:rsidRDefault="00B26C20" w:rsidP="00B26C20">
                          <w:pPr>
                            <w:spacing w:line="18pt" w:lineRule="auto"/>
                            <w:jc w:val="center"/>
                            <w:rPr>
                              <w:rFonts w:cstheme="minorBidi"/>
                              <w:kern w:val="24"/>
                            </w:rPr>
                          </w:pPr>
                          <w:r>
                            <w:rPr>
                              <w:rFonts w:cstheme="minorBidi"/>
                              <w:kern w:val="24"/>
                            </w:rPr>
                            <w:t> </w:t>
                          </w:r>
                        </w:p>
                      </wne:txbxContent>
                    </wp:txbx>
                    <wp:bodyPr rtlCol="0" anchor="ctr"/>
                  </wp:wsp>
                  <wp:wsp>
                    <wp:cNvPr id="37" name="Retângulo 37"/>
                    <wp:cNvSpPr/>
                    <wp:spPr>
                      <a:xfrm>
                        <a:off x="3298746" y="3010607"/>
                        <a:ext cx="1139716" cy="285892"/>
                      </a:xfrm>
                      <a:prstGeom prst="rect">
                        <a:avLst/>
                      </a:prstGeom>
                      <a:noFill/>
                      <a:ln w="9525">
                        <a:solidFill>
                          <a:schemeClr val="dk1"/>
                        </a:solidFill>
                      </a:ln>
                    </wp:spPr>
                    <wp:style>
                      <a:lnRef idx="2">
                        <a:schemeClr val="accent6"/>
                      </a:lnRef>
                      <a:fillRef idx="1">
                        <a:schemeClr val="lt1"/>
                      </a:fillRef>
                      <a:effectRef idx="0">
                        <a:schemeClr val="accent6"/>
                      </a:effectRef>
                      <a:fontRef idx="minor">
                        <a:schemeClr val="dk1"/>
                      </a:fontRef>
                    </wp:style>
                    <wp:txbx>
                      <wne:txbxContent>
                        <w:p w14:paraId="06C76D24" w14:textId="77777777" w:rsidR="00B26C20" w:rsidRDefault="00B26C20" w:rsidP="00B26C20">
                          <w:pPr>
                            <w:spacing w:line="18pt" w:lineRule="auto"/>
                            <w:jc w:val="center"/>
                            <w:rPr>
                              <w:rFonts w:ascii="Arial" w:hAnsi="Arial" w:cstheme="minorBidi"/>
                              <w:kern w:val="24"/>
                              <w:sz w:val="18"/>
                              <w:szCs w:val="18"/>
                            </w:rPr>
                          </w:pPr>
                          <w:r>
                            <w:rPr>
                              <w:rFonts w:ascii="Arial" w:hAnsi="Arial" w:cstheme="minorBidi"/>
                              <w:kern w:val="24"/>
                              <w:sz w:val="18"/>
                              <w:szCs w:val="18"/>
                            </w:rPr>
                            <w:t>Grupo Intervenção</w:t>
                          </w:r>
                        </w:p>
                      </wne:txbxContent>
                    </wp:txbx>
                    <wp:bodyPr rtlCol="0" anchor="ctr"/>
                  </wp:wsp>
                  <wp:wsp>
                    <wp:cNvPr id="38" name="Conector: Angulado 38"/>
                    <wp:cNvCnPr>
                      <a:cxnSpLocks/>
                    </wp:cNvCnPr>
                    <wp:spPr>
                      <a:xfrm rot="5400000">
                        <a:off x="1678013" y="2217853"/>
                        <a:ext cx="274852" cy="1310657"/>
                      </a:xfrm>
                      <a:prstGeom prst="bentConnector3">
                        <a:avLst/>
                      </a:prstGeom>
                    </wp:spPr>
                    <wp:style>
                      <a:lnRef idx="1">
                        <a:schemeClr val="dk1"/>
                      </a:lnRef>
                      <a:fillRef idx="0">
                        <a:schemeClr val="dk1"/>
                      </a:fillRef>
                      <a:effectRef idx="0">
                        <a:schemeClr val="dk1"/>
                      </a:effectRef>
                      <a:fontRef idx="minor">
                        <a:schemeClr val="tx1"/>
                      </a:fontRef>
                    </wp:style>
                    <wp:bodyPr/>
                  </wp:wsp>
                  <wp:wsp>
                    <wp:cNvPr id="39" name="Conector: Angulado 39"/>
                    <wp:cNvCnPr>
                      <a:cxnSpLocks/>
                    </wp:cNvCnPr>
                    <wp:spPr>
                      <a:xfrm rot="16200000" flipH="1">
                        <a:off x="3032259" y="2174262"/>
                        <a:ext cx="274852" cy="1397837"/>
                      </a:xfrm>
                      <a:prstGeom prst="bentConnector3">
                        <a:avLst/>
                      </a:prstGeom>
                    </wp:spPr>
                    <wp:style>
                      <a:lnRef idx="1">
                        <a:schemeClr val="dk1"/>
                      </a:lnRef>
                      <a:fillRef idx="0">
                        <a:schemeClr val="dk1"/>
                      </a:fillRef>
                      <a:effectRef idx="0">
                        <a:schemeClr val="dk1"/>
                      </a:effectRef>
                      <a:fontRef idx="minor">
                        <a:schemeClr val="tx1"/>
                      </a:fontRef>
                    </wp:style>
                    <wp:bodyPr/>
                  </wp:wsp>
                  <wp:wsp>
                    <wp:cNvPr id="40" name="Conector de Seta Reta 40"/>
                    <wp:cNvCnPr>
                      <a:cxnSpLocks/>
                    </wp:cNvCnPr>
                    <wp:spPr>
                      <a:xfrm>
                        <a:off x="1160110" y="3296499"/>
                        <a:ext cx="0" cy="136668"/>
                      </a:xfrm>
                      <a:prstGeom prst="straightConnector1">
                        <a:avLst/>
                      </a:prstGeom>
                      <a:ln>
                        <a:tailEnd type="triangle"/>
                      </a:ln>
                    </wp:spPr>
                    <wp:style>
                      <a:lnRef idx="1">
                        <a:schemeClr val="dk1"/>
                      </a:lnRef>
                      <a:fillRef idx="0">
                        <a:schemeClr val="dk1"/>
                      </a:fillRef>
                      <a:effectRef idx="0">
                        <a:schemeClr val="dk1"/>
                      </a:effectRef>
                      <a:fontRef idx="minor">
                        <a:schemeClr val="tx1"/>
                      </a:fontRef>
                    </wp:style>
                    <wp:bodyPr/>
                  </wp:wsp>
                  <wp:wsp>
                    <wp:cNvPr id="41" name="Conector de Seta Reta 41"/>
                    <wp:cNvCnPr>
                      <a:cxnSpLocks/>
                    </wp:cNvCnPr>
                    <wp:spPr>
                      <a:xfrm flipH="1">
                        <a:off x="3868580" y="3296499"/>
                        <a:ext cx="24" cy="136485"/>
                      </a:xfrm>
                      <a:prstGeom prst="straightConnector1">
                        <a:avLst/>
                      </a:prstGeom>
                      <a:ln>
                        <a:tailEnd type="triangle"/>
                      </a:ln>
                    </wp:spPr>
                    <wp:style>
                      <a:lnRef idx="1">
                        <a:schemeClr val="dk1"/>
                      </a:lnRef>
                      <a:fillRef idx="0">
                        <a:schemeClr val="dk1"/>
                      </a:fillRef>
                      <a:effectRef idx="0">
                        <a:schemeClr val="dk1"/>
                      </a:effectRef>
                      <a:fontRef idx="minor">
                        <a:schemeClr val="tx1"/>
                      </a:fontRef>
                    </wp:style>
                    <wp:bodyPr/>
                  </wp:wsp>
                </wp:wgp>
              </a:graphicData>
            </a:graphic>
            <wp14:sizeRelH relativeFrom="margin">
              <wp14:pctWidth>0%</wp14:pctWidth>
            </wp14:sizeRelH>
            <wp14:sizeRelV relativeFrom="margin">
              <wp14:pctHeight>0%</wp14:pctHeight>
            </wp14:sizeRelV>
          </wp:anchor>
        </w:drawing>
      </w:r>
    </w:p>
    <w:p w14:paraId="433227FB" w14:textId="3E680E44" w:rsidR="00197429" w:rsidRDefault="00197429">
      <w:pPr>
        <w:jc w:val="start"/>
        <w:rPr>
          <w:sz w:val="28"/>
          <w:szCs w:val="28"/>
        </w:rPr>
      </w:pPr>
    </w:p>
    <w:p w14:paraId="76348F5D" w14:textId="77777777" w:rsidR="00197429" w:rsidRDefault="00197429">
      <w:pPr>
        <w:jc w:val="start"/>
        <w:rPr>
          <w:sz w:val="28"/>
          <w:szCs w:val="28"/>
        </w:rPr>
      </w:pPr>
    </w:p>
    <w:p w14:paraId="596CD20D" w14:textId="77777777" w:rsidR="00197429" w:rsidRDefault="00197429">
      <w:pPr>
        <w:jc w:val="start"/>
        <w:rPr>
          <w:sz w:val="28"/>
          <w:szCs w:val="28"/>
        </w:rPr>
      </w:pPr>
    </w:p>
    <w:p w14:paraId="3EC332E3" w14:textId="77777777" w:rsidR="00197429" w:rsidRDefault="00197429">
      <w:pPr>
        <w:jc w:val="start"/>
        <w:rPr>
          <w:sz w:val="28"/>
          <w:szCs w:val="28"/>
        </w:rPr>
      </w:pPr>
    </w:p>
    <w:p w14:paraId="6183F319" w14:textId="77777777" w:rsidR="00197429" w:rsidRDefault="00197429">
      <w:pPr>
        <w:jc w:val="start"/>
        <w:rPr>
          <w:sz w:val="28"/>
          <w:szCs w:val="28"/>
        </w:rPr>
      </w:pPr>
    </w:p>
    <w:p w14:paraId="1E11EE9C" w14:textId="77777777" w:rsidR="00197429" w:rsidRDefault="00197429">
      <w:pPr>
        <w:jc w:val="start"/>
        <w:rPr>
          <w:sz w:val="28"/>
          <w:szCs w:val="28"/>
        </w:rPr>
      </w:pPr>
    </w:p>
    <w:p w14:paraId="30FB990F" w14:textId="77777777" w:rsidR="00197429" w:rsidRDefault="00197429">
      <w:pPr>
        <w:jc w:val="start"/>
        <w:rPr>
          <w:sz w:val="28"/>
          <w:szCs w:val="28"/>
        </w:rPr>
      </w:pPr>
    </w:p>
    <w:p w14:paraId="3F2BABBE" w14:textId="77777777" w:rsidR="00197429" w:rsidRDefault="00197429">
      <w:pPr>
        <w:jc w:val="start"/>
        <w:rPr>
          <w:sz w:val="28"/>
          <w:szCs w:val="28"/>
        </w:rPr>
      </w:pPr>
    </w:p>
    <w:p w14:paraId="096862F5" w14:textId="77777777" w:rsidR="00197429" w:rsidRDefault="00197429">
      <w:pPr>
        <w:jc w:val="start"/>
        <w:rPr>
          <w:sz w:val="28"/>
          <w:szCs w:val="28"/>
        </w:rPr>
      </w:pPr>
    </w:p>
    <w:p w14:paraId="04A8F6B2" w14:textId="77777777" w:rsidR="00197429" w:rsidRDefault="00197429">
      <w:pPr>
        <w:jc w:val="start"/>
        <w:rPr>
          <w:sz w:val="28"/>
          <w:szCs w:val="28"/>
        </w:rPr>
      </w:pPr>
    </w:p>
    <w:p w14:paraId="610CCC26" w14:textId="77777777" w:rsidR="00197429" w:rsidRDefault="00197429">
      <w:pPr>
        <w:jc w:val="start"/>
        <w:rPr>
          <w:sz w:val="28"/>
          <w:szCs w:val="28"/>
        </w:rPr>
      </w:pPr>
    </w:p>
    <w:p w14:paraId="4300C491" w14:textId="77777777" w:rsidR="00197429" w:rsidRDefault="00197429">
      <w:pPr>
        <w:jc w:val="start"/>
        <w:rPr>
          <w:sz w:val="28"/>
          <w:szCs w:val="28"/>
        </w:rPr>
      </w:pPr>
    </w:p>
    <w:p w14:paraId="0F81C4B2" w14:textId="77777777" w:rsidR="00197429" w:rsidRDefault="00197429">
      <w:pPr>
        <w:jc w:val="start"/>
        <w:rPr>
          <w:sz w:val="28"/>
          <w:szCs w:val="28"/>
        </w:rPr>
      </w:pPr>
    </w:p>
    <w:p w14:paraId="0063A83A" w14:textId="77777777" w:rsidR="00197429" w:rsidRDefault="00197429">
      <w:pPr>
        <w:jc w:val="start"/>
        <w:rPr>
          <w:sz w:val="28"/>
          <w:szCs w:val="28"/>
        </w:rPr>
      </w:pPr>
    </w:p>
    <w:p w14:paraId="0A395818" w14:textId="77777777" w:rsidR="00197429" w:rsidRDefault="00197429">
      <w:pPr>
        <w:jc w:val="start"/>
        <w:rPr>
          <w:sz w:val="28"/>
          <w:szCs w:val="28"/>
        </w:rPr>
      </w:pPr>
    </w:p>
    <w:p w14:paraId="54F54BD6" w14:textId="77777777" w:rsidR="00197429" w:rsidRDefault="00197429">
      <w:pPr>
        <w:jc w:val="start"/>
        <w:rPr>
          <w:sz w:val="28"/>
          <w:szCs w:val="28"/>
        </w:rPr>
      </w:pPr>
    </w:p>
    <w:p w14:paraId="616B4505" w14:textId="77777777" w:rsidR="00197429" w:rsidRDefault="00197429">
      <w:pPr>
        <w:jc w:val="start"/>
        <w:rPr>
          <w:sz w:val="28"/>
          <w:szCs w:val="28"/>
        </w:rPr>
      </w:pPr>
    </w:p>
    <w:p w14:paraId="6B43BE22" w14:textId="77777777" w:rsidR="00197429" w:rsidRDefault="00197429">
      <w:pPr>
        <w:jc w:val="start"/>
        <w:rPr>
          <w:sz w:val="28"/>
          <w:szCs w:val="28"/>
        </w:rPr>
      </w:pPr>
    </w:p>
    <w:p w14:paraId="20E21F15" w14:textId="77777777" w:rsidR="00197429" w:rsidRDefault="00197429">
      <w:pPr>
        <w:jc w:val="start"/>
        <w:rPr>
          <w:sz w:val="28"/>
          <w:szCs w:val="28"/>
        </w:rPr>
      </w:pPr>
    </w:p>
    <w:p w14:paraId="1DCF1E81" w14:textId="77777777" w:rsidR="00197429" w:rsidRDefault="00197429">
      <w:pPr>
        <w:jc w:val="start"/>
        <w:rPr>
          <w:sz w:val="28"/>
          <w:szCs w:val="28"/>
        </w:rPr>
      </w:pPr>
    </w:p>
    <w:p w14:paraId="2DD20558" w14:textId="77777777" w:rsidR="00197429" w:rsidRDefault="00197429">
      <w:pPr>
        <w:jc w:val="start"/>
        <w:rPr>
          <w:sz w:val="28"/>
          <w:szCs w:val="28"/>
        </w:rPr>
      </w:pPr>
    </w:p>
    <w:p w14:paraId="6A055914" w14:textId="77777777" w:rsidR="00C626E1" w:rsidRDefault="00C626E1">
      <w:pPr>
        <w:jc w:val="start"/>
      </w:pPr>
    </w:p>
    <w:p w14:paraId="620F6251" w14:textId="77777777" w:rsidR="007615E8" w:rsidRDefault="007615E8">
      <w:pPr>
        <w:jc w:val="start"/>
      </w:pPr>
    </w:p>
    <w:p w14:paraId="317F4365" w14:textId="77777777" w:rsidR="007615E8" w:rsidRDefault="007615E8">
      <w:pPr>
        <w:jc w:val="start"/>
      </w:pPr>
    </w:p>
    <w:p w14:paraId="780F6E28" w14:textId="7B742368" w:rsidR="00197429" w:rsidRDefault="006D2141">
      <w:pPr>
        <w:jc w:val="start"/>
      </w:pPr>
      <w:r>
        <w:t xml:space="preserve">Figura 1. </w:t>
      </w:r>
      <w:r w:rsidR="00E7181B">
        <w:t>Fluxograma do manejo da ventilação mecânica no pós-operatório imediato.</w:t>
      </w:r>
    </w:p>
    <w:p w14:paraId="0301F2F0" w14:textId="77777777" w:rsidR="00197429" w:rsidRDefault="00197429">
      <w:pPr>
        <w:jc w:val="start"/>
      </w:pPr>
    </w:p>
    <w:p w14:paraId="7CD1A525" w14:textId="77777777" w:rsidR="00197429" w:rsidRDefault="00E7181B">
      <w:pPr>
        <w:rPr>
          <w:sz w:val="28"/>
          <w:szCs w:val="28"/>
        </w:rPr>
      </w:pPr>
      <w:r>
        <w:t>POi – pós-operatório imediato; VC – volume corrente; PEEP - pressão positiva ao final da expiração (positive end-expiratory pressure); FR – frequência respiratória; FiO</w:t>
      </w:r>
      <w:r>
        <w:rPr>
          <w:vertAlign w:val="subscript"/>
        </w:rPr>
        <w:t>2</w:t>
      </w:r>
      <w:r>
        <w:t xml:space="preserve"> – fração inspirada de oxigênio; PaCO</w:t>
      </w:r>
      <w:r>
        <w:rPr>
          <w:vertAlign w:val="subscript"/>
        </w:rPr>
        <w:t>2</w:t>
      </w:r>
      <w:r>
        <w:t xml:space="preserve"> – pressão parcial arterial de dióxido de carbono; SpO</w:t>
      </w:r>
      <w:r>
        <w:rPr>
          <w:vertAlign w:val="subscript"/>
        </w:rPr>
        <w:t>2</w:t>
      </w:r>
      <w:r>
        <w:t xml:space="preserve"> – saturação periférica de oxigênio; GSA – gasometria arterial; GSV – gasometria venosa.</w:t>
      </w:r>
    </w:p>
    <w:p w14:paraId="11B972FC" w14:textId="77777777" w:rsidR="00197429" w:rsidRDefault="00197429">
      <w:pPr>
        <w:spacing w:line="18pt" w:lineRule="auto"/>
        <w:rPr>
          <w:sz w:val="20"/>
          <w:szCs w:val="20"/>
        </w:rPr>
      </w:pPr>
    </w:p>
    <w:p w14:paraId="127CDF61" w14:textId="77777777" w:rsidR="00197429" w:rsidRDefault="00197429">
      <w:pPr>
        <w:spacing w:line="18pt" w:lineRule="auto"/>
        <w:rPr>
          <w:sz w:val="20"/>
          <w:szCs w:val="20"/>
        </w:rPr>
      </w:pPr>
    </w:p>
    <w:p w14:paraId="5B9237B2" w14:textId="7C26F57B" w:rsidR="00197429" w:rsidRDefault="00647775" w:rsidP="00FB088D">
      <w:pPr>
        <w:jc w:val="center"/>
      </w:pPr>
      <w:r>
        <w:rPr>
          <w:noProof/>
        </w:rPr>
        <w:lastRenderedPageBreak/>
        <w:drawing>
          <wp:inline distT="0" distB="0" distL="0" distR="0" wp14:anchorId="7DA46AA3" wp14:editId="3813F4E1">
            <wp:extent cx="5400040" cy="3037840"/>
            <wp:effectExtent l="0" t="0" r="0" b="0"/>
            <wp:docPr id="1" name="Gráfico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400040" cy="3037840"/>
                    </a:xfrm>
                    <a:prstGeom prst="rect">
                      <a:avLst/>
                    </a:prstGeom>
                  </pic:spPr>
                </pic:pic>
              </a:graphicData>
            </a:graphic>
          </wp:inline>
        </w:drawing>
      </w:r>
      <w:r w:rsidR="006D2141">
        <w:t xml:space="preserve">Figura 2. </w:t>
      </w:r>
      <w:r w:rsidR="00E7181B">
        <w:t>Linha do tempo do protocolo de pesquisa no pós-operatório imediato.</w:t>
      </w:r>
    </w:p>
    <w:p w14:paraId="136F8EFE" w14:textId="77777777" w:rsidR="00197429" w:rsidRDefault="00197429">
      <w:pPr>
        <w:jc w:val="start"/>
      </w:pPr>
    </w:p>
    <w:p w14:paraId="39CD6C42" w14:textId="783B52A7" w:rsidR="00197429" w:rsidRDefault="00E7181B">
      <w:bookmarkStart w:id="11" w:name="_Hlk70589525"/>
      <w:r>
        <w:t>VCV – ventilação com volume controlado; PEEP - pressão positiva ao final da expiração</w:t>
      </w:r>
      <w:r w:rsidR="006962AA">
        <w:t xml:space="preserve">, do inglês </w:t>
      </w:r>
      <w:r w:rsidRPr="006962AA">
        <w:rPr>
          <w:i/>
          <w:iCs/>
        </w:rPr>
        <w:t>positive</w:t>
      </w:r>
      <w:r w:rsidR="006962AA">
        <w:rPr>
          <w:i/>
          <w:iCs/>
        </w:rPr>
        <w:t xml:space="preserve"> </w:t>
      </w:r>
      <w:r w:rsidRPr="006962AA">
        <w:rPr>
          <w:i/>
          <w:iCs/>
        </w:rPr>
        <w:t>end-expiratory pressure</w:t>
      </w:r>
      <w:r>
        <w:t>;</w:t>
      </w:r>
      <w:r w:rsidR="006962AA">
        <w:t xml:space="preserve"> </w:t>
      </w:r>
      <w:r w:rsidR="00E37792">
        <w:t xml:space="preserve">GC – grupo controle; GI – grupo intervenção; </w:t>
      </w:r>
      <w:r>
        <w:t>TRE – teste de respiração espontânea; EOT – extubação orotraqueal; ECOTT – ecocardiograma transtorácico; MR – manobra de recrutamento alveolar.</w:t>
      </w:r>
    </w:p>
    <w:bookmarkEnd w:id="11"/>
    <w:p w14:paraId="18BEEC7B" w14:textId="77777777" w:rsidR="00197429" w:rsidRDefault="00197429">
      <w:pPr>
        <w:jc w:val="start"/>
      </w:pPr>
    </w:p>
    <w:p w14:paraId="6F82EF9D" w14:textId="77777777" w:rsidR="00197429" w:rsidRDefault="00E7181B">
      <w:pPr>
        <w:pStyle w:val="Ttulo2"/>
        <w:numPr>
          <w:ilvl w:val="1"/>
          <w:numId w:val="7"/>
        </w:numPr>
      </w:pPr>
      <w:bookmarkStart w:id="12" w:name="_Toc81581092"/>
      <w:r>
        <w:t>Participantes</w:t>
      </w:r>
      <w:bookmarkEnd w:id="12"/>
    </w:p>
    <w:p w14:paraId="0D2F5E70" w14:textId="0A59A280" w:rsidR="00197429" w:rsidRDefault="00E7181B">
      <w:pPr>
        <w:spacing w:line="18pt" w:lineRule="auto"/>
        <w:ind w:firstLine="18pt"/>
      </w:pPr>
      <w:r>
        <w:rPr>
          <w:sz w:val="28"/>
          <w:szCs w:val="28"/>
        </w:rPr>
        <w:t>Serão admitidos</w:t>
      </w:r>
      <w:r>
        <w:rPr>
          <w:b/>
          <w:sz w:val="28"/>
          <w:szCs w:val="28"/>
        </w:rPr>
        <w:t xml:space="preserve"> </w:t>
      </w:r>
      <w:r>
        <w:rPr>
          <w:sz w:val="28"/>
          <w:szCs w:val="28"/>
        </w:rPr>
        <w:t>pacientes com 18 anos ou mais que se submeterem à cirurgia cardíaca eletiva com uso planejado de CEC, pinçamento aórtico e esternotomia mediana. Todos os pacientes assinarão um termo de consentimento livre e esclarecido</w:t>
      </w:r>
      <w:r w:rsidR="00180DDE">
        <w:rPr>
          <w:sz w:val="28"/>
          <w:szCs w:val="28"/>
        </w:rPr>
        <w:t xml:space="preserve"> (TCLE)</w:t>
      </w:r>
      <w:r>
        <w:rPr>
          <w:sz w:val="28"/>
          <w:szCs w:val="28"/>
        </w:rPr>
        <w:t xml:space="preserve"> por escrito antes de sua inclusão no estudo.</w:t>
      </w:r>
    </w:p>
    <w:p w14:paraId="6D46A0AA" w14:textId="77777777" w:rsidR="00197429" w:rsidRDefault="00E7181B">
      <w:pPr>
        <w:pStyle w:val="Ttulo3"/>
      </w:pPr>
      <w:bookmarkStart w:id="13" w:name="_Toc81581093"/>
      <w:r>
        <w:t>2.2.1 Coleta de dados</w:t>
      </w:r>
      <w:bookmarkEnd w:id="13"/>
    </w:p>
    <w:p w14:paraId="498E7984" w14:textId="6EC74B3C" w:rsidR="00197429" w:rsidRDefault="00E7181B">
      <w:pPr>
        <w:spacing w:line="18pt" w:lineRule="auto"/>
        <w:ind w:firstLine="36pt"/>
        <w:rPr>
          <w:sz w:val="28"/>
          <w:szCs w:val="28"/>
        </w:rPr>
      </w:pPr>
      <w:r>
        <w:rPr>
          <w:sz w:val="28"/>
          <w:szCs w:val="28"/>
        </w:rPr>
        <w:t xml:space="preserve">A coleta de dados será realizada no CTI Cardíaco do Hospital universitário Pedro Ernesto (HUPE) da Universidade do Estado do Rio de Janeiro (UERJ). Rio de Janeiro, Brasil, no </w:t>
      </w:r>
      <w:r w:rsidRPr="00C942BF">
        <w:rPr>
          <w:sz w:val="28"/>
          <w:szCs w:val="28"/>
        </w:rPr>
        <w:t xml:space="preserve">período de </w:t>
      </w:r>
      <w:r w:rsidR="00C942BF" w:rsidRPr="00C942BF">
        <w:rPr>
          <w:sz w:val="28"/>
          <w:szCs w:val="28"/>
        </w:rPr>
        <w:t>julho</w:t>
      </w:r>
      <w:r w:rsidRPr="00C942BF">
        <w:rPr>
          <w:sz w:val="28"/>
          <w:szCs w:val="28"/>
        </w:rPr>
        <w:t xml:space="preserve"> de 2021</w:t>
      </w:r>
      <w:r>
        <w:rPr>
          <w:sz w:val="28"/>
          <w:szCs w:val="28"/>
        </w:rPr>
        <w:t xml:space="preserve"> a dezembro de 2022.</w:t>
      </w:r>
    </w:p>
    <w:p w14:paraId="79D89C2F" w14:textId="77777777" w:rsidR="00197429" w:rsidRDefault="00E7181B">
      <w:pPr>
        <w:pStyle w:val="Ttulo3"/>
      </w:pPr>
      <w:bookmarkStart w:id="14" w:name="_Toc81581094"/>
      <w:r>
        <w:t>2.2.2 Critérios de inclusão</w:t>
      </w:r>
      <w:bookmarkEnd w:id="14"/>
    </w:p>
    <w:p w14:paraId="05ECB21C" w14:textId="415CB3A3" w:rsidR="00197429" w:rsidRDefault="00E7181B">
      <w:pPr>
        <w:spacing w:before="6pt" w:after="6pt" w:line="18pt" w:lineRule="auto"/>
        <w:ind w:firstLine="36pt"/>
        <w:rPr>
          <w:sz w:val="28"/>
          <w:szCs w:val="28"/>
        </w:rPr>
      </w:pPr>
      <w:r>
        <w:rPr>
          <w:sz w:val="28"/>
          <w:szCs w:val="28"/>
        </w:rPr>
        <w:t xml:space="preserve">Serão incluídos pacientes com idade maior ou igual a 18 anos, submetidos a cirurgia cardíaca eletiva para troca valvar (TV) ou </w:t>
      </w:r>
      <w:r>
        <w:rPr>
          <w:sz w:val="28"/>
          <w:szCs w:val="28"/>
        </w:rPr>
        <w:lastRenderedPageBreak/>
        <w:t>revascularização do miocárdio (RVM) ou TV + RVM</w:t>
      </w:r>
      <w:r w:rsidR="002879AA">
        <w:rPr>
          <w:sz w:val="28"/>
          <w:szCs w:val="28"/>
        </w:rPr>
        <w:t xml:space="preserve">, </w:t>
      </w:r>
      <w:r>
        <w:rPr>
          <w:sz w:val="28"/>
          <w:szCs w:val="28"/>
        </w:rPr>
        <w:t>cirurgia em Artéria Aorta ascendente associada à cirurgia cardíaca</w:t>
      </w:r>
      <w:r w:rsidR="002879AA">
        <w:rPr>
          <w:sz w:val="28"/>
          <w:szCs w:val="28"/>
        </w:rPr>
        <w:t xml:space="preserve"> ou</w:t>
      </w:r>
      <w:r>
        <w:rPr>
          <w:sz w:val="28"/>
          <w:szCs w:val="28"/>
        </w:rPr>
        <w:t xml:space="preserve"> </w:t>
      </w:r>
      <w:r w:rsidR="00A74957">
        <w:rPr>
          <w:sz w:val="28"/>
          <w:szCs w:val="28"/>
        </w:rPr>
        <w:t xml:space="preserve">correção de </w:t>
      </w:r>
      <w:r w:rsidR="00A74957" w:rsidRPr="00A74957">
        <w:rPr>
          <w:sz w:val="28"/>
          <w:szCs w:val="28"/>
        </w:rPr>
        <w:t>comunicação interatrial</w:t>
      </w:r>
      <w:r w:rsidR="00A74957">
        <w:rPr>
          <w:sz w:val="28"/>
          <w:szCs w:val="28"/>
        </w:rPr>
        <w:t xml:space="preserve"> (CIA)</w:t>
      </w:r>
      <w:r w:rsidR="00C51845">
        <w:rPr>
          <w:sz w:val="28"/>
          <w:szCs w:val="28"/>
        </w:rPr>
        <w:t xml:space="preserve"> e correção de </w:t>
      </w:r>
      <w:r w:rsidR="00C51845" w:rsidRPr="00A74957">
        <w:rPr>
          <w:sz w:val="28"/>
          <w:szCs w:val="28"/>
        </w:rPr>
        <w:t>comunicação inter</w:t>
      </w:r>
      <w:r w:rsidR="00C51845">
        <w:rPr>
          <w:sz w:val="28"/>
          <w:szCs w:val="28"/>
        </w:rPr>
        <w:t>ventricular (CIV)</w:t>
      </w:r>
      <w:r w:rsidR="00A74957" w:rsidRPr="00A74957">
        <w:rPr>
          <w:sz w:val="28"/>
          <w:szCs w:val="28"/>
        </w:rPr>
        <w:t xml:space="preserve"> </w:t>
      </w:r>
      <w:r>
        <w:rPr>
          <w:sz w:val="28"/>
          <w:szCs w:val="28"/>
        </w:rPr>
        <w:t>com uso programado de CEC, clampeamento da artéria aorta, uso de cardioplegia e esternotomia mediana convencional ou miniesternotomia mediana, volemia ajustada para uma medida de veia cava inferior (VCI) acima de 1</w:t>
      </w:r>
      <w:r w:rsidR="00180DDE">
        <w:rPr>
          <w:sz w:val="28"/>
          <w:szCs w:val="28"/>
        </w:rPr>
        <w:t xml:space="preserve">8 </w:t>
      </w:r>
      <w:r>
        <w:rPr>
          <w:sz w:val="28"/>
          <w:szCs w:val="28"/>
        </w:rPr>
        <w:t>mm</w:t>
      </w:r>
      <w:r w:rsidR="0015260C">
        <w:rPr>
          <w:sz w:val="28"/>
          <w:szCs w:val="28"/>
        </w:rPr>
        <w:t xml:space="preserve"> </w:t>
      </w:r>
      <w:r w:rsidR="0015260C" w:rsidRPr="006B1F6F">
        <w:rPr>
          <w:sz w:val="28"/>
          <w:szCs w:val="28"/>
        </w:rPr>
        <w:t>e</w:t>
      </w:r>
      <w:r w:rsidR="00DC41D1" w:rsidRPr="006B1F6F">
        <w:rPr>
          <w:sz w:val="28"/>
          <w:szCs w:val="28"/>
        </w:rPr>
        <w:t xml:space="preserve"> pressão arterial média (PAM) &gt; 80 mmHg</w:t>
      </w:r>
      <w:r w:rsidR="0015260C" w:rsidRPr="006B1F6F">
        <w:rPr>
          <w:sz w:val="28"/>
          <w:szCs w:val="28"/>
        </w:rPr>
        <w:t xml:space="preserve">. </w:t>
      </w:r>
      <w:r w:rsidRPr="006B1F6F">
        <w:rPr>
          <w:sz w:val="28"/>
          <w:szCs w:val="28"/>
        </w:rPr>
        <w:t>(tabela 1).</w:t>
      </w:r>
    </w:p>
    <w:p w14:paraId="64799989" w14:textId="77777777" w:rsidR="00197429" w:rsidRDefault="00E7181B">
      <w:pPr>
        <w:pStyle w:val="Ttulo3"/>
      </w:pPr>
      <w:bookmarkStart w:id="15" w:name="_Toc81581095"/>
      <w:r>
        <w:t>2.2.3 Critérios de exclusão</w:t>
      </w:r>
      <w:bookmarkEnd w:id="15"/>
    </w:p>
    <w:p w14:paraId="280413E8" w14:textId="626B38FC" w:rsidR="00224AF6" w:rsidRDefault="00E7181B">
      <w:pPr>
        <w:pBdr>
          <w:top w:val="nil"/>
          <w:left w:val="nil"/>
          <w:bottom w:val="nil"/>
          <w:right w:val="nil"/>
          <w:between w:val="nil"/>
        </w:pBdr>
        <w:spacing w:line="18pt" w:lineRule="auto"/>
        <w:ind w:firstLine="36pt"/>
        <w:rPr>
          <w:sz w:val="28"/>
          <w:szCs w:val="28"/>
        </w:rPr>
      </w:pPr>
      <w:r>
        <w:rPr>
          <w:sz w:val="28"/>
          <w:szCs w:val="28"/>
        </w:rPr>
        <w:t>Serão excluídos os pacientes que se recusarem a participar do estudo, pacientes com cirurgia cardíaca prévia,</w:t>
      </w:r>
      <w:r w:rsidR="007A5A54">
        <w:rPr>
          <w:sz w:val="28"/>
          <w:szCs w:val="28"/>
        </w:rPr>
        <w:t xml:space="preserve"> fibrose pulmonar,</w:t>
      </w:r>
      <w:r>
        <w:rPr>
          <w:sz w:val="28"/>
          <w:szCs w:val="28"/>
        </w:rPr>
        <w:t xml:space="preserve"> </w:t>
      </w:r>
      <w:r w:rsidR="00C51845">
        <w:rPr>
          <w:sz w:val="28"/>
          <w:szCs w:val="28"/>
        </w:rPr>
        <w:t xml:space="preserve">enfisema pulmonar, </w:t>
      </w:r>
      <w:r>
        <w:rPr>
          <w:sz w:val="28"/>
          <w:szCs w:val="28"/>
        </w:rPr>
        <w:t>pneumonia diagnosticada nos últimos 30 dias,  pacientes com hipertensão de artéria pulmonar (HAP) com pressão sistólica de artéria pulmonar (PSAP) maior que 45 mmHg, necessidade de intubação orotraqueal (IOT) antes da chegada na sala de cirurgia, obesos com índice de massa corpórea (IMC) maior que 40 kg/m</w:t>
      </w:r>
      <w:r>
        <w:rPr>
          <w:sz w:val="28"/>
          <w:szCs w:val="28"/>
          <w:vertAlign w:val="subscript"/>
        </w:rPr>
        <w:t>2</w:t>
      </w:r>
      <w:r>
        <w:rPr>
          <w:sz w:val="28"/>
          <w:szCs w:val="28"/>
        </w:rPr>
        <w:t>,</w:t>
      </w:r>
      <w:r>
        <w:t xml:space="preserve"> </w:t>
      </w:r>
      <w:r>
        <w:rPr>
          <w:sz w:val="28"/>
          <w:szCs w:val="28"/>
        </w:rPr>
        <w:t>necessidade de noradrenalina &gt;2 μg/kg/min, necessidade de re-operação, pneumotórax e/ou drenos borbulhantes</w:t>
      </w:r>
      <w:r w:rsidR="005870B7">
        <w:rPr>
          <w:sz w:val="28"/>
          <w:szCs w:val="28"/>
        </w:rPr>
        <w:t xml:space="preserve">, </w:t>
      </w:r>
      <w:r>
        <w:rPr>
          <w:sz w:val="28"/>
          <w:szCs w:val="28"/>
        </w:rPr>
        <w:t>pacientes portadores de doença neuromuscular</w:t>
      </w:r>
      <w:r w:rsidR="005870B7">
        <w:rPr>
          <w:sz w:val="28"/>
          <w:szCs w:val="28"/>
        </w:rPr>
        <w:t>, cirurgia de revascularização do miocárdio (CRVM) com utilização de enxerto de artéria mamária interna direita (MID) e artéria radial</w:t>
      </w:r>
      <w:r>
        <w:rPr>
          <w:sz w:val="28"/>
          <w:szCs w:val="28"/>
        </w:rPr>
        <w:t xml:space="preserve"> (tabela 1).</w:t>
      </w:r>
    </w:p>
    <w:p w14:paraId="3C85EDD7" w14:textId="77777777" w:rsidR="00224AF6" w:rsidRDefault="00224AF6">
      <w:pPr>
        <w:rPr>
          <w:sz w:val="28"/>
          <w:szCs w:val="28"/>
        </w:rPr>
      </w:pPr>
      <w:r>
        <w:rPr>
          <w:sz w:val="28"/>
          <w:szCs w:val="28"/>
        </w:rPr>
        <w:br w:type="page"/>
      </w:r>
    </w:p>
    <w:p w14:paraId="7434CC57" w14:textId="77777777" w:rsidR="00197429" w:rsidRDefault="00197429">
      <w:pPr>
        <w:pBdr>
          <w:top w:val="nil"/>
          <w:left w:val="nil"/>
          <w:bottom w:val="nil"/>
          <w:right w:val="nil"/>
          <w:between w:val="nil"/>
        </w:pBdr>
        <w:spacing w:line="18pt" w:lineRule="auto"/>
        <w:ind w:firstLine="36pt"/>
        <w:rPr>
          <w:sz w:val="28"/>
          <w:szCs w:val="28"/>
        </w:rPr>
      </w:pPr>
    </w:p>
    <w:p w14:paraId="3F7C7DC7" w14:textId="77777777" w:rsidR="00197429" w:rsidRDefault="00E7181B">
      <w:pPr>
        <w:spacing w:before="6pt" w:after="6pt"/>
      </w:pPr>
      <w:r>
        <w:t>Tabela 1. Critérios de inclusão e exclusão.</w:t>
      </w:r>
    </w:p>
    <w:tbl>
      <w:tblPr>
        <w:tblW w:w="461.35pt" w:type="dxa"/>
        <w:tblInd w:w="-4.45pt" w:type="dxa"/>
        <w:tblBorders>
          <w:top w:val="single" w:sz="4" w:space="0" w:color="000000"/>
          <w:start w:val="single" w:sz="4" w:space="0" w:color="000000"/>
          <w:bottom w:val="single" w:sz="4" w:space="0" w:color="000000"/>
          <w:end w:val="single" w:sz="4" w:space="0" w:color="000000"/>
        </w:tblBorders>
        <w:tblLayout w:type="fixed"/>
        <w:tblLook w:firstRow="0" w:lastRow="0" w:firstColumn="0" w:lastColumn="0" w:noHBand="0" w:noVBand="1"/>
      </w:tblPr>
      <w:tblGrid>
        <w:gridCol w:w="4842"/>
        <w:gridCol w:w="4385"/>
      </w:tblGrid>
      <w:tr w:rsidR="00C51845" w14:paraId="241EF210" w14:textId="77777777" w:rsidTr="00766110">
        <w:tc>
          <w:tcPr>
            <w:tcW w:w="242.10pt" w:type="dxa"/>
            <w:tcBorders>
              <w:top w:val="single" w:sz="4" w:space="0" w:color="000000"/>
              <w:start w:val="single" w:sz="4" w:space="0" w:color="000000"/>
              <w:bottom w:val="nil"/>
              <w:end w:val="nil"/>
            </w:tcBorders>
          </w:tcPr>
          <w:p w14:paraId="3236157C" w14:textId="77777777" w:rsidR="00C51845" w:rsidRDefault="00C51845" w:rsidP="00766110">
            <w:pPr>
              <w:rPr>
                <w:b/>
                <w:sz w:val="28"/>
                <w:szCs w:val="28"/>
              </w:rPr>
            </w:pPr>
            <w:r>
              <w:rPr>
                <w:b/>
                <w:sz w:val="28"/>
                <w:szCs w:val="28"/>
              </w:rPr>
              <w:t>Critérios de Inclusão</w:t>
            </w:r>
          </w:p>
        </w:tc>
        <w:tc>
          <w:tcPr>
            <w:tcW w:w="219.25pt" w:type="dxa"/>
            <w:tcBorders>
              <w:top w:val="single" w:sz="4" w:space="0" w:color="000000"/>
              <w:start w:val="nil"/>
              <w:bottom w:val="nil"/>
              <w:end w:val="single" w:sz="4" w:space="0" w:color="000000"/>
            </w:tcBorders>
          </w:tcPr>
          <w:p w14:paraId="5FE30AB7" w14:textId="77777777" w:rsidR="00C51845" w:rsidRDefault="00C51845" w:rsidP="00766110">
            <w:pPr>
              <w:rPr>
                <w:b/>
                <w:sz w:val="28"/>
                <w:szCs w:val="28"/>
              </w:rPr>
            </w:pPr>
            <w:r>
              <w:rPr>
                <w:b/>
                <w:sz w:val="28"/>
                <w:szCs w:val="28"/>
              </w:rPr>
              <w:t>Critérios de Exclusão</w:t>
            </w:r>
          </w:p>
        </w:tc>
      </w:tr>
      <w:tr w:rsidR="00C51845" w14:paraId="309E8F90" w14:textId="77777777" w:rsidTr="00766110">
        <w:tc>
          <w:tcPr>
            <w:tcW w:w="242.10pt" w:type="dxa"/>
            <w:tcBorders>
              <w:top w:val="nil"/>
              <w:start w:val="single" w:sz="4" w:space="0" w:color="000000"/>
              <w:bottom w:val="nil"/>
              <w:end w:val="nil"/>
            </w:tcBorders>
          </w:tcPr>
          <w:p w14:paraId="523912A6" w14:textId="77777777" w:rsidR="00C51845" w:rsidRPr="00932011" w:rsidRDefault="00C51845" w:rsidP="00766110">
            <w:pPr>
              <w:rPr>
                <w:b/>
                <w:sz w:val="28"/>
                <w:szCs w:val="28"/>
              </w:rPr>
            </w:pPr>
            <w:r w:rsidRPr="00932011">
              <w:rPr>
                <w:rFonts w:eastAsia="Gungsuh"/>
                <w:sz w:val="28"/>
                <w:szCs w:val="28"/>
              </w:rPr>
              <w:t>Idade ≥ 18 anos</w:t>
            </w:r>
          </w:p>
        </w:tc>
        <w:tc>
          <w:tcPr>
            <w:tcW w:w="219.25pt" w:type="dxa"/>
            <w:tcBorders>
              <w:top w:val="nil"/>
              <w:start w:val="nil"/>
              <w:bottom w:val="nil"/>
              <w:end w:val="single" w:sz="4" w:space="0" w:color="000000"/>
            </w:tcBorders>
          </w:tcPr>
          <w:p w14:paraId="728D450A" w14:textId="77777777" w:rsidR="00C51845" w:rsidRDefault="00C51845" w:rsidP="00766110">
            <w:pPr>
              <w:rPr>
                <w:sz w:val="28"/>
                <w:szCs w:val="28"/>
              </w:rPr>
            </w:pPr>
            <w:r>
              <w:rPr>
                <w:sz w:val="28"/>
                <w:szCs w:val="28"/>
              </w:rPr>
              <w:t>Cirurgia cardíaca prévia</w:t>
            </w:r>
          </w:p>
        </w:tc>
      </w:tr>
      <w:tr w:rsidR="00C51845" w14:paraId="58735052" w14:textId="77777777" w:rsidTr="00766110">
        <w:tc>
          <w:tcPr>
            <w:tcW w:w="242.10pt" w:type="dxa"/>
            <w:tcBorders>
              <w:top w:val="nil"/>
              <w:start w:val="single" w:sz="4" w:space="0" w:color="000000"/>
              <w:bottom w:val="nil"/>
              <w:end w:val="nil"/>
            </w:tcBorders>
          </w:tcPr>
          <w:sdt>
            <w:sdtPr>
              <w:tag w:val="goog_rdk_4"/>
              <w:id w:val="1096905319"/>
            </w:sdtPr>
            <w:sdtEndPr/>
            <w:sdtContent>
              <w:p w14:paraId="4DF655C3" w14:textId="77777777" w:rsidR="00C51845" w:rsidRDefault="00C51845" w:rsidP="00766110">
                <w:pPr>
                  <w:rPr>
                    <w:sz w:val="28"/>
                    <w:szCs w:val="28"/>
                  </w:rPr>
                </w:pPr>
                <w:r>
                  <w:rPr>
                    <w:sz w:val="28"/>
                    <w:szCs w:val="28"/>
                  </w:rPr>
                  <w:t>CEC + CLAMP + Cardioplegia</w:t>
                </w:r>
              </w:p>
              <w:p w14:paraId="7E44FA7E" w14:textId="77777777" w:rsidR="00C51845" w:rsidRPr="00214F7F" w:rsidRDefault="00C51845" w:rsidP="00766110">
                <w:r>
                  <w:rPr>
                    <w:sz w:val="28"/>
                    <w:szCs w:val="28"/>
                  </w:rPr>
                  <w:t>TV</w:t>
                </w:r>
              </w:p>
            </w:sdtContent>
          </w:sdt>
        </w:tc>
        <w:tc>
          <w:tcPr>
            <w:tcW w:w="219.25pt" w:type="dxa"/>
            <w:tcBorders>
              <w:top w:val="nil"/>
              <w:start w:val="nil"/>
              <w:bottom w:val="nil"/>
              <w:end w:val="single" w:sz="4" w:space="0" w:color="000000"/>
            </w:tcBorders>
          </w:tcPr>
          <w:p w14:paraId="374AC01D" w14:textId="77777777" w:rsidR="00C51845" w:rsidRDefault="00C51845" w:rsidP="00766110">
            <w:pPr>
              <w:rPr>
                <w:sz w:val="28"/>
                <w:szCs w:val="28"/>
              </w:rPr>
            </w:pPr>
            <w:r>
              <w:rPr>
                <w:sz w:val="28"/>
                <w:szCs w:val="28"/>
              </w:rPr>
              <w:t>Pneumonia (últimos 30 dias)</w:t>
            </w:r>
          </w:p>
          <w:p w14:paraId="49B8FA9E" w14:textId="77777777" w:rsidR="00C51845" w:rsidRDefault="00C51845" w:rsidP="00766110">
            <w:pPr>
              <w:rPr>
                <w:sz w:val="28"/>
                <w:szCs w:val="28"/>
              </w:rPr>
            </w:pPr>
            <w:r>
              <w:rPr>
                <w:sz w:val="28"/>
                <w:szCs w:val="28"/>
              </w:rPr>
              <w:t>COVID-19 (últimos 30 dias)</w:t>
            </w:r>
          </w:p>
        </w:tc>
      </w:tr>
      <w:tr w:rsidR="00C51845" w14:paraId="729E247B" w14:textId="77777777" w:rsidTr="00766110">
        <w:tc>
          <w:tcPr>
            <w:tcW w:w="242.10pt" w:type="dxa"/>
            <w:tcBorders>
              <w:top w:val="nil"/>
              <w:start w:val="single" w:sz="4" w:space="0" w:color="000000"/>
              <w:bottom w:val="nil"/>
              <w:end w:val="nil"/>
            </w:tcBorders>
          </w:tcPr>
          <w:p w14:paraId="5ADD3A38" w14:textId="77777777" w:rsidR="00C51845" w:rsidRDefault="00C51845" w:rsidP="00766110">
            <w:pPr>
              <w:rPr>
                <w:sz w:val="28"/>
                <w:szCs w:val="28"/>
              </w:rPr>
            </w:pPr>
            <w:r>
              <w:rPr>
                <w:sz w:val="28"/>
                <w:szCs w:val="28"/>
              </w:rPr>
              <w:t>CRVM</w:t>
            </w:r>
          </w:p>
          <w:p w14:paraId="740F6DC7" w14:textId="77777777" w:rsidR="00C51845" w:rsidRDefault="00C51845" w:rsidP="00766110">
            <w:pPr>
              <w:rPr>
                <w:sz w:val="28"/>
                <w:szCs w:val="28"/>
              </w:rPr>
            </w:pPr>
            <w:r>
              <w:rPr>
                <w:sz w:val="28"/>
                <w:szCs w:val="28"/>
              </w:rPr>
              <w:t>TV + CRVM</w:t>
            </w:r>
          </w:p>
        </w:tc>
        <w:tc>
          <w:tcPr>
            <w:tcW w:w="219.25pt" w:type="dxa"/>
            <w:tcBorders>
              <w:top w:val="nil"/>
              <w:start w:val="nil"/>
              <w:bottom w:val="nil"/>
              <w:end w:val="single" w:sz="4" w:space="0" w:color="000000"/>
            </w:tcBorders>
          </w:tcPr>
          <w:p w14:paraId="0EF359AA" w14:textId="77777777" w:rsidR="00C51845" w:rsidRDefault="00C51845" w:rsidP="00766110">
            <w:pPr>
              <w:rPr>
                <w:sz w:val="28"/>
                <w:szCs w:val="28"/>
              </w:rPr>
            </w:pPr>
            <w:r>
              <w:rPr>
                <w:sz w:val="28"/>
                <w:szCs w:val="28"/>
              </w:rPr>
              <w:t>Fibrose pulmonar</w:t>
            </w:r>
          </w:p>
          <w:p w14:paraId="28C397AA" w14:textId="77777777" w:rsidR="00C51845" w:rsidRDefault="00C51845" w:rsidP="00766110">
            <w:pPr>
              <w:rPr>
                <w:sz w:val="28"/>
                <w:szCs w:val="28"/>
              </w:rPr>
            </w:pPr>
            <w:r>
              <w:rPr>
                <w:sz w:val="28"/>
                <w:szCs w:val="28"/>
              </w:rPr>
              <w:t>Enfisema pulmonar</w:t>
            </w:r>
          </w:p>
        </w:tc>
      </w:tr>
      <w:tr w:rsidR="00C51845" w14:paraId="7E8B4115" w14:textId="77777777" w:rsidTr="00766110">
        <w:tc>
          <w:tcPr>
            <w:tcW w:w="242.10pt" w:type="dxa"/>
            <w:tcBorders>
              <w:top w:val="nil"/>
              <w:start w:val="single" w:sz="4" w:space="0" w:color="000000"/>
              <w:bottom w:val="nil"/>
              <w:end w:val="nil"/>
            </w:tcBorders>
          </w:tcPr>
          <w:p w14:paraId="37EA66B7" w14:textId="77777777" w:rsidR="00C51845" w:rsidRDefault="00C51845" w:rsidP="00766110">
            <w:pPr>
              <w:rPr>
                <w:sz w:val="28"/>
                <w:szCs w:val="28"/>
              </w:rPr>
            </w:pPr>
            <w:r>
              <w:rPr>
                <w:sz w:val="28"/>
                <w:szCs w:val="28"/>
              </w:rPr>
              <w:t>CIA</w:t>
            </w:r>
          </w:p>
        </w:tc>
        <w:tc>
          <w:tcPr>
            <w:tcW w:w="219.25pt" w:type="dxa"/>
            <w:tcBorders>
              <w:top w:val="nil"/>
              <w:start w:val="nil"/>
              <w:bottom w:val="nil"/>
              <w:end w:val="single" w:sz="4" w:space="0" w:color="000000"/>
            </w:tcBorders>
          </w:tcPr>
          <w:p w14:paraId="367340D7" w14:textId="77777777" w:rsidR="00C51845" w:rsidRDefault="00C51845" w:rsidP="00766110">
            <w:pPr>
              <w:rPr>
                <w:sz w:val="28"/>
                <w:szCs w:val="28"/>
              </w:rPr>
            </w:pPr>
            <w:r>
              <w:rPr>
                <w:sz w:val="28"/>
                <w:szCs w:val="28"/>
              </w:rPr>
              <w:t>PSAP &gt; 45 mmHg</w:t>
            </w:r>
          </w:p>
        </w:tc>
      </w:tr>
      <w:tr w:rsidR="00C51845" w14:paraId="23514794" w14:textId="77777777" w:rsidTr="00766110">
        <w:tc>
          <w:tcPr>
            <w:tcW w:w="242.10pt" w:type="dxa"/>
            <w:tcBorders>
              <w:top w:val="nil"/>
              <w:start w:val="single" w:sz="4" w:space="0" w:color="000000"/>
              <w:bottom w:val="nil"/>
              <w:end w:val="nil"/>
            </w:tcBorders>
          </w:tcPr>
          <w:p w14:paraId="3F4CBFAF" w14:textId="77777777" w:rsidR="00C51845" w:rsidRDefault="00C51845" w:rsidP="00766110">
            <w:pPr>
              <w:rPr>
                <w:sz w:val="28"/>
                <w:szCs w:val="28"/>
              </w:rPr>
            </w:pPr>
            <w:r>
              <w:rPr>
                <w:sz w:val="28"/>
                <w:szCs w:val="28"/>
              </w:rPr>
              <w:t>CIV</w:t>
            </w:r>
          </w:p>
        </w:tc>
        <w:tc>
          <w:tcPr>
            <w:tcW w:w="219.25pt" w:type="dxa"/>
            <w:tcBorders>
              <w:top w:val="nil"/>
              <w:start w:val="nil"/>
              <w:bottom w:val="nil"/>
              <w:end w:val="single" w:sz="4" w:space="0" w:color="000000"/>
            </w:tcBorders>
          </w:tcPr>
          <w:p w14:paraId="7E627C8E" w14:textId="77777777" w:rsidR="00C51845" w:rsidRDefault="00C51845" w:rsidP="00766110">
            <w:pPr>
              <w:rPr>
                <w:sz w:val="28"/>
                <w:szCs w:val="28"/>
              </w:rPr>
            </w:pPr>
            <w:r>
              <w:rPr>
                <w:sz w:val="28"/>
                <w:szCs w:val="28"/>
              </w:rPr>
              <w:t>IOT antes da chegada em CC</w:t>
            </w:r>
          </w:p>
        </w:tc>
      </w:tr>
      <w:tr w:rsidR="00C51845" w14:paraId="7E209D7E" w14:textId="77777777" w:rsidTr="00766110">
        <w:tc>
          <w:tcPr>
            <w:tcW w:w="242.10pt" w:type="dxa"/>
            <w:tcBorders>
              <w:top w:val="nil"/>
              <w:start w:val="single" w:sz="4" w:space="0" w:color="000000"/>
              <w:bottom w:val="nil"/>
              <w:end w:val="nil"/>
            </w:tcBorders>
          </w:tcPr>
          <w:p w14:paraId="0033B324" w14:textId="77777777" w:rsidR="00C51845" w:rsidRDefault="00C51845" w:rsidP="00766110">
            <w:pPr>
              <w:rPr>
                <w:sz w:val="28"/>
                <w:szCs w:val="28"/>
              </w:rPr>
            </w:pPr>
            <w:r>
              <w:rPr>
                <w:sz w:val="28"/>
                <w:szCs w:val="28"/>
              </w:rPr>
              <w:t>Cir. Ao ascendente + Cir. cardíaca</w:t>
            </w:r>
          </w:p>
        </w:tc>
        <w:tc>
          <w:tcPr>
            <w:tcW w:w="219.25pt" w:type="dxa"/>
            <w:tcBorders>
              <w:top w:val="nil"/>
              <w:start w:val="nil"/>
              <w:bottom w:val="nil"/>
              <w:end w:val="single" w:sz="4" w:space="0" w:color="000000"/>
            </w:tcBorders>
          </w:tcPr>
          <w:p w14:paraId="5A6C0C4C" w14:textId="77777777" w:rsidR="00C51845" w:rsidRDefault="00C51845" w:rsidP="00766110">
            <w:pPr>
              <w:rPr>
                <w:sz w:val="28"/>
                <w:szCs w:val="28"/>
              </w:rPr>
            </w:pPr>
            <w:r>
              <w:rPr>
                <w:sz w:val="28"/>
                <w:szCs w:val="28"/>
              </w:rPr>
              <w:t>Obesidade (IMC &gt; 40 kg/m</w:t>
            </w:r>
            <w:r>
              <w:rPr>
                <w:sz w:val="28"/>
                <w:szCs w:val="28"/>
                <w:vertAlign w:val="subscript"/>
              </w:rPr>
              <w:t>2</w:t>
            </w:r>
            <w:r>
              <w:rPr>
                <w:sz w:val="28"/>
                <w:szCs w:val="28"/>
              </w:rPr>
              <w:t>)</w:t>
            </w:r>
          </w:p>
        </w:tc>
      </w:tr>
      <w:tr w:rsidR="00C51845" w14:paraId="096368CE" w14:textId="77777777" w:rsidTr="00766110">
        <w:tc>
          <w:tcPr>
            <w:tcW w:w="242.10pt" w:type="dxa"/>
            <w:tcBorders>
              <w:top w:val="nil"/>
              <w:start w:val="single" w:sz="4" w:space="0" w:color="000000"/>
              <w:bottom w:val="nil"/>
              <w:end w:val="nil"/>
            </w:tcBorders>
          </w:tcPr>
          <w:p w14:paraId="4446E9DA" w14:textId="77777777" w:rsidR="00C51845" w:rsidRDefault="00C51845" w:rsidP="00766110">
            <w:pPr>
              <w:rPr>
                <w:sz w:val="28"/>
                <w:szCs w:val="28"/>
              </w:rPr>
            </w:pPr>
            <w:r>
              <w:rPr>
                <w:sz w:val="28"/>
                <w:szCs w:val="28"/>
              </w:rPr>
              <w:t>Esternotomia mediana convencional</w:t>
            </w:r>
          </w:p>
        </w:tc>
        <w:tc>
          <w:tcPr>
            <w:tcW w:w="219.25pt" w:type="dxa"/>
            <w:tcBorders>
              <w:top w:val="nil"/>
              <w:start w:val="nil"/>
              <w:bottom w:val="nil"/>
              <w:end w:val="single" w:sz="4" w:space="0" w:color="000000"/>
            </w:tcBorders>
          </w:tcPr>
          <w:p w14:paraId="6F862C6E" w14:textId="77777777" w:rsidR="00C51845" w:rsidRDefault="00C51845" w:rsidP="00766110">
            <w:pPr>
              <w:rPr>
                <w:sz w:val="28"/>
                <w:szCs w:val="28"/>
              </w:rPr>
            </w:pPr>
            <w:r>
              <w:rPr>
                <w:sz w:val="28"/>
                <w:szCs w:val="28"/>
              </w:rPr>
              <w:t>Noradrenalina &gt; 2 μg/kg/min</w:t>
            </w:r>
          </w:p>
        </w:tc>
      </w:tr>
      <w:tr w:rsidR="00C51845" w14:paraId="760DFEA2" w14:textId="77777777" w:rsidTr="00766110">
        <w:tc>
          <w:tcPr>
            <w:tcW w:w="242.10pt" w:type="dxa"/>
            <w:tcBorders>
              <w:top w:val="nil"/>
              <w:start w:val="single" w:sz="4" w:space="0" w:color="000000"/>
              <w:bottom w:val="nil"/>
              <w:end w:val="nil"/>
            </w:tcBorders>
          </w:tcPr>
          <w:p w14:paraId="45B86F97" w14:textId="77777777" w:rsidR="00C51845" w:rsidRDefault="00C51845" w:rsidP="00766110">
            <w:pPr>
              <w:rPr>
                <w:sz w:val="28"/>
                <w:szCs w:val="28"/>
              </w:rPr>
            </w:pPr>
            <w:r>
              <w:rPr>
                <w:sz w:val="28"/>
                <w:szCs w:val="28"/>
              </w:rPr>
              <w:t>Miniesternotomia mediana</w:t>
            </w:r>
          </w:p>
        </w:tc>
        <w:tc>
          <w:tcPr>
            <w:tcW w:w="219.25pt" w:type="dxa"/>
            <w:tcBorders>
              <w:top w:val="nil"/>
              <w:start w:val="nil"/>
              <w:bottom w:val="nil"/>
              <w:end w:val="single" w:sz="4" w:space="0" w:color="000000"/>
            </w:tcBorders>
          </w:tcPr>
          <w:p w14:paraId="4F9DDC01" w14:textId="77777777" w:rsidR="00C51845" w:rsidRDefault="00C51845" w:rsidP="00766110">
            <w:pPr>
              <w:rPr>
                <w:sz w:val="28"/>
                <w:szCs w:val="28"/>
              </w:rPr>
            </w:pPr>
            <w:r>
              <w:rPr>
                <w:sz w:val="28"/>
                <w:szCs w:val="28"/>
              </w:rPr>
              <w:t>Necessidade de re-operação</w:t>
            </w:r>
          </w:p>
        </w:tc>
      </w:tr>
      <w:tr w:rsidR="00C51845" w14:paraId="4F2C8A7F" w14:textId="77777777" w:rsidTr="00766110">
        <w:tc>
          <w:tcPr>
            <w:tcW w:w="242.10pt" w:type="dxa"/>
            <w:tcBorders>
              <w:top w:val="nil"/>
              <w:start w:val="single" w:sz="4" w:space="0" w:color="000000"/>
              <w:bottom w:val="nil"/>
              <w:end w:val="nil"/>
            </w:tcBorders>
          </w:tcPr>
          <w:p w14:paraId="11EE78C0" w14:textId="77777777" w:rsidR="00C51845" w:rsidRDefault="00C51845" w:rsidP="00766110">
            <w:pPr>
              <w:rPr>
                <w:sz w:val="28"/>
                <w:szCs w:val="28"/>
              </w:rPr>
            </w:pPr>
            <w:r>
              <w:rPr>
                <w:sz w:val="28"/>
                <w:szCs w:val="28"/>
              </w:rPr>
              <w:t>Diâmetro de VCI &gt; 18 mm</w:t>
            </w:r>
          </w:p>
        </w:tc>
        <w:tc>
          <w:tcPr>
            <w:tcW w:w="219.25pt" w:type="dxa"/>
            <w:tcBorders>
              <w:top w:val="nil"/>
              <w:start w:val="nil"/>
              <w:bottom w:val="nil"/>
              <w:end w:val="single" w:sz="4" w:space="0" w:color="000000"/>
            </w:tcBorders>
          </w:tcPr>
          <w:p w14:paraId="049B26CF" w14:textId="77777777" w:rsidR="00C51845" w:rsidRDefault="00C51845" w:rsidP="00766110">
            <w:pPr>
              <w:rPr>
                <w:sz w:val="28"/>
                <w:szCs w:val="28"/>
              </w:rPr>
            </w:pPr>
            <w:r>
              <w:rPr>
                <w:sz w:val="28"/>
                <w:szCs w:val="28"/>
              </w:rPr>
              <w:t>Pneumotórax ou drenos borbulhantes</w:t>
            </w:r>
          </w:p>
        </w:tc>
      </w:tr>
      <w:tr w:rsidR="00C51845" w14:paraId="3F71038B" w14:textId="77777777" w:rsidTr="00766110">
        <w:tc>
          <w:tcPr>
            <w:tcW w:w="242.10pt" w:type="dxa"/>
            <w:tcBorders>
              <w:top w:val="nil"/>
              <w:start w:val="single" w:sz="4" w:space="0" w:color="000000"/>
              <w:bottom w:val="single" w:sz="4" w:space="0" w:color="000000"/>
              <w:end w:val="nil"/>
            </w:tcBorders>
          </w:tcPr>
          <w:p w14:paraId="7ACA05EC" w14:textId="77777777" w:rsidR="00C51845" w:rsidRPr="00E02AC2" w:rsidRDefault="00C51845" w:rsidP="00766110">
            <w:pPr>
              <w:rPr>
                <w:sz w:val="28"/>
                <w:szCs w:val="28"/>
                <w:highlight w:val="cyan"/>
              </w:rPr>
            </w:pPr>
            <w:r w:rsidRPr="00E9478C">
              <w:rPr>
                <w:sz w:val="28"/>
                <w:szCs w:val="28"/>
              </w:rPr>
              <w:t>PAM &gt; 80 mmHg</w:t>
            </w:r>
          </w:p>
        </w:tc>
        <w:tc>
          <w:tcPr>
            <w:tcW w:w="219.25pt" w:type="dxa"/>
            <w:tcBorders>
              <w:top w:val="nil"/>
              <w:start w:val="nil"/>
              <w:bottom w:val="single" w:sz="4" w:space="0" w:color="000000"/>
              <w:end w:val="single" w:sz="4" w:space="0" w:color="000000"/>
            </w:tcBorders>
          </w:tcPr>
          <w:p w14:paraId="33521C21" w14:textId="77777777" w:rsidR="00C51845" w:rsidRDefault="00C51845" w:rsidP="00766110">
            <w:pPr>
              <w:rPr>
                <w:sz w:val="28"/>
                <w:szCs w:val="28"/>
              </w:rPr>
            </w:pPr>
            <w:r>
              <w:rPr>
                <w:sz w:val="28"/>
                <w:szCs w:val="28"/>
              </w:rPr>
              <w:t>Doença Neuromuscular</w:t>
            </w:r>
          </w:p>
          <w:p w14:paraId="700DFF51" w14:textId="77777777" w:rsidR="00C51845" w:rsidRDefault="00C51845" w:rsidP="00766110">
            <w:pPr>
              <w:rPr>
                <w:sz w:val="28"/>
                <w:szCs w:val="28"/>
              </w:rPr>
            </w:pPr>
            <w:r>
              <w:rPr>
                <w:sz w:val="28"/>
                <w:szCs w:val="28"/>
              </w:rPr>
              <w:t>CRVM com uso de artéria MID</w:t>
            </w:r>
          </w:p>
          <w:p w14:paraId="6408C4C1" w14:textId="77777777" w:rsidR="00C51845" w:rsidRDefault="00C51845" w:rsidP="00766110">
            <w:pPr>
              <w:rPr>
                <w:sz w:val="28"/>
                <w:szCs w:val="28"/>
              </w:rPr>
            </w:pPr>
            <w:r>
              <w:rPr>
                <w:sz w:val="28"/>
                <w:szCs w:val="28"/>
              </w:rPr>
              <w:t>CRVM com uso de artéria Radial</w:t>
            </w:r>
          </w:p>
        </w:tc>
      </w:tr>
    </w:tbl>
    <w:p w14:paraId="775576D3" w14:textId="77777777" w:rsidR="00C51845" w:rsidRDefault="00C51845">
      <w:pPr>
        <w:pStyle w:val="Ttulo3"/>
        <w:rPr>
          <w:b w:val="0"/>
          <w:sz w:val="24"/>
        </w:rPr>
      </w:pPr>
      <w:bookmarkStart w:id="16" w:name="_Toc81581096"/>
      <w:r w:rsidRPr="00C51845">
        <w:rPr>
          <w:b w:val="0"/>
          <w:sz w:val="24"/>
        </w:rPr>
        <w:t>CEC - circulação extracorpórea; CLAMP – clampeamento aórtico; TV – troca valvar; CRVM – cirurgia de revascularização do miocárdio; Ao -Aorta; Cir. – cirurgia; CIA – comunicação interatrial; CIV - comunicação interventricular VCI – veia cava inferior; PSAP – pressão sistólica de artéria pulmonar; IOT -intubação orotraqueal; IMC – índice de massa corporal; MID – mamária interna direita.</w:t>
      </w:r>
    </w:p>
    <w:p w14:paraId="2FC68BD3" w14:textId="63601012" w:rsidR="00197429" w:rsidRDefault="00E7181B">
      <w:pPr>
        <w:pStyle w:val="Ttulo3"/>
      </w:pPr>
      <w:r>
        <w:t xml:space="preserve">2.2.4 </w:t>
      </w:r>
      <w:bookmarkStart w:id="17" w:name="_Hlk70589158"/>
      <w:r>
        <w:t>Critérios de interrupção</w:t>
      </w:r>
      <w:bookmarkEnd w:id="16"/>
    </w:p>
    <w:p w14:paraId="6EEEFD7C" w14:textId="3524FC34" w:rsidR="00197429" w:rsidRPr="00223F35" w:rsidRDefault="00E7181B" w:rsidP="00223F35">
      <w:pPr>
        <w:rPr>
          <w:sz w:val="28"/>
          <w:szCs w:val="28"/>
        </w:rPr>
      </w:pPr>
      <w:r>
        <w:rPr>
          <w:sz w:val="28"/>
          <w:szCs w:val="28"/>
        </w:rPr>
        <w:t>Instabilidade hemodinâmica com uso de Noradrenalina &gt; 2 µg Kg/min, PAM &lt; 60, arritmias agudas, queda SpO2 &lt; 90%, serão parâmetros para interrupção do protocolo de recrutamento alveolar e titulação de PEEP.</w:t>
      </w:r>
      <w:r w:rsidR="00223F35">
        <w:rPr>
          <w:sz w:val="28"/>
          <w:szCs w:val="28"/>
        </w:rPr>
        <w:t xml:space="preserve"> </w:t>
      </w:r>
      <w:r w:rsidR="00223F35" w:rsidRPr="00223F35">
        <w:rPr>
          <w:sz w:val="28"/>
          <w:szCs w:val="28"/>
        </w:rPr>
        <w:t>Relação PaO</w:t>
      </w:r>
      <w:r w:rsidR="00223F35" w:rsidRPr="00223F35">
        <w:rPr>
          <w:sz w:val="28"/>
          <w:szCs w:val="28"/>
          <w:vertAlign w:val="subscript"/>
        </w:rPr>
        <w:t>2</w:t>
      </w:r>
      <w:r w:rsidR="00223F35" w:rsidRPr="00223F35">
        <w:rPr>
          <w:sz w:val="28"/>
          <w:szCs w:val="28"/>
        </w:rPr>
        <w:t>/FiO</w:t>
      </w:r>
      <w:r w:rsidR="00223F35" w:rsidRPr="00223F35">
        <w:rPr>
          <w:sz w:val="28"/>
          <w:szCs w:val="28"/>
          <w:vertAlign w:val="subscript"/>
        </w:rPr>
        <w:t>2</w:t>
      </w:r>
      <w:r w:rsidR="00223F35" w:rsidRPr="00223F35">
        <w:rPr>
          <w:sz w:val="28"/>
          <w:szCs w:val="28"/>
        </w:rPr>
        <w:t xml:space="preserve">  abaixo de 150 mmHg após 60 min com PEEP de 10 cmH</w:t>
      </w:r>
      <w:r w:rsidR="00223F35" w:rsidRPr="00223F35">
        <w:rPr>
          <w:sz w:val="28"/>
          <w:szCs w:val="28"/>
          <w:vertAlign w:val="subscript"/>
        </w:rPr>
        <w:t>2</w:t>
      </w:r>
      <w:r w:rsidR="00223F35" w:rsidRPr="00223F35">
        <w:rPr>
          <w:sz w:val="28"/>
          <w:szCs w:val="28"/>
        </w:rPr>
        <w:t>O no grupo controle será condição para</w:t>
      </w:r>
      <w:r w:rsidR="00486E02">
        <w:rPr>
          <w:sz w:val="28"/>
          <w:szCs w:val="28"/>
        </w:rPr>
        <w:t xml:space="preserve"> a retirada</w:t>
      </w:r>
      <w:r w:rsidR="00223F35" w:rsidRPr="00223F35">
        <w:rPr>
          <w:sz w:val="28"/>
          <w:szCs w:val="28"/>
        </w:rPr>
        <w:t xml:space="preserve"> do paciente</w:t>
      </w:r>
      <w:r w:rsidR="00486E02">
        <w:rPr>
          <w:sz w:val="28"/>
          <w:szCs w:val="28"/>
        </w:rPr>
        <w:t xml:space="preserve"> do estudo</w:t>
      </w:r>
      <w:r w:rsidR="00223F35" w:rsidRPr="00223F35">
        <w:rPr>
          <w:sz w:val="28"/>
          <w:szCs w:val="28"/>
        </w:rPr>
        <w:t xml:space="preserve"> para posterior manobra de resgate</w:t>
      </w:r>
      <w:r w:rsidR="00486E02">
        <w:rPr>
          <w:sz w:val="28"/>
          <w:szCs w:val="28"/>
        </w:rPr>
        <w:t xml:space="preserve"> da oxigenação</w:t>
      </w:r>
      <w:r w:rsidR="00223F35" w:rsidRPr="00223F35">
        <w:rPr>
          <w:sz w:val="28"/>
          <w:szCs w:val="28"/>
        </w:rPr>
        <w:t>.</w:t>
      </w:r>
    </w:p>
    <w:bookmarkEnd w:id="17"/>
    <w:p w14:paraId="617F6419" w14:textId="77777777" w:rsidR="00197429" w:rsidRDefault="00197429">
      <w:pPr>
        <w:pStyle w:val="Ttulo2"/>
      </w:pPr>
    </w:p>
    <w:p w14:paraId="6F2FFC34" w14:textId="77777777" w:rsidR="00197429" w:rsidRDefault="00E7181B">
      <w:pPr>
        <w:pStyle w:val="Ttulo2"/>
      </w:pPr>
      <w:bookmarkStart w:id="18" w:name="_Toc81581097"/>
      <w:r>
        <w:t>2.3. Intervenções</w:t>
      </w:r>
      <w:bookmarkEnd w:id="18"/>
    </w:p>
    <w:p w14:paraId="1EEB5107" w14:textId="77777777" w:rsidR="00197429" w:rsidRDefault="00E7181B">
      <w:pPr>
        <w:pStyle w:val="Ttulo3"/>
      </w:pPr>
      <w:bookmarkStart w:id="19" w:name="_Toc81581098"/>
      <w:r>
        <w:t>2.3.1 Grupo Controle</w:t>
      </w:r>
      <w:bookmarkEnd w:id="19"/>
    </w:p>
    <w:p w14:paraId="44903004" w14:textId="6356BC32" w:rsidR="00197429" w:rsidRDefault="00E7181B">
      <w:pPr>
        <w:spacing w:line="18pt" w:lineRule="auto"/>
        <w:ind w:firstLine="36pt"/>
        <w:rPr>
          <w:b/>
          <w:sz w:val="28"/>
          <w:szCs w:val="28"/>
        </w:rPr>
      </w:pPr>
      <w:r>
        <w:rPr>
          <w:sz w:val="28"/>
          <w:szCs w:val="28"/>
        </w:rPr>
        <w:t>Os paciente</w:t>
      </w:r>
      <w:r w:rsidR="004947F0">
        <w:rPr>
          <w:sz w:val="28"/>
          <w:szCs w:val="28"/>
        </w:rPr>
        <w:t>s</w:t>
      </w:r>
      <w:r>
        <w:rPr>
          <w:sz w:val="28"/>
          <w:szCs w:val="28"/>
        </w:rPr>
        <w:t xml:space="preserve"> do grupo controle (GC) serão admitidos em ventilação mecânica protetora convencional no POi em modo volume controlado (VCV) com um volume corrente </w:t>
      </w:r>
      <w:r>
        <w:t>(</w:t>
      </w:r>
      <w:r>
        <w:rPr>
          <w:sz w:val="28"/>
          <w:szCs w:val="28"/>
        </w:rPr>
        <w:t>VC</w:t>
      </w:r>
      <w:r>
        <w:t>)</w:t>
      </w:r>
      <w:r>
        <w:rPr>
          <w:sz w:val="28"/>
          <w:szCs w:val="28"/>
        </w:rPr>
        <w:t xml:space="preserve"> de 6 ml/kg de peso predito, PEEP de </w:t>
      </w:r>
      <w:r>
        <w:t>5</w:t>
      </w:r>
      <w:r>
        <w:rPr>
          <w:sz w:val="28"/>
          <w:szCs w:val="28"/>
        </w:rPr>
        <w:t xml:space="preserve"> cmH</w:t>
      </w:r>
      <w:r>
        <w:rPr>
          <w:sz w:val="28"/>
          <w:szCs w:val="28"/>
          <w:vertAlign w:val="subscript"/>
        </w:rPr>
        <w:t>2</w:t>
      </w:r>
      <w:r>
        <w:rPr>
          <w:sz w:val="28"/>
          <w:szCs w:val="28"/>
        </w:rPr>
        <w:t xml:space="preserve">O, guardando uma relação entre o tempo inspiratório e o tempo </w:t>
      </w:r>
      <w:r>
        <w:rPr>
          <w:sz w:val="28"/>
          <w:szCs w:val="28"/>
        </w:rPr>
        <w:lastRenderedPageBreak/>
        <w:t>expiratório (I:E) de 1:2,</w:t>
      </w:r>
      <w:r>
        <w:t xml:space="preserve"> </w:t>
      </w:r>
      <w:r>
        <w:rPr>
          <w:sz w:val="28"/>
          <w:szCs w:val="28"/>
        </w:rPr>
        <w:t xml:space="preserve">frequência respiratória </w:t>
      </w:r>
      <w:r>
        <w:t>(</w:t>
      </w:r>
      <w:r>
        <w:rPr>
          <w:sz w:val="28"/>
          <w:szCs w:val="28"/>
        </w:rPr>
        <w:t>FR</w:t>
      </w:r>
      <w:r>
        <w:t>)</w:t>
      </w:r>
      <w:r>
        <w:rPr>
          <w:sz w:val="28"/>
          <w:szCs w:val="28"/>
        </w:rPr>
        <w:t xml:space="preserve"> para uma pressão parcial arterial de dióxido de carbono </w:t>
      </w:r>
      <w:r>
        <w:t>(</w:t>
      </w:r>
      <w:r>
        <w:rPr>
          <w:sz w:val="28"/>
          <w:szCs w:val="28"/>
        </w:rPr>
        <w:t>PaCO</w:t>
      </w:r>
      <w:r>
        <w:rPr>
          <w:sz w:val="28"/>
          <w:szCs w:val="28"/>
          <w:vertAlign w:val="subscript"/>
        </w:rPr>
        <w:t>2</w:t>
      </w:r>
      <w:r>
        <w:t>)</w:t>
      </w:r>
      <w:r>
        <w:rPr>
          <w:sz w:val="28"/>
          <w:szCs w:val="28"/>
        </w:rPr>
        <w:t xml:space="preserve"> entre 35 e 45 mmHg e a mínima fração inspirada de oxigênio </w:t>
      </w:r>
      <w:r>
        <w:t>(</w:t>
      </w:r>
      <w:r>
        <w:rPr>
          <w:sz w:val="28"/>
          <w:szCs w:val="28"/>
        </w:rPr>
        <w:t>FiO</w:t>
      </w:r>
      <w:r>
        <w:rPr>
          <w:sz w:val="28"/>
          <w:szCs w:val="28"/>
          <w:vertAlign w:val="subscript"/>
        </w:rPr>
        <w:t>2</w:t>
      </w:r>
      <w:r>
        <w:t>)</w:t>
      </w:r>
      <w:r>
        <w:rPr>
          <w:sz w:val="28"/>
          <w:szCs w:val="28"/>
        </w:rPr>
        <w:t xml:space="preserve"> para uma saturação periférica de oxigênio </w:t>
      </w:r>
      <w:r>
        <w:t>(</w:t>
      </w:r>
      <w:r>
        <w:rPr>
          <w:sz w:val="28"/>
          <w:szCs w:val="28"/>
        </w:rPr>
        <w:t>SpO</w:t>
      </w:r>
      <w:r>
        <w:rPr>
          <w:sz w:val="28"/>
          <w:szCs w:val="28"/>
          <w:vertAlign w:val="subscript"/>
        </w:rPr>
        <w:t>2</w:t>
      </w:r>
      <w:r>
        <w:t>)</w:t>
      </w:r>
      <w:r>
        <w:rPr>
          <w:sz w:val="28"/>
          <w:szCs w:val="28"/>
        </w:rPr>
        <w:t xml:space="preserve"> entre 92% e 96%. Essa estratégia será mantida </w:t>
      </w:r>
      <w:r w:rsidR="000A567F">
        <w:rPr>
          <w:sz w:val="28"/>
          <w:szCs w:val="28"/>
        </w:rPr>
        <w:t>durante período de estabilização</w:t>
      </w:r>
      <w:r>
        <w:rPr>
          <w:sz w:val="28"/>
          <w:szCs w:val="28"/>
        </w:rPr>
        <w:t xml:space="preserve">, quando </w:t>
      </w:r>
      <w:r w:rsidR="00223F35" w:rsidRPr="00223F35">
        <w:rPr>
          <w:sz w:val="28"/>
          <w:szCs w:val="28"/>
        </w:rPr>
        <w:t>a PEEP será elevada para 10 cmH</w:t>
      </w:r>
      <w:r w:rsidR="00223F35" w:rsidRPr="00486E02">
        <w:rPr>
          <w:sz w:val="28"/>
          <w:szCs w:val="28"/>
          <w:vertAlign w:val="subscript"/>
        </w:rPr>
        <w:t>2</w:t>
      </w:r>
      <w:r w:rsidR="00223F35" w:rsidRPr="00223F35">
        <w:rPr>
          <w:sz w:val="28"/>
          <w:szCs w:val="28"/>
        </w:rPr>
        <w:t xml:space="preserve">O. </w:t>
      </w:r>
      <w:r w:rsidR="00363742">
        <w:rPr>
          <w:sz w:val="28"/>
          <w:szCs w:val="28"/>
        </w:rPr>
        <w:t xml:space="preserve">Após </w:t>
      </w:r>
      <w:r w:rsidR="00647775">
        <w:rPr>
          <w:sz w:val="28"/>
          <w:szCs w:val="28"/>
        </w:rPr>
        <w:t>5</w:t>
      </w:r>
      <w:r w:rsidR="00363742">
        <w:rPr>
          <w:sz w:val="28"/>
          <w:szCs w:val="28"/>
        </w:rPr>
        <w:t xml:space="preserve"> min serão coletadas as variáveis de mecânica pulmonar e gasometria</w:t>
      </w:r>
      <w:r w:rsidR="00647775">
        <w:rPr>
          <w:sz w:val="28"/>
          <w:szCs w:val="28"/>
        </w:rPr>
        <w:t xml:space="preserve"> </w:t>
      </w:r>
      <w:r w:rsidR="00363742">
        <w:rPr>
          <w:sz w:val="28"/>
          <w:szCs w:val="28"/>
        </w:rPr>
        <w:t xml:space="preserve">arterial. </w:t>
      </w:r>
      <w:r>
        <w:rPr>
          <w:sz w:val="28"/>
          <w:szCs w:val="28"/>
        </w:rPr>
        <w:t>Os pacientes do grupo controle serão ventilados com essa estratégia até o momento do TRE.</w:t>
      </w:r>
    </w:p>
    <w:p w14:paraId="6A8EE550" w14:textId="77777777" w:rsidR="00197429" w:rsidRDefault="00E7181B">
      <w:pPr>
        <w:pStyle w:val="Ttulo3"/>
      </w:pPr>
      <w:bookmarkStart w:id="20" w:name="_Toc81581099"/>
      <w:r>
        <w:t>2.3.2 Grupo Intervenção</w:t>
      </w:r>
      <w:bookmarkEnd w:id="20"/>
    </w:p>
    <w:p w14:paraId="0700226E" w14:textId="2B3D6794" w:rsidR="00197429" w:rsidRDefault="00E7181B" w:rsidP="00B232B9">
      <w:pPr>
        <w:spacing w:line="18pt" w:lineRule="auto"/>
        <w:ind w:firstLine="36pt"/>
        <w:rPr>
          <w:sz w:val="28"/>
          <w:szCs w:val="28"/>
        </w:rPr>
      </w:pPr>
      <w:r>
        <w:rPr>
          <w:sz w:val="28"/>
          <w:szCs w:val="28"/>
        </w:rPr>
        <w:t>Os paciente</w:t>
      </w:r>
      <w:r w:rsidR="004038E6">
        <w:rPr>
          <w:sz w:val="28"/>
          <w:szCs w:val="28"/>
        </w:rPr>
        <w:t>s</w:t>
      </w:r>
      <w:r>
        <w:rPr>
          <w:sz w:val="28"/>
          <w:szCs w:val="28"/>
        </w:rPr>
        <w:t xml:space="preserve"> do grupo intervenção (GI) serão admitidos em ventilação mecânica protetora convencional no POi em modo volume controlado (VCV) com um volume corrente </w:t>
      </w:r>
      <w:r>
        <w:t>(</w:t>
      </w:r>
      <w:r>
        <w:rPr>
          <w:sz w:val="28"/>
          <w:szCs w:val="28"/>
        </w:rPr>
        <w:t>VC</w:t>
      </w:r>
      <w:r>
        <w:t>)</w:t>
      </w:r>
      <w:r>
        <w:rPr>
          <w:sz w:val="28"/>
          <w:szCs w:val="28"/>
        </w:rPr>
        <w:t xml:space="preserve"> de 6 ml/kg de peso predito, PEEP de </w:t>
      </w:r>
      <w:r>
        <w:t>5</w:t>
      </w:r>
      <w:r>
        <w:rPr>
          <w:sz w:val="28"/>
          <w:szCs w:val="28"/>
        </w:rPr>
        <w:t xml:space="preserve"> cmH</w:t>
      </w:r>
      <w:r>
        <w:rPr>
          <w:sz w:val="28"/>
          <w:szCs w:val="28"/>
          <w:vertAlign w:val="subscript"/>
        </w:rPr>
        <w:t>2</w:t>
      </w:r>
      <w:r>
        <w:rPr>
          <w:sz w:val="28"/>
          <w:szCs w:val="28"/>
        </w:rPr>
        <w:t>O, guardando uma relação entre o tempo inspiratório e o tempo expiratório (I:E) de 1:</w:t>
      </w:r>
      <w:r w:rsidR="006B2509">
        <w:rPr>
          <w:sz w:val="28"/>
          <w:szCs w:val="28"/>
        </w:rPr>
        <w:t>2</w:t>
      </w:r>
      <w:r>
        <w:rPr>
          <w:sz w:val="28"/>
          <w:szCs w:val="28"/>
        </w:rPr>
        <w:t>,</w:t>
      </w:r>
      <w:r>
        <w:t xml:space="preserve"> </w:t>
      </w:r>
      <w:r>
        <w:rPr>
          <w:sz w:val="28"/>
          <w:szCs w:val="28"/>
        </w:rPr>
        <w:t xml:space="preserve">frequência respiratória </w:t>
      </w:r>
      <w:r>
        <w:t>(</w:t>
      </w:r>
      <w:r>
        <w:rPr>
          <w:sz w:val="28"/>
          <w:szCs w:val="28"/>
        </w:rPr>
        <w:t>FR</w:t>
      </w:r>
      <w:r>
        <w:t>)</w:t>
      </w:r>
      <w:r>
        <w:rPr>
          <w:sz w:val="28"/>
          <w:szCs w:val="28"/>
        </w:rPr>
        <w:t xml:space="preserve"> para uma pressão parcial arterial de dióxido de carbono </w:t>
      </w:r>
      <w:r>
        <w:t>(</w:t>
      </w:r>
      <w:r>
        <w:rPr>
          <w:sz w:val="28"/>
          <w:szCs w:val="28"/>
        </w:rPr>
        <w:t>PaCO</w:t>
      </w:r>
      <w:r>
        <w:rPr>
          <w:sz w:val="28"/>
          <w:szCs w:val="28"/>
          <w:vertAlign w:val="subscript"/>
        </w:rPr>
        <w:t>2</w:t>
      </w:r>
      <w:r>
        <w:t>)</w:t>
      </w:r>
      <w:r>
        <w:rPr>
          <w:sz w:val="28"/>
          <w:szCs w:val="28"/>
        </w:rPr>
        <w:t xml:space="preserve"> entre 35 e 45 mmHg e a mínima fração inspirada de oxigênio </w:t>
      </w:r>
      <w:r>
        <w:t>(</w:t>
      </w:r>
      <w:r>
        <w:rPr>
          <w:sz w:val="28"/>
          <w:szCs w:val="28"/>
        </w:rPr>
        <w:t>FiO</w:t>
      </w:r>
      <w:r>
        <w:rPr>
          <w:sz w:val="28"/>
          <w:szCs w:val="28"/>
          <w:vertAlign w:val="subscript"/>
        </w:rPr>
        <w:t>2</w:t>
      </w:r>
      <w:r>
        <w:t>)</w:t>
      </w:r>
      <w:r>
        <w:rPr>
          <w:sz w:val="28"/>
          <w:szCs w:val="28"/>
        </w:rPr>
        <w:t xml:space="preserve"> para uma saturação periférica de oxigênio </w:t>
      </w:r>
      <w:r>
        <w:t>(</w:t>
      </w:r>
      <w:r>
        <w:rPr>
          <w:sz w:val="28"/>
          <w:szCs w:val="28"/>
        </w:rPr>
        <w:t>SpO</w:t>
      </w:r>
      <w:r>
        <w:rPr>
          <w:sz w:val="28"/>
          <w:szCs w:val="28"/>
          <w:vertAlign w:val="subscript"/>
        </w:rPr>
        <w:t>2</w:t>
      </w:r>
      <w:r>
        <w:t>)</w:t>
      </w:r>
      <w:r>
        <w:rPr>
          <w:sz w:val="28"/>
          <w:szCs w:val="28"/>
        </w:rPr>
        <w:t xml:space="preserve"> entre 92% e 96%. Essa estratégia inicial será mantida por 30 min até que haja uma estabilidade hemodinâmica. Em seguida, as variáveis de mecânica pulmonar e gasométricas serão coletadas e os pacientes serão randomizados aleatoriamente. O GI será submetido a uma MR utilizando uma PEEP de 35 cmH</w:t>
      </w:r>
      <w:r>
        <w:rPr>
          <w:sz w:val="28"/>
          <w:szCs w:val="28"/>
          <w:vertAlign w:val="subscript"/>
        </w:rPr>
        <w:t>2</w:t>
      </w:r>
      <w:r>
        <w:rPr>
          <w:sz w:val="28"/>
          <w:szCs w:val="28"/>
        </w:rPr>
        <w:t>O e um delta de pressão inspiratória de 15 cmH</w:t>
      </w:r>
      <w:r>
        <w:rPr>
          <w:sz w:val="28"/>
          <w:szCs w:val="28"/>
          <w:vertAlign w:val="subscript"/>
        </w:rPr>
        <w:t>2</w:t>
      </w:r>
      <w:r>
        <w:rPr>
          <w:sz w:val="28"/>
          <w:szCs w:val="28"/>
        </w:rPr>
        <w:t>O, atingindo uma pressão de pico (Ppi) de 50 cmH</w:t>
      </w:r>
      <w:r>
        <w:rPr>
          <w:sz w:val="28"/>
          <w:szCs w:val="28"/>
          <w:vertAlign w:val="subscript"/>
        </w:rPr>
        <w:t>2</w:t>
      </w:r>
      <w:r>
        <w:rPr>
          <w:sz w:val="28"/>
          <w:szCs w:val="28"/>
        </w:rPr>
        <w:t xml:space="preserve">O, em seguida será realizada a titulação decremental da PEEP. </w:t>
      </w:r>
      <w:r w:rsidR="00714B3F">
        <w:rPr>
          <w:sz w:val="28"/>
          <w:szCs w:val="28"/>
        </w:rPr>
        <w:t xml:space="preserve">A Peep será titulada pela menor DP. </w:t>
      </w:r>
      <w:r w:rsidR="00363742">
        <w:rPr>
          <w:sz w:val="28"/>
          <w:szCs w:val="28"/>
        </w:rPr>
        <w:t xml:space="preserve">Após </w:t>
      </w:r>
      <w:r w:rsidR="00647775">
        <w:rPr>
          <w:sz w:val="28"/>
          <w:szCs w:val="28"/>
        </w:rPr>
        <w:t>5</w:t>
      </w:r>
      <w:r w:rsidR="00363742">
        <w:rPr>
          <w:sz w:val="28"/>
          <w:szCs w:val="28"/>
        </w:rPr>
        <w:t xml:space="preserve"> min serão coletadas as variáveis de mecânica pulmonar e gasometria</w:t>
      </w:r>
      <w:r w:rsidR="00647775">
        <w:rPr>
          <w:sz w:val="28"/>
          <w:szCs w:val="28"/>
        </w:rPr>
        <w:t xml:space="preserve"> </w:t>
      </w:r>
      <w:r w:rsidR="00363742">
        <w:rPr>
          <w:sz w:val="28"/>
          <w:szCs w:val="28"/>
        </w:rPr>
        <w:t xml:space="preserve">arterial. </w:t>
      </w:r>
      <w:r>
        <w:rPr>
          <w:sz w:val="28"/>
          <w:szCs w:val="28"/>
        </w:rPr>
        <w:t xml:space="preserve">A PEEP </w:t>
      </w:r>
      <w:r w:rsidR="00714B3F">
        <w:rPr>
          <w:sz w:val="28"/>
          <w:szCs w:val="28"/>
        </w:rPr>
        <w:t>titulada</w:t>
      </w:r>
      <w:r w:rsidR="00B232B9">
        <w:rPr>
          <w:sz w:val="28"/>
          <w:szCs w:val="28"/>
        </w:rPr>
        <w:t xml:space="preserve"> </w:t>
      </w:r>
      <w:r>
        <w:rPr>
          <w:sz w:val="28"/>
          <w:szCs w:val="28"/>
        </w:rPr>
        <w:t>será mantida até o momento do TRE.</w:t>
      </w:r>
    </w:p>
    <w:p w14:paraId="2B358CCF" w14:textId="6747A4AD" w:rsidR="00197429" w:rsidRDefault="00E7181B">
      <w:pPr>
        <w:spacing w:line="18pt" w:lineRule="auto"/>
        <w:ind w:firstLine="36pt"/>
        <w:rPr>
          <w:sz w:val="28"/>
          <w:szCs w:val="28"/>
        </w:rPr>
      </w:pPr>
      <w:r>
        <w:rPr>
          <w:sz w:val="28"/>
          <w:szCs w:val="28"/>
        </w:rPr>
        <w:t>A MR será realizada em modo pressão controlada (PCV) com pressão inspiratória de 15 cmH</w:t>
      </w:r>
      <w:r>
        <w:rPr>
          <w:sz w:val="28"/>
          <w:szCs w:val="28"/>
          <w:vertAlign w:val="subscript"/>
        </w:rPr>
        <w:t>2</w:t>
      </w:r>
      <w:r>
        <w:rPr>
          <w:sz w:val="28"/>
          <w:szCs w:val="28"/>
        </w:rPr>
        <w:t>O na fase incremental, FiO</w:t>
      </w:r>
      <w:r>
        <w:rPr>
          <w:sz w:val="28"/>
          <w:szCs w:val="28"/>
          <w:vertAlign w:val="subscript"/>
        </w:rPr>
        <w:t>2</w:t>
      </w:r>
      <w:r>
        <w:rPr>
          <w:sz w:val="28"/>
          <w:szCs w:val="28"/>
        </w:rPr>
        <w:t xml:space="preserve"> = 100%, FR = 1</w:t>
      </w:r>
      <w:r w:rsidR="001A6EC3">
        <w:rPr>
          <w:sz w:val="28"/>
          <w:szCs w:val="28"/>
        </w:rPr>
        <w:t>0</w:t>
      </w:r>
      <w:r>
        <w:rPr>
          <w:sz w:val="28"/>
          <w:szCs w:val="28"/>
        </w:rPr>
        <w:t xml:space="preserve"> ipm, </w:t>
      </w:r>
      <w:r w:rsidR="00EA2307">
        <w:rPr>
          <w:sz w:val="28"/>
          <w:szCs w:val="28"/>
        </w:rPr>
        <w:t xml:space="preserve">relação </w:t>
      </w:r>
      <w:r>
        <w:rPr>
          <w:sz w:val="28"/>
          <w:szCs w:val="28"/>
        </w:rPr>
        <w:t>I:E de 1:</w:t>
      </w:r>
      <w:r w:rsidR="001A6EC3">
        <w:rPr>
          <w:sz w:val="28"/>
          <w:szCs w:val="28"/>
        </w:rPr>
        <w:t>1</w:t>
      </w:r>
      <w:r>
        <w:rPr>
          <w:sz w:val="28"/>
          <w:szCs w:val="28"/>
        </w:rPr>
        <w:t xml:space="preserve"> e PEEP inicial de 5 cmH</w:t>
      </w:r>
      <w:r>
        <w:rPr>
          <w:sz w:val="28"/>
          <w:szCs w:val="28"/>
          <w:vertAlign w:val="subscript"/>
        </w:rPr>
        <w:t>2</w:t>
      </w:r>
      <w:r>
        <w:rPr>
          <w:sz w:val="28"/>
          <w:szCs w:val="28"/>
        </w:rPr>
        <w:t xml:space="preserve">O. A fase incremental do </w:t>
      </w:r>
      <w:r>
        <w:rPr>
          <w:sz w:val="28"/>
          <w:szCs w:val="28"/>
        </w:rPr>
        <w:lastRenderedPageBreak/>
        <w:t>recrutamento ocorrerá por meio do acréscimo da PEEP para 10</w:t>
      </w:r>
      <w:r w:rsidR="0081636B">
        <w:rPr>
          <w:sz w:val="28"/>
          <w:szCs w:val="28"/>
        </w:rPr>
        <w:t xml:space="preserve">, 20 e </w:t>
      </w:r>
      <w:r>
        <w:rPr>
          <w:sz w:val="28"/>
          <w:szCs w:val="28"/>
        </w:rPr>
        <w:t>35 cmH</w:t>
      </w:r>
      <w:r>
        <w:rPr>
          <w:sz w:val="28"/>
          <w:szCs w:val="28"/>
          <w:vertAlign w:val="subscript"/>
        </w:rPr>
        <w:t>2</w:t>
      </w:r>
      <w:r>
        <w:rPr>
          <w:sz w:val="28"/>
          <w:szCs w:val="28"/>
        </w:rPr>
        <w:t>O</w:t>
      </w:r>
      <w:r w:rsidR="00C626E1">
        <w:rPr>
          <w:sz w:val="28"/>
          <w:szCs w:val="28"/>
        </w:rPr>
        <w:t>, o paciente permanecerá por 30s em cada nível de PEEP</w:t>
      </w:r>
      <w:r>
        <w:rPr>
          <w:sz w:val="28"/>
          <w:szCs w:val="28"/>
        </w:rPr>
        <w:t>. Neste momento será realizada a troca do modo ventilatório para volume controlado (VCV) com um VC de 6 ml/kg de peso predito</w:t>
      </w:r>
      <w:r w:rsidR="00EA2307">
        <w:rPr>
          <w:sz w:val="28"/>
          <w:szCs w:val="28"/>
        </w:rPr>
        <w:t xml:space="preserve">, </w:t>
      </w:r>
      <w:r w:rsidR="0081636B">
        <w:rPr>
          <w:sz w:val="28"/>
          <w:szCs w:val="28"/>
        </w:rPr>
        <w:t xml:space="preserve">FR = 15 ipm, </w:t>
      </w:r>
      <w:r w:rsidR="00EA2307">
        <w:rPr>
          <w:sz w:val="28"/>
          <w:szCs w:val="28"/>
        </w:rPr>
        <w:t xml:space="preserve">relação I:E de 1:2 e </w:t>
      </w:r>
      <w:r>
        <w:rPr>
          <w:sz w:val="28"/>
          <w:szCs w:val="28"/>
        </w:rPr>
        <w:t>FiO</w:t>
      </w:r>
      <w:r>
        <w:rPr>
          <w:sz w:val="28"/>
          <w:szCs w:val="28"/>
          <w:vertAlign w:val="subscript"/>
        </w:rPr>
        <w:t>2</w:t>
      </w:r>
      <w:r>
        <w:rPr>
          <w:sz w:val="28"/>
          <w:szCs w:val="28"/>
        </w:rPr>
        <w:t xml:space="preserve"> = 100%. </w:t>
      </w:r>
      <w:r w:rsidR="00A6505F">
        <w:rPr>
          <w:sz w:val="28"/>
          <w:szCs w:val="28"/>
        </w:rPr>
        <w:t>P</w:t>
      </w:r>
      <w:r>
        <w:rPr>
          <w:sz w:val="28"/>
          <w:szCs w:val="28"/>
        </w:rPr>
        <w:t>osterior</w:t>
      </w:r>
      <w:r w:rsidR="00A6505F">
        <w:rPr>
          <w:sz w:val="28"/>
          <w:szCs w:val="28"/>
        </w:rPr>
        <w:t>mente</w:t>
      </w:r>
      <w:r>
        <w:rPr>
          <w:sz w:val="28"/>
          <w:szCs w:val="28"/>
        </w:rPr>
        <w:t xml:space="preserve"> a PEEP </w:t>
      </w:r>
      <w:r w:rsidR="0081636B">
        <w:rPr>
          <w:sz w:val="28"/>
          <w:szCs w:val="28"/>
        </w:rPr>
        <w:t xml:space="preserve">será reduzida </w:t>
      </w:r>
      <w:r>
        <w:rPr>
          <w:sz w:val="28"/>
          <w:szCs w:val="28"/>
        </w:rPr>
        <w:t>para 20 cmH</w:t>
      </w:r>
      <w:r>
        <w:rPr>
          <w:sz w:val="28"/>
          <w:szCs w:val="28"/>
          <w:vertAlign w:val="subscript"/>
        </w:rPr>
        <w:t>2</w:t>
      </w:r>
      <w:r>
        <w:rPr>
          <w:sz w:val="28"/>
          <w:szCs w:val="28"/>
        </w:rPr>
        <w:t>O</w:t>
      </w:r>
      <w:r w:rsidR="0081636B">
        <w:rPr>
          <w:sz w:val="28"/>
          <w:szCs w:val="28"/>
        </w:rPr>
        <w:t xml:space="preserve"> e e</w:t>
      </w:r>
      <w:r>
        <w:rPr>
          <w:sz w:val="28"/>
          <w:szCs w:val="28"/>
        </w:rPr>
        <w:t>m seguida a redução da PEEP ocorrerá de 2 em 2 cmH</w:t>
      </w:r>
      <w:r>
        <w:rPr>
          <w:sz w:val="28"/>
          <w:szCs w:val="28"/>
          <w:vertAlign w:val="subscript"/>
        </w:rPr>
        <w:t>2</w:t>
      </w:r>
      <w:r>
        <w:rPr>
          <w:sz w:val="28"/>
          <w:szCs w:val="28"/>
        </w:rPr>
        <w:t xml:space="preserve">0 até uma PEEP de </w:t>
      </w:r>
      <w:r w:rsidR="0081636B">
        <w:rPr>
          <w:sz w:val="28"/>
          <w:szCs w:val="28"/>
        </w:rPr>
        <w:t>6</w:t>
      </w:r>
      <w:r>
        <w:rPr>
          <w:sz w:val="28"/>
          <w:szCs w:val="28"/>
        </w:rPr>
        <w:t xml:space="preserve"> cmH</w:t>
      </w:r>
      <w:r>
        <w:rPr>
          <w:sz w:val="28"/>
          <w:szCs w:val="28"/>
          <w:vertAlign w:val="subscript"/>
        </w:rPr>
        <w:t>2</w:t>
      </w:r>
      <w:r>
        <w:rPr>
          <w:sz w:val="28"/>
          <w:szCs w:val="28"/>
        </w:rPr>
        <w:t>O</w:t>
      </w:r>
      <w:r w:rsidR="00AD4009">
        <w:rPr>
          <w:sz w:val="28"/>
          <w:szCs w:val="28"/>
        </w:rPr>
        <w:t>, o paciente será mantido por 30s em cada nível de PEEP</w:t>
      </w:r>
      <w:r>
        <w:rPr>
          <w:sz w:val="28"/>
          <w:szCs w:val="28"/>
        </w:rPr>
        <w:t>. A DP será calculada em cada degrau por meio de uma pausa de 2 segundos ao final da inspi</w:t>
      </w:r>
      <w:r w:rsidR="00AD4009">
        <w:rPr>
          <w:sz w:val="28"/>
          <w:szCs w:val="28"/>
        </w:rPr>
        <w:t xml:space="preserve">ração ao término dos 30s </w:t>
      </w:r>
      <w:r w:rsidR="0081636B">
        <w:rPr>
          <w:sz w:val="28"/>
          <w:szCs w:val="28"/>
        </w:rPr>
        <w:t>em</w:t>
      </w:r>
      <w:r>
        <w:rPr>
          <w:sz w:val="28"/>
          <w:szCs w:val="28"/>
        </w:rPr>
        <w:t xml:space="preserve"> cada nível de PEEP. Ao término da manobra de recrutamento a PEEP será elevada até o valor de </w:t>
      </w:r>
      <w:r w:rsidR="00ED4984">
        <w:rPr>
          <w:sz w:val="28"/>
          <w:szCs w:val="28"/>
        </w:rPr>
        <w:t>3</w:t>
      </w:r>
      <w:r>
        <w:rPr>
          <w:sz w:val="28"/>
          <w:szCs w:val="28"/>
        </w:rPr>
        <w:t>5 cm/H</w:t>
      </w:r>
      <w:r>
        <w:rPr>
          <w:sz w:val="28"/>
          <w:szCs w:val="28"/>
          <w:vertAlign w:val="subscript"/>
        </w:rPr>
        <w:t>2</w:t>
      </w:r>
      <w:r>
        <w:rPr>
          <w:sz w:val="28"/>
          <w:szCs w:val="28"/>
        </w:rPr>
        <w:t>O</w:t>
      </w:r>
      <w:r w:rsidR="0081636B">
        <w:rPr>
          <w:sz w:val="28"/>
          <w:szCs w:val="28"/>
        </w:rPr>
        <w:t xml:space="preserve"> por 3</w:t>
      </w:r>
      <w:r>
        <w:rPr>
          <w:sz w:val="28"/>
          <w:szCs w:val="28"/>
        </w:rPr>
        <w:t>0s e a titulação da PEEP será feita na PEEP de menor DP, como demonstrado na figura 3.</w:t>
      </w:r>
    </w:p>
    <w:p w14:paraId="2CEC455D" w14:textId="4990A634" w:rsidR="00C85575" w:rsidRDefault="00C85575" w:rsidP="004947F0">
      <w:pPr>
        <w:spacing w:line="18pt" w:lineRule="auto"/>
        <w:ind w:firstLine="36pt"/>
        <w:jc w:val="center"/>
        <w:rPr>
          <w:noProof/>
        </w:rPr>
      </w:pPr>
      <w:r>
        <w:rPr>
          <w:noProof/>
        </w:rPr>
        <w:drawing>
          <wp:inline distT="0" distB="0" distL="0" distR="0" wp14:anchorId="4D45071C" wp14:editId="254626B9">
            <wp:extent cx="5400040" cy="2487930"/>
            <wp:effectExtent l="0" t="0" r="0" b="7620"/>
            <wp:docPr id="23" name="Imagem 23" descr="Gráfico, Gráfico de cascata&#10;&#10;Descrição gerada automaticament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3" name="Imagem 23" descr="Gráfico, Gráfico de cascata&#10;&#10;Descrição gerada automaticamente"/>
                    <pic:cNvPicPr/>
                  </pic:nvPicPr>
                  <pic:blipFill>
                    <a:blip r:embed="rId11"/>
                    <a:stretch>
                      <a:fillRect/>
                    </a:stretch>
                  </pic:blipFill>
                  <pic:spPr>
                    <a:xfrm>
                      <a:off x="0" y="0"/>
                      <a:ext cx="5400040" cy="2487930"/>
                    </a:xfrm>
                    <a:prstGeom prst="rect">
                      <a:avLst/>
                    </a:prstGeom>
                  </pic:spPr>
                </pic:pic>
              </a:graphicData>
            </a:graphic>
          </wp:inline>
        </w:drawing>
      </w:r>
    </w:p>
    <w:p w14:paraId="4067B98A" w14:textId="2B3F0D41" w:rsidR="00197429" w:rsidRDefault="00E7181B" w:rsidP="00A94A67">
      <w:pPr>
        <w:spacing w:line="18pt" w:lineRule="auto"/>
        <w:ind w:firstLine="36pt"/>
        <w:rPr>
          <w:sz w:val="28"/>
          <w:szCs w:val="28"/>
        </w:rPr>
      </w:pPr>
      <w:r>
        <w:t xml:space="preserve">Figura 3. </w:t>
      </w:r>
      <w:bookmarkStart w:id="21" w:name="_Hlk70590355"/>
      <w:r>
        <w:t>Recrutamento alveolar e titulação d</w:t>
      </w:r>
      <w:r w:rsidR="002563DD">
        <w:t>a</w:t>
      </w:r>
      <w:r>
        <w:t xml:space="preserve"> PEEP.</w:t>
      </w:r>
      <w:bookmarkEnd w:id="21"/>
    </w:p>
    <w:p w14:paraId="6645C2E4" w14:textId="629E15F5" w:rsidR="00197429" w:rsidRDefault="00E7181B">
      <w:pPr>
        <w:rPr>
          <w:sz w:val="28"/>
          <w:szCs w:val="28"/>
        </w:rPr>
      </w:pPr>
      <w:bookmarkStart w:id="22" w:name="_Hlk70590449"/>
      <w:r>
        <w:t>PCV – ventilação com</w:t>
      </w:r>
      <w:r w:rsidR="002563DD">
        <w:t xml:space="preserve"> </w:t>
      </w:r>
      <w:r>
        <w:t>pressão controlada; VCV – ventilação com volume controlado; VC – volume corrente; PEEP - pressão positiva ao final da expiração (</w:t>
      </w:r>
      <w:r>
        <w:rPr>
          <w:i/>
        </w:rPr>
        <w:t>positive end-expiratory pressure</w:t>
      </w:r>
      <w:r>
        <w:t>); FR – frequência respiratória; FiO</w:t>
      </w:r>
      <w:r>
        <w:rPr>
          <w:vertAlign w:val="subscript"/>
        </w:rPr>
        <w:t>2</w:t>
      </w:r>
      <w:r>
        <w:t xml:space="preserve"> – fração inspirada de oxigênio; DP – pressão de distensão alveolar (</w:t>
      </w:r>
      <w:r>
        <w:rPr>
          <w:i/>
        </w:rPr>
        <w:t>driving pressure</w:t>
      </w:r>
      <w:r>
        <w:t>).</w:t>
      </w:r>
    </w:p>
    <w:bookmarkEnd w:id="22"/>
    <w:p w14:paraId="1D5283EA" w14:textId="77777777" w:rsidR="00197429" w:rsidRDefault="00197429">
      <w:pPr>
        <w:spacing w:line="18pt" w:lineRule="auto"/>
        <w:ind w:firstLine="36pt"/>
        <w:rPr>
          <w:sz w:val="28"/>
          <w:szCs w:val="28"/>
        </w:rPr>
      </w:pPr>
    </w:p>
    <w:p w14:paraId="019B6EBF" w14:textId="77777777" w:rsidR="00197429" w:rsidRDefault="00E7181B">
      <w:pPr>
        <w:pStyle w:val="Ttulo2"/>
      </w:pPr>
      <w:bookmarkStart w:id="23" w:name="_Toc81581100"/>
      <w:r>
        <w:t>2.4 Desfechos</w:t>
      </w:r>
      <w:bookmarkEnd w:id="23"/>
    </w:p>
    <w:p w14:paraId="42F4347B" w14:textId="77777777" w:rsidR="00197429" w:rsidRDefault="00E7181B">
      <w:pPr>
        <w:pStyle w:val="Ttulo3"/>
      </w:pPr>
      <w:bookmarkStart w:id="24" w:name="_Toc81581101"/>
      <w:r>
        <w:t>2.4.1 Desfecho primário</w:t>
      </w:r>
      <w:bookmarkEnd w:id="24"/>
    </w:p>
    <w:p w14:paraId="50E114ED" w14:textId="79140BB1" w:rsidR="00BE23CA" w:rsidRPr="005E2778" w:rsidRDefault="00E7181B" w:rsidP="005E2778">
      <w:pPr>
        <w:spacing w:line="18pt" w:lineRule="auto"/>
        <w:ind w:firstLine="36pt"/>
        <w:rPr>
          <w:sz w:val="28"/>
          <w:szCs w:val="28"/>
        </w:rPr>
      </w:pPr>
      <w:bookmarkStart w:id="25" w:name="_heading=h.3j2qqm3" w:colFirst="0" w:colLast="0"/>
      <w:bookmarkEnd w:id="25"/>
      <w:r>
        <w:rPr>
          <w:sz w:val="28"/>
          <w:szCs w:val="28"/>
        </w:rPr>
        <w:t xml:space="preserve">O desfecho primário será a comparação da incidência de CPPs por meio do escore modificado de complicações pulmonares de Kroenke </w:t>
      </w:r>
      <w:r>
        <w:rPr>
          <w:i/>
          <w:sz w:val="28"/>
          <w:szCs w:val="28"/>
        </w:rPr>
        <w:t>et al</w:t>
      </w:r>
      <w:r>
        <w:rPr>
          <w:sz w:val="28"/>
          <w:szCs w:val="28"/>
        </w:rPr>
        <w:t xml:space="preserve">, </w:t>
      </w:r>
      <w:r>
        <w:rPr>
          <w:sz w:val="28"/>
          <w:szCs w:val="28"/>
        </w:rPr>
        <w:lastRenderedPageBreak/>
        <w:t xml:space="preserve">2015 (LAWRENCE; JOHN, 2015) (COSTA LEME </w:t>
      </w:r>
      <w:r>
        <w:rPr>
          <w:i/>
          <w:sz w:val="28"/>
          <w:szCs w:val="28"/>
        </w:rPr>
        <w:t>et al.</w:t>
      </w:r>
      <w:r>
        <w:rPr>
          <w:sz w:val="28"/>
          <w:szCs w:val="28"/>
        </w:rPr>
        <w:t>, 2017), em uma escala 0 a 5, para o qual o grau 0 representa nenhum sinal ou sintoma; grau 1, um dos seguintes sinais ou sintomas:  tosse seca, achados pulmonares anormais e temperatura axilar (T) de 37,5 °C ou superior com radiografia de tórax normal, ou dispneia sem outra causa documentada; grau 2, dois dos seguintes sinais ou sintomas: tosse produtiva, broncoespasmo, hipoxemia (SpO</w:t>
      </w:r>
      <w:r>
        <w:rPr>
          <w:sz w:val="28"/>
          <w:szCs w:val="28"/>
          <w:vertAlign w:val="subscript"/>
        </w:rPr>
        <w:t>2</w:t>
      </w:r>
      <w:r>
        <w:rPr>
          <w:sz w:val="28"/>
          <w:szCs w:val="28"/>
        </w:rPr>
        <w:t xml:space="preserve"> &lt; 90%) em ar ambiente, atelectasia com confirmação radiológica macroscópica (concordância de 2 fisioterapeutas) além de T superior a 37,5 °C ou achados pulmonares anormais, hipercapnia (PaCO</w:t>
      </w:r>
      <w:r>
        <w:rPr>
          <w:sz w:val="28"/>
          <w:szCs w:val="28"/>
          <w:vertAlign w:val="subscript"/>
        </w:rPr>
        <w:t>2</w:t>
      </w:r>
      <w:r>
        <w:rPr>
          <w:sz w:val="28"/>
          <w:szCs w:val="28"/>
        </w:rPr>
        <w:t xml:space="preserve"> &gt; 50 mmHg) com necessidade de tratamento; grau 3, um dos seguintes sinais ou sintomas: derrame pleural resultando em toracocentese, pneumonia, pneumotórax, ventilação não invasiva prolongada ou reintubação por menos de 48 horas; grau 4, necessidade de reintubação </w:t>
      </w:r>
      <w:r w:rsidR="007A5A54">
        <w:rPr>
          <w:sz w:val="28"/>
          <w:szCs w:val="28"/>
        </w:rPr>
        <w:t>e/</w:t>
      </w:r>
      <w:r>
        <w:rPr>
          <w:sz w:val="28"/>
          <w:szCs w:val="28"/>
        </w:rPr>
        <w:t xml:space="preserve">ou ventilação mecânica invasiva por 48 horas ou mais; e grau 5, óbito antes da alta hospitalar o escore modificado de complicações pulmonares de Kroenke </w:t>
      </w:r>
      <w:r>
        <w:rPr>
          <w:i/>
          <w:sz w:val="28"/>
          <w:szCs w:val="28"/>
        </w:rPr>
        <w:t>et al</w:t>
      </w:r>
      <w:r>
        <w:rPr>
          <w:sz w:val="28"/>
          <w:szCs w:val="28"/>
        </w:rPr>
        <w:t xml:space="preserve">, 2015 (LAWRENCE; JOHN, 2015) (COSTA LEME </w:t>
      </w:r>
      <w:r>
        <w:rPr>
          <w:i/>
          <w:sz w:val="28"/>
          <w:szCs w:val="28"/>
        </w:rPr>
        <w:t>et al.</w:t>
      </w:r>
      <w:r>
        <w:rPr>
          <w:sz w:val="28"/>
          <w:szCs w:val="28"/>
        </w:rPr>
        <w:t>, 2017), como demonstrado na tabela 2.</w:t>
      </w:r>
      <w:r w:rsidR="00205175">
        <w:rPr>
          <w:sz w:val="28"/>
          <w:szCs w:val="28"/>
        </w:rPr>
        <w:t xml:space="preserve"> O paciente será avaliado por um fisioterapeuta cego à alocação do paciente.</w:t>
      </w:r>
    </w:p>
    <w:p w14:paraId="68A8E4FA" w14:textId="0BB8491B" w:rsidR="00197429" w:rsidRDefault="006D2141">
      <w:pPr>
        <w:rPr>
          <w:sz w:val="28"/>
          <w:szCs w:val="28"/>
        </w:rPr>
      </w:pPr>
      <w:r>
        <w:t>Tabela 2</w:t>
      </w:r>
      <w:bookmarkStart w:id="26" w:name="_Hlk70591040"/>
      <w:r>
        <w:t xml:space="preserve">. </w:t>
      </w:r>
      <w:r w:rsidR="00E7181B">
        <w:t xml:space="preserve">Definição de complicações pulmonares no pós-operatório adaptado de Kroenke </w:t>
      </w:r>
      <w:r w:rsidR="00E7181B">
        <w:rPr>
          <w:i/>
        </w:rPr>
        <w:t>et al</w:t>
      </w:r>
      <w:r w:rsidR="00E7181B">
        <w:t>, 2015</w:t>
      </w:r>
      <w:bookmarkEnd w:id="26"/>
      <w:r w:rsidR="00E7181B">
        <w:t>.</w:t>
      </w:r>
    </w:p>
    <w:tbl>
      <w:tblPr>
        <w:tblStyle w:val="ae"/>
        <w:tblW w:w="424.70pt" w:type="dxa"/>
        <w:tblInd w:w="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0" w:lastRow="0" w:firstColumn="0" w:lastColumn="0" w:noHBand="0" w:noVBand="1"/>
      </w:tblPr>
      <w:tblGrid>
        <w:gridCol w:w="8494"/>
      </w:tblGrid>
      <w:tr w:rsidR="00197429" w14:paraId="7DD9BE18" w14:textId="77777777">
        <w:tc>
          <w:tcPr>
            <w:tcW w:w="424.70pt" w:type="dxa"/>
            <w:tcBorders>
              <w:top w:val="single" w:sz="4" w:space="0" w:color="000000"/>
              <w:start w:val="single" w:sz="4" w:space="0" w:color="000000"/>
              <w:bottom w:val="single" w:sz="4" w:space="0" w:color="000000"/>
              <w:end w:val="single" w:sz="4" w:space="0" w:color="000000"/>
            </w:tcBorders>
          </w:tcPr>
          <w:p w14:paraId="32652B08" w14:textId="77777777" w:rsidR="00197429" w:rsidRDefault="00E7181B">
            <w:pPr>
              <w:jc w:val="start"/>
              <w:rPr>
                <w:b/>
                <w:sz w:val="28"/>
                <w:szCs w:val="28"/>
              </w:rPr>
            </w:pPr>
            <w:bookmarkStart w:id="27" w:name="_Hlk70590993"/>
            <w:r>
              <w:rPr>
                <w:b/>
                <w:sz w:val="28"/>
                <w:szCs w:val="28"/>
              </w:rPr>
              <w:t>Grau 0</w:t>
            </w:r>
          </w:p>
          <w:p w14:paraId="6E308E12" w14:textId="77777777" w:rsidR="00197429" w:rsidRDefault="00E7181B">
            <w:pPr>
              <w:numPr>
                <w:ilvl w:val="0"/>
                <w:numId w:val="1"/>
              </w:numPr>
              <w:pBdr>
                <w:top w:val="nil"/>
                <w:left w:val="nil"/>
                <w:bottom w:val="nil"/>
                <w:right w:val="nil"/>
                <w:between w:val="nil"/>
              </w:pBdr>
              <w:jc w:val="start"/>
              <w:rPr>
                <w:sz w:val="28"/>
                <w:szCs w:val="28"/>
              </w:rPr>
            </w:pPr>
            <w:r>
              <w:rPr>
                <w:sz w:val="28"/>
                <w:szCs w:val="28"/>
              </w:rPr>
              <w:t>Nenhum sinal ou sintoma.</w:t>
            </w:r>
          </w:p>
          <w:p w14:paraId="57C74345" w14:textId="77777777" w:rsidR="00197429" w:rsidRDefault="00E7181B">
            <w:pPr>
              <w:jc w:val="start"/>
              <w:rPr>
                <w:b/>
                <w:sz w:val="28"/>
                <w:szCs w:val="28"/>
              </w:rPr>
            </w:pPr>
            <w:r>
              <w:rPr>
                <w:b/>
                <w:sz w:val="28"/>
                <w:szCs w:val="28"/>
              </w:rPr>
              <w:t>Grau 1</w:t>
            </w:r>
          </w:p>
          <w:p w14:paraId="126C9C4A" w14:textId="77777777" w:rsidR="00197429" w:rsidRDefault="00E7181B">
            <w:pPr>
              <w:numPr>
                <w:ilvl w:val="0"/>
                <w:numId w:val="2"/>
              </w:numPr>
              <w:pBdr>
                <w:top w:val="nil"/>
                <w:left w:val="nil"/>
                <w:bottom w:val="nil"/>
                <w:right w:val="nil"/>
                <w:between w:val="nil"/>
              </w:pBdr>
              <w:jc w:val="start"/>
              <w:rPr>
                <w:sz w:val="28"/>
                <w:szCs w:val="28"/>
              </w:rPr>
            </w:pPr>
            <w:r>
              <w:rPr>
                <w:sz w:val="28"/>
                <w:szCs w:val="28"/>
              </w:rPr>
              <w:t>Tosse seca.</w:t>
            </w:r>
          </w:p>
          <w:p w14:paraId="6BB47DC6" w14:textId="77777777" w:rsidR="00197429" w:rsidRDefault="00E7181B">
            <w:pPr>
              <w:numPr>
                <w:ilvl w:val="0"/>
                <w:numId w:val="2"/>
              </w:numPr>
              <w:pBdr>
                <w:top w:val="nil"/>
                <w:left w:val="nil"/>
                <w:bottom w:val="nil"/>
                <w:right w:val="nil"/>
                <w:between w:val="nil"/>
              </w:pBdr>
              <w:rPr>
                <w:sz w:val="28"/>
                <w:szCs w:val="28"/>
              </w:rPr>
            </w:pPr>
            <w:r>
              <w:rPr>
                <w:sz w:val="28"/>
                <w:szCs w:val="28"/>
              </w:rPr>
              <w:t>Microatelectasias: achados pulmonares anormais e temperatura axilar (T) &gt; 37,5°C sem outra causa documentada e radiografia de tórax normal ou indisponível.</w:t>
            </w:r>
          </w:p>
          <w:p w14:paraId="064A0C4B" w14:textId="77777777" w:rsidR="00197429" w:rsidRDefault="00E7181B">
            <w:pPr>
              <w:numPr>
                <w:ilvl w:val="0"/>
                <w:numId w:val="2"/>
              </w:numPr>
              <w:pBdr>
                <w:top w:val="nil"/>
                <w:left w:val="nil"/>
                <w:bottom w:val="nil"/>
                <w:right w:val="nil"/>
                <w:between w:val="nil"/>
              </w:pBdr>
              <w:jc w:val="start"/>
              <w:rPr>
                <w:sz w:val="28"/>
                <w:szCs w:val="28"/>
              </w:rPr>
            </w:pPr>
            <w:r>
              <w:rPr>
                <w:sz w:val="28"/>
                <w:szCs w:val="28"/>
              </w:rPr>
              <w:t>Dispnéia sem causa documentada.</w:t>
            </w:r>
          </w:p>
          <w:p w14:paraId="61C65A5B" w14:textId="77777777" w:rsidR="00197429" w:rsidRDefault="00E7181B">
            <w:pPr>
              <w:jc w:val="start"/>
              <w:rPr>
                <w:b/>
                <w:sz w:val="28"/>
                <w:szCs w:val="28"/>
              </w:rPr>
            </w:pPr>
            <w:r>
              <w:rPr>
                <w:b/>
                <w:sz w:val="28"/>
                <w:szCs w:val="28"/>
              </w:rPr>
              <w:t>Grau 2</w:t>
            </w:r>
          </w:p>
          <w:p w14:paraId="11854F58" w14:textId="77777777" w:rsidR="00197429" w:rsidRDefault="00E7181B">
            <w:pPr>
              <w:numPr>
                <w:ilvl w:val="0"/>
                <w:numId w:val="3"/>
              </w:numPr>
              <w:pBdr>
                <w:top w:val="nil"/>
                <w:left w:val="nil"/>
                <w:bottom w:val="nil"/>
                <w:right w:val="nil"/>
                <w:between w:val="nil"/>
              </w:pBdr>
              <w:jc w:val="start"/>
              <w:rPr>
                <w:sz w:val="28"/>
                <w:szCs w:val="28"/>
              </w:rPr>
            </w:pPr>
            <w:r>
              <w:rPr>
                <w:sz w:val="28"/>
                <w:szCs w:val="28"/>
              </w:rPr>
              <w:t>Tosse produtiva sem causa documentada.</w:t>
            </w:r>
          </w:p>
          <w:p w14:paraId="4241A73B" w14:textId="77777777" w:rsidR="00197429" w:rsidRDefault="00E7181B">
            <w:pPr>
              <w:numPr>
                <w:ilvl w:val="0"/>
                <w:numId w:val="3"/>
              </w:numPr>
              <w:pBdr>
                <w:top w:val="nil"/>
                <w:left w:val="nil"/>
                <w:bottom w:val="nil"/>
                <w:right w:val="nil"/>
                <w:between w:val="nil"/>
              </w:pBdr>
              <w:jc w:val="start"/>
              <w:rPr>
                <w:sz w:val="28"/>
                <w:szCs w:val="28"/>
              </w:rPr>
            </w:pPr>
            <w:r>
              <w:rPr>
                <w:sz w:val="28"/>
                <w:szCs w:val="28"/>
              </w:rPr>
              <w:t>Broncoespasmo que resulte em mudança na terapia.</w:t>
            </w:r>
          </w:p>
          <w:p w14:paraId="6BB9481D" w14:textId="77777777" w:rsidR="00197429" w:rsidRDefault="00E7181B">
            <w:pPr>
              <w:numPr>
                <w:ilvl w:val="0"/>
                <w:numId w:val="3"/>
              </w:numPr>
              <w:pBdr>
                <w:top w:val="nil"/>
                <w:left w:val="nil"/>
                <w:bottom w:val="nil"/>
                <w:right w:val="nil"/>
                <w:between w:val="nil"/>
              </w:pBdr>
              <w:jc w:val="start"/>
              <w:rPr>
                <w:sz w:val="28"/>
                <w:szCs w:val="28"/>
              </w:rPr>
            </w:pPr>
            <w:r>
              <w:rPr>
                <w:sz w:val="28"/>
                <w:szCs w:val="28"/>
              </w:rPr>
              <w:t>Hipoxemia com SpO</w:t>
            </w:r>
            <w:r>
              <w:rPr>
                <w:sz w:val="28"/>
                <w:szCs w:val="28"/>
                <w:vertAlign w:val="subscript"/>
              </w:rPr>
              <w:t>2</w:t>
            </w:r>
            <w:r>
              <w:rPr>
                <w:sz w:val="28"/>
                <w:szCs w:val="28"/>
              </w:rPr>
              <w:t xml:space="preserve"> &lt; 90% em ar ambiente e dispnéia ou sibilos.</w:t>
            </w:r>
          </w:p>
          <w:p w14:paraId="3E107DE4" w14:textId="77777777" w:rsidR="00197429" w:rsidRDefault="00E7181B">
            <w:pPr>
              <w:numPr>
                <w:ilvl w:val="0"/>
                <w:numId w:val="3"/>
              </w:numPr>
              <w:pBdr>
                <w:top w:val="nil"/>
                <w:left w:val="nil"/>
                <w:bottom w:val="nil"/>
                <w:right w:val="nil"/>
                <w:between w:val="nil"/>
              </w:pBdr>
              <w:rPr>
                <w:sz w:val="28"/>
                <w:szCs w:val="28"/>
              </w:rPr>
            </w:pPr>
            <w:r>
              <w:rPr>
                <w:sz w:val="28"/>
                <w:szCs w:val="28"/>
              </w:rPr>
              <w:t>Atelectasia confirmada pela radiografia de tórax e temperatura axilar (T) &gt; 37,5°C ou achados pulmonares anormais.</w:t>
            </w:r>
          </w:p>
          <w:p w14:paraId="19BA6953" w14:textId="77777777" w:rsidR="00197429" w:rsidRDefault="00E7181B">
            <w:pPr>
              <w:numPr>
                <w:ilvl w:val="0"/>
                <w:numId w:val="3"/>
              </w:numPr>
              <w:pBdr>
                <w:top w:val="nil"/>
                <w:left w:val="nil"/>
                <w:bottom w:val="nil"/>
                <w:right w:val="nil"/>
                <w:between w:val="nil"/>
              </w:pBdr>
              <w:jc w:val="start"/>
              <w:rPr>
                <w:sz w:val="28"/>
                <w:szCs w:val="28"/>
              </w:rPr>
            </w:pPr>
            <w:r>
              <w:rPr>
                <w:sz w:val="28"/>
                <w:szCs w:val="28"/>
              </w:rPr>
              <w:t>Hipercapnia transitória (PaCO</w:t>
            </w:r>
            <w:r>
              <w:rPr>
                <w:sz w:val="28"/>
                <w:szCs w:val="28"/>
                <w:vertAlign w:val="subscript"/>
              </w:rPr>
              <w:t>2</w:t>
            </w:r>
            <w:r>
              <w:rPr>
                <w:sz w:val="28"/>
                <w:szCs w:val="28"/>
              </w:rPr>
              <w:t xml:space="preserve"> &gt; 50 mmHg) necessitando de intervenção.</w:t>
            </w:r>
          </w:p>
          <w:p w14:paraId="1F67524C" w14:textId="77777777" w:rsidR="00197429" w:rsidRDefault="00E7181B">
            <w:pPr>
              <w:jc w:val="start"/>
              <w:rPr>
                <w:b/>
                <w:sz w:val="28"/>
                <w:szCs w:val="28"/>
              </w:rPr>
            </w:pPr>
            <w:r>
              <w:rPr>
                <w:b/>
                <w:sz w:val="28"/>
                <w:szCs w:val="28"/>
              </w:rPr>
              <w:lastRenderedPageBreak/>
              <w:t>Grau 3</w:t>
            </w:r>
          </w:p>
          <w:p w14:paraId="59CCE97A" w14:textId="77777777" w:rsidR="00197429" w:rsidRDefault="00E7181B">
            <w:pPr>
              <w:numPr>
                <w:ilvl w:val="0"/>
                <w:numId w:val="4"/>
              </w:numPr>
              <w:pBdr>
                <w:top w:val="nil"/>
                <w:left w:val="nil"/>
                <w:bottom w:val="nil"/>
                <w:right w:val="nil"/>
                <w:between w:val="nil"/>
              </w:pBdr>
              <w:rPr>
                <w:sz w:val="28"/>
                <w:szCs w:val="28"/>
              </w:rPr>
            </w:pPr>
            <w:r>
              <w:rPr>
                <w:sz w:val="28"/>
                <w:szCs w:val="28"/>
              </w:rPr>
              <w:t>Derrame pleural com necessidade de toracocentese.</w:t>
            </w:r>
          </w:p>
          <w:p w14:paraId="2525CC2E" w14:textId="77777777" w:rsidR="00197429" w:rsidRDefault="00E7181B">
            <w:pPr>
              <w:numPr>
                <w:ilvl w:val="0"/>
                <w:numId w:val="4"/>
              </w:numPr>
              <w:pBdr>
                <w:top w:val="nil"/>
                <w:left w:val="nil"/>
                <w:bottom w:val="nil"/>
                <w:right w:val="nil"/>
                <w:between w:val="nil"/>
              </w:pBdr>
              <w:rPr>
                <w:sz w:val="28"/>
                <w:szCs w:val="28"/>
              </w:rPr>
            </w:pPr>
            <w:r>
              <w:rPr>
                <w:sz w:val="28"/>
                <w:szCs w:val="28"/>
              </w:rPr>
              <w:t>Suspeita de pneumonia com evidência radiológica sem confirmação bacteriológica.</w:t>
            </w:r>
          </w:p>
          <w:p w14:paraId="3616D8E7" w14:textId="77777777" w:rsidR="00197429" w:rsidRDefault="00E7181B">
            <w:pPr>
              <w:numPr>
                <w:ilvl w:val="0"/>
                <w:numId w:val="4"/>
              </w:numPr>
              <w:pBdr>
                <w:top w:val="nil"/>
                <w:left w:val="nil"/>
                <w:bottom w:val="nil"/>
                <w:right w:val="nil"/>
                <w:between w:val="nil"/>
              </w:pBdr>
              <w:rPr>
                <w:sz w:val="28"/>
                <w:szCs w:val="28"/>
              </w:rPr>
            </w:pPr>
            <w:r>
              <w:rPr>
                <w:sz w:val="28"/>
                <w:szCs w:val="28"/>
              </w:rPr>
              <w:t xml:space="preserve">Pneumonia confirmada com evidência radiológica e confirmação do organismo patológico (cultura ou </w:t>
            </w:r>
            <w:r>
              <w:rPr>
                <w:i/>
                <w:sz w:val="28"/>
                <w:szCs w:val="28"/>
              </w:rPr>
              <w:t>Gram stain</w:t>
            </w:r>
            <w:r>
              <w:rPr>
                <w:sz w:val="28"/>
                <w:szCs w:val="28"/>
              </w:rPr>
              <w:t>).</w:t>
            </w:r>
          </w:p>
          <w:p w14:paraId="258BE7BE" w14:textId="77777777" w:rsidR="00197429" w:rsidRDefault="00E7181B">
            <w:pPr>
              <w:numPr>
                <w:ilvl w:val="0"/>
                <w:numId w:val="4"/>
              </w:numPr>
              <w:pBdr>
                <w:top w:val="nil"/>
                <w:left w:val="nil"/>
                <w:bottom w:val="nil"/>
                <w:right w:val="nil"/>
                <w:between w:val="nil"/>
              </w:pBdr>
              <w:rPr>
                <w:sz w:val="28"/>
                <w:szCs w:val="28"/>
              </w:rPr>
            </w:pPr>
            <w:r>
              <w:rPr>
                <w:sz w:val="28"/>
                <w:szCs w:val="28"/>
              </w:rPr>
              <w:t>Pneumotórax.</w:t>
            </w:r>
          </w:p>
          <w:p w14:paraId="7858E9F1" w14:textId="6C7357D6" w:rsidR="007A5A54" w:rsidRPr="007A5A54" w:rsidRDefault="00E7181B" w:rsidP="007A5A54">
            <w:pPr>
              <w:numPr>
                <w:ilvl w:val="0"/>
                <w:numId w:val="4"/>
              </w:numPr>
              <w:pBdr>
                <w:top w:val="nil"/>
                <w:left w:val="nil"/>
                <w:bottom w:val="nil"/>
                <w:right w:val="nil"/>
                <w:between w:val="nil"/>
              </w:pBdr>
              <w:rPr>
                <w:sz w:val="28"/>
                <w:szCs w:val="28"/>
              </w:rPr>
            </w:pPr>
            <w:r>
              <w:rPr>
                <w:sz w:val="28"/>
                <w:szCs w:val="28"/>
              </w:rPr>
              <w:t>Reintubação com período de ventilação &lt; 48 horas.</w:t>
            </w:r>
          </w:p>
          <w:p w14:paraId="5FFF33E1" w14:textId="19961AAF" w:rsidR="007A5A54" w:rsidRDefault="007A5A54" w:rsidP="007A5A54">
            <w:pPr>
              <w:jc w:val="start"/>
              <w:rPr>
                <w:b/>
                <w:sz w:val="28"/>
                <w:szCs w:val="28"/>
              </w:rPr>
            </w:pPr>
            <w:r>
              <w:rPr>
                <w:b/>
                <w:sz w:val="28"/>
                <w:szCs w:val="28"/>
              </w:rPr>
              <w:t>Grau 4</w:t>
            </w:r>
          </w:p>
          <w:p w14:paraId="5C762D68" w14:textId="623BA62B" w:rsidR="007A5A54" w:rsidRDefault="007A5A54" w:rsidP="007A5A54">
            <w:pPr>
              <w:numPr>
                <w:ilvl w:val="0"/>
                <w:numId w:val="4"/>
              </w:numPr>
              <w:pBdr>
                <w:top w:val="nil"/>
                <w:left w:val="nil"/>
                <w:bottom w:val="nil"/>
                <w:right w:val="nil"/>
                <w:between w:val="nil"/>
              </w:pBdr>
              <w:rPr>
                <w:sz w:val="28"/>
                <w:szCs w:val="28"/>
              </w:rPr>
            </w:pPr>
            <w:r w:rsidRPr="007A5A54">
              <w:rPr>
                <w:sz w:val="28"/>
                <w:szCs w:val="28"/>
              </w:rPr>
              <w:t>Ne</w:t>
            </w:r>
            <w:r>
              <w:rPr>
                <w:sz w:val="28"/>
                <w:szCs w:val="28"/>
              </w:rPr>
              <w:t>cessidade de reintubação e/ou ventilação mecânica invasiva por 48 horas ou mais.</w:t>
            </w:r>
          </w:p>
          <w:p w14:paraId="59102C9A" w14:textId="05C947E5" w:rsidR="00197429" w:rsidRDefault="00E7181B">
            <w:pPr>
              <w:pBdr>
                <w:top w:val="nil"/>
                <w:left w:val="nil"/>
                <w:bottom w:val="nil"/>
                <w:right w:val="nil"/>
                <w:between w:val="nil"/>
              </w:pBdr>
              <w:rPr>
                <w:b/>
                <w:sz w:val="28"/>
                <w:szCs w:val="28"/>
              </w:rPr>
            </w:pPr>
            <w:r>
              <w:rPr>
                <w:b/>
                <w:sz w:val="28"/>
                <w:szCs w:val="28"/>
              </w:rPr>
              <w:t>Grau 5</w:t>
            </w:r>
          </w:p>
          <w:p w14:paraId="5C8BE4EA" w14:textId="77777777" w:rsidR="00197429" w:rsidRDefault="00E7181B">
            <w:pPr>
              <w:numPr>
                <w:ilvl w:val="0"/>
                <w:numId w:val="5"/>
              </w:numPr>
              <w:pBdr>
                <w:top w:val="nil"/>
                <w:left w:val="nil"/>
                <w:bottom w:val="nil"/>
                <w:right w:val="nil"/>
                <w:between w:val="nil"/>
              </w:pBdr>
              <w:jc w:val="start"/>
              <w:rPr>
                <w:rFonts w:ascii="Times" w:eastAsia="Times" w:hAnsi="Times" w:cs="Times"/>
                <w:b/>
                <w:sz w:val="21"/>
                <w:szCs w:val="21"/>
              </w:rPr>
            </w:pPr>
            <w:r>
              <w:rPr>
                <w:sz w:val="28"/>
                <w:szCs w:val="28"/>
              </w:rPr>
              <w:t>Óbito antes da alta hospitalar.</w:t>
            </w:r>
            <w:r>
              <w:rPr>
                <w:rFonts w:ascii="Times" w:eastAsia="Times" w:hAnsi="Times" w:cs="Times"/>
                <w:b/>
                <w:sz w:val="21"/>
                <w:szCs w:val="21"/>
              </w:rPr>
              <w:t xml:space="preserve"> </w:t>
            </w:r>
          </w:p>
        </w:tc>
      </w:tr>
      <w:bookmarkEnd w:id="27"/>
    </w:tbl>
    <w:p w14:paraId="255E9DCD" w14:textId="77777777" w:rsidR="00197429" w:rsidRDefault="00197429">
      <w:pPr>
        <w:spacing w:line="18pt" w:lineRule="auto"/>
        <w:ind w:firstLine="36pt"/>
        <w:rPr>
          <w:sz w:val="28"/>
          <w:szCs w:val="28"/>
        </w:rPr>
      </w:pPr>
    </w:p>
    <w:p w14:paraId="40675BD0" w14:textId="3606C381" w:rsidR="00197429" w:rsidRDefault="00E7181B" w:rsidP="00096CF3">
      <w:pPr>
        <w:pStyle w:val="Ttulo3"/>
        <w:numPr>
          <w:ilvl w:val="2"/>
          <w:numId w:val="12"/>
        </w:numPr>
      </w:pPr>
      <w:bookmarkStart w:id="28" w:name="_Toc81581102"/>
      <w:r>
        <w:t>Desfechos secundários</w:t>
      </w:r>
      <w:bookmarkEnd w:id="28"/>
    </w:p>
    <w:p w14:paraId="26E4DE93" w14:textId="6B733C5A" w:rsidR="00250E29" w:rsidRPr="00096CF3" w:rsidRDefault="00E7181B" w:rsidP="00096CF3">
      <w:pPr>
        <w:pStyle w:val="PargrafodaLista"/>
        <w:pBdr>
          <w:top w:val="nil"/>
          <w:left w:val="nil"/>
          <w:bottom w:val="nil"/>
          <w:right w:val="nil"/>
          <w:between w:val="nil"/>
        </w:pBdr>
        <w:spacing w:before="6pt" w:line="18pt" w:lineRule="auto"/>
        <w:ind w:start="0pt" w:firstLine="36pt"/>
        <w:rPr>
          <w:sz w:val="28"/>
          <w:szCs w:val="28"/>
        </w:rPr>
      </w:pPr>
      <w:r w:rsidRPr="00096CF3">
        <w:rPr>
          <w:sz w:val="28"/>
          <w:szCs w:val="28"/>
        </w:rPr>
        <w:t xml:space="preserve">Os desfechos secundários serão: Análise comparativa </w:t>
      </w:r>
      <w:r w:rsidR="00250E29" w:rsidRPr="00096CF3">
        <w:rPr>
          <w:sz w:val="28"/>
          <w:szCs w:val="28"/>
        </w:rPr>
        <w:t>da performance no TC6M</w:t>
      </w:r>
      <w:r w:rsidRPr="00096CF3">
        <w:rPr>
          <w:sz w:val="28"/>
          <w:szCs w:val="28"/>
        </w:rPr>
        <w:t xml:space="preserve">; comparação do tempo </w:t>
      </w:r>
      <w:r w:rsidR="00205175" w:rsidRPr="00096CF3">
        <w:rPr>
          <w:sz w:val="28"/>
          <w:szCs w:val="28"/>
        </w:rPr>
        <w:t>de internação em UTI</w:t>
      </w:r>
      <w:r w:rsidR="00250E29" w:rsidRPr="00096CF3">
        <w:rPr>
          <w:sz w:val="28"/>
          <w:szCs w:val="28"/>
        </w:rPr>
        <w:t>; avaliação da implementação do novo protocolo de ventilação mecânica no POi de Cirurgia Cardíaca do HUPE.</w:t>
      </w:r>
    </w:p>
    <w:p w14:paraId="50BBFBDE" w14:textId="77777777" w:rsidR="0013509B" w:rsidRPr="0013509B" w:rsidRDefault="0013509B" w:rsidP="0092782F">
      <w:pPr>
        <w:spacing w:line="18pt" w:lineRule="auto"/>
        <w:rPr>
          <w:sz w:val="28"/>
          <w:szCs w:val="28"/>
        </w:rPr>
      </w:pPr>
    </w:p>
    <w:p w14:paraId="251479E5" w14:textId="77777777" w:rsidR="00197429" w:rsidRDefault="00E7181B">
      <w:pPr>
        <w:pStyle w:val="Ttulo2"/>
      </w:pPr>
      <w:bookmarkStart w:id="29" w:name="_Toc81581103"/>
      <w:r>
        <w:t>2.5 Tamanho amostral</w:t>
      </w:r>
      <w:bookmarkEnd w:id="29"/>
    </w:p>
    <w:p w14:paraId="1D950AFA" w14:textId="77777777" w:rsidR="00197429" w:rsidRPr="00F86AAB" w:rsidRDefault="00113A6E" w:rsidP="00096CF3">
      <w:pPr>
        <w:spacing w:line="18pt" w:lineRule="auto"/>
        <w:ind w:firstLine="36pt"/>
        <w:rPr>
          <w:sz w:val="28"/>
          <w:szCs w:val="28"/>
        </w:rPr>
      </w:pPr>
      <w:sdt>
        <w:sdtPr>
          <w:rPr>
            <w:sz w:val="28"/>
            <w:szCs w:val="28"/>
          </w:rPr>
          <w:tag w:val="goog_rdk_5"/>
          <w:id w:val="621038971"/>
        </w:sdtPr>
        <w:sdtEndPr/>
        <w:sdtContent>
          <w:r w:rsidR="00E7181B" w:rsidRPr="00F86AAB">
            <w:rPr>
              <w:rFonts w:eastAsia="Gungsuh"/>
              <w:sz w:val="28"/>
              <w:szCs w:val="28"/>
            </w:rPr>
            <w:t xml:space="preserve">O estudo foi projetado para ter 80% de poder para detectar uma diferença na incidência de complicações pulmonares pós-operatórias (grau ≥3) entre os grupos controle (incidência encontrada de 32%) e intervenção (incidência esperada de 15%) baseado na coleta de dados do serviço de cirurgia cardíaca do HUPE por meio do estudo </w:t>
          </w:r>
        </w:sdtContent>
      </w:sdt>
      <w:r w:rsidR="00E7181B" w:rsidRPr="00F86AAB">
        <w:rPr>
          <w:color w:val="222222"/>
          <w:sz w:val="28"/>
          <w:szCs w:val="28"/>
        </w:rPr>
        <w:t xml:space="preserve">“A incidência de complicações pulmonares no pós-operatório de cirurgia cardíaca do hospital universitário Pedro Ernesto (HUPE): um estudo observacional”, </w:t>
      </w:r>
      <w:r w:rsidR="00E7181B" w:rsidRPr="00F86AAB">
        <w:rPr>
          <w:sz w:val="28"/>
          <w:szCs w:val="28"/>
        </w:rPr>
        <w:t>onde foram avaliados 109 pacientes submetidos à cirurgia cardíaca entre novembro de 2020 e janeiro de 2021, e baseado ainda,</w:t>
      </w:r>
      <w:r w:rsidR="00E7181B" w:rsidRPr="00F86AAB">
        <w:rPr>
          <w:color w:val="222222"/>
          <w:sz w:val="28"/>
          <w:szCs w:val="28"/>
        </w:rPr>
        <w:t xml:space="preserve"> </w:t>
      </w:r>
      <w:r w:rsidR="00E7181B" w:rsidRPr="00F86AAB">
        <w:rPr>
          <w:sz w:val="28"/>
          <w:szCs w:val="28"/>
        </w:rPr>
        <w:t xml:space="preserve">no artigo (COSTA LEME </w:t>
      </w:r>
      <w:r w:rsidR="00E7181B" w:rsidRPr="00F86AAB">
        <w:rPr>
          <w:i/>
          <w:sz w:val="28"/>
          <w:szCs w:val="28"/>
        </w:rPr>
        <w:t>et al.</w:t>
      </w:r>
      <w:r w:rsidR="00E7181B" w:rsidRPr="00F86AAB">
        <w:rPr>
          <w:sz w:val="28"/>
          <w:szCs w:val="28"/>
        </w:rPr>
        <w:t xml:space="preserve">, 2017), para um erro α de 0,05, um poder estatístico (1-β) de 0,80 e um tamanho de efeito |P| de 0,17. Isso gerou o tamanho da amostra em </w:t>
      </w:r>
      <w:r w:rsidR="00E7181B" w:rsidRPr="00F86AAB">
        <w:rPr>
          <w:b/>
          <w:sz w:val="28"/>
          <w:szCs w:val="28"/>
        </w:rPr>
        <w:t>76</w:t>
      </w:r>
      <w:r w:rsidR="00E7181B" w:rsidRPr="00F86AAB">
        <w:rPr>
          <w:sz w:val="28"/>
          <w:szCs w:val="28"/>
        </w:rPr>
        <w:t xml:space="preserve"> pacientes. Um valor P&lt;0,05 foi considerado estatisticamente significativo. O </w:t>
      </w:r>
      <w:r w:rsidR="00E7181B" w:rsidRPr="00F86AAB">
        <w:rPr>
          <w:sz w:val="28"/>
          <w:szCs w:val="28"/>
        </w:rPr>
        <w:lastRenderedPageBreak/>
        <w:t xml:space="preserve">cálculo amostral foi realizado por meio da calculadora </w:t>
      </w:r>
      <w:r w:rsidR="00E7181B" w:rsidRPr="00F86AAB">
        <w:rPr>
          <w:i/>
          <w:sz w:val="28"/>
          <w:szCs w:val="28"/>
        </w:rPr>
        <w:t xml:space="preserve">Power/Sample </w:t>
      </w:r>
      <w:proofErr w:type="spellStart"/>
      <w:r w:rsidR="00E7181B" w:rsidRPr="00F86AAB">
        <w:rPr>
          <w:i/>
          <w:sz w:val="28"/>
          <w:szCs w:val="28"/>
        </w:rPr>
        <w:t>Size</w:t>
      </w:r>
      <w:proofErr w:type="spellEnd"/>
      <w:r w:rsidR="00E7181B" w:rsidRPr="00F86AAB">
        <w:rPr>
          <w:i/>
          <w:sz w:val="28"/>
          <w:szCs w:val="28"/>
        </w:rPr>
        <w:t xml:space="preserve"> </w:t>
      </w:r>
      <w:proofErr w:type="spellStart"/>
      <w:r w:rsidR="00E7181B" w:rsidRPr="00F86AAB">
        <w:rPr>
          <w:i/>
          <w:sz w:val="28"/>
          <w:szCs w:val="28"/>
        </w:rPr>
        <w:t>Calculator</w:t>
      </w:r>
      <w:proofErr w:type="spellEnd"/>
      <w:r w:rsidR="00E7181B" w:rsidRPr="00F86AAB">
        <w:rPr>
          <w:i/>
          <w:sz w:val="28"/>
          <w:szCs w:val="28"/>
        </w:rPr>
        <w:t xml:space="preserve"> </w:t>
      </w:r>
      <w:r w:rsidR="00E7181B" w:rsidRPr="00F86AAB">
        <w:rPr>
          <w:sz w:val="28"/>
          <w:szCs w:val="28"/>
        </w:rPr>
        <w:t>-</w:t>
      </w:r>
      <w:r w:rsidR="00E7181B" w:rsidRPr="00F86AAB">
        <w:rPr>
          <w:i/>
          <w:sz w:val="28"/>
          <w:szCs w:val="28"/>
        </w:rPr>
        <w:t xml:space="preserve"> </w:t>
      </w:r>
      <w:proofErr w:type="spellStart"/>
      <w:r w:rsidR="00E7181B" w:rsidRPr="00F86AAB">
        <w:rPr>
          <w:i/>
          <w:sz w:val="28"/>
          <w:szCs w:val="28"/>
        </w:rPr>
        <w:t>Inference</w:t>
      </w:r>
      <w:proofErr w:type="spellEnd"/>
      <w:r w:rsidR="00E7181B" w:rsidRPr="00F86AAB">
        <w:rPr>
          <w:i/>
          <w:sz w:val="28"/>
          <w:szCs w:val="28"/>
        </w:rPr>
        <w:t xml:space="preserve"> for </w:t>
      </w:r>
      <w:proofErr w:type="spellStart"/>
      <w:r w:rsidR="00E7181B" w:rsidRPr="00F86AAB">
        <w:rPr>
          <w:i/>
          <w:sz w:val="28"/>
          <w:szCs w:val="28"/>
        </w:rPr>
        <w:t>Proportions</w:t>
      </w:r>
      <w:proofErr w:type="spellEnd"/>
      <w:r w:rsidR="00E7181B" w:rsidRPr="00F86AAB">
        <w:rPr>
          <w:i/>
          <w:sz w:val="28"/>
          <w:szCs w:val="28"/>
        </w:rPr>
        <w:t xml:space="preserve">: </w:t>
      </w:r>
      <w:proofErr w:type="spellStart"/>
      <w:r w:rsidR="00E7181B" w:rsidRPr="00F86AAB">
        <w:rPr>
          <w:i/>
          <w:sz w:val="28"/>
          <w:szCs w:val="28"/>
        </w:rPr>
        <w:t>Comparing</w:t>
      </w:r>
      <w:proofErr w:type="spellEnd"/>
      <w:r w:rsidR="00E7181B" w:rsidRPr="00F86AAB">
        <w:rPr>
          <w:i/>
          <w:sz w:val="28"/>
          <w:szCs w:val="28"/>
        </w:rPr>
        <w:t xml:space="preserve"> </w:t>
      </w:r>
      <w:proofErr w:type="spellStart"/>
      <w:r w:rsidR="00E7181B" w:rsidRPr="00F86AAB">
        <w:rPr>
          <w:i/>
          <w:sz w:val="28"/>
          <w:szCs w:val="28"/>
        </w:rPr>
        <w:t>Two</w:t>
      </w:r>
      <w:proofErr w:type="spellEnd"/>
      <w:r w:rsidR="00E7181B" w:rsidRPr="00F86AAB">
        <w:rPr>
          <w:i/>
          <w:sz w:val="28"/>
          <w:szCs w:val="28"/>
        </w:rPr>
        <w:t xml:space="preserve"> Independent Samples</w:t>
      </w:r>
      <w:r w:rsidR="00E7181B" w:rsidRPr="00F86AAB">
        <w:rPr>
          <w:sz w:val="28"/>
          <w:szCs w:val="28"/>
        </w:rPr>
        <w:t xml:space="preserve"> (</w:t>
      </w:r>
      <w:hyperlink r:id="rId12">
        <w:r w:rsidR="00E7181B" w:rsidRPr="00F86AAB">
          <w:rPr>
            <w:color w:val="1155CC"/>
            <w:sz w:val="28"/>
            <w:szCs w:val="28"/>
            <w:u w:val="single"/>
          </w:rPr>
          <w:t>www.stat.ubc.ca</w:t>
        </w:r>
      </w:hyperlink>
      <w:r w:rsidR="00E7181B" w:rsidRPr="00F86AAB">
        <w:rPr>
          <w:sz w:val="28"/>
          <w:szCs w:val="28"/>
        </w:rPr>
        <w:t>).</w:t>
      </w:r>
    </w:p>
    <w:p w14:paraId="79D2E8EA" w14:textId="11D2E7E5" w:rsidR="00197429" w:rsidRDefault="00E7181B">
      <w:pPr>
        <w:spacing w:line="18pt" w:lineRule="auto"/>
        <w:rPr>
          <w:color w:val="222222"/>
          <w:sz w:val="28"/>
          <w:szCs w:val="28"/>
        </w:rPr>
      </w:pPr>
      <w:r w:rsidRPr="00F86AAB">
        <w:rPr>
          <w:sz w:val="28"/>
          <w:szCs w:val="28"/>
        </w:rPr>
        <w:t xml:space="preserve"> Considerando</w:t>
      </w:r>
      <w:r w:rsidR="00405C11">
        <w:rPr>
          <w:sz w:val="28"/>
          <w:szCs w:val="28"/>
        </w:rPr>
        <w:t xml:space="preserve"> as possíveis perdas foram randomizados 100 pacientes para o ensaio.</w:t>
      </w:r>
    </w:p>
    <w:p w14:paraId="2B3E5FE1" w14:textId="77777777" w:rsidR="00197429" w:rsidRDefault="00E7181B">
      <w:pPr>
        <w:tabs>
          <w:tab w:val="start" w:pos="56.70pt"/>
          <w:tab w:val="start" w:pos="198.45pt"/>
          <w:tab w:val="start" w:pos="212.60pt"/>
          <w:tab w:val="start" w:pos="340.20pt"/>
        </w:tabs>
        <w:spacing w:line="18pt" w:lineRule="auto"/>
        <w:rPr>
          <w:sz w:val="28"/>
          <w:szCs w:val="28"/>
        </w:rPr>
      </w:pPr>
      <w:r>
        <w:rPr>
          <w:noProof/>
          <w:sz w:val="28"/>
          <w:szCs w:val="28"/>
        </w:rPr>
        <w:drawing>
          <wp:inline distT="114300" distB="114300" distL="114300" distR="114300" wp14:anchorId="3368C9E0" wp14:editId="561569B2">
            <wp:extent cx="2848242" cy="1449231"/>
            <wp:effectExtent l="0" t="0" r="0" b="0"/>
            <wp:docPr id="43" name="image1.png"/>
            <wp:cNvGraphicFramePr/>
            <a:graphic xmlns:a="http://purl.oclc.org/ooxml/drawingml/main">
              <a:graphicData uri="http://purl.oclc.org/ooxml/drawingml/picture">
                <pic:pic xmlns:pic="http://purl.oclc.org/ooxml/drawingml/picture">
                  <pic:nvPicPr>
                    <pic:cNvPr id="0" name="image1.png"/>
                    <pic:cNvPicPr preferRelativeResize="0"/>
                  </pic:nvPicPr>
                  <pic:blipFill>
                    <a:blip r:embed="rId13"/>
                    <a:srcRect/>
                    <a:stretch>
                      <a:fillRect/>
                    </a:stretch>
                  </pic:blipFill>
                  <pic:spPr>
                    <a:xfrm>
                      <a:off x="0" y="0"/>
                      <a:ext cx="2848242" cy="1449231"/>
                    </a:xfrm>
                    <a:prstGeom prst="rect">
                      <a:avLst/>
                    </a:prstGeom>
                    <a:ln/>
                  </pic:spPr>
                </pic:pic>
              </a:graphicData>
            </a:graphic>
          </wp:inline>
        </w:drawing>
      </w:r>
    </w:p>
    <w:p w14:paraId="12F112C8" w14:textId="77777777" w:rsidR="00197429" w:rsidRDefault="00E7181B">
      <w:pPr>
        <w:pStyle w:val="Ttulo2"/>
      </w:pPr>
      <w:bookmarkStart w:id="30" w:name="_Toc81581104"/>
      <w:r>
        <w:t>2.6 Randomização</w:t>
      </w:r>
      <w:bookmarkEnd w:id="30"/>
    </w:p>
    <w:p w14:paraId="456A468B" w14:textId="77777777" w:rsidR="00197429" w:rsidRDefault="00197429"/>
    <w:p w14:paraId="19210BB4" w14:textId="381545F5" w:rsidR="00197429" w:rsidRDefault="00E7181B">
      <w:pPr>
        <w:spacing w:line="18pt" w:lineRule="auto"/>
        <w:ind w:firstLine="36pt"/>
        <w:rPr>
          <w:sz w:val="28"/>
          <w:szCs w:val="28"/>
        </w:rPr>
      </w:pPr>
      <w:bookmarkStart w:id="31" w:name="_heading=h.1ci93xb" w:colFirst="0" w:colLast="0"/>
      <w:bookmarkEnd w:id="31"/>
      <w:r w:rsidRPr="00740720">
        <w:rPr>
          <w:sz w:val="28"/>
          <w:szCs w:val="28"/>
        </w:rPr>
        <w:t>A randomização</w:t>
      </w:r>
      <w:r w:rsidR="00A03D4B" w:rsidRPr="00740720">
        <w:rPr>
          <w:sz w:val="28"/>
          <w:szCs w:val="28"/>
        </w:rPr>
        <w:t xml:space="preserve"> foi</w:t>
      </w:r>
      <w:r w:rsidRPr="00740720">
        <w:rPr>
          <w:sz w:val="28"/>
          <w:szCs w:val="28"/>
        </w:rPr>
        <w:t xml:space="preserve"> realizada por meio d</w:t>
      </w:r>
      <w:r w:rsidR="00A03D4B" w:rsidRPr="00740720">
        <w:rPr>
          <w:sz w:val="28"/>
          <w:szCs w:val="28"/>
        </w:rPr>
        <w:t>o</w:t>
      </w:r>
      <w:r w:rsidRPr="00740720">
        <w:rPr>
          <w:sz w:val="28"/>
          <w:szCs w:val="28"/>
        </w:rPr>
        <w:t xml:space="preserve"> </w:t>
      </w:r>
      <w:r w:rsidRPr="00740720">
        <w:rPr>
          <w:i/>
          <w:sz w:val="28"/>
          <w:szCs w:val="28"/>
        </w:rPr>
        <w:t>software</w:t>
      </w:r>
      <w:r w:rsidRPr="00740720">
        <w:rPr>
          <w:sz w:val="28"/>
          <w:szCs w:val="28"/>
        </w:rPr>
        <w:t xml:space="preserve"> </w:t>
      </w:r>
      <w:hyperlink r:id="rId14" w:history="1">
        <w:r w:rsidR="00A03D4B" w:rsidRPr="00740720">
          <w:rPr>
            <w:rStyle w:val="Hyperlink"/>
            <w:sz w:val="28"/>
            <w:szCs w:val="28"/>
          </w:rPr>
          <w:t>https://aurora.shinyapps.io/random_gen/</w:t>
        </w:r>
      </w:hyperlink>
      <w:r w:rsidR="00A03D4B" w:rsidRPr="00740720">
        <w:rPr>
          <w:sz w:val="28"/>
          <w:szCs w:val="28"/>
        </w:rPr>
        <w:t xml:space="preserve">, PIN 270107, </w:t>
      </w:r>
      <w:r w:rsidRPr="00740720">
        <w:rPr>
          <w:sz w:val="28"/>
          <w:szCs w:val="28"/>
        </w:rPr>
        <w:t>para estratificação</w:t>
      </w:r>
      <w:r w:rsidR="00405C11" w:rsidRPr="00740720">
        <w:rPr>
          <w:sz w:val="28"/>
          <w:szCs w:val="28"/>
        </w:rPr>
        <w:t xml:space="preserve"> de 100  pacientes</w:t>
      </w:r>
      <w:r w:rsidRPr="00740720">
        <w:rPr>
          <w:sz w:val="28"/>
          <w:szCs w:val="28"/>
        </w:rPr>
        <w:t xml:space="preserve"> de forma aleatória na proporção de 1:1. Uma vez que o paciente forneceu o consentimento informado assinado</w:t>
      </w:r>
      <w:r w:rsidR="00A03D4B" w:rsidRPr="00740720">
        <w:rPr>
          <w:sz w:val="28"/>
          <w:szCs w:val="28"/>
        </w:rPr>
        <w:t xml:space="preserve"> e foi selecionado pela equipe cirúrgica do HUPE</w:t>
      </w:r>
      <w:r w:rsidR="006B1F6F" w:rsidRPr="00740720">
        <w:rPr>
          <w:sz w:val="28"/>
          <w:szCs w:val="28"/>
        </w:rPr>
        <w:t>, que é cega para a randomização</w:t>
      </w:r>
      <w:r w:rsidR="00514EB9" w:rsidRPr="00740720">
        <w:rPr>
          <w:sz w:val="28"/>
          <w:szCs w:val="28"/>
        </w:rPr>
        <w:t>,</w:t>
      </w:r>
      <w:r w:rsidR="00A03D4B" w:rsidRPr="00740720">
        <w:rPr>
          <w:sz w:val="28"/>
          <w:szCs w:val="28"/>
        </w:rPr>
        <w:t xml:space="preserve"> </w:t>
      </w:r>
      <w:r w:rsidR="00633176" w:rsidRPr="00740720">
        <w:rPr>
          <w:sz w:val="28"/>
          <w:szCs w:val="28"/>
        </w:rPr>
        <w:t xml:space="preserve">ele será registrado na lista </w:t>
      </w:r>
      <w:r w:rsidRPr="00740720">
        <w:rPr>
          <w:sz w:val="28"/>
          <w:szCs w:val="28"/>
        </w:rPr>
        <w:t xml:space="preserve">para obter a alocação. </w:t>
      </w:r>
      <w:r w:rsidR="00165801" w:rsidRPr="00740720">
        <w:rPr>
          <w:sz w:val="28"/>
          <w:szCs w:val="28"/>
        </w:rPr>
        <w:t>O paciente é selecionado para a cirurgia naquela data de</w:t>
      </w:r>
      <w:r w:rsidR="00514EB9" w:rsidRPr="00740720">
        <w:rPr>
          <w:sz w:val="28"/>
          <w:szCs w:val="28"/>
        </w:rPr>
        <w:t xml:space="preserve"> acordo com a urgência do </w:t>
      </w:r>
      <w:r w:rsidR="00165801" w:rsidRPr="00740720">
        <w:rPr>
          <w:sz w:val="28"/>
          <w:szCs w:val="28"/>
        </w:rPr>
        <w:t>caso</w:t>
      </w:r>
      <w:r w:rsidR="00514EB9" w:rsidRPr="00740720">
        <w:rPr>
          <w:sz w:val="28"/>
          <w:szCs w:val="28"/>
        </w:rPr>
        <w:t xml:space="preserve">, disponibilidade de prótese, nos casos de troca valvar, e disponibilidade do banco de sangue para a </w:t>
      </w:r>
      <w:r w:rsidR="00165801" w:rsidRPr="00740720">
        <w:rPr>
          <w:sz w:val="28"/>
          <w:szCs w:val="28"/>
        </w:rPr>
        <w:t>tipagem sanguínea</w:t>
      </w:r>
      <w:r w:rsidR="00514EB9" w:rsidRPr="00740720">
        <w:rPr>
          <w:sz w:val="28"/>
          <w:szCs w:val="28"/>
        </w:rPr>
        <w:t xml:space="preserve"> do paciente</w:t>
      </w:r>
      <w:r w:rsidR="00165801" w:rsidRPr="00740720">
        <w:rPr>
          <w:sz w:val="28"/>
          <w:szCs w:val="28"/>
        </w:rPr>
        <w:t xml:space="preserve">. </w:t>
      </w:r>
      <w:r w:rsidRPr="00740720">
        <w:rPr>
          <w:sz w:val="28"/>
          <w:szCs w:val="28"/>
        </w:rPr>
        <w:t>A partir</w:t>
      </w:r>
      <w:r w:rsidRPr="00633176">
        <w:rPr>
          <w:sz w:val="28"/>
          <w:szCs w:val="28"/>
        </w:rPr>
        <w:t xml:space="preserve"> desse momento</w:t>
      </w:r>
      <w:r>
        <w:rPr>
          <w:sz w:val="28"/>
          <w:szCs w:val="28"/>
        </w:rPr>
        <w:t xml:space="preserve">, será impossível remover o registro do paciente da </w:t>
      </w:r>
      <w:r w:rsidR="00633176">
        <w:rPr>
          <w:sz w:val="28"/>
          <w:szCs w:val="28"/>
        </w:rPr>
        <w:t>lista</w:t>
      </w:r>
      <w:r>
        <w:rPr>
          <w:sz w:val="28"/>
          <w:szCs w:val="28"/>
        </w:rPr>
        <w:t xml:space="preserve"> e, em qualquer caso, o paciente será analisado de acordo com o princípio da intenção de tratar. Qualquer desvio do protocolo de ventilação, juntamente com o motivo para este desvio, será registrado em um formulário de relatório de caso (FRC). Todos os pacientes serão mantidos cegos para a alocação.</w:t>
      </w:r>
    </w:p>
    <w:p w14:paraId="23CABDA0" w14:textId="77777777" w:rsidR="00197429" w:rsidRDefault="00197429">
      <w:pPr>
        <w:pStyle w:val="Ttulo2"/>
      </w:pPr>
    </w:p>
    <w:p w14:paraId="33D976AC" w14:textId="77777777" w:rsidR="00197429" w:rsidRDefault="00E7181B">
      <w:pPr>
        <w:pStyle w:val="Ttulo2"/>
      </w:pPr>
      <w:bookmarkStart w:id="32" w:name="_Toc81581105"/>
      <w:r>
        <w:t>2.9 Métodos estatísticos</w:t>
      </w:r>
      <w:bookmarkEnd w:id="32"/>
      <w:r>
        <w:tab/>
      </w:r>
    </w:p>
    <w:p w14:paraId="38AA6C44" w14:textId="77777777" w:rsidR="00197429" w:rsidRDefault="00E7181B">
      <w:pPr>
        <w:spacing w:line="18pt" w:lineRule="auto"/>
        <w:ind w:firstLine="36pt"/>
        <w:rPr>
          <w:sz w:val="28"/>
          <w:szCs w:val="28"/>
        </w:rPr>
      </w:pPr>
      <w:r>
        <w:rPr>
          <w:sz w:val="28"/>
          <w:szCs w:val="28"/>
        </w:rPr>
        <w:t>Os dados serão analisados ​​pelo software de análise estatística -----.</w:t>
      </w:r>
    </w:p>
    <w:p w14:paraId="7D0846FD" w14:textId="77777777" w:rsidR="00197429" w:rsidRDefault="00E7181B">
      <w:pPr>
        <w:spacing w:line="18pt" w:lineRule="auto"/>
        <w:ind w:firstLine="36pt"/>
        <w:rPr>
          <w:sz w:val="28"/>
          <w:szCs w:val="28"/>
        </w:rPr>
      </w:pPr>
      <w:r>
        <w:rPr>
          <w:sz w:val="28"/>
          <w:szCs w:val="28"/>
        </w:rPr>
        <w:lastRenderedPageBreak/>
        <w:t>A normalidade da distribuição dos dados será testada por meio do teste de D’Agostino-Pearson e, posteriormente, caso haja não-homogeneidade da distribuição, os parâmetros extraídos serão analisados por meio de métodos estatísticos não-paramétricos.</w:t>
      </w:r>
    </w:p>
    <w:p w14:paraId="0BC40A5C" w14:textId="77777777" w:rsidR="00197429" w:rsidRDefault="00E7181B">
      <w:pPr>
        <w:spacing w:line="18pt" w:lineRule="auto"/>
        <w:ind w:firstLine="36pt"/>
        <w:rPr>
          <w:sz w:val="28"/>
          <w:szCs w:val="28"/>
        </w:rPr>
      </w:pPr>
      <w:r>
        <w:rPr>
          <w:sz w:val="28"/>
          <w:szCs w:val="28"/>
        </w:rPr>
        <w:t>As variáveis dos dois grupos serão comparadas por meio do Teste Mann-Whitney no caso de distribuição não paramétrica. O nível de significância será fixado em 0,05. Serão avaliados os intervalos de confiança (IC) de 95% e as diferenças entre as medianas com IC de 95% quando apropriado.</w:t>
      </w:r>
    </w:p>
    <w:p w14:paraId="7ACE1587" w14:textId="77777777" w:rsidR="00197429" w:rsidRDefault="00E7181B">
      <w:pPr>
        <w:spacing w:line="18pt" w:lineRule="auto"/>
        <w:ind w:firstLine="18pt"/>
        <w:rPr>
          <w:sz w:val="28"/>
          <w:szCs w:val="28"/>
        </w:rPr>
      </w:pPr>
      <w:r>
        <w:rPr>
          <w:sz w:val="28"/>
          <w:szCs w:val="28"/>
        </w:rPr>
        <w:t>Um comitê independente de monitoramento de dados e segurança realizará uma análise intermediária cega e planejada após a inscrição de 50% dos pacientes para avaliar os eventos adversos. Uma regra de parada para eventos adversos (p &lt; 0,01) será usada, considerando apenas os resultados de mortalidade hospitalar e barotrauma.</w:t>
      </w:r>
    </w:p>
    <w:p w14:paraId="4F1CDF64" w14:textId="77777777" w:rsidR="00197429" w:rsidRDefault="00E7181B" w:rsidP="00096CF3">
      <w:pPr>
        <w:pStyle w:val="Ttulo1"/>
        <w:numPr>
          <w:ilvl w:val="0"/>
          <w:numId w:val="12"/>
        </w:numPr>
      </w:pPr>
      <w:bookmarkStart w:id="33" w:name="_Toc81581106"/>
      <w:r>
        <w:t>Resultados</w:t>
      </w:r>
      <w:bookmarkEnd w:id="33"/>
    </w:p>
    <w:p w14:paraId="21B2E934" w14:textId="77777777" w:rsidR="00197429" w:rsidRPr="00F86AAB" w:rsidRDefault="00113A6E">
      <w:pPr>
        <w:spacing w:line="18pt" w:lineRule="auto"/>
        <w:ind w:firstLine="18pt"/>
        <w:rPr>
          <w:sz w:val="28"/>
          <w:szCs w:val="28"/>
        </w:rPr>
      </w:pPr>
      <w:sdt>
        <w:sdtPr>
          <w:tag w:val="goog_rdk_6"/>
          <w:id w:val="-848561245"/>
        </w:sdtPr>
        <w:sdtEndPr/>
        <w:sdtContent>
          <w:r w:rsidR="00E7181B" w:rsidRPr="00F86AAB">
            <w:rPr>
              <w:rFonts w:eastAsia="Gungsuh"/>
              <w:sz w:val="28"/>
              <w:szCs w:val="28"/>
            </w:rPr>
            <w:t>Nosso esforço neste ensaio está concentrado no desfecho clínico dos pacientes, avaliado por meio da redução da incidência de CPPs ≥ 3 de 32% para 15%, uma maior independência funcional e melhor condicionamento cardiovascular do paciente na alta hospitalar.</w:t>
          </w:r>
        </w:sdtContent>
      </w:sdt>
    </w:p>
    <w:p w14:paraId="67A93C9D" w14:textId="77777777" w:rsidR="00197429" w:rsidRDefault="00E7181B" w:rsidP="00096CF3">
      <w:pPr>
        <w:pStyle w:val="Ttulo1"/>
        <w:numPr>
          <w:ilvl w:val="0"/>
          <w:numId w:val="12"/>
        </w:numPr>
      </w:pPr>
      <w:bookmarkStart w:id="34" w:name="_Toc81581107"/>
      <w:r>
        <w:t>Riscos envolvidos</w:t>
      </w:r>
      <w:bookmarkEnd w:id="34"/>
    </w:p>
    <w:p w14:paraId="6287533C" w14:textId="77777777" w:rsidR="00197429" w:rsidRDefault="00E7181B">
      <w:pPr>
        <w:spacing w:line="18pt" w:lineRule="auto"/>
        <w:ind w:firstLine="36pt"/>
        <w:rPr>
          <w:sz w:val="28"/>
          <w:szCs w:val="28"/>
        </w:rPr>
      </w:pPr>
      <w:r>
        <w:rPr>
          <w:sz w:val="28"/>
          <w:szCs w:val="28"/>
        </w:rPr>
        <w:t>A nova estratégia de ventilação mecânica proposta, intitulada de protetora com MR e titulação decremental da PEEP pela menor DP, para o PO imediato de cirurgia cardíaca oferece riscos mínimos ao paciente.</w:t>
      </w:r>
    </w:p>
    <w:p w14:paraId="7C911CD4" w14:textId="130E6B6E" w:rsidR="00197429" w:rsidRDefault="00E7181B">
      <w:pPr>
        <w:spacing w:line="18pt" w:lineRule="auto"/>
        <w:ind w:firstLine="36pt"/>
        <w:rPr>
          <w:sz w:val="28"/>
          <w:szCs w:val="28"/>
        </w:rPr>
      </w:pPr>
      <w:r>
        <w:rPr>
          <w:sz w:val="28"/>
          <w:szCs w:val="28"/>
        </w:rPr>
        <w:t xml:space="preserve">A literatura é extensa acerca do uso de manobras de recrutamento alveolar e valores moderados de PEEP em pacientes no pós-operatório e com lesão pulmonar aguda. Embora existam resultados contraditórios em relação aos seus benefícios, atualmente recomenda-se o uso de estratégias para </w:t>
      </w:r>
      <w:r>
        <w:rPr>
          <w:sz w:val="28"/>
          <w:szCs w:val="28"/>
        </w:rPr>
        <w:lastRenderedPageBreak/>
        <w:t xml:space="preserve">minimizar o colapso alveolar desde o </w:t>
      </w:r>
      <w:r w:rsidR="00AD4009">
        <w:rPr>
          <w:sz w:val="28"/>
          <w:szCs w:val="28"/>
        </w:rPr>
        <w:t>intraoperatório</w:t>
      </w:r>
      <w:r>
        <w:rPr>
          <w:sz w:val="28"/>
          <w:szCs w:val="28"/>
        </w:rPr>
        <w:t xml:space="preserve"> (JERRE </w:t>
      </w:r>
      <w:r>
        <w:rPr>
          <w:i/>
          <w:sz w:val="28"/>
          <w:szCs w:val="28"/>
        </w:rPr>
        <w:t>et al.</w:t>
      </w:r>
      <w:r>
        <w:rPr>
          <w:sz w:val="28"/>
          <w:szCs w:val="28"/>
        </w:rPr>
        <w:t xml:space="preserve">, 2007). Além disso, o uso de manobras de recrutamento alveolar e valores moderados de PEEP são adotados frequentemente em serviços de excelência sem prejuízos aos pacientes (OTÁVIO </w:t>
      </w:r>
      <w:r>
        <w:rPr>
          <w:i/>
          <w:sz w:val="28"/>
          <w:szCs w:val="28"/>
        </w:rPr>
        <w:t>et al.</w:t>
      </w:r>
      <w:r>
        <w:rPr>
          <w:sz w:val="28"/>
          <w:szCs w:val="28"/>
        </w:rPr>
        <w:t>,</w:t>
      </w:r>
      <w:r w:rsidR="00FE5845">
        <w:rPr>
          <w:sz w:val="28"/>
          <w:szCs w:val="28"/>
        </w:rPr>
        <w:t xml:space="preserve"> </w:t>
      </w:r>
      <w:r>
        <w:rPr>
          <w:sz w:val="28"/>
          <w:szCs w:val="28"/>
        </w:rPr>
        <w:t xml:space="preserve">2007)(MARCELO </w:t>
      </w:r>
      <w:r>
        <w:rPr>
          <w:i/>
          <w:sz w:val="28"/>
          <w:szCs w:val="28"/>
        </w:rPr>
        <w:t>et al.</w:t>
      </w:r>
      <w:r>
        <w:rPr>
          <w:sz w:val="28"/>
          <w:szCs w:val="28"/>
        </w:rPr>
        <w:t>, 2008).</w:t>
      </w:r>
    </w:p>
    <w:p w14:paraId="416FAE5F" w14:textId="77777777" w:rsidR="00197429" w:rsidRDefault="00E7181B">
      <w:pPr>
        <w:spacing w:line="18pt" w:lineRule="auto"/>
        <w:ind w:firstLine="36pt"/>
        <w:rPr>
          <w:sz w:val="28"/>
          <w:szCs w:val="28"/>
        </w:rPr>
      </w:pPr>
      <w:r>
        <w:rPr>
          <w:sz w:val="28"/>
          <w:szCs w:val="28"/>
        </w:rPr>
        <w:t>Dado o exposto, acredita-se que o protocolo para MR proposto neste estudo é seguro com risco mínimo de instabilidade hemodinâmica significativa.</w:t>
      </w:r>
    </w:p>
    <w:p w14:paraId="74813A5D" w14:textId="77777777" w:rsidR="00197429" w:rsidRDefault="00E7181B" w:rsidP="00096CF3">
      <w:pPr>
        <w:pStyle w:val="Ttulo1"/>
        <w:numPr>
          <w:ilvl w:val="0"/>
          <w:numId w:val="12"/>
        </w:numPr>
      </w:pPr>
      <w:bookmarkStart w:id="35" w:name="_Toc81581108"/>
      <w:r>
        <w:t>Discussão</w:t>
      </w:r>
      <w:bookmarkEnd w:id="35"/>
    </w:p>
    <w:p w14:paraId="1BDAABEE" w14:textId="68120589" w:rsidR="00197429" w:rsidRPr="00F23033" w:rsidRDefault="00113A6E" w:rsidP="00F23033">
      <w:pPr>
        <w:spacing w:line="18pt" w:lineRule="auto"/>
        <w:ind w:firstLine="18pt"/>
        <w:rPr>
          <w:sz w:val="28"/>
          <w:szCs w:val="28"/>
        </w:rPr>
      </w:pPr>
      <w:sdt>
        <w:sdtPr>
          <w:tag w:val="goog_rdk_7"/>
          <w:id w:val="291943347"/>
        </w:sdtPr>
        <w:sdtEndPr/>
        <w:sdtContent>
          <w:r w:rsidR="00E7181B" w:rsidRPr="0024640A">
            <w:rPr>
              <w:rFonts w:eastAsia="Gungsuh"/>
              <w:sz w:val="28"/>
              <w:szCs w:val="28"/>
            </w:rPr>
            <w:t>CPPs são frequentes após cirurgia cardíaca e muitos fatores podem contribuir para seu desenvolvimento, em particular a CEC. A maioria destas complicações não são graves, mas quando uma complicação grave ocorre, a vida de um paciente pode ser significativamente ameaçada. Nosso esforço neste ensaio está concentrado no desfecho clínico dos pacientes, avaliado por meio da redução da incidência de CPPs ≥ 3 de 32% para 15%</w:t>
          </w:r>
          <w:r w:rsidR="00B33983">
            <w:rPr>
              <w:rFonts w:eastAsia="Gungsuh"/>
              <w:sz w:val="28"/>
              <w:szCs w:val="28"/>
            </w:rPr>
            <w:t>, melhora da capacidade funcional na alta hospitalar e menor tempo de permanência na UTI</w:t>
          </w:r>
          <w:r w:rsidR="0013509B">
            <w:rPr>
              <w:rFonts w:eastAsia="Gungsuh"/>
              <w:sz w:val="28"/>
              <w:szCs w:val="28"/>
            </w:rPr>
            <w:t>.</w:t>
          </w:r>
        </w:sdtContent>
      </w:sdt>
    </w:p>
    <w:p w14:paraId="2F029870" w14:textId="77777777" w:rsidR="00197429" w:rsidRPr="0024640A" w:rsidRDefault="00E7181B" w:rsidP="00096CF3">
      <w:pPr>
        <w:pStyle w:val="Ttulo1"/>
        <w:numPr>
          <w:ilvl w:val="0"/>
          <w:numId w:val="12"/>
        </w:numPr>
      </w:pPr>
      <w:bookmarkStart w:id="36" w:name="_Toc81581109"/>
      <w:r w:rsidRPr="0024640A">
        <w:t>Outras informações</w:t>
      </w:r>
      <w:bookmarkEnd w:id="36"/>
    </w:p>
    <w:p w14:paraId="119EC566" w14:textId="77777777" w:rsidR="00197429" w:rsidRPr="0024640A" w:rsidRDefault="00197429">
      <w:pPr>
        <w:pStyle w:val="Ttulo2"/>
      </w:pPr>
    </w:p>
    <w:p w14:paraId="1307A330" w14:textId="77777777" w:rsidR="00197429" w:rsidRPr="0024640A" w:rsidRDefault="00E7181B">
      <w:pPr>
        <w:pStyle w:val="Ttulo2"/>
      </w:pPr>
      <w:bookmarkStart w:id="37" w:name="_Toc81581110"/>
      <w:r w:rsidRPr="0024640A">
        <w:t>6.1 Financiamento</w:t>
      </w:r>
      <w:bookmarkEnd w:id="37"/>
    </w:p>
    <w:p w14:paraId="270C26B4" w14:textId="77777777" w:rsidR="00197429" w:rsidRPr="0024640A" w:rsidRDefault="00197429">
      <w:pPr>
        <w:spacing w:line="18pt" w:lineRule="auto"/>
        <w:ind w:firstLine="18pt"/>
        <w:rPr>
          <w:sz w:val="28"/>
          <w:szCs w:val="28"/>
        </w:rPr>
      </w:pPr>
    </w:p>
    <w:p w14:paraId="18359F0F" w14:textId="77777777" w:rsidR="00197429" w:rsidRPr="0024640A" w:rsidRDefault="00E7181B">
      <w:pPr>
        <w:spacing w:line="18pt" w:lineRule="auto"/>
        <w:ind w:firstLine="18pt"/>
        <w:rPr>
          <w:sz w:val="28"/>
          <w:szCs w:val="28"/>
        </w:rPr>
      </w:pPr>
      <w:r w:rsidRPr="0024640A">
        <w:rPr>
          <w:sz w:val="28"/>
          <w:szCs w:val="28"/>
        </w:rPr>
        <w:t>Os exames laboratoriais e complementares fazem parte da rotina de pós-operatório da instituição não implicando em custos adicionais. Não serão necessárias a contratação de recursos humanos e a aquisição de materiais permanentes ou de consumo para a realização deste projeto de pesquisa.</w:t>
      </w:r>
    </w:p>
    <w:p w14:paraId="5C23C9DB" w14:textId="77777777" w:rsidR="00197429" w:rsidRPr="0024640A" w:rsidRDefault="00E7181B">
      <w:pPr>
        <w:rPr>
          <w:b/>
          <w:sz w:val="28"/>
          <w:szCs w:val="28"/>
        </w:rPr>
      </w:pPr>
      <w:r w:rsidRPr="0024640A">
        <w:br w:type="page"/>
      </w:r>
    </w:p>
    <w:p w14:paraId="6403B45E" w14:textId="77777777" w:rsidR="00197429" w:rsidRDefault="00E7181B" w:rsidP="00096CF3">
      <w:pPr>
        <w:pStyle w:val="Ttulo1"/>
        <w:numPr>
          <w:ilvl w:val="0"/>
          <w:numId w:val="12"/>
        </w:numPr>
      </w:pPr>
      <w:bookmarkStart w:id="38" w:name="_Toc81581111"/>
      <w:r>
        <w:lastRenderedPageBreak/>
        <w:t>Referências Bibliográficas</w:t>
      </w:r>
      <w:bookmarkEnd w:id="38"/>
    </w:p>
    <w:p w14:paraId="7D2B63DE" w14:textId="77777777" w:rsidR="00197429" w:rsidRDefault="00197429">
      <w:pPr>
        <w:rPr>
          <w:b/>
        </w:rPr>
      </w:pPr>
    </w:p>
    <w:p w14:paraId="04A3472B" w14:textId="77777777" w:rsidR="00197429" w:rsidRDefault="00E7181B">
      <w:pPr>
        <w:widowControl w:val="0"/>
        <w:spacing w:line="18pt" w:lineRule="auto"/>
        <w:rPr>
          <w:sz w:val="28"/>
          <w:szCs w:val="28"/>
        </w:rPr>
      </w:pPr>
      <w:r w:rsidRPr="003124CA">
        <w:rPr>
          <w:sz w:val="28"/>
          <w:szCs w:val="28"/>
          <w:lang w:val="en-GB"/>
        </w:rPr>
        <w:t xml:space="preserve">ALLOU, Nicolas </w:t>
      </w:r>
      <w:r w:rsidRPr="003124CA">
        <w:rPr>
          <w:i/>
          <w:sz w:val="28"/>
          <w:szCs w:val="28"/>
          <w:lang w:val="en-GB"/>
        </w:rPr>
        <w:t>et al.</w:t>
      </w:r>
      <w:r w:rsidRPr="003124CA">
        <w:rPr>
          <w:sz w:val="28"/>
          <w:szCs w:val="28"/>
          <w:lang w:val="en-GB"/>
        </w:rPr>
        <w:t xml:space="preserve"> Risk factors for postoperative pneumonia after cardiac surgery and development of a preoperative risk score. </w:t>
      </w:r>
      <w:r>
        <w:rPr>
          <w:b/>
          <w:sz w:val="28"/>
          <w:szCs w:val="28"/>
        </w:rPr>
        <w:t>Critical Care Medicine</w:t>
      </w:r>
      <w:r>
        <w:rPr>
          <w:sz w:val="28"/>
          <w:szCs w:val="28"/>
        </w:rPr>
        <w:t xml:space="preserve">, </w:t>
      </w:r>
      <w:r>
        <w:rPr>
          <w:i/>
          <w:sz w:val="28"/>
          <w:szCs w:val="28"/>
        </w:rPr>
        <w:t>[S. l.]</w:t>
      </w:r>
      <w:r>
        <w:rPr>
          <w:sz w:val="28"/>
          <w:szCs w:val="28"/>
        </w:rPr>
        <w:t>, v. 42, n. 5, p. 1150–1156, 2014. Disponível em: https://doi.org/10.1097/CCM.0000000000000143</w:t>
      </w:r>
    </w:p>
    <w:p w14:paraId="06EDF87E" w14:textId="77777777" w:rsidR="00197429" w:rsidRPr="003124CA" w:rsidRDefault="00E7181B">
      <w:pPr>
        <w:widowControl w:val="0"/>
        <w:spacing w:line="18pt" w:lineRule="auto"/>
        <w:rPr>
          <w:sz w:val="28"/>
          <w:szCs w:val="28"/>
          <w:lang w:val="en-GB"/>
        </w:rPr>
      </w:pPr>
      <w:r w:rsidRPr="003E4C16">
        <w:rPr>
          <w:sz w:val="28"/>
          <w:szCs w:val="28"/>
        </w:rPr>
        <w:t xml:space="preserve">AMATO, Marcelo B. P. </w:t>
      </w:r>
      <w:r w:rsidRPr="003E4C16">
        <w:rPr>
          <w:i/>
          <w:sz w:val="28"/>
          <w:szCs w:val="28"/>
        </w:rPr>
        <w:t>et al.</w:t>
      </w:r>
      <w:r w:rsidRPr="003E4C16">
        <w:rPr>
          <w:sz w:val="28"/>
          <w:szCs w:val="28"/>
        </w:rPr>
        <w:t xml:space="preserve"> </w:t>
      </w:r>
      <w:r w:rsidRPr="003124CA">
        <w:rPr>
          <w:sz w:val="28"/>
          <w:szCs w:val="28"/>
          <w:lang w:val="en-GB"/>
        </w:rPr>
        <w:t xml:space="preserve">Driving pressure and survival in the acute respiratory distress syndrome. </w:t>
      </w:r>
      <w:r w:rsidRPr="003124CA">
        <w:rPr>
          <w:b/>
          <w:sz w:val="28"/>
          <w:szCs w:val="28"/>
          <w:lang w:val="en-GB"/>
        </w:rPr>
        <w:t>New England Journal of Medicine</w:t>
      </w:r>
      <w:r w:rsidRPr="003124CA">
        <w:rPr>
          <w:sz w:val="28"/>
          <w:szCs w:val="28"/>
          <w:lang w:val="en-GB"/>
        </w:rPr>
        <w:t xml:space="preserve">, </w:t>
      </w:r>
      <w:r w:rsidRPr="003124CA">
        <w:rPr>
          <w:i/>
          <w:sz w:val="28"/>
          <w:szCs w:val="28"/>
          <w:lang w:val="en-GB"/>
        </w:rPr>
        <w:t>[S. l.]</w:t>
      </w:r>
      <w:r w:rsidRPr="003124CA">
        <w:rPr>
          <w:sz w:val="28"/>
          <w:szCs w:val="28"/>
          <w:lang w:val="en-GB"/>
        </w:rPr>
        <w:t xml:space="preserve">, v. 372, n. 8, p. 747–755, 2014. Disponível </w:t>
      </w:r>
      <w:proofErr w:type="spellStart"/>
      <w:r w:rsidRPr="003124CA">
        <w:rPr>
          <w:sz w:val="28"/>
          <w:szCs w:val="28"/>
          <w:lang w:val="en-GB"/>
        </w:rPr>
        <w:t>em</w:t>
      </w:r>
      <w:proofErr w:type="spellEnd"/>
      <w:r w:rsidRPr="003124CA">
        <w:rPr>
          <w:sz w:val="28"/>
          <w:szCs w:val="28"/>
          <w:lang w:val="en-GB"/>
        </w:rPr>
        <w:t>: https://doi.org/10.1056/NEJMsa1410639</w:t>
      </w:r>
    </w:p>
    <w:p w14:paraId="7262B244" w14:textId="77777777" w:rsidR="00197429" w:rsidRPr="003E4C16" w:rsidRDefault="00E7181B">
      <w:pPr>
        <w:widowControl w:val="0"/>
        <w:spacing w:line="18pt" w:lineRule="auto"/>
        <w:rPr>
          <w:sz w:val="28"/>
          <w:szCs w:val="28"/>
        </w:rPr>
      </w:pPr>
      <w:r w:rsidRPr="003124CA">
        <w:rPr>
          <w:sz w:val="28"/>
          <w:szCs w:val="28"/>
          <w:lang w:val="en-GB"/>
        </w:rPr>
        <w:t xml:space="preserve">AMATO, Marcelo B. P.; PH, D. Individual Positive End-expiratory Pressure Settings Optimize Intraoperative Mechanical Ventilation and. </w:t>
      </w:r>
      <w:r w:rsidRPr="003E4C16">
        <w:rPr>
          <w:i/>
          <w:sz w:val="28"/>
          <w:szCs w:val="28"/>
        </w:rPr>
        <w:t>[S. l.]</w:t>
      </w:r>
      <w:r w:rsidRPr="003E4C16">
        <w:rPr>
          <w:sz w:val="28"/>
          <w:szCs w:val="28"/>
        </w:rPr>
        <w:t xml:space="preserve">, n. 6, p. 1070–1081, 2018. </w:t>
      </w:r>
    </w:p>
    <w:p w14:paraId="4F5DD942" w14:textId="77777777" w:rsidR="00197429" w:rsidRDefault="00E7181B">
      <w:pPr>
        <w:widowControl w:val="0"/>
        <w:spacing w:line="18pt" w:lineRule="auto"/>
        <w:rPr>
          <w:sz w:val="28"/>
          <w:szCs w:val="28"/>
        </w:rPr>
      </w:pPr>
      <w:r w:rsidRPr="003E4C16">
        <w:rPr>
          <w:sz w:val="28"/>
          <w:szCs w:val="28"/>
        </w:rPr>
        <w:t xml:space="preserve">BALL, Lorenzo; COSTANTINO, Federico; PELOSI, Paolo. </w:t>
      </w:r>
      <w:r w:rsidRPr="003124CA">
        <w:rPr>
          <w:sz w:val="28"/>
          <w:szCs w:val="28"/>
          <w:lang w:val="en-GB"/>
        </w:rPr>
        <w:t xml:space="preserve">Postoperative complications of patients undergoing cardiac surgery. </w:t>
      </w:r>
      <w:r w:rsidRPr="003124CA">
        <w:rPr>
          <w:b/>
          <w:sz w:val="28"/>
          <w:szCs w:val="28"/>
          <w:lang w:val="en-GB"/>
        </w:rPr>
        <w:t>Current Opinion in Critical Care</w:t>
      </w:r>
      <w:r w:rsidRPr="003124CA">
        <w:rPr>
          <w:sz w:val="28"/>
          <w:szCs w:val="28"/>
          <w:lang w:val="en-GB"/>
        </w:rPr>
        <w:t xml:space="preserve">, </w:t>
      </w:r>
      <w:r w:rsidRPr="003124CA">
        <w:rPr>
          <w:i/>
          <w:sz w:val="28"/>
          <w:szCs w:val="28"/>
          <w:lang w:val="en-GB"/>
        </w:rPr>
        <w:t>[S. l.]</w:t>
      </w:r>
      <w:r w:rsidRPr="003124CA">
        <w:rPr>
          <w:sz w:val="28"/>
          <w:szCs w:val="28"/>
          <w:lang w:val="en-GB"/>
        </w:rPr>
        <w:t xml:space="preserve">, v. 22, n. 4, p. 386–392, 2016. </w:t>
      </w:r>
      <w:r>
        <w:rPr>
          <w:sz w:val="28"/>
          <w:szCs w:val="28"/>
        </w:rPr>
        <w:t>Disponível em: https://doi.org/10.1097/MCC.0000000000000319</w:t>
      </w:r>
    </w:p>
    <w:p w14:paraId="5E648ADF" w14:textId="77777777" w:rsidR="00197429" w:rsidRDefault="00E7181B">
      <w:pPr>
        <w:widowControl w:val="0"/>
        <w:spacing w:line="18pt" w:lineRule="auto"/>
        <w:rPr>
          <w:sz w:val="28"/>
          <w:szCs w:val="28"/>
        </w:rPr>
      </w:pPr>
      <w:r>
        <w:rPr>
          <w:sz w:val="28"/>
          <w:szCs w:val="28"/>
        </w:rPr>
        <w:t xml:space="preserve">BROOKS, Dina </w:t>
      </w:r>
      <w:r>
        <w:rPr>
          <w:i/>
          <w:sz w:val="28"/>
          <w:szCs w:val="28"/>
        </w:rPr>
        <w:t>et al.</w:t>
      </w:r>
      <w:r>
        <w:rPr>
          <w:sz w:val="28"/>
          <w:szCs w:val="28"/>
        </w:rPr>
        <w:t xml:space="preserve"> </w:t>
      </w:r>
      <w:r w:rsidRPr="003124CA">
        <w:rPr>
          <w:sz w:val="28"/>
          <w:szCs w:val="28"/>
          <w:lang w:val="en-GB"/>
        </w:rPr>
        <w:t xml:space="preserve">The two-minute walk test as a measure of functional capacity in cardiac surgery patients. </w:t>
      </w:r>
      <w:r w:rsidRPr="003124CA">
        <w:rPr>
          <w:b/>
          <w:sz w:val="28"/>
          <w:szCs w:val="28"/>
          <w:lang w:val="en-GB"/>
        </w:rPr>
        <w:t>Archives of Physical Medicine and Rehabilitation</w:t>
      </w:r>
      <w:r w:rsidRPr="003124CA">
        <w:rPr>
          <w:sz w:val="28"/>
          <w:szCs w:val="28"/>
          <w:lang w:val="en-GB"/>
        </w:rPr>
        <w:t xml:space="preserve">, </w:t>
      </w:r>
      <w:r w:rsidRPr="003124CA">
        <w:rPr>
          <w:i/>
          <w:sz w:val="28"/>
          <w:szCs w:val="28"/>
          <w:lang w:val="en-GB"/>
        </w:rPr>
        <w:t>[S. l.]</w:t>
      </w:r>
      <w:r w:rsidRPr="003124CA">
        <w:rPr>
          <w:sz w:val="28"/>
          <w:szCs w:val="28"/>
          <w:lang w:val="en-GB"/>
        </w:rPr>
        <w:t xml:space="preserve">, v. 85, n. 9, p. 1525–1530, 2004. </w:t>
      </w:r>
      <w:r>
        <w:rPr>
          <w:sz w:val="28"/>
          <w:szCs w:val="28"/>
        </w:rPr>
        <w:t>Disponível em: https://doi.org/10.1016/j.apmr.2004.01.023</w:t>
      </w:r>
    </w:p>
    <w:p w14:paraId="52307B4E" w14:textId="77777777" w:rsidR="00197429" w:rsidRDefault="00E7181B">
      <w:pPr>
        <w:widowControl w:val="0"/>
        <w:spacing w:line="18pt" w:lineRule="auto"/>
        <w:rPr>
          <w:sz w:val="28"/>
          <w:szCs w:val="28"/>
        </w:rPr>
      </w:pPr>
      <w:r w:rsidRPr="003E4C16">
        <w:rPr>
          <w:sz w:val="28"/>
          <w:szCs w:val="28"/>
        </w:rPr>
        <w:t xml:space="preserve">BUGEDO, Guillermo; RETAMAL, Jaime; BRUHN, Alejandro. </w:t>
      </w:r>
      <w:r w:rsidRPr="003124CA">
        <w:rPr>
          <w:sz w:val="28"/>
          <w:szCs w:val="28"/>
          <w:lang w:val="en-GB"/>
        </w:rPr>
        <w:t xml:space="preserve">Driving </w:t>
      </w:r>
      <w:proofErr w:type="gramStart"/>
      <w:r w:rsidRPr="003124CA">
        <w:rPr>
          <w:sz w:val="28"/>
          <w:szCs w:val="28"/>
          <w:lang w:val="en-GB"/>
        </w:rPr>
        <w:t>pressure :</w:t>
      </w:r>
      <w:proofErr w:type="gramEnd"/>
      <w:r w:rsidRPr="003124CA">
        <w:rPr>
          <w:sz w:val="28"/>
          <w:szCs w:val="28"/>
          <w:lang w:val="en-GB"/>
        </w:rPr>
        <w:t xml:space="preserve"> a marker of severity , a safety limit , or a goal for mechanical ventilation ? </w:t>
      </w:r>
      <w:r>
        <w:rPr>
          <w:i/>
          <w:sz w:val="28"/>
          <w:szCs w:val="28"/>
        </w:rPr>
        <w:t>[S. l.]</w:t>
      </w:r>
      <w:r>
        <w:rPr>
          <w:sz w:val="28"/>
          <w:szCs w:val="28"/>
        </w:rPr>
        <w:t>, p. 1–7, 2017. Disponível em: https://doi.org/10.1186/s13054-017-1779-x</w:t>
      </w:r>
    </w:p>
    <w:p w14:paraId="28F74790" w14:textId="77777777" w:rsidR="00197429" w:rsidRDefault="00E7181B">
      <w:pPr>
        <w:widowControl w:val="0"/>
        <w:spacing w:line="18pt" w:lineRule="auto"/>
        <w:rPr>
          <w:sz w:val="28"/>
          <w:szCs w:val="28"/>
        </w:rPr>
      </w:pPr>
      <w:r>
        <w:rPr>
          <w:sz w:val="28"/>
          <w:szCs w:val="28"/>
        </w:rPr>
        <w:t xml:space="preserve">CANET, Jaume </w:t>
      </w:r>
      <w:r>
        <w:rPr>
          <w:i/>
          <w:sz w:val="28"/>
          <w:szCs w:val="28"/>
        </w:rPr>
        <w:t>et al.</w:t>
      </w:r>
      <w:r>
        <w:rPr>
          <w:sz w:val="28"/>
          <w:szCs w:val="28"/>
        </w:rPr>
        <w:t xml:space="preserve"> </w:t>
      </w:r>
      <w:r w:rsidRPr="003124CA">
        <w:rPr>
          <w:sz w:val="28"/>
          <w:szCs w:val="28"/>
          <w:lang w:val="en-GB"/>
        </w:rPr>
        <w:t xml:space="preserve">Prediction of postoperative pulmonary complications in a population-based surgical cohort. </w:t>
      </w:r>
      <w:proofErr w:type="spellStart"/>
      <w:r>
        <w:rPr>
          <w:b/>
          <w:sz w:val="28"/>
          <w:szCs w:val="28"/>
        </w:rPr>
        <w:t>Anesthesiology</w:t>
      </w:r>
      <w:proofErr w:type="spellEnd"/>
      <w:r>
        <w:rPr>
          <w:sz w:val="28"/>
          <w:szCs w:val="28"/>
        </w:rPr>
        <w:t xml:space="preserve">, </w:t>
      </w:r>
      <w:r>
        <w:rPr>
          <w:i/>
          <w:sz w:val="28"/>
          <w:szCs w:val="28"/>
        </w:rPr>
        <w:t>[S. l.]</w:t>
      </w:r>
      <w:r>
        <w:rPr>
          <w:sz w:val="28"/>
          <w:szCs w:val="28"/>
        </w:rPr>
        <w:t>, v. 113, n. 6, p. 1338–1350, 2010. Disponível em: https://doi.org/10.1097/ALN.0b013e3181fc6e0a</w:t>
      </w:r>
    </w:p>
    <w:p w14:paraId="31812C31" w14:textId="77777777" w:rsidR="00197429" w:rsidRDefault="00E7181B">
      <w:pPr>
        <w:widowControl w:val="0"/>
        <w:spacing w:line="18pt" w:lineRule="auto"/>
        <w:rPr>
          <w:sz w:val="28"/>
          <w:szCs w:val="28"/>
        </w:rPr>
      </w:pPr>
      <w:r w:rsidRPr="00D94795">
        <w:rPr>
          <w:sz w:val="28"/>
          <w:szCs w:val="28"/>
          <w:lang w:val="es-ES"/>
        </w:rPr>
        <w:lastRenderedPageBreak/>
        <w:t xml:space="preserve">COSTA LEME, Alcino </w:t>
      </w:r>
      <w:r w:rsidRPr="00D94795">
        <w:rPr>
          <w:i/>
          <w:sz w:val="28"/>
          <w:szCs w:val="28"/>
          <w:lang w:val="es-ES"/>
        </w:rPr>
        <w:t>et al.</w:t>
      </w:r>
      <w:r w:rsidRPr="00D94795">
        <w:rPr>
          <w:sz w:val="28"/>
          <w:szCs w:val="28"/>
          <w:lang w:val="es-ES"/>
        </w:rPr>
        <w:t xml:space="preserve"> </w:t>
      </w:r>
      <w:r w:rsidRPr="003124CA">
        <w:rPr>
          <w:sz w:val="28"/>
          <w:szCs w:val="28"/>
          <w:lang w:val="en-GB"/>
        </w:rPr>
        <w:t xml:space="preserve">Effect of intensive vs moderate alveolar recruitment strategies added to lung-protective ventilation on postoperative pulmonary complications a randomized clinical trial. </w:t>
      </w:r>
      <w:r w:rsidRPr="003124CA">
        <w:rPr>
          <w:b/>
          <w:sz w:val="28"/>
          <w:szCs w:val="28"/>
          <w:lang w:val="en-GB"/>
        </w:rPr>
        <w:t>JAMA - Journal of the American Medical Association</w:t>
      </w:r>
      <w:r w:rsidRPr="003124CA">
        <w:rPr>
          <w:sz w:val="28"/>
          <w:szCs w:val="28"/>
          <w:lang w:val="en-GB"/>
        </w:rPr>
        <w:t xml:space="preserve">, </w:t>
      </w:r>
      <w:r w:rsidRPr="003124CA">
        <w:rPr>
          <w:i/>
          <w:sz w:val="28"/>
          <w:szCs w:val="28"/>
          <w:lang w:val="en-GB"/>
        </w:rPr>
        <w:t>[S. l.]</w:t>
      </w:r>
      <w:r w:rsidRPr="003124CA">
        <w:rPr>
          <w:sz w:val="28"/>
          <w:szCs w:val="28"/>
          <w:lang w:val="en-GB"/>
        </w:rPr>
        <w:t xml:space="preserve">, v. 317, n. 14, p. 1422–1432, 2017. </w:t>
      </w:r>
      <w:r>
        <w:rPr>
          <w:sz w:val="28"/>
          <w:szCs w:val="28"/>
        </w:rPr>
        <w:t>Disponível em: https://doi.org/10.1001/jama.2017.2297</w:t>
      </w:r>
    </w:p>
    <w:p w14:paraId="43891537" w14:textId="77777777" w:rsidR="00197429" w:rsidRPr="003E4C16" w:rsidRDefault="00E7181B">
      <w:pPr>
        <w:widowControl w:val="0"/>
        <w:spacing w:line="18pt" w:lineRule="auto"/>
        <w:rPr>
          <w:sz w:val="28"/>
          <w:szCs w:val="28"/>
        </w:rPr>
      </w:pPr>
      <w:r>
        <w:rPr>
          <w:sz w:val="28"/>
          <w:szCs w:val="28"/>
        </w:rPr>
        <w:t xml:space="preserve">FRANCISCO POLI DE FIGUEIREDO, Luiz; SILVA, </w:t>
      </w:r>
      <w:proofErr w:type="spellStart"/>
      <w:r>
        <w:rPr>
          <w:sz w:val="28"/>
          <w:szCs w:val="28"/>
        </w:rPr>
        <w:t>Eliézer</w:t>
      </w:r>
      <w:proofErr w:type="spellEnd"/>
      <w:r>
        <w:rPr>
          <w:sz w:val="28"/>
          <w:szCs w:val="28"/>
        </w:rPr>
        <w:t xml:space="preserve">; DOMINGOS CORRÊA, Thiago. Avaliação hemodinâmica macro e micro- circulatória no choque séptico Macro and </w:t>
      </w:r>
      <w:proofErr w:type="spellStart"/>
      <w:r>
        <w:rPr>
          <w:sz w:val="28"/>
          <w:szCs w:val="28"/>
        </w:rPr>
        <w:t>micro-circulatory</w:t>
      </w:r>
      <w:proofErr w:type="spellEnd"/>
      <w:r>
        <w:rPr>
          <w:sz w:val="28"/>
          <w:szCs w:val="28"/>
        </w:rPr>
        <w:t xml:space="preserve"> </w:t>
      </w:r>
      <w:proofErr w:type="spellStart"/>
      <w:r>
        <w:rPr>
          <w:sz w:val="28"/>
          <w:szCs w:val="28"/>
        </w:rPr>
        <w:t>hemodynamics</w:t>
      </w:r>
      <w:proofErr w:type="spellEnd"/>
      <w:r>
        <w:rPr>
          <w:sz w:val="28"/>
          <w:szCs w:val="28"/>
        </w:rPr>
        <w:t xml:space="preserve"> </w:t>
      </w:r>
      <w:proofErr w:type="spellStart"/>
      <w:r>
        <w:rPr>
          <w:sz w:val="28"/>
          <w:szCs w:val="28"/>
        </w:rPr>
        <w:t>evaluation</w:t>
      </w:r>
      <w:proofErr w:type="spellEnd"/>
      <w:r>
        <w:rPr>
          <w:sz w:val="28"/>
          <w:szCs w:val="28"/>
        </w:rPr>
        <w:t xml:space="preserve"> in </w:t>
      </w:r>
      <w:proofErr w:type="spellStart"/>
      <w:r>
        <w:rPr>
          <w:sz w:val="28"/>
          <w:szCs w:val="28"/>
        </w:rPr>
        <w:t>sepsis</w:t>
      </w:r>
      <w:proofErr w:type="spellEnd"/>
      <w:r>
        <w:rPr>
          <w:sz w:val="28"/>
          <w:szCs w:val="28"/>
        </w:rPr>
        <w:t xml:space="preserve">. </w:t>
      </w:r>
      <w:proofErr w:type="spellStart"/>
      <w:r w:rsidRPr="003E4C16">
        <w:rPr>
          <w:b/>
          <w:sz w:val="28"/>
          <w:szCs w:val="28"/>
        </w:rPr>
        <w:t>Rev</w:t>
      </w:r>
      <w:proofErr w:type="spellEnd"/>
      <w:r w:rsidRPr="003E4C16">
        <w:rPr>
          <w:b/>
          <w:sz w:val="28"/>
          <w:szCs w:val="28"/>
        </w:rPr>
        <w:t xml:space="preserve"> Med (São Paulo</w:t>
      </w:r>
      <w:r w:rsidRPr="003E4C16">
        <w:rPr>
          <w:sz w:val="28"/>
          <w:szCs w:val="28"/>
        </w:rPr>
        <w:t xml:space="preserve">, </w:t>
      </w:r>
      <w:r w:rsidRPr="003E4C16">
        <w:rPr>
          <w:i/>
          <w:sz w:val="28"/>
          <w:szCs w:val="28"/>
        </w:rPr>
        <w:t>[S. l.]</w:t>
      </w:r>
      <w:r w:rsidRPr="003E4C16">
        <w:rPr>
          <w:sz w:val="28"/>
          <w:szCs w:val="28"/>
        </w:rPr>
        <w:t xml:space="preserve">, v. 87, n. 2, p. 84–91, 2008. </w:t>
      </w:r>
    </w:p>
    <w:p w14:paraId="7CFFA868" w14:textId="2B3C0A9E" w:rsidR="00197429" w:rsidRDefault="00E7181B">
      <w:pPr>
        <w:widowControl w:val="0"/>
        <w:spacing w:line="18pt" w:lineRule="auto"/>
        <w:rPr>
          <w:sz w:val="28"/>
          <w:szCs w:val="28"/>
        </w:rPr>
      </w:pPr>
      <w:r w:rsidRPr="003E4C16">
        <w:rPr>
          <w:sz w:val="28"/>
          <w:szCs w:val="28"/>
        </w:rPr>
        <w:t xml:space="preserve">GUÉRIN, Claude </w:t>
      </w:r>
      <w:r w:rsidRPr="003E4C16">
        <w:rPr>
          <w:i/>
          <w:sz w:val="28"/>
          <w:szCs w:val="28"/>
        </w:rPr>
        <w:t>et al.</w:t>
      </w:r>
      <w:r w:rsidRPr="003E4C16">
        <w:rPr>
          <w:sz w:val="28"/>
          <w:szCs w:val="28"/>
        </w:rPr>
        <w:t xml:space="preserve"> </w:t>
      </w:r>
      <w:r w:rsidRPr="003124CA">
        <w:rPr>
          <w:sz w:val="28"/>
          <w:szCs w:val="28"/>
          <w:lang w:val="en-GB"/>
        </w:rPr>
        <w:t>Effect of driving pressure on mortality in ARDS patients during lung protective mechanical ventilation</w:t>
      </w:r>
      <w:r w:rsidR="00AD4009">
        <w:rPr>
          <w:sz w:val="28"/>
          <w:szCs w:val="28"/>
          <w:lang w:val="en-GB"/>
        </w:rPr>
        <w:t xml:space="preserve"> </w:t>
      </w:r>
      <w:r w:rsidRPr="003124CA">
        <w:rPr>
          <w:sz w:val="28"/>
          <w:szCs w:val="28"/>
          <w:lang w:val="en-GB"/>
        </w:rPr>
        <w:t xml:space="preserve">in two randomized controlled trials. </w:t>
      </w:r>
      <w:r>
        <w:rPr>
          <w:b/>
          <w:sz w:val="28"/>
          <w:szCs w:val="28"/>
        </w:rPr>
        <w:t>Critical Care</w:t>
      </w:r>
      <w:r>
        <w:rPr>
          <w:sz w:val="28"/>
          <w:szCs w:val="28"/>
        </w:rPr>
        <w:t xml:space="preserve">, </w:t>
      </w:r>
      <w:r>
        <w:rPr>
          <w:i/>
          <w:sz w:val="28"/>
          <w:szCs w:val="28"/>
        </w:rPr>
        <w:t>[S. l.]</w:t>
      </w:r>
      <w:r>
        <w:rPr>
          <w:sz w:val="28"/>
          <w:szCs w:val="28"/>
        </w:rPr>
        <w:t>, v. 20, n. 1, p. 1–9, 2016. Disponível em: https://doi.org/10.1186/s13054-016-1556-2</w:t>
      </w:r>
    </w:p>
    <w:p w14:paraId="76EC9E48" w14:textId="77777777" w:rsidR="00197429" w:rsidRDefault="00E7181B">
      <w:pPr>
        <w:widowControl w:val="0"/>
        <w:spacing w:line="18pt" w:lineRule="auto"/>
        <w:rPr>
          <w:sz w:val="28"/>
          <w:szCs w:val="28"/>
        </w:rPr>
      </w:pPr>
      <w:r w:rsidRPr="00D94795">
        <w:rPr>
          <w:sz w:val="28"/>
          <w:szCs w:val="28"/>
          <w:lang w:val="fr-FR"/>
        </w:rPr>
        <w:t xml:space="preserve">HESS, Dean R. </w:t>
      </w:r>
      <w:r w:rsidRPr="00D94795">
        <w:rPr>
          <w:i/>
          <w:sz w:val="28"/>
          <w:szCs w:val="28"/>
          <w:lang w:val="fr-FR"/>
        </w:rPr>
        <w:t>et al.</w:t>
      </w:r>
      <w:r w:rsidRPr="00D94795">
        <w:rPr>
          <w:sz w:val="28"/>
          <w:szCs w:val="28"/>
          <w:lang w:val="fr-FR"/>
        </w:rPr>
        <w:t xml:space="preserve"> </w:t>
      </w:r>
      <w:r w:rsidRPr="003124CA">
        <w:rPr>
          <w:sz w:val="28"/>
          <w:szCs w:val="28"/>
          <w:lang w:val="en-GB"/>
        </w:rPr>
        <w:t>A 5-year observational study of lung-protective ventilation in the operating room: A single-</w:t>
      </w:r>
      <w:proofErr w:type="spellStart"/>
      <w:r w:rsidRPr="003124CA">
        <w:rPr>
          <w:sz w:val="28"/>
          <w:szCs w:val="28"/>
          <w:lang w:val="en-GB"/>
        </w:rPr>
        <w:t>center</w:t>
      </w:r>
      <w:proofErr w:type="spellEnd"/>
      <w:r w:rsidRPr="003124CA">
        <w:rPr>
          <w:sz w:val="28"/>
          <w:szCs w:val="28"/>
          <w:lang w:val="en-GB"/>
        </w:rPr>
        <w:t xml:space="preserve"> experience. </w:t>
      </w:r>
      <w:r w:rsidRPr="003124CA">
        <w:rPr>
          <w:b/>
          <w:sz w:val="28"/>
          <w:szCs w:val="28"/>
          <w:lang w:val="en-GB"/>
        </w:rPr>
        <w:t>Journal of Critical Care</w:t>
      </w:r>
      <w:r w:rsidRPr="003124CA">
        <w:rPr>
          <w:sz w:val="28"/>
          <w:szCs w:val="28"/>
          <w:lang w:val="en-GB"/>
        </w:rPr>
        <w:t xml:space="preserve">, </w:t>
      </w:r>
      <w:r w:rsidRPr="003124CA">
        <w:rPr>
          <w:i/>
          <w:sz w:val="28"/>
          <w:szCs w:val="28"/>
          <w:lang w:val="en-GB"/>
        </w:rPr>
        <w:t>[S. l.]</w:t>
      </w:r>
      <w:r w:rsidRPr="003124CA">
        <w:rPr>
          <w:sz w:val="28"/>
          <w:szCs w:val="28"/>
          <w:lang w:val="en-GB"/>
        </w:rPr>
        <w:t xml:space="preserve">, v. 28, n. 4, p. 533.e9-533.e15, 2013. </w:t>
      </w:r>
      <w:r>
        <w:rPr>
          <w:sz w:val="28"/>
          <w:szCs w:val="28"/>
        </w:rPr>
        <w:t>Disponível em: https://doi.org/10.1016/j.jcrc.2012.11.014</w:t>
      </w:r>
    </w:p>
    <w:p w14:paraId="6E811DC6" w14:textId="77777777" w:rsidR="00197429" w:rsidRPr="003124CA" w:rsidRDefault="00E7181B">
      <w:pPr>
        <w:widowControl w:val="0"/>
        <w:spacing w:line="18pt" w:lineRule="auto"/>
        <w:rPr>
          <w:sz w:val="28"/>
          <w:szCs w:val="28"/>
          <w:lang w:val="en-GB"/>
        </w:rPr>
      </w:pPr>
      <w:r>
        <w:rPr>
          <w:sz w:val="28"/>
          <w:szCs w:val="28"/>
        </w:rPr>
        <w:t xml:space="preserve">HIRSCHHORN, Andrew D. </w:t>
      </w:r>
      <w:r>
        <w:rPr>
          <w:i/>
          <w:sz w:val="28"/>
          <w:szCs w:val="28"/>
        </w:rPr>
        <w:t>et al.</w:t>
      </w:r>
      <w:r>
        <w:rPr>
          <w:sz w:val="28"/>
          <w:szCs w:val="28"/>
        </w:rPr>
        <w:t xml:space="preserve"> </w:t>
      </w:r>
      <w:r w:rsidRPr="003124CA">
        <w:rPr>
          <w:sz w:val="28"/>
          <w:szCs w:val="28"/>
          <w:lang w:val="en-GB"/>
        </w:rPr>
        <w:t xml:space="preserve">Supervised Moderate Intensity Exercise Improves Distance Walked at Hospital Discharge Following Coronary Artery Bypass Graft Surgery-A Randomised Controlled Trial. </w:t>
      </w:r>
      <w:r w:rsidRPr="003124CA">
        <w:rPr>
          <w:b/>
          <w:sz w:val="28"/>
          <w:szCs w:val="28"/>
          <w:lang w:val="en-GB"/>
        </w:rPr>
        <w:t>Heart Lung and Circulation</w:t>
      </w:r>
      <w:r w:rsidRPr="003124CA">
        <w:rPr>
          <w:sz w:val="28"/>
          <w:szCs w:val="28"/>
          <w:lang w:val="en-GB"/>
        </w:rPr>
        <w:t xml:space="preserve">, </w:t>
      </w:r>
      <w:r w:rsidRPr="003124CA">
        <w:rPr>
          <w:i/>
          <w:sz w:val="28"/>
          <w:szCs w:val="28"/>
          <w:lang w:val="en-GB"/>
        </w:rPr>
        <w:t>[S. l.]</w:t>
      </w:r>
      <w:r w:rsidRPr="003124CA">
        <w:rPr>
          <w:sz w:val="28"/>
          <w:szCs w:val="28"/>
          <w:lang w:val="en-GB"/>
        </w:rPr>
        <w:t xml:space="preserve">, v. 17, n. 2, p. 129–138, 2008. Disponível </w:t>
      </w:r>
      <w:proofErr w:type="spellStart"/>
      <w:r w:rsidRPr="003124CA">
        <w:rPr>
          <w:sz w:val="28"/>
          <w:szCs w:val="28"/>
          <w:lang w:val="en-GB"/>
        </w:rPr>
        <w:t>em</w:t>
      </w:r>
      <w:proofErr w:type="spellEnd"/>
      <w:r w:rsidRPr="003124CA">
        <w:rPr>
          <w:sz w:val="28"/>
          <w:szCs w:val="28"/>
          <w:lang w:val="en-GB"/>
        </w:rPr>
        <w:t>: https://doi.org/10.1016/j.hlc.2007.09.004</w:t>
      </w:r>
    </w:p>
    <w:p w14:paraId="6A602B3D" w14:textId="77777777" w:rsidR="00197429" w:rsidRDefault="00E7181B">
      <w:pPr>
        <w:widowControl w:val="0"/>
        <w:spacing w:line="18pt" w:lineRule="auto"/>
        <w:rPr>
          <w:sz w:val="28"/>
          <w:szCs w:val="28"/>
        </w:rPr>
      </w:pPr>
      <w:r w:rsidRPr="003124CA">
        <w:rPr>
          <w:sz w:val="28"/>
          <w:szCs w:val="28"/>
          <w:lang w:val="en-GB"/>
        </w:rPr>
        <w:t xml:space="preserve">ISSUES, Safety </w:t>
      </w:r>
      <w:r w:rsidRPr="003124CA">
        <w:rPr>
          <w:i/>
          <w:sz w:val="28"/>
          <w:szCs w:val="28"/>
          <w:lang w:val="en-GB"/>
        </w:rPr>
        <w:t>et al.</w:t>
      </w:r>
      <w:r w:rsidRPr="003124CA">
        <w:rPr>
          <w:sz w:val="28"/>
          <w:szCs w:val="28"/>
          <w:lang w:val="en-GB"/>
        </w:rPr>
        <w:t xml:space="preserve"> American Thoracic Society ATS </w:t>
      </w:r>
      <w:proofErr w:type="gramStart"/>
      <w:r w:rsidRPr="003124CA">
        <w:rPr>
          <w:sz w:val="28"/>
          <w:szCs w:val="28"/>
          <w:lang w:val="en-GB"/>
        </w:rPr>
        <w:t>Statement :</w:t>
      </w:r>
      <w:proofErr w:type="gramEnd"/>
      <w:r w:rsidRPr="003124CA">
        <w:rPr>
          <w:sz w:val="28"/>
          <w:szCs w:val="28"/>
          <w:lang w:val="en-GB"/>
        </w:rPr>
        <w:t xml:space="preserve"> Guidelines for the Six-Minute Walk Test. </w:t>
      </w:r>
      <w:r>
        <w:rPr>
          <w:i/>
          <w:sz w:val="28"/>
          <w:szCs w:val="28"/>
        </w:rPr>
        <w:t>[S. l.]</w:t>
      </w:r>
      <w:r>
        <w:rPr>
          <w:sz w:val="28"/>
          <w:szCs w:val="28"/>
        </w:rPr>
        <w:t>, v. 166, p. 111–117, 2002. Disponível em: https://doi.org/10.1164/rccm.166/1/111</w:t>
      </w:r>
    </w:p>
    <w:p w14:paraId="0667BC2C" w14:textId="77777777" w:rsidR="00197429" w:rsidRDefault="00E7181B">
      <w:pPr>
        <w:widowControl w:val="0"/>
        <w:spacing w:line="18pt" w:lineRule="auto"/>
        <w:rPr>
          <w:sz w:val="28"/>
          <w:szCs w:val="28"/>
        </w:rPr>
      </w:pPr>
      <w:r w:rsidRPr="001E62A2">
        <w:rPr>
          <w:sz w:val="28"/>
          <w:szCs w:val="28"/>
          <w:lang w:val="en-GB"/>
        </w:rPr>
        <w:t xml:space="preserve">JABER, S. </w:t>
      </w:r>
      <w:r w:rsidRPr="001E62A2">
        <w:rPr>
          <w:i/>
          <w:sz w:val="28"/>
          <w:szCs w:val="28"/>
          <w:lang w:val="en-GB"/>
        </w:rPr>
        <w:t>et al.</w:t>
      </w:r>
      <w:r w:rsidRPr="001E62A2">
        <w:rPr>
          <w:sz w:val="28"/>
          <w:szCs w:val="28"/>
          <w:lang w:val="en-GB"/>
        </w:rPr>
        <w:t xml:space="preserve"> </w:t>
      </w:r>
      <w:r w:rsidRPr="003124CA">
        <w:rPr>
          <w:sz w:val="28"/>
          <w:szCs w:val="28"/>
          <w:lang w:val="en-GB"/>
        </w:rPr>
        <w:t xml:space="preserve">A multicentre observational study of intra-operative ventilatory management during general anaesthesia: Tidal volumes and relation to body weight. </w:t>
      </w:r>
      <w:proofErr w:type="spellStart"/>
      <w:r>
        <w:rPr>
          <w:b/>
          <w:sz w:val="28"/>
          <w:szCs w:val="28"/>
        </w:rPr>
        <w:t>Anaesthesia</w:t>
      </w:r>
      <w:proofErr w:type="spellEnd"/>
      <w:r>
        <w:rPr>
          <w:sz w:val="28"/>
          <w:szCs w:val="28"/>
        </w:rPr>
        <w:t xml:space="preserve">, </w:t>
      </w:r>
      <w:r>
        <w:rPr>
          <w:i/>
          <w:sz w:val="28"/>
          <w:szCs w:val="28"/>
        </w:rPr>
        <w:t>[S. l.]</w:t>
      </w:r>
      <w:r>
        <w:rPr>
          <w:sz w:val="28"/>
          <w:szCs w:val="28"/>
        </w:rPr>
        <w:t>, v. 67, n. 9, p. 999–1008, 2012. Disponível em: https://doi.org/10.1111/j.1365-2044.2012.07218.x</w:t>
      </w:r>
    </w:p>
    <w:p w14:paraId="54AAA4DF" w14:textId="77777777" w:rsidR="00197429" w:rsidRPr="003124CA" w:rsidRDefault="00E7181B">
      <w:pPr>
        <w:widowControl w:val="0"/>
        <w:spacing w:line="18pt" w:lineRule="auto"/>
        <w:rPr>
          <w:sz w:val="28"/>
          <w:szCs w:val="28"/>
          <w:lang w:val="en-GB"/>
        </w:rPr>
      </w:pPr>
      <w:r>
        <w:rPr>
          <w:sz w:val="28"/>
          <w:szCs w:val="28"/>
        </w:rPr>
        <w:lastRenderedPageBreak/>
        <w:t xml:space="preserve">JERRE, George </w:t>
      </w:r>
      <w:r>
        <w:rPr>
          <w:i/>
          <w:sz w:val="28"/>
          <w:szCs w:val="28"/>
        </w:rPr>
        <w:t>et al.</w:t>
      </w:r>
      <w:r>
        <w:rPr>
          <w:sz w:val="28"/>
          <w:szCs w:val="28"/>
        </w:rPr>
        <w:t xml:space="preserve"> Fisioterapia no paciente sob ventilação mecânica. </w:t>
      </w:r>
      <w:r>
        <w:rPr>
          <w:b/>
          <w:sz w:val="28"/>
          <w:szCs w:val="28"/>
        </w:rPr>
        <w:t>Revista Brasileira de Terapia Intensiva</w:t>
      </w:r>
      <w:r>
        <w:rPr>
          <w:sz w:val="28"/>
          <w:szCs w:val="28"/>
        </w:rPr>
        <w:t xml:space="preserve">, </w:t>
      </w:r>
      <w:r>
        <w:rPr>
          <w:i/>
          <w:sz w:val="28"/>
          <w:szCs w:val="28"/>
        </w:rPr>
        <w:t>[S. l.]</w:t>
      </w:r>
      <w:r>
        <w:rPr>
          <w:sz w:val="28"/>
          <w:szCs w:val="28"/>
        </w:rPr>
        <w:t xml:space="preserve">, v. 19, n. 3, p. 399–407, 2007. </w:t>
      </w:r>
      <w:r w:rsidRPr="003124CA">
        <w:rPr>
          <w:sz w:val="28"/>
          <w:szCs w:val="28"/>
          <w:lang w:val="en-GB"/>
        </w:rPr>
        <w:t xml:space="preserve">Disponível </w:t>
      </w:r>
      <w:proofErr w:type="spellStart"/>
      <w:r w:rsidRPr="003124CA">
        <w:rPr>
          <w:sz w:val="28"/>
          <w:szCs w:val="28"/>
          <w:lang w:val="en-GB"/>
        </w:rPr>
        <w:t>em</w:t>
      </w:r>
      <w:proofErr w:type="spellEnd"/>
      <w:r w:rsidRPr="003124CA">
        <w:rPr>
          <w:sz w:val="28"/>
          <w:szCs w:val="28"/>
          <w:lang w:val="en-GB"/>
        </w:rPr>
        <w:t>: https://doi.org/10.1590/s0103-507x2007000300023</w:t>
      </w:r>
    </w:p>
    <w:p w14:paraId="3183E464" w14:textId="77777777" w:rsidR="00197429" w:rsidRDefault="00E7181B">
      <w:pPr>
        <w:widowControl w:val="0"/>
        <w:spacing w:line="18pt" w:lineRule="auto"/>
        <w:rPr>
          <w:sz w:val="28"/>
          <w:szCs w:val="28"/>
        </w:rPr>
      </w:pPr>
      <w:r w:rsidRPr="003124CA">
        <w:rPr>
          <w:sz w:val="28"/>
          <w:szCs w:val="28"/>
          <w:lang w:val="en-GB"/>
        </w:rPr>
        <w:t xml:space="preserve">LAFFEY, John G.; BOYLAN, John F.; CHENG, Davy C. H. The systemic inflammatory response to cardiac surgery. </w:t>
      </w:r>
      <w:proofErr w:type="spellStart"/>
      <w:r>
        <w:rPr>
          <w:b/>
          <w:sz w:val="28"/>
          <w:szCs w:val="28"/>
        </w:rPr>
        <w:t>Anesthesiology</w:t>
      </w:r>
      <w:proofErr w:type="spellEnd"/>
      <w:r>
        <w:rPr>
          <w:sz w:val="28"/>
          <w:szCs w:val="28"/>
        </w:rPr>
        <w:t xml:space="preserve">, </w:t>
      </w:r>
      <w:r>
        <w:rPr>
          <w:i/>
          <w:sz w:val="28"/>
          <w:szCs w:val="28"/>
        </w:rPr>
        <w:t>[S. l.]</w:t>
      </w:r>
      <w:r>
        <w:rPr>
          <w:sz w:val="28"/>
          <w:szCs w:val="28"/>
        </w:rPr>
        <w:t>, v. 97, n. 1, p. 215–252, 2002. Disponível em: https://doi.org/10.1097/00000542-200207000-00030</w:t>
      </w:r>
    </w:p>
    <w:p w14:paraId="2BDDA0F4" w14:textId="77777777" w:rsidR="00197429" w:rsidRPr="00D94795" w:rsidRDefault="00E7181B">
      <w:pPr>
        <w:widowControl w:val="0"/>
        <w:spacing w:line="18pt" w:lineRule="auto"/>
        <w:rPr>
          <w:sz w:val="28"/>
          <w:szCs w:val="28"/>
          <w:lang w:val="es-ES"/>
        </w:rPr>
      </w:pPr>
      <w:r w:rsidRPr="003124CA">
        <w:rPr>
          <w:sz w:val="28"/>
          <w:szCs w:val="28"/>
          <w:lang w:val="en-GB"/>
        </w:rPr>
        <w:t xml:space="preserve">M, Gardner Reed. Downloaded from anesthesiology.pubs.asahq.org by guest on 01/28/2019. </w:t>
      </w:r>
      <w:proofErr w:type="spellStart"/>
      <w:r w:rsidRPr="00D94795">
        <w:rPr>
          <w:b/>
          <w:sz w:val="28"/>
          <w:szCs w:val="28"/>
          <w:lang w:val="es-ES"/>
        </w:rPr>
        <w:t>Anesthesiology</w:t>
      </w:r>
      <w:proofErr w:type="spellEnd"/>
      <w:r w:rsidRPr="00D94795">
        <w:rPr>
          <w:sz w:val="28"/>
          <w:szCs w:val="28"/>
          <w:lang w:val="es-ES"/>
        </w:rPr>
        <w:t xml:space="preserve">, </w:t>
      </w:r>
      <w:r w:rsidRPr="00D94795">
        <w:rPr>
          <w:i/>
          <w:sz w:val="28"/>
          <w:szCs w:val="28"/>
          <w:lang w:val="es-ES"/>
        </w:rPr>
        <w:t>[S. l.]</w:t>
      </w:r>
      <w:r w:rsidRPr="00D94795">
        <w:rPr>
          <w:sz w:val="28"/>
          <w:szCs w:val="28"/>
          <w:lang w:val="es-ES"/>
        </w:rPr>
        <w:t xml:space="preserve">, v. 54, n. 3, p. 227–236, 1981. </w:t>
      </w:r>
    </w:p>
    <w:p w14:paraId="70747533" w14:textId="77777777" w:rsidR="00197429" w:rsidRPr="001E62A2" w:rsidRDefault="00E7181B">
      <w:pPr>
        <w:widowControl w:val="0"/>
        <w:spacing w:line="18pt" w:lineRule="auto"/>
        <w:rPr>
          <w:sz w:val="28"/>
          <w:szCs w:val="28"/>
          <w:lang w:val="en-GB"/>
        </w:rPr>
      </w:pPr>
      <w:r w:rsidRPr="00D94795">
        <w:rPr>
          <w:sz w:val="28"/>
          <w:szCs w:val="28"/>
          <w:lang w:val="es-ES"/>
        </w:rPr>
        <w:t xml:space="preserve">MARCELO, </w:t>
      </w:r>
      <w:proofErr w:type="spellStart"/>
      <w:r w:rsidRPr="00D94795">
        <w:rPr>
          <w:sz w:val="28"/>
          <w:szCs w:val="28"/>
          <w:lang w:val="es-ES"/>
        </w:rPr>
        <w:t>Luiz</w:t>
      </w:r>
      <w:proofErr w:type="spellEnd"/>
      <w:r w:rsidRPr="00D94795">
        <w:rPr>
          <w:sz w:val="28"/>
          <w:szCs w:val="28"/>
          <w:lang w:val="es-ES"/>
        </w:rPr>
        <w:t xml:space="preserve"> </w:t>
      </w:r>
      <w:r w:rsidRPr="00D94795">
        <w:rPr>
          <w:i/>
          <w:sz w:val="28"/>
          <w:szCs w:val="28"/>
          <w:lang w:val="es-ES"/>
        </w:rPr>
        <w:t>et al.</w:t>
      </w:r>
      <w:r w:rsidRPr="00D94795">
        <w:rPr>
          <w:sz w:val="28"/>
          <w:szCs w:val="28"/>
          <w:lang w:val="es-ES"/>
        </w:rPr>
        <w:t xml:space="preserve"> </w:t>
      </w:r>
      <w:r>
        <w:rPr>
          <w:sz w:val="28"/>
          <w:szCs w:val="28"/>
        </w:rPr>
        <w:t xml:space="preserve">Impacto Hemodinâmico de Manobra de Recrutamento Alveolar em Pacientes Evoluindo com Choque Cardiogênico no Pós-Operatório Imediato de Revascularização do Miocárdio * </w:t>
      </w:r>
      <w:proofErr w:type="spellStart"/>
      <w:r>
        <w:rPr>
          <w:sz w:val="28"/>
          <w:szCs w:val="28"/>
        </w:rPr>
        <w:t>Hemodynamic</w:t>
      </w:r>
      <w:proofErr w:type="spellEnd"/>
      <w:r>
        <w:rPr>
          <w:sz w:val="28"/>
          <w:szCs w:val="28"/>
        </w:rPr>
        <w:t xml:space="preserve"> </w:t>
      </w:r>
      <w:proofErr w:type="spellStart"/>
      <w:r>
        <w:rPr>
          <w:sz w:val="28"/>
          <w:szCs w:val="28"/>
        </w:rPr>
        <w:t>Impact</w:t>
      </w:r>
      <w:proofErr w:type="spellEnd"/>
      <w:r>
        <w:rPr>
          <w:sz w:val="28"/>
          <w:szCs w:val="28"/>
        </w:rPr>
        <w:t xml:space="preserve"> </w:t>
      </w:r>
      <w:proofErr w:type="spellStart"/>
      <w:r>
        <w:rPr>
          <w:sz w:val="28"/>
          <w:szCs w:val="28"/>
        </w:rPr>
        <w:t>of</w:t>
      </w:r>
      <w:proofErr w:type="spellEnd"/>
      <w:r>
        <w:rPr>
          <w:sz w:val="28"/>
          <w:szCs w:val="28"/>
        </w:rPr>
        <w:t xml:space="preserve"> Alveolar </w:t>
      </w:r>
      <w:proofErr w:type="spellStart"/>
      <w:r>
        <w:rPr>
          <w:sz w:val="28"/>
          <w:szCs w:val="28"/>
        </w:rPr>
        <w:t>Recruitment</w:t>
      </w:r>
      <w:proofErr w:type="spellEnd"/>
      <w:r>
        <w:rPr>
          <w:sz w:val="28"/>
          <w:szCs w:val="28"/>
        </w:rPr>
        <w:t xml:space="preserve"> Maneuver in </w:t>
      </w:r>
      <w:proofErr w:type="spellStart"/>
      <w:r>
        <w:rPr>
          <w:sz w:val="28"/>
          <w:szCs w:val="28"/>
        </w:rPr>
        <w:t>Patients</w:t>
      </w:r>
      <w:proofErr w:type="spellEnd"/>
      <w:r>
        <w:rPr>
          <w:sz w:val="28"/>
          <w:szCs w:val="28"/>
        </w:rPr>
        <w:t xml:space="preserve"> </w:t>
      </w:r>
      <w:proofErr w:type="spellStart"/>
      <w:r>
        <w:rPr>
          <w:sz w:val="28"/>
          <w:szCs w:val="28"/>
        </w:rPr>
        <w:t>Evolving</w:t>
      </w:r>
      <w:proofErr w:type="spellEnd"/>
      <w:r>
        <w:rPr>
          <w:sz w:val="28"/>
          <w:szCs w:val="28"/>
        </w:rPr>
        <w:t xml:space="preserve"> </w:t>
      </w:r>
      <w:proofErr w:type="spellStart"/>
      <w:r>
        <w:rPr>
          <w:sz w:val="28"/>
          <w:szCs w:val="28"/>
        </w:rPr>
        <w:t>with</w:t>
      </w:r>
      <w:proofErr w:type="spellEnd"/>
      <w:r>
        <w:rPr>
          <w:sz w:val="28"/>
          <w:szCs w:val="28"/>
        </w:rPr>
        <w:t xml:space="preserve"> </w:t>
      </w:r>
      <w:proofErr w:type="spellStart"/>
      <w:r>
        <w:rPr>
          <w:sz w:val="28"/>
          <w:szCs w:val="28"/>
        </w:rPr>
        <w:t>Cardiogenic</w:t>
      </w:r>
      <w:proofErr w:type="spellEnd"/>
      <w:r>
        <w:rPr>
          <w:sz w:val="28"/>
          <w:szCs w:val="28"/>
        </w:rPr>
        <w:t xml:space="preserve">. </w:t>
      </w:r>
      <w:r w:rsidRPr="001E62A2">
        <w:rPr>
          <w:i/>
          <w:sz w:val="28"/>
          <w:szCs w:val="28"/>
          <w:lang w:val="en-GB"/>
        </w:rPr>
        <w:t>[S. l.]</w:t>
      </w:r>
      <w:r w:rsidRPr="001E62A2">
        <w:rPr>
          <w:sz w:val="28"/>
          <w:szCs w:val="28"/>
          <w:lang w:val="en-GB"/>
        </w:rPr>
        <w:t xml:space="preserve">, v. 58, p. 112–123, 2008. </w:t>
      </w:r>
    </w:p>
    <w:p w14:paraId="3EC10716" w14:textId="77777777" w:rsidR="00197429" w:rsidRPr="008F6F7C" w:rsidRDefault="00E7181B">
      <w:pPr>
        <w:widowControl w:val="0"/>
        <w:spacing w:line="18pt" w:lineRule="auto"/>
        <w:rPr>
          <w:sz w:val="28"/>
          <w:szCs w:val="28"/>
        </w:rPr>
      </w:pPr>
      <w:r w:rsidRPr="001E62A2">
        <w:rPr>
          <w:sz w:val="28"/>
          <w:szCs w:val="28"/>
          <w:lang w:val="en-GB"/>
        </w:rPr>
        <w:t xml:space="preserve">NETO, </w:t>
      </w:r>
      <w:proofErr w:type="spellStart"/>
      <w:r w:rsidRPr="001E62A2">
        <w:rPr>
          <w:sz w:val="28"/>
          <w:szCs w:val="28"/>
          <w:lang w:val="en-GB"/>
        </w:rPr>
        <w:t>Ary</w:t>
      </w:r>
      <w:proofErr w:type="spellEnd"/>
      <w:r w:rsidRPr="001E62A2">
        <w:rPr>
          <w:sz w:val="28"/>
          <w:szCs w:val="28"/>
          <w:lang w:val="en-GB"/>
        </w:rPr>
        <w:t xml:space="preserve"> </w:t>
      </w:r>
      <w:proofErr w:type="spellStart"/>
      <w:r w:rsidRPr="001E62A2">
        <w:rPr>
          <w:sz w:val="28"/>
          <w:szCs w:val="28"/>
          <w:lang w:val="en-GB"/>
        </w:rPr>
        <w:t>Serpa</w:t>
      </w:r>
      <w:proofErr w:type="spellEnd"/>
      <w:r w:rsidRPr="001E62A2">
        <w:rPr>
          <w:sz w:val="28"/>
          <w:szCs w:val="28"/>
          <w:lang w:val="en-GB"/>
        </w:rPr>
        <w:t xml:space="preserve"> </w:t>
      </w:r>
      <w:r w:rsidRPr="001E62A2">
        <w:rPr>
          <w:i/>
          <w:sz w:val="28"/>
          <w:szCs w:val="28"/>
          <w:lang w:val="en-GB"/>
        </w:rPr>
        <w:t>et al.</w:t>
      </w:r>
      <w:r w:rsidRPr="001E62A2">
        <w:rPr>
          <w:sz w:val="28"/>
          <w:szCs w:val="28"/>
          <w:lang w:val="en-GB"/>
        </w:rPr>
        <w:t xml:space="preserve"> </w:t>
      </w:r>
      <w:r w:rsidRPr="003124CA">
        <w:rPr>
          <w:sz w:val="28"/>
          <w:szCs w:val="28"/>
          <w:lang w:val="en-GB"/>
        </w:rPr>
        <w:t xml:space="preserve">Association between driving pressure and development of postoperative pulmonary complications in patients undergoing mechanical ventilation for general anaesthesia: A meta-analysis of individual patient data. </w:t>
      </w:r>
      <w:r w:rsidRPr="008F6F7C">
        <w:rPr>
          <w:b/>
          <w:sz w:val="28"/>
          <w:szCs w:val="28"/>
        </w:rPr>
        <w:t>The Lancet Respiratory Medicine</w:t>
      </w:r>
      <w:r w:rsidRPr="008F6F7C">
        <w:rPr>
          <w:sz w:val="28"/>
          <w:szCs w:val="28"/>
        </w:rPr>
        <w:t xml:space="preserve">, </w:t>
      </w:r>
      <w:r w:rsidRPr="008F6F7C">
        <w:rPr>
          <w:i/>
          <w:sz w:val="28"/>
          <w:szCs w:val="28"/>
        </w:rPr>
        <w:t>[S. l.]</w:t>
      </w:r>
      <w:r w:rsidRPr="008F6F7C">
        <w:rPr>
          <w:sz w:val="28"/>
          <w:szCs w:val="28"/>
        </w:rPr>
        <w:t>, v. 4, n. 4, p. 272–280, 2016. Disponível em: https://doi.org/10.1016/S2213-2600(16)00057-6</w:t>
      </w:r>
    </w:p>
    <w:p w14:paraId="0E399DA7" w14:textId="77777777" w:rsidR="00197429" w:rsidRPr="003124CA" w:rsidRDefault="00E7181B">
      <w:pPr>
        <w:widowControl w:val="0"/>
        <w:spacing w:line="18pt" w:lineRule="auto"/>
        <w:rPr>
          <w:sz w:val="28"/>
          <w:szCs w:val="28"/>
          <w:lang w:val="en-GB"/>
        </w:rPr>
      </w:pPr>
      <w:r w:rsidRPr="001E62A2">
        <w:rPr>
          <w:sz w:val="28"/>
          <w:szCs w:val="28"/>
        </w:rPr>
        <w:t xml:space="preserve">OTÁVIO, José </w:t>
      </w:r>
      <w:r w:rsidRPr="001E62A2">
        <w:rPr>
          <w:i/>
          <w:sz w:val="28"/>
          <w:szCs w:val="28"/>
        </w:rPr>
        <w:t>et al.</w:t>
      </w:r>
      <w:r w:rsidRPr="001E62A2">
        <w:rPr>
          <w:sz w:val="28"/>
          <w:szCs w:val="28"/>
        </w:rPr>
        <w:t xml:space="preserve"> </w:t>
      </w:r>
      <w:r>
        <w:rPr>
          <w:sz w:val="28"/>
          <w:szCs w:val="28"/>
        </w:rPr>
        <w:t xml:space="preserve">Manobra de Recrutamento Alveolar na Reversão da Hipoxemia no Pós-Operatório Imediato em Cirurgia Cardíaca * Alveolar </w:t>
      </w:r>
      <w:proofErr w:type="spellStart"/>
      <w:r>
        <w:rPr>
          <w:sz w:val="28"/>
          <w:szCs w:val="28"/>
        </w:rPr>
        <w:t>Recruitment</w:t>
      </w:r>
      <w:proofErr w:type="spellEnd"/>
      <w:r>
        <w:rPr>
          <w:sz w:val="28"/>
          <w:szCs w:val="28"/>
        </w:rPr>
        <w:t xml:space="preserve"> Maneuver to Reverse </w:t>
      </w:r>
      <w:proofErr w:type="spellStart"/>
      <w:r>
        <w:rPr>
          <w:sz w:val="28"/>
          <w:szCs w:val="28"/>
        </w:rPr>
        <w:t>Hypoxemia</w:t>
      </w:r>
      <w:proofErr w:type="spellEnd"/>
      <w:r>
        <w:rPr>
          <w:sz w:val="28"/>
          <w:szCs w:val="28"/>
        </w:rPr>
        <w:t xml:space="preserve"> in </w:t>
      </w:r>
      <w:proofErr w:type="spellStart"/>
      <w:r>
        <w:rPr>
          <w:sz w:val="28"/>
          <w:szCs w:val="28"/>
        </w:rPr>
        <w:t>the</w:t>
      </w:r>
      <w:proofErr w:type="spellEnd"/>
      <w:r>
        <w:rPr>
          <w:sz w:val="28"/>
          <w:szCs w:val="28"/>
        </w:rPr>
        <w:t xml:space="preserve"> </w:t>
      </w:r>
      <w:proofErr w:type="spellStart"/>
      <w:r>
        <w:rPr>
          <w:sz w:val="28"/>
          <w:szCs w:val="28"/>
        </w:rPr>
        <w:t>Immediate</w:t>
      </w:r>
      <w:proofErr w:type="spellEnd"/>
      <w:r>
        <w:rPr>
          <w:sz w:val="28"/>
          <w:szCs w:val="28"/>
        </w:rPr>
        <w:t xml:space="preserve"> </w:t>
      </w:r>
      <w:proofErr w:type="spellStart"/>
      <w:r>
        <w:rPr>
          <w:sz w:val="28"/>
          <w:szCs w:val="28"/>
        </w:rPr>
        <w:t>Postoperative</w:t>
      </w:r>
      <w:proofErr w:type="spellEnd"/>
      <w:r>
        <w:rPr>
          <w:sz w:val="28"/>
          <w:szCs w:val="28"/>
        </w:rPr>
        <w:t xml:space="preserve"> </w:t>
      </w:r>
      <w:proofErr w:type="spellStart"/>
      <w:r>
        <w:rPr>
          <w:sz w:val="28"/>
          <w:szCs w:val="28"/>
        </w:rPr>
        <w:t>Period</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Cardiac</w:t>
      </w:r>
      <w:proofErr w:type="spellEnd"/>
      <w:r>
        <w:rPr>
          <w:sz w:val="28"/>
          <w:szCs w:val="28"/>
        </w:rPr>
        <w:t xml:space="preserve"> </w:t>
      </w:r>
      <w:proofErr w:type="spellStart"/>
      <w:r>
        <w:rPr>
          <w:sz w:val="28"/>
          <w:szCs w:val="28"/>
        </w:rPr>
        <w:t>Surgery</w:t>
      </w:r>
      <w:proofErr w:type="spellEnd"/>
      <w:r>
        <w:rPr>
          <w:sz w:val="28"/>
          <w:szCs w:val="28"/>
        </w:rPr>
        <w:t xml:space="preserve">. </w:t>
      </w:r>
      <w:r w:rsidRPr="003124CA">
        <w:rPr>
          <w:i/>
          <w:sz w:val="28"/>
          <w:szCs w:val="28"/>
          <w:lang w:val="en-GB"/>
        </w:rPr>
        <w:t>[S. l.]</w:t>
      </w:r>
      <w:r w:rsidRPr="003124CA">
        <w:rPr>
          <w:sz w:val="28"/>
          <w:szCs w:val="28"/>
          <w:lang w:val="en-GB"/>
        </w:rPr>
        <w:t xml:space="preserve">, v. 57, p. 476–488, 2007. </w:t>
      </w:r>
    </w:p>
    <w:p w14:paraId="5361CE28" w14:textId="2AC67A12" w:rsidR="00197429" w:rsidRDefault="00E7181B">
      <w:pPr>
        <w:widowControl w:val="0"/>
        <w:spacing w:line="18pt" w:lineRule="auto"/>
        <w:rPr>
          <w:sz w:val="28"/>
          <w:szCs w:val="28"/>
        </w:rPr>
      </w:pPr>
      <w:r w:rsidRPr="003124CA">
        <w:rPr>
          <w:sz w:val="28"/>
          <w:szCs w:val="28"/>
          <w:lang w:val="en-GB"/>
        </w:rPr>
        <w:t xml:space="preserve">PELOSI, Paolo; BALL, Lorenzo. Should we titrate ventilation based on driving pressure? Maybe not in the way we would expect. </w:t>
      </w:r>
      <w:r w:rsidRPr="003124CA">
        <w:rPr>
          <w:i/>
          <w:sz w:val="28"/>
          <w:szCs w:val="28"/>
          <w:lang w:val="en-GB"/>
        </w:rPr>
        <w:t>[S. l.]</w:t>
      </w:r>
      <w:r w:rsidRPr="003124CA">
        <w:rPr>
          <w:sz w:val="28"/>
          <w:szCs w:val="28"/>
          <w:lang w:val="en-GB"/>
        </w:rPr>
        <w:t xml:space="preserve">, v. 6, n. 7, 2018. </w:t>
      </w:r>
      <w:r>
        <w:rPr>
          <w:sz w:val="28"/>
          <w:szCs w:val="28"/>
        </w:rPr>
        <w:t>Disponível em: https://doi.org/10.21037/atm.2018.09.48</w:t>
      </w:r>
    </w:p>
    <w:p w14:paraId="6A2EC11A" w14:textId="77777777" w:rsidR="00197429" w:rsidRPr="003124CA" w:rsidRDefault="00E7181B">
      <w:pPr>
        <w:widowControl w:val="0"/>
        <w:spacing w:line="18pt" w:lineRule="auto"/>
        <w:rPr>
          <w:sz w:val="28"/>
          <w:szCs w:val="28"/>
          <w:lang w:val="en-GB"/>
        </w:rPr>
      </w:pPr>
      <w:r>
        <w:rPr>
          <w:sz w:val="28"/>
          <w:szCs w:val="28"/>
        </w:rPr>
        <w:t xml:space="preserve">REBER, A. </w:t>
      </w:r>
      <w:r>
        <w:rPr>
          <w:i/>
          <w:sz w:val="28"/>
          <w:szCs w:val="28"/>
        </w:rPr>
        <w:t>et al.</w:t>
      </w:r>
      <w:r>
        <w:rPr>
          <w:sz w:val="28"/>
          <w:szCs w:val="28"/>
        </w:rPr>
        <w:t xml:space="preserve"> </w:t>
      </w:r>
      <w:r w:rsidRPr="003124CA">
        <w:rPr>
          <w:sz w:val="28"/>
          <w:szCs w:val="28"/>
          <w:lang w:val="en-GB"/>
        </w:rPr>
        <w:t xml:space="preserve">Inspired oxygen fraction after cardiopulmonary bypass: Effects on pulmonary function with regard to endothelin-1 concentrations </w:t>
      </w:r>
      <w:r w:rsidRPr="003124CA">
        <w:rPr>
          <w:sz w:val="28"/>
          <w:szCs w:val="28"/>
          <w:lang w:val="en-GB"/>
        </w:rPr>
        <w:lastRenderedPageBreak/>
        <w:t xml:space="preserve">and venous admixture. </w:t>
      </w:r>
      <w:r w:rsidRPr="003124CA">
        <w:rPr>
          <w:b/>
          <w:sz w:val="28"/>
          <w:szCs w:val="28"/>
          <w:lang w:val="en-GB"/>
        </w:rPr>
        <w:t>British Journal of Anaesthesia</w:t>
      </w:r>
      <w:r w:rsidRPr="003124CA">
        <w:rPr>
          <w:sz w:val="28"/>
          <w:szCs w:val="28"/>
          <w:lang w:val="en-GB"/>
        </w:rPr>
        <w:t xml:space="preserve">, </w:t>
      </w:r>
      <w:r w:rsidRPr="003124CA">
        <w:rPr>
          <w:i/>
          <w:sz w:val="28"/>
          <w:szCs w:val="28"/>
          <w:lang w:val="en-GB"/>
        </w:rPr>
        <w:t>[S. l.]</w:t>
      </w:r>
      <w:r w:rsidRPr="003124CA">
        <w:rPr>
          <w:sz w:val="28"/>
          <w:szCs w:val="28"/>
          <w:lang w:val="en-GB"/>
        </w:rPr>
        <w:t xml:space="preserve">, v. 84, n. 5, p. 565–570, 2000. Disponível </w:t>
      </w:r>
      <w:proofErr w:type="spellStart"/>
      <w:r w:rsidRPr="003124CA">
        <w:rPr>
          <w:sz w:val="28"/>
          <w:szCs w:val="28"/>
          <w:lang w:val="en-GB"/>
        </w:rPr>
        <w:t>em</w:t>
      </w:r>
      <w:proofErr w:type="spellEnd"/>
      <w:r w:rsidRPr="003124CA">
        <w:rPr>
          <w:sz w:val="28"/>
          <w:szCs w:val="28"/>
          <w:lang w:val="en-GB"/>
        </w:rPr>
        <w:t>: https://doi.org/10.1093/bja/84.5.565</w:t>
      </w:r>
    </w:p>
    <w:p w14:paraId="1EB2E3DB" w14:textId="077C403F" w:rsidR="00197429" w:rsidRDefault="00E7181B">
      <w:pPr>
        <w:widowControl w:val="0"/>
        <w:spacing w:line="18pt" w:lineRule="auto"/>
        <w:rPr>
          <w:sz w:val="28"/>
          <w:szCs w:val="28"/>
        </w:rPr>
      </w:pPr>
      <w:r w:rsidRPr="003124CA">
        <w:rPr>
          <w:sz w:val="28"/>
          <w:szCs w:val="28"/>
          <w:lang w:val="en-GB"/>
        </w:rPr>
        <w:t xml:space="preserve">WYSOCKI, Marc; GRANIER, Isabelle; DURAND-GASSELIN, Jacques. Optimal duration of a sustained inflation recruitment maneuver in ARDS patients. </w:t>
      </w:r>
      <w:r>
        <w:rPr>
          <w:i/>
          <w:sz w:val="28"/>
          <w:szCs w:val="28"/>
        </w:rPr>
        <w:t>[S. l.]</w:t>
      </w:r>
      <w:r>
        <w:rPr>
          <w:sz w:val="28"/>
          <w:szCs w:val="28"/>
        </w:rPr>
        <w:t>, p. 1588–1594, 2011. Disponível em: https://doi.org/10.1007/s00134-011-2323-0</w:t>
      </w:r>
    </w:p>
    <w:p w14:paraId="4FDC0121" w14:textId="77777777" w:rsidR="00197429" w:rsidRDefault="00197429">
      <w:pPr>
        <w:rPr>
          <w:b/>
        </w:rPr>
      </w:pPr>
    </w:p>
    <w:sectPr w:rsidR="00197429">
      <w:footerReference w:type="default" r:id="rId15"/>
      <w:pgSz w:w="595.30pt" w:h="841.90pt"/>
      <w:pgMar w:top="70.85pt" w:right="85.05pt" w:bottom="70.85pt" w:left="85.05pt" w:header="36pt" w:footer="36pt" w:gutter="0pt"/>
      <w:pgNumType w:start="1"/>
      <w:cols w:space="36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56453229" w14:textId="77777777" w:rsidR="00113A6E" w:rsidRDefault="00113A6E">
      <w:r>
        <w:separator/>
      </w:r>
    </w:p>
  </w:endnote>
  <w:endnote w:type="continuationSeparator" w:id="0">
    <w:p w14:paraId="66B61B4A" w14:textId="77777777" w:rsidR="00113A6E" w:rsidRDefault="00113A6E">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characterSet="iso-8859-1"/>
    <w:family w:val="auto"/>
    <w:pitch w:val="default"/>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Wingdings">
    <w:panose1 w:val="05000000000000000000"/>
    <w:family w:val="auto"/>
    <w:pitch w:val="variable"/>
    <w:sig w:usb0="00000000" w:usb1="10000000" w:usb2="00000000" w:usb3="00000000" w:csb0="80000000" w:csb1="00000000"/>
  </w:font>
  <w:font w:name="Georgia">
    <w:panose1 w:val="02040502050405020303"/>
    <w:charset w:characterSet="iso-8859-1"/>
    <w:family w:val="roman"/>
    <w:pitch w:val="variable"/>
    <w:sig w:usb0="00000287" w:usb1="00000000" w:usb2="00000000" w:usb3="00000000" w:csb0="0000009F" w:csb1="00000000"/>
  </w:font>
  <w:font w:name="Segoe UI">
    <w:panose1 w:val="020B0502040204020203"/>
    <w:charset w:characterSet="iso-8859-1"/>
    <w:family w:val="swiss"/>
    <w:pitch w:val="variable"/>
    <w:sig w:usb0="E4002EFF" w:usb1="C000E47F"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 w:name="Arial Unicode MS">
    <w:panose1 w:val="020B0604020202020204"/>
    <w:charset w:characterSet="iso-8859-1"/>
    <w:family w:val="roman"/>
    <w:pitch w:val="default"/>
  </w:font>
  <w:font w:name="Helvetica Neue">
    <w:altName w:val="Arial"/>
    <w:panose1 w:val="00000000000000000000"/>
    <w:charset w:characterSet="iso-8859-1"/>
    <w:family w:val="roman"/>
    <w:notTrueType/>
    <w:pitch w:val="default"/>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do">
    <w:altName w:val="Calibri"/>
    <w:panose1 w:val="00000000000000000000"/>
    <w:charset w:characterSet="iso-8859-1"/>
    <w:family w:val="roman"/>
    <w:notTrueType/>
    <w:pitch w:val="default"/>
  </w:font>
  <w:font w:name="Gungsuh">
    <w:charset w:characterSet="ks_c-5601-1987"/>
    <w:family w:val="roman"/>
    <w:pitch w:val="variable"/>
    <w:sig w:usb0="B00002AF" w:usb1="69D77CFB" w:usb2="00000030" w:usb3="00000000" w:csb0="0008009F" w:csb1="00000000"/>
  </w:font>
  <w:font w:name="Arimo">
    <w:altName w:val="Calibri"/>
    <w:charset w:characterSet="iso-8859-1"/>
    <w:family w:val="auto"/>
    <w:pitch w:val="default"/>
  </w:font>
  <w:font w:name="Times">
    <w:altName w:val="Times"/>
    <w:panose1 w:val="02020603050405020304"/>
    <w:charset w:characterSet="iso-8859-1"/>
    <w:family w:val="roman"/>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8AE1E1A" w14:textId="77777777" w:rsidR="00197429" w:rsidRDefault="00E7181B">
    <w:pPr>
      <w:tabs>
        <w:tab w:val="center" w:pos="212.60pt"/>
        <w:tab w:val="end" w:pos="425.20pt"/>
      </w:tabs>
      <w:jc w:val="end"/>
    </w:pPr>
    <w:r>
      <w:fldChar w:fldCharType="begin"/>
    </w:r>
    <w:r>
      <w:instrText>PAGE</w:instrText>
    </w:r>
    <w:r>
      <w:fldChar w:fldCharType="separate"/>
    </w:r>
    <w:r w:rsidR="003124CA">
      <w:rPr>
        <w:noProof/>
      </w:rPr>
      <w:t>1</w:t>
    </w:r>
    <w:r>
      <w:fldChar w:fldCharType="end"/>
    </w:r>
  </w:p>
  <w:p w14:paraId="2AC5A702" w14:textId="77777777" w:rsidR="00197429" w:rsidRDefault="00197429">
    <w:pPr>
      <w:tabs>
        <w:tab w:val="center" w:pos="212.60pt"/>
        <w:tab w:val="end" w:pos="425.20pt"/>
      </w:tabs>
      <w:ind w:end="18pt"/>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1339AD4" w14:textId="77777777" w:rsidR="00113A6E" w:rsidRDefault="00113A6E">
      <w:r>
        <w:separator/>
      </w:r>
    </w:p>
  </w:footnote>
  <w:footnote w:type="continuationSeparator" w:id="0">
    <w:p w14:paraId="4AA26C81" w14:textId="77777777" w:rsidR="00113A6E" w:rsidRDefault="00113A6E">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174860F7"/>
    <w:multiLevelType w:val="multilevel"/>
    <w:tmpl w:val="487ADE7C"/>
    <w:lvl w:ilvl="0">
      <w:start w:val="1"/>
      <w:numFmt w:val="decimal"/>
      <w:lvlText w:val="%1."/>
      <w:lvlJc w:val="start"/>
      <w:pPr>
        <w:ind w:start="18pt" w:hanging="18pt"/>
      </w:pPr>
    </w:lvl>
    <w:lvl w:ilvl="1">
      <w:start w:val="2"/>
      <w:numFmt w:val="decimal"/>
      <w:lvlText w:val="%1.%2"/>
      <w:lvlJc w:val="start"/>
      <w:pPr>
        <w:ind w:start="39pt" w:hanging="21pt"/>
      </w:pPr>
    </w:lvl>
    <w:lvl w:ilvl="2">
      <w:start w:val="1"/>
      <w:numFmt w:val="decimal"/>
      <w:lvlText w:val="%1.%2.%3"/>
      <w:lvlJc w:val="start"/>
      <w:pPr>
        <w:ind w:start="54pt" w:hanging="36pt"/>
      </w:pPr>
    </w:lvl>
    <w:lvl w:ilvl="3">
      <w:start w:val="1"/>
      <w:numFmt w:val="decimal"/>
      <w:lvlText w:val="%1.%2.%3.%4"/>
      <w:lvlJc w:val="start"/>
      <w:pPr>
        <w:ind w:start="54pt" w:hanging="36pt"/>
      </w:pPr>
    </w:lvl>
    <w:lvl w:ilvl="4">
      <w:start w:val="1"/>
      <w:numFmt w:val="decimal"/>
      <w:lvlText w:val="%1.%2.%3.%4.%5"/>
      <w:lvlJc w:val="start"/>
      <w:pPr>
        <w:ind w:start="72pt" w:hanging="54pt"/>
      </w:pPr>
    </w:lvl>
    <w:lvl w:ilvl="5">
      <w:start w:val="1"/>
      <w:numFmt w:val="decimal"/>
      <w:lvlText w:val="%1.%2.%3.%4.%5.%6"/>
      <w:lvlJc w:val="start"/>
      <w:pPr>
        <w:ind w:start="72pt" w:hanging="54pt"/>
      </w:pPr>
    </w:lvl>
    <w:lvl w:ilvl="6">
      <w:start w:val="1"/>
      <w:numFmt w:val="decimal"/>
      <w:lvlText w:val="%1.%2.%3.%4.%5.%6.%7"/>
      <w:lvlJc w:val="start"/>
      <w:pPr>
        <w:ind w:start="90pt" w:hanging="72pt"/>
      </w:pPr>
    </w:lvl>
    <w:lvl w:ilvl="7">
      <w:start w:val="1"/>
      <w:numFmt w:val="decimal"/>
      <w:lvlText w:val="%1.%2.%3.%4.%5.%6.%7.%8"/>
      <w:lvlJc w:val="start"/>
      <w:pPr>
        <w:ind w:start="90pt" w:hanging="72pt"/>
      </w:pPr>
    </w:lvl>
    <w:lvl w:ilvl="8">
      <w:start w:val="1"/>
      <w:numFmt w:val="decimal"/>
      <w:lvlText w:val="%1.%2.%3.%4.%5.%6.%7.%8.%9"/>
      <w:lvlJc w:val="start"/>
      <w:pPr>
        <w:ind w:start="108pt" w:hanging="90pt"/>
      </w:pPr>
    </w:lvl>
  </w:abstractNum>
  <w:abstractNum w:abstractNumId="1" w15:restartNumberingAfterBreak="0">
    <w:nsid w:val="17F242AC"/>
    <w:multiLevelType w:val="multilevel"/>
    <w:tmpl w:val="2AF4433A"/>
    <w:lvl w:ilvl="0">
      <w:start w:val="1"/>
      <w:numFmt w:val="bullet"/>
      <w:lvlText w:val="●"/>
      <w:lvlJc w:val="start"/>
      <w:pPr>
        <w:ind w:start="18pt" w:hanging="18pt"/>
      </w:pPr>
      <w:rPr>
        <w:rFonts w:ascii="Noto Sans Symbols" w:eastAsia="Noto Sans Symbols" w:hAnsi="Noto Sans Symbols" w:cs="Noto Sans Symbols"/>
      </w:rPr>
    </w:lvl>
    <w:lvl w:ilvl="1">
      <w:start w:val="1"/>
      <w:numFmt w:val="bullet"/>
      <w:lvlText w:val="o"/>
      <w:lvlJc w:val="start"/>
      <w:pPr>
        <w:ind w:start="54pt" w:hanging="18pt"/>
      </w:pPr>
      <w:rPr>
        <w:rFonts w:ascii="Courier New" w:eastAsia="Courier New" w:hAnsi="Courier New" w:cs="Courier New"/>
      </w:rPr>
    </w:lvl>
    <w:lvl w:ilvl="2">
      <w:start w:val="1"/>
      <w:numFmt w:val="bullet"/>
      <w:lvlText w:val="▪"/>
      <w:lvlJc w:val="start"/>
      <w:pPr>
        <w:ind w:start="90pt" w:hanging="18pt"/>
      </w:pPr>
      <w:rPr>
        <w:rFonts w:ascii="Noto Sans Symbols" w:eastAsia="Noto Sans Symbols" w:hAnsi="Noto Sans Symbols" w:cs="Noto Sans Symbols"/>
      </w:rPr>
    </w:lvl>
    <w:lvl w:ilvl="3">
      <w:start w:val="1"/>
      <w:numFmt w:val="bullet"/>
      <w:lvlText w:val="●"/>
      <w:lvlJc w:val="start"/>
      <w:pPr>
        <w:ind w:start="126pt" w:hanging="18pt"/>
      </w:pPr>
      <w:rPr>
        <w:rFonts w:ascii="Noto Sans Symbols" w:eastAsia="Noto Sans Symbols" w:hAnsi="Noto Sans Symbols" w:cs="Noto Sans Symbols"/>
      </w:rPr>
    </w:lvl>
    <w:lvl w:ilvl="4">
      <w:start w:val="1"/>
      <w:numFmt w:val="bullet"/>
      <w:lvlText w:val="o"/>
      <w:lvlJc w:val="start"/>
      <w:pPr>
        <w:ind w:start="162pt" w:hanging="18pt"/>
      </w:pPr>
      <w:rPr>
        <w:rFonts w:ascii="Courier New" w:eastAsia="Courier New" w:hAnsi="Courier New" w:cs="Courier New"/>
      </w:rPr>
    </w:lvl>
    <w:lvl w:ilvl="5">
      <w:start w:val="1"/>
      <w:numFmt w:val="bullet"/>
      <w:lvlText w:val="▪"/>
      <w:lvlJc w:val="start"/>
      <w:pPr>
        <w:ind w:start="198pt" w:hanging="18pt"/>
      </w:pPr>
      <w:rPr>
        <w:rFonts w:ascii="Noto Sans Symbols" w:eastAsia="Noto Sans Symbols" w:hAnsi="Noto Sans Symbols" w:cs="Noto Sans Symbols"/>
      </w:rPr>
    </w:lvl>
    <w:lvl w:ilvl="6">
      <w:start w:val="1"/>
      <w:numFmt w:val="bullet"/>
      <w:lvlText w:val="●"/>
      <w:lvlJc w:val="start"/>
      <w:pPr>
        <w:ind w:start="234pt" w:hanging="18pt"/>
      </w:pPr>
      <w:rPr>
        <w:rFonts w:ascii="Noto Sans Symbols" w:eastAsia="Noto Sans Symbols" w:hAnsi="Noto Sans Symbols" w:cs="Noto Sans Symbols"/>
      </w:rPr>
    </w:lvl>
    <w:lvl w:ilvl="7">
      <w:start w:val="1"/>
      <w:numFmt w:val="bullet"/>
      <w:lvlText w:val="o"/>
      <w:lvlJc w:val="start"/>
      <w:pPr>
        <w:ind w:start="270pt" w:hanging="18pt"/>
      </w:pPr>
      <w:rPr>
        <w:rFonts w:ascii="Courier New" w:eastAsia="Courier New" w:hAnsi="Courier New" w:cs="Courier New"/>
      </w:rPr>
    </w:lvl>
    <w:lvl w:ilvl="8">
      <w:start w:val="1"/>
      <w:numFmt w:val="bullet"/>
      <w:lvlText w:val="▪"/>
      <w:lvlJc w:val="start"/>
      <w:pPr>
        <w:ind w:start="306pt" w:hanging="18pt"/>
      </w:pPr>
      <w:rPr>
        <w:rFonts w:ascii="Noto Sans Symbols" w:eastAsia="Noto Sans Symbols" w:hAnsi="Noto Sans Symbols" w:cs="Noto Sans Symbols"/>
      </w:rPr>
    </w:lvl>
  </w:abstractNum>
  <w:abstractNum w:abstractNumId="2" w15:restartNumberingAfterBreak="0">
    <w:nsid w:val="19DD7ACA"/>
    <w:multiLevelType w:val="multilevel"/>
    <w:tmpl w:val="CE542240"/>
    <w:lvl w:ilvl="0">
      <w:start w:val="1"/>
      <w:numFmt w:val="bullet"/>
      <w:lvlText w:val="●"/>
      <w:lvlJc w:val="start"/>
      <w:pPr>
        <w:ind w:start="18pt" w:hanging="18pt"/>
      </w:pPr>
      <w:rPr>
        <w:rFonts w:ascii="Noto Sans Symbols" w:eastAsia="Noto Sans Symbols" w:hAnsi="Noto Sans Symbols" w:cs="Noto Sans Symbols"/>
      </w:rPr>
    </w:lvl>
    <w:lvl w:ilvl="1">
      <w:start w:val="1"/>
      <w:numFmt w:val="bullet"/>
      <w:lvlText w:val="o"/>
      <w:lvlJc w:val="start"/>
      <w:pPr>
        <w:ind w:start="54pt" w:hanging="18pt"/>
      </w:pPr>
      <w:rPr>
        <w:rFonts w:ascii="Courier New" w:eastAsia="Courier New" w:hAnsi="Courier New" w:cs="Courier New"/>
      </w:rPr>
    </w:lvl>
    <w:lvl w:ilvl="2">
      <w:start w:val="1"/>
      <w:numFmt w:val="bullet"/>
      <w:lvlText w:val="▪"/>
      <w:lvlJc w:val="start"/>
      <w:pPr>
        <w:ind w:start="90pt" w:hanging="18pt"/>
      </w:pPr>
      <w:rPr>
        <w:rFonts w:ascii="Noto Sans Symbols" w:eastAsia="Noto Sans Symbols" w:hAnsi="Noto Sans Symbols" w:cs="Noto Sans Symbols"/>
      </w:rPr>
    </w:lvl>
    <w:lvl w:ilvl="3">
      <w:start w:val="1"/>
      <w:numFmt w:val="bullet"/>
      <w:lvlText w:val="●"/>
      <w:lvlJc w:val="start"/>
      <w:pPr>
        <w:ind w:start="126pt" w:hanging="18pt"/>
      </w:pPr>
      <w:rPr>
        <w:rFonts w:ascii="Noto Sans Symbols" w:eastAsia="Noto Sans Symbols" w:hAnsi="Noto Sans Symbols" w:cs="Noto Sans Symbols"/>
      </w:rPr>
    </w:lvl>
    <w:lvl w:ilvl="4">
      <w:start w:val="1"/>
      <w:numFmt w:val="bullet"/>
      <w:lvlText w:val="o"/>
      <w:lvlJc w:val="start"/>
      <w:pPr>
        <w:ind w:start="162pt" w:hanging="18pt"/>
      </w:pPr>
      <w:rPr>
        <w:rFonts w:ascii="Courier New" w:eastAsia="Courier New" w:hAnsi="Courier New" w:cs="Courier New"/>
      </w:rPr>
    </w:lvl>
    <w:lvl w:ilvl="5">
      <w:start w:val="1"/>
      <w:numFmt w:val="bullet"/>
      <w:lvlText w:val="▪"/>
      <w:lvlJc w:val="start"/>
      <w:pPr>
        <w:ind w:start="198pt" w:hanging="18pt"/>
      </w:pPr>
      <w:rPr>
        <w:rFonts w:ascii="Noto Sans Symbols" w:eastAsia="Noto Sans Symbols" w:hAnsi="Noto Sans Symbols" w:cs="Noto Sans Symbols"/>
      </w:rPr>
    </w:lvl>
    <w:lvl w:ilvl="6">
      <w:start w:val="1"/>
      <w:numFmt w:val="bullet"/>
      <w:lvlText w:val="●"/>
      <w:lvlJc w:val="start"/>
      <w:pPr>
        <w:ind w:start="234pt" w:hanging="18pt"/>
      </w:pPr>
      <w:rPr>
        <w:rFonts w:ascii="Noto Sans Symbols" w:eastAsia="Noto Sans Symbols" w:hAnsi="Noto Sans Symbols" w:cs="Noto Sans Symbols"/>
      </w:rPr>
    </w:lvl>
    <w:lvl w:ilvl="7">
      <w:start w:val="1"/>
      <w:numFmt w:val="bullet"/>
      <w:lvlText w:val="o"/>
      <w:lvlJc w:val="start"/>
      <w:pPr>
        <w:ind w:start="270pt" w:hanging="18pt"/>
      </w:pPr>
      <w:rPr>
        <w:rFonts w:ascii="Courier New" w:eastAsia="Courier New" w:hAnsi="Courier New" w:cs="Courier New"/>
      </w:rPr>
    </w:lvl>
    <w:lvl w:ilvl="8">
      <w:start w:val="1"/>
      <w:numFmt w:val="bullet"/>
      <w:lvlText w:val="▪"/>
      <w:lvlJc w:val="start"/>
      <w:pPr>
        <w:ind w:start="306pt" w:hanging="18pt"/>
      </w:pPr>
      <w:rPr>
        <w:rFonts w:ascii="Noto Sans Symbols" w:eastAsia="Noto Sans Symbols" w:hAnsi="Noto Sans Symbols" w:cs="Noto Sans Symbols"/>
      </w:rPr>
    </w:lvl>
  </w:abstractNum>
  <w:abstractNum w:abstractNumId="3" w15:restartNumberingAfterBreak="0">
    <w:nsid w:val="1A590672"/>
    <w:multiLevelType w:val="hybridMultilevel"/>
    <w:tmpl w:val="4680FF3E"/>
    <w:lvl w:ilvl="0" w:tplc="04160001">
      <w:start w:val="1"/>
      <w:numFmt w:val="bullet"/>
      <w:lvlText w:val=""/>
      <w:lvlJc w:val="start"/>
      <w:pPr>
        <w:ind w:start="36pt" w:hanging="18pt"/>
      </w:pPr>
      <w:rPr>
        <w:rFonts w:ascii="Symbol" w:hAnsi="Symbol" w:hint="default"/>
      </w:rPr>
    </w:lvl>
    <w:lvl w:ilvl="1" w:tplc="04160003" w:tentative="1">
      <w:start w:val="1"/>
      <w:numFmt w:val="bullet"/>
      <w:lvlText w:val="o"/>
      <w:lvlJc w:val="start"/>
      <w:pPr>
        <w:ind w:start="72pt" w:hanging="18pt"/>
      </w:pPr>
      <w:rPr>
        <w:rFonts w:ascii="Courier New" w:hAnsi="Courier New" w:cs="Courier New" w:hint="default"/>
      </w:rPr>
    </w:lvl>
    <w:lvl w:ilvl="2" w:tplc="04160005" w:tentative="1">
      <w:start w:val="1"/>
      <w:numFmt w:val="bullet"/>
      <w:lvlText w:val=""/>
      <w:lvlJc w:val="start"/>
      <w:pPr>
        <w:ind w:start="108pt" w:hanging="18pt"/>
      </w:pPr>
      <w:rPr>
        <w:rFonts w:ascii="Wingdings" w:hAnsi="Wingdings" w:hint="default"/>
      </w:rPr>
    </w:lvl>
    <w:lvl w:ilvl="3" w:tplc="04160001" w:tentative="1">
      <w:start w:val="1"/>
      <w:numFmt w:val="bullet"/>
      <w:lvlText w:val=""/>
      <w:lvlJc w:val="start"/>
      <w:pPr>
        <w:ind w:start="144pt" w:hanging="18pt"/>
      </w:pPr>
      <w:rPr>
        <w:rFonts w:ascii="Symbol" w:hAnsi="Symbol" w:hint="default"/>
      </w:rPr>
    </w:lvl>
    <w:lvl w:ilvl="4" w:tplc="04160003" w:tentative="1">
      <w:start w:val="1"/>
      <w:numFmt w:val="bullet"/>
      <w:lvlText w:val="o"/>
      <w:lvlJc w:val="start"/>
      <w:pPr>
        <w:ind w:start="180pt" w:hanging="18pt"/>
      </w:pPr>
      <w:rPr>
        <w:rFonts w:ascii="Courier New" w:hAnsi="Courier New" w:cs="Courier New" w:hint="default"/>
      </w:rPr>
    </w:lvl>
    <w:lvl w:ilvl="5" w:tplc="04160005" w:tentative="1">
      <w:start w:val="1"/>
      <w:numFmt w:val="bullet"/>
      <w:lvlText w:val=""/>
      <w:lvlJc w:val="start"/>
      <w:pPr>
        <w:ind w:start="216pt" w:hanging="18pt"/>
      </w:pPr>
      <w:rPr>
        <w:rFonts w:ascii="Wingdings" w:hAnsi="Wingdings" w:hint="default"/>
      </w:rPr>
    </w:lvl>
    <w:lvl w:ilvl="6" w:tplc="04160001" w:tentative="1">
      <w:start w:val="1"/>
      <w:numFmt w:val="bullet"/>
      <w:lvlText w:val=""/>
      <w:lvlJc w:val="start"/>
      <w:pPr>
        <w:ind w:start="252pt" w:hanging="18pt"/>
      </w:pPr>
      <w:rPr>
        <w:rFonts w:ascii="Symbol" w:hAnsi="Symbol" w:hint="default"/>
      </w:rPr>
    </w:lvl>
    <w:lvl w:ilvl="7" w:tplc="04160003" w:tentative="1">
      <w:start w:val="1"/>
      <w:numFmt w:val="bullet"/>
      <w:lvlText w:val="o"/>
      <w:lvlJc w:val="start"/>
      <w:pPr>
        <w:ind w:start="288pt" w:hanging="18pt"/>
      </w:pPr>
      <w:rPr>
        <w:rFonts w:ascii="Courier New" w:hAnsi="Courier New" w:cs="Courier New" w:hint="default"/>
      </w:rPr>
    </w:lvl>
    <w:lvl w:ilvl="8" w:tplc="04160005" w:tentative="1">
      <w:start w:val="1"/>
      <w:numFmt w:val="bullet"/>
      <w:lvlText w:val=""/>
      <w:lvlJc w:val="start"/>
      <w:pPr>
        <w:ind w:start="324pt" w:hanging="18pt"/>
      </w:pPr>
      <w:rPr>
        <w:rFonts w:ascii="Wingdings" w:hAnsi="Wingdings" w:hint="default"/>
      </w:rPr>
    </w:lvl>
  </w:abstractNum>
  <w:abstractNum w:abstractNumId="4" w15:restartNumberingAfterBreak="0">
    <w:nsid w:val="21FB40F1"/>
    <w:multiLevelType w:val="multilevel"/>
    <w:tmpl w:val="4E4AECB0"/>
    <w:lvl w:ilvl="0">
      <w:start w:val="1"/>
      <w:numFmt w:val="bullet"/>
      <w:pStyle w:val="Ttulo1"/>
      <w:lvlText w:val="●"/>
      <w:lvlJc w:val="start"/>
      <w:pPr>
        <w:ind w:start="18pt" w:hanging="18pt"/>
      </w:pPr>
      <w:rPr>
        <w:rFonts w:ascii="Noto Sans Symbols" w:eastAsia="Noto Sans Symbols" w:hAnsi="Noto Sans Symbols" w:cs="Noto Sans Symbols"/>
      </w:rPr>
    </w:lvl>
    <w:lvl w:ilvl="1">
      <w:start w:val="1"/>
      <w:numFmt w:val="bullet"/>
      <w:lvlText w:val="o"/>
      <w:lvlJc w:val="start"/>
      <w:pPr>
        <w:ind w:start="54pt" w:hanging="18pt"/>
      </w:pPr>
      <w:rPr>
        <w:rFonts w:ascii="Courier New" w:eastAsia="Courier New" w:hAnsi="Courier New" w:cs="Courier New"/>
      </w:rPr>
    </w:lvl>
    <w:lvl w:ilvl="2">
      <w:start w:val="1"/>
      <w:numFmt w:val="bullet"/>
      <w:lvlText w:val="▪"/>
      <w:lvlJc w:val="start"/>
      <w:pPr>
        <w:ind w:start="90pt" w:hanging="18pt"/>
      </w:pPr>
      <w:rPr>
        <w:rFonts w:ascii="Noto Sans Symbols" w:eastAsia="Noto Sans Symbols" w:hAnsi="Noto Sans Symbols" w:cs="Noto Sans Symbols"/>
      </w:rPr>
    </w:lvl>
    <w:lvl w:ilvl="3">
      <w:start w:val="1"/>
      <w:numFmt w:val="bullet"/>
      <w:lvlText w:val="●"/>
      <w:lvlJc w:val="start"/>
      <w:pPr>
        <w:ind w:start="126pt" w:hanging="18pt"/>
      </w:pPr>
      <w:rPr>
        <w:rFonts w:ascii="Noto Sans Symbols" w:eastAsia="Noto Sans Symbols" w:hAnsi="Noto Sans Symbols" w:cs="Noto Sans Symbols"/>
      </w:rPr>
    </w:lvl>
    <w:lvl w:ilvl="4">
      <w:start w:val="1"/>
      <w:numFmt w:val="bullet"/>
      <w:lvlText w:val="o"/>
      <w:lvlJc w:val="start"/>
      <w:pPr>
        <w:ind w:start="162pt" w:hanging="18pt"/>
      </w:pPr>
      <w:rPr>
        <w:rFonts w:ascii="Courier New" w:eastAsia="Courier New" w:hAnsi="Courier New" w:cs="Courier New"/>
      </w:rPr>
    </w:lvl>
    <w:lvl w:ilvl="5">
      <w:start w:val="1"/>
      <w:numFmt w:val="bullet"/>
      <w:lvlText w:val="▪"/>
      <w:lvlJc w:val="start"/>
      <w:pPr>
        <w:ind w:start="198pt" w:hanging="18pt"/>
      </w:pPr>
      <w:rPr>
        <w:rFonts w:ascii="Noto Sans Symbols" w:eastAsia="Noto Sans Symbols" w:hAnsi="Noto Sans Symbols" w:cs="Noto Sans Symbols"/>
      </w:rPr>
    </w:lvl>
    <w:lvl w:ilvl="6">
      <w:start w:val="1"/>
      <w:numFmt w:val="bullet"/>
      <w:lvlText w:val="●"/>
      <w:lvlJc w:val="start"/>
      <w:pPr>
        <w:ind w:start="234pt" w:hanging="18pt"/>
      </w:pPr>
      <w:rPr>
        <w:rFonts w:ascii="Noto Sans Symbols" w:eastAsia="Noto Sans Symbols" w:hAnsi="Noto Sans Symbols" w:cs="Noto Sans Symbols"/>
      </w:rPr>
    </w:lvl>
    <w:lvl w:ilvl="7">
      <w:start w:val="1"/>
      <w:numFmt w:val="bullet"/>
      <w:lvlText w:val="o"/>
      <w:lvlJc w:val="start"/>
      <w:pPr>
        <w:ind w:start="270pt" w:hanging="18pt"/>
      </w:pPr>
      <w:rPr>
        <w:rFonts w:ascii="Courier New" w:eastAsia="Courier New" w:hAnsi="Courier New" w:cs="Courier New"/>
      </w:rPr>
    </w:lvl>
    <w:lvl w:ilvl="8">
      <w:start w:val="1"/>
      <w:numFmt w:val="bullet"/>
      <w:lvlText w:val="▪"/>
      <w:lvlJc w:val="start"/>
      <w:pPr>
        <w:ind w:start="306pt" w:hanging="18pt"/>
      </w:pPr>
      <w:rPr>
        <w:rFonts w:ascii="Noto Sans Symbols" w:eastAsia="Noto Sans Symbols" w:hAnsi="Noto Sans Symbols" w:cs="Noto Sans Symbols"/>
      </w:rPr>
    </w:lvl>
  </w:abstractNum>
  <w:abstractNum w:abstractNumId="5" w15:restartNumberingAfterBreak="0">
    <w:nsid w:val="22A55E82"/>
    <w:multiLevelType w:val="hybridMultilevel"/>
    <w:tmpl w:val="D02CC850"/>
    <w:lvl w:ilvl="0" w:tplc="04160001">
      <w:start w:val="1"/>
      <w:numFmt w:val="bullet"/>
      <w:lvlText w:val=""/>
      <w:lvlJc w:val="start"/>
      <w:pPr>
        <w:ind w:start="36pt" w:hanging="18pt"/>
      </w:pPr>
      <w:rPr>
        <w:rFonts w:ascii="Symbol" w:hAnsi="Symbol" w:hint="default"/>
      </w:rPr>
    </w:lvl>
    <w:lvl w:ilvl="1" w:tplc="04160003" w:tentative="1">
      <w:start w:val="1"/>
      <w:numFmt w:val="bullet"/>
      <w:lvlText w:val="o"/>
      <w:lvlJc w:val="start"/>
      <w:pPr>
        <w:ind w:start="72pt" w:hanging="18pt"/>
      </w:pPr>
      <w:rPr>
        <w:rFonts w:ascii="Courier New" w:hAnsi="Courier New" w:cs="Courier New" w:hint="default"/>
      </w:rPr>
    </w:lvl>
    <w:lvl w:ilvl="2" w:tplc="04160005" w:tentative="1">
      <w:start w:val="1"/>
      <w:numFmt w:val="bullet"/>
      <w:lvlText w:val=""/>
      <w:lvlJc w:val="start"/>
      <w:pPr>
        <w:ind w:start="108pt" w:hanging="18pt"/>
      </w:pPr>
      <w:rPr>
        <w:rFonts w:ascii="Wingdings" w:hAnsi="Wingdings" w:hint="default"/>
      </w:rPr>
    </w:lvl>
    <w:lvl w:ilvl="3" w:tplc="04160001" w:tentative="1">
      <w:start w:val="1"/>
      <w:numFmt w:val="bullet"/>
      <w:lvlText w:val=""/>
      <w:lvlJc w:val="start"/>
      <w:pPr>
        <w:ind w:start="144pt" w:hanging="18pt"/>
      </w:pPr>
      <w:rPr>
        <w:rFonts w:ascii="Symbol" w:hAnsi="Symbol" w:hint="default"/>
      </w:rPr>
    </w:lvl>
    <w:lvl w:ilvl="4" w:tplc="04160003" w:tentative="1">
      <w:start w:val="1"/>
      <w:numFmt w:val="bullet"/>
      <w:lvlText w:val="o"/>
      <w:lvlJc w:val="start"/>
      <w:pPr>
        <w:ind w:start="180pt" w:hanging="18pt"/>
      </w:pPr>
      <w:rPr>
        <w:rFonts w:ascii="Courier New" w:hAnsi="Courier New" w:cs="Courier New" w:hint="default"/>
      </w:rPr>
    </w:lvl>
    <w:lvl w:ilvl="5" w:tplc="04160005" w:tentative="1">
      <w:start w:val="1"/>
      <w:numFmt w:val="bullet"/>
      <w:lvlText w:val=""/>
      <w:lvlJc w:val="start"/>
      <w:pPr>
        <w:ind w:start="216pt" w:hanging="18pt"/>
      </w:pPr>
      <w:rPr>
        <w:rFonts w:ascii="Wingdings" w:hAnsi="Wingdings" w:hint="default"/>
      </w:rPr>
    </w:lvl>
    <w:lvl w:ilvl="6" w:tplc="04160001" w:tentative="1">
      <w:start w:val="1"/>
      <w:numFmt w:val="bullet"/>
      <w:lvlText w:val=""/>
      <w:lvlJc w:val="start"/>
      <w:pPr>
        <w:ind w:start="252pt" w:hanging="18pt"/>
      </w:pPr>
      <w:rPr>
        <w:rFonts w:ascii="Symbol" w:hAnsi="Symbol" w:hint="default"/>
      </w:rPr>
    </w:lvl>
    <w:lvl w:ilvl="7" w:tplc="04160003" w:tentative="1">
      <w:start w:val="1"/>
      <w:numFmt w:val="bullet"/>
      <w:lvlText w:val="o"/>
      <w:lvlJc w:val="start"/>
      <w:pPr>
        <w:ind w:start="288pt" w:hanging="18pt"/>
      </w:pPr>
      <w:rPr>
        <w:rFonts w:ascii="Courier New" w:hAnsi="Courier New" w:cs="Courier New" w:hint="default"/>
      </w:rPr>
    </w:lvl>
    <w:lvl w:ilvl="8" w:tplc="04160005" w:tentative="1">
      <w:start w:val="1"/>
      <w:numFmt w:val="bullet"/>
      <w:lvlText w:val=""/>
      <w:lvlJc w:val="start"/>
      <w:pPr>
        <w:ind w:start="324pt" w:hanging="18pt"/>
      </w:pPr>
      <w:rPr>
        <w:rFonts w:ascii="Wingdings" w:hAnsi="Wingdings" w:hint="default"/>
      </w:rPr>
    </w:lvl>
  </w:abstractNum>
  <w:abstractNum w:abstractNumId="6" w15:restartNumberingAfterBreak="0">
    <w:nsid w:val="233F4F79"/>
    <w:multiLevelType w:val="multilevel"/>
    <w:tmpl w:val="21BA1F62"/>
    <w:lvl w:ilvl="0">
      <w:start w:val="1"/>
      <w:numFmt w:val="bullet"/>
      <w:lvlText w:val="●"/>
      <w:lvlJc w:val="start"/>
      <w:pPr>
        <w:ind w:start="18pt" w:hanging="18pt"/>
      </w:pPr>
      <w:rPr>
        <w:rFonts w:ascii="Noto Sans Symbols" w:eastAsia="Noto Sans Symbols" w:hAnsi="Noto Sans Symbols" w:cs="Noto Sans Symbols"/>
      </w:rPr>
    </w:lvl>
    <w:lvl w:ilvl="1">
      <w:start w:val="1"/>
      <w:numFmt w:val="bullet"/>
      <w:lvlText w:val="o"/>
      <w:lvlJc w:val="start"/>
      <w:pPr>
        <w:ind w:start="54pt" w:hanging="18pt"/>
      </w:pPr>
      <w:rPr>
        <w:rFonts w:ascii="Courier New" w:eastAsia="Courier New" w:hAnsi="Courier New" w:cs="Courier New"/>
      </w:rPr>
    </w:lvl>
    <w:lvl w:ilvl="2">
      <w:start w:val="1"/>
      <w:numFmt w:val="bullet"/>
      <w:lvlText w:val="▪"/>
      <w:lvlJc w:val="start"/>
      <w:pPr>
        <w:ind w:start="90pt" w:hanging="18pt"/>
      </w:pPr>
      <w:rPr>
        <w:rFonts w:ascii="Noto Sans Symbols" w:eastAsia="Noto Sans Symbols" w:hAnsi="Noto Sans Symbols" w:cs="Noto Sans Symbols"/>
      </w:rPr>
    </w:lvl>
    <w:lvl w:ilvl="3">
      <w:start w:val="1"/>
      <w:numFmt w:val="bullet"/>
      <w:lvlText w:val="●"/>
      <w:lvlJc w:val="start"/>
      <w:pPr>
        <w:ind w:start="126pt" w:hanging="18pt"/>
      </w:pPr>
      <w:rPr>
        <w:rFonts w:ascii="Noto Sans Symbols" w:eastAsia="Noto Sans Symbols" w:hAnsi="Noto Sans Symbols" w:cs="Noto Sans Symbols"/>
      </w:rPr>
    </w:lvl>
    <w:lvl w:ilvl="4">
      <w:start w:val="1"/>
      <w:numFmt w:val="bullet"/>
      <w:lvlText w:val="o"/>
      <w:lvlJc w:val="start"/>
      <w:pPr>
        <w:ind w:start="162pt" w:hanging="18pt"/>
      </w:pPr>
      <w:rPr>
        <w:rFonts w:ascii="Courier New" w:eastAsia="Courier New" w:hAnsi="Courier New" w:cs="Courier New"/>
      </w:rPr>
    </w:lvl>
    <w:lvl w:ilvl="5">
      <w:start w:val="1"/>
      <w:numFmt w:val="bullet"/>
      <w:lvlText w:val="▪"/>
      <w:lvlJc w:val="start"/>
      <w:pPr>
        <w:ind w:start="198pt" w:hanging="18pt"/>
      </w:pPr>
      <w:rPr>
        <w:rFonts w:ascii="Noto Sans Symbols" w:eastAsia="Noto Sans Symbols" w:hAnsi="Noto Sans Symbols" w:cs="Noto Sans Symbols"/>
      </w:rPr>
    </w:lvl>
    <w:lvl w:ilvl="6">
      <w:start w:val="1"/>
      <w:numFmt w:val="bullet"/>
      <w:lvlText w:val="●"/>
      <w:lvlJc w:val="start"/>
      <w:pPr>
        <w:ind w:start="234pt" w:hanging="18pt"/>
      </w:pPr>
      <w:rPr>
        <w:rFonts w:ascii="Noto Sans Symbols" w:eastAsia="Noto Sans Symbols" w:hAnsi="Noto Sans Symbols" w:cs="Noto Sans Symbols"/>
      </w:rPr>
    </w:lvl>
    <w:lvl w:ilvl="7">
      <w:start w:val="1"/>
      <w:numFmt w:val="bullet"/>
      <w:lvlText w:val="o"/>
      <w:lvlJc w:val="start"/>
      <w:pPr>
        <w:ind w:start="270pt" w:hanging="18pt"/>
      </w:pPr>
      <w:rPr>
        <w:rFonts w:ascii="Courier New" w:eastAsia="Courier New" w:hAnsi="Courier New" w:cs="Courier New"/>
      </w:rPr>
    </w:lvl>
    <w:lvl w:ilvl="8">
      <w:start w:val="1"/>
      <w:numFmt w:val="bullet"/>
      <w:lvlText w:val="▪"/>
      <w:lvlJc w:val="start"/>
      <w:pPr>
        <w:ind w:start="306pt" w:hanging="18pt"/>
      </w:pPr>
      <w:rPr>
        <w:rFonts w:ascii="Noto Sans Symbols" w:eastAsia="Noto Sans Symbols" w:hAnsi="Noto Sans Symbols" w:cs="Noto Sans Symbols"/>
      </w:rPr>
    </w:lvl>
  </w:abstractNum>
  <w:abstractNum w:abstractNumId="7" w15:restartNumberingAfterBreak="0">
    <w:nsid w:val="3C8622D5"/>
    <w:multiLevelType w:val="multilevel"/>
    <w:tmpl w:val="0332074A"/>
    <w:lvl w:ilvl="0">
      <w:start w:val="2"/>
      <w:numFmt w:val="decimal"/>
      <w:lvlText w:val="%1"/>
      <w:lvlJc w:val="start"/>
      <w:pPr>
        <w:ind w:start="28.80pt" w:hanging="28.80pt"/>
      </w:pPr>
      <w:rPr>
        <w:rFonts w:hint="default"/>
      </w:rPr>
    </w:lvl>
    <w:lvl w:ilvl="1">
      <w:start w:val="4"/>
      <w:numFmt w:val="decimal"/>
      <w:lvlText w:val="%1.%2"/>
      <w:lvlJc w:val="start"/>
      <w:pPr>
        <w:ind w:start="28.80pt" w:hanging="28.80pt"/>
      </w:pPr>
      <w:rPr>
        <w:rFonts w:hint="default"/>
      </w:rPr>
    </w:lvl>
    <w:lvl w:ilvl="2">
      <w:start w:val="2"/>
      <w:numFmt w:val="decimal"/>
      <w:lvlText w:val="%1.%2.%3"/>
      <w:lvlJc w:val="start"/>
      <w:pPr>
        <w:ind w:start="36pt" w:hanging="36pt"/>
      </w:pPr>
      <w:rPr>
        <w:rFonts w:hint="default"/>
      </w:rPr>
    </w:lvl>
    <w:lvl w:ilvl="3">
      <w:start w:val="1"/>
      <w:numFmt w:val="decimal"/>
      <w:lvlText w:val="%1.%2.%3.%4"/>
      <w:lvlJc w:val="start"/>
      <w:pPr>
        <w:ind w:start="54pt" w:hanging="54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72pt" w:hanging="72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90pt" w:hanging="90pt"/>
      </w:pPr>
      <w:rPr>
        <w:rFonts w:hint="default"/>
      </w:rPr>
    </w:lvl>
    <w:lvl w:ilvl="8">
      <w:start w:val="1"/>
      <w:numFmt w:val="decimal"/>
      <w:lvlText w:val="%1.%2.%3.%4.%5.%6.%7.%8.%9"/>
      <w:lvlJc w:val="start"/>
      <w:pPr>
        <w:ind w:start="108pt" w:hanging="108pt"/>
      </w:pPr>
      <w:rPr>
        <w:rFonts w:hint="default"/>
      </w:rPr>
    </w:lvl>
  </w:abstractNum>
  <w:abstractNum w:abstractNumId="8" w15:restartNumberingAfterBreak="0">
    <w:nsid w:val="461D066B"/>
    <w:multiLevelType w:val="hybridMultilevel"/>
    <w:tmpl w:val="AFA6F150"/>
    <w:lvl w:ilvl="0" w:tplc="04160001">
      <w:start w:val="1"/>
      <w:numFmt w:val="bullet"/>
      <w:lvlText w:val=""/>
      <w:lvlJc w:val="start"/>
      <w:pPr>
        <w:ind w:start="36pt" w:hanging="18pt"/>
      </w:pPr>
      <w:rPr>
        <w:rFonts w:ascii="Symbol" w:hAnsi="Symbol" w:hint="default"/>
      </w:rPr>
    </w:lvl>
    <w:lvl w:ilvl="1" w:tplc="04160003" w:tentative="1">
      <w:start w:val="1"/>
      <w:numFmt w:val="bullet"/>
      <w:lvlText w:val="o"/>
      <w:lvlJc w:val="start"/>
      <w:pPr>
        <w:ind w:start="72pt" w:hanging="18pt"/>
      </w:pPr>
      <w:rPr>
        <w:rFonts w:ascii="Courier New" w:hAnsi="Courier New" w:cs="Courier New" w:hint="default"/>
      </w:rPr>
    </w:lvl>
    <w:lvl w:ilvl="2" w:tplc="04160005" w:tentative="1">
      <w:start w:val="1"/>
      <w:numFmt w:val="bullet"/>
      <w:lvlText w:val=""/>
      <w:lvlJc w:val="start"/>
      <w:pPr>
        <w:ind w:start="108pt" w:hanging="18pt"/>
      </w:pPr>
      <w:rPr>
        <w:rFonts w:ascii="Wingdings" w:hAnsi="Wingdings" w:hint="default"/>
      </w:rPr>
    </w:lvl>
    <w:lvl w:ilvl="3" w:tplc="04160001" w:tentative="1">
      <w:start w:val="1"/>
      <w:numFmt w:val="bullet"/>
      <w:lvlText w:val=""/>
      <w:lvlJc w:val="start"/>
      <w:pPr>
        <w:ind w:start="144pt" w:hanging="18pt"/>
      </w:pPr>
      <w:rPr>
        <w:rFonts w:ascii="Symbol" w:hAnsi="Symbol" w:hint="default"/>
      </w:rPr>
    </w:lvl>
    <w:lvl w:ilvl="4" w:tplc="04160003" w:tentative="1">
      <w:start w:val="1"/>
      <w:numFmt w:val="bullet"/>
      <w:lvlText w:val="o"/>
      <w:lvlJc w:val="start"/>
      <w:pPr>
        <w:ind w:start="180pt" w:hanging="18pt"/>
      </w:pPr>
      <w:rPr>
        <w:rFonts w:ascii="Courier New" w:hAnsi="Courier New" w:cs="Courier New" w:hint="default"/>
      </w:rPr>
    </w:lvl>
    <w:lvl w:ilvl="5" w:tplc="04160005" w:tentative="1">
      <w:start w:val="1"/>
      <w:numFmt w:val="bullet"/>
      <w:lvlText w:val=""/>
      <w:lvlJc w:val="start"/>
      <w:pPr>
        <w:ind w:start="216pt" w:hanging="18pt"/>
      </w:pPr>
      <w:rPr>
        <w:rFonts w:ascii="Wingdings" w:hAnsi="Wingdings" w:hint="default"/>
      </w:rPr>
    </w:lvl>
    <w:lvl w:ilvl="6" w:tplc="04160001" w:tentative="1">
      <w:start w:val="1"/>
      <w:numFmt w:val="bullet"/>
      <w:lvlText w:val=""/>
      <w:lvlJc w:val="start"/>
      <w:pPr>
        <w:ind w:start="252pt" w:hanging="18pt"/>
      </w:pPr>
      <w:rPr>
        <w:rFonts w:ascii="Symbol" w:hAnsi="Symbol" w:hint="default"/>
      </w:rPr>
    </w:lvl>
    <w:lvl w:ilvl="7" w:tplc="04160003" w:tentative="1">
      <w:start w:val="1"/>
      <w:numFmt w:val="bullet"/>
      <w:lvlText w:val="o"/>
      <w:lvlJc w:val="start"/>
      <w:pPr>
        <w:ind w:start="288pt" w:hanging="18pt"/>
      </w:pPr>
      <w:rPr>
        <w:rFonts w:ascii="Courier New" w:hAnsi="Courier New" w:cs="Courier New" w:hint="default"/>
      </w:rPr>
    </w:lvl>
    <w:lvl w:ilvl="8" w:tplc="04160005" w:tentative="1">
      <w:start w:val="1"/>
      <w:numFmt w:val="bullet"/>
      <w:lvlText w:val=""/>
      <w:lvlJc w:val="start"/>
      <w:pPr>
        <w:ind w:start="324pt" w:hanging="18pt"/>
      </w:pPr>
      <w:rPr>
        <w:rFonts w:ascii="Wingdings" w:hAnsi="Wingdings" w:hint="default"/>
      </w:rPr>
    </w:lvl>
  </w:abstractNum>
  <w:abstractNum w:abstractNumId="9" w15:restartNumberingAfterBreak="0">
    <w:nsid w:val="4E671770"/>
    <w:multiLevelType w:val="multilevel"/>
    <w:tmpl w:val="A66618D0"/>
    <w:lvl w:ilvl="0">
      <w:start w:val="1"/>
      <w:numFmt w:val="bullet"/>
      <w:lvlText w:val="●"/>
      <w:lvlJc w:val="start"/>
      <w:pPr>
        <w:ind w:start="36pt" w:hanging="18pt"/>
      </w:pPr>
      <w:rPr>
        <w:rFonts w:ascii="Noto Sans Symbols" w:eastAsia="Noto Sans Symbols" w:hAnsi="Noto Sans Symbols" w:cs="Noto Sans Symbols"/>
      </w:rPr>
    </w:lvl>
    <w:lvl w:ilvl="1">
      <w:start w:val="1"/>
      <w:numFmt w:val="bullet"/>
      <w:lvlText w:val="o"/>
      <w:lvlJc w:val="start"/>
      <w:pPr>
        <w:ind w:start="72pt" w:hanging="18pt"/>
      </w:pPr>
      <w:rPr>
        <w:rFonts w:ascii="Courier New" w:eastAsia="Courier New" w:hAnsi="Courier New" w:cs="Courier New"/>
      </w:rPr>
    </w:lvl>
    <w:lvl w:ilvl="2">
      <w:start w:val="1"/>
      <w:numFmt w:val="bullet"/>
      <w:lvlText w:val="▪"/>
      <w:lvlJc w:val="start"/>
      <w:pPr>
        <w:ind w:start="108pt" w:hanging="18pt"/>
      </w:pPr>
      <w:rPr>
        <w:rFonts w:ascii="Noto Sans Symbols" w:eastAsia="Noto Sans Symbols" w:hAnsi="Noto Sans Symbols" w:cs="Noto Sans Symbols"/>
      </w:rPr>
    </w:lvl>
    <w:lvl w:ilvl="3">
      <w:start w:val="1"/>
      <w:numFmt w:val="bullet"/>
      <w:lvlText w:val="●"/>
      <w:lvlJc w:val="start"/>
      <w:pPr>
        <w:ind w:start="144pt" w:hanging="18pt"/>
      </w:pPr>
      <w:rPr>
        <w:rFonts w:ascii="Noto Sans Symbols" w:eastAsia="Noto Sans Symbols" w:hAnsi="Noto Sans Symbols" w:cs="Noto Sans Symbols"/>
      </w:rPr>
    </w:lvl>
    <w:lvl w:ilvl="4">
      <w:start w:val="1"/>
      <w:numFmt w:val="bullet"/>
      <w:lvlText w:val="o"/>
      <w:lvlJc w:val="start"/>
      <w:pPr>
        <w:ind w:start="180pt" w:hanging="18pt"/>
      </w:pPr>
      <w:rPr>
        <w:rFonts w:ascii="Courier New" w:eastAsia="Courier New" w:hAnsi="Courier New" w:cs="Courier New"/>
      </w:rPr>
    </w:lvl>
    <w:lvl w:ilvl="5">
      <w:start w:val="1"/>
      <w:numFmt w:val="bullet"/>
      <w:lvlText w:val="▪"/>
      <w:lvlJc w:val="start"/>
      <w:pPr>
        <w:ind w:start="216pt" w:hanging="18pt"/>
      </w:pPr>
      <w:rPr>
        <w:rFonts w:ascii="Noto Sans Symbols" w:eastAsia="Noto Sans Symbols" w:hAnsi="Noto Sans Symbols" w:cs="Noto Sans Symbols"/>
      </w:rPr>
    </w:lvl>
    <w:lvl w:ilvl="6">
      <w:start w:val="1"/>
      <w:numFmt w:val="bullet"/>
      <w:lvlText w:val="●"/>
      <w:lvlJc w:val="start"/>
      <w:pPr>
        <w:ind w:start="252pt" w:hanging="18pt"/>
      </w:pPr>
      <w:rPr>
        <w:rFonts w:ascii="Noto Sans Symbols" w:eastAsia="Noto Sans Symbols" w:hAnsi="Noto Sans Symbols" w:cs="Noto Sans Symbols"/>
      </w:rPr>
    </w:lvl>
    <w:lvl w:ilvl="7">
      <w:start w:val="1"/>
      <w:numFmt w:val="bullet"/>
      <w:lvlText w:val="o"/>
      <w:lvlJc w:val="start"/>
      <w:pPr>
        <w:ind w:start="288pt" w:hanging="18pt"/>
      </w:pPr>
      <w:rPr>
        <w:rFonts w:ascii="Courier New" w:eastAsia="Courier New" w:hAnsi="Courier New" w:cs="Courier New"/>
      </w:rPr>
    </w:lvl>
    <w:lvl w:ilvl="8">
      <w:start w:val="1"/>
      <w:numFmt w:val="bullet"/>
      <w:lvlText w:val="▪"/>
      <w:lvlJc w:val="start"/>
      <w:pPr>
        <w:ind w:start="324pt" w:hanging="18pt"/>
      </w:pPr>
      <w:rPr>
        <w:rFonts w:ascii="Noto Sans Symbols" w:eastAsia="Noto Sans Symbols" w:hAnsi="Noto Sans Symbols" w:cs="Noto Sans Symbols"/>
      </w:rPr>
    </w:lvl>
  </w:abstractNum>
  <w:abstractNum w:abstractNumId="10" w15:restartNumberingAfterBreak="0">
    <w:nsid w:val="66395330"/>
    <w:multiLevelType w:val="multilevel"/>
    <w:tmpl w:val="2E4CA7F0"/>
    <w:lvl w:ilvl="0">
      <w:start w:val="1"/>
      <w:numFmt w:val="bullet"/>
      <w:lvlText w:val="●"/>
      <w:lvlJc w:val="start"/>
      <w:pPr>
        <w:ind w:start="18pt" w:hanging="18pt"/>
      </w:pPr>
      <w:rPr>
        <w:rFonts w:ascii="Noto Sans Symbols" w:eastAsia="Noto Sans Symbols" w:hAnsi="Noto Sans Symbols" w:cs="Noto Sans Symbols"/>
      </w:rPr>
    </w:lvl>
    <w:lvl w:ilvl="1">
      <w:start w:val="1"/>
      <w:numFmt w:val="bullet"/>
      <w:lvlText w:val="o"/>
      <w:lvlJc w:val="start"/>
      <w:pPr>
        <w:ind w:start="54pt" w:hanging="18pt"/>
      </w:pPr>
      <w:rPr>
        <w:rFonts w:ascii="Courier New" w:eastAsia="Courier New" w:hAnsi="Courier New" w:cs="Courier New"/>
      </w:rPr>
    </w:lvl>
    <w:lvl w:ilvl="2">
      <w:start w:val="1"/>
      <w:numFmt w:val="bullet"/>
      <w:lvlText w:val="▪"/>
      <w:lvlJc w:val="start"/>
      <w:pPr>
        <w:ind w:start="90pt" w:hanging="18pt"/>
      </w:pPr>
      <w:rPr>
        <w:rFonts w:ascii="Noto Sans Symbols" w:eastAsia="Noto Sans Symbols" w:hAnsi="Noto Sans Symbols" w:cs="Noto Sans Symbols"/>
      </w:rPr>
    </w:lvl>
    <w:lvl w:ilvl="3">
      <w:start w:val="1"/>
      <w:numFmt w:val="bullet"/>
      <w:lvlText w:val="●"/>
      <w:lvlJc w:val="start"/>
      <w:pPr>
        <w:ind w:start="126pt" w:hanging="18pt"/>
      </w:pPr>
      <w:rPr>
        <w:rFonts w:ascii="Noto Sans Symbols" w:eastAsia="Noto Sans Symbols" w:hAnsi="Noto Sans Symbols" w:cs="Noto Sans Symbols"/>
      </w:rPr>
    </w:lvl>
    <w:lvl w:ilvl="4">
      <w:start w:val="1"/>
      <w:numFmt w:val="bullet"/>
      <w:lvlText w:val="o"/>
      <w:lvlJc w:val="start"/>
      <w:pPr>
        <w:ind w:start="162pt" w:hanging="18pt"/>
      </w:pPr>
      <w:rPr>
        <w:rFonts w:ascii="Courier New" w:eastAsia="Courier New" w:hAnsi="Courier New" w:cs="Courier New"/>
      </w:rPr>
    </w:lvl>
    <w:lvl w:ilvl="5">
      <w:start w:val="1"/>
      <w:numFmt w:val="bullet"/>
      <w:lvlText w:val="▪"/>
      <w:lvlJc w:val="start"/>
      <w:pPr>
        <w:ind w:start="198pt" w:hanging="18pt"/>
      </w:pPr>
      <w:rPr>
        <w:rFonts w:ascii="Noto Sans Symbols" w:eastAsia="Noto Sans Symbols" w:hAnsi="Noto Sans Symbols" w:cs="Noto Sans Symbols"/>
      </w:rPr>
    </w:lvl>
    <w:lvl w:ilvl="6">
      <w:start w:val="1"/>
      <w:numFmt w:val="bullet"/>
      <w:lvlText w:val="●"/>
      <w:lvlJc w:val="start"/>
      <w:pPr>
        <w:ind w:start="234pt" w:hanging="18pt"/>
      </w:pPr>
      <w:rPr>
        <w:rFonts w:ascii="Noto Sans Symbols" w:eastAsia="Noto Sans Symbols" w:hAnsi="Noto Sans Symbols" w:cs="Noto Sans Symbols"/>
      </w:rPr>
    </w:lvl>
    <w:lvl w:ilvl="7">
      <w:start w:val="1"/>
      <w:numFmt w:val="bullet"/>
      <w:lvlText w:val="o"/>
      <w:lvlJc w:val="start"/>
      <w:pPr>
        <w:ind w:start="270pt" w:hanging="18pt"/>
      </w:pPr>
      <w:rPr>
        <w:rFonts w:ascii="Courier New" w:eastAsia="Courier New" w:hAnsi="Courier New" w:cs="Courier New"/>
      </w:rPr>
    </w:lvl>
    <w:lvl w:ilvl="8">
      <w:start w:val="1"/>
      <w:numFmt w:val="bullet"/>
      <w:lvlText w:val="▪"/>
      <w:lvlJc w:val="start"/>
      <w:pPr>
        <w:ind w:start="306pt" w:hanging="18pt"/>
      </w:pPr>
      <w:rPr>
        <w:rFonts w:ascii="Noto Sans Symbols" w:eastAsia="Noto Sans Symbols" w:hAnsi="Noto Sans Symbols" w:cs="Noto Sans Symbols"/>
      </w:rPr>
    </w:lvl>
  </w:abstractNum>
  <w:abstractNum w:abstractNumId="11" w15:restartNumberingAfterBreak="0">
    <w:nsid w:val="6E905310"/>
    <w:multiLevelType w:val="multilevel"/>
    <w:tmpl w:val="98A45282"/>
    <w:lvl w:ilvl="0">
      <w:start w:val="1"/>
      <w:numFmt w:val="decimal"/>
      <w:lvlText w:val="%1."/>
      <w:lvlJc w:val="start"/>
      <w:pPr>
        <w:tabs>
          <w:tab w:val="num" w:pos="36pt"/>
        </w:tabs>
        <w:ind w:start="36pt" w:hanging="36pt"/>
      </w:pPr>
    </w:lvl>
    <w:lvl w:ilvl="1">
      <w:start w:val="1"/>
      <w:numFmt w:val="decimal"/>
      <w:lvlText w:val="%2."/>
      <w:lvlJc w:val="start"/>
      <w:pPr>
        <w:tabs>
          <w:tab w:val="num" w:pos="72pt"/>
        </w:tabs>
        <w:ind w:start="72pt" w:hanging="36pt"/>
      </w:pPr>
    </w:lvl>
    <w:lvl w:ilvl="2">
      <w:start w:val="1"/>
      <w:numFmt w:val="decimal"/>
      <w:lvlText w:val="%3."/>
      <w:lvlJc w:val="start"/>
      <w:pPr>
        <w:tabs>
          <w:tab w:val="num" w:pos="108pt"/>
        </w:tabs>
        <w:ind w:start="108pt" w:hanging="36pt"/>
      </w:pPr>
    </w:lvl>
    <w:lvl w:ilvl="3">
      <w:start w:val="1"/>
      <w:numFmt w:val="decimal"/>
      <w:lvlText w:val="%4."/>
      <w:lvlJc w:val="start"/>
      <w:pPr>
        <w:tabs>
          <w:tab w:val="num" w:pos="144pt"/>
        </w:tabs>
        <w:ind w:start="144pt" w:hanging="36pt"/>
      </w:pPr>
    </w:lvl>
    <w:lvl w:ilvl="4">
      <w:start w:val="1"/>
      <w:numFmt w:val="decimal"/>
      <w:lvlText w:val="%5."/>
      <w:lvlJc w:val="start"/>
      <w:pPr>
        <w:tabs>
          <w:tab w:val="num" w:pos="180pt"/>
        </w:tabs>
        <w:ind w:start="180pt" w:hanging="36pt"/>
      </w:pPr>
    </w:lvl>
    <w:lvl w:ilvl="5">
      <w:start w:val="1"/>
      <w:numFmt w:val="decimal"/>
      <w:lvlText w:val="%6."/>
      <w:lvlJc w:val="start"/>
      <w:pPr>
        <w:tabs>
          <w:tab w:val="num" w:pos="216pt"/>
        </w:tabs>
        <w:ind w:start="216pt" w:hanging="36pt"/>
      </w:pPr>
    </w:lvl>
    <w:lvl w:ilvl="6">
      <w:start w:val="1"/>
      <w:numFmt w:val="decimal"/>
      <w:lvlText w:val="%7."/>
      <w:lvlJc w:val="start"/>
      <w:pPr>
        <w:tabs>
          <w:tab w:val="num" w:pos="252pt"/>
        </w:tabs>
        <w:ind w:start="252pt" w:hanging="36pt"/>
      </w:pPr>
    </w:lvl>
    <w:lvl w:ilvl="7">
      <w:start w:val="1"/>
      <w:numFmt w:val="decimal"/>
      <w:lvlText w:val="%8."/>
      <w:lvlJc w:val="start"/>
      <w:pPr>
        <w:tabs>
          <w:tab w:val="num" w:pos="288pt"/>
        </w:tabs>
        <w:ind w:start="288pt" w:hanging="36pt"/>
      </w:pPr>
    </w:lvl>
    <w:lvl w:ilvl="8">
      <w:start w:val="1"/>
      <w:numFmt w:val="decimal"/>
      <w:lvlText w:val="%9."/>
      <w:lvlJc w:val="start"/>
      <w:pPr>
        <w:tabs>
          <w:tab w:val="num" w:pos="324pt"/>
        </w:tabs>
        <w:ind w:start="324pt" w:hanging="36pt"/>
      </w:pPr>
    </w:lvl>
  </w:abstractNum>
  <w:num w:numId="1">
    <w:abstractNumId w:val="2"/>
  </w:num>
  <w:num w:numId="2">
    <w:abstractNumId w:val="6"/>
  </w:num>
  <w:num w:numId="3">
    <w:abstractNumId w:val="4"/>
  </w:num>
  <w:num w:numId="4">
    <w:abstractNumId w:val="10"/>
  </w:num>
  <w:num w:numId="5">
    <w:abstractNumId w:val="1"/>
  </w:num>
  <w:num w:numId="6">
    <w:abstractNumId w:val="9"/>
  </w:num>
  <w:num w:numId="7">
    <w:abstractNumId w:val="0"/>
  </w:num>
  <w:num w:numId="8">
    <w:abstractNumId w:val="11"/>
  </w:num>
  <w:num w:numId="9">
    <w:abstractNumId w:val="8"/>
  </w:num>
  <w:num w:numId="10">
    <w:abstractNumId w:val="3"/>
  </w:num>
  <w:num w:numId="11">
    <w:abstractNumId w:val="5"/>
  </w:num>
  <w:num w:numId="12">
    <w:abstractNumId w:val="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429"/>
    <w:rsid w:val="0003458D"/>
    <w:rsid w:val="00034A46"/>
    <w:rsid w:val="00035E51"/>
    <w:rsid w:val="00096CF3"/>
    <w:rsid w:val="000A1BB4"/>
    <w:rsid w:val="000A47CE"/>
    <w:rsid w:val="000A567F"/>
    <w:rsid w:val="000A5B96"/>
    <w:rsid w:val="00113A6E"/>
    <w:rsid w:val="0013509B"/>
    <w:rsid w:val="0015260C"/>
    <w:rsid w:val="00156A3A"/>
    <w:rsid w:val="00162CCA"/>
    <w:rsid w:val="00165801"/>
    <w:rsid w:val="001743D6"/>
    <w:rsid w:val="00180DDE"/>
    <w:rsid w:val="00184B3D"/>
    <w:rsid w:val="00197429"/>
    <w:rsid w:val="001A6EC3"/>
    <w:rsid w:val="001C02CB"/>
    <w:rsid w:val="001D6107"/>
    <w:rsid w:val="001E62A2"/>
    <w:rsid w:val="00205175"/>
    <w:rsid w:val="00207418"/>
    <w:rsid w:val="00223F35"/>
    <w:rsid w:val="00224AF6"/>
    <w:rsid w:val="00243496"/>
    <w:rsid w:val="00244BD9"/>
    <w:rsid w:val="0024640A"/>
    <w:rsid w:val="00250E29"/>
    <w:rsid w:val="002563DD"/>
    <w:rsid w:val="002644D0"/>
    <w:rsid w:val="0027328A"/>
    <w:rsid w:val="00283BE2"/>
    <w:rsid w:val="002879AA"/>
    <w:rsid w:val="003124CA"/>
    <w:rsid w:val="0031427F"/>
    <w:rsid w:val="00315E88"/>
    <w:rsid w:val="00354ECB"/>
    <w:rsid w:val="00363742"/>
    <w:rsid w:val="003757E1"/>
    <w:rsid w:val="003C03A1"/>
    <w:rsid w:val="003E4C16"/>
    <w:rsid w:val="004038E6"/>
    <w:rsid w:val="00405C11"/>
    <w:rsid w:val="00407ECE"/>
    <w:rsid w:val="00412E7A"/>
    <w:rsid w:val="00440EB9"/>
    <w:rsid w:val="004556E4"/>
    <w:rsid w:val="0047336D"/>
    <w:rsid w:val="00483412"/>
    <w:rsid w:val="00486E02"/>
    <w:rsid w:val="00493040"/>
    <w:rsid w:val="004947F0"/>
    <w:rsid w:val="004E21F8"/>
    <w:rsid w:val="004F6B78"/>
    <w:rsid w:val="00514EB9"/>
    <w:rsid w:val="00526915"/>
    <w:rsid w:val="0056047A"/>
    <w:rsid w:val="00575EA5"/>
    <w:rsid w:val="005870B7"/>
    <w:rsid w:val="005E2778"/>
    <w:rsid w:val="00633176"/>
    <w:rsid w:val="00641A9C"/>
    <w:rsid w:val="00647775"/>
    <w:rsid w:val="00661FE7"/>
    <w:rsid w:val="00694C86"/>
    <w:rsid w:val="006962AA"/>
    <w:rsid w:val="006B1F6F"/>
    <w:rsid w:val="006B2509"/>
    <w:rsid w:val="006B339C"/>
    <w:rsid w:val="006B7170"/>
    <w:rsid w:val="006C4690"/>
    <w:rsid w:val="006D0A61"/>
    <w:rsid w:val="006D2141"/>
    <w:rsid w:val="006D572D"/>
    <w:rsid w:val="006E0D8E"/>
    <w:rsid w:val="006F757D"/>
    <w:rsid w:val="00714B3F"/>
    <w:rsid w:val="00735545"/>
    <w:rsid w:val="00740720"/>
    <w:rsid w:val="00747CF3"/>
    <w:rsid w:val="00760761"/>
    <w:rsid w:val="007615E8"/>
    <w:rsid w:val="00766C2E"/>
    <w:rsid w:val="007832C9"/>
    <w:rsid w:val="007A5A54"/>
    <w:rsid w:val="007B68D2"/>
    <w:rsid w:val="007B7E34"/>
    <w:rsid w:val="007E36E6"/>
    <w:rsid w:val="0080513E"/>
    <w:rsid w:val="0081636B"/>
    <w:rsid w:val="00872F79"/>
    <w:rsid w:val="008A7DE7"/>
    <w:rsid w:val="008B5247"/>
    <w:rsid w:val="008F6F7C"/>
    <w:rsid w:val="00916D9D"/>
    <w:rsid w:val="009201DF"/>
    <w:rsid w:val="00927077"/>
    <w:rsid w:val="0092782F"/>
    <w:rsid w:val="00932011"/>
    <w:rsid w:val="009655A7"/>
    <w:rsid w:val="009776AE"/>
    <w:rsid w:val="00990072"/>
    <w:rsid w:val="009B33EB"/>
    <w:rsid w:val="009F095B"/>
    <w:rsid w:val="009F10E5"/>
    <w:rsid w:val="00A0050C"/>
    <w:rsid w:val="00A02C54"/>
    <w:rsid w:val="00A03D4B"/>
    <w:rsid w:val="00A0636F"/>
    <w:rsid w:val="00A33948"/>
    <w:rsid w:val="00A57B0A"/>
    <w:rsid w:val="00A6505F"/>
    <w:rsid w:val="00A74957"/>
    <w:rsid w:val="00A94A67"/>
    <w:rsid w:val="00AD4009"/>
    <w:rsid w:val="00AF3DC2"/>
    <w:rsid w:val="00B15322"/>
    <w:rsid w:val="00B232B9"/>
    <w:rsid w:val="00B26C20"/>
    <w:rsid w:val="00B33983"/>
    <w:rsid w:val="00B55A5B"/>
    <w:rsid w:val="00B65404"/>
    <w:rsid w:val="00B97C8C"/>
    <w:rsid w:val="00BA69AE"/>
    <w:rsid w:val="00BE23CA"/>
    <w:rsid w:val="00C243D2"/>
    <w:rsid w:val="00C277C7"/>
    <w:rsid w:val="00C31B07"/>
    <w:rsid w:val="00C34A28"/>
    <w:rsid w:val="00C51286"/>
    <w:rsid w:val="00C51845"/>
    <w:rsid w:val="00C626E1"/>
    <w:rsid w:val="00C6646D"/>
    <w:rsid w:val="00C85575"/>
    <w:rsid w:val="00C862FC"/>
    <w:rsid w:val="00C942BF"/>
    <w:rsid w:val="00CA31EC"/>
    <w:rsid w:val="00CE077E"/>
    <w:rsid w:val="00CE311B"/>
    <w:rsid w:val="00CF3611"/>
    <w:rsid w:val="00D141B4"/>
    <w:rsid w:val="00D1713A"/>
    <w:rsid w:val="00D26A0F"/>
    <w:rsid w:val="00D44445"/>
    <w:rsid w:val="00D4505C"/>
    <w:rsid w:val="00D80926"/>
    <w:rsid w:val="00D91DAE"/>
    <w:rsid w:val="00D93745"/>
    <w:rsid w:val="00D94795"/>
    <w:rsid w:val="00D96626"/>
    <w:rsid w:val="00DB417E"/>
    <w:rsid w:val="00DC41D1"/>
    <w:rsid w:val="00DD7CBB"/>
    <w:rsid w:val="00E02AC2"/>
    <w:rsid w:val="00E37792"/>
    <w:rsid w:val="00E428D1"/>
    <w:rsid w:val="00E562F5"/>
    <w:rsid w:val="00E7181B"/>
    <w:rsid w:val="00E81016"/>
    <w:rsid w:val="00E820C1"/>
    <w:rsid w:val="00E9478C"/>
    <w:rsid w:val="00EA2307"/>
    <w:rsid w:val="00EA51C7"/>
    <w:rsid w:val="00ED4984"/>
    <w:rsid w:val="00EF200B"/>
    <w:rsid w:val="00F1415C"/>
    <w:rsid w:val="00F2242B"/>
    <w:rsid w:val="00F23033"/>
    <w:rsid w:val="00F43EF2"/>
    <w:rsid w:val="00F815E3"/>
    <w:rsid w:val="00F86AAB"/>
    <w:rsid w:val="00FB088D"/>
    <w:rsid w:val="00FE5845"/>
    <w:rsid w:val="00FE5DAE"/>
    <w:rsid w:val="00FF1900"/>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ecimalSymbol w:val=","/>
  <w:listSeparator w:val=";"/>
  <w14:docId w14:val="7BBDAC41"/>
  <w15:docId w15:val="{3FCDEDBD-948E-4900-A000-32E30A1D5870}"/>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Ttulo1">
    <w:name w:val="heading 1"/>
    <w:basedOn w:val="Normal"/>
    <w:next w:val="Normal"/>
    <w:uiPriority w:val="9"/>
    <w:qFormat/>
    <w:rsid w:val="0076654A"/>
    <w:pPr>
      <w:numPr>
        <w:numId w:val="3"/>
      </w:numPr>
      <w:spacing w:before="24pt" w:after="6pt"/>
      <w:outlineLvl w:val="0"/>
    </w:pPr>
    <w:rPr>
      <w:b/>
      <w:sz w:val="28"/>
    </w:rPr>
  </w:style>
  <w:style w:type="paragraph" w:styleId="Ttulo2">
    <w:name w:val="heading 2"/>
    <w:basedOn w:val="Normal"/>
    <w:next w:val="Normal"/>
    <w:uiPriority w:val="9"/>
    <w:unhideWhenUsed/>
    <w:qFormat/>
    <w:rsid w:val="00151733"/>
    <w:pPr>
      <w:spacing w:line="18pt" w:lineRule="auto"/>
      <w:outlineLvl w:val="1"/>
    </w:pPr>
    <w:rPr>
      <w:b/>
      <w:sz w:val="28"/>
      <w:szCs w:val="28"/>
    </w:rPr>
  </w:style>
  <w:style w:type="paragraph" w:styleId="Ttulo3">
    <w:name w:val="heading 3"/>
    <w:basedOn w:val="Normal"/>
    <w:next w:val="Normal"/>
    <w:link w:val="Ttulo3Char"/>
    <w:uiPriority w:val="9"/>
    <w:unhideWhenUsed/>
    <w:qFormat/>
    <w:pPr>
      <w:spacing w:before="14pt" w:after="4pt"/>
      <w:outlineLvl w:val="2"/>
    </w:pPr>
    <w:rPr>
      <w:b/>
      <w:sz w:val="28"/>
    </w:rPr>
  </w:style>
  <w:style w:type="paragraph" w:styleId="Ttulo4">
    <w:name w:val="heading 4"/>
    <w:basedOn w:val="Normal"/>
    <w:next w:val="Normal"/>
    <w:uiPriority w:val="9"/>
    <w:semiHidden/>
    <w:unhideWhenUsed/>
    <w:qFormat/>
    <w:pPr>
      <w:spacing w:before="12pt" w:after="2pt"/>
      <w:outlineLvl w:val="3"/>
    </w:pPr>
    <w:rPr>
      <w:b/>
    </w:rPr>
  </w:style>
  <w:style w:type="paragraph" w:styleId="Ttulo5">
    <w:name w:val="heading 5"/>
    <w:basedOn w:val="Normal"/>
    <w:next w:val="Normal"/>
    <w:uiPriority w:val="9"/>
    <w:semiHidden/>
    <w:unhideWhenUsed/>
    <w:qFormat/>
    <w:pPr>
      <w:spacing w:before="11pt" w:after="2pt"/>
      <w:outlineLvl w:val="4"/>
    </w:pPr>
    <w:rPr>
      <w:b/>
      <w:sz w:val="22"/>
    </w:rPr>
  </w:style>
  <w:style w:type="paragraph" w:styleId="Ttulo6">
    <w:name w:val="heading 6"/>
    <w:basedOn w:val="Normal"/>
    <w:next w:val="Normal"/>
    <w:uiPriority w:val="9"/>
    <w:semiHidden/>
    <w:unhideWhenUsed/>
    <w:qFormat/>
    <w:pPr>
      <w:spacing w:before="10pt" w:after="2pt"/>
      <w:outlineLvl w:val="5"/>
    </w:pPr>
    <w:rPr>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pt" w:type="dxa"/>
      <w:tblCellMar>
        <w:top w:w="0pt" w:type="dxa"/>
        <w:start w:w="5.40pt" w:type="dxa"/>
        <w:bottom w:w="0pt" w:type="dxa"/>
        <w:end w:w="5.40pt" w:type="dxa"/>
      </w:tblCellMar>
    </w:tblPr>
  </w:style>
  <w:style w:type="numbering" w:default="1" w:styleId="Semlista">
    <w:name w:val="No List"/>
    <w:uiPriority w:val="99"/>
    <w:semiHidden/>
    <w:unhideWhenUsed/>
  </w:style>
  <w:style w:type="table" w:customStyle="1" w:styleId="TableNormal">
    <w:name w:val="Table Normal"/>
    <w:tblPr>
      <w:tblCellMar>
        <w:top w:w="0pt" w:type="dxa"/>
        <w:start w:w="0pt" w:type="dxa"/>
        <w:bottom w:w="0pt" w:type="dxa"/>
        <w:end w:w="0pt" w:type="dxa"/>
      </w:tblCellMar>
    </w:tblPr>
  </w:style>
  <w:style w:type="paragraph" w:styleId="Ttulo">
    <w:name w:val="Title"/>
    <w:basedOn w:val="Normal"/>
    <w:next w:val="Normal"/>
    <w:uiPriority w:val="10"/>
    <w:qFormat/>
    <w:pPr>
      <w:spacing w:before="24pt" w:after="6pt"/>
    </w:pPr>
    <w:rPr>
      <w:b/>
      <w:sz w:val="72"/>
    </w:rPr>
  </w:style>
  <w:style w:type="table" w:customStyle="1" w:styleId="TableNormal0">
    <w:name w:val="Table Normal"/>
    <w:tblPr>
      <w:tblCellMar>
        <w:top w:w="0pt" w:type="dxa"/>
        <w:start w:w="0pt" w:type="dxa"/>
        <w:bottom w:w="0pt" w:type="dxa"/>
        <w:end w:w="0pt" w:type="dxa"/>
      </w:tblCellMar>
    </w:tblPr>
  </w:style>
  <w:style w:type="table" w:customStyle="1" w:styleId="TableNormal1">
    <w:name w:val="Table Normal"/>
    <w:tblPr>
      <w:tblCellMar>
        <w:top w:w="0pt" w:type="dxa"/>
        <w:start w:w="0pt" w:type="dxa"/>
        <w:bottom w:w="0pt" w:type="dxa"/>
        <w:end w:w="0pt" w:type="dxa"/>
      </w:tblCellMar>
    </w:tblPr>
  </w:style>
  <w:style w:type="paragraph" w:styleId="Subttulo">
    <w:name w:val="Subtitle"/>
    <w:basedOn w:val="Normal"/>
    <w:next w:val="Normal"/>
    <w:uiPriority w:val="11"/>
    <w:qFormat/>
    <w:pPr>
      <w:spacing w:before="18pt" w:after="4pt"/>
    </w:pPr>
    <w:rPr>
      <w:rFonts w:ascii="Georgia" w:eastAsia="Georgia" w:hAnsi="Georgia" w:cs="Georgia"/>
      <w:i/>
      <w:color w:val="666666"/>
      <w:sz w:val="48"/>
      <w:szCs w:val="48"/>
    </w:rPr>
  </w:style>
  <w:style w:type="paragraph" w:styleId="PargrafodaLista">
    <w:name w:val="List Paragraph"/>
    <w:basedOn w:val="Normal"/>
    <w:uiPriority w:val="34"/>
    <w:qFormat/>
    <w:rsid w:val="00C978CE"/>
    <w:pPr>
      <w:ind w:start="36pt"/>
      <w:contextualSpacing/>
    </w:pPr>
  </w:style>
  <w:style w:type="table" w:styleId="Tabelacomgrade">
    <w:name w:val="Table Grid"/>
    <w:basedOn w:val="Tabelanormal"/>
    <w:uiPriority w:val="39"/>
    <w:rsid w:val="00F16F8D"/>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E1986"/>
    <w:pPr>
      <w:tabs>
        <w:tab w:val="center" w:pos="212.60pt"/>
        <w:tab w:val="end" w:pos="425.20pt"/>
      </w:tabs>
    </w:pPr>
  </w:style>
  <w:style w:type="character" w:customStyle="1" w:styleId="CabealhoChar">
    <w:name w:val="Cabeçalho Char"/>
    <w:basedOn w:val="Fontepargpadro"/>
    <w:link w:val="Cabealho"/>
    <w:uiPriority w:val="99"/>
    <w:rsid w:val="00FE1986"/>
    <w:rPr>
      <w:rFonts w:ascii="Times New Roman" w:eastAsia="Times New Roman" w:hAnsi="Times New Roman" w:cs="Times New Roman"/>
      <w:color w:val="000000"/>
      <w:sz w:val="24"/>
    </w:rPr>
  </w:style>
  <w:style w:type="paragraph" w:styleId="Rodap">
    <w:name w:val="footer"/>
    <w:basedOn w:val="Normal"/>
    <w:link w:val="RodapChar"/>
    <w:uiPriority w:val="99"/>
    <w:unhideWhenUsed/>
    <w:rsid w:val="00FE1986"/>
    <w:pPr>
      <w:tabs>
        <w:tab w:val="center" w:pos="212.60pt"/>
        <w:tab w:val="end" w:pos="425.20pt"/>
      </w:tabs>
    </w:pPr>
  </w:style>
  <w:style w:type="character" w:customStyle="1" w:styleId="RodapChar">
    <w:name w:val="Rodapé Char"/>
    <w:basedOn w:val="Fontepargpadro"/>
    <w:link w:val="Rodap"/>
    <w:uiPriority w:val="99"/>
    <w:rsid w:val="00FE1986"/>
    <w:rPr>
      <w:rFonts w:ascii="Times New Roman" w:eastAsia="Times New Roman" w:hAnsi="Times New Roman" w:cs="Times New Roman"/>
      <w:color w:val="000000"/>
      <w:sz w:val="24"/>
    </w:rPr>
  </w:style>
  <w:style w:type="character" w:styleId="Refdecomentrio">
    <w:name w:val="annotation reference"/>
    <w:basedOn w:val="Fontepargpadro"/>
    <w:uiPriority w:val="99"/>
    <w:semiHidden/>
    <w:unhideWhenUsed/>
    <w:rsid w:val="00D56FEF"/>
    <w:rPr>
      <w:sz w:val="16"/>
      <w:szCs w:val="16"/>
    </w:rPr>
  </w:style>
  <w:style w:type="paragraph" w:styleId="Textodecomentrio">
    <w:name w:val="annotation text"/>
    <w:basedOn w:val="Normal"/>
    <w:link w:val="TextodecomentrioChar"/>
    <w:uiPriority w:val="99"/>
    <w:semiHidden/>
    <w:unhideWhenUsed/>
    <w:rsid w:val="00D56FEF"/>
    <w:rPr>
      <w:sz w:val="20"/>
      <w:szCs w:val="20"/>
    </w:rPr>
  </w:style>
  <w:style w:type="character" w:customStyle="1" w:styleId="TextodecomentrioChar">
    <w:name w:val="Texto de comentário Char"/>
    <w:basedOn w:val="Fontepargpadro"/>
    <w:link w:val="Textodecomentrio"/>
    <w:uiPriority w:val="99"/>
    <w:semiHidden/>
    <w:rsid w:val="00D56FEF"/>
    <w:rPr>
      <w:rFonts w:ascii="Times New Roman" w:eastAsia="Times New Roman" w:hAnsi="Times New Roman" w:cs="Times New Roman"/>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D56FEF"/>
    <w:rPr>
      <w:b/>
      <w:bCs/>
    </w:rPr>
  </w:style>
  <w:style w:type="character" w:customStyle="1" w:styleId="AssuntodocomentrioChar">
    <w:name w:val="Assunto do comentário Char"/>
    <w:basedOn w:val="TextodecomentrioChar"/>
    <w:link w:val="Assuntodocomentrio"/>
    <w:uiPriority w:val="99"/>
    <w:semiHidden/>
    <w:rsid w:val="00D56FEF"/>
    <w:rPr>
      <w:rFonts w:ascii="Times New Roman" w:eastAsia="Times New Roman" w:hAnsi="Times New Roman" w:cs="Times New Roman"/>
      <w:b/>
      <w:bCs/>
      <w:color w:val="000000"/>
      <w:sz w:val="20"/>
      <w:szCs w:val="20"/>
    </w:rPr>
  </w:style>
  <w:style w:type="paragraph" w:styleId="Textodebalo">
    <w:name w:val="Balloon Text"/>
    <w:basedOn w:val="Normal"/>
    <w:link w:val="TextodebaloChar"/>
    <w:uiPriority w:val="99"/>
    <w:semiHidden/>
    <w:unhideWhenUsed/>
    <w:rsid w:val="00D56FEF"/>
    <w:rPr>
      <w:rFonts w:ascii="Segoe UI" w:hAnsi="Segoe UI" w:cs="Segoe UI"/>
      <w:sz w:val="18"/>
      <w:szCs w:val="18"/>
    </w:rPr>
  </w:style>
  <w:style w:type="character" w:customStyle="1" w:styleId="TextodebaloChar">
    <w:name w:val="Texto de balão Char"/>
    <w:basedOn w:val="Fontepargpadro"/>
    <w:link w:val="Textodebalo"/>
    <w:uiPriority w:val="99"/>
    <w:semiHidden/>
    <w:rsid w:val="00D56FEF"/>
    <w:rPr>
      <w:rFonts w:ascii="Segoe UI" w:eastAsia="Times New Roman" w:hAnsi="Segoe UI" w:cs="Segoe UI"/>
      <w:color w:val="000000"/>
      <w:sz w:val="18"/>
      <w:szCs w:val="18"/>
    </w:rPr>
  </w:style>
  <w:style w:type="paragraph" w:styleId="Reviso">
    <w:name w:val="Revision"/>
    <w:hidden/>
    <w:uiPriority w:val="99"/>
    <w:semiHidden/>
    <w:rsid w:val="00536F0C"/>
    <w:rPr>
      <w:color w:val="000000"/>
    </w:rPr>
  </w:style>
  <w:style w:type="table" w:customStyle="1" w:styleId="a">
    <w:basedOn w:val="TableNormal1"/>
    <w:tblPr>
      <w:tblStyleRowBandSize w:val="1"/>
      <w:tblStyleColBandSize w:val="1"/>
      <w:tblCellMar>
        <w:start w:w="5.40pt" w:type="dxa"/>
        <w:end w:w="5.40pt" w:type="dxa"/>
      </w:tblCellMar>
    </w:tblPr>
  </w:style>
  <w:style w:type="table" w:customStyle="1" w:styleId="a0">
    <w:basedOn w:val="TableNormal1"/>
    <w:tblPr>
      <w:tblStyleRowBandSize w:val="1"/>
      <w:tblStyleColBandSize w:val="1"/>
      <w:tblCellMar>
        <w:start w:w="5.40pt" w:type="dxa"/>
        <w:end w:w="5.40pt" w:type="dxa"/>
      </w:tblCellMar>
    </w:tblPr>
  </w:style>
  <w:style w:type="table" w:customStyle="1" w:styleId="a1">
    <w:basedOn w:val="TableNormal1"/>
    <w:tblPr>
      <w:tblStyleRowBandSize w:val="1"/>
      <w:tblStyleColBandSize w:val="1"/>
      <w:tblCellMar>
        <w:start w:w="5.40pt" w:type="dxa"/>
        <w:end w:w="5.40pt" w:type="dxa"/>
      </w:tblCellMar>
    </w:tblPr>
  </w:style>
  <w:style w:type="table" w:customStyle="1" w:styleId="a2">
    <w:basedOn w:val="TableNormal1"/>
    <w:tblPr>
      <w:tblStyleRowBandSize w:val="1"/>
      <w:tblStyleColBandSize w:val="1"/>
      <w:tblCellMar>
        <w:start w:w="5.40pt" w:type="dxa"/>
        <w:end w:w="5.40pt" w:type="dxa"/>
      </w:tblCellMar>
    </w:tblPr>
  </w:style>
  <w:style w:type="table" w:customStyle="1" w:styleId="a3">
    <w:basedOn w:val="TableNormal1"/>
    <w:tblPr>
      <w:tblStyleRowBandSize w:val="1"/>
      <w:tblStyleColBandSize w:val="1"/>
      <w:tblCellMar>
        <w:start w:w="5.40pt" w:type="dxa"/>
        <w:end w:w="5.40pt" w:type="dxa"/>
      </w:tblCellMar>
    </w:tblPr>
  </w:style>
  <w:style w:type="table" w:customStyle="1" w:styleId="a4">
    <w:basedOn w:val="TableNormal1"/>
    <w:tblPr>
      <w:tblStyleRowBandSize w:val="1"/>
      <w:tblStyleColBandSize w:val="1"/>
      <w:tblCellMar>
        <w:start w:w="5.40pt" w:type="dxa"/>
        <w:end w:w="5.40pt" w:type="dxa"/>
      </w:tblCellMar>
    </w:tblPr>
  </w:style>
  <w:style w:type="table" w:customStyle="1" w:styleId="a5">
    <w:basedOn w:val="TableNormal1"/>
    <w:tblPr>
      <w:tblStyleRowBandSize w:val="1"/>
      <w:tblStyleColBandSize w:val="1"/>
      <w:tblCellMar>
        <w:start w:w="5.40pt" w:type="dxa"/>
        <w:end w:w="5.40pt" w:type="dxa"/>
      </w:tblCellMar>
    </w:tblPr>
  </w:style>
  <w:style w:type="table" w:customStyle="1" w:styleId="a6">
    <w:basedOn w:val="TableNormal1"/>
    <w:tblPr>
      <w:tblStyleRowBandSize w:val="1"/>
      <w:tblStyleColBandSize w:val="1"/>
      <w:tblCellMar>
        <w:start w:w="5.40pt" w:type="dxa"/>
        <w:end w:w="5.40pt" w:type="dxa"/>
      </w:tblCellMar>
    </w:tblPr>
  </w:style>
  <w:style w:type="table" w:customStyle="1" w:styleId="a7">
    <w:basedOn w:val="TableNormal1"/>
    <w:tblPr>
      <w:tblStyleRowBandSize w:val="1"/>
      <w:tblStyleColBandSize w:val="1"/>
      <w:tblCellMar>
        <w:start w:w="5.40pt" w:type="dxa"/>
        <w:end w:w="5.40pt" w:type="dxa"/>
      </w:tblCellMar>
    </w:tblPr>
  </w:style>
  <w:style w:type="table" w:customStyle="1" w:styleId="a8">
    <w:basedOn w:val="TableNormal1"/>
    <w:tblPr>
      <w:tblStyleRowBandSize w:val="1"/>
      <w:tblStyleColBandSize w:val="1"/>
      <w:tblCellMar>
        <w:start w:w="5.40pt" w:type="dxa"/>
        <w:end w:w="5.40pt" w:type="dxa"/>
      </w:tblCellMar>
    </w:tblPr>
  </w:style>
  <w:style w:type="table" w:customStyle="1" w:styleId="a9">
    <w:basedOn w:val="TableNormal1"/>
    <w:tblPr>
      <w:tblStyleRowBandSize w:val="1"/>
      <w:tblStyleColBandSize w:val="1"/>
      <w:tblCellMar>
        <w:start w:w="5.40pt" w:type="dxa"/>
        <w:end w:w="5.40pt" w:type="dxa"/>
      </w:tblCellMar>
    </w:tblPr>
  </w:style>
  <w:style w:type="table" w:customStyle="1" w:styleId="aa">
    <w:basedOn w:val="TableNormal1"/>
    <w:tblPr>
      <w:tblStyleRowBandSize w:val="1"/>
      <w:tblStyleColBandSize w:val="1"/>
      <w:tblCellMar>
        <w:start w:w="5.40pt" w:type="dxa"/>
        <w:end w:w="5.40pt" w:type="dxa"/>
      </w:tblCellMar>
    </w:tblPr>
  </w:style>
  <w:style w:type="table" w:customStyle="1" w:styleId="ab">
    <w:basedOn w:val="TableNormal1"/>
    <w:tblPr>
      <w:tblStyleRowBandSize w:val="1"/>
      <w:tblStyleColBandSize w:val="1"/>
      <w:tblCellMar>
        <w:start w:w="5.40pt" w:type="dxa"/>
        <w:end w:w="5.40pt" w:type="dxa"/>
      </w:tblCellMar>
    </w:tblPr>
  </w:style>
  <w:style w:type="table" w:customStyle="1" w:styleId="ac">
    <w:basedOn w:val="TableNormal1"/>
    <w:tblPr>
      <w:tblStyleRowBandSize w:val="1"/>
      <w:tblStyleColBandSize w:val="1"/>
      <w:tblCellMar>
        <w:start w:w="5.40pt" w:type="dxa"/>
        <w:end w:w="5.40pt" w:type="dxa"/>
      </w:tblCellMar>
    </w:tblPr>
  </w:style>
  <w:style w:type="paragraph" w:styleId="CabealhodoSumrio">
    <w:name w:val="TOC Heading"/>
    <w:basedOn w:val="Ttulo1"/>
    <w:next w:val="Normal"/>
    <w:uiPriority w:val="39"/>
    <w:unhideWhenUsed/>
    <w:qFormat/>
    <w:rsid w:val="00151733"/>
    <w:pPr>
      <w:keepNext/>
      <w:keepLines/>
      <w:numPr>
        <w:numId w:val="0"/>
      </w:numPr>
      <w:spacing w:before="12pt" w:after="0pt" w:line="12.95pt" w:lineRule="auto"/>
      <w:jc w:val="start"/>
      <w:outlineLvl w:val="9"/>
    </w:pPr>
    <w:rPr>
      <w:rFonts w:asciiTheme="majorHAnsi" w:eastAsiaTheme="majorEastAsia" w:hAnsiTheme="majorHAnsi" w:cstheme="majorBidi"/>
      <w:b w:val="0"/>
      <w:color w:val="2F5496" w:themeColor="accent1" w:themeShade="BF"/>
      <w:sz w:val="32"/>
      <w:szCs w:val="32"/>
    </w:rPr>
  </w:style>
  <w:style w:type="paragraph" w:styleId="Sumrio1">
    <w:name w:val="toc 1"/>
    <w:basedOn w:val="Normal"/>
    <w:next w:val="Normal"/>
    <w:autoRedefine/>
    <w:uiPriority w:val="39"/>
    <w:unhideWhenUsed/>
    <w:rsid w:val="00151733"/>
    <w:pPr>
      <w:spacing w:after="5pt"/>
    </w:pPr>
  </w:style>
  <w:style w:type="paragraph" w:styleId="Sumrio2">
    <w:name w:val="toc 2"/>
    <w:basedOn w:val="Normal"/>
    <w:next w:val="Normal"/>
    <w:autoRedefine/>
    <w:uiPriority w:val="39"/>
    <w:unhideWhenUsed/>
    <w:rsid w:val="00151733"/>
    <w:pPr>
      <w:spacing w:after="5pt"/>
      <w:ind w:start="12pt"/>
    </w:pPr>
  </w:style>
  <w:style w:type="character" w:styleId="Hyperlink">
    <w:name w:val="Hyperlink"/>
    <w:basedOn w:val="Fontepargpadro"/>
    <w:uiPriority w:val="99"/>
    <w:unhideWhenUsed/>
    <w:rsid w:val="00151733"/>
    <w:rPr>
      <w:color w:val="0563C1" w:themeColor="hyperlink"/>
      <w:u w:val="single"/>
    </w:rPr>
  </w:style>
  <w:style w:type="paragraph" w:styleId="Sumrio3">
    <w:name w:val="toc 3"/>
    <w:basedOn w:val="Normal"/>
    <w:next w:val="Normal"/>
    <w:autoRedefine/>
    <w:uiPriority w:val="39"/>
    <w:unhideWhenUsed/>
    <w:rsid w:val="00151733"/>
    <w:pPr>
      <w:spacing w:after="5pt"/>
      <w:ind w:start="24pt"/>
    </w:pPr>
  </w:style>
  <w:style w:type="character" w:styleId="HiperlinkVisitado">
    <w:name w:val="FollowedHyperlink"/>
    <w:basedOn w:val="Fontepargpadro"/>
    <w:uiPriority w:val="99"/>
    <w:semiHidden/>
    <w:unhideWhenUsed/>
    <w:rsid w:val="00A752BA"/>
    <w:rPr>
      <w:color w:val="954F72" w:themeColor="followedHyperlink"/>
      <w:u w:val="single"/>
    </w:rPr>
  </w:style>
  <w:style w:type="paragraph" w:customStyle="1" w:styleId="Corpo">
    <w:name w:val="Corpo"/>
    <w:rsid w:val="00843019"/>
    <w:pPr>
      <w:pBdr>
        <w:top w:val="nil"/>
        <w:left w:val="nil"/>
        <w:bottom w:val="nil"/>
        <w:right w:val="nil"/>
        <w:between w:val="nil"/>
        <w:bar w:val="nil"/>
      </w:pBdr>
    </w:pPr>
    <w:rPr>
      <w:rFonts w:eastAsia="Arial Unicode MS" w:cs="Arial Unicode MS"/>
      <w:color w:val="000000"/>
      <w:u w:color="000000"/>
      <w:bdr w:val="nil"/>
    </w:rPr>
  </w:style>
  <w:style w:type="numbering" w:customStyle="1" w:styleId="EstiloImportado2">
    <w:name w:val="Estilo Importado 2"/>
    <w:rsid w:val="007E7E87"/>
  </w:style>
  <w:style w:type="paragraph" w:customStyle="1" w:styleId="Padro">
    <w:name w:val="Padrão"/>
    <w:rsid w:val="00F64AA3"/>
    <w:pPr>
      <w:pBdr>
        <w:top w:val="nil"/>
        <w:left w:val="nil"/>
        <w:bottom w:val="nil"/>
        <w:right w:val="nil"/>
        <w:between w:val="nil"/>
        <w:bar w:val="nil"/>
      </w:pBdr>
      <w:jc w:val="start"/>
    </w:pPr>
    <w:rPr>
      <w:rFonts w:ascii="Helvetica Neue" w:eastAsia="Helvetica Neue" w:hAnsi="Helvetica Neue" w:cs="Helvetica Neue"/>
      <w:color w:val="000000"/>
      <w:sz w:val="22"/>
      <w:szCs w:val="22"/>
      <w:bdr w:val="nil"/>
    </w:rPr>
  </w:style>
  <w:style w:type="character" w:customStyle="1" w:styleId="Ttulo3Char">
    <w:name w:val="Título 3 Char"/>
    <w:basedOn w:val="Fontepargpadro"/>
    <w:link w:val="Ttulo3"/>
    <w:uiPriority w:val="9"/>
    <w:rsid w:val="00A874CB"/>
    <w:rPr>
      <w:b/>
      <w:color w:val="000000"/>
      <w:sz w:val="28"/>
    </w:rPr>
  </w:style>
  <w:style w:type="table" w:customStyle="1" w:styleId="ad">
    <w:basedOn w:val="TableNormal0"/>
    <w:tblPr>
      <w:tblStyleRowBandSize w:val="1"/>
      <w:tblStyleColBandSize w:val="1"/>
      <w:tblCellMar>
        <w:start w:w="5.75pt" w:type="dxa"/>
        <w:end w:w="5.75pt" w:type="dxa"/>
      </w:tblCellMar>
    </w:tblPr>
  </w:style>
  <w:style w:type="table" w:customStyle="1" w:styleId="ae">
    <w:basedOn w:val="TableNormal0"/>
    <w:tblPr>
      <w:tblStyleRowBandSize w:val="1"/>
      <w:tblStyleColBandSize w:val="1"/>
      <w:tblCellMar>
        <w:start w:w="5.40pt" w:type="dxa"/>
        <w:end w:w="5.40pt" w:type="dxa"/>
      </w:tblCellMar>
    </w:tblPr>
  </w:style>
  <w:style w:type="character" w:customStyle="1" w:styleId="eop">
    <w:name w:val="eop"/>
    <w:basedOn w:val="Fontepargpadro"/>
    <w:rsid w:val="007E36E6"/>
  </w:style>
  <w:style w:type="character" w:styleId="MenoPendente">
    <w:name w:val="Unresolved Mention"/>
    <w:basedOn w:val="Fontepargpadro"/>
    <w:uiPriority w:val="99"/>
    <w:semiHidden/>
    <w:unhideWhenUsed/>
    <w:rsid w:val="00A03D4B"/>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863931">
      <w:bodyDiv w:val="1"/>
      <w:marLeft w:val="0pt"/>
      <w:marRight w:val="0pt"/>
      <w:marTop w:val="0pt"/>
      <w:marBottom w:val="0pt"/>
      <w:divBdr>
        <w:top w:val="none" w:sz="0" w:space="0" w:color="auto"/>
        <w:left w:val="none" w:sz="0" w:space="0" w:color="auto"/>
        <w:bottom w:val="none" w:sz="0" w:space="0" w:color="auto"/>
        <w:right w:val="none" w:sz="0" w:space="0" w:color="auto"/>
      </w:divBdr>
    </w:div>
    <w:div w:id="1508131959">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purl.oclc.org/ooxml/officeDocument/relationships/endnotes" Target="endnotes.xml"/><Relationship Id="rId13" Type="http://purl.oclc.org/ooxml/officeDocument/relationships/image" Target="media/image4.png"/><Relationship Id="rId3" Type="http://purl.oclc.org/ooxml/officeDocument/relationships/numbering" Target="numbering.xml"/><Relationship Id="rId7" Type="http://purl.oclc.org/ooxml/officeDocument/relationships/footnotes" Target="footnotes.xml"/><Relationship Id="rId12" Type="http://purl.oclc.org/ooxml/officeDocument/relationships/hyperlink" Target="http://www.stat.ubc.ca" TargetMode="External"/><Relationship Id="rId17" Type="http://purl.oclc.org/ooxml/officeDocument/relationships/theme" Target="theme/theme1.xml"/><Relationship Id="rId2" Type="http://purl.oclc.org/ooxml/officeDocument/relationships/customXml" Target="../customXml/item2.xml"/><Relationship Id="rId16" Type="http://purl.oclc.org/ooxml/officeDocument/relationships/fontTable" Target="fontTable.xml"/><Relationship Id="rId1" Type="http://purl.oclc.org/ooxml/officeDocument/relationships/customXml" Target="../customXml/item1.xml"/><Relationship Id="rId6" Type="http://purl.oclc.org/ooxml/officeDocument/relationships/webSettings" Target="webSettings.xml"/><Relationship Id="rId11" Type="http://purl.oclc.org/ooxml/officeDocument/relationships/image" Target="media/image3.png"/><Relationship Id="rId5" Type="http://purl.oclc.org/ooxml/officeDocument/relationships/settings" Target="settings.xml"/><Relationship Id="rId15" Type="http://purl.oclc.org/ooxml/officeDocument/relationships/footer" Target="footer1.xml"/><Relationship Id="rId10" Type="http://purl.oclc.org/ooxml/officeDocument/relationships/image" Target="media/image2.svg"/><Relationship Id="rId4" Type="http://purl.oclc.org/ooxml/officeDocument/relationships/styles" Target="styles.xml"/><Relationship Id="rId9" Type="http://purl.oclc.org/ooxml/officeDocument/relationships/image" Target="media/image1.png"/><Relationship Id="rId14" Type="http://purl.oclc.org/ooxml/officeDocument/relationships/hyperlink" Target="https://aurora.shinyapps.io/random_gen/" TargetMode="External"/></Relationships>
</file>

<file path=word/theme/theme1.xml><?xml version="1.0" encoding="utf-8"?>
<a:theme xmlns:a="http://purl.oclc.org/ooxml/drawingml/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5UWibVk7/Wq8Leyqx0MU3n5F4w==">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purl.oclc.org/ooxml/officeDocument/customXml" ds:itemID="{57FF6208-08FC-4122-B367-6E5855211DF0}">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724</TotalTime>
  <Pages>27</Pages>
  <Words>7555</Words>
  <Characters>40801</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Natália Coronel</dc:creator>
  <cp:lastModifiedBy>fabio almeida</cp:lastModifiedBy>
  <cp:revision>91</cp:revision>
  <cp:lastPrinted>2021-09-23T15:40:00Z</cp:lastPrinted>
  <dcterms:created xsi:type="dcterms:W3CDTF">2021-07-22T03:08:00Z</dcterms:created>
  <dcterms:modified xsi:type="dcterms:W3CDTF">2021-10-08T20:49:00Z</dcterms:modified>
</cp:coreProperties>
</file>

<file path=docProps/custom.xml><?xml version="1.0" encoding="utf-8"?>
<Properties xmlns="http://purl.oclc.org/ooxml/officeDocument/customProperties" xmlns:vt="http://purl.oclc.org/ooxml/officeDocument/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http://www.zotero.org/styles/associacao-brasileira-de-normas-tecnicas-ufrgs</vt:lpwstr>
  </property>
  <property fmtid="{D5CDD505-2E9C-101B-9397-08002B2CF9AE}" pid="19" name="Mendeley Recent Style Name 8_1">
    <vt:lpwstr>Universidade Federal do Rio Grande do Sul - ABNT (autoria completa) (Portuguese - Brazil)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9c350724-55e1-3ae8-808f-17bd0a5c2544</vt:lpwstr>
  </property>
  <property fmtid="{D5CDD505-2E9C-101B-9397-08002B2CF9AE}" pid="24" name="Mendeley Citation Style_1">
    <vt:lpwstr>http://www.zotero.org/styles/associacao-brasileira-de-normas-tecnicas-ufrgs</vt:lpwstr>
  </property>
</Properties>
</file>