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51A4" w:rsidRDefault="00BD51A4" w:rsidP="008333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334E">
        <w:rPr>
          <w:rFonts w:ascii="Times New Roman" w:hAnsi="Times New Roman" w:cs="Times New Roman"/>
          <w:b/>
          <w:sz w:val="24"/>
          <w:szCs w:val="24"/>
        </w:rPr>
        <w:t>RELATÓRIO FINAL</w:t>
      </w:r>
    </w:p>
    <w:p w:rsidR="0083334E" w:rsidRPr="0083334E" w:rsidRDefault="0083334E" w:rsidP="0083334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51A4" w:rsidRPr="00BA4691" w:rsidRDefault="00BD51A4" w:rsidP="0083334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691">
        <w:rPr>
          <w:rFonts w:ascii="Times New Roman" w:hAnsi="Times New Roman" w:cs="Times New Roman"/>
          <w:b/>
          <w:sz w:val="24"/>
          <w:szCs w:val="24"/>
        </w:rPr>
        <w:t>DADOS DO PROJETO</w:t>
      </w:r>
    </w:p>
    <w:p w:rsidR="00B74746" w:rsidRPr="0083334E" w:rsidRDefault="00BD51A4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4E">
        <w:rPr>
          <w:rFonts w:ascii="Times New Roman" w:hAnsi="Times New Roman" w:cs="Times New Roman"/>
          <w:sz w:val="24"/>
          <w:szCs w:val="24"/>
        </w:rPr>
        <w:t xml:space="preserve">1. </w:t>
      </w:r>
      <w:r w:rsidR="005A60EF">
        <w:rPr>
          <w:rFonts w:ascii="Times New Roman" w:hAnsi="Times New Roman" w:cs="Times New Roman"/>
          <w:sz w:val="24"/>
          <w:szCs w:val="24"/>
        </w:rPr>
        <w:t>N</w:t>
      </w:r>
      <w:r w:rsidRPr="0083334E">
        <w:rPr>
          <w:rFonts w:ascii="Times New Roman" w:hAnsi="Times New Roman" w:cs="Times New Roman"/>
          <w:sz w:val="24"/>
          <w:szCs w:val="24"/>
        </w:rPr>
        <w:t xml:space="preserve">úmero do </w:t>
      </w:r>
      <w:r w:rsidRPr="005A60EF">
        <w:rPr>
          <w:rFonts w:ascii="Times New Roman" w:hAnsi="Times New Roman" w:cs="Times New Roman"/>
          <w:sz w:val="24"/>
          <w:szCs w:val="24"/>
        </w:rPr>
        <w:t>CAAE</w:t>
      </w:r>
      <w:r w:rsidR="005A60EF">
        <w:rPr>
          <w:rFonts w:ascii="Times New Roman" w:hAnsi="Times New Roman" w:cs="Times New Roman"/>
          <w:sz w:val="24"/>
          <w:szCs w:val="24"/>
        </w:rPr>
        <w:t xml:space="preserve"> do projeto de pesquisa</w:t>
      </w:r>
      <w:r w:rsidRPr="0083334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E3BC4" w:rsidRPr="001E3BC4" w:rsidRDefault="00B71184" w:rsidP="0083334E">
      <w:pPr>
        <w:spacing w:after="0" w:line="360" w:lineRule="auto"/>
        <w:jc w:val="both"/>
        <w:rPr>
          <w:rFonts w:ascii="Times New Roman" w:hAnsi="Times New Roman" w:cs="Times New Roman"/>
          <w:lang w:val="en-US"/>
        </w:rPr>
      </w:pPr>
      <w:r w:rsidRPr="001E3BC4">
        <w:rPr>
          <w:rFonts w:ascii="Times New Roman" w:hAnsi="Times New Roman" w:cs="Times New Roman"/>
          <w:lang w:val="en-US"/>
        </w:rPr>
        <w:t>42859015.0.0000.5208</w:t>
      </w:r>
    </w:p>
    <w:p w:rsidR="001E3BC4" w:rsidRDefault="001E3BC4" w:rsidP="0083334E">
      <w:pPr>
        <w:spacing w:after="0" w:line="360" w:lineRule="auto"/>
        <w:jc w:val="both"/>
        <w:rPr>
          <w:lang w:val="en-US"/>
        </w:rPr>
      </w:pPr>
    </w:p>
    <w:p w:rsidR="00BD51A4" w:rsidRPr="0083334E" w:rsidRDefault="00BD51A4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4E">
        <w:rPr>
          <w:rFonts w:ascii="Times New Roman" w:hAnsi="Times New Roman" w:cs="Times New Roman"/>
          <w:sz w:val="24"/>
          <w:szCs w:val="24"/>
        </w:rPr>
        <w:t xml:space="preserve">2. </w:t>
      </w:r>
      <w:r w:rsidRPr="005A60EF">
        <w:rPr>
          <w:rFonts w:ascii="Times New Roman" w:hAnsi="Times New Roman" w:cs="Times New Roman"/>
          <w:sz w:val="24"/>
          <w:szCs w:val="24"/>
        </w:rPr>
        <w:t>Título</w:t>
      </w:r>
      <w:r w:rsidRPr="0083334E">
        <w:rPr>
          <w:rFonts w:ascii="Times New Roman" w:hAnsi="Times New Roman" w:cs="Times New Roman"/>
          <w:sz w:val="24"/>
          <w:szCs w:val="24"/>
        </w:rPr>
        <w:t xml:space="preserve"> do projeto</w:t>
      </w:r>
      <w:r w:rsidR="00B74746" w:rsidRPr="0083334E">
        <w:rPr>
          <w:rFonts w:ascii="Times New Roman" w:hAnsi="Times New Roman" w:cs="Times New Roman"/>
          <w:sz w:val="24"/>
          <w:szCs w:val="24"/>
        </w:rPr>
        <w:t>:</w:t>
      </w:r>
      <w:r w:rsidRPr="008333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71184" w:rsidRPr="00F814C0" w:rsidRDefault="00B71184" w:rsidP="00FF215C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814C0">
        <w:rPr>
          <w:rFonts w:ascii="Times New Roman" w:hAnsi="Times New Roman" w:cs="Times New Roman"/>
          <w:bCs/>
          <w:sz w:val="24"/>
          <w:szCs w:val="24"/>
        </w:rPr>
        <w:t xml:space="preserve">Interferência do metotrexato sobre o QuantiFERON Tb-Gold na triagem de tuberculose latente e sua relação com a atividade </w:t>
      </w:r>
      <w:proofErr w:type="gramStart"/>
      <w:r w:rsidRPr="00F814C0">
        <w:rPr>
          <w:rFonts w:ascii="Times New Roman" w:hAnsi="Times New Roman" w:cs="Times New Roman"/>
          <w:bCs/>
          <w:sz w:val="24"/>
          <w:szCs w:val="24"/>
        </w:rPr>
        <w:t>clínica,imunológica</w:t>
      </w:r>
      <w:proofErr w:type="gramEnd"/>
      <w:r w:rsidRPr="00F814C0">
        <w:rPr>
          <w:rFonts w:ascii="Times New Roman" w:hAnsi="Times New Roman" w:cs="Times New Roman"/>
          <w:bCs/>
          <w:sz w:val="24"/>
          <w:szCs w:val="24"/>
        </w:rPr>
        <w:t xml:space="preserve"> e inflamatória da psoríase.</w:t>
      </w:r>
    </w:p>
    <w:p w:rsidR="00B71184" w:rsidRPr="00F814C0" w:rsidRDefault="00B71184" w:rsidP="0083334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D51A4" w:rsidRPr="00BA4691" w:rsidRDefault="00BD51A4" w:rsidP="0083334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A4691">
        <w:rPr>
          <w:rFonts w:ascii="Times New Roman" w:hAnsi="Times New Roman" w:cs="Times New Roman"/>
          <w:b/>
          <w:sz w:val="24"/>
          <w:szCs w:val="24"/>
        </w:rPr>
        <w:t xml:space="preserve">DADOS DOS </w:t>
      </w:r>
      <w:r w:rsidR="00ED2D71" w:rsidRPr="00BA4691">
        <w:rPr>
          <w:rFonts w:ascii="Times New Roman" w:hAnsi="Times New Roman" w:cs="Times New Roman"/>
          <w:b/>
          <w:sz w:val="24"/>
          <w:szCs w:val="24"/>
        </w:rPr>
        <w:t xml:space="preserve">VOLUNTÁRIOS </w:t>
      </w:r>
    </w:p>
    <w:p w:rsidR="00FF215C" w:rsidRDefault="00492221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D51A4" w:rsidRPr="0083334E">
        <w:rPr>
          <w:rFonts w:ascii="Times New Roman" w:hAnsi="Times New Roman" w:cs="Times New Roman"/>
          <w:sz w:val="24"/>
          <w:szCs w:val="24"/>
        </w:rPr>
        <w:t xml:space="preserve">. Total de </w:t>
      </w:r>
      <w:r w:rsidR="00ED2D71">
        <w:rPr>
          <w:rFonts w:ascii="Times New Roman" w:hAnsi="Times New Roman" w:cs="Times New Roman"/>
          <w:sz w:val="24"/>
          <w:szCs w:val="24"/>
        </w:rPr>
        <w:t>voluntári</w:t>
      </w:r>
      <w:r w:rsidR="00BD51A4" w:rsidRPr="0083334E">
        <w:rPr>
          <w:rFonts w:ascii="Times New Roman" w:hAnsi="Times New Roman" w:cs="Times New Roman"/>
          <w:sz w:val="24"/>
          <w:szCs w:val="24"/>
        </w:rPr>
        <w:t>os recrutados</w:t>
      </w:r>
      <w:r w:rsidR="005A60EF">
        <w:rPr>
          <w:rFonts w:ascii="Times New Roman" w:hAnsi="Times New Roman" w:cs="Times New Roman"/>
          <w:sz w:val="24"/>
          <w:szCs w:val="24"/>
        </w:rPr>
        <w:t xml:space="preserve"> e/ou dados secundários coletados (conforme indicado na Folha de Rosto no momento do cadastro do projeto)</w:t>
      </w:r>
      <w:r w:rsidR="00BD51A4" w:rsidRPr="0083334E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BD51A4" w:rsidRPr="00F814C0" w:rsidRDefault="00CF6186" w:rsidP="00FF215C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>80</w:t>
      </w:r>
    </w:p>
    <w:p w:rsidR="00BD51A4" w:rsidRPr="0083334E" w:rsidRDefault="00BD51A4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4E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83334E">
        <w:rPr>
          <w:rFonts w:ascii="Times New Roman" w:hAnsi="Times New Roman" w:cs="Times New Roman"/>
          <w:sz w:val="24"/>
          <w:szCs w:val="24"/>
        </w:rPr>
        <w:t>___</w:t>
      </w:r>
      <w:r w:rsidR="00492221">
        <w:rPr>
          <w:rFonts w:ascii="Times New Roman" w:hAnsi="Times New Roman" w:cs="Times New Roman"/>
          <w:sz w:val="24"/>
          <w:szCs w:val="24"/>
        </w:rPr>
        <w:t>_______</w:t>
      </w:r>
      <w:r w:rsidRPr="008333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1A4" w:rsidRDefault="00492221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BD51A4" w:rsidRPr="0083334E">
        <w:rPr>
          <w:rFonts w:ascii="Times New Roman" w:hAnsi="Times New Roman" w:cs="Times New Roman"/>
          <w:sz w:val="24"/>
          <w:szCs w:val="24"/>
        </w:rPr>
        <w:t xml:space="preserve">. Total de </w:t>
      </w:r>
      <w:r w:rsidR="00ED2D71">
        <w:rPr>
          <w:rFonts w:ascii="Times New Roman" w:hAnsi="Times New Roman" w:cs="Times New Roman"/>
          <w:sz w:val="24"/>
          <w:szCs w:val="24"/>
        </w:rPr>
        <w:t>voluntários</w:t>
      </w:r>
      <w:r w:rsidR="00BD51A4" w:rsidRPr="0083334E">
        <w:rPr>
          <w:rFonts w:ascii="Times New Roman" w:hAnsi="Times New Roman" w:cs="Times New Roman"/>
          <w:sz w:val="24"/>
          <w:szCs w:val="24"/>
        </w:rPr>
        <w:t xml:space="preserve"> </w:t>
      </w:r>
      <w:r w:rsidR="00BD51A4" w:rsidRPr="005A60EF">
        <w:rPr>
          <w:rFonts w:ascii="Times New Roman" w:hAnsi="Times New Roman" w:cs="Times New Roman"/>
          <w:sz w:val="24"/>
          <w:szCs w:val="24"/>
          <w:u w:val="single"/>
        </w:rPr>
        <w:t>efetivamente</w:t>
      </w:r>
      <w:r w:rsidR="00BD51A4" w:rsidRPr="0083334E">
        <w:rPr>
          <w:rFonts w:ascii="Times New Roman" w:hAnsi="Times New Roman" w:cs="Times New Roman"/>
          <w:sz w:val="24"/>
          <w:szCs w:val="24"/>
        </w:rPr>
        <w:t xml:space="preserve"> incluídos no estudo</w:t>
      </w:r>
      <w:r w:rsidR="005A60EF">
        <w:rPr>
          <w:rFonts w:ascii="Times New Roman" w:hAnsi="Times New Roman" w:cs="Times New Roman"/>
          <w:sz w:val="24"/>
          <w:szCs w:val="24"/>
        </w:rPr>
        <w:t xml:space="preserve"> (apresentar o tamanho da amostra realmente coletada). E</w:t>
      </w:r>
      <w:r w:rsidR="0083334E" w:rsidRPr="0083334E">
        <w:rPr>
          <w:rFonts w:ascii="Times New Roman" w:hAnsi="Times New Roman" w:cs="Times New Roman"/>
          <w:sz w:val="24"/>
          <w:szCs w:val="24"/>
        </w:rPr>
        <w:t xml:space="preserve">m caso de aumento ou redução no número da amostra, </w:t>
      </w:r>
      <w:r w:rsidR="005A60EF">
        <w:rPr>
          <w:rFonts w:ascii="Times New Roman" w:hAnsi="Times New Roman" w:cs="Times New Roman"/>
          <w:sz w:val="24"/>
          <w:szCs w:val="24"/>
        </w:rPr>
        <w:t xml:space="preserve">é necessário </w:t>
      </w:r>
      <w:r w:rsidR="0083334E" w:rsidRPr="0083334E">
        <w:rPr>
          <w:rFonts w:ascii="Times New Roman" w:hAnsi="Times New Roman" w:cs="Times New Roman"/>
          <w:sz w:val="24"/>
          <w:szCs w:val="24"/>
        </w:rPr>
        <w:t>justificar</w:t>
      </w:r>
      <w:r w:rsidR="00BD51A4" w:rsidRPr="0083334E">
        <w:rPr>
          <w:rFonts w:ascii="Times New Roman" w:hAnsi="Times New Roman" w:cs="Times New Roman"/>
          <w:sz w:val="24"/>
          <w:szCs w:val="24"/>
        </w:rPr>
        <w:t>:</w:t>
      </w:r>
    </w:p>
    <w:p w:rsidR="00806EA7" w:rsidRDefault="00806EA7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1A4" w:rsidRPr="00F814C0" w:rsidRDefault="00AC3B70" w:rsidP="00FF215C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amostra foi recalculada considerando obter uma redução média do PASI em 75 % e com poder de 80 % e obteve-se o número de 22 pacientes. </w:t>
      </w:r>
      <w:r w:rsidR="00CF6186" w:rsidRPr="00F814C0">
        <w:rPr>
          <w:rFonts w:ascii="Times New Roman" w:hAnsi="Times New Roman" w:cs="Times New Roman"/>
          <w:sz w:val="24"/>
          <w:szCs w:val="24"/>
        </w:rPr>
        <w:t>Foram</w:t>
      </w:r>
      <w:r w:rsidR="00857282">
        <w:rPr>
          <w:rFonts w:ascii="Times New Roman" w:hAnsi="Times New Roman" w:cs="Times New Roman"/>
          <w:sz w:val="24"/>
          <w:szCs w:val="24"/>
        </w:rPr>
        <w:t xml:space="preserve"> encaminhados 45 pacientes no período de coleta</w:t>
      </w:r>
      <w:bookmarkStart w:id="0" w:name="_GoBack"/>
      <w:bookmarkEnd w:id="0"/>
      <w:r w:rsidR="00857282">
        <w:rPr>
          <w:rFonts w:ascii="Times New Roman" w:hAnsi="Times New Roman" w:cs="Times New Roman"/>
          <w:sz w:val="24"/>
          <w:szCs w:val="24"/>
        </w:rPr>
        <w:t xml:space="preserve">, dos quais, foram </w:t>
      </w:r>
      <w:r w:rsidR="00CF6186" w:rsidRPr="00F814C0">
        <w:rPr>
          <w:rFonts w:ascii="Times New Roman" w:hAnsi="Times New Roman" w:cs="Times New Roman"/>
          <w:sz w:val="24"/>
          <w:szCs w:val="24"/>
        </w:rPr>
        <w:t>incluídos 29 voluntários pois os critérios de exclusão necessários para o modelo de estudo são numerosos</w:t>
      </w:r>
      <w:r w:rsidR="00FF215C" w:rsidRPr="00F814C0">
        <w:rPr>
          <w:rFonts w:ascii="Times New Roman" w:hAnsi="Times New Roman" w:cs="Times New Roman"/>
          <w:sz w:val="24"/>
          <w:szCs w:val="24"/>
        </w:rPr>
        <w:t xml:space="preserve"> e muito rígidos</w:t>
      </w:r>
      <w:r w:rsidR="00CF6186" w:rsidRPr="00F814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Após as exclusões durante o seguimento foram analisados dados de 25 pacientes, 3 a mais que o mínimo necessário. </w:t>
      </w:r>
      <w:r w:rsidR="00BD51A4" w:rsidRPr="00F814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6EA7" w:rsidRPr="0083334E" w:rsidRDefault="00806EA7" w:rsidP="00806E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3334E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</w:t>
      </w:r>
      <w:r w:rsidRPr="0083334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6EA7" w:rsidRPr="0083334E" w:rsidRDefault="00806EA7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1A4" w:rsidRPr="0083334E" w:rsidRDefault="00492221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BD51A4" w:rsidRPr="0083334E">
        <w:rPr>
          <w:rFonts w:ascii="Times New Roman" w:hAnsi="Times New Roman" w:cs="Times New Roman"/>
          <w:sz w:val="24"/>
          <w:szCs w:val="24"/>
        </w:rPr>
        <w:t xml:space="preserve">. </w:t>
      </w:r>
      <w:r w:rsidR="005A60EF">
        <w:rPr>
          <w:rFonts w:ascii="Times New Roman" w:hAnsi="Times New Roman" w:cs="Times New Roman"/>
          <w:sz w:val="24"/>
          <w:szCs w:val="24"/>
        </w:rPr>
        <w:t xml:space="preserve">Descrever a </w:t>
      </w:r>
      <w:r w:rsidR="00BD51A4" w:rsidRPr="0083334E">
        <w:rPr>
          <w:rFonts w:ascii="Times New Roman" w:hAnsi="Times New Roman" w:cs="Times New Roman"/>
          <w:sz w:val="24"/>
          <w:szCs w:val="24"/>
        </w:rPr>
        <w:t>Metodologia aplicada na pesquisa</w:t>
      </w:r>
      <w:r w:rsidR="005A60EF">
        <w:rPr>
          <w:rFonts w:ascii="Times New Roman" w:hAnsi="Times New Roman" w:cs="Times New Roman"/>
          <w:sz w:val="24"/>
          <w:szCs w:val="24"/>
        </w:rPr>
        <w:t xml:space="preserve"> (como foi realizada a coleta dos dados)</w:t>
      </w:r>
      <w:r w:rsidR="00BD51A4" w:rsidRPr="0083334E">
        <w:rPr>
          <w:rFonts w:ascii="Times New Roman" w:hAnsi="Times New Roman" w:cs="Times New Roman"/>
          <w:sz w:val="24"/>
          <w:szCs w:val="24"/>
        </w:rPr>
        <w:t>:</w:t>
      </w:r>
    </w:p>
    <w:p w:rsidR="00C35E48" w:rsidRPr="00C35E48" w:rsidRDefault="00C35E48" w:rsidP="00C35E48">
      <w:pPr>
        <w:spacing w:before="120" w:line="360" w:lineRule="auto"/>
        <w:jc w:val="both"/>
        <w:rPr>
          <w:rFonts w:ascii="Times New Roman" w:hAnsi="Times New Roman" w:cs="Times New Roman"/>
          <w:b/>
          <w:shd w:val="clear" w:color="auto" w:fill="FFFFFF"/>
        </w:rPr>
      </w:pPr>
      <w:r w:rsidRPr="00C35E48">
        <w:rPr>
          <w:rFonts w:ascii="Times New Roman" w:hAnsi="Times New Roman" w:cs="Times New Roman"/>
          <w:b/>
          <w:shd w:val="clear" w:color="auto" w:fill="FFFFFF"/>
        </w:rPr>
        <w:t xml:space="preserve">Coleta de dados 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>Após assinar o termo de consentimento os dados demográficos foram coletados e incluíram data de nascimento, idade atual em anos, sexo, duração da doença em anos, local de residência (Rural /Urbano) e contato com o gado.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Um questionário de risco padronizado foi aplicado para avaliar a presença de Tuberculose  ativa ( TB) (tosse produtiva acima de 3 semanas, hemoptise, astenia, febre, sudorese noturna, anorexia, perda de peso acima de 10%) e fatores de risco para Tuberculose latente (uso ilícito 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de drogas, história familiar de TB, contato recente com portador de TB). Todos os pacientes nasceram e vivem em áreas de alta endemicidade para Tuberculose. A resposta positiva para presença de sinais ou sintomas de tuberculose ativa, história prévia de tuberculose ou história de profilaxia para Tuberculose eram critérios de exclusão. 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Em seguida os pacientes foram examinados para peso, altura e cálculo do score psoriasis area and severity index (PASI). </w:t>
      </w:r>
    </w:p>
    <w:p w:rsidR="00C35E48" w:rsidRPr="00F814C0" w:rsidRDefault="00C35E48" w:rsidP="00C35E48">
      <w:pPr>
        <w:spacing w:before="12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35E48" w:rsidRPr="00F814C0" w:rsidRDefault="00C35E48" w:rsidP="00C35E48">
      <w:pPr>
        <w:spacing w:before="12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Testes laboratoriais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Após o exame físico, amostras de sangue foram obtidas por punção venosa direta. Para o </w:t>
      </w:r>
      <w:r w:rsidRPr="00F814C0">
        <w:rPr>
          <w:rFonts w:ascii="Times New Roman" w:hAnsi="Times New Roman" w:cs="Times New Roman"/>
          <w:sz w:val="24"/>
          <w:szCs w:val="24"/>
        </w:rPr>
        <w:t xml:space="preserve">QuantiFERON (Cellestis, Melbourne, Australia) 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um ml de sangue foi coletado em cada um dos três tubos separadamente seguindo a sequência de acordo com a orientação do fabricante.  Para as citocinas </w:t>
      </w:r>
      <w:r w:rsidRPr="00F814C0">
        <w:rPr>
          <w:rFonts w:ascii="Times New Roman" w:hAnsi="Times New Roman" w:cs="Times New Roman"/>
          <w:sz w:val="24"/>
          <w:szCs w:val="24"/>
        </w:rPr>
        <w:t xml:space="preserve">(INVITROGEN, CA, EUA) 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>foram coletados três ml de sangue em um tubo com citrato. As amostras foram encubadas em no máximo após uma hora da coleta e congeladas.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Após a coleta de sagngue, o Teste Tuberculínico (TT) foi realizado pela técnica de Mantoux por operadores treinados. Foram injetados 0,1 ml do derivado de purificado proteico tuberculínico </w:t>
      </w:r>
      <w:r w:rsidRPr="00F814C0">
        <w:rPr>
          <w:rFonts w:ascii="Times New Roman" w:hAnsi="Times New Roman" w:cs="Times New Roman"/>
          <w:sz w:val="24"/>
          <w:szCs w:val="24"/>
        </w:rPr>
        <w:t>(PPD, RT23, Statens Serum Institut, Copenhagen, Denmark)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na face anterior do braço esquerdo. O resultado, lido em 72 horas, foi anotado em milímetros e fotografado.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Os pacientes foram instruídos a ingerir 7,5 mg do metotrexato duas vezes ao dia em um único dia da semana, em um total de 15 miligramas por semana. O paciente somente deveria iniciar o metotrexato após a leitura do primeiro TT. 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>O mesmo protocolo de exame físico e coleta laboratorial foi repetido após 12 semanas de uso do metotrexato. Na segunda visita o TT foi aplicado no braço direito. Pacientes que pararam ou pausaram a medicação por qualquer razão antes da segunda visita foram excluídos.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</w:t>
      </w:r>
      <w:r w:rsidRPr="00F814C0">
        <w:rPr>
          <w:rFonts w:ascii="Times New Roman" w:hAnsi="Times New Roman" w:cs="Times New Roman"/>
          <w:sz w:val="24"/>
          <w:szCs w:val="24"/>
        </w:rPr>
        <w:t>QuantiFERON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a citocinas foram quantificados pela técnica de Elisa usando kits padronizados de acordo com as orientações dos fabricantes após o fim do período de inclusão. </w:t>
      </w:r>
    </w:p>
    <w:p w:rsidR="00C35E48" w:rsidRPr="00F814C0" w:rsidRDefault="00C35E48" w:rsidP="00C35E48">
      <w:pPr>
        <w:pStyle w:val="PargrafodaLista"/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C35E48" w:rsidRPr="00F814C0" w:rsidRDefault="00C35E48" w:rsidP="00C35E48">
      <w:p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b/>
          <w:sz w:val="24"/>
          <w:szCs w:val="24"/>
        </w:rPr>
        <w:t>Análise estatística</w:t>
      </w:r>
      <w:r w:rsidRPr="00F814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>O TT foi categorizado de duas formas. Primeiramente negativo (−) quando &lt; 5 mm, indeterminado (I) quando entre ≥ 5 e &lt; 10 mm e positive (+) ≥ 10 mm. Segundo em negative quando &lt; 5 mm and positive quando ≥ 5.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lastRenderedPageBreak/>
        <w:t xml:space="preserve">O QuantiFERON também foi categorizado de duas formas. Primeiramente de acordo com a orientação do fabricante em positivo (+), negativo (−) e indeterminado (I).  Segundo, da mesma forma que o TT teve seu ponto de corte reduzido de 10mm para 5 mm, os indeterminados foram reclassificados como positivos </w:t>
      </w:r>
      <w:r w:rsidRPr="00F814C0">
        <w:rPr>
          <w:rFonts w:ascii="Times New Roman" w:hAnsi="Times New Roman" w:cs="Times New Roman"/>
          <w:sz w:val="24"/>
          <w:szCs w:val="24"/>
          <w:vertAlign w:val="superscript"/>
        </w:rPr>
        <w:t>13</w:t>
      </w:r>
      <w:r w:rsidRPr="00F814C0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>Ambos os testes não apresentaram diferença na concordância quando analisados com duas ou três categorias, então a análise da concordância entre os testes e das associações dos positivos/ negativos com as médias das variáveis contínuas foram realizados apenas com duas categorias.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Foram analisadas as associações entre testes positivos e negativos com as médias/ medianas das variáveis contínuas; idade em anos, peso em kg, índice de massa corporal (IMC) glicemia, duração da doença em anos. Níveis séricos de </w:t>
      </w:r>
      <w:r w:rsidRPr="00F814C0">
        <w:rPr>
          <w:rFonts w:ascii="Times New Roman" w:hAnsi="Times New Roman" w:cs="Times New Roman"/>
          <w:sz w:val="24"/>
          <w:szCs w:val="24"/>
        </w:rPr>
        <w:t>INF-</w:t>
      </w:r>
      <w:r w:rsidRPr="00F814C0">
        <w:rPr>
          <w:rFonts w:ascii="Times New Roman" w:hAnsi="Times New Roman" w:cs="Times New Roman"/>
          <w:sz w:val="24"/>
          <w:szCs w:val="24"/>
          <w:lang w:val="en"/>
        </w:rPr>
        <w:t>γ</w:t>
      </w:r>
      <w:r w:rsidRPr="00F814C0">
        <w:rPr>
          <w:rFonts w:ascii="Times New Roman" w:hAnsi="Times New Roman" w:cs="Times New Roman"/>
          <w:sz w:val="24"/>
          <w:szCs w:val="24"/>
        </w:rPr>
        <w:t xml:space="preserve">, nível sérico 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de </w:t>
      </w:r>
      <w:r w:rsidRPr="00F814C0">
        <w:rPr>
          <w:rFonts w:ascii="Times New Roman" w:hAnsi="Times New Roman" w:cs="Times New Roman"/>
          <w:sz w:val="24"/>
          <w:szCs w:val="24"/>
        </w:rPr>
        <w:t>TNF-</w:t>
      </w:r>
      <w:r w:rsidRPr="00F814C0">
        <w:rPr>
          <w:rFonts w:ascii="Times New Roman" w:hAnsi="Times New Roman" w:cs="Times New Roman"/>
          <w:sz w:val="24"/>
          <w:szCs w:val="24"/>
          <w:lang w:val="en-US"/>
        </w:rPr>
        <w:t>α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>, VHS, PCR, PASI antes e após o tratamento e percentual da redução do passe após 12 semanas de tratamento.</w:t>
      </w:r>
    </w:p>
    <w:p w:rsidR="00C35E48" w:rsidRPr="00F814C0" w:rsidRDefault="00C35E48" w:rsidP="00C35E48">
      <w:pPr>
        <w:pStyle w:val="PargrafodaLista"/>
        <w:numPr>
          <w:ilvl w:val="0"/>
          <w:numId w:val="2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</w:rPr>
        <w:t>Os dados foram digitados na planilha EXCEL e o programa utilizado para obtenção dos cálculos estatísticos foram o IBM SPSS na versão 23. Os dados foram analisados descritivamente através das medidas estatísticas: média ± desvio padrão ou mediana e percentis para as variáveis numéricas e frequências absolutas e percentuais para as variáveis categóricas.  A distribuição foi testada pelo teste de Shapiro-Wilk e a variância das médias através do teste F de Levene. Para avaliar diferença significativa entre os grupos em relação às variáveis categóricas foi utilizado o teste Exato de Fisher. Em relação às variáveis numéricas foram utilizados testes t-Student com variâncias iguais, t-Student com variâncias desiguais ou Mann-Whitney para amostras independentes e t-Student pareado ou Wilcoxon para dados pareados para comparação entre avaliações. A escolha dos testes t-Student e t-Student pareado ocorreram nas situações em que os dados apresentaram distribuição normal e os testes Wilcoxon e Mann-Whitney para as situações em que a hipótese de normalidade foi rejeitada. O teste de McNemar foi utilizado para avaliar a diferença entre as variáveis nominais pareadas, sendo o teste unicaudal utilizado para a análise do TT e bicaudal para análise do IGRA.  A margem de erro utilizada nas decisões dos testes estatísticos foi de 5%.</w:t>
      </w:r>
    </w:p>
    <w:p w:rsidR="00C35E48" w:rsidRPr="00F814C0" w:rsidRDefault="00C35E48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51A4" w:rsidRPr="00F814C0" w:rsidRDefault="00BD51A4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83334E" w:rsidRPr="00F814C0">
        <w:rPr>
          <w:rFonts w:ascii="Times New Roman" w:hAnsi="Times New Roman" w:cs="Times New Roman"/>
          <w:sz w:val="24"/>
          <w:szCs w:val="24"/>
        </w:rPr>
        <w:t>___</w:t>
      </w:r>
      <w:r w:rsidR="00492221" w:rsidRPr="00F814C0">
        <w:rPr>
          <w:rFonts w:ascii="Times New Roman" w:hAnsi="Times New Roman" w:cs="Times New Roman"/>
          <w:sz w:val="24"/>
          <w:szCs w:val="24"/>
        </w:rPr>
        <w:t>_______</w:t>
      </w:r>
      <w:r w:rsidRPr="00F814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60EF" w:rsidRPr="00F814C0" w:rsidRDefault="00492221" w:rsidP="005A60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>6</w:t>
      </w:r>
      <w:r w:rsidR="00F216D8" w:rsidRPr="00F814C0">
        <w:rPr>
          <w:rFonts w:ascii="Times New Roman" w:hAnsi="Times New Roman" w:cs="Times New Roman"/>
          <w:sz w:val="24"/>
          <w:szCs w:val="24"/>
        </w:rPr>
        <w:t xml:space="preserve">. </w:t>
      </w:r>
      <w:r w:rsidR="005A60EF" w:rsidRPr="00F814C0">
        <w:rPr>
          <w:rFonts w:ascii="Times New Roman" w:hAnsi="Times New Roman" w:cs="Times New Roman"/>
          <w:sz w:val="24"/>
          <w:szCs w:val="24"/>
        </w:rPr>
        <w:t>Fazer um b</w:t>
      </w:r>
      <w:r w:rsidR="00F216D8" w:rsidRPr="00F814C0">
        <w:rPr>
          <w:rFonts w:ascii="Times New Roman" w:hAnsi="Times New Roman" w:cs="Times New Roman"/>
          <w:sz w:val="24"/>
          <w:szCs w:val="24"/>
        </w:rPr>
        <w:t xml:space="preserve">reve relato sobre </w:t>
      </w:r>
      <w:r w:rsidR="005A60EF" w:rsidRPr="00F814C0">
        <w:rPr>
          <w:rFonts w:ascii="Times New Roman" w:hAnsi="Times New Roman" w:cs="Times New Roman"/>
          <w:sz w:val="24"/>
          <w:szCs w:val="24"/>
        </w:rPr>
        <w:t xml:space="preserve">como </w:t>
      </w:r>
      <w:r w:rsidR="00F216D8" w:rsidRPr="00F814C0">
        <w:rPr>
          <w:rFonts w:ascii="Times New Roman" w:hAnsi="Times New Roman" w:cs="Times New Roman"/>
          <w:sz w:val="24"/>
          <w:szCs w:val="24"/>
        </w:rPr>
        <w:t xml:space="preserve">o TCLE </w:t>
      </w:r>
      <w:r w:rsidR="005A60EF" w:rsidRPr="00F814C0">
        <w:rPr>
          <w:rFonts w:ascii="Times New Roman" w:hAnsi="Times New Roman" w:cs="Times New Roman"/>
          <w:sz w:val="24"/>
          <w:szCs w:val="24"/>
        </w:rPr>
        <w:t xml:space="preserve">foi apresentado aos participantes da pesquisa e como foram fornecidas as </w:t>
      </w:r>
      <w:r w:rsidR="00F216D8" w:rsidRPr="00F814C0">
        <w:rPr>
          <w:rFonts w:ascii="Times New Roman" w:hAnsi="Times New Roman" w:cs="Times New Roman"/>
          <w:sz w:val="24"/>
          <w:szCs w:val="24"/>
        </w:rPr>
        <w:t>informaç</w:t>
      </w:r>
      <w:r w:rsidR="005A60EF" w:rsidRPr="00F814C0">
        <w:rPr>
          <w:rFonts w:ascii="Times New Roman" w:hAnsi="Times New Roman" w:cs="Times New Roman"/>
          <w:sz w:val="24"/>
          <w:szCs w:val="24"/>
        </w:rPr>
        <w:t xml:space="preserve">ões sobre os possíveis riscos e </w:t>
      </w:r>
      <w:r w:rsidR="00B74746" w:rsidRPr="00F814C0">
        <w:rPr>
          <w:rFonts w:ascii="Times New Roman" w:hAnsi="Times New Roman" w:cs="Times New Roman"/>
          <w:sz w:val="24"/>
          <w:szCs w:val="24"/>
        </w:rPr>
        <w:t xml:space="preserve">benefícios </w:t>
      </w:r>
      <w:r w:rsidR="0083334E" w:rsidRPr="00F814C0">
        <w:rPr>
          <w:rFonts w:ascii="Times New Roman" w:hAnsi="Times New Roman" w:cs="Times New Roman"/>
          <w:sz w:val="24"/>
          <w:szCs w:val="24"/>
        </w:rPr>
        <w:t>(comentar se houve ou não algum risco referido no projeto)</w:t>
      </w:r>
      <w:r w:rsidR="00BA4691" w:rsidRPr="00F814C0">
        <w:rPr>
          <w:rFonts w:ascii="Times New Roman" w:hAnsi="Times New Roman" w:cs="Times New Roman"/>
          <w:sz w:val="24"/>
          <w:szCs w:val="24"/>
        </w:rPr>
        <w:t>.</w:t>
      </w:r>
      <w:r w:rsidR="005A60EF" w:rsidRPr="00F814C0">
        <w:rPr>
          <w:rFonts w:ascii="Times New Roman" w:hAnsi="Times New Roman" w:cs="Times New Roman"/>
          <w:sz w:val="24"/>
          <w:szCs w:val="24"/>
        </w:rPr>
        <w:t xml:space="preserve"> OBS: Para pesquisas utilizando </w:t>
      </w:r>
      <w:r w:rsidR="005A60EF" w:rsidRPr="00F814C0">
        <w:rPr>
          <w:rFonts w:ascii="Times New Roman" w:hAnsi="Times New Roman" w:cs="Times New Roman"/>
          <w:sz w:val="24"/>
          <w:szCs w:val="24"/>
          <w:u w:val="single"/>
        </w:rPr>
        <w:t>apenas</w:t>
      </w:r>
      <w:r w:rsidR="005A60EF" w:rsidRPr="00F814C0">
        <w:rPr>
          <w:rFonts w:ascii="Times New Roman" w:hAnsi="Times New Roman" w:cs="Times New Roman"/>
          <w:sz w:val="24"/>
          <w:szCs w:val="24"/>
        </w:rPr>
        <w:t xml:space="preserve"> Dados Secundários, este item não se aplica.</w:t>
      </w:r>
    </w:p>
    <w:p w:rsidR="00806EA7" w:rsidRPr="00F814C0" w:rsidRDefault="00806EA7" w:rsidP="005A60E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6EA7" w:rsidRPr="00F814C0" w:rsidRDefault="00806EA7" w:rsidP="00FF215C">
      <w:pPr>
        <w:pStyle w:val="Default"/>
        <w:numPr>
          <w:ilvl w:val="0"/>
          <w:numId w:val="2"/>
        </w:numPr>
        <w:spacing w:after="4" w:line="360" w:lineRule="auto"/>
        <w:jc w:val="both"/>
        <w:rPr>
          <w:rFonts w:ascii="Times New Roman" w:hAnsi="Times New Roman"/>
        </w:rPr>
      </w:pPr>
      <w:r w:rsidRPr="00F814C0">
        <w:rPr>
          <w:rFonts w:ascii="Times New Roman" w:hAnsi="Times New Roman"/>
        </w:rPr>
        <w:lastRenderedPageBreak/>
        <w:t>Foi orientado que a pesquisa buscava saber se um dos medicamentos utilizados para tratar a psoríase (metotrexato) atrapalha</w:t>
      </w:r>
      <w:r w:rsidR="00FF215C" w:rsidRPr="00F814C0">
        <w:rPr>
          <w:rFonts w:ascii="Times New Roman" w:hAnsi="Times New Roman"/>
        </w:rPr>
        <w:t>m</w:t>
      </w:r>
      <w:r w:rsidRPr="00F814C0">
        <w:rPr>
          <w:rFonts w:ascii="Times New Roman" w:hAnsi="Times New Roman"/>
        </w:rPr>
        <w:t xml:space="preserve"> o resultado dos exames utilizados para </w:t>
      </w:r>
      <w:r w:rsidR="001E3BC4" w:rsidRPr="00F814C0">
        <w:rPr>
          <w:rFonts w:ascii="Times New Roman" w:hAnsi="Times New Roman"/>
        </w:rPr>
        <w:t>triagem</w:t>
      </w:r>
      <w:r w:rsidRPr="00F814C0">
        <w:rPr>
          <w:rFonts w:ascii="Times New Roman" w:hAnsi="Times New Roman"/>
        </w:rPr>
        <w:t xml:space="preserve"> de tuberculose. Esse é o período normal entre duas consultas de pacientes que estão usando metotrexato. </w:t>
      </w:r>
      <w:r w:rsidR="00FF215C" w:rsidRPr="00F814C0">
        <w:rPr>
          <w:rFonts w:ascii="Times New Roman" w:hAnsi="Times New Roman"/>
        </w:rPr>
        <w:t xml:space="preserve"> Foi informado que o tratamento seria fornecido e o acompanhamento seria igual caso o paciente não desejasse participar da pesquisa. Foi orientado que ele poderia se retirar da pesquisa a qualquer momento. </w:t>
      </w:r>
    </w:p>
    <w:p w:rsidR="00806EA7" w:rsidRPr="00F814C0" w:rsidRDefault="00FF215C" w:rsidP="00FF215C">
      <w:pPr>
        <w:pStyle w:val="Default"/>
        <w:numPr>
          <w:ilvl w:val="0"/>
          <w:numId w:val="2"/>
        </w:numPr>
        <w:spacing w:after="4" w:line="360" w:lineRule="auto"/>
        <w:jc w:val="both"/>
        <w:rPr>
          <w:rFonts w:ascii="Times New Roman" w:hAnsi="Times New Roman"/>
        </w:rPr>
      </w:pPr>
      <w:r w:rsidRPr="00F814C0">
        <w:rPr>
          <w:rFonts w:ascii="Times New Roman" w:hAnsi="Times New Roman"/>
        </w:rPr>
        <w:t>Em relação aos riscos foi orientado que, d</w:t>
      </w:r>
      <w:r w:rsidR="00806EA7" w:rsidRPr="00F814C0">
        <w:rPr>
          <w:rFonts w:ascii="Times New Roman" w:hAnsi="Times New Roman"/>
        </w:rPr>
        <w:t>urante a consulta o paciente dever</w:t>
      </w:r>
      <w:r w:rsidRPr="00F814C0">
        <w:rPr>
          <w:rFonts w:ascii="Times New Roman" w:hAnsi="Times New Roman"/>
        </w:rPr>
        <w:t>ia</w:t>
      </w:r>
      <w:r w:rsidR="00806EA7" w:rsidRPr="00F814C0">
        <w:rPr>
          <w:rFonts w:ascii="Times New Roman" w:hAnsi="Times New Roman"/>
        </w:rPr>
        <w:t xml:space="preserve"> </w:t>
      </w:r>
      <w:r w:rsidR="00806EA7" w:rsidRPr="00F814C0">
        <w:rPr>
          <w:rFonts w:ascii="Times New Roman" w:hAnsi="Times New Roman"/>
          <w:bCs/>
        </w:rPr>
        <w:t xml:space="preserve">retirar a roupa para ser examinado, </w:t>
      </w:r>
      <w:r w:rsidRPr="00F814C0">
        <w:rPr>
          <w:rFonts w:ascii="Times New Roman" w:hAnsi="Times New Roman"/>
          <w:bCs/>
        </w:rPr>
        <w:t>para ser verificado a gravidade da psoríase. O indivíduo poderia se</w:t>
      </w:r>
      <w:r w:rsidR="00806EA7" w:rsidRPr="00F814C0">
        <w:rPr>
          <w:rFonts w:ascii="Times New Roman" w:hAnsi="Times New Roman"/>
          <w:bCs/>
        </w:rPr>
        <w:t xml:space="preserve"> sentir mal por isso, porém o exame</w:t>
      </w:r>
      <w:r w:rsidRPr="00F814C0">
        <w:rPr>
          <w:rFonts w:ascii="Times New Roman" w:hAnsi="Times New Roman"/>
          <w:bCs/>
        </w:rPr>
        <w:t xml:space="preserve"> dermatológico </w:t>
      </w:r>
      <w:r w:rsidR="00806EA7" w:rsidRPr="00F814C0">
        <w:rPr>
          <w:rFonts w:ascii="Times New Roman" w:hAnsi="Times New Roman"/>
          <w:bCs/>
        </w:rPr>
        <w:t xml:space="preserve">é feito dessa forma </w:t>
      </w:r>
      <w:r w:rsidR="00806EA7" w:rsidRPr="00F814C0">
        <w:rPr>
          <w:rFonts w:ascii="Times New Roman" w:hAnsi="Times New Roman"/>
        </w:rPr>
        <w:t xml:space="preserve">mesmo em quem não está participando da pesquisa. Você irá sentir um pouco de dor durante a </w:t>
      </w:r>
      <w:r w:rsidRPr="00F814C0">
        <w:rPr>
          <w:rFonts w:ascii="Times New Roman" w:hAnsi="Times New Roman"/>
        </w:rPr>
        <w:t xml:space="preserve">aplicação do teste da tuberculose do braço e nas coletas </w:t>
      </w:r>
      <w:r w:rsidR="00806EA7" w:rsidRPr="00F814C0">
        <w:rPr>
          <w:rFonts w:ascii="Times New Roman" w:hAnsi="Times New Roman"/>
        </w:rPr>
        <w:t>de sangue. Normalmente a dor passa imediatamente. Pode ficar</w:t>
      </w:r>
      <w:r w:rsidRPr="00F814C0">
        <w:rPr>
          <w:rFonts w:ascii="Times New Roman" w:hAnsi="Times New Roman"/>
        </w:rPr>
        <w:t xml:space="preserve"> um</w:t>
      </w:r>
      <w:r w:rsidR="00806EA7" w:rsidRPr="00F814C0">
        <w:rPr>
          <w:rFonts w:ascii="Times New Roman" w:hAnsi="Times New Roman"/>
        </w:rPr>
        <w:t xml:space="preserve"> roxo no loca da picada que passa em 7 dias.</w:t>
      </w:r>
    </w:p>
    <w:p w:rsidR="00806EA7" w:rsidRPr="00F814C0" w:rsidRDefault="00FF215C" w:rsidP="00FF215C">
      <w:pPr>
        <w:pStyle w:val="Default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</w:rPr>
      </w:pPr>
      <w:r w:rsidRPr="00F814C0">
        <w:rPr>
          <w:rFonts w:ascii="Times New Roman" w:hAnsi="Times New Roman"/>
        </w:rPr>
        <w:t>Em relação aos benefícios foi orientado que c</w:t>
      </w:r>
      <w:r w:rsidR="00806EA7" w:rsidRPr="00F814C0">
        <w:rPr>
          <w:rFonts w:ascii="Times New Roman" w:hAnsi="Times New Roman"/>
        </w:rPr>
        <w:t xml:space="preserve">om os resultados dos exames </w:t>
      </w:r>
      <w:r w:rsidRPr="00F814C0">
        <w:rPr>
          <w:rFonts w:ascii="Times New Roman" w:hAnsi="Times New Roman"/>
        </w:rPr>
        <w:t>o paciente</w:t>
      </w:r>
      <w:r w:rsidR="00806EA7" w:rsidRPr="00F814C0">
        <w:rPr>
          <w:rFonts w:ascii="Times New Roman" w:hAnsi="Times New Roman"/>
        </w:rPr>
        <w:t xml:space="preserve"> saber</w:t>
      </w:r>
      <w:r w:rsidRPr="00F814C0">
        <w:rPr>
          <w:rFonts w:ascii="Times New Roman" w:hAnsi="Times New Roman"/>
        </w:rPr>
        <w:t>ia</w:t>
      </w:r>
      <w:r w:rsidR="00806EA7" w:rsidRPr="00F814C0">
        <w:rPr>
          <w:rFonts w:ascii="Times New Roman" w:hAnsi="Times New Roman"/>
        </w:rPr>
        <w:t xml:space="preserve"> se teve contato a tuberculose, se tem hepatite ou AIDS </w:t>
      </w:r>
      <w:proofErr w:type="gramStart"/>
      <w:r w:rsidR="00806EA7" w:rsidRPr="00F814C0">
        <w:rPr>
          <w:rFonts w:ascii="Times New Roman" w:hAnsi="Times New Roman"/>
        </w:rPr>
        <w:t>e</w:t>
      </w:r>
      <w:proofErr w:type="gramEnd"/>
      <w:r w:rsidRPr="00F814C0">
        <w:rPr>
          <w:rFonts w:ascii="Times New Roman" w:hAnsi="Times New Roman"/>
        </w:rPr>
        <w:t xml:space="preserve"> portanto, a escolha e uso do tratamento será mais segura. A</w:t>
      </w:r>
      <w:r w:rsidR="00806EA7" w:rsidRPr="00F814C0">
        <w:rPr>
          <w:rFonts w:ascii="Times New Roman" w:hAnsi="Times New Roman"/>
        </w:rPr>
        <w:t>judará</w:t>
      </w:r>
      <w:r w:rsidRPr="00F814C0">
        <w:rPr>
          <w:rFonts w:ascii="Times New Roman" w:hAnsi="Times New Roman"/>
        </w:rPr>
        <w:t xml:space="preserve"> também</w:t>
      </w:r>
      <w:r w:rsidR="00806EA7" w:rsidRPr="00F814C0">
        <w:rPr>
          <w:rFonts w:ascii="Times New Roman" w:hAnsi="Times New Roman"/>
        </w:rPr>
        <w:t xml:space="preserve"> a esclarecer se esse teste para tuberculose é bom para pacientes com psoríase. </w:t>
      </w:r>
    </w:p>
    <w:p w:rsidR="00806EA7" w:rsidRPr="00F814C0" w:rsidRDefault="00806EA7" w:rsidP="00806EA7">
      <w:pPr>
        <w:pStyle w:val="Default"/>
        <w:spacing w:line="360" w:lineRule="auto"/>
        <w:jc w:val="both"/>
      </w:pPr>
    </w:p>
    <w:p w:rsidR="00F216D8" w:rsidRPr="00F814C0" w:rsidRDefault="00F216D8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83334E" w:rsidRPr="00F814C0">
        <w:rPr>
          <w:rFonts w:ascii="Times New Roman" w:hAnsi="Times New Roman" w:cs="Times New Roman"/>
          <w:sz w:val="24"/>
          <w:szCs w:val="24"/>
        </w:rPr>
        <w:t>___</w:t>
      </w:r>
      <w:r w:rsidR="00492221" w:rsidRPr="00F814C0">
        <w:rPr>
          <w:rFonts w:ascii="Times New Roman" w:hAnsi="Times New Roman" w:cs="Times New Roman"/>
          <w:sz w:val="24"/>
          <w:szCs w:val="24"/>
        </w:rPr>
        <w:t>______</w:t>
      </w:r>
    </w:p>
    <w:p w:rsidR="00546533" w:rsidRPr="00F814C0" w:rsidRDefault="00492221" w:rsidP="008333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>7</w:t>
      </w:r>
      <w:r w:rsidR="00BD51A4" w:rsidRPr="00F814C0">
        <w:rPr>
          <w:rFonts w:ascii="Times New Roman" w:hAnsi="Times New Roman" w:cs="Times New Roman"/>
          <w:sz w:val="24"/>
          <w:szCs w:val="24"/>
        </w:rPr>
        <w:t>. Resultados obtidos</w:t>
      </w:r>
      <w:r w:rsidR="00B74746" w:rsidRPr="00F814C0">
        <w:rPr>
          <w:rFonts w:ascii="Times New Roman" w:hAnsi="Times New Roman" w:cs="Times New Roman"/>
          <w:sz w:val="24"/>
          <w:szCs w:val="24"/>
        </w:rPr>
        <w:t>:</w:t>
      </w:r>
      <w:r w:rsidR="00BD51A4" w:rsidRPr="00F814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6533" w:rsidRPr="00F814C0" w:rsidRDefault="00546533" w:rsidP="0083334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46533" w:rsidRPr="00F814C0" w:rsidRDefault="001E3BC4" w:rsidP="0085425A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</w:rPr>
        <w:t>O QuantiFERON</w:t>
      </w:r>
      <w:r w:rsidR="00546533"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 TT positivos não se tornaram negativos depois do tratamento. Seis TT foram positivos antes e depois do tratamento</w:t>
      </w:r>
      <w:r w:rsidR="0085425A"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46533"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Cinco TT negativos mudaram de categoria após o tratamento quatro para o indeterminado e 1 para positivos</w:t>
      </w:r>
      <w:r w:rsidR="0085425A"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46533"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Três IGRA acompanharam o aumento do TT </w:t>
      </w:r>
    </w:p>
    <w:p w:rsidR="0085425A" w:rsidRPr="00F814C0" w:rsidRDefault="0085425A" w:rsidP="0085425A">
      <w:pPr>
        <w:pStyle w:val="PargrafodaLista"/>
        <w:numPr>
          <w:ilvl w:val="0"/>
          <w:numId w:val="3"/>
        </w:numPr>
        <w:spacing w:before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 </w:t>
      </w:r>
      <w:r w:rsidR="001E3BC4" w:rsidRPr="00F814C0">
        <w:rPr>
          <w:rFonts w:ascii="Times New Roman" w:hAnsi="Times New Roman" w:cs="Times New Roman"/>
          <w:sz w:val="24"/>
          <w:szCs w:val="24"/>
        </w:rPr>
        <w:t>QuantiFERON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mudou aleatoriamente após o tratamento (</w:t>
      </w:r>
      <w:r w:rsidRPr="00F814C0">
        <w:rPr>
          <w:rFonts w:ascii="Times New Roman" w:hAnsi="Times New Roman" w:cs="Times New Roman"/>
          <w:i/>
          <w:sz w:val="24"/>
          <w:szCs w:val="24"/>
        </w:rPr>
        <w:t>p</w:t>
      </w:r>
      <w:r w:rsidRPr="00F814C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F814C0">
        <w:rPr>
          <w:rFonts w:ascii="Times New Roman" w:hAnsi="Times New Roman" w:cs="Times New Roman"/>
          <w:sz w:val="24"/>
          <w:szCs w:val="24"/>
        </w:rPr>
        <w:t>= 0.135/1) enquanto o TT apresentou aumento significativo de testes positivos no segundo teste (</w:t>
      </w:r>
      <w:r w:rsidRPr="00F814C0">
        <w:rPr>
          <w:rFonts w:ascii="Times New Roman" w:hAnsi="Times New Roman" w:cs="Times New Roman"/>
          <w:i/>
          <w:sz w:val="24"/>
          <w:szCs w:val="24"/>
        </w:rPr>
        <w:t>p</w:t>
      </w:r>
      <w:r w:rsidRPr="00F814C0">
        <w:rPr>
          <w:rFonts w:ascii="Times New Roman" w:hAnsi="Times New Roman" w:cs="Times New Roman"/>
          <w:sz w:val="24"/>
          <w:szCs w:val="24"/>
        </w:rPr>
        <w:t>=0.032/0.037).</w:t>
      </w:r>
    </w:p>
    <w:p w:rsidR="0085425A" w:rsidRPr="00F814C0" w:rsidRDefault="0085425A" w:rsidP="0085425A">
      <w:pPr>
        <w:pStyle w:val="PargrafodaLista"/>
        <w:numPr>
          <w:ilvl w:val="0"/>
          <w:numId w:val="3"/>
        </w:numPr>
        <w:spacing w:before="12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>Antes do tratamento foi encontrada uma associação entre IGRA positivo e níveis mais altos de VHS (</w:t>
      </w:r>
      <w:r w:rsidRPr="00F814C0">
        <w:rPr>
          <w:rFonts w:ascii="Times New Roman" w:hAnsi="Times New Roman" w:cs="Times New Roman"/>
          <w:i/>
          <w:sz w:val="24"/>
          <w:szCs w:val="24"/>
        </w:rPr>
        <w:t>p</w:t>
      </w:r>
      <w:r w:rsidRPr="00F814C0">
        <w:rPr>
          <w:rFonts w:ascii="Times New Roman" w:hAnsi="Times New Roman" w:cs="Times New Roman"/>
          <w:sz w:val="24"/>
          <w:szCs w:val="24"/>
        </w:rPr>
        <w:t xml:space="preserve"> = 0,038).</w:t>
      </w:r>
    </w:p>
    <w:p w:rsidR="0085425A" w:rsidRPr="00F814C0" w:rsidRDefault="0085425A" w:rsidP="0085425A">
      <w:pPr>
        <w:pStyle w:val="PargrafodaLista"/>
        <w:numPr>
          <w:ilvl w:val="0"/>
          <w:numId w:val="3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814C0">
        <w:rPr>
          <w:rFonts w:ascii="Times New Roman" w:hAnsi="Times New Roman" w:cs="Times New Roman"/>
          <w:sz w:val="24"/>
          <w:szCs w:val="24"/>
        </w:rPr>
        <w:t>H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ouve uma tendência para uma maior média de </w:t>
      </w:r>
      <w:r w:rsidRPr="00F814C0">
        <w:rPr>
          <w:rFonts w:ascii="Times New Roman" w:hAnsi="Times New Roman" w:cs="Times New Roman"/>
          <w:sz w:val="24"/>
          <w:szCs w:val="24"/>
        </w:rPr>
        <w:t>INF-</w:t>
      </w:r>
      <w:r w:rsidRPr="00F814C0">
        <w:rPr>
          <w:rFonts w:ascii="Times New Roman" w:hAnsi="Times New Roman" w:cs="Times New Roman"/>
          <w:sz w:val="24"/>
          <w:szCs w:val="24"/>
          <w:lang w:val="en"/>
        </w:rPr>
        <w:t>γ</w:t>
      </w:r>
      <w:r w:rsidRPr="00F814C0">
        <w:rPr>
          <w:rFonts w:ascii="Times New Roman" w:hAnsi="Times New Roman" w:cs="Times New Roman"/>
          <w:sz w:val="24"/>
          <w:szCs w:val="24"/>
        </w:rPr>
        <w:t xml:space="preserve"> 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>no grupo TT positivo antes do tratamento (</w:t>
      </w:r>
      <w:r w:rsidRPr="00F814C0">
        <w:rPr>
          <w:rFonts w:ascii="Times New Roman" w:hAnsi="Times New Roman" w:cs="Times New Roman"/>
          <w:i/>
          <w:sz w:val="24"/>
          <w:szCs w:val="24"/>
        </w:rPr>
        <w:t>p</w:t>
      </w:r>
      <w:r w:rsidRPr="00F814C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F814C0">
        <w:rPr>
          <w:rFonts w:ascii="Times New Roman" w:hAnsi="Times New Roman" w:cs="Times New Roman"/>
          <w:sz w:val="24"/>
          <w:szCs w:val="24"/>
        </w:rPr>
        <w:t xml:space="preserve">= 0,106) 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(Tabela 4). Após o tratamento a tendência para maior média </w:t>
      </w:r>
      <w:r w:rsidRPr="00F814C0">
        <w:rPr>
          <w:rFonts w:ascii="Times New Roman" w:hAnsi="Times New Roman" w:cs="Times New Roman"/>
          <w:sz w:val="24"/>
          <w:szCs w:val="24"/>
        </w:rPr>
        <w:t>INF-</w:t>
      </w:r>
      <w:r w:rsidRPr="00F814C0">
        <w:rPr>
          <w:rFonts w:ascii="Times New Roman" w:hAnsi="Times New Roman" w:cs="Times New Roman"/>
          <w:sz w:val="24"/>
          <w:szCs w:val="24"/>
          <w:lang w:val="en"/>
        </w:rPr>
        <w:t>γ</w:t>
      </w:r>
      <w:r w:rsidRPr="00F814C0">
        <w:rPr>
          <w:rFonts w:ascii="Times New Roman" w:hAnsi="Times New Roman" w:cs="Times New Roman"/>
          <w:sz w:val="24"/>
          <w:szCs w:val="24"/>
        </w:rPr>
        <w:t xml:space="preserve"> no TT positivo 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>aumentou (</w:t>
      </w:r>
      <w:r w:rsidRPr="00F814C0">
        <w:rPr>
          <w:rFonts w:ascii="Times New Roman" w:hAnsi="Times New Roman" w:cs="Times New Roman"/>
          <w:i/>
          <w:sz w:val="24"/>
          <w:szCs w:val="24"/>
        </w:rPr>
        <w:t>p</w:t>
      </w:r>
      <w:r w:rsidRPr="00F814C0">
        <w:rPr>
          <w:rFonts w:ascii="Times New Roman" w:hAnsi="Times New Roman" w:cs="Times New Roman"/>
          <w:sz w:val="24"/>
          <w:szCs w:val="24"/>
        </w:rPr>
        <w:t xml:space="preserve"> = 0,072)</w:t>
      </w:r>
      <w:r w:rsidRPr="00F814C0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546533" w:rsidRPr="00F814C0" w:rsidRDefault="00546533" w:rsidP="0085425A">
      <w:pPr>
        <w:pStyle w:val="PargrafodaLista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 xml:space="preserve">A comparação dos meios e medianas antes e após o tratamento encontrou que os níveis de </w:t>
      </w:r>
      <w:r w:rsidR="001E3BC4" w:rsidRPr="00F814C0">
        <w:rPr>
          <w:rFonts w:ascii="Times New Roman" w:hAnsi="Times New Roman" w:cs="Times New Roman"/>
          <w:sz w:val="24"/>
          <w:szCs w:val="24"/>
        </w:rPr>
        <w:t>Proteína C-reativa</w:t>
      </w:r>
      <w:r w:rsidRPr="00F814C0">
        <w:rPr>
          <w:rFonts w:ascii="Times New Roman" w:hAnsi="Times New Roman" w:cs="Times New Roman"/>
          <w:sz w:val="24"/>
          <w:szCs w:val="24"/>
        </w:rPr>
        <w:t xml:space="preserve"> (</w:t>
      </w:r>
      <w:r w:rsidRPr="00F814C0">
        <w:rPr>
          <w:rFonts w:ascii="Times New Roman" w:hAnsi="Times New Roman" w:cs="Times New Roman"/>
          <w:i/>
          <w:sz w:val="24"/>
          <w:szCs w:val="24"/>
        </w:rPr>
        <w:t>p</w:t>
      </w:r>
      <w:r w:rsidRPr="00F814C0">
        <w:rPr>
          <w:rFonts w:ascii="Times New Roman" w:hAnsi="Times New Roman" w:cs="Times New Roman"/>
          <w:sz w:val="24"/>
          <w:szCs w:val="24"/>
        </w:rPr>
        <w:t xml:space="preserve"> = 0,22) e do PASI (</w:t>
      </w:r>
      <w:r w:rsidRPr="00F814C0">
        <w:rPr>
          <w:rFonts w:ascii="Times New Roman" w:hAnsi="Times New Roman" w:cs="Times New Roman"/>
          <w:i/>
          <w:sz w:val="24"/>
          <w:szCs w:val="24"/>
        </w:rPr>
        <w:t>p</w:t>
      </w:r>
      <w:r w:rsidRPr="00F814C0">
        <w:rPr>
          <w:rFonts w:ascii="Times New Roman" w:hAnsi="Times New Roman" w:cs="Times New Roman"/>
          <w:sz w:val="24"/>
          <w:szCs w:val="24"/>
        </w:rPr>
        <w:t xml:space="preserve"> &lt;0,001) decresceram significativamente enquanto os níveis de IFN-γ (</w:t>
      </w:r>
      <w:r w:rsidRPr="00F814C0">
        <w:rPr>
          <w:rFonts w:ascii="Times New Roman" w:hAnsi="Times New Roman" w:cs="Times New Roman"/>
          <w:i/>
          <w:sz w:val="24"/>
          <w:szCs w:val="24"/>
        </w:rPr>
        <w:t>p</w:t>
      </w:r>
      <w:r w:rsidRPr="00F814C0">
        <w:rPr>
          <w:rFonts w:ascii="Times New Roman" w:hAnsi="Times New Roman" w:cs="Times New Roman"/>
          <w:sz w:val="24"/>
          <w:szCs w:val="24"/>
        </w:rPr>
        <w:t xml:space="preserve"> = 0,005) aumentaram significativamente após o </w:t>
      </w:r>
      <w:r w:rsidRPr="00F814C0">
        <w:rPr>
          <w:rFonts w:ascii="Times New Roman" w:hAnsi="Times New Roman" w:cs="Times New Roman"/>
          <w:sz w:val="24"/>
          <w:szCs w:val="24"/>
        </w:rPr>
        <w:lastRenderedPageBreak/>
        <w:t>tratamento. Os níveis de VHS decresceram e os de TNF-α aumentaram, porém de maneira não significativa.</w:t>
      </w:r>
    </w:p>
    <w:p w:rsidR="00546533" w:rsidRPr="00F814C0" w:rsidRDefault="00546533" w:rsidP="0085425A">
      <w:pPr>
        <w:spacing w:line="360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:rsidR="00546533" w:rsidRPr="00F814C0" w:rsidRDefault="00546533" w:rsidP="00546533">
      <w:pPr>
        <w:spacing w:line="36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BD51A4" w:rsidRPr="00F814C0" w:rsidRDefault="00BD51A4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  <w:r w:rsidR="00492221" w:rsidRPr="00F814C0">
        <w:rPr>
          <w:rFonts w:ascii="Times New Roman" w:hAnsi="Times New Roman" w:cs="Times New Roman"/>
          <w:sz w:val="24"/>
          <w:szCs w:val="24"/>
        </w:rPr>
        <w:t>_________</w:t>
      </w:r>
      <w:r w:rsidRPr="00F814C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51A4" w:rsidRPr="00F814C0" w:rsidRDefault="00BD51A4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>• Conclusão</w:t>
      </w:r>
      <w:r w:rsidR="00B74746" w:rsidRPr="00F814C0">
        <w:rPr>
          <w:rFonts w:ascii="Times New Roman" w:hAnsi="Times New Roman" w:cs="Times New Roman"/>
          <w:sz w:val="24"/>
          <w:szCs w:val="24"/>
        </w:rPr>
        <w:t>:</w:t>
      </w:r>
    </w:p>
    <w:p w:rsidR="00FF215C" w:rsidRPr="00F814C0" w:rsidRDefault="00FF215C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215C" w:rsidRPr="00F814C0" w:rsidRDefault="00FF215C" w:rsidP="00FF215C">
      <w:pPr>
        <w:pStyle w:val="PargrafodaLista"/>
        <w:numPr>
          <w:ilvl w:val="0"/>
          <w:numId w:val="1"/>
        </w:numPr>
        <w:spacing w:before="120"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sz w:val="24"/>
          <w:szCs w:val="24"/>
        </w:rPr>
        <w:t xml:space="preserve">Houve modificação significativa no número de TT positivos no segundo teste. Houve uma tendência a maiores níveis de INF- nos pacientes com TT positivos sugerindo que o aumento do </w:t>
      </w:r>
      <w:r w:rsidR="001E3BC4" w:rsidRPr="00F814C0">
        <w:rPr>
          <w:rFonts w:ascii="Times New Roman" w:hAnsi="Times New Roman" w:cs="Times New Roman"/>
          <w:sz w:val="24"/>
          <w:szCs w:val="24"/>
        </w:rPr>
        <w:t>INF-</w:t>
      </w:r>
      <w:r w:rsidR="001E3BC4" w:rsidRPr="00F814C0">
        <w:rPr>
          <w:rFonts w:ascii="Times New Roman" w:hAnsi="Times New Roman" w:cs="Times New Roman"/>
          <w:sz w:val="24"/>
          <w:szCs w:val="24"/>
          <w:lang w:val="en"/>
        </w:rPr>
        <w:t>γ</w:t>
      </w:r>
      <w:r w:rsidRPr="00F814C0">
        <w:rPr>
          <w:rFonts w:ascii="Times New Roman" w:hAnsi="Times New Roman" w:cs="Times New Roman"/>
          <w:sz w:val="24"/>
          <w:szCs w:val="24"/>
        </w:rPr>
        <w:t xml:space="preserve"> decorrente do uso do MTX pode ter interferido sobre o TT. </w:t>
      </w:r>
    </w:p>
    <w:p w:rsidR="00FF215C" w:rsidRPr="00F814C0" w:rsidRDefault="00FF215C" w:rsidP="00FF215C">
      <w:pPr>
        <w:pStyle w:val="PargrafodaLista"/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215C" w:rsidRPr="00F814C0" w:rsidRDefault="00FF215C" w:rsidP="00FF215C">
      <w:pPr>
        <w:pStyle w:val="PargrafodaLista"/>
        <w:numPr>
          <w:ilvl w:val="0"/>
          <w:numId w:val="1"/>
        </w:numPr>
        <w:spacing w:before="120" w:after="16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14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814C0">
        <w:rPr>
          <w:rFonts w:ascii="Times New Roman" w:hAnsi="Times New Roman" w:cs="Times New Roman"/>
          <w:sz w:val="24"/>
          <w:szCs w:val="24"/>
        </w:rPr>
        <w:t xml:space="preserve">O </w:t>
      </w:r>
      <w:r w:rsidR="001E3BC4" w:rsidRPr="00F814C0">
        <w:rPr>
          <w:rFonts w:ascii="Times New Roman" w:hAnsi="Times New Roman" w:cs="Times New Roman"/>
          <w:sz w:val="24"/>
          <w:szCs w:val="24"/>
        </w:rPr>
        <w:t>QuantiFERON</w:t>
      </w:r>
      <w:r w:rsidRPr="00F814C0">
        <w:rPr>
          <w:rFonts w:ascii="Times New Roman" w:hAnsi="Times New Roman" w:cs="Times New Roman"/>
          <w:sz w:val="24"/>
          <w:szCs w:val="24"/>
        </w:rPr>
        <w:t xml:space="preserve"> mudou aleatoriamente independentemente da imunossupressão. IGRA positivos foram associados a maiores níveis de VHS antes do tratamento. Essa associação foi perdida após o tratamento pela redução dos níveis do VHS e pode refletir </w:t>
      </w:r>
      <w:r w:rsidR="0085425A" w:rsidRPr="00F814C0">
        <w:rPr>
          <w:rFonts w:ascii="Times New Roman" w:hAnsi="Times New Roman" w:cs="Times New Roman"/>
          <w:sz w:val="24"/>
          <w:szCs w:val="24"/>
        </w:rPr>
        <w:t xml:space="preserve">a influência do processo inflamatório sobre o IGRA. </w:t>
      </w:r>
    </w:p>
    <w:p w:rsidR="00BA4691" w:rsidRDefault="0083334E" w:rsidP="0083334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83334E" w:rsidRDefault="0083334E" w:rsidP="00BA46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A46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Recife,  </w:t>
      </w:r>
      <w:r w:rsidR="00FF215C">
        <w:rPr>
          <w:rFonts w:ascii="Times New Roman" w:hAnsi="Times New Roman" w:cs="Times New Roman"/>
          <w:sz w:val="24"/>
          <w:szCs w:val="24"/>
        </w:rPr>
        <w:t>24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de </w:t>
      </w:r>
      <w:r w:rsidR="00FF215C">
        <w:rPr>
          <w:rFonts w:ascii="Times New Roman" w:hAnsi="Times New Roman" w:cs="Times New Roman"/>
          <w:sz w:val="24"/>
          <w:szCs w:val="24"/>
        </w:rPr>
        <w:t>Outubro</w:t>
      </w:r>
      <w:r>
        <w:rPr>
          <w:rFonts w:ascii="Times New Roman" w:hAnsi="Times New Roman" w:cs="Times New Roman"/>
          <w:sz w:val="24"/>
          <w:szCs w:val="24"/>
        </w:rPr>
        <w:t xml:space="preserve">   de </w:t>
      </w:r>
      <w:r w:rsidR="00FF215C">
        <w:rPr>
          <w:rFonts w:ascii="Times New Roman" w:hAnsi="Times New Roman" w:cs="Times New Roman"/>
          <w:sz w:val="24"/>
          <w:szCs w:val="24"/>
        </w:rPr>
        <w:t>2019</w:t>
      </w:r>
    </w:p>
    <w:p w:rsidR="00B83053" w:rsidRDefault="00B83053" w:rsidP="00BA46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83053" w:rsidRDefault="00B83053" w:rsidP="00BA46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773DDC38">
            <wp:simplePos x="0" y="0"/>
            <wp:positionH relativeFrom="column">
              <wp:posOffset>1826260</wp:posOffset>
            </wp:positionH>
            <wp:positionV relativeFrom="paragraph">
              <wp:posOffset>429895</wp:posOffset>
            </wp:positionV>
            <wp:extent cx="2851297" cy="1244664"/>
            <wp:effectExtent l="0" t="0" r="0" b="0"/>
            <wp:wrapTopAndBottom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1297" cy="12446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B0F98" w:rsidRDefault="006B0F98" w:rsidP="00BA46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4691" w:rsidRDefault="00BA4691" w:rsidP="00BA46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92221" w:rsidRDefault="00492221" w:rsidP="007A4DD3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</w:t>
      </w:r>
    </w:p>
    <w:p w:rsidR="00103ADE" w:rsidRDefault="007A4DD3" w:rsidP="007A4DD3">
      <w:pPr>
        <w:spacing w:after="0" w:line="360" w:lineRule="auto"/>
        <w:jc w:val="center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</w:t>
      </w:r>
      <w:r w:rsidRPr="0083334E">
        <w:rPr>
          <w:rFonts w:ascii="Times New Roman" w:hAnsi="Times New Roman"/>
          <w:sz w:val="24"/>
          <w:szCs w:val="24"/>
        </w:rPr>
        <w:t>ssinatura do/a pesquisador/a responsável</w:t>
      </w:r>
      <w:r>
        <w:rPr>
          <w:rFonts w:ascii="Times New Roman" w:hAnsi="Times New Roman"/>
          <w:sz w:val="24"/>
          <w:szCs w:val="24"/>
        </w:rPr>
        <w:t xml:space="preserve"> </w:t>
      </w:r>
    </w:p>
    <w:sectPr w:rsidR="00103ADE" w:rsidSect="0049222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EE203F"/>
    <w:multiLevelType w:val="hybridMultilevel"/>
    <w:tmpl w:val="D35E36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B7E76"/>
    <w:multiLevelType w:val="hybridMultilevel"/>
    <w:tmpl w:val="A7284B16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72932FC8"/>
    <w:multiLevelType w:val="hybridMultilevel"/>
    <w:tmpl w:val="7CE84AE6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1A4"/>
    <w:rsid w:val="00040659"/>
    <w:rsid w:val="000E2C6E"/>
    <w:rsid w:val="00103ADE"/>
    <w:rsid w:val="001E3BC4"/>
    <w:rsid w:val="00236F3C"/>
    <w:rsid w:val="00492221"/>
    <w:rsid w:val="005028CA"/>
    <w:rsid w:val="00544D21"/>
    <w:rsid w:val="00546533"/>
    <w:rsid w:val="005A60EF"/>
    <w:rsid w:val="005B25A9"/>
    <w:rsid w:val="006B0F98"/>
    <w:rsid w:val="007A4DD3"/>
    <w:rsid w:val="00806EA7"/>
    <w:rsid w:val="00811E52"/>
    <w:rsid w:val="0083334E"/>
    <w:rsid w:val="0085425A"/>
    <w:rsid w:val="00857282"/>
    <w:rsid w:val="008D7058"/>
    <w:rsid w:val="008E4B5A"/>
    <w:rsid w:val="00A67FCC"/>
    <w:rsid w:val="00AB4B47"/>
    <w:rsid w:val="00AC3B70"/>
    <w:rsid w:val="00B71184"/>
    <w:rsid w:val="00B74746"/>
    <w:rsid w:val="00B83053"/>
    <w:rsid w:val="00BA4691"/>
    <w:rsid w:val="00BD51A4"/>
    <w:rsid w:val="00C0018D"/>
    <w:rsid w:val="00C35E48"/>
    <w:rsid w:val="00CF6186"/>
    <w:rsid w:val="00EB687D"/>
    <w:rsid w:val="00ED2D71"/>
    <w:rsid w:val="00ED5E45"/>
    <w:rsid w:val="00ED7994"/>
    <w:rsid w:val="00F216D8"/>
    <w:rsid w:val="00F45052"/>
    <w:rsid w:val="00F814C0"/>
    <w:rsid w:val="00FC3D5D"/>
    <w:rsid w:val="00FF2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96F0A"/>
  <w15:docId w15:val="{4D3D4339-697A-4C7E-9680-2A801A3EA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AB4B4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B74746"/>
    <w:pPr>
      <w:ind w:left="720"/>
      <w:contextualSpacing/>
    </w:pPr>
  </w:style>
  <w:style w:type="paragraph" w:customStyle="1" w:styleId="Default">
    <w:name w:val="Default"/>
    <w:rsid w:val="00806EA7"/>
    <w:pPr>
      <w:widowControl w:val="0"/>
      <w:tabs>
        <w:tab w:val="left" w:pos="709"/>
      </w:tabs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1583</Words>
  <Characters>8554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CEP</dc:creator>
  <cp:lastModifiedBy>Vanessa Lucília Silveira de Medeiros</cp:lastModifiedBy>
  <cp:revision>4</cp:revision>
  <dcterms:created xsi:type="dcterms:W3CDTF">2019-10-24T13:49:00Z</dcterms:created>
  <dcterms:modified xsi:type="dcterms:W3CDTF">2019-10-24T13:56:00Z</dcterms:modified>
</cp:coreProperties>
</file>